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1A99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F57AA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11DF">
                              <w:rPr>
                                <w:rFonts w:asciiTheme="majorHAnsi" w:hAnsiTheme="majorHAnsi" w:cs="Arial"/>
                                <w:b/>
                                <w:bCs/>
                                <w:color w:val="0D0D0D" w:themeColor="text1" w:themeTint="F2"/>
                                <w:sz w:val="36"/>
                                <w:szCs w:val="22"/>
                                <w:lang w:val="es-ES_tradnl"/>
                              </w:rPr>
                              <w:t>307</w:t>
                            </w:r>
                            <w:r w:rsidR="007B05C4">
                              <w:rPr>
                                <w:rFonts w:asciiTheme="majorHAnsi" w:hAnsiTheme="majorHAnsi" w:cs="Arial"/>
                                <w:b/>
                                <w:bCs/>
                                <w:color w:val="0D0D0D" w:themeColor="text1" w:themeTint="F2"/>
                                <w:sz w:val="36"/>
                                <w:szCs w:val="22"/>
                                <w:lang w:val="es-ES_tradnl"/>
                              </w:rPr>
                              <w:t>/</w:t>
                            </w:r>
                            <w:r w:rsidR="00764A9A">
                              <w:rPr>
                                <w:rFonts w:asciiTheme="majorHAnsi" w:hAnsiTheme="majorHAnsi" w:cs="Arial"/>
                                <w:b/>
                                <w:bCs/>
                                <w:color w:val="0D0D0D" w:themeColor="text1" w:themeTint="F2"/>
                                <w:sz w:val="36"/>
                                <w:szCs w:val="22"/>
                                <w:lang w:val="es-ES_tradnl"/>
                              </w:rPr>
                              <w:t>22</w:t>
                            </w:r>
                          </w:p>
                          <w:p w14:paraId="45F30ECA" w14:textId="076DC9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645A">
                              <w:rPr>
                                <w:rFonts w:asciiTheme="majorHAnsi" w:hAnsiTheme="majorHAnsi" w:cs="Arial"/>
                                <w:b/>
                                <w:color w:val="0D0D0D" w:themeColor="text1" w:themeTint="F2"/>
                                <w:sz w:val="36"/>
                                <w:szCs w:val="22"/>
                                <w:lang w:val="es-ES_tradnl"/>
                              </w:rPr>
                              <w:t>1784</w:t>
                            </w:r>
                            <w:r w:rsidR="00246D1F" w:rsidRPr="004E2649">
                              <w:rPr>
                                <w:rFonts w:asciiTheme="majorHAnsi" w:hAnsiTheme="majorHAnsi" w:cs="Arial"/>
                                <w:b/>
                                <w:color w:val="0D0D0D" w:themeColor="text1" w:themeTint="F2"/>
                                <w:sz w:val="36"/>
                                <w:szCs w:val="22"/>
                                <w:lang w:val="es-ES_tradnl"/>
                              </w:rPr>
                              <w:t>-</w:t>
                            </w:r>
                            <w:r w:rsidR="009F645A">
                              <w:rPr>
                                <w:rFonts w:asciiTheme="majorHAnsi" w:hAnsiTheme="majorHAnsi" w:cs="Arial"/>
                                <w:b/>
                                <w:color w:val="0D0D0D" w:themeColor="text1" w:themeTint="F2"/>
                                <w:sz w:val="36"/>
                                <w:szCs w:val="22"/>
                                <w:lang w:val="es-ES_tradnl"/>
                              </w:rPr>
                              <w:t>13</w:t>
                            </w:r>
                          </w:p>
                          <w:p w14:paraId="188B4303" w14:textId="73456B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170EFCE" w:rsidR="005B52B0" w:rsidRPr="0010736F" w:rsidRDefault="009F645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COMUNIDADES INDÍGE</w:t>
                            </w:r>
                            <w:r w:rsidR="00EA4BBB">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AS DEL PUEBLO</w:t>
                            </w:r>
                            <w:r w:rsidR="00EC6FBD">
                              <w:rPr>
                                <w:rFonts w:asciiTheme="majorHAnsi" w:hAnsiTheme="majorHAnsi" w:cs="Arial"/>
                                <w:color w:val="0D0D0D" w:themeColor="text1" w:themeTint="F2"/>
                                <w:szCs w:val="22"/>
                                <w:lang w:val="es-ES_tradnl"/>
                              </w:rPr>
                              <w:t xml:space="preserve"> MAYA</w:t>
                            </w:r>
                            <w:r>
                              <w:rPr>
                                <w:rFonts w:asciiTheme="majorHAnsi" w:hAnsiTheme="majorHAnsi" w:cs="Arial"/>
                                <w:color w:val="0D0D0D" w:themeColor="text1" w:themeTint="F2"/>
                                <w:szCs w:val="22"/>
                                <w:lang w:val="es-ES_tradnl"/>
                              </w:rPr>
                              <w:t xml:space="preserve"> </w:t>
                            </w:r>
                            <w:r w:rsidR="00C51C64">
                              <w:rPr>
                                <w:rFonts w:asciiTheme="majorHAnsi" w:hAnsiTheme="majorHAnsi" w:cs="Arial"/>
                                <w:color w:val="0D0D0D" w:themeColor="text1" w:themeTint="F2"/>
                                <w:szCs w:val="22"/>
                                <w:lang w:val="es-ES_tradnl"/>
                              </w:rPr>
                              <w:t>IXIL</w:t>
                            </w:r>
                          </w:p>
                          <w:bookmarkEnd w:id="0"/>
                          <w:p w14:paraId="0B9F7D22" w14:textId="64F59410" w:rsidR="005B52B0" w:rsidRPr="00F56ECB" w:rsidRDefault="009F645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F57AA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11DF">
                        <w:rPr>
                          <w:rFonts w:asciiTheme="majorHAnsi" w:hAnsiTheme="majorHAnsi" w:cs="Arial"/>
                          <w:b/>
                          <w:bCs/>
                          <w:color w:val="0D0D0D" w:themeColor="text1" w:themeTint="F2"/>
                          <w:sz w:val="36"/>
                          <w:szCs w:val="22"/>
                          <w:lang w:val="es-ES_tradnl"/>
                        </w:rPr>
                        <w:t>307</w:t>
                      </w:r>
                      <w:r w:rsidR="007B05C4">
                        <w:rPr>
                          <w:rFonts w:asciiTheme="majorHAnsi" w:hAnsiTheme="majorHAnsi" w:cs="Arial"/>
                          <w:b/>
                          <w:bCs/>
                          <w:color w:val="0D0D0D" w:themeColor="text1" w:themeTint="F2"/>
                          <w:sz w:val="36"/>
                          <w:szCs w:val="22"/>
                          <w:lang w:val="es-ES_tradnl"/>
                        </w:rPr>
                        <w:t>/</w:t>
                      </w:r>
                      <w:r w:rsidR="00764A9A">
                        <w:rPr>
                          <w:rFonts w:asciiTheme="majorHAnsi" w:hAnsiTheme="majorHAnsi" w:cs="Arial"/>
                          <w:b/>
                          <w:bCs/>
                          <w:color w:val="0D0D0D" w:themeColor="text1" w:themeTint="F2"/>
                          <w:sz w:val="36"/>
                          <w:szCs w:val="22"/>
                          <w:lang w:val="es-ES_tradnl"/>
                        </w:rPr>
                        <w:t>22</w:t>
                      </w:r>
                    </w:p>
                    <w:p w14:paraId="45F30ECA" w14:textId="076DC9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645A">
                        <w:rPr>
                          <w:rFonts w:asciiTheme="majorHAnsi" w:hAnsiTheme="majorHAnsi" w:cs="Arial"/>
                          <w:b/>
                          <w:color w:val="0D0D0D" w:themeColor="text1" w:themeTint="F2"/>
                          <w:sz w:val="36"/>
                          <w:szCs w:val="22"/>
                          <w:lang w:val="es-ES_tradnl"/>
                        </w:rPr>
                        <w:t>1784</w:t>
                      </w:r>
                      <w:r w:rsidR="00246D1F" w:rsidRPr="004E2649">
                        <w:rPr>
                          <w:rFonts w:asciiTheme="majorHAnsi" w:hAnsiTheme="majorHAnsi" w:cs="Arial"/>
                          <w:b/>
                          <w:color w:val="0D0D0D" w:themeColor="text1" w:themeTint="F2"/>
                          <w:sz w:val="36"/>
                          <w:szCs w:val="22"/>
                          <w:lang w:val="es-ES_tradnl"/>
                        </w:rPr>
                        <w:t>-</w:t>
                      </w:r>
                      <w:r w:rsidR="009F645A">
                        <w:rPr>
                          <w:rFonts w:asciiTheme="majorHAnsi" w:hAnsiTheme="majorHAnsi" w:cs="Arial"/>
                          <w:b/>
                          <w:color w:val="0D0D0D" w:themeColor="text1" w:themeTint="F2"/>
                          <w:sz w:val="36"/>
                          <w:szCs w:val="22"/>
                          <w:lang w:val="es-ES_tradnl"/>
                        </w:rPr>
                        <w:t>13</w:t>
                      </w:r>
                    </w:p>
                    <w:p w14:paraId="188B4303" w14:textId="73456B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170EFCE" w:rsidR="005B52B0" w:rsidRPr="0010736F" w:rsidRDefault="009F645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COMUNIDADES INDÍGE</w:t>
                      </w:r>
                      <w:r w:rsidR="00EA4BBB">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AS DEL PUEBLO</w:t>
                      </w:r>
                      <w:r w:rsidR="00EC6FBD">
                        <w:rPr>
                          <w:rFonts w:asciiTheme="majorHAnsi" w:hAnsiTheme="majorHAnsi" w:cs="Arial"/>
                          <w:color w:val="0D0D0D" w:themeColor="text1" w:themeTint="F2"/>
                          <w:szCs w:val="22"/>
                          <w:lang w:val="es-ES_tradnl"/>
                        </w:rPr>
                        <w:t xml:space="preserve"> MAYA</w:t>
                      </w:r>
                      <w:r>
                        <w:rPr>
                          <w:rFonts w:asciiTheme="majorHAnsi" w:hAnsiTheme="majorHAnsi" w:cs="Arial"/>
                          <w:color w:val="0D0D0D" w:themeColor="text1" w:themeTint="F2"/>
                          <w:szCs w:val="22"/>
                          <w:lang w:val="es-ES_tradnl"/>
                        </w:rPr>
                        <w:t xml:space="preserve"> </w:t>
                      </w:r>
                      <w:r w:rsidR="00C51C64">
                        <w:rPr>
                          <w:rFonts w:asciiTheme="majorHAnsi" w:hAnsiTheme="majorHAnsi" w:cs="Arial"/>
                          <w:color w:val="0D0D0D" w:themeColor="text1" w:themeTint="F2"/>
                          <w:szCs w:val="22"/>
                          <w:lang w:val="es-ES_tradnl"/>
                        </w:rPr>
                        <w:t>IXIL</w:t>
                      </w:r>
                    </w:p>
                    <w:bookmarkEnd w:id="1"/>
                    <w:p w14:paraId="0B9F7D22" w14:textId="64F59410" w:rsidR="005B52B0" w:rsidRPr="00F56ECB" w:rsidRDefault="009F645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F9C1EBD" w:rsidR="00627C9F" w:rsidRPr="00D80E4A" w:rsidRDefault="00834D49" w:rsidP="007A5817">
                            <w:pPr>
                              <w:spacing w:line="276" w:lineRule="auto"/>
                              <w:jc w:val="right"/>
                              <w:rPr>
                                <w:rFonts w:asciiTheme="minorHAnsi" w:hAnsiTheme="minorHAnsi"/>
                                <w:color w:val="FFFFFF" w:themeColor="background1"/>
                                <w:sz w:val="22"/>
                                <w:lang w:val="es-AR"/>
                              </w:rPr>
                            </w:pPr>
                            <w:r w:rsidRPr="00D80E4A">
                              <w:rPr>
                                <w:rFonts w:asciiTheme="minorHAnsi" w:hAnsiTheme="minorHAnsi"/>
                                <w:color w:val="FFFFFF" w:themeColor="background1"/>
                                <w:sz w:val="22"/>
                                <w:lang w:val="es-AR"/>
                              </w:rPr>
                              <w:t>OEA/Ser.L/V/II</w:t>
                            </w:r>
                          </w:p>
                          <w:p w14:paraId="71D2D5D2" w14:textId="194B0F71" w:rsidR="00627C9F" w:rsidRPr="00184409" w:rsidRDefault="00627C9F" w:rsidP="007A5817">
                            <w:pPr>
                              <w:spacing w:line="276" w:lineRule="auto"/>
                              <w:jc w:val="right"/>
                              <w:rPr>
                                <w:rFonts w:asciiTheme="minorHAnsi" w:hAnsiTheme="minorHAnsi"/>
                                <w:color w:val="FFFFFF" w:themeColor="background1"/>
                                <w:sz w:val="22"/>
                                <w:lang w:val="es-ES"/>
                              </w:rPr>
                            </w:pPr>
                            <w:r w:rsidRPr="00184409">
                              <w:rPr>
                                <w:rFonts w:asciiTheme="minorHAnsi" w:hAnsiTheme="minorHAnsi"/>
                                <w:color w:val="FFFFFF" w:themeColor="background1"/>
                                <w:sz w:val="22"/>
                                <w:lang w:val="es-ES"/>
                              </w:rPr>
                              <w:t xml:space="preserve">Doc. </w:t>
                            </w:r>
                            <w:r w:rsidR="00184409" w:rsidRPr="00184409">
                              <w:rPr>
                                <w:rFonts w:asciiTheme="minorHAnsi" w:hAnsiTheme="minorHAnsi"/>
                                <w:color w:val="FFFFFF" w:themeColor="background1"/>
                                <w:sz w:val="22"/>
                                <w:lang w:val="es-ES"/>
                              </w:rPr>
                              <w:t>31</w:t>
                            </w:r>
                            <w:r w:rsidR="00184409">
                              <w:rPr>
                                <w:rFonts w:asciiTheme="minorHAnsi" w:hAnsiTheme="minorHAnsi"/>
                                <w:color w:val="FFFFFF" w:themeColor="background1"/>
                                <w:sz w:val="22"/>
                                <w:lang w:val="es-ES"/>
                              </w:rPr>
                              <w:t>4</w:t>
                            </w:r>
                          </w:p>
                          <w:p w14:paraId="4061DBBD" w14:textId="45591731" w:rsidR="00627C9F" w:rsidRPr="00C25ADB" w:rsidRDefault="0018440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w:t>
                            </w:r>
                            <w:r w:rsidR="00627C9F" w:rsidRPr="00C25ADB">
                              <w:rPr>
                                <w:rFonts w:asciiTheme="minorHAnsi" w:hAnsiTheme="minorHAnsi"/>
                                <w:color w:val="FFFFFF" w:themeColor="background1"/>
                                <w:sz w:val="22"/>
                                <w:lang w:val="es-PA"/>
                              </w:rPr>
                              <w:t xml:space="preserve"> </w:t>
                            </w:r>
                            <w:r w:rsidR="001A520A">
                              <w:rPr>
                                <w:rFonts w:asciiTheme="minorHAnsi" w:hAnsiTheme="minorHAnsi"/>
                                <w:color w:val="FFFFFF" w:themeColor="background1"/>
                                <w:sz w:val="22"/>
                                <w:lang w:val="es-PA"/>
                              </w:rPr>
                              <w:t>noviem</w:t>
                            </w:r>
                            <w:r w:rsidR="00322F41">
                              <w:rPr>
                                <w:rFonts w:asciiTheme="minorHAnsi" w:hAnsiTheme="minorHAnsi"/>
                                <w:color w:val="FFFFFF" w:themeColor="background1"/>
                                <w:sz w:val="22"/>
                                <w:lang w:val="es-PA"/>
                              </w:rPr>
                              <w:t>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6F9C1EBD" w:rsidR="00627C9F" w:rsidRPr="00D80E4A" w:rsidRDefault="00834D49" w:rsidP="007A5817">
                      <w:pPr>
                        <w:spacing w:line="276" w:lineRule="auto"/>
                        <w:jc w:val="right"/>
                        <w:rPr>
                          <w:rFonts w:asciiTheme="minorHAnsi" w:hAnsiTheme="minorHAnsi"/>
                          <w:color w:val="FFFFFF" w:themeColor="background1"/>
                          <w:sz w:val="22"/>
                          <w:lang w:val="es-AR"/>
                        </w:rPr>
                      </w:pPr>
                      <w:r w:rsidRPr="00D80E4A">
                        <w:rPr>
                          <w:rFonts w:asciiTheme="minorHAnsi" w:hAnsiTheme="minorHAnsi"/>
                          <w:color w:val="FFFFFF" w:themeColor="background1"/>
                          <w:sz w:val="22"/>
                          <w:lang w:val="es-AR"/>
                        </w:rPr>
                        <w:t>OEA/Ser.L/V/II</w:t>
                      </w:r>
                    </w:p>
                    <w:p w14:paraId="71D2D5D2" w14:textId="194B0F71" w:rsidR="00627C9F" w:rsidRPr="00184409" w:rsidRDefault="00627C9F" w:rsidP="007A5817">
                      <w:pPr>
                        <w:spacing w:line="276" w:lineRule="auto"/>
                        <w:jc w:val="right"/>
                        <w:rPr>
                          <w:rFonts w:asciiTheme="minorHAnsi" w:hAnsiTheme="minorHAnsi"/>
                          <w:color w:val="FFFFFF" w:themeColor="background1"/>
                          <w:sz w:val="22"/>
                          <w:lang w:val="es-ES"/>
                        </w:rPr>
                      </w:pPr>
                      <w:r w:rsidRPr="00184409">
                        <w:rPr>
                          <w:rFonts w:asciiTheme="minorHAnsi" w:hAnsiTheme="minorHAnsi"/>
                          <w:color w:val="FFFFFF" w:themeColor="background1"/>
                          <w:sz w:val="22"/>
                          <w:lang w:val="es-ES"/>
                        </w:rPr>
                        <w:t xml:space="preserve">Doc. </w:t>
                      </w:r>
                      <w:r w:rsidR="00184409" w:rsidRPr="00184409">
                        <w:rPr>
                          <w:rFonts w:asciiTheme="minorHAnsi" w:hAnsiTheme="minorHAnsi"/>
                          <w:color w:val="FFFFFF" w:themeColor="background1"/>
                          <w:sz w:val="22"/>
                          <w:lang w:val="es-ES"/>
                        </w:rPr>
                        <w:t>31</w:t>
                      </w:r>
                      <w:r w:rsidR="00184409">
                        <w:rPr>
                          <w:rFonts w:asciiTheme="minorHAnsi" w:hAnsiTheme="minorHAnsi"/>
                          <w:color w:val="FFFFFF" w:themeColor="background1"/>
                          <w:sz w:val="22"/>
                          <w:lang w:val="es-ES"/>
                        </w:rPr>
                        <w:t>4</w:t>
                      </w:r>
                    </w:p>
                    <w:p w14:paraId="4061DBBD" w14:textId="45591731" w:rsidR="00627C9F" w:rsidRPr="00C25ADB" w:rsidRDefault="0018440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w:t>
                      </w:r>
                      <w:r w:rsidR="00627C9F" w:rsidRPr="00C25ADB">
                        <w:rPr>
                          <w:rFonts w:asciiTheme="minorHAnsi" w:hAnsiTheme="minorHAnsi"/>
                          <w:color w:val="FFFFFF" w:themeColor="background1"/>
                          <w:sz w:val="22"/>
                          <w:lang w:val="es-PA"/>
                        </w:rPr>
                        <w:t xml:space="preserve"> </w:t>
                      </w:r>
                      <w:r w:rsidR="001A520A">
                        <w:rPr>
                          <w:rFonts w:asciiTheme="minorHAnsi" w:hAnsiTheme="minorHAnsi"/>
                          <w:color w:val="FFFFFF" w:themeColor="background1"/>
                          <w:sz w:val="22"/>
                          <w:lang w:val="es-PA"/>
                        </w:rPr>
                        <w:t>noviem</w:t>
                      </w:r>
                      <w:r w:rsidR="00322F41">
                        <w:rPr>
                          <w:rFonts w:asciiTheme="minorHAnsi" w:hAnsiTheme="minorHAnsi"/>
                          <w:color w:val="FFFFFF" w:themeColor="background1"/>
                          <w:sz w:val="22"/>
                          <w:lang w:val="es-PA"/>
                        </w:rPr>
                        <w:t>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C89D4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84409">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18440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22F41">
                              <w:rPr>
                                <w:rFonts w:asciiTheme="majorHAnsi" w:hAnsiTheme="majorHAnsi"/>
                                <w:color w:val="0D0D0D" w:themeColor="text1" w:themeTint="F2"/>
                                <w:sz w:val="18"/>
                                <w:szCs w:val="22"/>
                                <w:lang w:val="es-ES"/>
                              </w:rPr>
                              <w:t>2</w:t>
                            </w:r>
                            <w:r w:rsidR="001844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C89D4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84409">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18440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22F41">
                        <w:rPr>
                          <w:rFonts w:asciiTheme="majorHAnsi" w:hAnsiTheme="majorHAnsi"/>
                          <w:color w:val="0D0D0D" w:themeColor="text1" w:themeTint="F2"/>
                          <w:sz w:val="18"/>
                          <w:szCs w:val="22"/>
                          <w:lang w:val="es-ES"/>
                        </w:rPr>
                        <w:t>2</w:t>
                      </w:r>
                      <w:r w:rsidR="001844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07740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84409" w:rsidRPr="00184409">
                              <w:rPr>
                                <w:rFonts w:asciiTheme="majorHAnsi" w:hAnsiTheme="majorHAnsi"/>
                                <w:color w:val="595959" w:themeColor="text1" w:themeTint="A6"/>
                                <w:sz w:val="18"/>
                                <w:szCs w:val="18"/>
                                <w:lang w:val="pt-BR"/>
                              </w:rPr>
                              <w:t>307</w:t>
                            </w:r>
                            <w:r w:rsidR="007B05C4" w:rsidRPr="00184409">
                              <w:rPr>
                                <w:rFonts w:asciiTheme="majorHAnsi" w:hAnsiTheme="majorHAnsi"/>
                                <w:color w:val="595959" w:themeColor="text1" w:themeTint="A6"/>
                                <w:sz w:val="18"/>
                                <w:szCs w:val="18"/>
                                <w:lang w:val="pt-BR"/>
                              </w:rPr>
                              <w:t>/</w:t>
                            </w:r>
                            <w:r w:rsidR="00184409" w:rsidRPr="00184409">
                              <w:rPr>
                                <w:rFonts w:asciiTheme="majorHAnsi" w:hAnsiTheme="majorHAnsi"/>
                                <w:color w:val="595959" w:themeColor="text1" w:themeTint="A6"/>
                                <w:sz w:val="18"/>
                                <w:szCs w:val="18"/>
                                <w:lang w:val="pt-BR"/>
                              </w:rPr>
                              <w:t>22</w:t>
                            </w:r>
                            <w:r w:rsidRPr="0018440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831D1">
                              <w:rPr>
                                <w:rFonts w:asciiTheme="majorHAnsi" w:hAnsiTheme="majorHAnsi"/>
                                <w:color w:val="595959" w:themeColor="text1" w:themeTint="A6"/>
                                <w:sz w:val="18"/>
                                <w:szCs w:val="18"/>
                                <w:lang w:val="es-ES"/>
                              </w:rPr>
                              <w:t>1784</w:t>
                            </w:r>
                            <w:r w:rsidR="000433C9">
                              <w:rPr>
                                <w:rFonts w:asciiTheme="majorHAnsi" w:hAnsiTheme="majorHAnsi"/>
                                <w:color w:val="595959" w:themeColor="text1" w:themeTint="A6"/>
                                <w:sz w:val="18"/>
                                <w:szCs w:val="18"/>
                                <w:lang w:val="es-ES"/>
                              </w:rPr>
                              <w:t>-</w:t>
                            </w:r>
                            <w:r w:rsidR="006831D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831D1">
                              <w:rPr>
                                <w:rFonts w:asciiTheme="majorHAnsi" w:hAnsiTheme="majorHAnsi"/>
                                <w:color w:val="595959" w:themeColor="text1" w:themeTint="A6"/>
                                <w:sz w:val="18"/>
                                <w:szCs w:val="18"/>
                                <w:lang w:val="es-ES_tradnl"/>
                              </w:rPr>
                              <w:t>Comunidades indígenas del Pueblo</w:t>
                            </w:r>
                            <w:r w:rsidR="00EC6FBD">
                              <w:rPr>
                                <w:rFonts w:asciiTheme="majorHAnsi" w:hAnsiTheme="majorHAnsi"/>
                                <w:color w:val="595959" w:themeColor="text1" w:themeTint="A6"/>
                                <w:sz w:val="18"/>
                                <w:szCs w:val="18"/>
                                <w:lang w:val="es-ES_tradnl"/>
                              </w:rPr>
                              <w:t xml:space="preserve"> Maya</w:t>
                            </w:r>
                            <w:r w:rsidR="006831D1">
                              <w:rPr>
                                <w:rFonts w:asciiTheme="majorHAnsi" w:hAnsiTheme="majorHAnsi"/>
                                <w:color w:val="595959" w:themeColor="text1" w:themeTint="A6"/>
                                <w:sz w:val="18"/>
                                <w:szCs w:val="18"/>
                                <w:lang w:val="es-ES_tradnl"/>
                              </w:rPr>
                              <w:t xml:space="preserve"> </w:t>
                            </w:r>
                            <w:r w:rsidR="00C51C64">
                              <w:rPr>
                                <w:rFonts w:asciiTheme="majorHAnsi" w:hAnsiTheme="majorHAnsi"/>
                                <w:color w:val="595959" w:themeColor="text1" w:themeTint="A6"/>
                                <w:sz w:val="18"/>
                                <w:szCs w:val="18"/>
                                <w:lang w:val="es-ES_tradnl"/>
                              </w:rPr>
                              <w:t>Ixil</w:t>
                            </w:r>
                            <w:r w:rsidRPr="00890650">
                              <w:rPr>
                                <w:rFonts w:asciiTheme="majorHAnsi" w:hAnsiTheme="majorHAnsi"/>
                                <w:color w:val="595959" w:themeColor="text1" w:themeTint="A6"/>
                                <w:sz w:val="18"/>
                                <w:szCs w:val="18"/>
                                <w:lang w:val="es-ES_tradnl"/>
                              </w:rPr>
                              <w:t xml:space="preserve">. </w:t>
                            </w:r>
                            <w:r w:rsidR="006831D1">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184409">
                              <w:rPr>
                                <w:rFonts w:asciiTheme="majorHAnsi" w:hAnsiTheme="majorHAnsi"/>
                                <w:color w:val="595959" w:themeColor="text1" w:themeTint="A6"/>
                                <w:sz w:val="18"/>
                                <w:szCs w:val="18"/>
                                <w:lang w:val="es-ES"/>
                              </w:rPr>
                              <w:t>17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07740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84409" w:rsidRPr="00184409">
                        <w:rPr>
                          <w:rFonts w:asciiTheme="majorHAnsi" w:hAnsiTheme="majorHAnsi"/>
                          <w:color w:val="595959" w:themeColor="text1" w:themeTint="A6"/>
                          <w:sz w:val="18"/>
                          <w:szCs w:val="18"/>
                          <w:lang w:val="pt-BR"/>
                        </w:rPr>
                        <w:t>307</w:t>
                      </w:r>
                      <w:r w:rsidR="007B05C4" w:rsidRPr="00184409">
                        <w:rPr>
                          <w:rFonts w:asciiTheme="majorHAnsi" w:hAnsiTheme="majorHAnsi"/>
                          <w:color w:val="595959" w:themeColor="text1" w:themeTint="A6"/>
                          <w:sz w:val="18"/>
                          <w:szCs w:val="18"/>
                          <w:lang w:val="pt-BR"/>
                        </w:rPr>
                        <w:t>/</w:t>
                      </w:r>
                      <w:r w:rsidR="00184409" w:rsidRPr="00184409">
                        <w:rPr>
                          <w:rFonts w:asciiTheme="majorHAnsi" w:hAnsiTheme="majorHAnsi"/>
                          <w:color w:val="595959" w:themeColor="text1" w:themeTint="A6"/>
                          <w:sz w:val="18"/>
                          <w:szCs w:val="18"/>
                          <w:lang w:val="pt-BR"/>
                        </w:rPr>
                        <w:t>22</w:t>
                      </w:r>
                      <w:r w:rsidRPr="0018440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831D1">
                        <w:rPr>
                          <w:rFonts w:asciiTheme="majorHAnsi" w:hAnsiTheme="majorHAnsi"/>
                          <w:color w:val="595959" w:themeColor="text1" w:themeTint="A6"/>
                          <w:sz w:val="18"/>
                          <w:szCs w:val="18"/>
                          <w:lang w:val="es-ES"/>
                        </w:rPr>
                        <w:t>1784</w:t>
                      </w:r>
                      <w:r w:rsidR="000433C9">
                        <w:rPr>
                          <w:rFonts w:asciiTheme="majorHAnsi" w:hAnsiTheme="majorHAnsi"/>
                          <w:color w:val="595959" w:themeColor="text1" w:themeTint="A6"/>
                          <w:sz w:val="18"/>
                          <w:szCs w:val="18"/>
                          <w:lang w:val="es-ES"/>
                        </w:rPr>
                        <w:t>-</w:t>
                      </w:r>
                      <w:r w:rsidR="006831D1">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831D1">
                        <w:rPr>
                          <w:rFonts w:asciiTheme="majorHAnsi" w:hAnsiTheme="majorHAnsi"/>
                          <w:color w:val="595959" w:themeColor="text1" w:themeTint="A6"/>
                          <w:sz w:val="18"/>
                          <w:szCs w:val="18"/>
                          <w:lang w:val="es-ES_tradnl"/>
                        </w:rPr>
                        <w:t>Comunidades indígenas del Pueblo</w:t>
                      </w:r>
                      <w:r w:rsidR="00EC6FBD">
                        <w:rPr>
                          <w:rFonts w:asciiTheme="majorHAnsi" w:hAnsiTheme="majorHAnsi"/>
                          <w:color w:val="595959" w:themeColor="text1" w:themeTint="A6"/>
                          <w:sz w:val="18"/>
                          <w:szCs w:val="18"/>
                          <w:lang w:val="es-ES_tradnl"/>
                        </w:rPr>
                        <w:t xml:space="preserve"> Maya</w:t>
                      </w:r>
                      <w:r w:rsidR="006831D1">
                        <w:rPr>
                          <w:rFonts w:asciiTheme="majorHAnsi" w:hAnsiTheme="majorHAnsi"/>
                          <w:color w:val="595959" w:themeColor="text1" w:themeTint="A6"/>
                          <w:sz w:val="18"/>
                          <w:szCs w:val="18"/>
                          <w:lang w:val="es-ES_tradnl"/>
                        </w:rPr>
                        <w:t xml:space="preserve"> </w:t>
                      </w:r>
                      <w:r w:rsidR="00C51C64">
                        <w:rPr>
                          <w:rFonts w:asciiTheme="majorHAnsi" w:hAnsiTheme="majorHAnsi"/>
                          <w:color w:val="595959" w:themeColor="text1" w:themeTint="A6"/>
                          <w:sz w:val="18"/>
                          <w:szCs w:val="18"/>
                          <w:lang w:val="es-ES_tradnl"/>
                        </w:rPr>
                        <w:t>Ixil</w:t>
                      </w:r>
                      <w:r w:rsidRPr="00890650">
                        <w:rPr>
                          <w:rFonts w:asciiTheme="majorHAnsi" w:hAnsiTheme="majorHAnsi"/>
                          <w:color w:val="595959" w:themeColor="text1" w:themeTint="A6"/>
                          <w:sz w:val="18"/>
                          <w:szCs w:val="18"/>
                          <w:lang w:val="es-ES_tradnl"/>
                        </w:rPr>
                        <w:t xml:space="preserve">. </w:t>
                      </w:r>
                      <w:r w:rsidR="006831D1">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184409">
                        <w:rPr>
                          <w:rFonts w:asciiTheme="majorHAnsi" w:hAnsiTheme="majorHAnsi"/>
                          <w:color w:val="595959" w:themeColor="text1" w:themeTint="A6"/>
                          <w:sz w:val="18"/>
                          <w:szCs w:val="18"/>
                          <w:lang w:val="es-ES"/>
                        </w:rPr>
                        <w:t>17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334BA7A0"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5DB1AD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86A6CC1" w:rsidR="0070697F" w:rsidRPr="00547797" w:rsidRDefault="00184409"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B9A6D05">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80E4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0889397F" w:rsidR="003239B8" w:rsidRPr="00C157A7" w:rsidRDefault="00C157A7" w:rsidP="009E00B7">
            <w:pPr>
              <w:jc w:val="both"/>
              <w:rPr>
                <w:rFonts w:asciiTheme="majorHAnsi" w:hAnsiTheme="majorHAnsi"/>
                <w:bCs/>
                <w:sz w:val="20"/>
                <w:szCs w:val="20"/>
                <w:lang w:val="es-CO"/>
              </w:rPr>
            </w:pPr>
            <w:r w:rsidRPr="00C157A7">
              <w:rPr>
                <w:rFonts w:asciiTheme="majorHAnsi" w:hAnsiTheme="majorHAnsi"/>
                <w:bCs/>
                <w:sz w:val="20"/>
                <w:szCs w:val="20"/>
                <w:lang w:val="es-CO"/>
              </w:rPr>
              <w:t>Asociación Justicia y Reconciliación (</w:t>
            </w:r>
            <w:r w:rsidR="009E00B7">
              <w:rPr>
                <w:rFonts w:asciiTheme="majorHAnsi" w:hAnsiTheme="majorHAnsi"/>
                <w:bCs/>
                <w:sz w:val="20"/>
                <w:szCs w:val="20"/>
                <w:lang w:val="es-CO"/>
              </w:rPr>
              <w:t>“</w:t>
            </w:r>
            <w:r w:rsidRPr="00C157A7">
              <w:rPr>
                <w:rFonts w:asciiTheme="majorHAnsi" w:hAnsiTheme="majorHAnsi"/>
                <w:bCs/>
                <w:sz w:val="20"/>
                <w:szCs w:val="20"/>
                <w:lang w:val="es-CO"/>
              </w:rPr>
              <w:t>AJR</w:t>
            </w:r>
            <w:r w:rsidR="009E00B7">
              <w:rPr>
                <w:rFonts w:asciiTheme="majorHAnsi" w:hAnsiTheme="majorHAnsi"/>
                <w:bCs/>
                <w:sz w:val="20"/>
                <w:szCs w:val="20"/>
                <w:lang w:val="es-CO"/>
              </w:rPr>
              <w:t>”</w:t>
            </w:r>
            <w:r w:rsidRPr="00C157A7">
              <w:rPr>
                <w:rFonts w:asciiTheme="majorHAnsi" w:hAnsiTheme="majorHAnsi"/>
                <w:bCs/>
                <w:sz w:val="20"/>
                <w:szCs w:val="20"/>
                <w:lang w:val="es-CO"/>
              </w:rPr>
              <w:t>), Bufete de Derechos Humanos de</w:t>
            </w:r>
            <w:r>
              <w:rPr>
                <w:rFonts w:asciiTheme="majorHAnsi" w:hAnsiTheme="majorHAnsi"/>
                <w:bCs/>
                <w:sz w:val="20"/>
                <w:szCs w:val="20"/>
                <w:lang w:val="es-CO"/>
              </w:rPr>
              <w:t xml:space="preserve"> </w:t>
            </w:r>
            <w:r w:rsidRPr="00C157A7">
              <w:rPr>
                <w:rFonts w:asciiTheme="majorHAnsi" w:hAnsiTheme="majorHAnsi"/>
                <w:bCs/>
                <w:sz w:val="20"/>
                <w:szCs w:val="20"/>
                <w:lang w:val="es-CO"/>
              </w:rPr>
              <w:t>Guatemala (</w:t>
            </w:r>
            <w:r w:rsidR="009E00B7">
              <w:rPr>
                <w:rFonts w:asciiTheme="majorHAnsi" w:hAnsiTheme="majorHAnsi"/>
                <w:bCs/>
                <w:sz w:val="20"/>
                <w:szCs w:val="20"/>
                <w:lang w:val="es-CO"/>
              </w:rPr>
              <w:t>“</w:t>
            </w:r>
            <w:r w:rsidRPr="00C157A7">
              <w:rPr>
                <w:rFonts w:asciiTheme="majorHAnsi" w:hAnsiTheme="majorHAnsi"/>
                <w:bCs/>
                <w:sz w:val="20"/>
                <w:szCs w:val="20"/>
                <w:lang w:val="es-CO"/>
              </w:rPr>
              <w:t>BDH</w:t>
            </w:r>
            <w:r w:rsidR="009E00B7">
              <w:rPr>
                <w:rFonts w:asciiTheme="majorHAnsi" w:hAnsiTheme="majorHAnsi"/>
                <w:bCs/>
                <w:sz w:val="20"/>
                <w:szCs w:val="20"/>
                <w:lang w:val="es-CO"/>
              </w:rPr>
              <w:t>”</w:t>
            </w:r>
            <w:r w:rsidRPr="00C157A7">
              <w:rPr>
                <w:rFonts w:asciiTheme="majorHAnsi" w:hAnsiTheme="majorHAnsi"/>
                <w:bCs/>
                <w:sz w:val="20"/>
                <w:szCs w:val="20"/>
                <w:lang w:val="es-CO"/>
              </w:rPr>
              <w:t>), el Centro Para la Acción Legal en Derechos Humanos (</w:t>
            </w:r>
            <w:r w:rsidR="009E00B7">
              <w:rPr>
                <w:rFonts w:asciiTheme="majorHAnsi" w:hAnsiTheme="majorHAnsi"/>
                <w:bCs/>
                <w:sz w:val="20"/>
                <w:szCs w:val="20"/>
                <w:lang w:val="es-CO"/>
              </w:rPr>
              <w:t>“</w:t>
            </w:r>
            <w:r w:rsidRPr="00C157A7">
              <w:rPr>
                <w:rFonts w:asciiTheme="majorHAnsi" w:hAnsiTheme="majorHAnsi"/>
                <w:bCs/>
                <w:sz w:val="20"/>
                <w:szCs w:val="20"/>
                <w:lang w:val="es-CO"/>
              </w:rPr>
              <w:t>CALDH</w:t>
            </w:r>
            <w:r w:rsidR="009E00B7">
              <w:rPr>
                <w:rFonts w:asciiTheme="majorHAnsi" w:hAnsiTheme="majorHAnsi"/>
                <w:bCs/>
                <w:sz w:val="20"/>
                <w:szCs w:val="20"/>
                <w:lang w:val="es-CO"/>
              </w:rPr>
              <w:t>”</w:t>
            </w:r>
            <w:r w:rsidRPr="00C157A7">
              <w:rPr>
                <w:rFonts w:asciiTheme="majorHAnsi" w:hAnsiTheme="majorHAnsi"/>
                <w:bCs/>
                <w:sz w:val="20"/>
                <w:szCs w:val="20"/>
                <w:lang w:val="es-CO"/>
              </w:rPr>
              <w:t>) y el</w:t>
            </w:r>
            <w:r w:rsidR="009E00B7">
              <w:rPr>
                <w:rFonts w:asciiTheme="majorHAnsi" w:hAnsiTheme="majorHAnsi"/>
                <w:bCs/>
                <w:sz w:val="20"/>
                <w:szCs w:val="20"/>
                <w:lang w:val="es-CO"/>
              </w:rPr>
              <w:t xml:space="preserve"> </w:t>
            </w:r>
            <w:r w:rsidRPr="00C157A7">
              <w:rPr>
                <w:rFonts w:asciiTheme="majorHAnsi" w:hAnsiTheme="majorHAnsi"/>
                <w:bCs/>
                <w:sz w:val="20"/>
                <w:szCs w:val="20"/>
                <w:lang w:val="es-CO"/>
              </w:rPr>
              <w:t>Centro por la Justicia y el Derecho Internacional (</w:t>
            </w:r>
            <w:r w:rsidR="009E00B7">
              <w:rPr>
                <w:rFonts w:asciiTheme="majorHAnsi" w:hAnsiTheme="majorHAnsi"/>
                <w:bCs/>
                <w:sz w:val="20"/>
                <w:szCs w:val="20"/>
                <w:lang w:val="es-CO"/>
              </w:rPr>
              <w:t>“</w:t>
            </w:r>
            <w:r w:rsidRPr="00C157A7">
              <w:rPr>
                <w:rFonts w:asciiTheme="majorHAnsi" w:hAnsiTheme="majorHAnsi"/>
                <w:bCs/>
                <w:sz w:val="20"/>
                <w:szCs w:val="20"/>
                <w:lang w:val="es-CO"/>
              </w:rPr>
              <w:t>CEJIL</w:t>
            </w:r>
            <w:r w:rsidR="009E00B7">
              <w:rPr>
                <w:rFonts w:asciiTheme="majorHAnsi" w:hAnsiTheme="majorHAnsi"/>
                <w:bCs/>
                <w:sz w:val="20"/>
                <w:szCs w:val="20"/>
                <w:lang w:val="es-CO"/>
              </w:rPr>
              <w:t>”</w:t>
            </w:r>
            <w:r w:rsidRPr="00C157A7">
              <w:rPr>
                <w:rFonts w:asciiTheme="majorHAnsi" w:hAnsiTheme="majorHAnsi"/>
                <w:bCs/>
                <w:sz w:val="20"/>
                <w:szCs w:val="20"/>
                <w:lang w:val="es-CO"/>
              </w:rPr>
              <w:t>)</w:t>
            </w:r>
          </w:p>
        </w:tc>
      </w:tr>
      <w:tr w:rsidR="003239B8" w:rsidRPr="00D80E4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BA65A8"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6D0BC45C" w:rsidR="003239B8" w:rsidRPr="00547797" w:rsidRDefault="00FC44EE" w:rsidP="008D2290">
            <w:pPr>
              <w:jc w:val="both"/>
              <w:rPr>
                <w:rFonts w:asciiTheme="majorHAnsi" w:hAnsiTheme="majorHAnsi"/>
                <w:bCs/>
                <w:sz w:val="20"/>
                <w:szCs w:val="20"/>
                <w:lang w:val="es-ES"/>
              </w:rPr>
            </w:pPr>
            <w:r>
              <w:rPr>
                <w:rFonts w:asciiTheme="majorHAnsi" w:hAnsiTheme="majorHAnsi"/>
                <w:bCs/>
                <w:sz w:val="20"/>
                <w:szCs w:val="20"/>
                <w:lang w:val="es-ES"/>
              </w:rPr>
              <w:t xml:space="preserve">Comunidades indígenas </w:t>
            </w:r>
            <w:r w:rsidR="008C2B24">
              <w:rPr>
                <w:rFonts w:asciiTheme="majorHAnsi" w:hAnsiTheme="majorHAnsi"/>
                <w:bCs/>
                <w:sz w:val="20"/>
                <w:szCs w:val="20"/>
                <w:lang w:val="es-ES"/>
              </w:rPr>
              <w:t xml:space="preserve">del Pueblo </w:t>
            </w:r>
            <w:r w:rsidR="00C51C64">
              <w:rPr>
                <w:rFonts w:asciiTheme="majorHAnsi" w:hAnsiTheme="majorHAnsi"/>
                <w:bCs/>
                <w:sz w:val="20"/>
                <w:szCs w:val="20"/>
                <w:lang w:val="es-ES"/>
              </w:rPr>
              <w:t>Ixil</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553ACCBF" w:rsidR="003239B8" w:rsidRPr="00547797" w:rsidRDefault="006F11B6" w:rsidP="008D2290">
            <w:pPr>
              <w:jc w:val="both"/>
              <w:rPr>
                <w:rFonts w:asciiTheme="majorHAnsi" w:hAnsiTheme="majorHAnsi"/>
                <w:bCs/>
                <w:sz w:val="20"/>
                <w:szCs w:val="20"/>
              </w:rPr>
            </w:pPr>
            <w:r>
              <w:rPr>
                <w:rFonts w:asciiTheme="majorHAnsi" w:hAnsiTheme="majorHAnsi"/>
                <w:bCs/>
                <w:sz w:val="20"/>
                <w:szCs w:val="20"/>
              </w:rPr>
              <w:t>Guatemala</w:t>
            </w:r>
            <w:r w:rsidR="004A6A54" w:rsidRPr="00C529CE">
              <w:rPr>
                <w:rStyle w:val="FootnoteReference"/>
                <w:rFonts w:asciiTheme="majorHAnsi" w:hAnsiTheme="majorHAnsi"/>
                <w:bCs/>
                <w:sz w:val="20"/>
                <w:szCs w:val="20"/>
              </w:rPr>
              <w:footnoteReference w:id="2"/>
            </w:r>
          </w:p>
        </w:tc>
      </w:tr>
      <w:tr w:rsidR="00223A29" w:rsidRPr="00D80E4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463D39D5" w:rsidR="00223A29" w:rsidRPr="002C7818" w:rsidRDefault="00221654" w:rsidP="008D2290">
            <w:pPr>
              <w:jc w:val="both"/>
              <w:rPr>
                <w:rFonts w:asciiTheme="majorHAnsi" w:hAnsiTheme="majorHAnsi"/>
                <w:bCs/>
                <w:sz w:val="20"/>
                <w:szCs w:val="20"/>
                <w:lang w:val="es-CO"/>
              </w:rPr>
            </w:pPr>
            <w:r w:rsidRPr="002C7818">
              <w:rPr>
                <w:rFonts w:asciiTheme="majorHAnsi" w:hAnsiTheme="majorHAnsi"/>
                <w:bCs/>
                <w:sz w:val="20"/>
                <w:szCs w:val="20"/>
                <w:lang w:val="es-CO"/>
              </w:rPr>
              <w:t xml:space="preserve">Artículos </w:t>
            </w:r>
            <w:r w:rsidR="00F545F6">
              <w:rPr>
                <w:rFonts w:asciiTheme="majorHAnsi" w:hAnsiTheme="majorHAnsi"/>
                <w:bCs/>
                <w:sz w:val="20"/>
                <w:szCs w:val="20"/>
                <w:lang w:val="es-CO"/>
              </w:rPr>
              <w:t xml:space="preserve">3 (personalidad jurídica), </w:t>
            </w:r>
            <w:r w:rsidRPr="002C7818">
              <w:rPr>
                <w:rFonts w:asciiTheme="majorHAnsi" w:hAnsiTheme="majorHAnsi"/>
                <w:bCs/>
                <w:sz w:val="20"/>
                <w:szCs w:val="20"/>
                <w:lang w:val="es-CO"/>
              </w:rPr>
              <w:t>4</w:t>
            </w:r>
            <w:r w:rsidR="00B66D80">
              <w:rPr>
                <w:rFonts w:asciiTheme="majorHAnsi" w:hAnsiTheme="majorHAnsi"/>
                <w:bCs/>
                <w:sz w:val="20"/>
                <w:szCs w:val="20"/>
                <w:lang w:val="es-CO"/>
              </w:rPr>
              <w:t xml:space="preserve"> (vida)</w:t>
            </w:r>
            <w:r w:rsidRPr="002C7818">
              <w:rPr>
                <w:rFonts w:asciiTheme="majorHAnsi" w:hAnsiTheme="majorHAnsi"/>
                <w:bCs/>
                <w:sz w:val="20"/>
                <w:szCs w:val="20"/>
                <w:lang w:val="es-CO"/>
              </w:rPr>
              <w:t>, 5</w:t>
            </w:r>
            <w:r w:rsidR="00B66D80">
              <w:rPr>
                <w:rFonts w:asciiTheme="majorHAnsi" w:hAnsiTheme="majorHAnsi"/>
                <w:bCs/>
                <w:sz w:val="20"/>
                <w:szCs w:val="20"/>
                <w:lang w:val="es-CO"/>
              </w:rPr>
              <w:t xml:space="preserve"> (integridad personal)</w:t>
            </w:r>
            <w:r w:rsidRPr="002C7818">
              <w:rPr>
                <w:rFonts w:asciiTheme="majorHAnsi" w:hAnsiTheme="majorHAnsi"/>
                <w:bCs/>
                <w:sz w:val="20"/>
                <w:szCs w:val="20"/>
                <w:lang w:val="es-CO"/>
              </w:rPr>
              <w:t xml:space="preserve">, </w:t>
            </w:r>
            <w:r w:rsidR="009253DC">
              <w:rPr>
                <w:rFonts w:asciiTheme="majorHAnsi" w:hAnsiTheme="majorHAnsi"/>
                <w:bCs/>
                <w:sz w:val="20"/>
                <w:szCs w:val="20"/>
                <w:lang w:val="es-CO"/>
              </w:rPr>
              <w:t xml:space="preserve">7 (libertad personal), </w:t>
            </w:r>
            <w:r w:rsidR="002C7818" w:rsidRPr="002C7818">
              <w:rPr>
                <w:rFonts w:asciiTheme="majorHAnsi" w:hAnsiTheme="majorHAnsi"/>
                <w:bCs/>
                <w:sz w:val="20"/>
                <w:szCs w:val="20"/>
                <w:lang w:val="es-CO"/>
              </w:rPr>
              <w:t>8</w:t>
            </w:r>
            <w:r w:rsidR="00B66D80">
              <w:rPr>
                <w:rFonts w:asciiTheme="majorHAnsi" w:hAnsiTheme="majorHAnsi"/>
                <w:bCs/>
                <w:sz w:val="20"/>
                <w:szCs w:val="20"/>
                <w:lang w:val="es-CO"/>
              </w:rPr>
              <w:t xml:space="preserve"> (garantías judiciales)</w:t>
            </w:r>
            <w:r w:rsidR="002C7818" w:rsidRPr="002C7818">
              <w:rPr>
                <w:rFonts w:asciiTheme="majorHAnsi" w:hAnsiTheme="majorHAnsi"/>
                <w:bCs/>
                <w:sz w:val="20"/>
                <w:szCs w:val="20"/>
                <w:lang w:val="es-CO"/>
              </w:rPr>
              <w:t xml:space="preserve">, </w:t>
            </w:r>
            <w:r w:rsidR="000D11E5">
              <w:rPr>
                <w:rFonts w:asciiTheme="majorHAnsi" w:hAnsiTheme="majorHAnsi"/>
                <w:bCs/>
                <w:sz w:val="20"/>
                <w:szCs w:val="20"/>
                <w:lang w:val="es-CO"/>
              </w:rPr>
              <w:t>11 (</w:t>
            </w:r>
            <w:r w:rsidR="003279BD">
              <w:rPr>
                <w:rFonts w:asciiTheme="majorHAnsi" w:hAnsiTheme="majorHAnsi"/>
                <w:bCs/>
                <w:sz w:val="20"/>
                <w:szCs w:val="20"/>
                <w:lang w:val="es-CO"/>
              </w:rPr>
              <w:t xml:space="preserve">protección de la honra y la dignidad), </w:t>
            </w:r>
            <w:r w:rsidR="00391086">
              <w:rPr>
                <w:rFonts w:asciiTheme="majorHAnsi" w:hAnsiTheme="majorHAnsi"/>
                <w:bCs/>
                <w:sz w:val="20"/>
                <w:szCs w:val="20"/>
                <w:lang w:val="es-CO"/>
              </w:rPr>
              <w:t xml:space="preserve">12 (libertad de conciencia y religión), </w:t>
            </w:r>
            <w:r w:rsidR="002C7818" w:rsidRPr="002C7818">
              <w:rPr>
                <w:rFonts w:asciiTheme="majorHAnsi" w:hAnsiTheme="majorHAnsi"/>
                <w:bCs/>
                <w:sz w:val="20"/>
                <w:szCs w:val="20"/>
                <w:lang w:val="es-CO"/>
              </w:rPr>
              <w:t xml:space="preserve">13 </w:t>
            </w:r>
            <w:r w:rsidR="00B66D80">
              <w:rPr>
                <w:rFonts w:asciiTheme="majorHAnsi" w:hAnsiTheme="majorHAnsi"/>
                <w:bCs/>
                <w:sz w:val="20"/>
                <w:szCs w:val="20"/>
                <w:lang w:val="es-CO"/>
              </w:rPr>
              <w:t>(libertad de</w:t>
            </w:r>
            <w:r w:rsidR="0032797F">
              <w:rPr>
                <w:rFonts w:asciiTheme="majorHAnsi" w:hAnsiTheme="majorHAnsi"/>
                <w:bCs/>
                <w:sz w:val="20"/>
                <w:szCs w:val="20"/>
                <w:lang w:val="es-CO"/>
              </w:rPr>
              <w:t xml:space="preserve"> pensamiento y de</w:t>
            </w:r>
            <w:r w:rsidR="00B66D80">
              <w:rPr>
                <w:rFonts w:asciiTheme="majorHAnsi" w:hAnsiTheme="majorHAnsi"/>
                <w:bCs/>
                <w:sz w:val="20"/>
                <w:szCs w:val="20"/>
                <w:lang w:val="es-CO"/>
              </w:rPr>
              <w:t xml:space="preserve"> expresión)</w:t>
            </w:r>
            <w:r w:rsidR="009253DC">
              <w:rPr>
                <w:rFonts w:asciiTheme="majorHAnsi" w:hAnsiTheme="majorHAnsi"/>
                <w:bCs/>
                <w:sz w:val="20"/>
                <w:szCs w:val="20"/>
                <w:lang w:val="es-CO"/>
              </w:rPr>
              <w:t>, 18 (</w:t>
            </w:r>
            <w:r w:rsidR="00596850">
              <w:rPr>
                <w:rFonts w:asciiTheme="majorHAnsi" w:hAnsiTheme="majorHAnsi"/>
                <w:bCs/>
                <w:sz w:val="20"/>
                <w:szCs w:val="20"/>
                <w:lang w:val="es-CO"/>
              </w:rPr>
              <w:t xml:space="preserve">nombre), </w:t>
            </w:r>
            <w:r w:rsidR="009253DC">
              <w:rPr>
                <w:rFonts w:asciiTheme="majorHAnsi" w:hAnsiTheme="majorHAnsi"/>
                <w:bCs/>
                <w:sz w:val="20"/>
                <w:szCs w:val="20"/>
                <w:lang w:val="es-CO"/>
              </w:rPr>
              <w:t>19 (derechos de los niños)</w:t>
            </w:r>
            <w:r w:rsidR="00596850">
              <w:rPr>
                <w:rFonts w:asciiTheme="majorHAnsi" w:hAnsiTheme="majorHAnsi"/>
                <w:bCs/>
                <w:sz w:val="20"/>
                <w:szCs w:val="20"/>
                <w:lang w:val="es-CO"/>
              </w:rPr>
              <w:t>, 21 (propiedad privada), 22 (circulación y residencia)</w:t>
            </w:r>
            <w:r w:rsidR="00B66D80">
              <w:rPr>
                <w:rFonts w:asciiTheme="majorHAnsi" w:hAnsiTheme="majorHAnsi"/>
                <w:bCs/>
                <w:sz w:val="20"/>
                <w:szCs w:val="20"/>
                <w:lang w:val="es-CO"/>
              </w:rPr>
              <w:t xml:space="preserve"> </w:t>
            </w:r>
            <w:r w:rsidR="002C7818" w:rsidRPr="002C7818">
              <w:rPr>
                <w:rFonts w:asciiTheme="majorHAnsi" w:hAnsiTheme="majorHAnsi"/>
                <w:bCs/>
                <w:sz w:val="20"/>
                <w:szCs w:val="20"/>
                <w:lang w:val="es-CO"/>
              </w:rPr>
              <w:t xml:space="preserve">y 25 </w:t>
            </w:r>
            <w:r w:rsidR="00B66D80">
              <w:rPr>
                <w:rFonts w:asciiTheme="majorHAnsi" w:hAnsiTheme="majorHAnsi"/>
                <w:bCs/>
                <w:sz w:val="20"/>
                <w:szCs w:val="20"/>
                <w:lang w:val="es-CO"/>
              </w:rPr>
              <w:t xml:space="preserve">(protección judicial) </w:t>
            </w:r>
            <w:r w:rsidR="002C7818" w:rsidRPr="002C7818">
              <w:rPr>
                <w:rFonts w:asciiTheme="majorHAnsi" w:hAnsiTheme="majorHAnsi"/>
                <w:bCs/>
                <w:sz w:val="20"/>
                <w:szCs w:val="20"/>
                <w:lang w:val="es-CO"/>
              </w:rPr>
              <w:t>en relación con</w:t>
            </w:r>
            <w:r w:rsidR="002C7818">
              <w:rPr>
                <w:rFonts w:asciiTheme="majorHAnsi" w:hAnsiTheme="majorHAnsi"/>
                <w:bCs/>
                <w:sz w:val="20"/>
                <w:szCs w:val="20"/>
                <w:lang w:val="es-CO"/>
              </w:rPr>
              <w:t xml:space="preserve"> los artículos 1.1</w:t>
            </w:r>
            <w:r w:rsidR="00B66D80">
              <w:rPr>
                <w:rFonts w:asciiTheme="majorHAnsi" w:hAnsiTheme="majorHAnsi"/>
                <w:bCs/>
                <w:sz w:val="20"/>
                <w:szCs w:val="20"/>
                <w:lang w:val="es-CO"/>
              </w:rPr>
              <w:t xml:space="preserve"> (</w:t>
            </w:r>
            <w:r w:rsidR="00545DD6" w:rsidRPr="00545DD6">
              <w:rPr>
                <w:rFonts w:asciiTheme="majorHAnsi" w:hAnsiTheme="majorHAnsi"/>
                <w:bCs/>
                <w:sz w:val="20"/>
                <w:szCs w:val="20"/>
                <w:lang w:val="es-CO"/>
              </w:rPr>
              <w:t>obligación de respetar los derechos) y 2 (deber de adoptar disposiciones de derecho interno)</w:t>
            </w:r>
            <w:r w:rsidR="00545DD6">
              <w:rPr>
                <w:rFonts w:asciiTheme="majorHAnsi" w:hAnsiTheme="majorHAnsi"/>
                <w:bCs/>
                <w:sz w:val="20"/>
                <w:szCs w:val="20"/>
                <w:lang w:val="es-CO"/>
              </w:rPr>
              <w:t xml:space="preserve"> </w:t>
            </w:r>
            <w:r w:rsidR="002C7818">
              <w:rPr>
                <w:rFonts w:asciiTheme="majorHAnsi" w:hAnsiTheme="majorHAnsi"/>
                <w:bCs/>
                <w:sz w:val="20"/>
                <w:szCs w:val="20"/>
                <w:lang w:val="es-CO"/>
              </w:rPr>
              <w:t>de la Convención Americana sobre Derechos Humanos</w:t>
            </w:r>
            <w:r w:rsidR="002C7818">
              <w:rPr>
                <w:rStyle w:val="FootnoteReference"/>
                <w:rFonts w:asciiTheme="majorHAnsi" w:hAnsiTheme="majorHAnsi"/>
                <w:bCs/>
                <w:sz w:val="20"/>
                <w:szCs w:val="20"/>
                <w:lang w:val="es-CO"/>
              </w:rPr>
              <w:footnoteReference w:id="3"/>
            </w:r>
            <w:r w:rsidR="002C7818">
              <w:rPr>
                <w:rFonts w:asciiTheme="majorHAnsi" w:hAnsiTheme="majorHAnsi"/>
                <w:bCs/>
                <w:sz w:val="20"/>
                <w:szCs w:val="20"/>
                <w:lang w:val="es-CO"/>
              </w:rPr>
              <w:t>;</w:t>
            </w:r>
            <w:r w:rsidR="008A1910">
              <w:rPr>
                <w:rFonts w:asciiTheme="majorHAnsi" w:hAnsiTheme="majorHAnsi"/>
                <w:bCs/>
                <w:sz w:val="20"/>
                <w:szCs w:val="20"/>
                <w:lang w:val="es-CO"/>
              </w:rPr>
              <w:t xml:space="preserve"> artículos 1, 6 y 8 de la </w:t>
            </w:r>
            <w:r w:rsidR="00B13DB2" w:rsidRPr="00B13DB2">
              <w:rPr>
                <w:rFonts w:asciiTheme="majorHAnsi" w:hAnsiTheme="majorHAnsi"/>
                <w:bCs/>
                <w:sz w:val="20"/>
                <w:szCs w:val="20"/>
                <w:lang w:val="es-CO"/>
              </w:rPr>
              <w:t xml:space="preserve">Convención Interamericana </w:t>
            </w:r>
            <w:r w:rsidR="00B13DB2">
              <w:rPr>
                <w:rFonts w:asciiTheme="majorHAnsi" w:hAnsiTheme="majorHAnsi"/>
                <w:bCs/>
                <w:sz w:val="20"/>
                <w:szCs w:val="20"/>
                <w:lang w:val="es-CO"/>
              </w:rPr>
              <w:t>p</w:t>
            </w:r>
            <w:r w:rsidR="00B13DB2" w:rsidRPr="00B13DB2">
              <w:rPr>
                <w:rFonts w:asciiTheme="majorHAnsi" w:hAnsiTheme="majorHAnsi"/>
                <w:bCs/>
                <w:sz w:val="20"/>
                <w:szCs w:val="20"/>
                <w:lang w:val="es-CO"/>
              </w:rPr>
              <w:t xml:space="preserve">ara Prevenir </w:t>
            </w:r>
            <w:r w:rsidR="00B13DB2">
              <w:rPr>
                <w:rFonts w:asciiTheme="majorHAnsi" w:hAnsiTheme="majorHAnsi"/>
                <w:bCs/>
                <w:sz w:val="20"/>
                <w:szCs w:val="20"/>
                <w:lang w:val="es-CO"/>
              </w:rPr>
              <w:t>y</w:t>
            </w:r>
            <w:r w:rsidR="00B13DB2" w:rsidRPr="00B13DB2">
              <w:rPr>
                <w:rFonts w:asciiTheme="majorHAnsi" w:hAnsiTheme="majorHAnsi"/>
                <w:bCs/>
                <w:sz w:val="20"/>
                <w:szCs w:val="20"/>
                <w:lang w:val="es-CO"/>
              </w:rPr>
              <w:t xml:space="preserve"> Sancionar </w:t>
            </w:r>
            <w:r w:rsidR="00B13DB2">
              <w:rPr>
                <w:rFonts w:asciiTheme="majorHAnsi" w:hAnsiTheme="majorHAnsi"/>
                <w:bCs/>
                <w:sz w:val="20"/>
                <w:szCs w:val="20"/>
                <w:lang w:val="es-CO"/>
              </w:rPr>
              <w:t>l</w:t>
            </w:r>
            <w:r w:rsidR="00B13DB2" w:rsidRPr="00B13DB2">
              <w:rPr>
                <w:rFonts w:asciiTheme="majorHAnsi" w:hAnsiTheme="majorHAnsi"/>
                <w:bCs/>
                <w:sz w:val="20"/>
                <w:szCs w:val="20"/>
                <w:lang w:val="es-CO"/>
              </w:rPr>
              <w:t>a Tortura</w:t>
            </w:r>
            <w:r w:rsidR="00855DBA">
              <w:rPr>
                <w:rStyle w:val="FootnoteReference"/>
                <w:rFonts w:asciiTheme="majorHAnsi" w:hAnsiTheme="majorHAnsi"/>
                <w:bCs/>
                <w:sz w:val="20"/>
                <w:szCs w:val="20"/>
                <w:lang w:val="es-CO"/>
              </w:rPr>
              <w:footnoteReference w:id="4"/>
            </w:r>
            <w:r w:rsidR="00351547">
              <w:rPr>
                <w:rFonts w:asciiTheme="majorHAnsi" w:hAnsiTheme="majorHAnsi"/>
                <w:bCs/>
                <w:sz w:val="20"/>
                <w:szCs w:val="20"/>
                <w:lang w:val="es-CO"/>
              </w:rPr>
              <w:t xml:space="preserve">; </w:t>
            </w:r>
            <w:r w:rsidR="00791935" w:rsidRPr="00791935">
              <w:rPr>
                <w:rFonts w:asciiTheme="majorHAnsi" w:hAnsiTheme="majorHAnsi"/>
                <w:bCs/>
                <w:sz w:val="20"/>
                <w:szCs w:val="20"/>
                <w:lang w:val="es-CO"/>
              </w:rPr>
              <w:t>el artículo I</w:t>
            </w:r>
            <w:r w:rsidR="00791935">
              <w:rPr>
                <w:rFonts w:asciiTheme="majorHAnsi" w:hAnsiTheme="majorHAnsi"/>
                <w:bCs/>
                <w:sz w:val="20"/>
                <w:szCs w:val="20"/>
                <w:lang w:val="es-CO"/>
              </w:rPr>
              <w:t>.b)</w:t>
            </w:r>
            <w:r w:rsidR="00791935" w:rsidRPr="00791935">
              <w:rPr>
                <w:rFonts w:asciiTheme="majorHAnsi" w:hAnsiTheme="majorHAnsi"/>
                <w:bCs/>
                <w:sz w:val="20"/>
                <w:szCs w:val="20"/>
                <w:lang w:val="es-CO"/>
              </w:rPr>
              <w:t xml:space="preserve"> de la Convención Interamericana sobre Desaparición Forzada de Personas;</w:t>
            </w:r>
            <w:r w:rsidR="00791935">
              <w:rPr>
                <w:rFonts w:asciiTheme="majorHAnsi" w:hAnsiTheme="majorHAnsi"/>
                <w:bCs/>
                <w:sz w:val="20"/>
                <w:szCs w:val="20"/>
                <w:lang w:val="es-CO"/>
              </w:rPr>
              <w:t xml:space="preserve"> y artículo 7 de la </w:t>
            </w:r>
            <w:r w:rsidR="00E52B1D" w:rsidRPr="00E52B1D">
              <w:rPr>
                <w:rFonts w:asciiTheme="majorHAnsi" w:hAnsiTheme="majorHAnsi"/>
                <w:bCs/>
                <w:sz w:val="20"/>
                <w:szCs w:val="20"/>
                <w:lang w:val="es-CO"/>
              </w:rPr>
              <w:t>Convención Interamericana para Prevenir, Sancionar y Erradicar la Violencia Contra la Mujer</w:t>
            </w:r>
            <w:r w:rsidR="00E52B1D">
              <w:rPr>
                <w:rStyle w:val="FootnoteReference"/>
                <w:rFonts w:asciiTheme="majorHAnsi" w:hAnsiTheme="majorHAnsi"/>
                <w:bCs/>
                <w:sz w:val="20"/>
                <w:szCs w:val="20"/>
                <w:lang w:val="es-CO"/>
              </w:rPr>
              <w:footnoteReference w:id="5"/>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3710D827" w:rsidR="004C2312" w:rsidRPr="00547797" w:rsidRDefault="003F4E7A" w:rsidP="002625EA">
            <w:pPr>
              <w:jc w:val="both"/>
              <w:rPr>
                <w:rFonts w:asciiTheme="majorHAnsi" w:hAnsiTheme="majorHAnsi"/>
                <w:bCs/>
                <w:sz w:val="20"/>
                <w:szCs w:val="20"/>
                <w:lang w:val="es-ES"/>
              </w:rPr>
            </w:pPr>
            <w:r>
              <w:rPr>
                <w:rFonts w:asciiTheme="majorHAnsi" w:hAnsiTheme="majorHAnsi"/>
                <w:bCs/>
                <w:sz w:val="20"/>
                <w:szCs w:val="20"/>
                <w:lang w:val="es-ES"/>
              </w:rPr>
              <w:t>6 de noviembre de 2013</w:t>
            </w:r>
          </w:p>
        </w:tc>
      </w:tr>
      <w:tr w:rsidR="00131425" w:rsidRPr="00D80E4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281601EC" w:rsidR="00FE057E" w:rsidRPr="00547797" w:rsidRDefault="00E0659A" w:rsidP="005468AE">
            <w:pPr>
              <w:jc w:val="both"/>
              <w:rPr>
                <w:rFonts w:asciiTheme="majorHAnsi" w:hAnsiTheme="majorHAnsi"/>
                <w:bCs/>
                <w:sz w:val="20"/>
                <w:szCs w:val="20"/>
                <w:lang w:val="es-ES"/>
              </w:rPr>
            </w:pPr>
            <w:r>
              <w:rPr>
                <w:rFonts w:asciiTheme="majorHAnsi" w:hAnsiTheme="majorHAnsi"/>
                <w:bCs/>
                <w:sz w:val="20"/>
                <w:szCs w:val="20"/>
                <w:lang w:val="es-ES"/>
              </w:rPr>
              <w:t xml:space="preserve">16 de marzo de 2015, </w:t>
            </w:r>
            <w:r w:rsidR="00371AF2">
              <w:rPr>
                <w:rFonts w:asciiTheme="majorHAnsi" w:hAnsiTheme="majorHAnsi"/>
                <w:bCs/>
                <w:sz w:val="20"/>
                <w:szCs w:val="20"/>
                <w:lang w:val="es-ES"/>
              </w:rPr>
              <w:t xml:space="preserve">12 de mayo de 2015, </w:t>
            </w:r>
            <w:r w:rsidR="00840357">
              <w:rPr>
                <w:rFonts w:asciiTheme="majorHAnsi" w:hAnsiTheme="majorHAnsi"/>
                <w:bCs/>
                <w:sz w:val="20"/>
                <w:szCs w:val="20"/>
                <w:lang w:val="es-ES"/>
              </w:rPr>
              <w:t xml:space="preserve">1° de septiembre de 2015, </w:t>
            </w:r>
            <w:r w:rsidR="0014505E">
              <w:rPr>
                <w:rFonts w:asciiTheme="majorHAnsi" w:hAnsiTheme="majorHAnsi"/>
                <w:bCs/>
                <w:sz w:val="20"/>
                <w:szCs w:val="20"/>
                <w:lang w:val="es-ES"/>
              </w:rPr>
              <w:t xml:space="preserve">1° de marzo de 2016, </w:t>
            </w:r>
            <w:r w:rsidR="00F37EF4">
              <w:rPr>
                <w:rFonts w:asciiTheme="majorHAnsi" w:hAnsiTheme="majorHAnsi"/>
                <w:bCs/>
                <w:sz w:val="20"/>
                <w:szCs w:val="20"/>
                <w:lang w:val="es-ES"/>
              </w:rPr>
              <w:t xml:space="preserve">18 de marzo de 2016, </w:t>
            </w:r>
            <w:r w:rsidR="00A74CC0">
              <w:rPr>
                <w:rFonts w:asciiTheme="majorHAnsi" w:hAnsiTheme="majorHAnsi"/>
                <w:bCs/>
                <w:sz w:val="20"/>
                <w:szCs w:val="20"/>
                <w:lang w:val="es-ES"/>
              </w:rPr>
              <w:t xml:space="preserve">24 de julio de 2017, </w:t>
            </w:r>
            <w:r w:rsidR="00D03767">
              <w:rPr>
                <w:rFonts w:asciiTheme="majorHAnsi" w:hAnsiTheme="majorHAnsi"/>
                <w:bCs/>
                <w:sz w:val="20"/>
                <w:szCs w:val="20"/>
                <w:lang w:val="es-ES"/>
              </w:rPr>
              <w:t>4 de septiembre de 2018</w:t>
            </w:r>
            <w:r w:rsidR="001B4FE9">
              <w:rPr>
                <w:rFonts w:asciiTheme="majorHAnsi" w:hAnsiTheme="majorHAnsi"/>
                <w:bCs/>
                <w:sz w:val="20"/>
                <w:szCs w:val="20"/>
                <w:lang w:val="es-ES"/>
              </w:rPr>
              <w:t xml:space="preserve">, 6 de septiembre de 2018, </w:t>
            </w:r>
            <w:r w:rsidR="00E630F5">
              <w:rPr>
                <w:rFonts w:asciiTheme="majorHAnsi" w:hAnsiTheme="majorHAnsi"/>
                <w:bCs/>
                <w:sz w:val="20"/>
                <w:szCs w:val="20"/>
                <w:lang w:val="es-ES"/>
              </w:rPr>
              <w:t xml:space="preserve">7 de septiembre de 2018, </w:t>
            </w:r>
            <w:r w:rsidR="005E2532">
              <w:rPr>
                <w:rFonts w:asciiTheme="majorHAnsi" w:hAnsiTheme="majorHAnsi"/>
                <w:bCs/>
                <w:sz w:val="20"/>
                <w:szCs w:val="20"/>
                <w:lang w:val="es-ES"/>
              </w:rPr>
              <w:t>9 de septiembre de 2018</w:t>
            </w:r>
            <w:r w:rsidR="008D2DD6">
              <w:rPr>
                <w:rFonts w:asciiTheme="majorHAnsi" w:hAnsiTheme="majorHAnsi"/>
                <w:bCs/>
                <w:sz w:val="20"/>
                <w:szCs w:val="20"/>
                <w:lang w:val="es-ES"/>
              </w:rPr>
              <w:t xml:space="preserve"> y</w:t>
            </w:r>
            <w:r w:rsidR="005E2532">
              <w:rPr>
                <w:rFonts w:asciiTheme="majorHAnsi" w:hAnsiTheme="majorHAnsi"/>
                <w:bCs/>
                <w:sz w:val="20"/>
                <w:szCs w:val="20"/>
                <w:lang w:val="es-ES"/>
              </w:rPr>
              <w:t xml:space="preserve"> </w:t>
            </w:r>
            <w:r w:rsidR="009C0BD7">
              <w:rPr>
                <w:rFonts w:asciiTheme="majorHAnsi" w:hAnsiTheme="majorHAnsi"/>
                <w:bCs/>
                <w:sz w:val="20"/>
                <w:szCs w:val="20"/>
                <w:lang w:val="es-ES"/>
              </w:rPr>
              <w:t xml:space="preserve">10 de septiembre de </w:t>
            </w:r>
            <w:r w:rsidR="005468AE">
              <w:rPr>
                <w:rFonts w:asciiTheme="majorHAnsi" w:hAnsiTheme="majorHAnsi"/>
                <w:bCs/>
                <w:sz w:val="20"/>
                <w:szCs w:val="20"/>
                <w:lang w:val="es-ES"/>
              </w:rPr>
              <w:t>2018</w:t>
            </w:r>
          </w:p>
        </w:tc>
      </w:tr>
      <w:tr w:rsidR="004C2312" w:rsidRPr="00B17E30"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79F3972F" w:rsidR="004C2312" w:rsidRPr="00547797" w:rsidRDefault="005468AE" w:rsidP="008D2290">
            <w:pPr>
              <w:jc w:val="both"/>
              <w:rPr>
                <w:rFonts w:asciiTheme="majorHAnsi" w:hAnsiTheme="majorHAnsi"/>
                <w:bCs/>
                <w:sz w:val="20"/>
                <w:szCs w:val="20"/>
                <w:lang w:val="es-ES"/>
              </w:rPr>
            </w:pPr>
            <w:r>
              <w:rPr>
                <w:rFonts w:asciiTheme="majorHAnsi" w:hAnsiTheme="majorHAnsi"/>
                <w:bCs/>
                <w:sz w:val="20"/>
                <w:szCs w:val="20"/>
                <w:lang w:val="es-ES"/>
              </w:rPr>
              <w:t>15 de octubre de 2018</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50A5B1B7" w:rsidR="004C2312" w:rsidRPr="00547797" w:rsidRDefault="00191477" w:rsidP="008D2290">
            <w:pPr>
              <w:jc w:val="both"/>
              <w:rPr>
                <w:rFonts w:asciiTheme="majorHAnsi" w:hAnsiTheme="majorHAnsi"/>
                <w:bCs/>
                <w:sz w:val="20"/>
                <w:szCs w:val="20"/>
                <w:lang w:val="es-ES"/>
              </w:rPr>
            </w:pPr>
            <w:r>
              <w:rPr>
                <w:rFonts w:asciiTheme="majorHAnsi" w:hAnsiTheme="majorHAnsi"/>
                <w:bCs/>
                <w:sz w:val="20"/>
                <w:szCs w:val="20"/>
                <w:lang w:val="es-ES"/>
              </w:rPr>
              <w:t>14</w:t>
            </w:r>
            <w:r w:rsidR="00075C55">
              <w:rPr>
                <w:rFonts w:asciiTheme="majorHAnsi" w:hAnsiTheme="majorHAnsi"/>
                <w:bCs/>
                <w:sz w:val="20"/>
                <w:szCs w:val="20"/>
                <w:lang w:val="es-ES"/>
              </w:rPr>
              <w:t xml:space="preserve"> de </w:t>
            </w:r>
            <w:r>
              <w:rPr>
                <w:rFonts w:asciiTheme="majorHAnsi" w:hAnsiTheme="majorHAnsi"/>
                <w:bCs/>
                <w:sz w:val="20"/>
                <w:szCs w:val="20"/>
                <w:lang w:val="es-ES"/>
              </w:rPr>
              <w:t>febr</w:t>
            </w:r>
            <w:r w:rsidR="00075C55">
              <w:rPr>
                <w:rFonts w:asciiTheme="majorHAnsi" w:hAnsiTheme="majorHAnsi"/>
                <w:bCs/>
                <w:sz w:val="20"/>
                <w:szCs w:val="20"/>
                <w:lang w:val="es-ES"/>
              </w:rPr>
              <w:t>ero de 2019</w:t>
            </w:r>
          </w:p>
        </w:tc>
      </w:tr>
      <w:tr w:rsidR="004C2312" w:rsidRPr="00B17E30"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F1AE960" w:rsidR="004C2312" w:rsidRPr="00547797" w:rsidRDefault="0073476A" w:rsidP="008D2290">
            <w:pPr>
              <w:jc w:val="both"/>
              <w:rPr>
                <w:rFonts w:asciiTheme="majorHAnsi" w:hAnsiTheme="majorHAnsi"/>
                <w:bCs/>
                <w:sz w:val="20"/>
                <w:szCs w:val="20"/>
                <w:lang w:val="es-ES"/>
              </w:rPr>
            </w:pPr>
            <w:r>
              <w:rPr>
                <w:rFonts w:asciiTheme="majorHAnsi" w:hAnsiTheme="majorHAnsi"/>
                <w:bCs/>
                <w:sz w:val="20"/>
                <w:szCs w:val="20"/>
                <w:lang w:val="es-ES"/>
              </w:rPr>
              <w:t>4 de septiembre de 2020</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29C8A99A" w:rsidR="004C2312" w:rsidRPr="00547797" w:rsidRDefault="009566D6" w:rsidP="008D2290">
            <w:pPr>
              <w:jc w:val="both"/>
              <w:rPr>
                <w:rFonts w:asciiTheme="majorHAnsi" w:hAnsiTheme="majorHAnsi"/>
                <w:bCs/>
                <w:sz w:val="20"/>
                <w:szCs w:val="20"/>
              </w:rPr>
            </w:pPr>
            <w:r>
              <w:rPr>
                <w:rFonts w:asciiTheme="majorHAnsi" w:hAnsiTheme="majorHAnsi"/>
                <w:bCs/>
                <w:sz w:val="20"/>
                <w:szCs w:val="20"/>
              </w:rPr>
              <w:t>25 de mayo de 2021</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9D0DCC"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70AFDE3C" w:rsidR="003239B8" w:rsidRPr="00547797" w:rsidRDefault="00A67D63" w:rsidP="008D2290">
            <w:pPr>
              <w:rPr>
                <w:rFonts w:asciiTheme="majorHAnsi" w:hAnsiTheme="majorHAnsi"/>
                <w:bCs/>
                <w:sz w:val="20"/>
                <w:szCs w:val="20"/>
              </w:rPr>
            </w:pPr>
            <w:r>
              <w:rPr>
                <w:rFonts w:asciiTheme="majorHAnsi" w:hAnsiTheme="majorHAnsi"/>
                <w:bCs/>
                <w:sz w:val="20"/>
                <w:szCs w:val="20"/>
              </w:rPr>
              <w:t>Sí</w:t>
            </w:r>
          </w:p>
        </w:tc>
      </w:tr>
      <w:tr w:rsidR="009D0DCC"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27F30EBF" w:rsidR="003239B8" w:rsidRPr="00547797" w:rsidRDefault="00A67D63" w:rsidP="008D2290">
            <w:pPr>
              <w:rPr>
                <w:rFonts w:asciiTheme="majorHAnsi" w:hAnsiTheme="majorHAnsi"/>
                <w:bCs/>
                <w:sz w:val="20"/>
                <w:szCs w:val="20"/>
              </w:rPr>
            </w:pPr>
            <w:r>
              <w:rPr>
                <w:rFonts w:asciiTheme="majorHAnsi" w:hAnsiTheme="majorHAnsi"/>
                <w:bCs/>
                <w:sz w:val="20"/>
                <w:szCs w:val="20"/>
              </w:rPr>
              <w:t>Sí</w:t>
            </w:r>
          </w:p>
        </w:tc>
      </w:tr>
      <w:tr w:rsidR="009D0DCC"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60ECA564" w:rsidR="003239B8" w:rsidRPr="00547797" w:rsidRDefault="00A67D63" w:rsidP="008D2290">
            <w:pPr>
              <w:rPr>
                <w:rFonts w:asciiTheme="majorHAnsi" w:hAnsiTheme="majorHAnsi"/>
                <w:bCs/>
                <w:sz w:val="20"/>
                <w:szCs w:val="20"/>
              </w:rPr>
            </w:pPr>
            <w:r>
              <w:rPr>
                <w:rFonts w:asciiTheme="majorHAnsi" w:hAnsiTheme="majorHAnsi"/>
                <w:bCs/>
                <w:sz w:val="20"/>
                <w:szCs w:val="20"/>
              </w:rPr>
              <w:t>Sí</w:t>
            </w:r>
          </w:p>
        </w:tc>
      </w:tr>
      <w:tr w:rsidR="009D0DCC" w:rsidRPr="00D80E4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lastRenderedPageBreak/>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00ACBAC3" w:rsidR="003239B8" w:rsidRPr="00547797" w:rsidRDefault="00A67D63" w:rsidP="008D2290">
            <w:pPr>
              <w:jc w:val="both"/>
              <w:rPr>
                <w:rFonts w:asciiTheme="majorHAnsi" w:hAnsiTheme="majorHAnsi"/>
                <w:bCs/>
                <w:sz w:val="20"/>
                <w:szCs w:val="20"/>
                <w:lang w:val="es-ES"/>
              </w:rPr>
            </w:pPr>
            <w:r>
              <w:rPr>
                <w:rFonts w:asciiTheme="majorHAnsi" w:hAnsiTheme="majorHAnsi"/>
                <w:bCs/>
                <w:sz w:val="20"/>
                <w:szCs w:val="20"/>
                <w:lang w:val="es-ES"/>
              </w:rPr>
              <w:t xml:space="preserve">Sí, </w:t>
            </w:r>
            <w:r w:rsidR="004E4B7C">
              <w:rPr>
                <w:rFonts w:asciiTheme="majorHAnsi" w:hAnsiTheme="majorHAnsi"/>
                <w:bCs/>
                <w:sz w:val="20"/>
                <w:szCs w:val="20"/>
                <w:lang w:val="es-ES"/>
              </w:rPr>
              <w:t>Convención Americana (</w:t>
            </w:r>
            <w:r w:rsidR="00AE28B4">
              <w:rPr>
                <w:rFonts w:asciiTheme="majorHAnsi" w:hAnsiTheme="majorHAnsi"/>
                <w:bCs/>
                <w:sz w:val="20"/>
                <w:szCs w:val="20"/>
                <w:lang w:val="es-ES"/>
              </w:rPr>
              <w:t xml:space="preserve">depósito del instrumento de </w:t>
            </w:r>
            <w:r w:rsidR="00AE28B4" w:rsidRPr="00151578">
              <w:rPr>
                <w:rFonts w:asciiTheme="majorHAnsi" w:hAnsiTheme="majorHAnsi"/>
                <w:bCs/>
                <w:sz w:val="20"/>
                <w:szCs w:val="20"/>
                <w:lang w:val="es-ES"/>
              </w:rPr>
              <w:t xml:space="preserve">ratificación </w:t>
            </w:r>
            <w:r w:rsidR="004E4B7C" w:rsidRPr="00151578">
              <w:rPr>
                <w:rFonts w:asciiTheme="majorHAnsi" w:hAnsiTheme="majorHAnsi"/>
                <w:bCs/>
                <w:sz w:val="20"/>
                <w:szCs w:val="20"/>
                <w:lang w:val="es-ES"/>
              </w:rPr>
              <w:t>realizado el 25 de mayo de 1978)</w:t>
            </w:r>
            <w:r w:rsidR="002C7818" w:rsidRPr="00151578">
              <w:rPr>
                <w:rFonts w:asciiTheme="majorHAnsi" w:hAnsiTheme="majorHAnsi"/>
                <w:bCs/>
                <w:sz w:val="20"/>
                <w:szCs w:val="20"/>
                <w:lang w:val="es-ES"/>
              </w:rPr>
              <w:t xml:space="preserve">; </w:t>
            </w:r>
            <w:r w:rsidR="00CA40BD" w:rsidRPr="00151578">
              <w:rPr>
                <w:rFonts w:asciiTheme="majorHAnsi" w:hAnsiTheme="majorHAnsi"/>
                <w:bCs/>
                <w:sz w:val="20"/>
                <w:szCs w:val="20"/>
                <w:lang w:val="es-ES"/>
              </w:rPr>
              <w:t xml:space="preserve">Convención contra la Tortura </w:t>
            </w:r>
            <w:r w:rsidR="009D0DCC" w:rsidRPr="00151578">
              <w:rPr>
                <w:rFonts w:asciiTheme="majorHAnsi" w:hAnsiTheme="majorHAnsi"/>
                <w:bCs/>
                <w:sz w:val="20"/>
                <w:szCs w:val="20"/>
                <w:lang w:val="es-ES"/>
              </w:rPr>
              <w:t xml:space="preserve">(depósito del instrumento de ratificación realizado el </w:t>
            </w:r>
            <w:r w:rsidR="00CA40BD" w:rsidRPr="00151578">
              <w:rPr>
                <w:rFonts w:asciiTheme="majorHAnsi" w:hAnsiTheme="majorHAnsi"/>
                <w:bCs/>
                <w:sz w:val="20"/>
                <w:szCs w:val="20"/>
                <w:lang w:val="es-ES"/>
              </w:rPr>
              <w:t>29</w:t>
            </w:r>
            <w:r w:rsidR="009D0DCC" w:rsidRPr="00151578">
              <w:rPr>
                <w:rFonts w:asciiTheme="majorHAnsi" w:hAnsiTheme="majorHAnsi"/>
                <w:bCs/>
                <w:sz w:val="20"/>
                <w:szCs w:val="20"/>
                <w:lang w:val="es-ES"/>
              </w:rPr>
              <w:t xml:space="preserve"> de enero de 19</w:t>
            </w:r>
            <w:r w:rsidR="00CA40BD" w:rsidRPr="00151578">
              <w:rPr>
                <w:rFonts w:asciiTheme="majorHAnsi" w:hAnsiTheme="majorHAnsi"/>
                <w:bCs/>
                <w:sz w:val="20"/>
                <w:szCs w:val="20"/>
                <w:lang w:val="es-ES"/>
              </w:rPr>
              <w:t>87</w:t>
            </w:r>
            <w:r w:rsidR="009D0DCC" w:rsidRPr="00151578">
              <w:rPr>
                <w:rFonts w:asciiTheme="majorHAnsi" w:hAnsiTheme="majorHAnsi"/>
                <w:bCs/>
                <w:sz w:val="20"/>
                <w:szCs w:val="20"/>
                <w:lang w:val="es-ES"/>
              </w:rPr>
              <w:t xml:space="preserve">); </w:t>
            </w:r>
            <w:r w:rsidR="00211DDF" w:rsidRPr="00151578">
              <w:rPr>
                <w:rFonts w:asciiTheme="majorHAnsi" w:hAnsiTheme="majorHAnsi"/>
                <w:bCs/>
                <w:sz w:val="20"/>
                <w:szCs w:val="20"/>
                <w:lang w:val="es-ES"/>
              </w:rPr>
              <w:t xml:space="preserve">Convención Interamericana sobre Desaparición Forzada de Personas (depósito del instrumento de ratificación realizado el </w:t>
            </w:r>
            <w:r w:rsidR="00C72A2E" w:rsidRPr="00151578">
              <w:rPr>
                <w:rFonts w:asciiTheme="majorHAnsi" w:hAnsiTheme="majorHAnsi"/>
                <w:bCs/>
                <w:sz w:val="20"/>
                <w:szCs w:val="20"/>
                <w:lang w:val="es-ES"/>
              </w:rPr>
              <w:t xml:space="preserve">25 de febrero de 2000); Convención de Belém do Pará (depósito del instrumento de ratificación realizado el </w:t>
            </w:r>
            <w:r w:rsidR="00D26689" w:rsidRPr="00151578">
              <w:rPr>
                <w:rFonts w:asciiTheme="majorHAnsi" w:hAnsiTheme="majorHAnsi"/>
                <w:bCs/>
                <w:sz w:val="20"/>
                <w:szCs w:val="20"/>
                <w:lang w:val="es-ES"/>
              </w:rPr>
              <w:t>4</w:t>
            </w:r>
            <w:r w:rsidR="00C72A2E" w:rsidRPr="00151578">
              <w:rPr>
                <w:rFonts w:asciiTheme="majorHAnsi" w:hAnsiTheme="majorHAnsi"/>
                <w:bCs/>
                <w:sz w:val="20"/>
                <w:szCs w:val="20"/>
                <w:lang w:val="es-ES"/>
              </w:rPr>
              <w:t xml:space="preserve"> de </w:t>
            </w:r>
            <w:r w:rsidR="00D26689" w:rsidRPr="00151578">
              <w:rPr>
                <w:rFonts w:asciiTheme="majorHAnsi" w:hAnsiTheme="majorHAnsi"/>
                <w:bCs/>
                <w:sz w:val="20"/>
                <w:szCs w:val="20"/>
                <w:lang w:val="es-ES"/>
              </w:rPr>
              <w:t>abril</w:t>
            </w:r>
            <w:r w:rsidR="00C72A2E" w:rsidRPr="00151578">
              <w:rPr>
                <w:rFonts w:asciiTheme="majorHAnsi" w:hAnsiTheme="majorHAnsi"/>
                <w:bCs/>
                <w:sz w:val="20"/>
                <w:szCs w:val="20"/>
                <w:lang w:val="es-ES"/>
              </w:rPr>
              <w:t xml:space="preserve"> de </w:t>
            </w:r>
            <w:r w:rsidR="00D26689" w:rsidRPr="00151578">
              <w:rPr>
                <w:rFonts w:asciiTheme="majorHAnsi" w:hAnsiTheme="majorHAnsi"/>
                <w:bCs/>
                <w:sz w:val="20"/>
                <w:szCs w:val="20"/>
                <w:lang w:val="es-ES"/>
              </w:rPr>
              <w:t>1995</w:t>
            </w:r>
            <w:r w:rsidR="00C72A2E" w:rsidRPr="00151578">
              <w:rPr>
                <w:rFonts w:asciiTheme="majorHAnsi" w:hAnsiTheme="majorHAnsi"/>
                <w:bCs/>
                <w:sz w:val="20"/>
                <w:szCs w:val="20"/>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A4BB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241942FE" w:rsidR="00EE00E9" w:rsidRPr="00547797" w:rsidRDefault="00D26689"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D80E4A"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240B7AB4" w:rsidR="003239B8" w:rsidRPr="005462D7" w:rsidRDefault="00596850" w:rsidP="008D2290">
            <w:pPr>
              <w:jc w:val="both"/>
              <w:rPr>
                <w:rFonts w:asciiTheme="majorHAnsi" w:hAnsiTheme="majorHAnsi"/>
                <w:bCs/>
                <w:sz w:val="20"/>
                <w:szCs w:val="20"/>
                <w:lang w:val="es-CO"/>
              </w:rPr>
            </w:pPr>
            <w:r w:rsidRPr="002C7818">
              <w:rPr>
                <w:rFonts w:asciiTheme="majorHAnsi" w:hAnsiTheme="majorHAnsi"/>
                <w:bCs/>
                <w:sz w:val="20"/>
                <w:szCs w:val="20"/>
                <w:lang w:val="es-CO"/>
              </w:rPr>
              <w:t xml:space="preserve">Artículos </w:t>
            </w:r>
            <w:r>
              <w:rPr>
                <w:rFonts w:asciiTheme="majorHAnsi" w:hAnsiTheme="majorHAnsi"/>
                <w:bCs/>
                <w:sz w:val="20"/>
                <w:szCs w:val="20"/>
                <w:lang w:val="es-CO"/>
              </w:rPr>
              <w:t xml:space="preserve">3 (personalidad jurídica), </w:t>
            </w:r>
            <w:r w:rsidRPr="002C7818">
              <w:rPr>
                <w:rFonts w:asciiTheme="majorHAnsi" w:hAnsiTheme="majorHAnsi"/>
                <w:bCs/>
                <w:sz w:val="20"/>
                <w:szCs w:val="20"/>
                <w:lang w:val="es-CO"/>
              </w:rPr>
              <w:t>4</w:t>
            </w:r>
            <w:r>
              <w:rPr>
                <w:rFonts w:asciiTheme="majorHAnsi" w:hAnsiTheme="majorHAnsi"/>
                <w:bCs/>
                <w:sz w:val="20"/>
                <w:szCs w:val="20"/>
                <w:lang w:val="es-CO"/>
              </w:rPr>
              <w:t xml:space="preserve"> (vida)</w:t>
            </w:r>
            <w:r w:rsidRPr="002C7818">
              <w:rPr>
                <w:rFonts w:asciiTheme="majorHAnsi" w:hAnsiTheme="majorHAnsi"/>
                <w:bCs/>
                <w:sz w:val="20"/>
                <w:szCs w:val="20"/>
                <w:lang w:val="es-CO"/>
              </w:rPr>
              <w:t>, 5</w:t>
            </w:r>
            <w:r>
              <w:rPr>
                <w:rFonts w:asciiTheme="majorHAnsi" w:hAnsiTheme="majorHAnsi"/>
                <w:bCs/>
                <w:sz w:val="20"/>
                <w:szCs w:val="20"/>
                <w:lang w:val="es-CO"/>
              </w:rPr>
              <w:t xml:space="preserve"> (integridad personal)</w:t>
            </w:r>
            <w:r w:rsidRPr="002C7818">
              <w:rPr>
                <w:rFonts w:asciiTheme="majorHAnsi" w:hAnsiTheme="majorHAnsi"/>
                <w:bCs/>
                <w:sz w:val="20"/>
                <w:szCs w:val="20"/>
                <w:lang w:val="es-CO"/>
              </w:rPr>
              <w:t>,</w:t>
            </w:r>
            <w:r w:rsidR="006E3E7F">
              <w:rPr>
                <w:rFonts w:asciiTheme="majorHAnsi" w:hAnsiTheme="majorHAnsi"/>
                <w:bCs/>
                <w:sz w:val="20"/>
                <w:szCs w:val="20"/>
                <w:lang w:val="es-CO"/>
              </w:rPr>
              <w:t xml:space="preserve"> </w:t>
            </w:r>
            <w:r w:rsidR="00A67174" w:rsidRPr="00B74B55">
              <w:rPr>
                <w:rFonts w:asciiTheme="majorHAnsi" w:hAnsiTheme="majorHAnsi"/>
                <w:bCs/>
                <w:sz w:val="20"/>
                <w:szCs w:val="20"/>
                <w:lang w:val="es-CO"/>
              </w:rPr>
              <w:t>6 (p</w:t>
            </w:r>
            <w:r w:rsidR="006E3E7F" w:rsidRPr="00B74B55">
              <w:rPr>
                <w:rFonts w:asciiTheme="majorHAnsi" w:hAnsiTheme="majorHAnsi"/>
                <w:bCs/>
                <w:sz w:val="20"/>
                <w:szCs w:val="20"/>
                <w:lang w:val="es-CO"/>
              </w:rPr>
              <w:t xml:space="preserve">rohibición de la </w:t>
            </w:r>
            <w:r w:rsidR="00A67174" w:rsidRPr="00B74B55">
              <w:rPr>
                <w:rFonts w:asciiTheme="majorHAnsi" w:hAnsiTheme="majorHAnsi"/>
                <w:bCs/>
                <w:sz w:val="20"/>
                <w:szCs w:val="20"/>
                <w:lang w:val="es-CO"/>
              </w:rPr>
              <w:t>e</w:t>
            </w:r>
            <w:r w:rsidR="006E3E7F" w:rsidRPr="00B74B55">
              <w:rPr>
                <w:rFonts w:asciiTheme="majorHAnsi" w:hAnsiTheme="majorHAnsi"/>
                <w:bCs/>
                <w:sz w:val="20"/>
                <w:szCs w:val="20"/>
                <w:lang w:val="es-CO"/>
              </w:rPr>
              <w:t xml:space="preserve">sclavitud  y </w:t>
            </w:r>
            <w:r w:rsidR="00A67174" w:rsidRPr="00B74B55">
              <w:rPr>
                <w:rFonts w:asciiTheme="majorHAnsi" w:hAnsiTheme="majorHAnsi"/>
                <w:bCs/>
                <w:sz w:val="20"/>
                <w:szCs w:val="20"/>
                <w:lang w:val="es-CO"/>
              </w:rPr>
              <w:t>s</w:t>
            </w:r>
            <w:r w:rsidR="006E3E7F" w:rsidRPr="00B74B55">
              <w:rPr>
                <w:rFonts w:asciiTheme="majorHAnsi" w:hAnsiTheme="majorHAnsi"/>
                <w:bCs/>
                <w:sz w:val="20"/>
                <w:szCs w:val="20"/>
                <w:lang w:val="es-CO"/>
              </w:rPr>
              <w:t>ervidumbre</w:t>
            </w:r>
            <w:r w:rsidR="00A67174" w:rsidRPr="00B74B55">
              <w:rPr>
                <w:rFonts w:asciiTheme="majorHAnsi" w:hAnsiTheme="majorHAnsi"/>
                <w:bCs/>
                <w:sz w:val="20"/>
                <w:szCs w:val="20"/>
                <w:lang w:val="es-CO"/>
              </w:rPr>
              <w:t>),</w:t>
            </w:r>
            <w:r w:rsidRPr="002C7818">
              <w:rPr>
                <w:rFonts w:asciiTheme="majorHAnsi" w:hAnsiTheme="majorHAnsi"/>
                <w:bCs/>
                <w:sz w:val="20"/>
                <w:szCs w:val="20"/>
                <w:lang w:val="es-CO"/>
              </w:rPr>
              <w:t xml:space="preserve"> </w:t>
            </w:r>
            <w:r>
              <w:rPr>
                <w:rFonts w:asciiTheme="majorHAnsi" w:hAnsiTheme="majorHAnsi"/>
                <w:bCs/>
                <w:sz w:val="20"/>
                <w:szCs w:val="20"/>
                <w:lang w:val="es-CO"/>
              </w:rPr>
              <w:t xml:space="preserve">7 (libertad personal), </w:t>
            </w:r>
            <w:r w:rsidRPr="002C7818">
              <w:rPr>
                <w:rFonts w:asciiTheme="majorHAnsi" w:hAnsiTheme="majorHAnsi"/>
                <w:bCs/>
                <w:sz w:val="20"/>
                <w:szCs w:val="20"/>
                <w:lang w:val="es-CO"/>
              </w:rPr>
              <w:t>8</w:t>
            </w:r>
            <w:r>
              <w:rPr>
                <w:rFonts w:asciiTheme="majorHAnsi" w:hAnsiTheme="majorHAnsi"/>
                <w:bCs/>
                <w:sz w:val="20"/>
                <w:szCs w:val="20"/>
                <w:lang w:val="es-CO"/>
              </w:rPr>
              <w:t xml:space="preserve"> (garantías judiciales)</w:t>
            </w:r>
            <w:r w:rsidRPr="002C7818">
              <w:rPr>
                <w:rFonts w:asciiTheme="majorHAnsi" w:hAnsiTheme="majorHAnsi"/>
                <w:bCs/>
                <w:sz w:val="20"/>
                <w:szCs w:val="20"/>
                <w:lang w:val="es-CO"/>
              </w:rPr>
              <w:t>,</w:t>
            </w:r>
            <w:r w:rsidR="003279BD">
              <w:rPr>
                <w:rFonts w:asciiTheme="majorHAnsi" w:hAnsiTheme="majorHAnsi"/>
                <w:bCs/>
                <w:sz w:val="20"/>
                <w:szCs w:val="20"/>
                <w:lang w:val="es-CO"/>
              </w:rPr>
              <w:t xml:space="preserve"> 11 (protección de la honra y la </w:t>
            </w:r>
            <w:r w:rsidR="003279BD" w:rsidRPr="00376AB1">
              <w:rPr>
                <w:rFonts w:asciiTheme="majorHAnsi" w:hAnsiTheme="majorHAnsi"/>
                <w:bCs/>
                <w:sz w:val="20"/>
                <w:szCs w:val="20"/>
                <w:lang w:val="es-CO"/>
              </w:rPr>
              <w:t xml:space="preserve">dignidad), </w:t>
            </w:r>
            <w:r w:rsidRPr="00376AB1">
              <w:rPr>
                <w:rFonts w:asciiTheme="majorHAnsi" w:hAnsiTheme="majorHAnsi"/>
                <w:bCs/>
                <w:sz w:val="20"/>
                <w:szCs w:val="20"/>
                <w:lang w:val="es-CO"/>
              </w:rPr>
              <w:t xml:space="preserve">13 (libertad de pensamiento y de expresión), </w:t>
            </w:r>
            <w:r w:rsidR="00D57D17" w:rsidRPr="00376AB1">
              <w:rPr>
                <w:rFonts w:asciiTheme="majorHAnsi" w:hAnsiTheme="majorHAnsi"/>
                <w:bCs/>
                <w:sz w:val="20"/>
                <w:szCs w:val="20"/>
                <w:lang w:val="es-CO"/>
              </w:rPr>
              <w:t xml:space="preserve">17 (protección a la familia) </w:t>
            </w:r>
            <w:r w:rsidRPr="00376AB1">
              <w:rPr>
                <w:rFonts w:asciiTheme="majorHAnsi" w:hAnsiTheme="majorHAnsi"/>
                <w:bCs/>
                <w:sz w:val="20"/>
                <w:szCs w:val="20"/>
                <w:lang w:val="es-CO"/>
              </w:rPr>
              <w:t>18 (nombre), 19 (derechos de los niños), 21 (propiedad privada), 22 (circulación y residencia)</w:t>
            </w:r>
            <w:r w:rsidR="00D161D8" w:rsidRPr="00376AB1">
              <w:rPr>
                <w:rFonts w:asciiTheme="majorHAnsi" w:hAnsiTheme="majorHAnsi"/>
                <w:bCs/>
                <w:sz w:val="20"/>
                <w:szCs w:val="20"/>
                <w:lang w:val="es-CO"/>
              </w:rPr>
              <w:t>, 24 (igualdad ante la ley)</w:t>
            </w:r>
            <w:r w:rsidR="00073B78" w:rsidRPr="00376AB1">
              <w:rPr>
                <w:rFonts w:asciiTheme="majorHAnsi" w:hAnsiTheme="majorHAnsi"/>
                <w:bCs/>
                <w:sz w:val="20"/>
                <w:szCs w:val="20"/>
                <w:lang w:val="es-CO"/>
              </w:rPr>
              <w:t>,</w:t>
            </w:r>
            <w:r w:rsidRPr="00376AB1">
              <w:rPr>
                <w:rFonts w:asciiTheme="majorHAnsi" w:hAnsiTheme="majorHAnsi"/>
                <w:bCs/>
                <w:sz w:val="20"/>
                <w:szCs w:val="20"/>
                <w:lang w:val="es-CO"/>
              </w:rPr>
              <w:t xml:space="preserve"> 25 (protección judicial)</w:t>
            </w:r>
            <w:r w:rsidR="00073B78" w:rsidRPr="00376AB1">
              <w:rPr>
                <w:rFonts w:asciiTheme="majorHAnsi" w:hAnsiTheme="majorHAnsi"/>
                <w:bCs/>
                <w:sz w:val="20"/>
                <w:szCs w:val="20"/>
                <w:lang w:val="es-CO"/>
              </w:rPr>
              <w:t xml:space="preserve"> y 26 (derechos económicos, sociales y culturales)</w:t>
            </w:r>
            <w:r w:rsidRPr="00376AB1">
              <w:rPr>
                <w:rFonts w:asciiTheme="majorHAnsi" w:hAnsiTheme="majorHAnsi"/>
                <w:bCs/>
                <w:sz w:val="20"/>
                <w:szCs w:val="20"/>
                <w:lang w:val="es-CO"/>
              </w:rPr>
              <w:t xml:space="preserve"> en relación con los artículos 1.1 (obligación de respetar los derechos) y 2 (deber de adoptar disposiciones de</w:t>
            </w:r>
            <w:r w:rsidRPr="00545DD6">
              <w:rPr>
                <w:rFonts w:asciiTheme="majorHAnsi" w:hAnsiTheme="majorHAnsi"/>
                <w:bCs/>
                <w:sz w:val="20"/>
                <w:szCs w:val="20"/>
                <w:lang w:val="es-CO"/>
              </w:rPr>
              <w:t xml:space="preserve"> derecho interno)</w:t>
            </w:r>
            <w:r>
              <w:rPr>
                <w:rFonts w:asciiTheme="majorHAnsi" w:hAnsiTheme="majorHAnsi"/>
                <w:bCs/>
                <w:sz w:val="20"/>
                <w:szCs w:val="20"/>
                <w:lang w:val="es-CO"/>
              </w:rPr>
              <w:t xml:space="preserve"> </w:t>
            </w:r>
            <w:r w:rsidR="005462D7">
              <w:rPr>
                <w:rFonts w:asciiTheme="majorHAnsi" w:hAnsiTheme="majorHAnsi"/>
                <w:bCs/>
                <w:sz w:val="20"/>
                <w:szCs w:val="20"/>
                <w:lang w:val="es-CO"/>
              </w:rPr>
              <w:t>de la Convención Americana</w:t>
            </w:r>
            <w:r w:rsidR="000764CD">
              <w:rPr>
                <w:rFonts w:asciiTheme="majorHAnsi" w:hAnsiTheme="majorHAnsi"/>
                <w:bCs/>
                <w:sz w:val="20"/>
                <w:szCs w:val="20"/>
                <w:lang w:val="es-CO"/>
              </w:rPr>
              <w:t xml:space="preserve">; artículos 1, 6 y 8 de la </w:t>
            </w:r>
            <w:r w:rsidR="000764CD" w:rsidRPr="00B13DB2">
              <w:rPr>
                <w:rFonts w:asciiTheme="majorHAnsi" w:hAnsiTheme="majorHAnsi"/>
                <w:bCs/>
                <w:sz w:val="20"/>
                <w:szCs w:val="20"/>
                <w:lang w:val="es-CO"/>
              </w:rPr>
              <w:t xml:space="preserve">Convención </w:t>
            </w:r>
            <w:r w:rsidR="000764CD">
              <w:rPr>
                <w:rFonts w:asciiTheme="majorHAnsi" w:hAnsiTheme="majorHAnsi"/>
                <w:bCs/>
                <w:sz w:val="20"/>
                <w:szCs w:val="20"/>
                <w:lang w:val="es-CO"/>
              </w:rPr>
              <w:t>contra l</w:t>
            </w:r>
            <w:r w:rsidR="000764CD" w:rsidRPr="00B13DB2">
              <w:rPr>
                <w:rFonts w:asciiTheme="majorHAnsi" w:hAnsiTheme="majorHAnsi"/>
                <w:bCs/>
                <w:sz w:val="20"/>
                <w:szCs w:val="20"/>
                <w:lang w:val="es-CO"/>
              </w:rPr>
              <w:t>a Tortura</w:t>
            </w:r>
            <w:r w:rsidR="000764CD">
              <w:rPr>
                <w:rFonts w:asciiTheme="majorHAnsi" w:hAnsiTheme="majorHAnsi"/>
                <w:bCs/>
                <w:sz w:val="20"/>
                <w:szCs w:val="20"/>
                <w:lang w:val="es-CO"/>
              </w:rPr>
              <w:t xml:space="preserve">; </w:t>
            </w:r>
            <w:r w:rsidR="000764CD" w:rsidRPr="00791935">
              <w:rPr>
                <w:rFonts w:asciiTheme="majorHAnsi" w:hAnsiTheme="majorHAnsi"/>
                <w:bCs/>
                <w:sz w:val="20"/>
                <w:szCs w:val="20"/>
                <w:lang w:val="es-CO"/>
              </w:rPr>
              <w:t>el artículo I</w:t>
            </w:r>
            <w:r w:rsidR="000764CD">
              <w:rPr>
                <w:rFonts w:asciiTheme="majorHAnsi" w:hAnsiTheme="majorHAnsi"/>
                <w:bCs/>
                <w:sz w:val="20"/>
                <w:szCs w:val="20"/>
                <w:lang w:val="es-CO"/>
              </w:rPr>
              <w:t>.b)</w:t>
            </w:r>
            <w:r w:rsidR="000764CD" w:rsidRPr="00791935">
              <w:rPr>
                <w:rFonts w:asciiTheme="majorHAnsi" w:hAnsiTheme="majorHAnsi"/>
                <w:bCs/>
                <w:sz w:val="20"/>
                <w:szCs w:val="20"/>
                <w:lang w:val="es-CO"/>
              </w:rPr>
              <w:t xml:space="preserve"> de la Convención Interamericana sobre Desaparición Forzada de Personas;</w:t>
            </w:r>
            <w:r w:rsidR="000764CD">
              <w:rPr>
                <w:rFonts w:asciiTheme="majorHAnsi" w:hAnsiTheme="majorHAnsi"/>
                <w:bCs/>
                <w:sz w:val="20"/>
                <w:szCs w:val="20"/>
                <w:lang w:val="es-CO"/>
              </w:rPr>
              <w:t xml:space="preserve"> y artículo 7 de la </w:t>
            </w:r>
            <w:r w:rsidR="000764CD" w:rsidRPr="00E52B1D">
              <w:rPr>
                <w:rFonts w:asciiTheme="majorHAnsi" w:hAnsiTheme="majorHAnsi"/>
                <w:bCs/>
                <w:sz w:val="20"/>
                <w:szCs w:val="20"/>
                <w:lang w:val="es-CO"/>
              </w:rPr>
              <w:t>Convención</w:t>
            </w:r>
            <w:r w:rsidR="000764CD">
              <w:rPr>
                <w:rFonts w:asciiTheme="majorHAnsi" w:hAnsiTheme="majorHAnsi"/>
                <w:bCs/>
                <w:sz w:val="20"/>
                <w:szCs w:val="20"/>
                <w:lang w:val="es-CO"/>
              </w:rPr>
              <w:t xml:space="preserve"> de Belém do Pará</w:t>
            </w:r>
          </w:p>
        </w:tc>
      </w:tr>
      <w:tr w:rsidR="003239B8" w:rsidRPr="00D80E4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5200BDBC" w:rsidR="003239B8" w:rsidRPr="00547797" w:rsidRDefault="00164488"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D80E4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26EB8B4A" w:rsidR="003239B8" w:rsidRPr="00400D2B" w:rsidRDefault="00400D2B"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56FD5D57" w14:textId="2592DFAB" w:rsidR="003239B8" w:rsidRPr="00E66386" w:rsidRDefault="00223A29" w:rsidP="003239B8">
      <w:pPr>
        <w:spacing w:before="240" w:after="240"/>
        <w:ind w:firstLine="720"/>
        <w:jc w:val="both"/>
        <w:rPr>
          <w:rFonts w:asciiTheme="majorHAnsi" w:hAnsiTheme="majorHAnsi"/>
          <w:b/>
          <w:sz w:val="20"/>
          <w:szCs w:val="20"/>
          <w:lang w:val="es-UY"/>
        </w:rPr>
      </w:pPr>
      <w:r w:rsidRPr="00E66386">
        <w:rPr>
          <w:rFonts w:asciiTheme="majorHAnsi" w:hAnsiTheme="majorHAnsi"/>
          <w:b/>
          <w:sz w:val="20"/>
          <w:szCs w:val="20"/>
          <w:lang w:val="es-UY"/>
        </w:rPr>
        <w:t xml:space="preserve">V. </w:t>
      </w:r>
      <w:r w:rsidRPr="00E66386">
        <w:rPr>
          <w:rFonts w:asciiTheme="majorHAnsi" w:hAnsiTheme="majorHAnsi"/>
          <w:b/>
          <w:sz w:val="20"/>
          <w:szCs w:val="20"/>
          <w:lang w:val="es-UY"/>
        </w:rPr>
        <w:tab/>
      </w:r>
      <w:r w:rsidR="004241A0" w:rsidRPr="00E66386">
        <w:rPr>
          <w:rFonts w:asciiTheme="majorHAnsi" w:hAnsiTheme="majorHAnsi"/>
          <w:b/>
          <w:sz w:val="20"/>
          <w:szCs w:val="20"/>
          <w:lang w:val="es-UY"/>
        </w:rPr>
        <w:t>POSICIÓN DE LAS PARTES</w:t>
      </w:r>
    </w:p>
    <w:p w14:paraId="3AC88EAD" w14:textId="74C1163C" w:rsidR="00DC3BB7" w:rsidRPr="00E66386" w:rsidRDefault="00D86F51" w:rsidP="00DC3BB7">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 xml:space="preserve">Las organizaciones peticionarias denuncian </w:t>
      </w:r>
      <w:r w:rsidR="008334DC" w:rsidRPr="00E66386">
        <w:rPr>
          <w:rFonts w:asciiTheme="majorHAnsi" w:hAnsiTheme="majorHAnsi"/>
          <w:bCs/>
          <w:sz w:val="20"/>
          <w:szCs w:val="20"/>
          <w:lang w:val="es-UY"/>
        </w:rPr>
        <w:t xml:space="preserve">que el ejército guatemalteco </w:t>
      </w:r>
      <w:r w:rsidR="0033530B" w:rsidRPr="00E66386">
        <w:rPr>
          <w:rFonts w:asciiTheme="majorHAnsi" w:hAnsiTheme="majorHAnsi"/>
          <w:bCs/>
          <w:sz w:val="20"/>
          <w:szCs w:val="20"/>
          <w:lang w:val="es-UY"/>
        </w:rPr>
        <w:t>perpetró</w:t>
      </w:r>
      <w:r w:rsidR="008334DC" w:rsidRPr="00E66386">
        <w:rPr>
          <w:rFonts w:asciiTheme="majorHAnsi" w:hAnsiTheme="majorHAnsi"/>
          <w:bCs/>
          <w:sz w:val="20"/>
          <w:szCs w:val="20"/>
          <w:lang w:val="es-UY"/>
        </w:rPr>
        <w:t xml:space="preserve"> </w:t>
      </w:r>
      <w:r w:rsidR="00721238" w:rsidRPr="00E66386">
        <w:rPr>
          <w:rFonts w:asciiTheme="majorHAnsi" w:hAnsiTheme="majorHAnsi"/>
          <w:bCs/>
          <w:sz w:val="20"/>
          <w:szCs w:val="20"/>
          <w:lang w:val="es-UY"/>
        </w:rPr>
        <w:t xml:space="preserve">ataques sistemáticos </w:t>
      </w:r>
      <w:r w:rsidR="004F63A0" w:rsidRPr="00E66386">
        <w:rPr>
          <w:rFonts w:asciiTheme="majorHAnsi" w:hAnsiTheme="majorHAnsi"/>
          <w:bCs/>
          <w:sz w:val="20"/>
          <w:szCs w:val="20"/>
          <w:lang w:val="es-UY"/>
        </w:rPr>
        <w:t xml:space="preserve">en perjuicio de la </w:t>
      </w:r>
      <w:r w:rsidR="00626BA7" w:rsidRPr="00E66386">
        <w:rPr>
          <w:rFonts w:asciiTheme="majorHAnsi" w:hAnsiTheme="majorHAnsi"/>
          <w:bCs/>
          <w:sz w:val="20"/>
          <w:szCs w:val="20"/>
          <w:lang w:val="es-UY"/>
        </w:rPr>
        <w:t xml:space="preserve">población maya de la región de </w:t>
      </w:r>
      <w:r w:rsidR="00C51C64" w:rsidRPr="00E66386">
        <w:rPr>
          <w:rFonts w:asciiTheme="majorHAnsi" w:hAnsiTheme="majorHAnsi"/>
          <w:bCs/>
          <w:sz w:val="20"/>
          <w:szCs w:val="20"/>
          <w:lang w:val="es-UY"/>
        </w:rPr>
        <w:t>Ixil</w:t>
      </w:r>
      <w:r w:rsidR="00626BA7" w:rsidRPr="00E66386">
        <w:rPr>
          <w:rFonts w:asciiTheme="majorHAnsi" w:hAnsiTheme="majorHAnsi"/>
          <w:bCs/>
          <w:sz w:val="20"/>
          <w:szCs w:val="20"/>
          <w:lang w:val="es-UY"/>
        </w:rPr>
        <w:t xml:space="preserve"> en</w:t>
      </w:r>
      <w:r w:rsidR="008334DC" w:rsidRPr="00E66386">
        <w:rPr>
          <w:rFonts w:asciiTheme="majorHAnsi" w:hAnsiTheme="majorHAnsi"/>
          <w:bCs/>
          <w:sz w:val="20"/>
          <w:szCs w:val="20"/>
          <w:lang w:val="es-UY"/>
        </w:rPr>
        <w:t>tre</w:t>
      </w:r>
      <w:r w:rsidR="00626BA7" w:rsidRPr="00E66386">
        <w:rPr>
          <w:rFonts w:asciiTheme="majorHAnsi" w:hAnsiTheme="majorHAnsi"/>
          <w:bCs/>
          <w:sz w:val="20"/>
          <w:szCs w:val="20"/>
          <w:lang w:val="es-UY"/>
        </w:rPr>
        <w:t xml:space="preserve"> 1982 y 1983</w:t>
      </w:r>
      <w:r w:rsidR="00DC3BB7" w:rsidRPr="00E66386">
        <w:rPr>
          <w:rFonts w:asciiTheme="majorHAnsi" w:hAnsiTheme="majorHAnsi"/>
          <w:bCs/>
          <w:sz w:val="20"/>
          <w:szCs w:val="20"/>
          <w:lang w:val="es-UY"/>
        </w:rPr>
        <w:t xml:space="preserve">, en hechos que califican </w:t>
      </w:r>
      <w:r w:rsidR="008334DC" w:rsidRPr="00E66386">
        <w:rPr>
          <w:rFonts w:asciiTheme="majorHAnsi" w:hAnsiTheme="majorHAnsi"/>
          <w:bCs/>
          <w:sz w:val="20"/>
          <w:szCs w:val="20"/>
          <w:lang w:val="es-UY"/>
        </w:rPr>
        <w:t xml:space="preserve">de </w:t>
      </w:r>
      <w:r w:rsidR="00DC3BB7" w:rsidRPr="00E66386">
        <w:rPr>
          <w:rFonts w:asciiTheme="majorHAnsi" w:hAnsiTheme="majorHAnsi"/>
          <w:bCs/>
          <w:sz w:val="20"/>
          <w:szCs w:val="20"/>
          <w:lang w:val="es-UY"/>
        </w:rPr>
        <w:t>genocidio étnico</w:t>
      </w:r>
      <w:r w:rsidR="00531ACD" w:rsidRPr="00E66386">
        <w:rPr>
          <w:rFonts w:asciiTheme="majorHAnsi" w:hAnsiTheme="majorHAnsi"/>
          <w:bCs/>
          <w:sz w:val="20"/>
          <w:szCs w:val="20"/>
          <w:lang w:val="es-UY"/>
        </w:rPr>
        <w:t>.</w:t>
      </w:r>
      <w:r w:rsidR="00DC3BB7" w:rsidRPr="00E66386">
        <w:rPr>
          <w:rFonts w:asciiTheme="majorHAnsi" w:hAnsiTheme="majorHAnsi"/>
          <w:bCs/>
          <w:sz w:val="20"/>
          <w:szCs w:val="20"/>
          <w:lang w:val="es-UY"/>
        </w:rPr>
        <w:t xml:space="preserve"> </w:t>
      </w:r>
      <w:r w:rsidR="00531ACD" w:rsidRPr="00E66386">
        <w:rPr>
          <w:rFonts w:asciiTheme="majorHAnsi" w:hAnsiTheme="majorHAnsi"/>
          <w:bCs/>
          <w:sz w:val="20"/>
          <w:szCs w:val="20"/>
          <w:lang w:val="es-UY"/>
        </w:rPr>
        <w:t xml:space="preserve">También denuncian </w:t>
      </w:r>
      <w:r w:rsidR="00DC3BB7" w:rsidRPr="00E66386">
        <w:rPr>
          <w:rFonts w:asciiTheme="majorHAnsi" w:hAnsiTheme="majorHAnsi"/>
          <w:bCs/>
          <w:sz w:val="20"/>
          <w:szCs w:val="20"/>
          <w:lang w:val="es-UY"/>
        </w:rPr>
        <w:t xml:space="preserve">la impunidad que rodea </w:t>
      </w:r>
      <w:r w:rsidR="006469D6" w:rsidRPr="00E66386">
        <w:rPr>
          <w:rFonts w:asciiTheme="majorHAnsi" w:hAnsiTheme="majorHAnsi"/>
          <w:bCs/>
          <w:sz w:val="20"/>
          <w:szCs w:val="20"/>
          <w:lang w:val="es-UY"/>
        </w:rPr>
        <w:t>est</w:t>
      </w:r>
      <w:r w:rsidR="00DC3BB7" w:rsidRPr="00E66386">
        <w:rPr>
          <w:rFonts w:asciiTheme="majorHAnsi" w:hAnsiTheme="majorHAnsi"/>
          <w:bCs/>
          <w:sz w:val="20"/>
          <w:szCs w:val="20"/>
          <w:lang w:val="es-UY"/>
        </w:rPr>
        <w:t>os sucesos</w:t>
      </w:r>
      <w:r w:rsidR="00BB3EA3" w:rsidRPr="00E66386">
        <w:rPr>
          <w:rFonts w:asciiTheme="majorHAnsi" w:hAnsiTheme="majorHAnsi"/>
          <w:bCs/>
          <w:sz w:val="20"/>
          <w:szCs w:val="20"/>
          <w:lang w:val="es-UY"/>
        </w:rPr>
        <w:t xml:space="preserve"> después de más de treinta años</w:t>
      </w:r>
      <w:r w:rsidR="00DC3BB7" w:rsidRPr="00E66386">
        <w:rPr>
          <w:rFonts w:asciiTheme="majorHAnsi" w:hAnsiTheme="majorHAnsi"/>
          <w:bCs/>
          <w:sz w:val="20"/>
          <w:szCs w:val="20"/>
          <w:lang w:val="es-UY"/>
        </w:rPr>
        <w:t>.</w:t>
      </w:r>
    </w:p>
    <w:p w14:paraId="67468783" w14:textId="568465BB" w:rsidR="00A92C34" w:rsidRPr="00E66386" w:rsidRDefault="00E56DC1" w:rsidP="00DC3BB7">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 xml:space="preserve">Los peticionarios alegan que </w:t>
      </w:r>
      <w:r w:rsidR="00BB3EA3" w:rsidRPr="00E66386">
        <w:rPr>
          <w:rFonts w:asciiTheme="majorHAnsi" w:hAnsiTheme="majorHAnsi"/>
          <w:bCs/>
          <w:sz w:val="20"/>
          <w:szCs w:val="20"/>
          <w:lang w:val="es-UY"/>
        </w:rPr>
        <w:t>estos a</w:t>
      </w:r>
      <w:r w:rsidR="00A92C34" w:rsidRPr="00E66386">
        <w:rPr>
          <w:rFonts w:asciiTheme="majorHAnsi" w:hAnsiTheme="majorHAnsi"/>
          <w:bCs/>
          <w:sz w:val="20"/>
          <w:szCs w:val="20"/>
          <w:lang w:val="es-UY"/>
        </w:rPr>
        <w:t xml:space="preserve">taques </w:t>
      </w:r>
      <w:r w:rsidR="00BB3EA3" w:rsidRPr="00E66386">
        <w:rPr>
          <w:rFonts w:asciiTheme="majorHAnsi" w:hAnsiTheme="majorHAnsi"/>
          <w:bCs/>
          <w:sz w:val="20"/>
          <w:szCs w:val="20"/>
          <w:lang w:val="es-UY"/>
        </w:rPr>
        <w:t xml:space="preserve">fueron </w:t>
      </w:r>
      <w:r w:rsidR="00A92C34" w:rsidRPr="00E66386">
        <w:rPr>
          <w:rFonts w:asciiTheme="majorHAnsi" w:hAnsiTheme="majorHAnsi"/>
          <w:bCs/>
          <w:sz w:val="20"/>
          <w:szCs w:val="20"/>
          <w:lang w:val="es-UY"/>
        </w:rPr>
        <w:t xml:space="preserve">sistemáticos y generalizados contra al menos </w:t>
      </w:r>
      <w:r w:rsidR="00B14664" w:rsidRPr="00E66386">
        <w:rPr>
          <w:rFonts w:asciiTheme="majorHAnsi" w:hAnsiTheme="majorHAnsi"/>
          <w:bCs/>
          <w:sz w:val="20"/>
          <w:szCs w:val="20"/>
          <w:lang w:val="es-UY"/>
        </w:rPr>
        <w:t>sesenta</w:t>
      </w:r>
      <w:r w:rsidR="00A92C34" w:rsidRPr="00E66386">
        <w:rPr>
          <w:rFonts w:asciiTheme="majorHAnsi" w:hAnsiTheme="majorHAnsi"/>
          <w:bCs/>
          <w:sz w:val="20"/>
          <w:szCs w:val="20"/>
          <w:lang w:val="es-UY"/>
        </w:rPr>
        <w:t xml:space="preserve"> comunidades indígenas, </w:t>
      </w:r>
      <w:r w:rsidR="00BB3EA3" w:rsidRPr="00E66386">
        <w:rPr>
          <w:rFonts w:asciiTheme="majorHAnsi" w:hAnsiTheme="majorHAnsi"/>
          <w:bCs/>
          <w:sz w:val="20"/>
          <w:szCs w:val="20"/>
          <w:lang w:val="es-UY"/>
        </w:rPr>
        <w:t xml:space="preserve">y causaron </w:t>
      </w:r>
      <w:r w:rsidR="00A92C34" w:rsidRPr="00E66386">
        <w:rPr>
          <w:rFonts w:asciiTheme="majorHAnsi" w:hAnsiTheme="majorHAnsi"/>
          <w:bCs/>
          <w:sz w:val="20"/>
          <w:szCs w:val="20"/>
          <w:lang w:val="es-UY"/>
        </w:rPr>
        <w:t>la muerte de aproximadamente 1</w:t>
      </w:r>
      <w:r w:rsidR="00B14664" w:rsidRPr="00E66386">
        <w:rPr>
          <w:rFonts w:asciiTheme="majorHAnsi" w:hAnsiTheme="majorHAnsi"/>
          <w:bCs/>
          <w:sz w:val="20"/>
          <w:szCs w:val="20"/>
          <w:lang w:val="es-UY"/>
        </w:rPr>
        <w:t>,</w:t>
      </w:r>
      <w:r w:rsidR="00A92C34" w:rsidRPr="00E66386">
        <w:rPr>
          <w:rFonts w:asciiTheme="majorHAnsi" w:hAnsiTheme="majorHAnsi"/>
          <w:bCs/>
          <w:sz w:val="20"/>
          <w:szCs w:val="20"/>
          <w:lang w:val="es-UY"/>
        </w:rPr>
        <w:t xml:space="preserve">771 personas pertenecientes al pueblo </w:t>
      </w:r>
      <w:r w:rsidR="00C51C64" w:rsidRPr="00E66386">
        <w:rPr>
          <w:rFonts w:asciiTheme="majorHAnsi" w:hAnsiTheme="majorHAnsi"/>
          <w:bCs/>
          <w:sz w:val="20"/>
          <w:szCs w:val="20"/>
          <w:lang w:val="es-UY"/>
        </w:rPr>
        <w:t>Ixil</w:t>
      </w:r>
      <w:r w:rsidR="00BB3EA3" w:rsidRPr="00E66386">
        <w:rPr>
          <w:rFonts w:asciiTheme="majorHAnsi" w:hAnsiTheme="majorHAnsi"/>
          <w:bCs/>
          <w:sz w:val="20"/>
          <w:szCs w:val="20"/>
          <w:lang w:val="es-UY"/>
        </w:rPr>
        <w:t>.</w:t>
      </w:r>
      <w:r w:rsidR="00A92C34" w:rsidRPr="00E66386">
        <w:rPr>
          <w:rFonts w:asciiTheme="majorHAnsi" w:hAnsiTheme="majorHAnsi"/>
          <w:bCs/>
          <w:sz w:val="20"/>
          <w:szCs w:val="20"/>
          <w:lang w:val="es-UY"/>
        </w:rPr>
        <w:t xml:space="preserve"> </w:t>
      </w:r>
      <w:r w:rsidR="00BB3EA3" w:rsidRPr="00E66386">
        <w:rPr>
          <w:rFonts w:asciiTheme="majorHAnsi" w:hAnsiTheme="majorHAnsi"/>
          <w:bCs/>
          <w:sz w:val="20"/>
          <w:szCs w:val="20"/>
          <w:lang w:val="es-UY"/>
        </w:rPr>
        <w:t xml:space="preserve">Entre los ataques que </w:t>
      </w:r>
      <w:r w:rsidR="00964995" w:rsidRPr="00E66386">
        <w:rPr>
          <w:rFonts w:asciiTheme="majorHAnsi" w:hAnsiTheme="majorHAnsi"/>
          <w:bCs/>
          <w:sz w:val="20"/>
          <w:szCs w:val="20"/>
          <w:lang w:val="es-UY"/>
        </w:rPr>
        <w:t xml:space="preserve">constituyen graves violaciones de derechos humanos contra el pueblo maya </w:t>
      </w:r>
      <w:r w:rsidR="00C51C64" w:rsidRPr="00E66386">
        <w:rPr>
          <w:rFonts w:asciiTheme="majorHAnsi" w:hAnsiTheme="majorHAnsi"/>
          <w:bCs/>
          <w:sz w:val="20"/>
          <w:szCs w:val="20"/>
          <w:lang w:val="es-UY"/>
        </w:rPr>
        <w:t>Ixil</w:t>
      </w:r>
      <w:r w:rsidR="00964995" w:rsidRPr="00E66386">
        <w:rPr>
          <w:rFonts w:asciiTheme="majorHAnsi" w:hAnsiTheme="majorHAnsi"/>
          <w:bCs/>
          <w:sz w:val="20"/>
          <w:szCs w:val="20"/>
          <w:lang w:val="es-UY"/>
        </w:rPr>
        <w:t xml:space="preserve"> i</w:t>
      </w:r>
      <w:r w:rsidR="0096035F" w:rsidRPr="00E66386">
        <w:rPr>
          <w:rFonts w:asciiTheme="majorHAnsi" w:hAnsiTheme="majorHAnsi"/>
          <w:bCs/>
          <w:sz w:val="20"/>
          <w:szCs w:val="20"/>
          <w:lang w:val="es-UY"/>
        </w:rPr>
        <w:t xml:space="preserve">ncluyen </w:t>
      </w:r>
      <w:r w:rsidR="00964995" w:rsidRPr="00E66386">
        <w:rPr>
          <w:rFonts w:asciiTheme="majorHAnsi" w:hAnsiTheme="majorHAnsi"/>
          <w:bCs/>
          <w:sz w:val="20"/>
          <w:szCs w:val="20"/>
          <w:lang w:val="es-UY"/>
        </w:rPr>
        <w:t xml:space="preserve">la comisión de </w:t>
      </w:r>
      <w:r w:rsidR="0096035F" w:rsidRPr="00E66386">
        <w:rPr>
          <w:rFonts w:asciiTheme="majorHAnsi" w:hAnsiTheme="majorHAnsi"/>
          <w:bCs/>
          <w:sz w:val="20"/>
          <w:szCs w:val="20"/>
          <w:lang w:val="es-UY"/>
        </w:rPr>
        <w:t xml:space="preserve">masacres, </w:t>
      </w:r>
      <w:r w:rsidR="007125E1" w:rsidRPr="00E66386">
        <w:rPr>
          <w:rFonts w:asciiTheme="majorHAnsi" w:hAnsiTheme="majorHAnsi"/>
          <w:bCs/>
          <w:sz w:val="20"/>
          <w:szCs w:val="20"/>
          <w:lang w:val="es-UY"/>
        </w:rPr>
        <w:t>violencia sexual contra mujeres</w:t>
      </w:r>
      <w:r w:rsidR="00964995" w:rsidRPr="00E66386">
        <w:rPr>
          <w:rFonts w:asciiTheme="majorHAnsi" w:hAnsiTheme="majorHAnsi"/>
          <w:bCs/>
          <w:sz w:val="20"/>
          <w:szCs w:val="20"/>
          <w:lang w:val="es-UY"/>
        </w:rPr>
        <w:t xml:space="preserve"> y niñas</w:t>
      </w:r>
      <w:r w:rsidR="007125E1" w:rsidRPr="00E66386">
        <w:rPr>
          <w:rFonts w:asciiTheme="majorHAnsi" w:hAnsiTheme="majorHAnsi"/>
          <w:bCs/>
          <w:sz w:val="20"/>
          <w:szCs w:val="20"/>
          <w:lang w:val="es-UY"/>
        </w:rPr>
        <w:t xml:space="preserve">, actos de tortura y desapariciones </w:t>
      </w:r>
      <w:r w:rsidR="000C25ED" w:rsidRPr="00E66386">
        <w:rPr>
          <w:rFonts w:asciiTheme="majorHAnsi" w:hAnsiTheme="majorHAnsi"/>
          <w:bCs/>
          <w:sz w:val="20"/>
          <w:szCs w:val="20"/>
          <w:lang w:val="es-UY"/>
        </w:rPr>
        <w:t>forzadas,</w:t>
      </w:r>
      <w:r w:rsidR="007125E1" w:rsidRPr="00E66386">
        <w:rPr>
          <w:rFonts w:asciiTheme="majorHAnsi" w:hAnsiTheme="majorHAnsi"/>
          <w:bCs/>
          <w:sz w:val="20"/>
          <w:szCs w:val="20"/>
          <w:lang w:val="es-UY"/>
        </w:rPr>
        <w:t xml:space="preserve"> así como el desplazamiento </w:t>
      </w:r>
      <w:r w:rsidR="00964995" w:rsidRPr="00E66386">
        <w:rPr>
          <w:rFonts w:asciiTheme="majorHAnsi" w:hAnsiTheme="majorHAnsi"/>
          <w:bCs/>
          <w:sz w:val="20"/>
          <w:szCs w:val="20"/>
          <w:lang w:val="es-UY"/>
        </w:rPr>
        <w:t xml:space="preserve">forzado </w:t>
      </w:r>
      <w:r w:rsidR="007125E1" w:rsidRPr="00E66386">
        <w:rPr>
          <w:rFonts w:asciiTheme="majorHAnsi" w:hAnsiTheme="majorHAnsi"/>
          <w:bCs/>
          <w:sz w:val="20"/>
          <w:szCs w:val="20"/>
          <w:lang w:val="es-UY"/>
        </w:rPr>
        <w:t>de las comunidades de su territorio ancestral.</w:t>
      </w:r>
    </w:p>
    <w:p w14:paraId="0270FA96" w14:textId="611AEF46" w:rsidR="001B478B" w:rsidRPr="00E66386" w:rsidRDefault="006159F0" w:rsidP="00D55EF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La parte peticionaria atribuye la r</w:t>
      </w:r>
      <w:r w:rsidR="000C25ED" w:rsidRPr="00E66386">
        <w:rPr>
          <w:rFonts w:asciiTheme="majorHAnsi" w:hAnsiTheme="majorHAnsi"/>
          <w:bCs/>
          <w:sz w:val="20"/>
          <w:szCs w:val="20"/>
          <w:lang w:val="es-UY"/>
        </w:rPr>
        <w:t xml:space="preserve">esponsabilidad </w:t>
      </w:r>
      <w:r w:rsidR="008A6C16" w:rsidRPr="00E66386">
        <w:rPr>
          <w:rFonts w:asciiTheme="majorHAnsi" w:hAnsiTheme="majorHAnsi"/>
          <w:bCs/>
          <w:sz w:val="20"/>
          <w:szCs w:val="20"/>
          <w:lang w:val="es-UY"/>
        </w:rPr>
        <w:t xml:space="preserve">de estos hechos </w:t>
      </w:r>
      <w:r w:rsidRPr="00E66386">
        <w:rPr>
          <w:rFonts w:asciiTheme="majorHAnsi" w:hAnsiTheme="majorHAnsi"/>
          <w:bCs/>
          <w:sz w:val="20"/>
          <w:szCs w:val="20"/>
          <w:lang w:val="es-UY"/>
        </w:rPr>
        <w:t>a</w:t>
      </w:r>
      <w:r w:rsidR="000C25ED" w:rsidRPr="00E66386">
        <w:rPr>
          <w:rFonts w:asciiTheme="majorHAnsi" w:hAnsiTheme="majorHAnsi"/>
          <w:bCs/>
          <w:sz w:val="20"/>
          <w:szCs w:val="20"/>
          <w:lang w:val="es-UY"/>
        </w:rPr>
        <w:t xml:space="preserve">l Estado </w:t>
      </w:r>
      <w:r w:rsidRPr="00E66386">
        <w:rPr>
          <w:rFonts w:asciiTheme="majorHAnsi" w:hAnsiTheme="majorHAnsi"/>
          <w:bCs/>
          <w:sz w:val="20"/>
          <w:szCs w:val="20"/>
          <w:lang w:val="es-UY"/>
        </w:rPr>
        <w:t xml:space="preserve">de Guatemala </w:t>
      </w:r>
      <w:r w:rsidR="000C25ED" w:rsidRPr="00E66386">
        <w:rPr>
          <w:rFonts w:asciiTheme="majorHAnsi" w:hAnsiTheme="majorHAnsi"/>
          <w:bCs/>
          <w:sz w:val="20"/>
          <w:szCs w:val="20"/>
          <w:lang w:val="es-UY"/>
        </w:rPr>
        <w:t>por</w:t>
      </w:r>
      <w:r w:rsidRPr="00E66386">
        <w:rPr>
          <w:rFonts w:asciiTheme="majorHAnsi" w:hAnsiTheme="majorHAnsi"/>
          <w:bCs/>
          <w:sz w:val="20"/>
          <w:szCs w:val="20"/>
          <w:lang w:val="es-UY"/>
        </w:rPr>
        <w:t xml:space="preserve">que </w:t>
      </w:r>
      <w:r w:rsidR="009A1A6E" w:rsidRPr="00E66386">
        <w:rPr>
          <w:rFonts w:asciiTheme="majorHAnsi" w:hAnsiTheme="majorHAnsi"/>
          <w:bCs/>
          <w:sz w:val="20"/>
          <w:szCs w:val="20"/>
          <w:lang w:val="es-UY"/>
        </w:rPr>
        <w:t>los actos habrían</w:t>
      </w:r>
      <w:r w:rsidRPr="00E66386">
        <w:rPr>
          <w:rFonts w:asciiTheme="majorHAnsi" w:hAnsiTheme="majorHAnsi"/>
          <w:bCs/>
          <w:sz w:val="20"/>
          <w:szCs w:val="20"/>
          <w:lang w:val="es-UY"/>
        </w:rPr>
        <w:t xml:space="preserve"> sido </w:t>
      </w:r>
      <w:r w:rsidR="000C25ED" w:rsidRPr="00E66386">
        <w:rPr>
          <w:rFonts w:asciiTheme="majorHAnsi" w:hAnsiTheme="majorHAnsi"/>
          <w:bCs/>
          <w:sz w:val="20"/>
          <w:szCs w:val="20"/>
          <w:lang w:val="es-UY"/>
        </w:rPr>
        <w:t xml:space="preserve">cometidos por </w:t>
      </w:r>
      <w:r w:rsidRPr="00E66386">
        <w:rPr>
          <w:rFonts w:asciiTheme="majorHAnsi" w:hAnsiTheme="majorHAnsi"/>
          <w:bCs/>
          <w:sz w:val="20"/>
          <w:szCs w:val="20"/>
          <w:lang w:val="es-UY"/>
        </w:rPr>
        <w:t>soldados d</w:t>
      </w:r>
      <w:r w:rsidR="000C25ED" w:rsidRPr="00E66386">
        <w:rPr>
          <w:rFonts w:asciiTheme="majorHAnsi" w:hAnsiTheme="majorHAnsi"/>
          <w:bCs/>
          <w:sz w:val="20"/>
          <w:szCs w:val="20"/>
          <w:lang w:val="es-UY"/>
        </w:rPr>
        <w:t>el ejército nacional</w:t>
      </w:r>
      <w:r w:rsidR="004B2AB1" w:rsidRPr="00E66386">
        <w:rPr>
          <w:rFonts w:asciiTheme="majorHAnsi" w:hAnsiTheme="majorHAnsi"/>
          <w:bCs/>
          <w:sz w:val="20"/>
          <w:szCs w:val="20"/>
          <w:lang w:val="es-UY"/>
        </w:rPr>
        <w:t>,</w:t>
      </w:r>
      <w:r w:rsidR="000C25ED" w:rsidRPr="00E66386">
        <w:rPr>
          <w:rFonts w:asciiTheme="majorHAnsi" w:hAnsiTheme="majorHAnsi"/>
          <w:bCs/>
          <w:sz w:val="20"/>
          <w:szCs w:val="20"/>
          <w:lang w:val="es-UY"/>
        </w:rPr>
        <w:t xml:space="preserve"> a</w:t>
      </w:r>
      <w:r w:rsidR="00A93DC1" w:rsidRPr="00E66386">
        <w:rPr>
          <w:rFonts w:asciiTheme="majorHAnsi" w:hAnsiTheme="majorHAnsi"/>
          <w:bCs/>
          <w:sz w:val="20"/>
          <w:szCs w:val="20"/>
          <w:lang w:val="es-UY"/>
        </w:rPr>
        <w:t xml:space="preserve">l igual que </w:t>
      </w:r>
      <w:r w:rsidR="00FB549E" w:rsidRPr="00E66386">
        <w:rPr>
          <w:rFonts w:asciiTheme="majorHAnsi" w:hAnsiTheme="majorHAnsi"/>
          <w:bCs/>
          <w:sz w:val="20"/>
          <w:szCs w:val="20"/>
          <w:lang w:val="es-UY"/>
        </w:rPr>
        <w:t xml:space="preserve">por </w:t>
      </w:r>
      <w:r w:rsidR="00BA2327" w:rsidRPr="00E66386">
        <w:rPr>
          <w:rFonts w:asciiTheme="majorHAnsi" w:hAnsiTheme="majorHAnsi"/>
          <w:bCs/>
          <w:sz w:val="20"/>
          <w:szCs w:val="20"/>
          <w:lang w:val="es-UY"/>
        </w:rPr>
        <w:t>los obstáculos para avanzar en la investigación</w:t>
      </w:r>
      <w:r w:rsidR="009A1A6E" w:rsidRPr="00E66386">
        <w:rPr>
          <w:rFonts w:asciiTheme="majorHAnsi" w:hAnsiTheme="majorHAnsi"/>
          <w:bCs/>
          <w:sz w:val="20"/>
          <w:szCs w:val="20"/>
          <w:lang w:val="es-UY"/>
        </w:rPr>
        <w:t>,</w:t>
      </w:r>
      <w:r w:rsidR="00BA2327" w:rsidRPr="00E66386">
        <w:rPr>
          <w:rFonts w:asciiTheme="majorHAnsi" w:hAnsiTheme="majorHAnsi"/>
          <w:bCs/>
          <w:sz w:val="20"/>
          <w:szCs w:val="20"/>
          <w:lang w:val="es-UY"/>
        </w:rPr>
        <w:t xml:space="preserve"> </w:t>
      </w:r>
      <w:r w:rsidR="00A93DC1" w:rsidRPr="00E66386">
        <w:rPr>
          <w:rFonts w:asciiTheme="majorHAnsi" w:hAnsiTheme="majorHAnsi"/>
          <w:bCs/>
          <w:sz w:val="20"/>
          <w:szCs w:val="20"/>
          <w:lang w:val="es-UY"/>
        </w:rPr>
        <w:t xml:space="preserve">tales </w:t>
      </w:r>
      <w:r w:rsidR="009A1A6E" w:rsidRPr="00E66386">
        <w:rPr>
          <w:rFonts w:asciiTheme="majorHAnsi" w:hAnsiTheme="majorHAnsi"/>
          <w:bCs/>
          <w:sz w:val="20"/>
          <w:szCs w:val="20"/>
          <w:lang w:val="es-UY"/>
        </w:rPr>
        <w:t xml:space="preserve">como la falta de acceso a documentos </w:t>
      </w:r>
      <w:r w:rsidR="00BA2327" w:rsidRPr="00E66386">
        <w:rPr>
          <w:rFonts w:asciiTheme="majorHAnsi" w:hAnsiTheme="majorHAnsi"/>
          <w:bCs/>
          <w:sz w:val="20"/>
          <w:szCs w:val="20"/>
          <w:lang w:val="es-UY"/>
        </w:rPr>
        <w:t>de</w:t>
      </w:r>
      <w:r w:rsidR="009A1A6E" w:rsidRPr="00E66386">
        <w:rPr>
          <w:rFonts w:asciiTheme="majorHAnsi" w:hAnsiTheme="majorHAnsi"/>
          <w:bCs/>
          <w:sz w:val="20"/>
          <w:szCs w:val="20"/>
          <w:lang w:val="es-UY"/>
        </w:rPr>
        <w:t>l</w:t>
      </w:r>
      <w:r w:rsidR="00BA2327" w:rsidRPr="00E66386">
        <w:rPr>
          <w:rFonts w:asciiTheme="majorHAnsi" w:hAnsiTheme="majorHAnsi"/>
          <w:bCs/>
          <w:sz w:val="20"/>
          <w:szCs w:val="20"/>
          <w:lang w:val="es-UY"/>
        </w:rPr>
        <w:t xml:space="preserve"> </w:t>
      </w:r>
      <w:r w:rsidR="009A1A6E" w:rsidRPr="00E66386">
        <w:rPr>
          <w:rFonts w:asciiTheme="majorHAnsi" w:hAnsiTheme="majorHAnsi"/>
          <w:bCs/>
          <w:sz w:val="20"/>
          <w:szCs w:val="20"/>
          <w:lang w:val="es-UY"/>
        </w:rPr>
        <w:t>Ministerio de la Defensa</w:t>
      </w:r>
      <w:r w:rsidR="00C51C64" w:rsidRPr="00E66386">
        <w:rPr>
          <w:rFonts w:asciiTheme="majorHAnsi" w:hAnsiTheme="majorHAnsi"/>
          <w:bCs/>
          <w:sz w:val="20"/>
          <w:szCs w:val="20"/>
          <w:lang w:val="es-UY"/>
        </w:rPr>
        <w:t>,</w:t>
      </w:r>
      <w:r w:rsidR="009A1A6E" w:rsidRPr="00E66386">
        <w:rPr>
          <w:rFonts w:asciiTheme="majorHAnsi" w:hAnsiTheme="majorHAnsi"/>
          <w:bCs/>
          <w:sz w:val="20"/>
          <w:szCs w:val="20"/>
          <w:lang w:val="es-UY"/>
        </w:rPr>
        <w:t xml:space="preserve"> </w:t>
      </w:r>
      <w:r w:rsidR="00BA2327" w:rsidRPr="00E66386">
        <w:rPr>
          <w:rFonts w:asciiTheme="majorHAnsi" w:hAnsiTheme="majorHAnsi"/>
          <w:bCs/>
          <w:sz w:val="20"/>
          <w:szCs w:val="20"/>
          <w:lang w:val="es-UY"/>
        </w:rPr>
        <w:t>y el retardo injustificado en la resolución de los recursos internos</w:t>
      </w:r>
      <w:r w:rsidR="008445D0" w:rsidRPr="00E66386">
        <w:rPr>
          <w:rFonts w:asciiTheme="majorHAnsi" w:hAnsiTheme="majorHAnsi"/>
          <w:bCs/>
          <w:sz w:val="20"/>
          <w:szCs w:val="20"/>
          <w:lang w:val="es-UY"/>
        </w:rPr>
        <w:t>, en particular del p</w:t>
      </w:r>
      <w:r w:rsidR="00BA2327" w:rsidRPr="00E66386">
        <w:rPr>
          <w:rFonts w:asciiTheme="majorHAnsi" w:hAnsiTheme="majorHAnsi"/>
          <w:bCs/>
          <w:sz w:val="20"/>
          <w:szCs w:val="20"/>
          <w:lang w:val="es-UY"/>
        </w:rPr>
        <w:t xml:space="preserve">roceso penal </w:t>
      </w:r>
      <w:r w:rsidR="00C52C37" w:rsidRPr="00E66386">
        <w:rPr>
          <w:rFonts w:asciiTheme="majorHAnsi" w:hAnsiTheme="majorHAnsi"/>
          <w:bCs/>
          <w:sz w:val="20"/>
          <w:szCs w:val="20"/>
          <w:lang w:val="es-UY"/>
        </w:rPr>
        <w:t xml:space="preserve">seguido </w:t>
      </w:r>
      <w:r w:rsidR="00BA2327" w:rsidRPr="00E66386">
        <w:rPr>
          <w:rFonts w:asciiTheme="majorHAnsi" w:hAnsiTheme="majorHAnsi"/>
          <w:bCs/>
          <w:sz w:val="20"/>
          <w:szCs w:val="20"/>
          <w:lang w:val="es-UY"/>
        </w:rPr>
        <w:t xml:space="preserve">contra </w:t>
      </w:r>
      <w:r w:rsidR="008445D0" w:rsidRPr="00E66386">
        <w:rPr>
          <w:rFonts w:asciiTheme="majorHAnsi" w:hAnsiTheme="majorHAnsi"/>
          <w:bCs/>
          <w:sz w:val="20"/>
          <w:szCs w:val="20"/>
          <w:lang w:val="es-UY"/>
        </w:rPr>
        <w:t xml:space="preserve">el exgeneral José </w:t>
      </w:r>
      <w:r w:rsidR="00BA2327" w:rsidRPr="00E66386">
        <w:rPr>
          <w:rFonts w:asciiTheme="majorHAnsi" w:hAnsiTheme="majorHAnsi"/>
          <w:bCs/>
          <w:sz w:val="20"/>
          <w:szCs w:val="20"/>
          <w:lang w:val="es-UY"/>
        </w:rPr>
        <w:t>Efr</w:t>
      </w:r>
      <w:r w:rsidR="008445D0" w:rsidRPr="00E66386">
        <w:rPr>
          <w:rFonts w:asciiTheme="majorHAnsi" w:hAnsiTheme="majorHAnsi"/>
          <w:bCs/>
          <w:sz w:val="20"/>
          <w:szCs w:val="20"/>
          <w:lang w:val="es-UY"/>
        </w:rPr>
        <w:t>aí</w:t>
      </w:r>
      <w:r w:rsidR="00BA2327" w:rsidRPr="00E66386">
        <w:rPr>
          <w:rFonts w:asciiTheme="majorHAnsi" w:hAnsiTheme="majorHAnsi"/>
          <w:bCs/>
          <w:sz w:val="20"/>
          <w:szCs w:val="20"/>
          <w:lang w:val="es-UY"/>
        </w:rPr>
        <w:t>n Ríos Montt y José Mauricio Rodríguez</w:t>
      </w:r>
      <w:r w:rsidR="00056DED" w:rsidRPr="00E66386">
        <w:rPr>
          <w:rFonts w:asciiTheme="majorHAnsi" w:hAnsiTheme="majorHAnsi"/>
          <w:bCs/>
          <w:sz w:val="20"/>
          <w:szCs w:val="20"/>
          <w:lang w:val="es-UY"/>
        </w:rPr>
        <w:t xml:space="preserve"> por genocidio y crímenes de guerra </w:t>
      </w:r>
      <w:r w:rsidR="003A20F7" w:rsidRPr="00E66386">
        <w:rPr>
          <w:rFonts w:asciiTheme="majorHAnsi" w:hAnsiTheme="majorHAnsi"/>
          <w:bCs/>
          <w:sz w:val="20"/>
          <w:szCs w:val="20"/>
          <w:lang w:val="es-UY"/>
        </w:rPr>
        <w:t xml:space="preserve">cometidos </w:t>
      </w:r>
      <w:r w:rsidR="00056DED" w:rsidRPr="00E66386">
        <w:rPr>
          <w:rFonts w:asciiTheme="majorHAnsi" w:hAnsiTheme="majorHAnsi"/>
          <w:bCs/>
          <w:sz w:val="20"/>
          <w:szCs w:val="20"/>
          <w:lang w:val="es-UY"/>
        </w:rPr>
        <w:t xml:space="preserve">contra el Pueblo </w:t>
      </w:r>
      <w:r w:rsidR="00C51C64" w:rsidRPr="00E66386">
        <w:rPr>
          <w:rFonts w:asciiTheme="majorHAnsi" w:hAnsiTheme="majorHAnsi"/>
          <w:bCs/>
          <w:sz w:val="20"/>
          <w:szCs w:val="20"/>
          <w:lang w:val="es-UY"/>
        </w:rPr>
        <w:t>Ixil</w:t>
      </w:r>
      <w:r w:rsidR="003A20F7" w:rsidRPr="00E66386">
        <w:rPr>
          <w:rFonts w:asciiTheme="majorHAnsi" w:hAnsiTheme="majorHAnsi"/>
          <w:bCs/>
          <w:sz w:val="20"/>
          <w:szCs w:val="20"/>
          <w:lang w:val="es-UY"/>
        </w:rPr>
        <w:t xml:space="preserve"> en una situación que consideran, denota un sistema de i</w:t>
      </w:r>
      <w:r w:rsidR="00BE22D7" w:rsidRPr="00E66386">
        <w:rPr>
          <w:rFonts w:asciiTheme="majorHAnsi" w:hAnsiTheme="majorHAnsi"/>
          <w:bCs/>
          <w:sz w:val="20"/>
          <w:szCs w:val="20"/>
          <w:lang w:val="es-UY"/>
        </w:rPr>
        <w:t>mpunidad estructural</w:t>
      </w:r>
      <w:r w:rsidR="003A20F7" w:rsidRPr="00E66386">
        <w:rPr>
          <w:rFonts w:asciiTheme="majorHAnsi" w:hAnsiTheme="majorHAnsi"/>
          <w:bCs/>
          <w:sz w:val="20"/>
          <w:szCs w:val="20"/>
          <w:lang w:val="es-UY"/>
        </w:rPr>
        <w:t xml:space="preserve"> en Guatemala</w:t>
      </w:r>
      <w:r w:rsidR="00BE22D7" w:rsidRPr="00E66386">
        <w:rPr>
          <w:rFonts w:asciiTheme="majorHAnsi" w:hAnsiTheme="majorHAnsi"/>
          <w:bCs/>
          <w:sz w:val="20"/>
          <w:szCs w:val="20"/>
          <w:lang w:val="es-UY"/>
        </w:rPr>
        <w:t>.</w:t>
      </w:r>
    </w:p>
    <w:p w14:paraId="7297D92A" w14:textId="320B1D85" w:rsidR="00E50AC2" w:rsidRPr="00E66386" w:rsidRDefault="00E50AC2" w:rsidP="00E50AC2">
      <w:pPr>
        <w:pStyle w:val="ListParagraph"/>
        <w:spacing w:before="240" w:after="240"/>
        <w:jc w:val="both"/>
        <w:rPr>
          <w:rFonts w:asciiTheme="majorHAnsi" w:hAnsiTheme="majorHAnsi"/>
          <w:bCs/>
          <w:i/>
          <w:iCs/>
          <w:sz w:val="20"/>
          <w:szCs w:val="20"/>
          <w:lang w:val="es-UY"/>
        </w:rPr>
      </w:pPr>
      <w:r w:rsidRPr="00E66386">
        <w:rPr>
          <w:rFonts w:asciiTheme="majorHAnsi" w:hAnsiTheme="majorHAnsi"/>
          <w:bCs/>
          <w:i/>
          <w:iCs/>
          <w:sz w:val="20"/>
          <w:szCs w:val="20"/>
          <w:lang w:val="es-UY"/>
        </w:rPr>
        <w:t xml:space="preserve">Contexto: el conflicto </w:t>
      </w:r>
      <w:r w:rsidR="009C0435" w:rsidRPr="00E66386">
        <w:rPr>
          <w:rFonts w:asciiTheme="majorHAnsi" w:hAnsiTheme="majorHAnsi"/>
          <w:bCs/>
          <w:i/>
          <w:iCs/>
          <w:sz w:val="20"/>
          <w:szCs w:val="20"/>
          <w:lang w:val="es-UY"/>
        </w:rPr>
        <w:t>armad</w:t>
      </w:r>
      <w:r w:rsidRPr="00E66386">
        <w:rPr>
          <w:rFonts w:asciiTheme="majorHAnsi" w:hAnsiTheme="majorHAnsi"/>
          <w:bCs/>
          <w:i/>
          <w:iCs/>
          <w:sz w:val="20"/>
          <w:szCs w:val="20"/>
          <w:lang w:val="es-UY"/>
        </w:rPr>
        <w:t>o en Guatemala</w:t>
      </w:r>
    </w:p>
    <w:p w14:paraId="2571356C" w14:textId="6051EE08" w:rsidR="00E50AC2" w:rsidRPr="00E66386" w:rsidRDefault="0006351F" w:rsidP="00D55EF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lastRenderedPageBreak/>
        <w:t>A modo de contexto, l</w:t>
      </w:r>
      <w:r w:rsidR="00171235" w:rsidRPr="00E66386">
        <w:rPr>
          <w:rFonts w:asciiTheme="majorHAnsi" w:hAnsiTheme="majorHAnsi"/>
          <w:bCs/>
          <w:sz w:val="20"/>
          <w:szCs w:val="20"/>
          <w:lang w:val="es-UY"/>
        </w:rPr>
        <w:t>a</w:t>
      </w:r>
      <w:r w:rsidRPr="00E66386">
        <w:rPr>
          <w:rFonts w:asciiTheme="majorHAnsi" w:hAnsiTheme="majorHAnsi"/>
          <w:bCs/>
          <w:sz w:val="20"/>
          <w:szCs w:val="20"/>
          <w:lang w:val="es-UY"/>
        </w:rPr>
        <w:t>s</w:t>
      </w:r>
      <w:r w:rsidR="00171235" w:rsidRPr="00E66386">
        <w:rPr>
          <w:rFonts w:asciiTheme="majorHAnsi" w:hAnsiTheme="majorHAnsi"/>
          <w:bCs/>
          <w:sz w:val="20"/>
          <w:szCs w:val="20"/>
          <w:lang w:val="es-UY"/>
        </w:rPr>
        <w:t xml:space="preserve"> organizaciones</w:t>
      </w:r>
      <w:r w:rsidRPr="00E66386">
        <w:rPr>
          <w:rFonts w:asciiTheme="majorHAnsi" w:hAnsiTheme="majorHAnsi"/>
          <w:bCs/>
          <w:sz w:val="20"/>
          <w:szCs w:val="20"/>
          <w:lang w:val="es-UY"/>
        </w:rPr>
        <w:t xml:space="preserve"> peticionari</w:t>
      </w:r>
      <w:r w:rsidR="00171235" w:rsidRPr="00E66386">
        <w:rPr>
          <w:rFonts w:asciiTheme="majorHAnsi" w:hAnsiTheme="majorHAnsi"/>
          <w:bCs/>
          <w:sz w:val="20"/>
          <w:szCs w:val="20"/>
          <w:lang w:val="es-UY"/>
        </w:rPr>
        <w:t>a</w:t>
      </w:r>
      <w:r w:rsidRPr="00E66386">
        <w:rPr>
          <w:rFonts w:asciiTheme="majorHAnsi" w:hAnsiTheme="majorHAnsi"/>
          <w:bCs/>
          <w:sz w:val="20"/>
          <w:szCs w:val="20"/>
          <w:lang w:val="es-UY"/>
        </w:rPr>
        <w:t xml:space="preserve">s </w:t>
      </w:r>
      <w:r w:rsidR="0072144F" w:rsidRPr="00E66386">
        <w:rPr>
          <w:rFonts w:asciiTheme="majorHAnsi" w:hAnsiTheme="majorHAnsi"/>
          <w:bCs/>
          <w:sz w:val="20"/>
          <w:szCs w:val="20"/>
          <w:lang w:val="es-UY"/>
        </w:rPr>
        <w:t xml:space="preserve">reseñan que </w:t>
      </w:r>
      <w:r w:rsidR="00504B6D" w:rsidRPr="00E66386">
        <w:rPr>
          <w:rFonts w:asciiTheme="majorHAnsi" w:hAnsiTheme="majorHAnsi"/>
          <w:bCs/>
          <w:sz w:val="20"/>
          <w:szCs w:val="20"/>
          <w:lang w:val="es-UY"/>
        </w:rPr>
        <w:t>Guatemala se</w:t>
      </w:r>
      <w:r w:rsidR="0008237A" w:rsidRPr="00E66386">
        <w:rPr>
          <w:rFonts w:asciiTheme="majorHAnsi" w:hAnsiTheme="majorHAnsi"/>
          <w:bCs/>
          <w:sz w:val="20"/>
          <w:szCs w:val="20"/>
          <w:lang w:val="es-UY"/>
        </w:rPr>
        <w:t xml:space="preserve"> </w:t>
      </w:r>
      <w:r w:rsidR="00504B6D" w:rsidRPr="00E66386">
        <w:rPr>
          <w:rFonts w:asciiTheme="majorHAnsi" w:hAnsiTheme="majorHAnsi"/>
          <w:bCs/>
          <w:sz w:val="20"/>
          <w:szCs w:val="20"/>
          <w:lang w:val="es-UY"/>
        </w:rPr>
        <w:t xml:space="preserve">vio sumergida en un conflicto armado </w:t>
      </w:r>
      <w:r w:rsidR="0072144F" w:rsidRPr="00E66386">
        <w:rPr>
          <w:rFonts w:asciiTheme="majorHAnsi" w:hAnsiTheme="majorHAnsi"/>
          <w:bCs/>
          <w:sz w:val="20"/>
          <w:szCs w:val="20"/>
          <w:lang w:val="es-UY"/>
        </w:rPr>
        <w:t>e</w:t>
      </w:r>
      <w:r w:rsidRPr="00E66386">
        <w:rPr>
          <w:rFonts w:asciiTheme="majorHAnsi" w:hAnsiTheme="majorHAnsi"/>
          <w:bCs/>
          <w:sz w:val="20"/>
          <w:szCs w:val="20"/>
          <w:lang w:val="es-UY"/>
        </w:rPr>
        <w:t>ntre 1962 y 1996</w:t>
      </w:r>
      <w:r w:rsidR="0072144F" w:rsidRPr="00E66386">
        <w:rPr>
          <w:rFonts w:asciiTheme="majorHAnsi" w:hAnsiTheme="majorHAnsi"/>
          <w:bCs/>
          <w:sz w:val="20"/>
          <w:szCs w:val="20"/>
          <w:lang w:val="es-UY"/>
        </w:rPr>
        <w:t xml:space="preserve"> </w:t>
      </w:r>
      <w:r w:rsidR="007E75C3" w:rsidRPr="00E66386">
        <w:rPr>
          <w:rFonts w:asciiTheme="majorHAnsi" w:hAnsiTheme="majorHAnsi"/>
          <w:bCs/>
          <w:sz w:val="20"/>
          <w:szCs w:val="20"/>
          <w:lang w:val="es-UY"/>
        </w:rPr>
        <w:t xml:space="preserve">entre las fuerzas armadas del Estado y facciones guerrilleras que conformaron la Unidad Revolucionaria Nacional Guatemalteca (en adelante “UNRG”). </w:t>
      </w:r>
      <w:r w:rsidR="00B23A5B" w:rsidRPr="00E66386">
        <w:rPr>
          <w:rFonts w:asciiTheme="majorHAnsi" w:hAnsiTheme="majorHAnsi"/>
          <w:bCs/>
          <w:sz w:val="20"/>
          <w:szCs w:val="20"/>
          <w:lang w:val="es-UY"/>
        </w:rPr>
        <w:t xml:space="preserve">Enfatizan que, de acuerdo con los hallazgos de la </w:t>
      </w:r>
      <w:r w:rsidR="00134335" w:rsidRPr="00E66386">
        <w:rPr>
          <w:rFonts w:asciiTheme="majorHAnsi" w:hAnsiTheme="majorHAnsi"/>
          <w:bCs/>
          <w:sz w:val="20"/>
          <w:szCs w:val="20"/>
          <w:lang w:val="es-UY"/>
        </w:rPr>
        <w:t>Comisión de Esclarecimiento Histórico</w:t>
      </w:r>
      <w:r w:rsidR="00B23A5B" w:rsidRPr="00E66386">
        <w:rPr>
          <w:rFonts w:asciiTheme="majorHAnsi" w:hAnsiTheme="majorHAnsi"/>
          <w:bCs/>
          <w:sz w:val="20"/>
          <w:szCs w:val="20"/>
          <w:lang w:val="es-UY"/>
        </w:rPr>
        <w:t xml:space="preserve"> (en adelante “CEH”)</w:t>
      </w:r>
      <w:r w:rsidR="00C23B3B" w:rsidRPr="00E66386">
        <w:rPr>
          <w:rFonts w:asciiTheme="majorHAnsi" w:hAnsiTheme="majorHAnsi"/>
          <w:bCs/>
          <w:sz w:val="20"/>
          <w:szCs w:val="20"/>
          <w:lang w:val="es-UY"/>
        </w:rPr>
        <w:t>;</w:t>
      </w:r>
      <w:r w:rsidR="00B23A5B" w:rsidRPr="00E66386">
        <w:rPr>
          <w:rFonts w:asciiTheme="majorHAnsi" w:hAnsiTheme="majorHAnsi"/>
          <w:bCs/>
          <w:sz w:val="20"/>
          <w:szCs w:val="20"/>
          <w:lang w:val="es-UY"/>
        </w:rPr>
        <w:t xml:space="preserve"> </w:t>
      </w:r>
      <w:r w:rsidR="00491D6D" w:rsidRPr="00E66386">
        <w:rPr>
          <w:rFonts w:asciiTheme="majorHAnsi" w:hAnsiTheme="majorHAnsi"/>
          <w:bCs/>
          <w:sz w:val="20"/>
          <w:szCs w:val="20"/>
          <w:lang w:val="es-UY"/>
        </w:rPr>
        <w:t xml:space="preserve">las fuerzas de seguridad del Estado guatemalteco </w:t>
      </w:r>
      <w:r w:rsidR="0008237A" w:rsidRPr="00E66386">
        <w:rPr>
          <w:rFonts w:asciiTheme="majorHAnsi" w:hAnsiTheme="majorHAnsi"/>
          <w:bCs/>
          <w:sz w:val="20"/>
          <w:szCs w:val="20"/>
          <w:lang w:val="es-UY"/>
        </w:rPr>
        <w:t>fueron</w:t>
      </w:r>
      <w:r w:rsidR="00491D6D" w:rsidRPr="00E66386">
        <w:rPr>
          <w:rFonts w:asciiTheme="majorHAnsi" w:hAnsiTheme="majorHAnsi"/>
          <w:bCs/>
          <w:sz w:val="20"/>
          <w:szCs w:val="20"/>
          <w:lang w:val="es-UY"/>
        </w:rPr>
        <w:t xml:space="preserve"> responsables del </w:t>
      </w:r>
      <w:r w:rsidR="00B23A5B" w:rsidRPr="00E66386">
        <w:rPr>
          <w:rFonts w:asciiTheme="majorHAnsi" w:hAnsiTheme="majorHAnsi"/>
          <w:bCs/>
          <w:sz w:val="20"/>
          <w:szCs w:val="20"/>
          <w:lang w:val="es-UY"/>
        </w:rPr>
        <w:t xml:space="preserve">93% de </w:t>
      </w:r>
      <w:r w:rsidR="00491D6D" w:rsidRPr="00E66386">
        <w:rPr>
          <w:rFonts w:asciiTheme="majorHAnsi" w:hAnsiTheme="majorHAnsi"/>
          <w:bCs/>
          <w:sz w:val="20"/>
          <w:szCs w:val="20"/>
          <w:lang w:val="es-UY"/>
        </w:rPr>
        <w:t>las graves violaciones de derechos humanos cometidas durante el conflicto armado</w:t>
      </w:r>
      <w:r w:rsidR="00C23B3B" w:rsidRPr="00E66386">
        <w:rPr>
          <w:rFonts w:asciiTheme="majorHAnsi" w:hAnsiTheme="majorHAnsi"/>
          <w:bCs/>
          <w:sz w:val="20"/>
          <w:szCs w:val="20"/>
          <w:lang w:val="es-UY"/>
        </w:rPr>
        <w:t>,</w:t>
      </w:r>
      <w:r w:rsidR="004F0828" w:rsidRPr="00E66386">
        <w:rPr>
          <w:rFonts w:asciiTheme="majorHAnsi" w:hAnsiTheme="majorHAnsi"/>
          <w:bCs/>
          <w:sz w:val="20"/>
          <w:szCs w:val="20"/>
          <w:lang w:val="es-UY"/>
        </w:rPr>
        <w:t xml:space="preserve"> y que el 83% de las víctimas </w:t>
      </w:r>
      <w:r w:rsidR="00F7191F" w:rsidRPr="00E66386">
        <w:rPr>
          <w:rFonts w:asciiTheme="majorHAnsi" w:hAnsiTheme="majorHAnsi"/>
          <w:bCs/>
          <w:sz w:val="20"/>
          <w:szCs w:val="20"/>
          <w:lang w:val="es-UY"/>
        </w:rPr>
        <w:t xml:space="preserve">fallecidas </w:t>
      </w:r>
      <w:r w:rsidR="009256C5" w:rsidRPr="00E66386">
        <w:rPr>
          <w:rFonts w:asciiTheme="majorHAnsi" w:hAnsiTheme="majorHAnsi"/>
          <w:bCs/>
          <w:sz w:val="20"/>
          <w:szCs w:val="20"/>
          <w:lang w:val="es-UY"/>
        </w:rPr>
        <w:t>fuero</w:t>
      </w:r>
      <w:r w:rsidR="004F0828" w:rsidRPr="00E66386">
        <w:rPr>
          <w:rFonts w:asciiTheme="majorHAnsi" w:hAnsiTheme="majorHAnsi"/>
          <w:bCs/>
          <w:sz w:val="20"/>
          <w:szCs w:val="20"/>
          <w:lang w:val="es-UY"/>
        </w:rPr>
        <w:t xml:space="preserve">n </w:t>
      </w:r>
      <w:r w:rsidR="00BD58CE" w:rsidRPr="00E66386">
        <w:rPr>
          <w:rFonts w:asciiTheme="majorHAnsi" w:hAnsiTheme="majorHAnsi"/>
          <w:bCs/>
          <w:sz w:val="20"/>
          <w:szCs w:val="20"/>
          <w:lang w:val="es-UY"/>
        </w:rPr>
        <w:t>indígenas mayas</w:t>
      </w:r>
      <w:r w:rsidR="00A666A3" w:rsidRPr="00E66386">
        <w:rPr>
          <w:rFonts w:asciiTheme="majorHAnsi" w:hAnsiTheme="majorHAnsi"/>
          <w:bCs/>
          <w:sz w:val="20"/>
          <w:szCs w:val="20"/>
          <w:lang w:val="es-UY"/>
        </w:rPr>
        <w:t>.</w:t>
      </w:r>
      <w:r w:rsidR="008561A5" w:rsidRPr="00E66386">
        <w:rPr>
          <w:rFonts w:asciiTheme="majorHAnsi" w:hAnsiTheme="majorHAnsi"/>
          <w:bCs/>
          <w:sz w:val="20"/>
          <w:szCs w:val="20"/>
          <w:lang w:val="es-UY"/>
        </w:rPr>
        <w:t xml:space="preserve"> Asimismo, resaltan que la CEH concluyó en su informe que </w:t>
      </w:r>
      <w:r w:rsidR="00AA43E5" w:rsidRPr="00E66386">
        <w:rPr>
          <w:rFonts w:asciiTheme="majorHAnsi" w:hAnsiTheme="majorHAnsi"/>
          <w:bCs/>
          <w:sz w:val="20"/>
          <w:szCs w:val="20"/>
          <w:lang w:val="es-UY"/>
        </w:rPr>
        <w:t>“</w:t>
      </w:r>
      <w:r w:rsidR="00AA43E5" w:rsidRPr="00E66386">
        <w:rPr>
          <w:rFonts w:asciiTheme="majorHAnsi" w:hAnsiTheme="majorHAnsi"/>
          <w:bCs/>
          <w:i/>
          <w:iCs/>
          <w:sz w:val="20"/>
          <w:szCs w:val="20"/>
          <w:lang w:val="es-UY"/>
        </w:rPr>
        <w:t>agentes del Estado de Guatemala, en el marco de las operaciones contrainsurgentes realizadas entre los años 1981 y 1983 ejecutaron actos de genocidio en contra de grupos del pue</w:t>
      </w:r>
      <w:r w:rsidR="0041430B" w:rsidRPr="00E66386">
        <w:rPr>
          <w:rFonts w:asciiTheme="majorHAnsi" w:hAnsiTheme="majorHAnsi"/>
          <w:bCs/>
          <w:i/>
          <w:iCs/>
          <w:sz w:val="20"/>
          <w:szCs w:val="20"/>
          <w:lang w:val="es-UY"/>
        </w:rPr>
        <w:t>blo m</w:t>
      </w:r>
      <w:r w:rsidR="0041430B" w:rsidRPr="00E66386">
        <w:rPr>
          <w:rFonts w:asciiTheme="majorHAnsi" w:hAnsiTheme="majorHAnsi"/>
          <w:bCs/>
          <w:sz w:val="20"/>
          <w:szCs w:val="20"/>
          <w:lang w:val="es-UY"/>
        </w:rPr>
        <w:t>aya […]”</w:t>
      </w:r>
      <w:r w:rsidR="0041430B" w:rsidRPr="00E66386">
        <w:rPr>
          <w:rStyle w:val="FootnoteReference"/>
          <w:rFonts w:asciiTheme="majorHAnsi" w:hAnsiTheme="majorHAnsi"/>
          <w:bCs/>
          <w:sz w:val="20"/>
          <w:szCs w:val="20"/>
          <w:lang w:val="es-UY"/>
        </w:rPr>
        <w:footnoteReference w:id="7"/>
      </w:r>
      <w:r w:rsidR="0041430B" w:rsidRPr="00E66386">
        <w:rPr>
          <w:rFonts w:asciiTheme="majorHAnsi" w:hAnsiTheme="majorHAnsi"/>
          <w:bCs/>
          <w:sz w:val="20"/>
          <w:szCs w:val="20"/>
          <w:lang w:val="es-UY"/>
        </w:rPr>
        <w:t>.</w:t>
      </w:r>
    </w:p>
    <w:p w14:paraId="1565976D" w14:textId="49DF11ED" w:rsidR="001906D2" w:rsidRPr="00E66386" w:rsidRDefault="00365153" w:rsidP="00D55EF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Los peticionarios relata</w:t>
      </w:r>
      <w:r w:rsidR="00CA058B" w:rsidRPr="00E66386">
        <w:rPr>
          <w:rFonts w:asciiTheme="majorHAnsi" w:hAnsiTheme="majorHAnsi"/>
          <w:bCs/>
          <w:sz w:val="20"/>
          <w:szCs w:val="20"/>
          <w:lang w:val="es-UY"/>
        </w:rPr>
        <w:t>n</w:t>
      </w:r>
      <w:r w:rsidRPr="00E66386">
        <w:rPr>
          <w:rFonts w:asciiTheme="majorHAnsi" w:hAnsiTheme="majorHAnsi"/>
          <w:bCs/>
          <w:sz w:val="20"/>
          <w:szCs w:val="20"/>
          <w:lang w:val="es-UY"/>
        </w:rPr>
        <w:t xml:space="preserve"> que</w:t>
      </w:r>
      <w:r w:rsidR="00805808" w:rsidRPr="00E66386">
        <w:rPr>
          <w:rFonts w:asciiTheme="majorHAnsi" w:hAnsiTheme="majorHAnsi"/>
          <w:bCs/>
          <w:sz w:val="20"/>
          <w:szCs w:val="20"/>
          <w:lang w:val="es-UY"/>
        </w:rPr>
        <w:t>,</w:t>
      </w:r>
      <w:r w:rsidRPr="00E66386">
        <w:rPr>
          <w:rFonts w:asciiTheme="majorHAnsi" w:hAnsiTheme="majorHAnsi"/>
          <w:bCs/>
          <w:sz w:val="20"/>
          <w:szCs w:val="20"/>
          <w:lang w:val="es-UY"/>
        </w:rPr>
        <w:t xml:space="preserve"> a inicios de la década de los setenta, </w:t>
      </w:r>
      <w:r w:rsidR="00CA058B" w:rsidRPr="00E66386">
        <w:rPr>
          <w:rFonts w:asciiTheme="majorHAnsi" w:hAnsiTheme="majorHAnsi"/>
          <w:bCs/>
          <w:sz w:val="20"/>
          <w:szCs w:val="20"/>
          <w:lang w:val="es-UY"/>
        </w:rPr>
        <w:t>surgieron en Guatemala dos grupos guerrilleros:</w:t>
      </w:r>
      <w:r w:rsidR="00ED547E" w:rsidRPr="00E66386">
        <w:rPr>
          <w:rFonts w:asciiTheme="majorHAnsi" w:hAnsiTheme="majorHAnsi"/>
          <w:bCs/>
          <w:sz w:val="20"/>
          <w:szCs w:val="20"/>
          <w:lang w:val="es-UY"/>
        </w:rPr>
        <w:t xml:space="preserve"> el Ejército Guerrillero de los Pobres (en adelante “EGP”) y la Organización del Pueblo en Armas (en adelante “ORPA”)</w:t>
      </w:r>
      <w:r w:rsidR="000E46EA" w:rsidRPr="00E66386">
        <w:rPr>
          <w:rFonts w:asciiTheme="majorHAnsi" w:hAnsiTheme="majorHAnsi"/>
          <w:bCs/>
          <w:sz w:val="20"/>
          <w:szCs w:val="20"/>
          <w:lang w:val="es-UY"/>
        </w:rPr>
        <w:t>.</w:t>
      </w:r>
      <w:r w:rsidR="00E037E9" w:rsidRPr="00E66386">
        <w:rPr>
          <w:rFonts w:asciiTheme="majorHAnsi" w:hAnsiTheme="majorHAnsi"/>
          <w:bCs/>
          <w:sz w:val="20"/>
          <w:szCs w:val="20"/>
          <w:lang w:val="es-UY"/>
        </w:rPr>
        <w:t xml:space="preserve"> </w:t>
      </w:r>
      <w:r w:rsidR="00C23B3B" w:rsidRPr="00E66386">
        <w:rPr>
          <w:rFonts w:asciiTheme="majorHAnsi" w:hAnsiTheme="majorHAnsi"/>
          <w:bCs/>
          <w:sz w:val="20"/>
          <w:szCs w:val="20"/>
          <w:lang w:val="es-UY"/>
        </w:rPr>
        <w:t>A</w:t>
      </w:r>
      <w:r w:rsidR="00212933" w:rsidRPr="00E66386">
        <w:rPr>
          <w:rFonts w:asciiTheme="majorHAnsi" w:hAnsiTheme="majorHAnsi"/>
          <w:bCs/>
          <w:sz w:val="20"/>
          <w:szCs w:val="20"/>
          <w:lang w:val="es-UY"/>
        </w:rPr>
        <w:t xml:space="preserve"> su vez, </w:t>
      </w:r>
      <w:r w:rsidR="00E037E9" w:rsidRPr="00E66386">
        <w:rPr>
          <w:rFonts w:asciiTheme="majorHAnsi" w:hAnsiTheme="majorHAnsi"/>
          <w:bCs/>
          <w:sz w:val="20"/>
          <w:szCs w:val="20"/>
          <w:lang w:val="es-UY"/>
        </w:rPr>
        <w:t>como producto del golpe de Estado acaecido el 23 de marzo de 1982</w:t>
      </w:r>
      <w:r w:rsidR="00EA256D" w:rsidRPr="00E66386">
        <w:rPr>
          <w:rFonts w:asciiTheme="majorHAnsi" w:hAnsiTheme="majorHAnsi"/>
          <w:bCs/>
          <w:sz w:val="20"/>
          <w:szCs w:val="20"/>
          <w:lang w:val="es-UY"/>
        </w:rPr>
        <w:t xml:space="preserve">, un grupo de militares instaló al General José Efraín Ríos Montt como </w:t>
      </w:r>
      <w:r w:rsidR="00CD3D84" w:rsidRPr="00E66386">
        <w:rPr>
          <w:rFonts w:asciiTheme="majorHAnsi" w:hAnsiTheme="majorHAnsi"/>
          <w:bCs/>
          <w:sz w:val="20"/>
          <w:szCs w:val="20"/>
          <w:lang w:val="es-UY"/>
        </w:rPr>
        <w:t>P</w:t>
      </w:r>
      <w:r w:rsidR="00EA256D" w:rsidRPr="00E66386">
        <w:rPr>
          <w:rFonts w:asciiTheme="majorHAnsi" w:hAnsiTheme="majorHAnsi"/>
          <w:bCs/>
          <w:sz w:val="20"/>
          <w:szCs w:val="20"/>
          <w:lang w:val="es-UY"/>
        </w:rPr>
        <w:t>residente de la Junta Militar de Gobierno</w:t>
      </w:r>
      <w:r w:rsidR="0005354B" w:rsidRPr="00E66386">
        <w:rPr>
          <w:rFonts w:asciiTheme="majorHAnsi" w:hAnsiTheme="majorHAnsi"/>
          <w:bCs/>
          <w:sz w:val="20"/>
          <w:szCs w:val="20"/>
          <w:lang w:val="es-UY"/>
        </w:rPr>
        <w:t xml:space="preserve"> del país, y al General Horacio Maldonado Shaad y al Coronel Francisco Luis Gordilla Martínez como vocales.</w:t>
      </w:r>
      <w:r w:rsidR="00212933" w:rsidRPr="00E66386">
        <w:rPr>
          <w:rFonts w:asciiTheme="majorHAnsi" w:hAnsiTheme="majorHAnsi"/>
          <w:bCs/>
          <w:sz w:val="20"/>
          <w:szCs w:val="20"/>
          <w:lang w:val="es-UY"/>
        </w:rPr>
        <w:t xml:space="preserve"> El 9 de </w:t>
      </w:r>
      <w:r w:rsidR="00117AAC" w:rsidRPr="00E66386">
        <w:rPr>
          <w:rFonts w:asciiTheme="majorHAnsi" w:hAnsiTheme="majorHAnsi"/>
          <w:bCs/>
          <w:sz w:val="20"/>
          <w:szCs w:val="20"/>
          <w:lang w:val="es-UY"/>
        </w:rPr>
        <w:t xml:space="preserve">junio de 1982 el General Ríos Montt se autoproclamó </w:t>
      </w:r>
      <w:r w:rsidR="00FC190A" w:rsidRPr="00E66386">
        <w:rPr>
          <w:rFonts w:asciiTheme="majorHAnsi" w:hAnsiTheme="majorHAnsi"/>
          <w:bCs/>
          <w:sz w:val="20"/>
          <w:szCs w:val="20"/>
          <w:lang w:val="es-UY"/>
        </w:rPr>
        <w:t>P</w:t>
      </w:r>
      <w:r w:rsidR="00117AAC" w:rsidRPr="00E66386">
        <w:rPr>
          <w:rFonts w:asciiTheme="majorHAnsi" w:hAnsiTheme="majorHAnsi"/>
          <w:bCs/>
          <w:sz w:val="20"/>
          <w:szCs w:val="20"/>
          <w:lang w:val="es-UY"/>
        </w:rPr>
        <w:t xml:space="preserve">residente de la </w:t>
      </w:r>
      <w:r w:rsidR="00FC190A" w:rsidRPr="00E66386">
        <w:rPr>
          <w:rFonts w:asciiTheme="majorHAnsi" w:hAnsiTheme="majorHAnsi"/>
          <w:bCs/>
          <w:sz w:val="20"/>
          <w:szCs w:val="20"/>
          <w:lang w:val="es-UY"/>
        </w:rPr>
        <w:t>R</w:t>
      </w:r>
      <w:r w:rsidR="00117AAC" w:rsidRPr="00E66386">
        <w:rPr>
          <w:rFonts w:asciiTheme="majorHAnsi" w:hAnsiTheme="majorHAnsi"/>
          <w:bCs/>
          <w:sz w:val="20"/>
          <w:szCs w:val="20"/>
          <w:lang w:val="es-UY"/>
        </w:rPr>
        <w:t>epública y prescindió de los vocales.</w:t>
      </w:r>
    </w:p>
    <w:p w14:paraId="61087491" w14:textId="3080396F" w:rsidR="000267D1" w:rsidRPr="00E66386" w:rsidRDefault="00083E4D" w:rsidP="00D55EF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La parte peticionaria sostiene que desde el Alto Mando de</w:t>
      </w:r>
      <w:r w:rsidR="00687351" w:rsidRPr="00E66386">
        <w:rPr>
          <w:rFonts w:asciiTheme="majorHAnsi" w:hAnsiTheme="majorHAnsi"/>
          <w:bCs/>
          <w:sz w:val="20"/>
          <w:szCs w:val="20"/>
          <w:lang w:val="es-UY"/>
        </w:rPr>
        <w:t>l</w:t>
      </w:r>
      <w:r w:rsidRPr="00E66386">
        <w:rPr>
          <w:rFonts w:asciiTheme="majorHAnsi" w:hAnsiTheme="majorHAnsi"/>
          <w:bCs/>
          <w:sz w:val="20"/>
          <w:szCs w:val="20"/>
          <w:lang w:val="es-UY"/>
        </w:rPr>
        <w:t xml:space="preserve"> gobierno se planific</w:t>
      </w:r>
      <w:r w:rsidR="002A55F5" w:rsidRPr="00E66386">
        <w:rPr>
          <w:rFonts w:asciiTheme="majorHAnsi" w:hAnsiTheme="majorHAnsi"/>
          <w:bCs/>
          <w:sz w:val="20"/>
          <w:szCs w:val="20"/>
          <w:lang w:val="es-UY"/>
        </w:rPr>
        <w:t xml:space="preserve">aron </w:t>
      </w:r>
      <w:r w:rsidRPr="00E66386">
        <w:rPr>
          <w:rFonts w:asciiTheme="majorHAnsi" w:hAnsiTheme="majorHAnsi"/>
          <w:bCs/>
          <w:sz w:val="20"/>
          <w:szCs w:val="20"/>
          <w:lang w:val="es-UY"/>
        </w:rPr>
        <w:t>y ejecu</w:t>
      </w:r>
      <w:r w:rsidR="00911763" w:rsidRPr="00E66386">
        <w:rPr>
          <w:rFonts w:asciiTheme="majorHAnsi" w:hAnsiTheme="majorHAnsi"/>
          <w:bCs/>
          <w:sz w:val="20"/>
          <w:szCs w:val="20"/>
          <w:lang w:val="es-UY"/>
        </w:rPr>
        <w:t>t</w:t>
      </w:r>
      <w:r w:rsidR="002A55F5" w:rsidRPr="00E66386">
        <w:rPr>
          <w:rFonts w:asciiTheme="majorHAnsi" w:hAnsiTheme="majorHAnsi"/>
          <w:bCs/>
          <w:sz w:val="20"/>
          <w:szCs w:val="20"/>
          <w:lang w:val="es-UY"/>
        </w:rPr>
        <w:t>aron</w:t>
      </w:r>
      <w:r w:rsidR="00911763" w:rsidRPr="00E66386">
        <w:rPr>
          <w:rFonts w:asciiTheme="majorHAnsi" w:hAnsiTheme="majorHAnsi"/>
          <w:bCs/>
          <w:sz w:val="20"/>
          <w:szCs w:val="20"/>
          <w:lang w:val="es-UY"/>
        </w:rPr>
        <w:t xml:space="preserve"> </w:t>
      </w:r>
      <w:r w:rsidR="00B04C18" w:rsidRPr="00E66386">
        <w:rPr>
          <w:rFonts w:asciiTheme="majorHAnsi" w:hAnsiTheme="majorHAnsi"/>
          <w:bCs/>
          <w:sz w:val="20"/>
          <w:szCs w:val="20"/>
          <w:lang w:val="es-UY"/>
        </w:rPr>
        <w:t xml:space="preserve">varias </w:t>
      </w:r>
      <w:r w:rsidR="00911763" w:rsidRPr="00E66386">
        <w:rPr>
          <w:rFonts w:asciiTheme="majorHAnsi" w:hAnsiTheme="majorHAnsi"/>
          <w:bCs/>
          <w:sz w:val="20"/>
          <w:szCs w:val="20"/>
          <w:lang w:val="es-UY"/>
        </w:rPr>
        <w:t>campaña</w:t>
      </w:r>
      <w:r w:rsidR="00B04C18" w:rsidRPr="00E66386">
        <w:rPr>
          <w:rFonts w:asciiTheme="majorHAnsi" w:hAnsiTheme="majorHAnsi"/>
          <w:bCs/>
          <w:sz w:val="20"/>
          <w:szCs w:val="20"/>
          <w:lang w:val="es-UY"/>
        </w:rPr>
        <w:t>s</w:t>
      </w:r>
      <w:r w:rsidR="00911763" w:rsidRPr="00E66386">
        <w:rPr>
          <w:rFonts w:asciiTheme="majorHAnsi" w:hAnsiTheme="majorHAnsi"/>
          <w:bCs/>
          <w:sz w:val="20"/>
          <w:szCs w:val="20"/>
          <w:lang w:val="es-UY"/>
        </w:rPr>
        <w:t xml:space="preserve"> contrainsurgente</w:t>
      </w:r>
      <w:r w:rsidR="00B04C18" w:rsidRPr="00E66386">
        <w:rPr>
          <w:rFonts w:asciiTheme="majorHAnsi" w:hAnsiTheme="majorHAnsi"/>
          <w:bCs/>
          <w:sz w:val="20"/>
          <w:szCs w:val="20"/>
          <w:lang w:val="es-UY"/>
        </w:rPr>
        <w:t>s que incluyeron la reorganización de las fuerzas armadas y la dotación de recursos materiales y humanos con el fin de erradicar</w:t>
      </w:r>
      <w:r w:rsidR="00960964" w:rsidRPr="00E66386">
        <w:rPr>
          <w:rFonts w:asciiTheme="majorHAnsi" w:hAnsiTheme="majorHAnsi"/>
          <w:bCs/>
          <w:sz w:val="20"/>
          <w:szCs w:val="20"/>
          <w:lang w:val="es-UY"/>
        </w:rPr>
        <w:t xml:space="preserve"> a los grupos guerrilleros y a algunos grupos étnicos acusados de ser la base </w:t>
      </w:r>
      <w:r w:rsidR="00CB2CBF" w:rsidRPr="00E66386">
        <w:rPr>
          <w:rFonts w:asciiTheme="majorHAnsi" w:hAnsiTheme="majorHAnsi"/>
          <w:bCs/>
          <w:sz w:val="20"/>
          <w:szCs w:val="20"/>
          <w:lang w:val="es-UY"/>
        </w:rPr>
        <w:t xml:space="preserve">social </w:t>
      </w:r>
      <w:r w:rsidR="00960964" w:rsidRPr="00E66386">
        <w:rPr>
          <w:rFonts w:asciiTheme="majorHAnsi" w:hAnsiTheme="majorHAnsi"/>
          <w:bCs/>
          <w:sz w:val="20"/>
          <w:szCs w:val="20"/>
          <w:lang w:val="es-UY"/>
        </w:rPr>
        <w:t xml:space="preserve">de </w:t>
      </w:r>
      <w:r w:rsidR="00CB2CBF" w:rsidRPr="00E66386">
        <w:rPr>
          <w:rFonts w:asciiTheme="majorHAnsi" w:hAnsiTheme="majorHAnsi"/>
          <w:bCs/>
          <w:sz w:val="20"/>
          <w:szCs w:val="20"/>
          <w:lang w:val="es-UY"/>
        </w:rPr>
        <w:t>las guerrillas</w:t>
      </w:r>
      <w:r w:rsidR="00960964" w:rsidRPr="00E66386">
        <w:rPr>
          <w:rFonts w:asciiTheme="majorHAnsi" w:hAnsiTheme="majorHAnsi"/>
          <w:bCs/>
          <w:sz w:val="20"/>
          <w:szCs w:val="20"/>
          <w:lang w:val="es-UY"/>
        </w:rPr>
        <w:t>.</w:t>
      </w:r>
      <w:r w:rsidR="00617692" w:rsidRPr="00E66386">
        <w:rPr>
          <w:rFonts w:asciiTheme="majorHAnsi" w:hAnsiTheme="majorHAnsi"/>
          <w:bCs/>
          <w:sz w:val="20"/>
          <w:szCs w:val="20"/>
          <w:lang w:val="es-UY"/>
        </w:rPr>
        <w:t xml:space="preserve"> La CEH consideró que entre 1981 y 1983 el ejército identificó a grupos del pueblo maya como el enemigo interno</w:t>
      </w:r>
      <w:r w:rsidR="009905CE" w:rsidRPr="00E66386">
        <w:rPr>
          <w:rFonts w:asciiTheme="majorHAnsi" w:hAnsiTheme="majorHAnsi"/>
          <w:bCs/>
          <w:sz w:val="20"/>
          <w:szCs w:val="20"/>
          <w:lang w:val="es-UY"/>
        </w:rPr>
        <w:t xml:space="preserve"> porque </w:t>
      </w:r>
      <w:r w:rsidR="00957EC1" w:rsidRPr="00E66386">
        <w:rPr>
          <w:rFonts w:asciiTheme="majorHAnsi" w:hAnsiTheme="majorHAnsi"/>
          <w:bCs/>
          <w:sz w:val="20"/>
          <w:szCs w:val="20"/>
          <w:lang w:val="es-UY"/>
        </w:rPr>
        <w:t xml:space="preserve">los </w:t>
      </w:r>
      <w:r w:rsidR="009905CE" w:rsidRPr="00E66386">
        <w:rPr>
          <w:rFonts w:asciiTheme="majorHAnsi" w:hAnsiTheme="majorHAnsi"/>
          <w:bCs/>
          <w:sz w:val="20"/>
          <w:szCs w:val="20"/>
          <w:lang w:val="es-UY"/>
        </w:rPr>
        <w:t>esti</w:t>
      </w:r>
      <w:r w:rsidR="00957EC1" w:rsidRPr="00E66386">
        <w:rPr>
          <w:rFonts w:asciiTheme="majorHAnsi" w:hAnsiTheme="majorHAnsi"/>
          <w:bCs/>
          <w:sz w:val="20"/>
          <w:szCs w:val="20"/>
          <w:lang w:val="es-UY"/>
        </w:rPr>
        <w:t>gmatiz</w:t>
      </w:r>
      <w:r w:rsidR="009905CE" w:rsidRPr="00E66386">
        <w:rPr>
          <w:rFonts w:asciiTheme="majorHAnsi" w:hAnsiTheme="majorHAnsi"/>
          <w:bCs/>
          <w:sz w:val="20"/>
          <w:szCs w:val="20"/>
          <w:lang w:val="es-UY"/>
        </w:rPr>
        <w:t xml:space="preserve">aba </w:t>
      </w:r>
      <w:r w:rsidR="00957EC1" w:rsidRPr="00E66386">
        <w:rPr>
          <w:rFonts w:asciiTheme="majorHAnsi" w:hAnsiTheme="majorHAnsi"/>
          <w:bCs/>
          <w:sz w:val="20"/>
          <w:szCs w:val="20"/>
          <w:lang w:val="es-UY"/>
        </w:rPr>
        <w:t xml:space="preserve">como base de </w:t>
      </w:r>
      <w:r w:rsidR="00107E06" w:rsidRPr="00E66386">
        <w:rPr>
          <w:rFonts w:asciiTheme="majorHAnsi" w:hAnsiTheme="majorHAnsi"/>
          <w:bCs/>
          <w:sz w:val="20"/>
          <w:szCs w:val="20"/>
          <w:lang w:val="es-UY"/>
        </w:rPr>
        <w:t xml:space="preserve">apoyo </w:t>
      </w:r>
      <w:r w:rsidR="00957EC1" w:rsidRPr="00E66386">
        <w:rPr>
          <w:rFonts w:asciiTheme="majorHAnsi" w:hAnsiTheme="majorHAnsi"/>
          <w:bCs/>
          <w:sz w:val="20"/>
          <w:szCs w:val="20"/>
          <w:lang w:val="es-UY"/>
        </w:rPr>
        <w:t xml:space="preserve">de </w:t>
      </w:r>
      <w:r w:rsidR="009905CE" w:rsidRPr="00E66386">
        <w:rPr>
          <w:rFonts w:asciiTheme="majorHAnsi" w:hAnsiTheme="majorHAnsi"/>
          <w:bCs/>
          <w:sz w:val="20"/>
          <w:szCs w:val="20"/>
          <w:lang w:val="es-UY"/>
        </w:rPr>
        <w:t>la</w:t>
      </w:r>
      <w:r w:rsidR="00957EC1" w:rsidRPr="00E66386">
        <w:rPr>
          <w:rFonts w:asciiTheme="majorHAnsi" w:hAnsiTheme="majorHAnsi"/>
          <w:bCs/>
          <w:sz w:val="20"/>
          <w:szCs w:val="20"/>
          <w:lang w:val="es-UY"/>
        </w:rPr>
        <w:t>s</w:t>
      </w:r>
      <w:r w:rsidR="009905CE" w:rsidRPr="00E66386">
        <w:rPr>
          <w:rFonts w:asciiTheme="majorHAnsi" w:hAnsiTheme="majorHAnsi"/>
          <w:bCs/>
          <w:sz w:val="20"/>
          <w:szCs w:val="20"/>
          <w:lang w:val="es-UY"/>
        </w:rPr>
        <w:t xml:space="preserve"> guerrilla</w:t>
      </w:r>
      <w:r w:rsidR="00957EC1" w:rsidRPr="00E66386">
        <w:rPr>
          <w:rFonts w:asciiTheme="majorHAnsi" w:hAnsiTheme="majorHAnsi"/>
          <w:bCs/>
          <w:sz w:val="20"/>
          <w:szCs w:val="20"/>
          <w:lang w:val="es-UY"/>
        </w:rPr>
        <w:t>s</w:t>
      </w:r>
      <w:r w:rsidR="00617692" w:rsidRPr="00E66386">
        <w:rPr>
          <w:rFonts w:asciiTheme="majorHAnsi" w:hAnsiTheme="majorHAnsi"/>
          <w:bCs/>
          <w:sz w:val="20"/>
          <w:szCs w:val="20"/>
          <w:lang w:val="es-UY"/>
        </w:rPr>
        <w:t>.</w:t>
      </w:r>
    </w:p>
    <w:p w14:paraId="345C4793" w14:textId="588DC9F2" w:rsidR="00A72760" w:rsidRPr="00E66386" w:rsidRDefault="00D422FD" w:rsidP="007323C4">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El 23 de marzo de 1982 l</w:t>
      </w:r>
      <w:r w:rsidR="00107E06" w:rsidRPr="00E66386">
        <w:rPr>
          <w:rFonts w:asciiTheme="majorHAnsi" w:hAnsiTheme="majorHAnsi"/>
          <w:bCs/>
          <w:sz w:val="20"/>
          <w:szCs w:val="20"/>
          <w:lang w:val="es-UY"/>
        </w:rPr>
        <w:t xml:space="preserve">a Junta de </w:t>
      </w:r>
      <w:r w:rsidR="004401DE" w:rsidRPr="00E66386">
        <w:rPr>
          <w:rFonts w:asciiTheme="majorHAnsi" w:hAnsiTheme="majorHAnsi"/>
          <w:bCs/>
          <w:sz w:val="20"/>
          <w:szCs w:val="20"/>
          <w:lang w:val="es-UY"/>
        </w:rPr>
        <w:t>G</w:t>
      </w:r>
      <w:r w:rsidR="00107E06" w:rsidRPr="00E66386">
        <w:rPr>
          <w:rFonts w:asciiTheme="majorHAnsi" w:hAnsiTheme="majorHAnsi"/>
          <w:bCs/>
          <w:sz w:val="20"/>
          <w:szCs w:val="20"/>
          <w:lang w:val="es-UY"/>
        </w:rPr>
        <w:t>obierno</w:t>
      </w:r>
      <w:r w:rsidRPr="00E66386">
        <w:rPr>
          <w:rFonts w:asciiTheme="majorHAnsi" w:hAnsiTheme="majorHAnsi"/>
          <w:bCs/>
          <w:sz w:val="20"/>
          <w:szCs w:val="20"/>
          <w:lang w:val="es-UY"/>
        </w:rPr>
        <w:t xml:space="preserve"> expidió la “Proclama del Ejército al Pueblo”</w:t>
      </w:r>
      <w:r w:rsidR="008372DD" w:rsidRPr="00E66386">
        <w:rPr>
          <w:rFonts w:asciiTheme="majorHAnsi" w:hAnsiTheme="majorHAnsi"/>
          <w:bCs/>
          <w:sz w:val="20"/>
          <w:szCs w:val="20"/>
          <w:lang w:val="es-UY"/>
        </w:rPr>
        <w:t>,</w:t>
      </w:r>
      <w:r w:rsidRPr="00E66386">
        <w:rPr>
          <w:rFonts w:asciiTheme="majorHAnsi" w:hAnsiTheme="majorHAnsi"/>
          <w:bCs/>
          <w:sz w:val="20"/>
          <w:szCs w:val="20"/>
          <w:lang w:val="es-UY"/>
        </w:rPr>
        <w:t xml:space="preserve"> por medio de la cual suspendía la vigencia de la Constitución g</w:t>
      </w:r>
      <w:r w:rsidR="0022605D" w:rsidRPr="00E66386">
        <w:rPr>
          <w:rFonts w:asciiTheme="majorHAnsi" w:hAnsiTheme="majorHAnsi"/>
          <w:bCs/>
          <w:sz w:val="20"/>
          <w:szCs w:val="20"/>
          <w:lang w:val="es-UY"/>
        </w:rPr>
        <w:t>uatemalteca.</w:t>
      </w:r>
      <w:r w:rsidR="000267D1" w:rsidRPr="00E66386">
        <w:rPr>
          <w:rFonts w:asciiTheme="majorHAnsi" w:hAnsiTheme="majorHAnsi"/>
          <w:bCs/>
          <w:sz w:val="20"/>
          <w:szCs w:val="20"/>
          <w:lang w:val="es-UY"/>
        </w:rPr>
        <w:t xml:space="preserve"> </w:t>
      </w:r>
      <w:r w:rsidR="00A72760" w:rsidRPr="00E66386">
        <w:rPr>
          <w:rFonts w:asciiTheme="majorHAnsi" w:hAnsiTheme="majorHAnsi"/>
          <w:bCs/>
          <w:sz w:val="20"/>
          <w:szCs w:val="20"/>
          <w:lang w:val="es-UY"/>
        </w:rPr>
        <w:t>El 4 de abril de 1982 el ejército emitió un documento secreto denominado “Plan Nacional de Seguridad y Desarrollo”</w:t>
      </w:r>
      <w:r w:rsidR="00C64240" w:rsidRPr="00E66386">
        <w:rPr>
          <w:rFonts w:asciiTheme="majorHAnsi" w:hAnsiTheme="majorHAnsi"/>
          <w:bCs/>
          <w:sz w:val="20"/>
          <w:szCs w:val="20"/>
          <w:lang w:val="es-UY"/>
        </w:rPr>
        <w:t xml:space="preserve"> que reorganizaba la estructura del Estado para concentrar el poder estatal en el aparato contrainsurgente.</w:t>
      </w:r>
      <w:r w:rsidR="00DB22D9" w:rsidRPr="00E66386">
        <w:rPr>
          <w:rFonts w:asciiTheme="majorHAnsi" w:hAnsiTheme="majorHAnsi"/>
          <w:bCs/>
          <w:sz w:val="20"/>
          <w:szCs w:val="20"/>
          <w:lang w:val="es-UY"/>
        </w:rPr>
        <w:t xml:space="preserve"> </w:t>
      </w:r>
      <w:r w:rsidR="0082721E" w:rsidRPr="00E66386">
        <w:rPr>
          <w:rFonts w:asciiTheme="majorHAnsi" w:hAnsiTheme="majorHAnsi"/>
          <w:bCs/>
          <w:sz w:val="20"/>
          <w:szCs w:val="20"/>
          <w:lang w:val="es-UY"/>
        </w:rPr>
        <w:t xml:space="preserve">El 28 de </w:t>
      </w:r>
      <w:r w:rsidR="00157E56" w:rsidRPr="00E66386">
        <w:rPr>
          <w:rFonts w:asciiTheme="majorHAnsi" w:hAnsiTheme="majorHAnsi"/>
          <w:bCs/>
          <w:sz w:val="20"/>
          <w:szCs w:val="20"/>
          <w:lang w:val="es-UY"/>
        </w:rPr>
        <w:t xml:space="preserve">abril de 1982 promulgaron el “Estatuto Fundamental de Gobierno” por medio del cual </w:t>
      </w:r>
      <w:r w:rsidR="00051209" w:rsidRPr="00E66386">
        <w:rPr>
          <w:rFonts w:asciiTheme="majorHAnsi" w:hAnsiTheme="majorHAnsi"/>
          <w:bCs/>
          <w:sz w:val="20"/>
          <w:szCs w:val="20"/>
          <w:lang w:val="es-UY"/>
        </w:rPr>
        <w:t xml:space="preserve">se otorgó las funciones Ejecutiva y Legislativa </w:t>
      </w:r>
      <w:r w:rsidR="00671A18" w:rsidRPr="00E66386">
        <w:rPr>
          <w:rFonts w:asciiTheme="majorHAnsi" w:hAnsiTheme="majorHAnsi"/>
          <w:bCs/>
          <w:sz w:val="20"/>
          <w:szCs w:val="20"/>
          <w:lang w:val="es-UY"/>
        </w:rPr>
        <w:t>a la Junta Militar.</w:t>
      </w:r>
    </w:p>
    <w:p w14:paraId="6B22AB75" w14:textId="1CBA20C5" w:rsidR="009B0086" w:rsidRPr="00E66386" w:rsidRDefault="00141631" w:rsidP="0061136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A raíz de la firma de los Acuerdos de Paz</w:t>
      </w:r>
      <w:r w:rsidR="00DC62F3" w:rsidRPr="00E66386">
        <w:rPr>
          <w:rFonts w:asciiTheme="majorHAnsi" w:hAnsiTheme="majorHAnsi"/>
          <w:bCs/>
          <w:sz w:val="20"/>
          <w:szCs w:val="20"/>
          <w:lang w:val="es-UY"/>
        </w:rPr>
        <w:t xml:space="preserve"> en 1996</w:t>
      </w:r>
      <w:r w:rsidR="00701709" w:rsidRPr="00E66386">
        <w:rPr>
          <w:rFonts w:asciiTheme="majorHAnsi" w:hAnsiTheme="majorHAnsi"/>
          <w:bCs/>
          <w:sz w:val="20"/>
          <w:szCs w:val="20"/>
          <w:lang w:val="es-UY"/>
        </w:rPr>
        <w:t xml:space="preserve">, en particular del Acuerdo Global sobre Derechos Humanos, </w:t>
      </w:r>
      <w:r w:rsidR="00D379D8" w:rsidRPr="00E66386">
        <w:rPr>
          <w:rFonts w:asciiTheme="majorHAnsi" w:hAnsiTheme="majorHAnsi"/>
          <w:bCs/>
          <w:sz w:val="20"/>
          <w:szCs w:val="20"/>
          <w:lang w:val="es-UY"/>
        </w:rPr>
        <w:t xml:space="preserve">que pretendía abordar el problema de impunidad en el país, </w:t>
      </w:r>
      <w:r w:rsidR="00CA181F" w:rsidRPr="00E66386">
        <w:rPr>
          <w:rFonts w:asciiTheme="majorHAnsi" w:hAnsiTheme="majorHAnsi"/>
          <w:bCs/>
          <w:sz w:val="20"/>
          <w:szCs w:val="20"/>
          <w:lang w:val="es-UY"/>
        </w:rPr>
        <w:t>se presentaron reformas legislativas que permitieron la tipificación de los delitos de genocidio</w:t>
      </w:r>
      <w:r w:rsidR="00602E0D" w:rsidRPr="00E66386">
        <w:rPr>
          <w:rStyle w:val="FootnoteReference"/>
          <w:rFonts w:asciiTheme="majorHAnsi" w:hAnsiTheme="majorHAnsi"/>
          <w:bCs/>
          <w:sz w:val="20"/>
          <w:szCs w:val="20"/>
          <w:lang w:val="es-UY"/>
        </w:rPr>
        <w:footnoteReference w:id="8"/>
      </w:r>
      <w:r w:rsidR="006F3A68" w:rsidRPr="00E66386">
        <w:rPr>
          <w:rFonts w:asciiTheme="majorHAnsi" w:hAnsiTheme="majorHAnsi"/>
          <w:bCs/>
          <w:sz w:val="20"/>
          <w:szCs w:val="20"/>
          <w:lang w:val="es-UY"/>
        </w:rPr>
        <w:t>,</w:t>
      </w:r>
      <w:r w:rsidR="00CA181F" w:rsidRPr="00E66386">
        <w:rPr>
          <w:rFonts w:asciiTheme="majorHAnsi" w:hAnsiTheme="majorHAnsi"/>
          <w:bCs/>
          <w:sz w:val="20"/>
          <w:szCs w:val="20"/>
          <w:lang w:val="es-UY"/>
        </w:rPr>
        <w:t xml:space="preserve"> desaparición forzada</w:t>
      </w:r>
      <w:r w:rsidR="006F3A68" w:rsidRPr="00E66386">
        <w:rPr>
          <w:rFonts w:asciiTheme="majorHAnsi" w:hAnsiTheme="majorHAnsi"/>
          <w:bCs/>
          <w:sz w:val="20"/>
          <w:szCs w:val="20"/>
          <w:lang w:val="es-UY"/>
        </w:rPr>
        <w:t xml:space="preserve"> y “</w:t>
      </w:r>
      <w:r w:rsidR="006F3A68" w:rsidRPr="00E66386">
        <w:rPr>
          <w:rFonts w:asciiTheme="majorHAnsi" w:hAnsiTheme="majorHAnsi"/>
          <w:bCs/>
          <w:i/>
          <w:iCs/>
          <w:sz w:val="20"/>
          <w:szCs w:val="20"/>
          <w:lang w:val="es-UY"/>
        </w:rPr>
        <w:t>delitos contra los deberes de humanidad</w:t>
      </w:r>
      <w:r w:rsidR="006F3A68" w:rsidRPr="00E66386">
        <w:rPr>
          <w:rFonts w:asciiTheme="majorHAnsi" w:hAnsiTheme="majorHAnsi"/>
          <w:bCs/>
          <w:sz w:val="20"/>
          <w:szCs w:val="20"/>
          <w:lang w:val="es-UY"/>
        </w:rPr>
        <w:t>”</w:t>
      </w:r>
      <w:r w:rsidR="006F3A68" w:rsidRPr="00E66386">
        <w:rPr>
          <w:rStyle w:val="FootnoteReference"/>
          <w:rFonts w:asciiTheme="majorHAnsi" w:hAnsiTheme="majorHAnsi"/>
          <w:bCs/>
          <w:sz w:val="20"/>
          <w:szCs w:val="20"/>
          <w:lang w:val="es-UY"/>
        </w:rPr>
        <w:footnoteReference w:id="9"/>
      </w:r>
      <w:r w:rsidR="00FD5B02" w:rsidRPr="00E66386">
        <w:rPr>
          <w:rFonts w:asciiTheme="majorHAnsi" w:hAnsiTheme="majorHAnsi"/>
          <w:bCs/>
          <w:sz w:val="20"/>
          <w:szCs w:val="20"/>
          <w:lang w:val="es-UY"/>
        </w:rPr>
        <w:t xml:space="preserve">. Asimismo, </w:t>
      </w:r>
      <w:r w:rsidR="00C44CB1" w:rsidRPr="00E66386">
        <w:rPr>
          <w:rFonts w:asciiTheme="majorHAnsi" w:hAnsiTheme="majorHAnsi"/>
          <w:bCs/>
          <w:sz w:val="20"/>
          <w:szCs w:val="20"/>
          <w:lang w:val="es-UY"/>
        </w:rPr>
        <w:t xml:space="preserve">se creó </w:t>
      </w:r>
      <w:r w:rsidR="00723AF9" w:rsidRPr="00E66386">
        <w:rPr>
          <w:rFonts w:asciiTheme="majorHAnsi" w:hAnsiTheme="majorHAnsi"/>
          <w:bCs/>
          <w:sz w:val="20"/>
          <w:szCs w:val="20"/>
          <w:lang w:val="es-UY"/>
        </w:rPr>
        <w:t xml:space="preserve">la </w:t>
      </w:r>
      <w:r w:rsidR="00FD5B02" w:rsidRPr="00E66386">
        <w:rPr>
          <w:rFonts w:asciiTheme="majorHAnsi" w:hAnsiTheme="majorHAnsi"/>
          <w:bCs/>
          <w:sz w:val="20"/>
          <w:szCs w:val="20"/>
          <w:lang w:val="es-UY"/>
        </w:rPr>
        <w:t>Fiscalía</w:t>
      </w:r>
      <w:r w:rsidR="00723AF9" w:rsidRPr="00E66386">
        <w:rPr>
          <w:rFonts w:asciiTheme="majorHAnsi" w:hAnsiTheme="majorHAnsi"/>
          <w:bCs/>
          <w:sz w:val="20"/>
          <w:szCs w:val="20"/>
          <w:lang w:val="es-UY"/>
        </w:rPr>
        <w:t xml:space="preserve"> de Derechos Humanos </w:t>
      </w:r>
      <w:r w:rsidR="00FD5B02" w:rsidRPr="00E66386">
        <w:rPr>
          <w:rFonts w:asciiTheme="majorHAnsi" w:hAnsiTheme="majorHAnsi"/>
          <w:bCs/>
          <w:sz w:val="20"/>
          <w:szCs w:val="20"/>
          <w:lang w:val="es-UY"/>
        </w:rPr>
        <w:t xml:space="preserve">en 2005 </w:t>
      </w:r>
      <w:r w:rsidR="00723AF9" w:rsidRPr="00E66386">
        <w:rPr>
          <w:rFonts w:asciiTheme="majorHAnsi" w:hAnsiTheme="majorHAnsi"/>
          <w:bCs/>
          <w:sz w:val="20"/>
          <w:szCs w:val="20"/>
          <w:lang w:val="es-UY"/>
        </w:rPr>
        <w:t>y la Unidad de Esclarecimiento Histórico.</w:t>
      </w:r>
      <w:r w:rsidR="003729EA" w:rsidRPr="00E66386">
        <w:rPr>
          <w:rFonts w:asciiTheme="majorHAnsi" w:hAnsiTheme="majorHAnsi"/>
          <w:bCs/>
          <w:sz w:val="20"/>
          <w:szCs w:val="20"/>
          <w:lang w:val="es-UY"/>
        </w:rPr>
        <w:t xml:space="preserve"> Pese a las medidas adoptadas, los peticionarios aducen que </w:t>
      </w:r>
      <w:r w:rsidR="00B967D9" w:rsidRPr="00E66386">
        <w:rPr>
          <w:rFonts w:asciiTheme="majorHAnsi" w:hAnsiTheme="majorHAnsi"/>
          <w:bCs/>
          <w:sz w:val="20"/>
          <w:szCs w:val="20"/>
          <w:lang w:val="es-UY"/>
        </w:rPr>
        <w:t>imperó en Guatemala una situación de impunidad generalizada que la CIDH constató en su Informe de país de 2003</w:t>
      </w:r>
      <w:r w:rsidR="008D1900" w:rsidRPr="00E66386">
        <w:rPr>
          <w:rFonts w:asciiTheme="majorHAnsi" w:hAnsiTheme="majorHAnsi"/>
          <w:bCs/>
          <w:sz w:val="20"/>
          <w:szCs w:val="20"/>
          <w:lang w:val="es-UY"/>
        </w:rPr>
        <w:t>, al igual que el Comité de Derechos Humanos de Naciones Unidas, el Relator Especial sobre la Independencia de los Magistrados y Abogados, el Relator Especial de Ejecuciones Extrajudiciales y la Oficina del Alto Comisionado de las Naciones Unidas en Guatemala.</w:t>
      </w:r>
      <w:r w:rsidR="00087ACF" w:rsidRPr="00E66386">
        <w:rPr>
          <w:rFonts w:asciiTheme="majorHAnsi" w:hAnsiTheme="majorHAnsi"/>
          <w:bCs/>
          <w:sz w:val="20"/>
          <w:szCs w:val="20"/>
          <w:lang w:val="es-UY"/>
        </w:rPr>
        <w:t xml:space="preserve"> En particular, </w:t>
      </w:r>
      <w:r w:rsidR="00881E7C" w:rsidRPr="00E66386">
        <w:rPr>
          <w:rFonts w:asciiTheme="majorHAnsi" w:hAnsiTheme="majorHAnsi"/>
          <w:bCs/>
          <w:sz w:val="20"/>
          <w:szCs w:val="20"/>
          <w:lang w:val="es-UY"/>
        </w:rPr>
        <w:t>el Relator Especial sobre la Independencia de los Magistrados y Abogados</w:t>
      </w:r>
      <w:r w:rsidR="008B37E2" w:rsidRPr="00E66386">
        <w:rPr>
          <w:rFonts w:asciiTheme="majorHAnsi" w:hAnsiTheme="majorHAnsi"/>
          <w:bCs/>
          <w:sz w:val="20"/>
          <w:szCs w:val="20"/>
          <w:lang w:val="es-UY"/>
        </w:rPr>
        <w:t>, en su informe de país,</w:t>
      </w:r>
      <w:r w:rsidR="00993D0E" w:rsidRPr="00E66386">
        <w:rPr>
          <w:rFonts w:asciiTheme="majorHAnsi" w:hAnsiTheme="majorHAnsi"/>
          <w:bCs/>
          <w:sz w:val="20"/>
          <w:szCs w:val="20"/>
          <w:lang w:val="es-UY"/>
        </w:rPr>
        <w:t xml:space="preserve"> observó que</w:t>
      </w:r>
      <w:r w:rsidR="008B3A53" w:rsidRPr="00E66386">
        <w:rPr>
          <w:rFonts w:asciiTheme="majorHAnsi" w:hAnsiTheme="majorHAnsi"/>
          <w:bCs/>
          <w:sz w:val="20"/>
          <w:szCs w:val="20"/>
          <w:lang w:val="es-UY"/>
        </w:rPr>
        <w:t xml:space="preserve"> los factores que promueven la impunidad </w:t>
      </w:r>
      <w:r w:rsidR="008B37E2" w:rsidRPr="00E66386">
        <w:rPr>
          <w:rFonts w:asciiTheme="majorHAnsi" w:hAnsiTheme="majorHAnsi"/>
          <w:bCs/>
          <w:sz w:val="20"/>
          <w:szCs w:val="20"/>
          <w:lang w:val="es-UY"/>
        </w:rPr>
        <w:t>era</w:t>
      </w:r>
      <w:r w:rsidR="00532E3A" w:rsidRPr="00E66386">
        <w:rPr>
          <w:rFonts w:asciiTheme="majorHAnsi" w:hAnsiTheme="majorHAnsi"/>
          <w:bCs/>
          <w:sz w:val="20"/>
          <w:szCs w:val="20"/>
          <w:lang w:val="es-UY"/>
        </w:rPr>
        <w:t xml:space="preserve">n los problemas de acceso a la justicia, la falta de independencia e imparcialidad del poder judicial, la infiltración del </w:t>
      </w:r>
      <w:r w:rsidR="00532E3A" w:rsidRPr="00E66386">
        <w:rPr>
          <w:rFonts w:asciiTheme="majorHAnsi" w:hAnsiTheme="majorHAnsi"/>
          <w:bCs/>
          <w:sz w:val="20"/>
          <w:szCs w:val="20"/>
          <w:lang w:val="es-UY"/>
        </w:rPr>
        <w:lastRenderedPageBreak/>
        <w:t>crimen organizado en el aparato judicial y la insuficiente formación de los operadores de justicia</w:t>
      </w:r>
      <w:r w:rsidR="00503901" w:rsidRPr="00E66386">
        <w:rPr>
          <w:rStyle w:val="FootnoteReference"/>
          <w:rFonts w:asciiTheme="majorHAnsi" w:hAnsiTheme="majorHAnsi"/>
          <w:bCs/>
          <w:sz w:val="20"/>
          <w:szCs w:val="20"/>
          <w:lang w:val="es-UY"/>
        </w:rPr>
        <w:footnoteReference w:id="10"/>
      </w:r>
      <w:r w:rsidR="00532E3A" w:rsidRPr="00E66386">
        <w:rPr>
          <w:rFonts w:asciiTheme="majorHAnsi" w:hAnsiTheme="majorHAnsi"/>
          <w:bCs/>
          <w:sz w:val="20"/>
          <w:szCs w:val="20"/>
          <w:lang w:val="es-UY"/>
        </w:rPr>
        <w:t>.</w:t>
      </w:r>
      <w:r w:rsidR="00EC6E71" w:rsidRPr="00E66386">
        <w:rPr>
          <w:rFonts w:asciiTheme="majorHAnsi" w:hAnsiTheme="majorHAnsi"/>
          <w:bCs/>
          <w:sz w:val="20"/>
          <w:szCs w:val="20"/>
          <w:lang w:val="es-UY"/>
        </w:rPr>
        <w:t xml:space="preserve"> </w:t>
      </w:r>
      <w:r w:rsidR="00A6593B" w:rsidRPr="00E66386">
        <w:rPr>
          <w:rFonts w:asciiTheme="majorHAnsi" w:hAnsiTheme="majorHAnsi"/>
          <w:bCs/>
          <w:sz w:val="20"/>
          <w:szCs w:val="20"/>
          <w:lang w:val="es-UY"/>
        </w:rPr>
        <w:t>Los peticionarios</w:t>
      </w:r>
      <w:r w:rsidR="00EC6E71" w:rsidRPr="00E66386">
        <w:rPr>
          <w:rFonts w:asciiTheme="majorHAnsi" w:hAnsiTheme="majorHAnsi"/>
          <w:bCs/>
          <w:sz w:val="20"/>
          <w:szCs w:val="20"/>
          <w:lang w:val="es-UY"/>
        </w:rPr>
        <w:t xml:space="preserve"> señalan que en la actualidad s</w:t>
      </w:r>
      <w:r w:rsidR="00946C00" w:rsidRPr="00E66386">
        <w:rPr>
          <w:rFonts w:asciiTheme="majorHAnsi" w:hAnsiTheme="majorHAnsi"/>
          <w:bCs/>
          <w:sz w:val="20"/>
          <w:szCs w:val="20"/>
          <w:lang w:val="es-UY"/>
        </w:rPr>
        <w:t>ólo se han emitido sentencias condenatorias en tres de las 626 masacres documentadas por la CEH y en cinco casos de las 45.000 desapariciones forzadas registradas durante el conflicto armado.</w:t>
      </w:r>
    </w:p>
    <w:p w14:paraId="184051A4" w14:textId="0C1FDBC5" w:rsidR="00C650A0" w:rsidRPr="00E66386" w:rsidRDefault="002F28F3" w:rsidP="00D55EF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Los peticionarios subrayan que e</w:t>
      </w:r>
      <w:r w:rsidR="00B32462" w:rsidRPr="00E66386">
        <w:rPr>
          <w:rFonts w:asciiTheme="majorHAnsi" w:hAnsiTheme="majorHAnsi"/>
          <w:bCs/>
          <w:sz w:val="20"/>
          <w:szCs w:val="20"/>
          <w:lang w:val="es-UY"/>
        </w:rPr>
        <w:t xml:space="preserve">l </w:t>
      </w:r>
      <w:r w:rsidR="00375D4E" w:rsidRPr="00E66386">
        <w:rPr>
          <w:rFonts w:asciiTheme="majorHAnsi" w:hAnsiTheme="majorHAnsi"/>
          <w:bCs/>
          <w:sz w:val="20"/>
          <w:szCs w:val="20"/>
          <w:lang w:val="es-UY"/>
        </w:rPr>
        <w:t>g</w:t>
      </w:r>
      <w:r w:rsidR="00B32462" w:rsidRPr="00E66386">
        <w:rPr>
          <w:rFonts w:asciiTheme="majorHAnsi" w:hAnsiTheme="majorHAnsi"/>
          <w:bCs/>
          <w:sz w:val="20"/>
          <w:szCs w:val="20"/>
          <w:lang w:val="es-UY"/>
        </w:rPr>
        <w:t>eneral retirado José Efraín Ríos Montt</w:t>
      </w:r>
      <w:r w:rsidRPr="00E66386">
        <w:rPr>
          <w:rFonts w:asciiTheme="majorHAnsi" w:hAnsiTheme="majorHAnsi"/>
          <w:bCs/>
          <w:sz w:val="20"/>
          <w:szCs w:val="20"/>
          <w:lang w:val="es-UY"/>
        </w:rPr>
        <w:t xml:space="preserve"> tenía</w:t>
      </w:r>
      <w:r w:rsidR="00375D4E" w:rsidRPr="00E66386">
        <w:rPr>
          <w:rFonts w:asciiTheme="majorHAnsi" w:hAnsiTheme="majorHAnsi"/>
          <w:bCs/>
          <w:sz w:val="20"/>
          <w:szCs w:val="20"/>
          <w:lang w:val="es-UY"/>
        </w:rPr>
        <w:t xml:space="preserve"> </w:t>
      </w:r>
      <w:r w:rsidR="006D5D04" w:rsidRPr="00E66386">
        <w:rPr>
          <w:rFonts w:asciiTheme="majorHAnsi" w:hAnsiTheme="majorHAnsi"/>
          <w:bCs/>
          <w:sz w:val="20"/>
          <w:szCs w:val="20"/>
          <w:lang w:val="es-UY"/>
        </w:rPr>
        <w:t>una gran influencia en el Poder Judicial</w:t>
      </w:r>
      <w:r w:rsidR="00375D4E" w:rsidRPr="00E66386">
        <w:rPr>
          <w:rFonts w:asciiTheme="majorHAnsi" w:hAnsiTheme="majorHAnsi"/>
          <w:bCs/>
          <w:sz w:val="20"/>
          <w:szCs w:val="20"/>
          <w:lang w:val="es-UY"/>
        </w:rPr>
        <w:t xml:space="preserve"> de Guatemala</w:t>
      </w:r>
      <w:r w:rsidR="006D5D04" w:rsidRPr="00E66386">
        <w:rPr>
          <w:rFonts w:asciiTheme="majorHAnsi" w:hAnsiTheme="majorHAnsi"/>
          <w:bCs/>
          <w:sz w:val="20"/>
          <w:szCs w:val="20"/>
          <w:lang w:val="es-UY"/>
        </w:rPr>
        <w:t xml:space="preserve">, </w:t>
      </w:r>
      <w:r w:rsidR="00375D4E" w:rsidRPr="00E66386">
        <w:rPr>
          <w:rFonts w:asciiTheme="majorHAnsi" w:hAnsiTheme="majorHAnsi"/>
          <w:bCs/>
          <w:sz w:val="20"/>
          <w:szCs w:val="20"/>
          <w:lang w:val="es-UY"/>
        </w:rPr>
        <w:t xml:space="preserve">lo </w:t>
      </w:r>
      <w:r w:rsidR="006D5D04" w:rsidRPr="00E66386">
        <w:rPr>
          <w:rFonts w:asciiTheme="majorHAnsi" w:hAnsiTheme="majorHAnsi"/>
          <w:bCs/>
          <w:sz w:val="20"/>
          <w:szCs w:val="20"/>
          <w:lang w:val="es-UY"/>
        </w:rPr>
        <w:t>que imp</w:t>
      </w:r>
      <w:r w:rsidR="000238FF" w:rsidRPr="00E66386">
        <w:rPr>
          <w:rFonts w:asciiTheme="majorHAnsi" w:hAnsiTheme="majorHAnsi"/>
          <w:bCs/>
          <w:sz w:val="20"/>
          <w:szCs w:val="20"/>
          <w:lang w:val="es-UY"/>
        </w:rPr>
        <w:t>i</w:t>
      </w:r>
      <w:r w:rsidR="006D5D04" w:rsidRPr="00E66386">
        <w:rPr>
          <w:rFonts w:asciiTheme="majorHAnsi" w:hAnsiTheme="majorHAnsi"/>
          <w:bCs/>
          <w:sz w:val="20"/>
          <w:szCs w:val="20"/>
          <w:lang w:val="es-UY"/>
        </w:rPr>
        <w:t>di</w:t>
      </w:r>
      <w:r w:rsidR="00375D4E" w:rsidRPr="00E66386">
        <w:rPr>
          <w:rFonts w:asciiTheme="majorHAnsi" w:hAnsiTheme="majorHAnsi"/>
          <w:bCs/>
          <w:sz w:val="20"/>
          <w:szCs w:val="20"/>
          <w:lang w:val="es-UY"/>
        </w:rPr>
        <w:t>ó</w:t>
      </w:r>
      <w:r w:rsidR="006D5D04" w:rsidRPr="00E66386">
        <w:rPr>
          <w:rFonts w:asciiTheme="majorHAnsi" w:hAnsiTheme="majorHAnsi"/>
          <w:bCs/>
          <w:sz w:val="20"/>
          <w:szCs w:val="20"/>
          <w:lang w:val="es-UY"/>
        </w:rPr>
        <w:t xml:space="preserve"> su procesamiento penal y le permiti</w:t>
      </w:r>
      <w:r w:rsidR="000238FF" w:rsidRPr="00E66386">
        <w:rPr>
          <w:rFonts w:asciiTheme="majorHAnsi" w:hAnsiTheme="majorHAnsi"/>
          <w:bCs/>
          <w:sz w:val="20"/>
          <w:szCs w:val="20"/>
          <w:lang w:val="es-UY"/>
        </w:rPr>
        <w:t>ó</w:t>
      </w:r>
      <w:r w:rsidR="006D5D04" w:rsidRPr="00E66386">
        <w:rPr>
          <w:rFonts w:asciiTheme="majorHAnsi" w:hAnsiTheme="majorHAnsi"/>
          <w:bCs/>
          <w:sz w:val="20"/>
          <w:szCs w:val="20"/>
          <w:lang w:val="es-UY"/>
        </w:rPr>
        <w:t xml:space="preserve"> participar en elecciones presidenciales </w:t>
      </w:r>
      <w:r w:rsidR="00314962" w:rsidRPr="00E66386">
        <w:rPr>
          <w:rFonts w:asciiTheme="majorHAnsi" w:hAnsiTheme="majorHAnsi"/>
          <w:bCs/>
          <w:sz w:val="20"/>
          <w:szCs w:val="20"/>
          <w:lang w:val="es-UY"/>
        </w:rPr>
        <w:t xml:space="preserve">en 2003 </w:t>
      </w:r>
      <w:r w:rsidR="006D5D04" w:rsidRPr="00E66386">
        <w:rPr>
          <w:rFonts w:asciiTheme="majorHAnsi" w:hAnsiTheme="majorHAnsi"/>
          <w:bCs/>
          <w:sz w:val="20"/>
          <w:szCs w:val="20"/>
          <w:lang w:val="es-UY"/>
        </w:rPr>
        <w:t>en abierta contradicción con la Constitución guatemalteca.</w:t>
      </w:r>
      <w:r w:rsidR="00325801" w:rsidRPr="00E66386">
        <w:rPr>
          <w:rFonts w:asciiTheme="majorHAnsi" w:hAnsiTheme="majorHAnsi"/>
          <w:bCs/>
          <w:sz w:val="20"/>
          <w:szCs w:val="20"/>
          <w:lang w:val="es-UY"/>
        </w:rPr>
        <w:t xml:space="preserve"> </w:t>
      </w:r>
      <w:r w:rsidR="0058797F" w:rsidRPr="00E66386">
        <w:rPr>
          <w:rFonts w:asciiTheme="majorHAnsi" w:hAnsiTheme="majorHAnsi"/>
          <w:bCs/>
          <w:sz w:val="20"/>
          <w:szCs w:val="20"/>
          <w:lang w:val="es-UY"/>
        </w:rPr>
        <w:t xml:space="preserve">Refieren que </w:t>
      </w:r>
      <w:r w:rsidR="00325801" w:rsidRPr="00E66386">
        <w:rPr>
          <w:rFonts w:asciiTheme="majorHAnsi" w:hAnsiTheme="majorHAnsi"/>
          <w:bCs/>
          <w:sz w:val="20"/>
          <w:szCs w:val="20"/>
          <w:lang w:val="es-UY"/>
        </w:rPr>
        <w:t>Ríos Montt fundó el partido del Frente Republicano Guatemalteco (en adelante “FRG”)</w:t>
      </w:r>
      <w:r w:rsidR="00727040" w:rsidRPr="00E66386">
        <w:rPr>
          <w:rFonts w:asciiTheme="majorHAnsi" w:hAnsiTheme="majorHAnsi"/>
          <w:bCs/>
          <w:sz w:val="20"/>
          <w:szCs w:val="20"/>
          <w:lang w:val="es-UY"/>
        </w:rPr>
        <w:t xml:space="preserve">, en representación del cual se desempeñó como </w:t>
      </w:r>
      <w:r w:rsidR="000345E4" w:rsidRPr="00E66386">
        <w:rPr>
          <w:rFonts w:asciiTheme="majorHAnsi" w:hAnsiTheme="majorHAnsi"/>
          <w:bCs/>
          <w:sz w:val="20"/>
          <w:szCs w:val="20"/>
          <w:lang w:val="es-UY"/>
        </w:rPr>
        <w:t>congresista</w:t>
      </w:r>
      <w:r w:rsidR="00727040" w:rsidRPr="00E66386">
        <w:rPr>
          <w:rFonts w:asciiTheme="majorHAnsi" w:hAnsiTheme="majorHAnsi"/>
          <w:bCs/>
          <w:sz w:val="20"/>
          <w:szCs w:val="20"/>
          <w:lang w:val="es-UY"/>
        </w:rPr>
        <w:t xml:space="preserve"> entre 1990 </w:t>
      </w:r>
      <w:r w:rsidR="00A6593B" w:rsidRPr="00E66386">
        <w:rPr>
          <w:rFonts w:asciiTheme="majorHAnsi" w:hAnsiTheme="majorHAnsi"/>
          <w:bCs/>
          <w:sz w:val="20"/>
          <w:szCs w:val="20"/>
          <w:lang w:val="es-UY"/>
        </w:rPr>
        <w:t>y</w:t>
      </w:r>
      <w:r w:rsidR="00727040" w:rsidRPr="00E66386">
        <w:rPr>
          <w:rFonts w:asciiTheme="majorHAnsi" w:hAnsiTheme="majorHAnsi"/>
          <w:bCs/>
          <w:sz w:val="20"/>
          <w:szCs w:val="20"/>
          <w:lang w:val="es-UY"/>
        </w:rPr>
        <w:t xml:space="preserve"> 2004 y de 2008 a 2012</w:t>
      </w:r>
      <w:r w:rsidR="00200F13" w:rsidRPr="00E66386">
        <w:rPr>
          <w:rFonts w:asciiTheme="majorHAnsi" w:hAnsiTheme="majorHAnsi"/>
          <w:bCs/>
          <w:sz w:val="20"/>
          <w:szCs w:val="20"/>
          <w:lang w:val="es-UY"/>
        </w:rPr>
        <w:t>.</w:t>
      </w:r>
      <w:r w:rsidR="00A439B5" w:rsidRPr="00E66386">
        <w:rPr>
          <w:rFonts w:asciiTheme="majorHAnsi" w:hAnsiTheme="majorHAnsi"/>
          <w:bCs/>
          <w:sz w:val="20"/>
          <w:szCs w:val="20"/>
          <w:lang w:val="es-UY"/>
        </w:rPr>
        <w:t xml:space="preserve"> En 2005 la Audiencia Nacional de España </w:t>
      </w:r>
      <w:r w:rsidR="007C17C2" w:rsidRPr="00E66386">
        <w:rPr>
          <w:rFonts w:asciiTheme="majorHAnsi" w:hAnsiTheme="majorHAnsi"/>
          <w:bCs/>
          <w:sz w:val="20"/>
          <w:szCs w:val="20"/>
          <w:lang w:val="es-UY"/>
        </w:rPr>
        <w:t>se declaró competente para conocer de un proceso penal por genocidio, tortura, terrorismo y detenciones ilegales contra varios miembros de la Junta Militar, incluido el exgeneral Ríos Montt</w:t>
      </w:r>
      <w:r w:rsidR="006B6F84" w:rsidRPr="00E66386">
        <w:rPr>
          <w:rFonts w:asciiTheme="majorHAnsi" w:hAnsiTheme="majorHAnsi"/>
          <w:bCs/>
          <w:sz w:val="20"/>
          <w:szCs w:val="20"/>
          <w:lang w:val="es-UY"/>
        </w:rPr>
        <w:t>, en aplicación del principio de jurisdicción universal. Sin embargo,</w:t>
      </w:r>
      <w:r w:rsidR="0058797F" w:rsidRPr="00E66386">
        <w:rPr>
          <w:rFonts w:asciiTheme="majorHAnsi" w:hAnsiTheme="majorHAnsi"/>
          <w:bCs/>
          <w:sz w:val="20"/>
          <w:szCs w:val="20"/>
          <w:lang w:val="es-UY"/>
        </w:rPr>
        <w:t xml:space="preserve"> afirman que </w:t>
      </w:r>
      <w:r w:rsidR="00582FD2" w:rsidRPr="00E66386">
        <w:rPr>
          <w:rFonts w:asciiTheme="majorHAnsi" w:hAnsiTheme="majorHAnsi"/>
          <w:bCs/>
          <w:sz w:val="20"/>
          <w:szCs w:val="20"/>
          <w:lang w:val="es-UY"/>
        </w:rPr>
        <w:t xml:space="preserve">el 12 de diciembre de 2007 </w:t>
      </w:r>
      <w:r w:rsidR="006B6F84" w:rsidRPr="00E66386">
        <w:rPr>
          <w:rFonts w:asciiTheme="majorHAnsi" w:hAnsiTheme="majorHAnsi"/>
          <w:bCs/>
          <w:sz w:val="20"/>
          <w:szCs w:val="20"/>
          <w:lang w:val="es-UY"/>
        </w:rPr>
        <w:t>la Corte</w:t>
      </w:r>
      <w:r w:rsidR="0034338B" w:rsidRPr="00E66386">
        <w:rPr>
          <w:rFonts w:asciiTheme="majorHAnsi" w:hAnsiTheme="majorHAnsi"/>
          <w:bCs/>
          <w:sz w:val="20"/>
          <w:szCs w:val="20"/>
          <w:lang w:val="es-UY"/>
        </w:rPr>
        <w:t xml:space="preserve"> de Constitucionalidad </w:t>
      </w:r>
      <w:r w:rsidR="0058797F" w:rsidRPr="00E66386">
        <w:rPr>
          <w:rFonts w:asciiTheme="majorHAnsi" w:hAnsiTheme="majorHAnsi"/>
          <w:bCs/>
          <w:sz w:val="20"/>
          <w:szCs w:val="20"/>
          <w:lang w:val="es-UY"/>
        </w:rPr>
        <w:t xml:space="preserve">de Guatemala </w:t>
      </w:r>
      <w:r w:rsidR="0034338B" w:rsidRPr="00E66386">
        <w:rPr>
          <w:rFonts w:asciiTheme="majorHAnsi" w:hAnsiTheme="majorHAnsi"/>
          <w:bCs/>
          <w:sz w:val="20"/>
          <w:szCs w:val="20"/>
          <w:lang w:val="es-UY"/>
        </w:rPr>
        <w:t>decidió</w:t>
      </w:r>
      <w:r w:rsidR="00BD54DB" w:rsidRPr="00E66386">
        <w:rPr>
          <w:rFonts w:asciiTheme="majorHAnsi" w:hAnsiTheme="majorHAnsi"/>
          <w:bCs/>
          <w:sz w:val="20"/>
          <w:szCs w:val="20"/>
          <w:lang w:val="es-UY"/>
        </w:rPr>
        <w:t xml:space="preserve"> dejar sin efecto las solicitudes de extradición presentadas por España contra los militares sindicados de cometer crímenes internacionales.</w:t>
      </w:r>
    </w:p>
    <w:p w14:paraId="6522835A" w14:textId="271C6AD0" w:rsidR="005A1BBB" w:rsidRPr="00E66386" w:rsidRDefault="00FC0B34" w:rsidP="005A1BBB">
      <w:pPr>
        <w:pStyle w:val="ListParagraph"/>
        <w:spacing w:before="240" w:after="240"/>
        <w:jc w:val="both"/>
        <w:rPr>
          <w:rFonts w:asciiTheme="majorHAnsi" w:hAnsiTheme="majorHAnsi"/>
          <w:bCs/>
          <w:i/>
          <w:iCs/>
          <w:sz w:val="20"/>
          <w:szCs w:val="20"/>
          <w:lang w:val="es-UY"/>
        </w:rPr>
      </w:pPr>
      <w:r w:rsidRPr="00E66386">
        <w:rPr>
          <w:rFonts w:asciiTheme="majorHAnsi" w:hAnsiTheme="majorHAnsi"/>
          <w:bCs/>
          <w:i/>
          <w:iCs/>
          <w:sz w:val="20"/>
          <w:szCs w:val="20"/>
          <w:lang w:val="es-UY"/>
        </w:rPr>
        <w:t xml:space="preserve">Antecedentes de la etnia maya </w:t>
      </w:r>
      <w:r w:rsidR="00C51C64" w:rsidRPr="00E66386">
        <w:rPr>
          <w:rFonts w:asciiTheme="majorHAnsi" w:hAnsiTheme="majorHAnsi"/>
          <w:bCs/>
          <w:i/>
          <w:iCs/>
          <w:sz w:val="20"/>
          <w:szCs w:val="20"/>
          <w:lang w:val="es-UY"/>
        </w:rPr>
        <w:t>Ixil</w:t>
      </w:r>
    </w:p>
    <w:p w14:paraId="0B78E7E7" w14:textId="6B2CB5B7" w:rsidR="003E5132" w:rsidRPr="00E66386" w:rsidRDefault="00FC0B34" w:rsidP="00D55EFD">
      <w:pPr>
        <w:pStyle w:val="ListParagraph"/>
        <w:numPr>
          <w:ilvl w:val="0"/>
          <w:numId w:val="60"/>
        </w:numPr>
        <w:spacing w:before="240" w:after="240"/>
        <w:ind w:left="0" w:firstLine="720"/>
        <w:jc w:val="both"/>
        <w:rPr>
          <w:rFonts w:asciiTheme="majorHAnsi" w:hAnsiTheme="majorHAnsi"/>
          <w:bCs/>
          <w:sz w:val="20"/>
          <w:szCs w:val="20"/>
          <w:lang w:val="es-UY"/>
        </w:rPr>
      </w:pPr>
      <w:r w:rsidRPr="00E66386">
        <w:rPr>
          <w:rFonts w:asciiTheme="majorHAnsi" w:hAnsiTheme="majorHAnsi"/>
          <w:bCs/>
          <w:sz w:val="20"/>
          <w:szCs w:val="20"/>
          <w:lang w:val="es-UY"/>
        </w:rPr>
        <w:t xml:space="preserve">Los peticionarios explican que el grupo étnico maya </w:t>
      </w:r>
      <w:r w:rsidR="00C51C64" w:rsidRPr="00E66386">
        <w:rPr>
          <w:rFonts w:asciiTheme="majorHAnsi" w:hAnsiTheme="majorHAnsi"/>
          <w:bCs/>
          <w:sz w:val="20"/>
          <w:szCs w:val="20"/>
          <w:lang w:val="es-UY"/>
        </w:rPr>
        <w:t>Ixil</w:t>
      </w:r>
      <w:r w:rsidRPr="00E66386">
        <w:rPr>
          <w:rFonts w:asciiTheme="majorHAnsi" w:hAnsiTheme="majorHAnsi"/>
          <w:bCs/>
          <w:sz w:val="20"/>
          <w:szCs w:val="20"/>
          <w:lang w:val="es-UY"/>
        </w:rPr>
        <w:t xml:space="preserve"> está ubicado en la parte norte de Guatemala</w:t>
      </w:r>
      <w:r w:rsidR="000A089D" w:rsidRPr="00E66386">
        <w:rPr>
          <w:rFonts w:asciiTheme="majorHAnsi" w:hAnsiTheme="majorHAnsi"/>
          <w:bCs/>
          <w:sz w:val="20"/>
          <w:szCs w:val="20"/>
          <w:lang w:val="es-UY"/>
        </w:rPr>
        <w:t>, departamento del Quiché, en los municipio</w:t>
      </w:r>
      <w:r w:rsidR="00960991" w:rsidRPr="00E66386">
        <w:rPr>
          <w:rFonts w:asciiTheme="majorHAnsi" w:hAnsiTheme="majorHAnsi"/>
          <w:bCs/>
          <w:sz w:val="20"/>
          <w:szCs w:val="20"/>
          <w:lang w:val="es-UY"/>
        </w:rPr>
        <w:t>s</w:t>
      </w:r>
      <w:r w:rsidR="000A089D" w:rsidRPr="00E66386">
        <w:rPr>
          <w:rFonts w:asciiTheme="majorHAnsi" w:hAnsiTheme="majorHAnsi"/>
          <w:bCs/>
          <w:sz w:val="20"/>
          <w:szCs w:val="20"/>
          <w:lang w:val="es-UY"/>
        </w:rPr>
        <w:t xml:space="preserve"> de Nebaj, Chajul y Cotzal.</w:t>
      </w:r>
      <w:r w:rsidR="00960991" w:rsidRPr="00E66386">
        <w:rPr>
          <w:rFonts w:asciiTheme="majorHAnsi" w:hAnsiTheme="majorHAnsi"/>
          <w:bCs/>
          <w:sz w:val="20"/>
          <w:szCs w:val="20"/>
          <w:lang w:val="es-UY"/>
        </w:rPr>
        <w:t xml:space="preserve"> Esta etnia posee una cosmovisión, cultura y organización social que lo distinguen de otros grupos maya. </w:t>
      </w:r>
      <w:r w:rsidR="008C6BBD" w:rsidRPr="00E66386">
        <w:rPr>
          <w:rFonts w:asciiTheme="majorHAnsi" w:hAnsiTheme="majorHAnsi"/>
          <w:bCs/>
          <w:sz w:val="20"/>
          <w:szCs w:val="20"/>
          <w:lang w:val="es-UY"/>
        </w:rPr>
        <w:t xml:space="preserve">Los </w:t>
      </w:r>
      <w:r w:rsidR="00C51C64" w:rsidRPr="00E66386">
        <w:rPr>
          <w:rFonts w:asciiTheme="majorHAnsi" w:hAnsiTheme="majorHAnsi"/>
          <w:bCs/>
          <w:sz w:val="20"/>
          <w:szCs w:val="20"/>
          <w:lang w:val="es-UY"/>
        </w:rPr>
        <w:t>Ixil</w:t>
      </w:r>
      <w:r w:rsidR="008C6BBD" w:rsidRPr="00E66386">
        <w:rPr>
          <w:rFonts w:asciiTheme="majorHAnsi" w:hAnsiTheme="majorHAnsi"/>
          <w:bCs/>
          <w:sz w:val="20"/>
          <w:szCs w:val="20"/>
          <w:lang w:val="es-UY"/>
        </w:rPr>
        <w:t>es cuentan con un lenguaje propio denominado “protomaya” y su principal fuente de subsistencia ha sido la agricultura de granos básicos.</w:t>
      </w:r>
    </w:p>
    <w:p w14:paraId="19E472B1" w14:textId="6124E455" w:rsidR="006316FC" w:rsidRPr="00E66386" w:rsidRDefault="006316FC" w:rsidP="00D606CA">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UY"/>
        </w:rPr>
        <w:t xml:space="preserve">Los </w:t>
      </w:r>
      <w:r w:rsidR="00C51C64" w:rsidRPr="00E66386">
        <w:rPr>
          <w:rFonts w:asciiTheme="majorHAnsi" w:hAnsiTheme="majorHAnsi"/>
          <w:bCs/>
          <w:sz w:val="20"/>
          <w:szCs w:val="20"/>
          <w:lang w:val="es-UY"/>
        </w:rPr>
        <w:t>Ixil</w:t>
      </w:r>
      <w:r w:rsidRPr="00E66386">
        <w:rPr>
          <w:rFonts w:asciiTheme="majorHAnsi" w:hAnsiTheme="majorHAnsi"/>
          <w:bCs/>
          <w:sz w:val="20"/>
          <w:szCs w:val="20"/>
          <w:lang w:val="es-UY"/>
        </w:rPr>
        <w:t xml:space="preserve">es </w:t>
      </w:r>
      <w:r w:rsidRPr="00E66386">
        <w:rPr>
          <w:rFonts w:asciiTheme="majorHAnsi" w:hAnsiTheme="majorHAnsi"/>
          <w:bCs/>
          <w:sz w:val="20"/>
          <w:szCs w:val="20"/>
          <w:lang w:val="es-CO"/>
        </w:rPr>
        <w:t xml:space="preserve">se asentaron en la región que hoy ocupan aproximadamente en el año 200 D.C. </w:t>
      </w:r>
      <w:r w:rsidR="00423C70" w:rsidRPr="00E66386">
        <w:rPr>
          <w:rFonts w:asciiTheme="majorHAnsi" w:hAnsiTheme="majorHAnsi"/>
          <w:bCs/>
          <w:sz w:val="20"/>
          <w:szCs w:val="20"/>
          <w:lang w:val="es-CO"/>
        </w:rPr>
        <w:t>Refieren que d</w:t>
      </w:r>
      <w:r w:rsidRPr="00E66386">
        <w:rPr>
          <w:rFonts w:asciiTheme="majorHAnsi" w:hAnsiTheme="majorHAnsi"/>
          <w:bCs/>
          <w:sz w:val="20"/>
          <w:szCs w:val="20"/>
          <w:lang w:val="es-CO"/>
        </w:rPr>
        <w:t xml:space="preserve">entro de la cosmovisión </w:t>
      </w:r>
      <w:r w:rsidR="00C51C64" w:rsidRPr="00E66386">
        <w:rPr>
          <w:rFonts w:asciiTheme="majorHAnsi" w:hAnsiTheme="majorHAnsi"/>
          <w:bCs/>
          <w:sz w:val="20"/>
          <w:szCs w:val="20"/>
          <w:lang w:val="es-CO"/>
        </w:rPr>
        <w:t>Ixil</w:t>
      </w:r>
      <w:r w:rsidRPr="00E66386">
        <w:rPr>
          <w:rFonts w:asciiTheme="majorHAnsi" w:hAnsiTheme="majorHAnsi"/>
          <w:bCs/>
          <w:sz w:val="20"/>
          <w:szCs w:val="20"/>
          <w:lang w:val="es-CO"/>
        </w:rPr>
        <w:t xml:space="preserve"> es de suma importancia la relación con el territorio y la Madre Tierra, </w:t>
      </w:r>
      <w:r w:rsidR="001044DA" w:rsidRPr="00E66386">
        <w:rPr>
          <w:rFonts w:asciiTheme="majorHAnsi" w:hAnsiTheme="majorHAnsi"/>
          <w:bCs/>
          <w:sz w:val="20"/>
          <w:szCs w:val="20"/>
          <w:lang w:val="es-CO"/>
        </w:rPr>
        <w:t>“</w:t>
      </w:r>
      <w:r w:rsidRPr="00E66386">
        <w:rPr>
          <w:rFonts w:asciiTheme="majorHAnsi" w:hAnsiTheme="majorHAnsi"/>
          <w:bCs/>
          <w:i/>
          <w:iCs/>
          <w:sz w:val="20"/>
          <w:szCs w:val="20"/>
          <w:lang w:val="es-CO"/>
        </w:rPr>
        <w:t>porque es la forma de conectar la comunidad con sus antepasados, con su historia y los proyectos comunes que han llevado a cabo a lo largo de la misma</w:t>
      </w:r>
      <w:r w:rsidR="00423C70" w:rsidRPr="00E66386">
        <w:rPr>
          <w:rFonts w:asciiTheme="majorHAnsi" w:hAnsiTheme="majorHAnsi"/>
          <w:bCs/>
          <w:sz w:val="20"/>
          <w:szCs w:val="20"/>
          <w:lang w:val="es-CO"/>
        </w:rPr>
        <w:t>”</w:t>
      </w:r>
      <w:r w:rsidRPr="00E66386">
        <w:rPr>
          <w:rFonts w:asciiTheme="majorHAnsi" w:hAnsiTheme="majorHAnsi"/>
          <w:bCs/>
          <w:sz w:val="20"/>
          <w:szCs w:val="20"/>
          <w:lang w:val="es-CO"/>
        </w:rPr>
        <w:t xml:space="preserve">. La religión practicada por </w:t>
      </w:r>
      <w:r w:rsidR="003A00D0" w:rsidRPr="00E66386">
        <w:rPr>
          <w:rFonts w:asciiTheme="majorHAnsi" w:hAnsiTheme="majorHAnsi"/>
          <w:bCs/>
          <w:sz w:val="20"/>
          <w:szCs w:val="20"/>
          <w:lang w:val="es-CO"/>
        </w:rPr>
        <w:t>l</w:t>
      </w:r>
      <w:r w:rsidRPr="00E66386">
        <w:rPr>
          <w:rFonts w:asciiTheme="majorHAnsi" w:hAnsiTheme="majorHAnsi"/>
          <w:bCs/>
          <w:sz w:val="20"/>
          <w:szCs w:val="20"/>
          <w:lang w:val="es-CO"/>
        </w:rPr>
        <w:t xml:space="preserve">os </w:t>
      </w:r>
      <w:r w:rsidR="00C51C64" w:rsidRPr="00E66386">
        <w:rPr>
          <w:rFonts w:asciiTheme="majorHAnsi" w:hAnsiTheme="majorHAnsi"/>
          <w:bCs/>
          <w:sz w:val="20"/>
          <w:szCs w:val="20"/>
          <w:lang w:val="es-CO"/>
        </w:rPr>
        <w:t>Ixil</w:t>
      </w:r>
      <w:r w:rsidRPr="00E66386">
        <w:rPr>
          <w:rFonts w:asciiTheme="majorHAnsi" w:hAnsiTheme="majorHAnsi"/>
          <w:bCs/>
          <w:sz w:val="20"/>
          <w:szCs w:val="20"/>
          <w:lang w:val="es-CO"/>
        </w:rPr>
        <w:t xml:space="preserve">es mezcla los ritos ancestrales mayas con las ceremonias católicas. </w:t>
      </w:r>
      <w:r w:rsidR="00233DB4" w:rsidRPr="00E66386">
        <w:rPr>
          <w:rFonts w:asciiTheme="majorHAnsi" w:hAnsiTheme="majorHAnsi"/>
          <w:bCs/>
          <w:sz w:val="20"/>
          <w:szCs w:val="20"/>
          <w:lang w:val="es-CO"/>
        </w:rPr>
        <w:t>E</w:t>
      </w:r>
      <w:r w:rsidRPr="00E66386">
        <w:rPr>
          <w:rFonts w:asciiTheme="majorHAnsi" w:hAnsiTheme="majorHAnsi"/>
          <w:bCs/>
          <w:sz w:val="20"/>
          <w:szCs w:val="20"/>
          <w:lang w:val="es-CO"/>
        </w:rPr>
        <w:t xml:space="preserve">n el estudio realizado por el Dr. Andrés Romeo Valdez Estrada </w:t>
      </w:r>
      <w:r w:rsidR="00233DB4" w:rsidRPr="00E66386">
        <w:rPr>
          <w:rFonts w:asciiTheme="majorHAnsi" w:hAnsiTheme="majorHAnsi"/>
          <w:bCs/>
          <w:sz w:val="20"/>
          <w:szCs w:val="20"/>
          <w:lang w:val="es-CO"/>
        </w:rPr>
        <w:t xml:space="preserve">se determinó que </w:t>
      </w:r>
      <w:r w:rsidR="00243883" w:rsidRPr="00E66386">
        <w:rPr>
          <w:rFonts w:asciiTheme="majorHAnsi" w:hAnsiTheme="majorHAnsi"/>
          <w:bCs/>
          <w:sz w:val="20"/>
          <w:szCs w:val="20"/>
          <w:lang w:val="es-CO"/>
        </w:rPr>
        <w:t xml:space="preserve">este grupo étnico logró conservar sus raíces culturales, </w:t>
      </w:r>
      <w:r w:rsidR="003D0EB3" w:rsidRPr="00E66386">
        <w:rPr>
          <w:rFonts w:asciiTheme="majorHAnsi" w:hAnsiTheme="majorHAnsi"/>
          <w:bCs/>
          <w:sz w:val="20"/>
          <w:szCs w:val="20"/>
          <w:lang w:val="es-CO"/>
        </w:rPr>
        <w:t xml:space="preserve">su organización social y su cosmovisión pese a las imposiciones de </w:t>
      </w:r>
      <w:r w:rsidR="004225EF" w:rsidRPr="00E66386">
        <w:rPr>
          <w:rFonts w:asciiTheme="majorHAnsi" w:hAnsiTheme="majorHAnsi"/>
          <w:bCs/>
          <w:sz w:val="20"/>
          <w:szCs w:val="20"/>
          <w:lang w:val="es-CO"/>
        </w:rPr>
        <w:t xml:space="preserve">las que </w:t>
      </w:r>
      <w:r w:rsidRPr="00E66386">
        <w:rPr>
          <w:rFonts w:asciiTheme="majorHAnsi" w:hAnsiTheme="majorHAnsi"/>
          <w:bCs/>
          <w:sz w:val="20"/>
          <w:szCs w:val="20"/>
          <w:lang w:val="es-CO"/>
        </w:rPr>
        <w:t>fueron objeto durante la conquista y la colonización.</w:t>
      </w:r>
    </w:p>
    <w:p w14:paraId="7B2A0CFC" w14:textId="2A43E7B3" w:rsidR="006316FC" w:rsidRPr="00E66386" w:rsidRDefault="002A5C54" w:rsidP="00F15A0B">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La </w:t>
      </w:r>
      <w:r w:rsidR="006316FC" w:rsidRPr="00E66386">
        <w:rPr>
          <w:rFonts w:asciiTheme="majorHAnsi" w:hAnsiTheme="majorHAnsi"/>
          <w:bCs/>
          <w:sz w:val="20"/>
          <w:szCs w:val="20"/>
          <w:lang w:val="es-CO"/>
        </w:rPr>
        <w:t xml:space="preserve">región </w:t>
      </w:r>
      <w:r w:rsidR="00C51C64" w:rsidRPr="00E66386">
        <w:rPr>
          <w:rFonts w:asciiTheme="majorHAnsi" w:hAnsiTheme="majorHAnsi"/>
          <w:bCs/>
          <w:sz w:val="20"/>
          <w:szCs w:val="20"/>
          <w:lang w:val="es-CO"/>
        </w:rPr>
        <w:t>Ixil</w:t>
      </w:r>
      <w:r w:rsidR="006316FC" w:rsidRPr="00E66386">
        <w:rPr>
          <w:rFonts w:asciiTheme="majorHAnsi" w:hAnsiTheme="majorHAnsi"/>
          <w:bCs/>
          <w:sz w:val="20"/>
          <w:szCs w:val="20"/>
          <w:lang w:val="es-CO"/>
        </w:rPr>
        <w:t xml:space="preserve"> </w:t>
      </w:r>
      <w:r w:rsidRPr="00E66386">
        <w:rPr>
          <w:rFonts w:asciiTheme="majorHAnsi" w:hAnsiTheme="majorHAnsi"/>
          <w:bCs/>
          <w:sz w:val="20"/>
          <w:szCs w:val="20"/>
          <w:lang w:val="es-CO"/>
        </w:rPr>
        <w:t xml:space="preserve">cuenta con varios </w:t>
      </w:r>
      <w:r w:rsidR="006316FC" w:rsidRPr="00E66386">
        <w:rPr>
          <w:rFonts w:asciiTheme="majorHAnsi" w:hAnsiTheme="majorHAnsi"/>
          <w:bCs/>
          <w:sz w:val="20"/>
          <w:szCs w:val="20"/>
          <w:lang w:val="es-CO"/>
        </w:rPr>
        <w:t xml:space="preserve">lugares sagrados para la práctica de diferentes </w:t>
      </w:r>
      <w:r w:rsidRPr="00E66386">
        <w:rPr>
          <w:rFonts w:asciiTheme="majorHAnsi" w:hAnsiTheme="majorHAnsi"/>
          <w:bCs/>
          <w:sz w:val="20"/>
          <w:szCs w:val="20"/>
          <w:lang w:val="es-CO"/>
        </w:rPr>
        <w:t xml:space="preserve">ceremonias y expresiones </w:t>
      </w:r>
      <w:r w:rsidR="006316FC" w:rsidRPr="00E66386">
        <w:rPr>
          <w:rFonts w:asciiTheme="majorHAnsi" w:hAnsiTheme="majorHAnsi"/>
          <w:bCs/>
          <w:sz w:val="20"/>
          <w:szCs w:val="20"/>
          <w:lang w:val="es-CO"/>
        </w:rPr>
        <w:t xml:space="preserve">espirituales como templos católicos, centros ceremoniales y lugares sagrados mayas, que constituyen referentes históricos y espirituales. </w:t>
      </w:r>
      <w:r w:rsidR="005F4840" w:rsidRPr="00E66386">
        <w:rPr>
          <w:rFonts w:asciiTheme="majorHAnsi" w:hAnsiTheme="majorHAnsi"/>
          <w:bCs/>
          <w:sz w:val="20"/>
          <w:szCs w:val="20"/>
          <w:lang w:val="es-CO"/>
        </w:rPr>
        <w:t xml:space="preserve">Asimismo, </w:t>
      </w:r>
      <w:r w:rsidR="006316FC" w:rsidRPr="00E66386">
        <w:rPr>
          <w:rFonts w:asciiTheme="majorHAnsi" w:hAnsiTheme="majorHAnsi"/>
          <w:bCs/>
          <w:sz w:val="20"/>
          <w:szCs w:val="20"/>
          <w:lang w:val="es-CO"/>
        </w:rPr>
        <w:t xml:space="preserve">los ritos mortuorios </w:t>
      </w:r>
      <w:r w:rsidR="005F4840" w:rsidRPr="00E66386">
        <w:rPr>
          <w:rFonts w:asciiTheme="majorHAnsi" w:hAnsiTheme="majorHAnsi"/>
          <w:bCs/>
          <w:sz w:val="20"/>
          <w:szCs w:val="20"/>
          <w:lang w:val="es-CO"/>
        </w:rPr>
        <w:t xml:space="preserve">revisten de </w:t>
      </w:r>
      <w:r w:rsidR="006316FC" w:rsidRPr="00E66386">
        <w:rPr>
          <w:rFonts w:asciiTheme="majorHAnsi" w:hAnsiTheme="majorHAnsi"/>
          <w:bCs/>
          <w:sz w:val="20"/>
          <w:szCs w:val="20"/>
          <w:lang w:val="es-CO"/>
        </w:rPr>
        <w:t xml:space="preserve">gran importancia </w:t>
      </w:r>
      <w:r w:rsidR="005F4840" w:rsidRPr="00E66386">
        <w:rPr>
          <w:rFonts w:asciiTheme="majorHAnsi" w:hAnsiTheme="majorHAnsi"/>
          <w:bCs/>
          <w:sz w:val="20"/>
          <w:szCs w:val="20"/>
          <w:lang w:val="es-CO"/>
        </w:rPr>
        <w:t xml:space="preserve">para el grupo, que los concibe como </w:t>
      </w:r>
      <w:r w:rsidR="006316FC" w:rsidRPr="00E66386">
        <w:rPr>
          <w:rFonts w:asciiTheme="majorHAnsi" w:hAnsiTheme="majorHAnsi"/>
          <w:bCs/>
          <w:sz w:val="20"/>
          <w:szCs w:val="20"/>
          <w:lang w:val="es-CO"/>
        </w:rPr>
        <w:t xml:space="preserve">el retorno a la Madre Tierra y </w:t>
      </w:r>
      <w:r w:rsidR="005F4840" w:rsidRPr="00E66386">
        <w:rPr>
          <w:rFonts w:asciiTheme="majorHAnsi" w:hAnsiTheme="majorHAnsi"/>
          <w:bCs/>
          <w:sz w:val="20"/>
          <w:szCs w:val="20"/>
          <w:lang w:val="es-CO"/>
        </w:rPr>
        <w:t xml:space="preserve">el </w:t>
      </w:r>
      <w:r w:rsidR="006316FC" w:rsidRPr="00E66386">
        <w:rPr>
          <w:rFonts w:asciiTheme="majorHAnsi" w:hAnsiTheme="majorHAnsi"/>
          <w:bCs/>
          <w:sz w:val="20"/>
          <w:szCs w:val="20"/>
          <w:lang w:val="es-CO"/>
        </w:rPr>
        <w:t xml:space="preserve">pasar </w:t>
      </w:r>
      <w:r w:rsidR="00EB0BED" w:rsidRPr="00E66386">
        <w:rPr>
          <w:rFonts w:asciiTheme="majorHAnsi" w:hAnsiTheme="majorHAnsi"/>
          <w:bCs/>
          <w:sz w:val="20"/>
          <w:szCs w:val="20"/>
          <w:lang w:val="es-CO"/>
        </w:rPr>
        <w:t xml:space="preserve">a </w:t>
      </w:r>
      <w:r w:rsidR="006316FC" w:rsidRPr="00E66386">
        <w:rPr>
          <w:rFonts w:asciiTheme="majorHAnsi" w:hAnsiTheme="majorHAnsi"/>
          <w:bCs/>
          <w:sz w:val="20"/>
          <w:szCs w:val="20"/>
          <w:lang w:val="es-CO"/>
        </w:rPr>
        <w:t>formar parte de los antepasados</w:t>
      </w:r>
      <w:r w:rsidR="005F4840" w:rsidRPr="00E66386">
        <w:rPr>
          <w:rFonts w:asciiTheme="majorHAnsi" w:hAnsiTheme="majorHAnsi"/>
          <w:bCs/>
          <w:sz w:val="20"/>
          <w:szCs w:val="20"/>
          <w:lang w:val="es-CO"/>
        </w:rPr>
        <w:t xml:space="preserve">. Por ello, </w:t>
      </w:r>
      <w:r w:rsidR="009D0A0C" w:rsidRPr="00E66386">
        <w:rPr>
          <w:rFonts w:asciiTheme="majorHAnsi" w:hAnsiTheme="majorHAnsi"/>
          <w:bCs/>
          <w:sz w:val="20"/>
          <w:szCs w:val="20"/>
          <w:lang w:val="es-CO"/>
        </w:rPr>
        <w:t>consideran que estos ritos son</w:t>
      </w:r>
      <w:r w:rsidR="006316FC" w:rsidRPr="00E66386">
        <w:rPr>
          <w:rFonts w:asciiTheme="majorHAnsi" w:hAnsiTheme="majorHAnsi"/>
          <w:bCs/>
          <w:sz w:val="20"/>
          <w:szCs w:val="20"/>
          <w:lang w:val="es-CO"/>
        </w:rPr>
        <w:t xml:space="preserve"> un paso que requiere</w:t>
      </w:r>
      <w:r w:rsidR="009D0A0C" w:rsidRPr="00E66386">
        <w:rPr>
          <w:rFonts w:asciiTheme="majorHAnsi" w:hAnsiTheme="majorHAnsi"/>
          <w:bCs/>
          <w:sz w:val="20"/>
          <w:szCs w:val="20"/>
          <w:lang w:val="es-CO"/>
        </w:rPr>
        <w:t>n</w:t>
      </w:r>
      <w:r w:rsidR="006316FC" w:rsidRPr="00E66386">
        <w:rPr>
          <w:rFonts w:asciiTheme="majorHAnsi" w:hAnsiTheme="majorHAnsi"/>
          <w:bCs/>
          <w:sz w:val="20"/>
          <w:szCs w:val="20"/>
          <w:lang w:val="es-CO"/>
        </w:rPr>
        <w:t xml:space="preserve"> del acompañamiento de la comunidad para enterrar al muerto en</w:t>
      </w:r>
      <w:r w:rsidR="00696A98" w:rsidRPr="00E66386">
        <w:rPr>
          <w:rFonts w:asciiTheme="majorHAnsi" w:hAnsiTheme="majorHAnsi"/>
          <w:bCs/>
          <w:sz w:val="20"/>
          <w:szCs w:val="20"/>
          <w:lang w:val="es-CO"/>
        </w:rPr>
        <w:t xml:space="preserve"> su tierra.</w:t>
      </w:r>
    </w:p>
    <w:p w14:paraId="2F423159" w14:textId="4C23DA01" w:rsidR="00F77583" w:rsidRPr="00E66386" w:rsidRDefault="00F77583" w:rsidP="00F77583">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 xml:space="preserve">Ataques denunciados contra el pueblo maya </w:t>
      </w:r>
      <w:r w:rsidR="00C51C64" w:rsidRPr="00E66386">
        <w:rPr>
          <w:rFonts w:asciiTheme="majorHAnsi" w:hAnsiTheme="majorHAnsi"/>
          <w:bCs/>
          <w:i/>
          <w:iCs/>
          <w:sz w:val="20"/>
          <w:szCs w:val="20"/>
          <w:lang w:val="es-CO"/>
        </w:rPr>
        <w:t>Ixil</w:t>
      </w:r>
      <w:r w:rsidR="008F3662" w:rsidRPr="00E66386">
        <w:rPr>
          <w:rFonts w:asciiTheme="majorHAnsi" w:hAnsiTheme="majorHAnsi"/>
          <w:bCs/>
          <w:i/>
          <w:iCs/>
          <w:sz w:val="20"/>
          <w:szCs w:val="20"/>
          <w:lang w:val="es-CO"/>
        </w:rPr>
        <w:t xml:space="preserve"> de marzo de 1982 a octubre de 1983</w:t>
      </w:r>
    </w:p>
    <w:p w14:paraId="504079F5" w14:textId="49725FDB" w:rsidR="000148C2" w:rsidRPr="00E66386" w:rsidRDefault="007D160E" w:rsidP="00342D4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El general retirado José Efraín Ríos Montt gobernó Guatemala e</w:t>
      </w:r>
      <w:r w:rsidR="00F159BA" w:rsidRPr="00E66386">
        <w:rPr>
          <w:rFonts w:asciiTheme="majorHAnsi" w:hAnsiTheme="majorHAnsi"/>
          <w:bCs/>
          <w:sz w:val="20"/>
          <w:szCs w:val="20"/>
          <w:lang w:val="es-CO"/>
        </w:rPr>
        <w:t xml:space="preserve">ntre marzo de 1982 y agosto de 1983 </w:t>
      </w:r>
      <w:r w:rsidR="00282541" w:rsidRPr="00E66386">
        <w:rPr>
          <w:rFonts w:asciiTheme="majorHAnsi" w:hAnsiTheme="majorHAnsi"/>
          <w:bCs/>
          <w:sz w:val="20"/>
          <w:szCs w:val="20"/>
          <w:lang w:val="es-CO"/>
        </w:rPr>
        <w:t>impuesto</w:t>
      </w:r>
      <w:r w:rsidR="00BA72BA" w:rsidRPr="00E66386">
        <w:rPr>
          <w:rFonts w:asciiTheme="majorHAnsi" w:hAnsiTheme="majorHAnsi"/>
          <w:bCs/>
          <w:sz w:val="20"/>
          <w:szCs w:val="20"/>
          <w:lang w:val="es-CO"/>
        </w:rPr>
        <w:t>, como ya se anotó,</w:t>
      </w:r>
      <w:r w:rsidR="00282541" w:rsidRPr="00E66386">
        <w:rPr>
          <w:rFonts w:asciiTheme="majorHAnsi" w:hAnsiTheme="majorHAnsi"/>
          <w:bCs/>
          <w:sz w:val="20"/>
          <w:szCs w:val="20"/>
          <w:lang w:val="es-CO"/>
        </w:rPr>
        <w:t xml:space="preserve"> por un golpe de estado. Los </w:t>
      </w:r>
      <w:r w:rsidR="003A1E89" w:rsidRPr="00E66386">
        <w:rPr>
          <w:rFonts w:asciiTheme="majorHAnsi" w:hAnsiTheme="majorHAnsi"/>
          <w:bCs/>
          <w:sz w:val="20"/>
          <w:szCs w:val="20"/>
          <w:lang w:val="es-CO"/>
        </w:rPr>
        <w:t xml:space="preserve">peticionarios aducen que los </w:t>
      </w:r>
      <w:r w:rsidR="00282541" w:rsidRPr="00E66386">
        <w:rPr>
          <w:rFonts w:asciiTheme="majorHAnsi" w:hAnsiTheme="majorHAnsi"/>
          <w:bCs/>
          <w:sz w:val="20"/>
          <w:szCs w:val="20"/>
          <w:lang w:val="es-CO"/>
        </w:rPr>
        <w:t xml:space="preserve">actos de su </w:t>
      </w:r>
      <w:r w:rsidR="003A1E89" w:rsidRPr="00E66386">
        <w:rPr>
          <w:rFonts w:asciiTheme="majorHAnsi" w:hAnsiTheme="majorHAnsi"/>
          <w:bCs/>
          <w:sz w:val="20"/>
          <w:szCs w:val="20"/>
          <w:lang w:val="es-CO"/>
        </w:rPr>
        <w:t>g</w:t>
      </w:r>
      <w:r w:rsidR="00282541" w:rsidRPr="00E66386">
        <w:rPr>
          <w:rFonts w:asciiTheme="majorHAnsi" w:hAnsiTheme="majorHAnsi"/>
          <w:bCs/>
          <w:sz w:val="20"/>
          <w:szCs w:val="20"/>
          <w:lang w:val="es-CO"/>
        </w:rPr>
        <w:t xml:space="preserve">obierno </w:t>
      </w:r>
      <w:r w:rsidR="003A1E89" w:rsidRPr="00E66386">
        <w:rPr>
          <w:rFonts w:asciiTheme="majorHAnsi" w:hAnsiTheme="majorHAnsi"/>
          <w:bCs/>
          <w:sz w:val="20"/>
          <w:szCs w:val="20"/>
          <w:lang w:val="es-CO"/>
        </w:rPr>
        <w:t xml:space="preserve">se caracterizaron por </w:t>
      </w:r>
      <w:r w:rsidR="00282541" w:rsidRPr="00E66386">
        <w:rPr>
          <w:rFonts w:asciiTheme="majorHAnsi" w:hAnsiTheme="majorHAnsi"/>
          <w:bCs/>
          <w:sz w:val="20"/>
          <w:szCs w:val="20"/>
          <w:lang w:val="es-CO"/>
        </w:rPr>
        <w:t xml:space="preserve">la </w:t>
      </w:r>
      <w:r w:rsidR="00F64123" w:rsidRPr="00E66386">
        <w:rPr>
          <w:rFonts w:asciiTheme="majorHAnsi" w:hAnsiTheme="majorHAnsi"/>
          <w:bCs/>
          <w:sz w:val="20"/>
          <w:szCs w:val="20"/>
          <w:lang w:val="es-CO"/>
        </w:rPr>
        <w:t xml:space="preserve">aplicación de la </w:t>
      </w:r>
      <w:r w:rsidR="00282541" w:rsidRPr="00E66386">
        <w:rPr>
          <w:rFonts w:asciiTheme="majorHAnsi" w:hAnsiTheme="majorHAnsi"/>
          <w:bCs/>
          <w:sz w:val="20"/>
          <w:szCs w:val="20"/>
          <w:lang w:val="es-CO"/>
        </w:rPr>
        <w:t xml:space="preserve">Doctrina de Seguridad Nacional y el Manual de Guerra Contrasubversiva. </w:t>
      </w:r>
      <w:r w:rsidR="00F64123" w:rsidRPr="00E66386">
        <w:rPr>
          <w:rFonts w:asciiTheme="majorHAnsi" w:hAnsiTheme="majorHAnsi"/>
          <w:bCs/>
          <w:sz w:val="20"/>
          <w:szCs w:val="20"/>
          <w:lang w:val="es-CO"/>
        </w:rPr>
        <w:t>D</w:t>
      </w:r>
      <w:r w:rsidR="00282541" w:rsidRPr="00E66386">
        <w:rPr>
          <w:rFonts w:asciiTheme="majorHAnsi" w:hAnsiTheme="majorHAnsi"/>
          <w:bCs/>
          <w:sz w:val="20"/>
          <w:szCs w:val="20"/>
          <w:lang w:val="es-CO"/>
        </w:rPr>
        <w:t xml:space="preserve">urante su régimen de facto, </w:t>
      </w:r>
      <w:r w:rsidR="00F64123" w:rsidRPr="00E66386">
        <w:rPr>
          <w:rFonts w:asciiTheme="majorHAnsi" w:hAnsiTheme="majorHAnsi"/>
          <w:bCs/>
          <w:sz w:val="20"/>
          <w:szCs w:val="20"/>
          <w:lang w:val="es-CO"/>
        </w:rPr>
        <w:t xml:space="preserve">Ríos Montt </w:t>
      </w:r>
      <w:r w:rsidR="00282541" w:rsidRPr="00E66386">
        <w:rPr>
          <w:rFonts w:asciiTheme="majorHAnsi" w:hAnsiTheme="majorHAnsi"/>
          <w:bCs/>
          <w:sz w:val="20"/>
          <w:szCs w:val="20"/>
          <w:lang w:val="es-CO"/>
        </w:rPr>
        <w:t xml:space="preserve">ordenó </w:t>
      </w:r>
      <w:r w:rsidR="00F64123" w:rsidRPr="00E66386">
        <w:rPr>
          <w:rFonts w:asciiTheme="majorHAnsi" w:hAnsiTheme="majorHAnsi"/>
          <w:bCs/>
          <w:sz w:val="20"/>
          <w:szCs w:val="20"/>
          <w:lang w:val="es-CO"/>
        </w:rPr>
        <w:t xml:space="preserve">la creación del plan estratégico “Victoria 82” </w:t>
      </w:r>
      <w:r w:rsidR="00282541" w:rsidRPr="00E66386">
        <w:rPr>
          <w:rFonts w:asciiTheme="majorHAnsi" w:hAnsiTheme="majorHAnsi"/>
          <w:bCs/>
          <w:sz w:val="20"/>
          <w:szCs w:val="20"/>
          <w:lang w:val="es-CO"/>
        </w:rPr>
        <w:t>al director del estado mayor del Ejército.</w:t>
      </w:r>
      <w:r w:rsidR="00DD4D8C" w:rsidRPr="00E66386">
        <w:rPr>
          <w:rFonts w:asciiTheme="majorHAnsi" w:hAnsiTheme="majorHAnsi"/>
          <w:bCs/>
          <w:sz w:val="20"/>
          <w:szCs w:val="20"/>
          <w:lang w:val="es-CO"/>
        </w:rPr>
        <w:t xml:space="preserve"> La Doctrina de Seguridad Nacional implicaba que el enemigo interno estaba conformado por todas aquellas personas y grupos opuestos al régimen establecido, dentro de los cuales se incluyó a los miembros del grupo maya </w:t>
      </w:r>
      <w:r w:rsidR="00C51C64" w:rsidRPr="00E66386">
        <w:rPr>
          <w:rFonts w:asciiTheme="majorHAnsi" w:hAnsiTheme="majorHAnsi"/>
          <w:bCs/>
          <w:sz w:val="20"/>
          <w:szCs w:val="20"/>
          <w:lang w:val="es-CO"/>
        </w:rPr>
        <w:t>Ixil</w:t>
      </w:r>
      <w:r w:rsidR="00DD4D8C" w:rsidRPr="00E66386">
        <w:rPr>
          <w:rFonts w:asciiTheme="majorHAnsi" w:hAnsiTheme="majorHAnsi"/>
          <w:bCs/>
          <w:sz w:val="20"/>
          <w:szCs w:val="20"/>
          <w:lang w:val="es-CO"/>
        </w:rPr>
        <w:t xml:space="preserve">. </w:t>
      </w:r>
      <w:r w:rsidR="003222ED" w:rsidRPr="00E66386">
        <w:rPr>
          <w:rFonts w:asciiTheme="majorHAnsi" w:hAnsiTheme="majorHAnsi"/>
          <w:bCs/>
          <w:sz w:val="20"/>
          <w:szCs w:val="20"/>
          <w:lang w:val="es-CO"/>
        </w:rPr>
        <w:t>E</w:t>
      </w:r>
      <w:r w:rsidR="008259B9" w:rsidRPr="00E66386">
        <w:rPr>
          <w:rFonts w:asciiTheme="majorHAnsi" w:hAnsiTheme="majorHAnsi"/>
          <w:bCs/>
          <w:sz w:val="20"/>
          <w:szCs w:val="20"/>
          <w:lang w:val="es-CO"/>
        </w:rPr>
        <w:t xml:space="preserve">l </w:t>
      </w:r>
      <w:r w:rsidR="003222ED" w:rsidRPr="00E66386">
        <w:rPr>
          <w:rFonts w:asciiTheme="majorHAnsi" w:hAnsiTheme="majorHAnsi"/>
          <w:bCs/>
          <w:sz w:val="20"/>
          <w:szCs w:val="20"/>
          <w:lang w:val="es-CO"/>
        </w:rPr>
        <w:t xml:space="preserve">l Plan de Campaña Victoria 82 </w:t>
      </w:r>
      <w:r w:rsidR="009B0FD9" w:rsidRPr="00E66386">
        <w:rPr>
          <w:rFonts w:asciiTheme="majorHAnsi" w:hAnsiTheme="majorHAnsi"/>
          <w:bCs/>
          <w:sz w:val="20"/>
          <w:szCs w:val="20"/>
          <w:lang w:val="es-CO"/>
        </w:rPr>
        <w:t xml:space="preserve">contiene </w:t>
      </w:r>
      <w:r w:rsidR="003222ED" w:rsidRPr="00E66386">
        <w:rPr>
          <w:rFonts w:asciiTheme="majorHAnsi" w:hAnsiTheme="majorHAnsi"/>
          <w:bCs/>
          <w:sz w:val="20"/>
          <w:szCs w:val="20"/>
          <w:lang w:val="es-CO"/>
        </w:rPr>
        <w:t xml:space="preserve">datos que </w:t>
      </w:r>
      <w:r w:rsidR="00985712" w:rsidRPr="00E66386">
        <w:rPr>
          <w:rFonts w:asciiTheme="majorHAnsi" w:hAnsiTheme="majorHAnsi"/>
          <w:bCs/>
          <w:sz w:val="20"/>
          <w:szCs w:val="20"/>
          <w:lang w:val="es-CO"/>
        </w:rPr>
        <w:t xml:space="preserve">permiten inferir </w:t>
      </w:r>
      <w:r w:rsidR="00D5257E" w:rsidRPr="00E66386">
        <w:rPr>
          <w:rFonts w:asciiTheme="majorHAnsi" w:hAnsiTheme="majorHAnsi"/>
          <w:bCs/>
          <w:sz w:val="20"/>
          <w:szCs w:val="20"/>
          <w:lang w:val="es-CO"/>
        </w:rPr>
        <w:t>que l</w:t>
      </w:r>
      <w:r w:rsidR="003222ED" w:rsidRPr="00E66386">
        <w:rPr>
          <w:rFonts w:asciiTheme="majorHAnsi" w:hAnsiTheme="majorHAnsi"/>
          <w:bCs/>
          <w:sz w:val="20"/>
          <w:szCs w:val="20"/>
          <w:lang w:val="es-CO"/>
        </w:rPr>
        <w:t xml:space="preserve">a población </w:t>
      </w:r>
      <w:r w:rsidR="00C51C64" w:rsidRPr="00E66386">
        <w:rPr>
          <w:rFonts w:asciiTheme="majorHAnsi" w:hAnsiTheme="majorHAnsi"/>
          <w:bCs/>
          <w:sz w:val="20"/>
          <w:szCs w:val="20"/>
          <w:lang w:val="es-CO"/>
        </w:rPr>
        <w:t>Ixil</w:t>
      </w:r>
      <w:r w:rsidR="003222ED" w:rsidRPr="00E66386">
        <w:rPr>
          <w:rFonts w:asciiTheme="majorHAnsi" w:hAnsiTheme="majorHAnsi"/>
          <w:bCs/>
          <w:sz w:val="20"/>
          <w:szCs w:val="20"/>
          <w:lang w:val="es-CO"/>
        </w:rPr>
        <w:t xml:space="preserve"> </w:t>
      </w:r>
      <w:r w:rsidR="00985712" w:rsidRPr="00E66386">
        <w:rPr>
          <w:rFonts w:asciiTheme="majorHAnsi" w:hAnsiTheme="majorHAnsi"/>
          <w:bCs/>
          <w:sz w:val="20"/>
          <w:szCs w:val="20"/>
          <w:lang w:val="es-CO"/>
        </w:rPr>
        <w:t xml:space="preserve">fue un blanco principal para el ejército, </w:t>
      </w:r>
      <w:r w:rsidR="00C9217D" w:rsidRPr="00E66386">
        <w:rPr>
          <w:rFonts w:asciiTheme="majorHAnsi" w:hAnsiTheme="majorHAnsi"/>
          <w:bCs/>
          <w:sz w:val="20"/>
          <w:szCs w:val="20"/>
          <w:lang w:val="es-CO"/>
        </w:rPr>
        <w:t>por</w:t>
      </w:r>
      <w:r w:rsidR="003222ED" w:rsidRPr="00E66386">
        <w:rPr>
          <w:rFonts w:asciiTheme="majorHAnsi" w:hAnsiTheme="majorHAnsi"/>
          <w:bCs/>
          <w:sz w:val="20"/>
          <w:szCs w:val="20"/>
          <w:lang w:val="es-CO"/>
        </w:rPr>
        <w:t xml:space="preserve">que </w:t>
      </w:r>
      <w:r w:rsidR="00C9217D" w:rsidRPr="00E66386">
        <w:rPr>
          <w:rFonts w:asciiTheme="majorHAnsi" w:hAnsiTheme="majorHAnsi"/>
          <w:bCs/>
          <w:sz w:val="20"/>
          <w:szCs w:val="20"/>
          <w:lang w:val="es-CO"/>
        </w:rPr>
        <w:t>era considerada la base social del E</w:t>
      </w:r>
      <w:r w:rsidR="00D5257E" w:rsidRPr="00E66386">
        <w:rPr>
          <w:rFonts w:asciiTheme="majorHAnsi" w:hAnsiTheme="majorHAnsi"/>
          <w:bCs/>
          <w:sz w:val="20"/>
          <w:szCs w:val="20"/>
          <w:lang w:val="es-CO"/>
        </w:rPr>
        <w:t>G</w:t>
      </w:r>
      <w:r w:rsidR="00C9217D" w:rsidRPr="00E66386">
        <w:rPr>
          <w:rFonts w:asciiTheme="majorHAnsi" w:hAnsiTheme="majorHAnsi"/>
          <w:bCs/>
          <w:sz w:val="20"/>
          <w:szCs w:val="20"/>
          <w:lang w:val="es-CO"/>
        </w:rPr>
        <w:t xml:space="preserve">P que operaba en </w:t>
      </w:r>
      <w:r w:rsidR="003222ED" w:rsidRPr="00E66386">
        <w:rPr>
          <w:rFonts w:asciiTheme="majorHAnsi" w:hAnsiTheme="majorHAnsi"/>
          <w:bCs/>
          <w:sz w:val="20"/>
          <w:szCs w:val="20"/>
          <w:lang w:val="es-CO"/>
        </w:rPr>
        <w:t>los municipios de Santa María Nebaj, San Gaspar Chajul y San Juan Cotzal.</w:t>
      </w:r>
      <w:r w:rsidR="00DD4D8C" w:rsidRPr="00E66386">
        <w:rPr>
          <w:rFonts w:asciiTheme="majorHAnsi" w:hAnsiTheme="majorHAnsi"/>
          <w:bCs/>
          <w:sz w:val="20"/>
          <w:szCs w:val="20"/>
          <w:lang w:val="es-CO"/>
        </w:rPr>
        <w:t xml:space="preserve"> </w:t>
      </w:r>
      <w:r w:rsidR="00B35EEE" w:rsidRPr="00E66386">
        <w:rPr>
          <w:rFonts w:asciiTheme="majorHAnsi" w:hAnsiTheme="majorHAnsi"/>
          <w:bCs/>
          <w:sz w:val="20"/>
          <w:szCs w:val="20"/>
          <w:lang w:val="es-CO"/>
        </w:rPr>
        <w:t>Subrayan que e</w:t>
      </w:r>
      <w:r w:rsidR="00DD4D8C" w:rsidRPr="00E66386">
        <w:rPr>
          <w:rFonts w:asciiTheme="majorHAnsi" w:hAnsiTheme="majorHAnsi"/>
          <w:bCs/>
          <w:sz w:val="20"/>
          <w:szCs w:val="20"/>
          <w:lang w:val="es-CO"/>
        </w:rPr>
        <w:t>stos planes no s</w:t>
      </w:r>
      <w:r w:rsidR="00B35EEE" w:rsidRPr="00E66386">
        <w:rPr>
          <w:rFonts w:asciiTheme="majorHAnsi" w:hAnsiTheme="majorHAnsi"/>
          <w:bCs/>
          <w:sz w:val="20"/>
          <w:szCs w:val="20"/>
          <w:lang w:val="es-CO"/>
        </w:rPr>
        <w:t>ó</w:t>
      </w:r>
      <w:r w:rsidR="00DD4D8C" w:rsidRPr="00E66386">
        <w:rPr>
          <w:rFonts w:asciiTheme="majorHAnsi" w:hAnsiTheme="majorHAnsi"/>
          <w:bCs/>
          <w:sz w:val="20"/>
          <w:szCs w:val="20"/>
          <w:lang w:val="es-CO"/>
        </w:rPr>
        <w:t xml:space="preserve">lo establecían una política contrainsurgente, sino que fueron el instrumento </w:t>
      </w:r>
      <w:r w:rsidR="00664E21" w:rsidRPr="00E66386">
        <w:rPr>
          <w:rFonts w:asciiTheme="majorHAnsi" w:hAnsiTheme="majorHAnsi"/>
          <w:bCs/>
          <w:sz w:val="20"/>
          <w:szCs w:val="20"/>
          <w:lang w:val="es-CO"/>
        </w:rPr>
        <w:lastRenderedPageBreak/>
        <w:t>base d</w:t>
      </w:r>
      <w:r w:rsidR="00DD4D8C" w:rsidRPr="00E66386">
        <w:rPr>
          <w:rFonts w:asciiTheme="majorHAnsi" w:hAnsiTheme="majorHAnsi"/>
          <w:bCs/>
          <w:sz w:val="20"/>
          <w:szCs w:val="20"/>
          <w:lang w:val="es-CO"/>
        </w:rPr>
        <w:t xml:space="preserve">el </w:t>
      </w:r>
      <w:r w:rsidR="00D21D80" w:rsidRPr="00E66386">
        <w:rPr>
          <w:rFonts w:asciiTheme="majorHAnsi" w:hAnsiTheme="majorHAnsi"/>
          <w:bCs/>
          <w:sz w:val="20"/>
          <w:szCs w:val="20"/>
          <w:lang w:val="es-CO"/>
        </w:rPr>
        <w:t xml:space="preserve">alegado </w:t>
      </w:r>
      <w:r w:rsidR="00DD4D8C" w:rsidRPr="00E66386">
        <w:rPr>
          <w:rFonts w:asciiTheme="majorHAnsi" w:hAnsiTheme="majorHAnsi"/>
          <w:bCs/>
          <w:sz w:val="20"/>
          <w:szCs w:val="20"/>
          <w:lang w:val="es-CO"/>
        </w:rPr>
        <w:t xml:space="preserve">genocidio del grupo étnico maya </w:t>
      </w:r>
      <w:r w:rsidR="00C51C64" w:rsidRPr="00E66386">
        <w:rPr>
          <w:rFonts w:asciiTheme="majorHAnsi" w:hAnsiTheme="majorHAnsi"/>
          <w:bCs/>
          <w:sz w:val="20"/>
          <w:szCs w:val="20"/>
          <w:lang w:val="es-CO"/>
        </w:rPr>
        <w:t>Ixil</w:t>
      </w:r>
      <w:r w:rsidR="00DD4D8C" w:rsidRPr="00E66386">
        <w:rPr>
          <w:rFonts w:asciiTheme="majorHAnsi" w:hAnsiTheme="majorHAnsi"/>
          <w:bCs/>
          <w:sz w:val="20"/>
          <w:szCs w:val="20"/>
          <w:lang w:val="es-CO"/>
        </w:rPr>
        <w:t xml:space="preserve">, y de otros pueblos de origen maya, </w:t>
      </w:r>
      <w:r w:rsidR="00664E21" w:rsidRPr="00E66386">
        <w:rPr>
          <w:rFonts w:asciiTheme="majorHAnsi" w:hAnsiTheme="majorHAnsi"/>
          <w:bCs/>
          <w:sz w:val="20"/>
          <w:szCs w:val="20"/>
          <w:lang w:val="es-CO"/>
        </w:rPr>
        <w:t xml:space="preserve">de acuerdo con el </w:t>
      </w:r>
      <w:r w:rsidR="00DD4D8C" w:rsidRPr="00E66386">
        <w:rPr>
          <w:rFonts w:asciiTheme="majorHAnsi" w:hAnsiTheme="majorHAnsi"/>
          <w:bCs/>
          <w:sz w:val="20"/>
          <w:szCs w:val="20"/>
          <w:lang w:val="es-CO"/>
        </w:rPr>
        <w:t xml:space="preserve">informe </w:t>
      </w:r>
      <w:r w:rsidR="00664E21" w:rsidRPr="00E66386">
        <w:rPr>
          <w:rFonts w:asciiTheme="majorHAnsi" w:hAnsiTheme="majorHAnsi"/>
          <w:bCs/>
          <w:sz w:val="20"/>
          <w:szCs w:val="20"/>
          <w:lang w:val="es-CO"/>
        </w:rPr>
        <w:t>de la CEH “</w:t>
      </w:r>
      <w:r w:rsidR="00DD4D8C" w:rsidRPr="00E66386">
        <w:rPr>
          <w:rFonts w:asciiTheme="majorHAnsi" w:hAnsiTheme="majorHAnsi"/>
          <w:bCs/>
          <w:i/>
          <w:iCs/>
          <w:sz w:val="20"/>
          <w:szCs w:val="20"/>
          <w:lang w:val="es-CO"/>
        </w:rPr>
        <w:t>Guatemala, Memoria del Silencio</w:t>
      </w:r>
      <w:r w:rsidR="00664E21" w:rsidRPr="00E66386">
        <w:rPr>
          <w:rFonts w:asciiTheme="majorHAnsi" w:hAnsiTheme="majorHAnsi"/>
          <w:bCs/>
          <w:sz w:val="20"/>
          <w:szCs w:val="20"/>
          <w:lang w:val="es-CO"/>
        </w:rPr>
        <w:t>”</w:t>
      </w:r>
      <w:r w:rsidR="00DD4D8C" w:rsidRPr="00E66386">
        <w:rPr>
          <w:rFonts w:asciiTheme="majorHAnsi" w:hAnsiTheme="majorHAnsi"/>
          <w:bCs/>
          <w:sz w:val="20"/>
          <w:szCs w:val="20"/>
          <w:lang w:val="es-CO"/>
        </w:rPr>
        <w:t>.</w:t>
      </w:r>
    </w:p>
    <w:p w14:paraId="0C96FFBA" w14:textId="3D16EF5E" w:rsidR="00A72450" w:rsidRPr="00E66386" w:rsidRDefault="00F81FD9" w:rsidP="00F1453A">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Los peticionarios refieren que el gobierno expidió los planes </w:t>
      </w:r>
      <w:r w:rsidR="009D6F4B" w:rsidRPr="00E66386">
        <w:rPr>
          <w:rFonts w:asciiTheme="majorHAnsi" w:hAnsiTheme="majorHAnsi"/>
          <w:bCs/>
          <w:sz w:val="20"/>
          <w:szCs w:val="20"/>
          <w:lang w:val="es-CO"/>
        </w:rPr>
        <w:t>de Campaña Victoria 82</w:t>
      </w:r>
      <w:r w:rsidR="0008664A" w:rsidRPr="00E66386">
        <w:rPr>
          <w:rFonts w:asciiTheme="majorHAnsi" w:hAnsiTheme="majorHAnsi"/>
          <w:bCs/>
          <w:sz w:val="20"/>
          <w:szCs w:val="20"/>
          <w:lang w:val="es-CO"/>
        </w:rPr>
        <w:t xml:space="preserve">, </w:t>
      </w:r>
      <w:r w:rsidR="009D6F4B" w:rsidRPr="00E66386">
        <w:rPr>
          <w:rFonts w:asciiTheme="majorHAnsi" w:hAnsiTheme="majorHAnsi"/>
          <w:bCs/>
          <w:sz w:val="20"/>
          <w:szCs w:val="20"/>
          <w:lang w:val="es-CO"/>
        </w:rPr>
        <w:t>Firmeza 83</w:t>
      </w:r>
      <w:r w:rsidR="0008664A" w:rsidRPr="00E66386">
        <w:rPr>
          <w:rFonts w:asciiTheme="majorHAnsi" w:hAnsiTheme="majorHAnsi"/>
          <w:bCs/>
          <w:sz w:val="20"/>
          <w:szCs w:val="20"/>
          <w:lang w:val="es-CO"/>
        </w:rPr>
        <w:t xml:space="preserve"> y el </w:t>
      </w:r>
      <w:r w:rsidR="009D6F4B" w:rsidRPr="00E66386">
        <w:rPr>
          <w:rFonts w:asciiTheme="majorHAnsi" w:hAnsiTheme="majorHAnsi"/>
          <w:bCs/>
          <w:sz w:val="20"/>
          <w:szCs w:val="20"/>
          <w:lang w:val="es-CO"/>
        </w:rPr>
        <w:t xml:space="preserve">Plan Operación Sofía, </w:t>
      </w:r>
      <w:r w:rsidR="00BA76F6" w:rsidRPr="00E66386">
        <w:rPr>
          <w:rFonts w:asciiTheme="majorHAnsi" w:hAnsiTheme="majorHAnsi"/>
          <w:bCs/>
          <w:sz w:val="20"/>
          <w:szCs w:val="20"/>
          <w:lang w:val="es-CO"/>
        </w:rPr>
        <w:t xml:space="preserve">con </w:t>
      </w:r>
      <w:r w:rsidR="009D6F4B" w:rsidRPr="00E66386">
        <w:rPr>
          <w:rFonts w:asciiTheme="majorHAnsi" w:hAnsiTheme="majorHAnsi"/>
          <w:bCs/>
          <w:sz w:val="20"/>
          <w:szCs w:val="20"/>
          <w:lang w:val="es-CO"/>
        </w:rPr>
        <w:t>los cuales reorganiz</w:t>
      </w:r>
      <w:r w:rsidR="00BA76F6" w:rsidRPr="00E66386">
        <w:rPr>
          <w:rFonts w:asciiTheme="majorHAnsi" w:hAnsiTheme="majorHAnsi"/>
          <w:bCs/>
          <w:sz w:val="20"/>
          <w:szCs w:val="20"/>
          <w:lang w:val="es-CO"/>
        </w:rPr>
        <w:t>ó</w:t>
      </w:r>
      <w:r w:rsidR="009D6F4B" w:rsidRPr="00E66386">
        <w:rPr>
          <w:rFonts w:asciiTheme="majorHAnsi" w:hAnsiTheme="majorHAnsi"/>
          <w:bCs/>
          <w:sz w:val="20"/>
          <w:szCs w:val="20"/>
          <w:lang w:val="es-CO"/>
        </w:rPr>
        <w:t xml:space="preserve"> </w:t>
      </w:r>
      <w:r w:rsidR="00EB0BED" w:rsidRPr="00E66386">
        <w:rPr>
          <w:rFonts w:asciiTheme="majorHAnsi" w:hAnsiTheme="majorHAnsi"/>
          <w:bCs/>
          <w:sz w:val="20"/>
          <w:szCs w:val="20"/>
          <w:lang w:val="es-CO"/>
        </w:rPr>
        <w:t xml:space="preserve">a </w:t>
      </w:r>
      <w:r w:rsidR="009D6F4B" w:rsidRPr="00E66386">
        <w:rPr>
          <w:rFonts w:asciiTheme="majorHAnsi" w:hAnsiTheme="majorHAnsi"/>
          <w:bCs/>
          <w:sz w:val="20"/>
          <w:szCs w:val="20"/>
          <w:lang w:val="es-CO"/>
        </w:rPr>
        <w:t xml:space="preserve">las fuerzas armadas, </w:t>
      </w:r>
      <w:r w:rsidR="00EB0BED" w:rsidRPr="00E66386">
        <w:rPr>
          <w:rFonts w:asciiTheme="majorHAnsi" w:hAnsiTheme="majorHAnsi"/>
          <w:bCs/>
          <w:sz w:val="20"/>
          <w:szCs w:val="20"/>
          <w:lang w:val="es-CO"/>
        </w:rPr>
        <w:t xml:space="preserve">y </w:t>
      </w:r>
      <w:r w:rsidR="009D6F4B" w:rsidRPr="00E66386">
        <w:rPr>
          <w:rFonts w:asciiTheme="majorHAnsi" w:hAnsiTheme="majorHAnsi"/>
          <w:bCs/>
          <w:sz w:val="20"/>
          <w:szCs w:val="20"/>
          <w:lang w:val="es-CO"/>
        </w:rPr>
        <w:t>l</w:t>
      </w:r>
      <w:r w:rsidR="00BA76F6" w:rsidRPr="00E66386">
        <w:rPr>
          <w:rFonts w:asciiTheme="majorHAnsi" w:hAnsiTheme="majorHAnsi"/>
          <w:bCs/>
          <w:sz w:val="20"/>
          <w:szCs w:val="20"/>
          <w:lang w:val="es-CO"/>
        </w:rPr>
        <w:t>a</w:t>
      </w:r>
      <w:r w:rsidR="009D6F4B" w:rsidRPr="00E66386">
        <w:rPr>
          <w:rFonts w:asciiTheme="majorHAnsi" w:hAnsiTheme="majorHAnsi"/>
          <w:bCs/>
          <w:sz w:val="20"/>
          <w:szCs w:val="20"/>
          <w:lang w:val="es-CO"/>
        </w:rPr>
        <w:t>s dotó de recursos materiales y humanos con el propósito de e</w:t>
      </w:r>
      <w:r w:rsidR="005D14C2" w:rsidRPr="00E66386">
        <w:rPr>
          <w:rFonts w:asciiTheme="majorHAnsi" w:hAnsiTheme="majorHAnsi"/>
          <w:bCs/>
          <w:sz w:val="20"/>
          <w:szCs w:val="20"/>
          <w:lang w:val="es-CO"/>
        </w:rPr>
        <w:t>rradic</w:t>
      </w:r>
      <w:r w:rsidR="009D6F4B" w:rsidRPr="00E66386">
        <w:rPr>
          <w:rFonts w:asciiTheme="majorHAnsi" w:hAnsiTheme="majorHAnsi"/>
          <w:bCs/>
          <w:sz w:val="20"/>
          <w:szCs w:val="20"/>
          <w:lang w:val="es-CO"/>
        </w:rPr>
        <w:t xml:space="preserve">ar a los grupos guerrilleros y algunos grupos étnicos acusados de ser </w:t>
      </w:r>
      <w:r w:rsidR="005D14C2" w:rsidRPr="00E66386">
        <w:rPr>
          <w:rFonts w:asciiTheme="majorHAnsi" w:hAnsiTheme="majorHAnsi"/>
          <w:bCs/>
          <w:sz w:val="20"/>
          <w:szCs w:val="20"/>
          <w:lang w:val="es-CO"/>
        </w:rPr>
        <w:t>su base social</w:t>
      </w:r>
      <w:r w:rsidR="009D6F4B" w:rsidRPr="00E66386">
        <w:rPr>
          <w:rFonts w:asciiTheme="majorHAnsi" w:hAnsiTheme="majorHAnsi"/>
          <w:bCs/>
          <w:sz w:val="20"/>
          <w:szCs w:val="20"/>
          <w:lang w:val="es-CO"/>
        </w:rPr>
        <w:t xml:space="preserve">. </w:t>
      </w:r>
      <w:r w:rsidR="0035539E" w:rsidRPr="00E66386">
        <w:rPr>
          <w:rFonts w:asciiTheme="majorHAnsi" w:hAnsiTheme="majorHAnsi"/>
          <w:bCs/>
          <w:sz w:val="20"/>
          <w:szCs w:val="20"/>
          <w:lang w:val="es-CO"/>
        </w:rPr>
        <w:t>D</w:t>
      </w:r>
      <w:r w:rsidR="00451D23" w:rsidRPr="00E66386">
        <w:rPr>
          <w:rFonts w:asciiTheme="majorHAnsi" w:hAnsiTheme="majorHAnsi"/>
          <w:bCs/>
          <w:sz w:val="20"/>
          <w:szCs w:val="20"/>
          <w:lang w:val="es-CO"/>
        </w:rPr>
        <w:t>estacan que</w:t>
      </w:r>
      <w:r w:rsidR="00A40B43" w:rsidRPr="00E66386">
        <w:rPr>
          <w:rFonts w:asciiTheme="majorHAnsi" w:hAnsiTheme="majorHAnsi"/>
          <w:bCs/>
          <w:sz w:val="20"/>
          <w:szCs w:val="20"/>
          <w:lang w:val="es-CO"/>
        </w:rPr>
        <w:t>,</w:t>
      </w:r>
      <w:r w:rsidR="00451D23" w:rsidRPr="00E66386">
        <w:rPr>
          <w:rFonts w:asciiTheme="majorHAnsi" w:hAnsiTheme="majorHAnsi"/>
          <w:bCs/>
          <w:sz w:val="20"/>
          <w:szCs w:val="20"/>
          <w:lang w:val="es-CO"/>
        </w:rPr>
        <w:t xml:space="preserve"> </w:t>
      </w:r>
      <w:r w:rsidR="0016163E" w:rsidRPr="00E66386">
        <w:rPr>
          <w:rFonts w:asciiTheme="majorHAnsi" w:hAnsiTheme="majorHAnsi"/>
          <w:bCs/>
          <w:sz w:val="20"/>
          <w:szCs w:val="20"/>
          <w:lang w:val="es-CO"/>
        </w:rPr>
        <w:t xml:space="preserve">en los documentos secretos de la Operación Sofía se catalogó al pueblo maya </w:t>
      </w:r>
      <w:r w:rsidR="00C51C64" w:rsidRPr="00E66386">
        <w:rPr>
          <w:rFonts w:asciiTheme="majorHAnsi" w:hAnsiTheme="majorHAnsi"/>
          <w:bCs/>
          <w:sz w:val="20"/>
          <w:szCs w:val="20"/>
          <w:lang w:val="es-CO"/>
        </w:rPr>
        <w:t>Ixil</w:t>
      </w:r>
      <w:r w:rsidR="0016163E" w:rsidRPr="00E66386">
        <w:rPr>
          <w:rFonts w:asciiTheme="majorHAnsi" w:hAnsiTheme="majorHAnsi"/>
          <w:bCs/>
          <w:sz w:val="20"/>
          <w:szCs w:val="20"/>
          <w:lang w:val="es-CO"/>
        </w:rPr>
        <w:t xml:space="preserve"> como </w:t>
      </w:r>
      <w:r w:rsidR="00451D23" w:rsidRPr="00E66386">
        <w:rPr>
          <w:rFonts w:asciiTheme="majorHAnsi" w:hAnsiTheme="majorHAnsi"/>
          <w:bCs/>
          <w:sz w:val="20"/>
          <w:szCs w:val="20"/>
          <w:lang w:val="es-CO"/>
        </w:rPr>
        <w:t>“</w:t>
      </w:r>
      <w:r w:rsidR="0016163E" w:rsidRPr="00E66386">
        <w:rPr>
          <w:rFonts w:asciiTheme="majorHAnsi" w:hAnsiTheme="majorHAnsi"/>
          <w:bCs/>
          <w:i/>
          <w:iCs/>
          <w:sz w:val="20"/>
          <w:szCs w:val="20"/>
          <w:lang w:val="es-CO"/>
        </w:rPr>
        <w:t xml:space="preserve">servidor al 100% de </w:t>
      </w:r>
      <w:r w:rsidR="00F902B8" w:rsidRPr="00E66386">
        <w:rPr>
          <w:rFonts w:asciiTheme="majorHAnsi" w:hAnsiTheme="majorHAnsi"/>
          <w:bCs/>
          <w:i/>
          <w:iCs/>
          <w:sz w:val="20"/>
          <w:szCs w:val="20"/>
          <w:lang w:val="es-CO"/>
        </w:rPr>
        <w:t>apoyo a la guerrilla</w:t>
      </w:r>
      <w:r w:rsidR="00451D23" w:rsidRPr="00E66386">
        <w:rPr>
          <w:rFonts w:asciiTheme="majorHAnsi" w:hAnsiTheme="majorHAnsi"/>
          <w:bCs/>
          <w:sz w:val="20"/>
          <w:szCs w:val="20"/>
          <w:lang w:val="es-CO"/>
        </w:rPr>
        <w:t>”</w:t>
      </w:r>
      <w:r w:rsidR="00F902B8" w:rsidRPr="00E66386">
        <w:rPr>
          <w:rFonts w:asciiTheme="majorHAnsi" w:hAnsiTheme="majorHAnsi"/>
          <w:bCs/>
          <w:sz w:val="20"/>
          <w:szCs w:val="20"/>
          <w:lang w:val="es-CO"/>
        </w:rPr>
        <w:t>.</w:t>
      </w:r>
      <w:r w:rsidR="00500099" w:rsidRPr="00E66386">
        <w:rPr>
          <w:rFonts w:asciiTheme="majorHAnsi" w:hAnsiTheme="majorHAnsi"/>
          <w:bCs/>
          <w:sz w:val="20"/>
          <w:szCs w:val="20"/>
          <w:lang w:val="es-CO"/>
        </w:rPr>
        <w:t xml:space="preserve"> </w:t>
      </w:r>
      <w:r w:rsidR="00DD329C" w:rsidRPr="00E66386">
        <w:rPr>
          <w:rFonts w:asciiTheme="majorHAnsi" w:hAnsiTheme="majorHAnsi"/>
          <w:bCs/>
          <w:sz w:val="20"/>
          <w:szCs w:val="20"/>
          <w:lang w:val="es-CO"/>
        </w:rPr>
        <w:t>Aducen</w:t>
      </w:r>
      <w:r w:rsidR="00500099" w:rsidRPr="00E66386">
        <w:rPr>
          <w:rFonts w:asciiTheme="majorHAnsi" w:hAnsiTheme="majorHAnsi"/>
          <w:bCs/>
          <w:sz w:val="20"/>
          <w:szCs w:val="20"/>
          <w:lang w:val="es-CO"/>
        </w:rPr>
        <w:t xml:space="preserve"> que es posible concluir que la misión del ejército relacionada con la lucha antisubversiva </w:t>
      </w:r>
      <w:r w:rsidR="00742335" w:rsidRPr="00E66386">
        <w:rPr>
          <w:rFonts w:asciiTheme="majorHAnsi" w:hAnsiTheme="majorHAnsi"/>
          <w:bCs/>
          <w:sz w:val="20"/>
          <w:szCs w:val="20"/>
          <w:lang w:val="es-CO"/>
        </w:rPr>
        <w:t xml:space="preserve">tuvo la intención de destruir al grupo maya </w:t>
      </w:r>
      <w:r w:rsidR="00C51C64" w:rsidRPr="00E66386">
        <w:rPr>
          <w:rFonts w:asciiTheme="majorHAnsi" w:hAnsiTheme="majorHAnsi"/>
          <w:bCs/>
          <w:sz w:val="20"/>
          <w:szCs w:val="20"/>
          <w:lang w:val="es-CO"/>
        </w:rPr>
        <w:t>Ixil</w:t>
      </w:r>
      <w:r w:rsidR="00742335" w:rsidRPr="00E66386">
        <w:rPr>
          <w:rFonts w:asciiTheme="majorHAnsi" w:hAnsiTheme="majorHAnsi"/>
          <w:bCs/>
          <w:sz w:val="20"/>
          <w:szCs w:val="20"/>
          <w:lang w:val="es-CO"/>
        </w:rPr>
        <w:t xml:space="preserve"> por considerarlo como cooperante de la guerrilla.</w:t>
      </w:r>
      <w:r w:rsidR="003C48B3" w:rsidRPr="00E66386">
        <w:rPr>
          <w:rFonts w:asciiTheme="majorHAnsi" w:hAnsiTheme="majorHAnsi"/>
          <w:bCs/>
          <w:sz w:val="20"/>
          <w:szCs w:val="20"/>
          <w:lang w:val="es-CO"/>
        </w:rPr>
        <w:t xml:space="preserve"> Uno de los datos </w:t>
      </w:r>
      <w:r w:rsidR="009C5824" w:rsidRPr="00E66386">
        <w:rPr>
          <w:rFonts w:asciiTheme="majorHAnsi" w:hAnsiTheme="majorHAnsi"/>
          <w:bCs/>
          <w:sz w:val="20"/>
          <w:szCs w:val="20"/>
          <w:lang w:val="es-CO"/>
        </w:rPr>
        <w:t xml:space="preserve">que resaltan </w:t>
      </w:r>
      <w:r w:rsidR="003C48B3" w:rsidRPr="00E66386">
        <w:rPr>
          <w:rFonts w:asciiTheme="majorHAnsi" w:hAnsiTheme="majorHAnsi"/>
          <w:bCs/>
          <w:sz w:val="20"/>
          <w:szCs w:val="20"/>
          <w:lang w:val="es-CO"/>
        </w:rPr>
        <w:t xml:space="preserve">del Plan de Campaña Victoria 82 es la concentración de fuerzas de combate en el área </w:t>
      </w:r>
      <w:r w:rsidR="00C51C64" w:rsidRPr="00E66386">
        <w:rPr>
          <w:rFonts w:asciiTheme="majorHAnsi" w:hAnsiTheme="majorHAnsi"/>
          <w:bCs/>
          <w:sz w:val="20"/>
          <w:szCs w:val="20"/>
          <w:lang w:val="es-CO"/>
        </w:rPr>
        <w:t>Ixil</w:t>
      </w:r>
      <w:r w:rsidR="009C5824" w:rsidRPr="00E66386">
        <w:rPr>
          <w:rFonts w:asciiTheme="majorHAnsi" w:hAnsiTheme="majorHAnsi"/>
          <w:bCs/>
          <w:sz w:val="20"/>
          <w:szCs w:val="20"/>
          <w:lang w:val="es-CO"/>
        </w:rPr>
        <w:t>, pues</w:t>
      </w:r>
      <w:r w:rsidR="002D22CC" w:rsidRPr="00E66386">
        <w:rPr>
          <w:rFonts w:asciiTheme="majorHAnsi" w:hAnsiTheme="majorHAnsi"/>
          <w:bCs/>
          <w:sz w:val="20"/>
          <w:szCs w:val="20"/>
          <w:lang w:val="es-CO"/>
        </w:rPr>
        <w:t xml:space="preserve"> </w:t>
      </w:r>
      <w:r w:rsidR="009C5824" w:rsidRPr="00E66386">
        <w:rPr>
          <w:rFonts w:asciiTheme="majorHAnsi" w:hAnsiTheme="majorHAnsi"/>
          <w:bCs/>
          <w:sz w:val="20"/>
          <w:szCs w:val="20"/>
          <w:lang w:val="es-CO"/>
        </w:rPr>
        <w:t>e</w:t>
      </w:r>
      <w:r w:rsidR="002D22CC" w:rsidRPr="00E66386">
        <w:rPr>
          <w:rFonts w:asciiTheme="majorHAnsi" w:hAnsiTheme="majorHAnsi"/>
          <w:bCs/>
          <w:sz w:val="20"/>
          <w:szCs w:val="20"/>
          <w:lang w:val="es-CO"/>
        </w:rPr>
        <w:t xml:space="preserve">ntre julio y agosto de 1982 se concentraron </w:t>
      </w:r>
      <w:r w:rsidR="00704E1B" w:rsidRPr="00E66386">
        <w:rPr>
          <w:rFonts w:asciiTheme="majorHAnsi" w:hAnsiTheme="majorHAnsi"/>
          <w:bCs/>
          <w:sz w:val="20"/>
          <w:szCs w:val="20"/>
          <w:lang w:val="es-CO"/>
        </w:rPr>
        <w:t xml:space="preserve">alrededor de </w:t>
      </w:r>
      <w:r w:rsidR="002D22CC" w:rsidRPr="00E66386">
        <w:rPr>
          <w:rFonts w:asciiTheme="majorHAnsi" w:hAnsiTheme="majorHAnsi"/>
          <w:bCs/>
          <w:sz w:val="20"/>
          <w:szCs w:val="20"/>
          <w:lang w:val="es-CO"/>
        </w:rPr>
        <w:t xml:space="preserve">1947 elementos militares en la zona, </w:t>
      </w:r>
      <w:r w:rsidR="00704E1B" w:rsidRPr="00E66386">
        <w:rPr>
          <w:rFonts w:asciiTheme="majorHAnsi" w:hAnsiTheme="majorHAnsi"/>
          <w:bCs/>
          <w:sz w:val="20"/>
          <w:szCs w:val="20"/>
          <w:lang w:val="es-CO"/>
        </w:rPr>
        <w:t xml:space="preserve">pese </w:t>
      </w:r>
      <w:r w:rsidR="002D22CC" w:rsidRPr="00E66386">
        <w:rPr>
          <w:rFonts w:asciiTheme="majorHAnsi" w:hAnsiTheme="majorHAnsi"/>
          <w:bCs/>
          <w:sz w:val="20"/>
          <w:szCs w:val="20"/>
          <w:lang w:val="es-CO"/>
        </w:rPr>
        <w:t xml:space="preserve">a que </w:t>
      </w:r>
      <w:r w:rsidR="00704E1B" w:rsidRPr="00E66386">
        <w:rPr>
          <w:rFonts w:asciiTheme="majorHAnsi" w:hAnsiTheme="majorHAnsi"/>
          <w:bCs/>
          <w:sz w:val="20"/>
          <w:szCs w:val="20"/>
          <w:lang w:val="es-CO"/>
        </w:rPr>
        <w:t xml:space="preserve">según la información de </w:t>
      </w:r>
      <w:r w:rsidR="002D22CC" w:rsidRPr="00E66386">
        <w:rPr>
          <w:rFonts w:asciiTheme="majorHAnsi" w:hAnsiTheme="majorHAnsi"/>
          <w:bCs/>
          <w:sz w:val="20"/>
          <w:szCs w:val="20"/>
          <w:lang w:val="es-CO"/>
        </w:rPr>
        <w:t>inteligencia del último plan de operaciones</w:t>
      </w:r>
      <w:r w:rsidR="00704E1B" w:rsidRPr="00E66386">
        <w:rPr>
          <w:rFonts w:asciiTheme="majorHAnsi" w:hAnsiTheme="majorHAnsi"/>
          <w:bCs/>
          <w:sz w:val="20"/>
          <w:szCs w:val="20"/>
          <w:lang w:val="es-CO"/>
        </w:rPr>
        <w:t>,</w:t>
      </w:r>
      <w:r w:rsidR="002D22CC" w:rsidRPr="00E66386">
        <w:rPr>
          <w:rFonts w:asciiTheme="majorHAnsi" w:hAnsiTheme="majorHAnsi"/>
          <w:bCs/>
          <w:sz w:val="20"/>
          <w:szCs w:val="20"/>
          <w:lang w:val="es-CO"/>
        </w:rPr>
        <w:t xml:space="preserve"> el EGP contaba con </w:t>
      </w:r>
      <w:r w:rsidR="00704E1B" w:rsidRPr="00E66386">
        <w:rPr>
          <w:rFonts w:asciiTheme="majorHAnsi" w:hAnsiTheme="majorHAnsi"/>
          <w:bCs/>
          <w:sz w:val="20"/>
          <w:szCs w:val="20"/>
          <w:lang w:val="es-CO"/>
        </w:rPr>
        <w:t xml:space="preserve">sólo </w:t>
      </w:r>
      <w:r w:rsidR="002D22CC" w:rsidRPr="00E66386">
        <w:rPr>
          <w:rFonts w:asciiTheme="majorHAnsi" w:hAnsiTheme="majorHAnsi"/>
          <w:bCs/>
          <w:sz w:val="20"/>
          <w:szCs w:val="20"/>
          <w:lang w:val="es-CO"/>
        </w:rPr>
        <w:t>dos frentes en el área, el Frente Afganistán conformado por aproximadamente 30 combatientes y, el Frente Fronterizo</w:t>
      </w:r>
      <w:r w:rsidR="005D3901" w:rsidRPr="00E66386">
        <w:rPr>
          <w:rFonts w:asciiTheme="majorHAnsi" w:hAnsiTheme="majorHAnsi"/>
          <w:bCs/>
          <w:sz w:val="20"/>
          <w:szCs w:val="20"/>
          <w:lang w:val="es-CO"/>
        </w:rPr>
        <w:t xml:space="preserve"> formado por un pelotón de 30 combatientes y 70 </w:t>
      </w:r>
      <w:r w:rsidR="00335FC8" w:rsidRPr="00E66386">
        <w:rPr>
          <w:rFonts w:asciiTheme="majorHAnsi" w:hAnsiTheme="majorHAnsi"/>
          <w:bCs/>
          <w:sz w:val="20"/>
          <w:szCs w:val="20"/>
          <w:lang w:val="es-CO"/>
        </w:rPr>
        <w:t>fuerzas irregulares locales.</w:t>
      </w:r>
    </w:p>
    <w:p w14:paraId="0A210335" w14:textId="366D722B" w:rsidR="00136315" w:rsidRPr="00E66386" w:rsidRDefault="00573FE0" w:rsidP="00F1453A">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Los peticionarios agregan</w:t>
      </w:r>
      <w:r w:rsidR="00EB0BED" w:rsidRPr="00E66386">
        <w:rPr>
          <w:rFonts w:asciiTheme="majorHAnsi" w:hAnsiTheme="majorHAnsi"/>
          <w:bCs/>
          <w:sz w:val="20"/>
          <w:szCs w:val="20"/>
          <w:lang w:val="es-CO"/>
        </w:rPr>
        <w:t>,</w:t>
      </w:r>
      <w:r w:rsidRPr="00E66386">
        <w:rPr>
          <w:rFonts w:asciiTheme="majorHAnsi" w:hAnsiTheme="majorHAnsi"/>
          <w:bCs/>
          <w:sz w:val="20"/>
          <w:szCs w:val="20"/>
          <w:lang w:val="es-CO"/>
        </w:rPr>
        <w:t xml:space="preserve"> respecto del P</w:t>
      </w:r>
      <w:r w:rsidR="0078364E" w:rsidRPr="00E66386">
        <w:rPr>
          <w:rFonts w:asciiTheme="majorHAnsi" w:hAnsiTheme="majorHAnsi"/>
          <w:bCs/>
          <w:sz w:val="20"/>
          <w:szCs w:val="20"/>
          <w:lang w:val="es-CO"/>
        </w:rPr>
        <w:t>lan Sofía</w:t>
      </w:r>
      <w:r w:rsidR="00EB0BED" w:rsidRPr="00E66386">
        <w:rPr>
          <w:rFonts w:asciiTheme="majorHAnsi" w:hAnsiTheme="majorHAnsi"/>
          <w:bCs/>
          <w:sz w:val="20"/>
          <w:szCs w:val="20"/>
          <w:lang w:val="es-CO"/>
        </w:rPr>
        <w:t>,</w:t>
      </w:r>
      <w:r w:rsidR="0078364E" w:rsidRPr="00E66386">
        <w:rPr>
          <w:rFonts w:asciiTheme="majorHAnsi" w:hAnsiTheme="majorHAnsi"/>
          <w:bCs/>
          <w:sz w:val="20"/>
          <w:szCs w:val="20"/>
          <w:lang w:val="es-CO"/>
        </w:rPr>
        <w:t xml:space="preserve"> que el </w:t>
      </w:r>
      <w:r w:rsidR="00F87DB8" w:rsidRPr="00E66386">
        <w:rPr>
          <w:rFonts w:asciiTheme="majorHAnsi" w:hAnsiTheme="majorHAnsi"/>
          <w:bCs/>
          <w:sz w:val="20"/>
          <w:szCs w:val="20"/>
          <w:lang w:val="es-CO"/>
        </w:rPr>
        <w:t>informe de</w:t>
      </w:r>
      <w:r w:rsidR="0078364E" w:rsidRPr="00E66386">
        <w:rPr>
          <w:rFonts w:asciiTheme="majorHAnsi" w:hAnsiTheme="majorHAnsi"/>
          <w:bCs/>
          <w:sz w:val="20"/>
          <w:szCs w:val="20"/>
          <w:lang w:val="es-CO"/>
        </w:rPr>
        <w:t xml:space="preserve"> inteligencia concluye </w:t>
      </w:r>
      <w:r w:rsidR="00F57755" w:rsidRPr="00E66386">
        <w:rPr>
          <w:rFonts w:asciiTheme="majorHAnsi" w:hAnsiTheme="majorHAnsi"/>
          <w:bCs/>
          <w:sz w:val="20"/>
          <w:szCs w:val="20"/>
          <w:lang w:val="es-CO"/>
        </w:rPr>
        <w:t>que,</w:t>
      </w:r>
      <w:r w:rsidR="00F87DB8" w:rsidRPr="00E66386">
        <w:rPr>
          <w:rFonts w:asciiTheme="majorHAnsi" w:hAnsiTheme="majorHAnsi"/>
          <w:bCs/>
          <w:sz w:val="20"/>
          <w:szCs w:val="20"/>
          <w:lang w:val="es-CO"/>
        </w:rPr>
        <w:t xml:space="preserve"> </w:t>
      </w:r>
      <w:r w:rsidR="00D500BC" w:rsidRPr="00E66386">
        <w:rPr>
          <w:rFonts w:asciiTheme="majorHAnsi" w:hAnsiTheme="majorHAnsi"/>
          <w:bCs/>
          <w:sz w:val="20"/>
          <w:szCs w:val="20"/>
          <w:lang w:val="es-CO"/>
        </w:rPr>
        <w:t xml:space="preserve">aunque debía respetarse la vida de mujeres y niños, </w:t>
      </w:r>
      <w:r w:rsidR="00F87DB8" w:rsidRPr="00E66386">
        <w:rPr>
          <w:rFonts w:asciiTheme="majorHAnsi" w:hAnsiTheme="majorHAnsi"/>
          <w:bCs/>
          <w:sz w:val="20"/>
          <w:szCs w:val="20"/>
          <w:lang w:val="es-CO"/>
        </w:rPr>
        <w:t xml:space="preserve">"[...] </w:t>
      </w:r>
      <w:r w:rsidR="00F87DB8" w:rsidRPr="00E66386">
        <w:rPr>
          <w:rFonts w:asciiTheme="majorHAnsi" w:hAnsiTheme="majorHAnsi"/>
          <w:bCs/>
          <w:i/>
          <w:iCs/>
          <w:sz w:val="20"/>
          <w:szCs w:val="20"/>
          <w:lang w:val="es-CO"/>
        </w:rPr>
        <w:t>todos estos habitantes del área han sido bien concientizados por la subversión</w:t>
      </w:r>
      <w:r w:rsidR="00F87DB8" w:rsidRPr="00E66386">
        <w:rPr>
          <w:rFonts w:asciiTheme="majorHAnsi" w:hAnsiTheme="majorHAnsi"/>
          <w:bCs/>
          <w:sz w:val="20"/>
          <w:szCs w:val="20"/>
          <w:lang w:val="es-CO"/>
        </w:rPr>
        <w:t xml:space="preserve"> [...]", lo </w:t>
      </w:r>
      <w:r w:rsidR="00CA68F9" w:rsidRPr="00E66386">
        <w:rPr>
          <w:rFonts w:asciiTheme="majorHAnsi" w:hAnsiTheme="majorHAnsi"/>
          <w:bCs/>
          <w:sz w:val="20"/>
          <w:szCs w:val="20"/>
          <w:lang w:val="es-CO"/>
        </w:rPr>
        <w:t xml:space="preserve">que </w:t>
      </w:r>
      <w:r w:rsidR="00F87DB8" w:rsidRPr="00E66386">
        <w:rPr>
          <w:rFonts w:asciiTheme="majorHAnsi" w:hAnsiTheme="majorHAnsi"/>
          <w:bCs/>
          <w:sz w:val="20"/>
          <w:szCs w:val="20"/>
          <w:lang w:val="es-CO"/>
        </w:rPr>
        <w:t>evidencia</w:t>
      </w:r>
      <w:r w:rsidR="00CA68F9" w:rsidRPr="00E66386">
        <w:rPr>
          <w:rFonts w:asciiTheme="majorHAnsi" w:hAnsiTheme="majorHAnsi"/>
          <w:bCs/>
          <w:sz w:val="20"/>
          <w:szCs w:val="20"/>
          <w:lang w:val="es-CO"/>
        </w:rPr>
        <w:t>ría</w:t>
      </w:r>
      <w:r w:rsidR="00F87DB8" w:rsidRPr="00E66386">
        <w:rPr>
          <w:rFonts w:asciiTheme="majorHAnsi" w:hAnsiTheme="majorHAnsi"/>
          <w:bCs/>
          <w:sz w:val="20"/>
          <w:szCs w:val="20"/>
          <w:lang w:val="es-CO"/>
        </w:rPr>
        <w:t xml:space="preserve"> que para el Ejército todos los habitantes del área </w:t>
      </w:r>
      <w:r w:rsidR="00C51C64" w:rsidRPr="00E66386">
        <w:rPr>
          <w:rFonts w:asciiTheme="majorHAnsi" w:hAnsiTheme="majorHAnsi"/>
          <w:bCs/>
          <w:sz w:val="20"/>
          <w:szCs w:val="20"/>
          <w:lang w:val="es-CO"/>
        </w:rPr>
        <w:t>Ixil</w:t>
      </w:r>
      <w:r w:rsidR="00F87DB8" w:rsidRPr="00E66386">
        <w:rPr>
          <w:rFonts w:asciiTheme="majorHAnsi" w:hAnsiTheme="majorHAnsi"/>
          <w:bCs/>
          <w:sz w:val="20"/>
          <w:szCs w:val="20"/>
          <w:lang w:val="es-CO"/>
        </w:rPr>
        <w:t xml:space="preserve"> eran </w:t>
      </w:r>
      <w:r w:rsidR="00CA68F9" w:rsidRPr="00E66386">
        <w:rPr>
          <w:rFonts w:asciiTheme="majorHAnsi" w:hAnsiTheme="majorHAnsi"/>
          <w:bCs/>
          <w:sz w:val="20"/>
          <w:szCs w:val="20"/>
          <w:lang w:val="es-CO"/>
        </w:rPr>
        <w:t xml:space="preserve">un </w:t>
      </w:r>
      <w:r w:rsidR="00F87DB8" w:rsidRPr="00E66386">
        <w:rPr>
          <w:rFonts w:asciiTheme="majorHAnsi" w:hAnsiTheme="majorHAnsi"/>
          <w:bCs/>
          <w:sz w:val="20"/>
          <w:szCs w:val="20"/>
          <w:lang w:val="es-CO"/>
        </w:rPr>
        <w:t>blanco militar.</w:t>
      </w:r>
      <w:r w:rsidR="0052399E" w:rsidRPr="00E66386">
        <w:rPr>
          <w:rFonts w:asciiTheme="majorHAnsi" w:hAnsiTheme="majorHAnsi"/>
          <w:bCs/>
          <w:sz w:val="20"/>
          <w:szCs w:val="20"/>
          <w:lang w:val="es-CO"/>
        </w:rPr>
        <w:t xml:space="preserve"> Por medio de los testimonios de sobrevivientes que </w:t>
      </w:r>
      <w:r w:rsidR="005E5778" w:rsidRPr="00E66386">
        <w:rPr>
          <w:rFonts w:asciiTheme="majorHAnsi" w:hAnsiTheme="majorHAnsi"/>
          <w:bCs/>
          <w:sz w:val="20"/>
          <w:szCs w:val="20"/>
          <w:lang w:val="es-CO"/>
        </w:rPr>
        <w:t>declararon en juicio, los peticionarios consideran que</w:t>
      </w:r>
      <w:r w:rsidR="0052399E" w:rsidRPr="00E66386">
        <w:rPr>
          <w:rFonts w:asciiTheme="majorHAnsi" w:hAnsiTheme="majorHAnsi"/>
          <w:bCs/>
          <w:sz w:val="20"/>
          <w:szCs w:val="20"/>
          <w:lang w:val="es-CO"/>
        </w:rPr>
        <w:t xml:space="preserve"> el Ejército </w:t>
      </w:r>
      <w:r w:rsidR="005E5778" w:rsidRPr="00E66386">
        <w:rPr>
          <w:rFonts w:asciiTheme="majorHAnsi" w:hAnsiTheme="majorHAnsi"/>
          <w:bCs/>
          <w:sz w:val="20"/>
          <w:szCs w:val="20"/>
          <w:lang w:val="es-CO"/>
        </w:rPr>
        <w:t xml:space="preserve">tenía un </w:t>
      </w:r>
      <w:r w:rsidR="005E5778" w:rsidRPr="00E66386">
        <w:rPr>
          <w:rFonts w:asciiTheme="majorHAnsi" w:hAnsiTheme="majorHAnsi"/>
          <w:bCs/>
          <w:i/>
          <w:iCs/>
          <w:sz w:val="20"/>
          <w:szCs w:val="20"/>
          <w:lang w:val="es-CO"/>
        </w:rPr>
        <w:t>modus operandi</w:t>
      </w:r>
      <w:r w:rsidR="005E5778" w:rsidRPr="00E66386">
        <w:rPr>
          <w:rFonts w:asciiTheme="majorHAnsi" w:hAnsiTheme="majorHAnsi"/>
          <w:bCs/>
          <w:sz w:val="20"/>
          <w:szCs w:val="20"/>
          <w:lang w:val="es-CO"/>
        </w:rPr>
        <w:t xml:space="preserve"> pre</w:t>
      </w:r>
      <w:r w:rsidR="0052399E" w:rsidRPr="00E66386">
        <w:rPr>
          <w:rFonts w:asciiTheme="majorHAnsi" w:hAnsiTheme="majorHAnsi"/>
          <w:bCs/>
          <w:sz w:val="20"/>
          <w:szCs w:val="20"/>
          <w:lang w:val="es-CO"/>
        </w:rPr>
        <w:t xml:space="preserve">determinado para </w:t>
      </w:r>
      <w:r w:rsidR="00C445E2" w:rsidRPr="00E66386">
        <w:rPr>
          <w:rFonts w:asciiTheme="majorHAnsi" w:hAnsiTheme="majorHAnsi"/>
          <w:bCs/>
          <w:sz w:val="20"/>
          <w:szCs w:val="20"/>
          <w:lang w:val="es-CO"/>
        </w:rPr>
        <w:t xml:space="preserve">ejecutar las </w:t>
      </w:r>
      <w:r w:rsidR="0052399E" w:rsidRPr="00E66386">
        <w:rPr>
          <w:rFonts w:asciiTheme="majorHAnsi" w:hAnsiTheme="majorHAnsi"/>
          <w:bCs/>
          <w:sz w:val="20"/>
          <w:szCs w:val="20"/>
          <w:lang w:val="es-CO"/>
        </w:rPr>
        <w:t xml:space="preserve">masacres. </w:t>
      </w:r>
      <w:r w:rsidR="00581C8A" w:rsidRPr="00E66386">
        <w:rPr>
          <w:rFonts w:asciiTheme="majorHAnsi" w:hAnsiTheme="majorHAnsi"/>
          <w:bCs/>
          <w:sz w:val="20"/>
          <w:szCs w:val="20"/>
          <w:lang w:val="es-CO"/>
        </w:rPr>
        <w:t>Un</w:t>
      </w:r>
      <w:r w:rsidR="007456ED" w:rsidRPr="00E66386">
        <w:rPr>
          <w:rFonts w:asciiTheme="majorHAnsi" w:hAnsiTheme="majorHAnsi"/>
          <w:bCs/>
          <w:sz w:val="20"/>
          <w:szCs w:val="20"/>
          <w:lang w:val="es-CO"/>
        </w:rPr>
        <w:t>a</w:t>
      </w:r>
      <w:r w:rsidR="00581C8A" w:rsidRPr="00E66386">
        <w:rPr>
          <w:rFonts w:asciiTheme="majorHAnsi" w:hAnsiTheme="majorHAnsi"/>
          <w:bCs/>
          <w:sz w:val="20"/>
          <w:szCs w:val="20"/>
          <w:lang w:val="es-CO"/>
        </w:rPr>
        <w:t xml:space="preserve"> de las características de estos ataques era </w:t>
      </w:r>
      <w:r w:rsidR="0052399E" w:rsidRPr="00E66386">
        <w:rPr>
          <w:rFonts w:asciiTheme="majorHAnsi" w:hAnsiTheme="majorHAnsi"/>
          <w:bCs/>
          <w:sz w:val="20"/>
          <w:szCs w:val="20"/>
          <w:lang w:val="es-CO"/>
        </w:rPr>
        <w:t>el elemento sorpresa</w:t>
      </w:r>
      <w:r w:rsidR="00581C8A" w:rsidRPr="00E66386">
        <w:rPr>
          <w:rFonts w:asciiTheme="majorHAnsi" w:hAnsiTheme="majorHAnsi"/>
          <w:bCs/>
          <w:sz w:val="20"/>
          <w:szCs w:val="20"/>
          <w:lang w:val="es-CO"/>
        </w:rPr>
        <w:t>, ya que</w:t>
      </w:r>
      <w:r w:rsidR="0052399E" w:rsidRPr="00E66386">
        <w:rPr>
          <w:rFonts w:asciiTheme="majorHAnsi" w:hAnsiTheme="majorHAnsi"/>
          <w:bCs/>
          <w:sz w:val="20"/>
          <w:szCs w:val="20"/>
          <w:lang w:val="es-CO"/>
        </w:rPr>
        <w:t xml:space="preserve"> </w:t>
      </w:r>
      <w:r w:rsidR="00581C8A" w:rsidRPr="00E66386">
        <w:rPr>
          <w:rFonts w:asciiTheme="majorHAnsi" w:hAnsiTheme="majorHAnsi"/>
          <w:bCs/>
          <w:sz w:val="20"/>
          <w:szCs w:val="20"/>
          <w:lang w:val="es-CO"/>
        </w:rPr>
        <w:t>l</w:t>
      </w:r>
      <w:r w:rsidR="0052399E" w:rsidRPr="00E66386">
        <w:rPr>
          <w:rFonts w:asciiTheme="majorHAnsi" w:hAnsiTheme="majorHAnsi"/>
          <w:bCs/>
          <w:sz w:val="20"/>
          <w:szCs w:val="20"/>
          <w:lang w:val="es-CO"/>
        </w:rPr>
        <w:t xml:space="preserve">os soldados </w:t>
      </w:r>
      <w:r w:rsidR="00581C8A" w:rsidRPr="00E66386">
        <w:rPr>
          <w:rFonts w:asciiTheme="majorHAnsi" w:hAnsiTheme="majorHAnsi"/>
          <w:bCs/>
          <w:sz w:val="20"/>
          <w:szCs w:val="20"/>
          <w:lang w:val="es-CO"/>
        </w:rPr>
        <w:t xml:space="preserve">solían </w:t>
      </w:r>
      <w:r w:rsidR="0052399E" w:rsidRPr="00E66386">
        <w:rPr>
          <w:rFonts w:asciiTheme="majorHAnsi" w:hAnsiTheme="majorHAnsi"/>
          <w:bCs/>
          <w:sz w:val="20"/>
          <w:szCs w:val="20"/>
          <w:lang w:val="es-CO"/>
        </w:rPr>
        <w:t xml:space="preserve">llegar en horas </w:t>
      </w:r>
      <w:r w:rsidR="007456ED" w:rsidRPr="00E66386">
        <w:rPr>
          <w:rFonts w:asciiTheme="majorHAnsi" w:hAnsiTheme="majorHAnsi"/>
          <w:bCs/>
          <w:sz w:val="20"/>
          <w:szCs w:val="20"/>
          <w:lang w:val="es-CO"/>
        </w:rPr>
        <w:t xml:space="preserve">de la noche o de madrugada, </w:t>
      </w:r>
      <w:r w:rsidR="0052399E" w:rsidRPr="00E66386">
        <w:rPr>
          <w:rFonts w:asciiTheme="majorHAnsi" w:hAnsiTheme="majorHAnsi"/>
          <w:bCs/>
          <w:sz w:val="20"/>
          <w:szCs w:val="20"/>
          <w:lang w:val="es-CO"/>
        </w:rPr>
        <w:t>o</w:t>
      </w:r>
      <w:r w:rsidR="007456ED" w:rsidRPr="00E66386">
        <w:rPr>
          <w:rFonts w:asciiTheme="majorHAnsi" w:hAnsiTheme="majorHAnsi"/>
          <w:bCs/>
          <w:sz w:val="20"/>
          <w:szCs w:val="20"/>
          <w:lang w:val="es-CO"/>
        </w:rPr>
        <w:t xml:space="preserve"> en</w:t>
      </w:r>
      <w:r w:rsidR="0052399E" w:rsidRPr="00E66386">
        <w:rPr>
          <w:rFonts w:asciiTheme="majorHAnsi" w:hAnsiTheme="majorHAnsi"/>
          <w:bCs/>
          <w:sz w:val="20"/>
          <w:szCs w:val="20"/>
          <w:lang w:val="es-CO"/>
        </w:rPr>
        <w:t xml:space="preserve"> días en que la población</w:t>
      </w:r>
      <w:r w:rsidR="008403CC" w:rsidRPr="00E66386">
        <w:rPr>
          <w:rFonts w:asciiTheme="majorHAnsi" w:hAnsiTheme="majorHAnsi"/>
          <w:bCs/>
          <w:sz w:val="20"/>
          <w:szCs w:val="20"/>
          <w:lang w:val="es-CO"/>
        </w:rPr>
        <w:t xml:space="preserve"> </w:t>
      </w:r>
      <w:r w:rsidR="0052399E" w:rsidRPr="00E66386">
        <w:rPr>
          <w:rFonts w:asciiTheme="majorHAnsi" w:hAnsiTheme="majorHAnsi"/>
          <w:bCs/>
          <w:sz w:val="20"/>
          <w:szCs w:val="20"/>
          <w:lang w:val="es-CO"/>
        </w:rPr>
        <w:t xml:space="preserve">no habría esperado </w:t>
      </w:r>
      <w:r w:rsidR="007456ED" w:rsidRPr="00E66386">
        <w:rPr>
          <w:rFonts w:asciiTheme="majorHAnsi" w:hAnsiTheme="majorHAnsi"/>
          <w:bCs/>
          <w:sz w:val="20"/>
          <w:szCs w:val="20"/>
          <w:lang w:val="es-CO"/>
        </w:rPr>
        <w:t xml:space="preserve">el </w:t>
      </w:r>
      <w:r w:rsidR="0052399E" w:rsidRPr="00E66386">
        <w:rPr>
          <w:rFonts w:asciiTheme="majorHAnsi" w:hAnsiTheme="majorHAnsi"/>
          <w:bCs/>
          <w:sz w:val="20"/>
          <w:szCs w:val="20"/>
          <w:lang w:val="es-CO"/>
        </w:rPr>
        <w:t>acontecimiento</w:t>
      </w:r>
      <w:r w:rsidR="00B22C15" w:rsidRPr="00E66386">
        <w:rPr>
          <w:rFonts w:asciiTheme="majorHAnsi" w:hAnsiTheme="majorHAnsi"/>
          <w:bCs/>
          <w:sz w:val="20"/>
          <w:szCs w:val="20"/>
          <w:lang w:val="es-CO"/>
        </w:rPr>
        <w:t xml:space="preserve"> como los domingos, lo que usualmente garantizaba la </w:t>
      </w:r>
      <w:r w:rsidR="0052399E" w:rsidRPr="00E66386">
        <w:rPr>
          <w:rFonts w:asciiTheme="majorHAnsi" w:hAnsiTheme="majorHAnsi"/>
          <w:bCs/>
          <w:sz w:val="20"/>
          <w:szCs w:val="20"/>
          <w:lang w:val="es-CO"/>
        </w:rPr>
        <w:t>concentración</w:t>
      </w:r>
      <w:r w:rsidR="008403CC" w:rsidRPr="00E66386">
        <w:rPr>
          <w:rFonts w:asciiTheme="majorHAnsi" w:hAnsiTheme="majorHAnsi"/>
          <w:bCs/>
          <w:sz w:val="20"/>
          <w:szCs w:val="20"/>
          <w:lang w:val="es-CO"/>
        </w:rPr>
        <w:t xml:space="preserve"> </w:t>
      </w:r>
      <w:r w:rsidR="0052399E" w:rsidRPr="00E66386">
        <w:rPr>
          <w:rFonts w:asciiTheme="majorHAnsi" w:hAnsiTheme="majorHAnsi"/>
          <w:bCs/>
          <w:sz w:val="20"/>
          <w:szCs w:val="20"/>
          <w:lang w:val="es-CO"/>
        </w:rPr>
        <w:t>de personas de uno o varios poblados para realizar distintas actividades</w:t>
      </w:r>
      <w:r w:rsidR="00B22C15" w:rsidRPr="00E66386">
        <w:rPr>
          <w:rFonts w:asciiTheme="majorHAnsi" w:hAnsiTheme="majorHAnsi"/>
          <w:bCs/>
          <w:sz w:val="20"/>
          <w:szCs w:val="20"/>
          <w:lang w:val="es-CO"/>
        </w:rPr>
        <w:t xml:space="preserve">, como </w:t>
      </w:r>
      <w:r w:rsidR="0052399E" w:rsidRPr="00E66386">
        <w:rPr>
          <w:rFonts w:asciiTheme="majorHAnsi" w:hAnsiTheme="majorHAnsi"/>
          <w:bCs/>
          <w:sz w:val="20"/>
          <w:szCs w:val="20"/>
          <w:lang w:val="es-CO"/>
        </w:rPr>
        <w:t>días de</w:t>
      </w:r>
      <w:r w:rsidR="00CA68F9" w:rsidRPr="00E66386">
        <w:rPr>
          <w:rFonts w:asciiTheme="majorHAnsi" w:hAnsiTheme="majorHAnsi"/>
          <w:bCs/>
          <w:sz w:val="20"/>
          <w:szCs w:val="20"/>
          <w:lang w:val="es-CO"/>
        </w:rPr>
        <w:t xml:space="preserve"> </w:t>
      </w:r>
      <w:r w:rsidR="0052399E" w:rsidRPr="00E66386">
        <w:rPr>
          <w:rFonts w:asciiTheme="majorHAnsi" w:hAnsiTheme="majorHAnsi"/>
          <w:bCs/>
          <w:sz w:val="20"/>
          <w:szCs w:val="20"/>
          <w:lang w:val="es-CO"/>
        </w:rPr>
        <w:t xml:space="preserve">mercado, </w:t>
      </w:r>
      <w:r w:rsidR="00B22C15" w:rsidRPr="00E66386">
        <w:rPr>
          <w:rFonts w:asciiTheme="majorHAnsi" w:hAnsiTheme="majorHAnsi"/>
          <w:bCs/>
          <w:sz w:val="20"/>
          <w:szCs w:val="20"/>
          <w:lang w:val="es-CO"/>
        </w:rPr>
        <w:t xml:space="preserve">o </w:t>
      </w:r>
      <w:r w:rsidR="0052399E" w:rsidRPr="00E66386">
        <w:rPr>
          <w:rFonts w:asciiTheme="majorHAnsi" w:hAnsiTheme="majorHAnsi"/>
          <w:bCs/>
          <w:sz w:val="20"/>
          <w:szCs w:val="20"/>
          <w:lang w:val="es-CO"/>
        </w:rPr>
        <w:t xml:space="preserve">de ceremonias religiosas, </w:t>
      </w:r>
      <w:r w:rsidR="00B22C15" w:rsidRPr="00E66386">
        <w:rPr>
          <w:rFonts w:asciiTheme="majorHAnsi" w:hAnsiTheme="majorHAnsi"/>
          <w:bCs/>
          <w:sz w:val="20"/>
          <w:szCs w:val="20"/>
          <w:lang w:val="es-CO"/>
        </w:rPr>
        <w:t xml:space="preserve">o de </w:t>
      </w:r>
      <w:r w:rsidR="0052399E" w:rsidRPr="00E66386">
        <w:rPr>
          <w:rFonts w:asciiTheme="majorHAnsi" w:hAnsiTheme="majorHAnsi"/>
          <w:bCs/>
          <w:sz w:val="20"/>
          <w:szCs w:val="20"/>
          <w:lang w:val="es-CO"/>
        </w:rPr>
        <w:t>visitas familiares.</w:t>
      </w:r>
    </w:p>
    <w:p w14:paraId="3D1FE6BA" w14:textId="0D2498EA" w:rsidR="005755E4" w:rsidRPr="00E66386" w:rsidRDefault="00304496" w:rsidP="00855375">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Entre los hechos que los peticionarios consideran constitutivos de genocidio, </w:t>
      </w:r>
      <w:r w:rsidR="00A91830" w:rsidRPr="00E66386">
        <w:rPr>
          <w:rFonts w:asciiTheme="majorHAnsi" w:hAnsiTheme="majorHAnsi"/>
          <w:bCs/>
          <w:sz w:val="20"/>
          <w:szCs w:val="20"/>
          <w:lang w:val="es-CO"/>
        </w:rPr>
        <w:t xml:space="preserve">denuncian </w:t>
      </w:r>
      <w:r w:rsidR="00075F42" w:rsidRPr="00E66386">
        <w:rPr>
          <w:rFonts w:asciiTheme="majorHAnsi" w:hAnsiTheme="majorHAnsi"/>
          <w:bCs/>
          <w:sz w:val="20"/>
          <w:szCs w:val="20"/>
          <w:lang w:val="es-CO"/>
        </w:rPr>
        <w:t xml:space="preserve">masacres, </w:t>
      </w:r>
      <w:r w:rsidR="00A91830" w:rsidRPr="00E66386">
        <w:rPr>
          <w:rFonts w:asciiTheme="majorHAnsi" w:hAnsiTheme="majorHAnsi"/>
          <w:bCs/>
          <w:sz w:val="20"/>
          <w:szCs w:val="20"/>
          <w:lang w:val="es-CO"/>
        </w:rPr>
        <w:t xml:space="preserve">asesinatos </w:t>
      </w:r>
      <w:r w:rsidR="00075F42" w:rsidRPr="00E66386">
        <w:rPr>
          <w:rFonts w:asciiTheme="majorHAnsi" w:hAnsiTheme="majorHAnsi"/>
          <w:bCs/>
          <w:sz w:val="20"/>
          <w:szCs w:val="20"/>
          <w:lang w:val="es-CO"/>
        </w:rPr>
        <w:t>select</w:t>
      </w:r>
      <w:r w:rsidR="00A91830" w:rsidRPr="00E66386">
        <w:rPr>
          <w:rFonts w:asciiTheme="majorHAnsi" w:hAnsiTheme="majorHAnsi"/>
          <w:bCs/>
          <w:sz w:val="20"/>
          <w:szCs w:val="20"/>
          <w:lang w:val="es-CO"/>
        </w:rPr>
        <w:t>ivos, desapariciones forzadas, lesiones a la integridad personal, violencia sexual contra mujeres</w:t>
      </w:r>
      <w:r w:rsidR="00585E73" w:rsidRPr="00E66386">
        <w:rPr>
          <w:rFonts w:asciiTheme="majorHAnsi" w:hAnsiTheme="majorHAnsi"/>
          <w:bCs/>
          <w:sz w:val="20"/>
          <w:szCs w:val="20"/>
          <w:lang w:val="es-CO"/>
        </w:rPr>
        <w:t xml:space="preserve"> y desplazamiento forzado masivo.</w:t>
      </w:r>
      <w:r w:rsidR="008607A3" w:rsidRPr="00E66386">
        <w:rPr>
          <w:rFonts w:asciiTheme="majorHAnsi" w:hAnsiTheme="majorHAnsi"/>
          <w:bCs/>
          <w:sz w:val="20"/>
          <w:szCs w:val="20"/>
          <w:lang w:val="es-CO"/>
        </w:rPr>
        <w:t xml:space="preserve"> En particular, </w:t>
      </w:r>
      <w:r w:rsidR="003C1A12" w:rsidRPr="00E66386">
        <w:rPr>
          <w:rFonts w:asciiTheme="majorHAnsi" w:hAnsiTheme="majorHAnsi"/>
          <w:bCs/>
          <w:sz w:val="20"/>
          <w:szCs w:val="20"/>
          <w:lang w:val="es-CO"/>
        </w:rPr>
        <w:t>report</w:t>
      </w:r>
      <w:r w:rsidR="008607A3" w:rsidRPr="00E66386">
        <w:rPr>
          <w:rFonts w:asciiTheme="majorHAnsi" w:hAnsiTheme="majorHAnsi"/>
          <w:bCs/>
          <w:sz w:val="20"/>
          <w:szCs w:val="20"/>
          <w:lang w:val="es-CO"/>
        </w:rPr>
        <w:t>a</w:t>
      </w:r>
      <w:r w:rsidR="003C1A12" w:rsidRPr="00E66386">
        <w:rPr>
          <w:rFonts w:asciiTheme="majorHAnsi" w:hAnsiTheme="majorHAnsi"/>
          <w:bCs/>
          <w:sz w:val="20"/>
          <w:szCs w:val="20"/>
          <w:lang w:val="es-CO"/>
        </w:rPr>
        <w:t>n</w:t>
      </w:r>
      <w:r w:rsidR="008607A3" w:rsidRPr="00E66386">
        <w:rPr>
          <w:rFonts w:asciiTheme="majorHAnsi" w:hAnsiTheme="majorHAnsi"/>
          <w:bCs/>
          <w:sz w:val="20"/>
          <w:szCs w:val="20"/>
          <w:lang w:val="es-CO"/>
        </w:rPr>
        <w:t xml:space="preserve"> masacres y ataques cometidos en </w:t>
      </w:r>
      <w:r w:rsidR="00DD329C" w:rsidRPr="00E66386">
        <w:rPr>
          <w:rFonts w:asciiTheme="majorHAnsi" w:hAnsiTheme="majorHAnsi"/>
          <w:bCs/>
          <w:sz w:val="20"/>
          <w:szCs w:val="20"/>
          <w:lang w:val="es-CO"/>
        </w:rPr>
        <w:t>cincuenta y seis</w:t>
      </w:r>
      <w:r w:rsidR="008607A3" w:rsidRPr="00E66386">
        <w:rPr>
          <w:rFonts w:asciiTheme="majorHAnsi" w:hAnsiTheme="majorHAnsi"/>
          <w:bCs/>
          <w:sz w:val="20"/>
          <w:szCs w:val="20"/>
          <w:lang w:val="es-CO"/>
        </w:rPr>
        <w:t xml:space="preserve"> localidades indígenas, en los que también se habría</w:t>
      </w:r>
      <w:r w:rsidR="00861595" w:rsidRPr="00E66386">
        <w:rPr>
          <w:rFonts w:asciiTheme="majorHAnsi" w:hAnsiTheme="majorHAnsi"/>
          <w:bCs/>
          <w:sz w:val="20"/>
          <w:szCs w:val="20"/>
          <w:lang w:val="es-CO"/>
        </w:rPr>
        <w:t>n</w:t>
      </w:r>
      <w:r w:rsidR="008607A3" w:rsidRPr="00E66386">
        <w:rPr>
          <w:rFonts w:asciiTheme="majorHAnsi" w:hAnsiTheme="majorHAnsi"/>
          <w:bCs/>
          <w:sz w:val="20"/>
          <w:szCs w:val="20"/>
          <w:lang w:val="es-CO"/>
        </w:rPr>
        <w:t xml:space="preserve"> ejecutado actos tortura</w:t>
      </w:r>
      <w:r w:rsidR="00B318C9" w:rsidRPr="00E66386">
        <w:rPr>
          <w:rFonts w:asciiTheme="majorHAnsi" w:hAnsiTheme="majorHAnsi"/>
          <w:bCs/>
          <w:sz w:val="20"/>
          <w:szCs w:val="20"/>
          <w:lang w:val="es-CO"/>
        </w:rPr>
        <w:t>,</w:t>
      </w:r>
      <w:r w:rsidR="008607A3" w:rsidRPr="00E66386">
        <w:rPr>
          <w:rFonts w:asciiTheme="majorHAnsi" w:hAnsiTheme="majorHAnsi"/>
          <w:bCs/>
          <w:sz w:val="20"/>
          <w:szCs w:val="20"/>
          <w:lang w:val="es-CO"/>
        </w:rPr>
        <w:t xml:space="preserve"> violencia sexual</w:t>
      </w:r>
      <w:r w:rsidR="00B318C9" w:rsidRPr="00E66386">
        <w:rPr>
          <w:rFonts w:asciiTheme="majorHAnsi" w:hAnsiTheme="majorHAnsi"/>
          <w:bCs/>
          <w:sz w:val="20"/>
          <w:szCs w:val="20"/>
          <w:lang w:val="es-CO"/>
        </w:rPr>
        <w:t xml:space="preserve"> y desaparición forzada</w:t>
      </w:r>
      <w:r w:rsidR="008607A3" w:rsidRPr="00E66386">
        <w:rPr>
          <w:rFonts w:asciiTheme="majorHAnsi" w:hAnsiTheme="majorHAnsi"/>
          <w:bCs/>
          <w:sz w:val="20"/>
          <w:szCs w:val="20"/>
          <w:lang w:val="es-CO"/>
        </w:rPr>
        <w:t xml:space="preserve">, a saber: </w:t>
      </w:r>
      <w:r w:rsidR="00721A6C" w:rsidRPr="00E66386">
        <w:rPr>
          <w:rFonts w:asciiTheme="majorHAnsi" w:hAnsiTheme="majorHAnsi"/>
          <w:bCs/>
          <w:sz w:val="20"/>
          <w:szCs w:val="20"/>
          <w:lang w:val="es-CO"/>
        </w:rPr>
        <w:t>en el caserío Canaquil en 1982</w:t>
      </w:r>
      <w:r w:rsidR="008A50B9" w:rsidRPr="00E66386">
        <w:rPr>
          <w:rFonts w:asciiTheme="majorHAnsi" w:hAnsiTheme="majorHAnsi"/>
          <w:bCs/>
          <w:sz w:val="20"/>
          <w:szCs w:val="20"/>
          <w:lang w:val="es-CO"/>
        </w:rPr>
        <w:t>;</w:t>
      </w:r>
      <w:r w:rsidR="00721A6C" w:rsidRPr="00E66386">
        <w:rPr>
          <w:rFonts w:asciiTheme="majorHAnsi" w:hAnsiTheme="majorHAnsi"/>
          <w:bCs/>
          <w:sz w:val="20"/>
          <w:szCs w:val="20"/>
          <w:lang w:val="es-CO"/>
        </w:rPr>
        <w:t xml:space="preserve"> </w:t>
      </w:r>
      <w:r w:rsidR="003C1A12" w:rsidRPr="00E66386">
        <w:rPr>
          <w:rFonts w:asciiTheme="majorHAnsi" w:hAnsiTheme="majorHAnsi"/>
          <w:bCs/>
          <w:sz w:val="20"/>
          <w:szCs w:val="20"/>
          <w:lang w:val="es-CO"/>
        </w:rPr>
        <w:t>en la aldea de Chel el 3 de abril de 1982</w:t>
      </w:r>
      <w:r w:rsidR="008A50B9" w:rsidRPr="00E66386">
        <w:rPr>
          <w:rFonts w:asciiTheme="majorHAnsi" w:hAnsiTheme="majorHAnsi"/>
          <w:bCs/>
          <w:sz w:val="20"/>
          <w:szCs w:val="20"/>
          <w:lang w:val="es-CO"/>
        </w:rPr>
        <w:t>;</w:t>
      </w:r>
      <w:r w:rsidR="00A674C9" w:rsidRPr="00E66386">
        <w:rPr>
          <w:rFonts w:asciiTheme="majorHAnsi" w:hAnsiTheme="majorHAnsi"/>
          <w:bCs/>
          <w:sz w:val="20"/>
          <w:szCs w:val="20"/>
          <w:lang w:val="es-CO"/>
        </w:rPr>
        <w:t xml:space="preserve"> en la aldea de Villa Hortensia Antigua el 22 de mayo de 1982</w:t>
      </w:r>
      <w:r w:rsidR="008A50B9" w:rsidRPr="00E66386">
        <w:rPr>
          <w:rFonts w:asciiTheme="majorHAnsi" w:hAnsiTheme="majorHAnsi"/>
          <w:bCs/>
          <w:sz w:val="20"/>
          <w:szCs w:val="20"/>
          <w:lang w:val="es-CO"/>
        </w:rPr>
        <w:t>;</w:t>
      </w:r>
      <w:r w:rsidR="00A674C9" w:rsidRPr="00E66386">
        <w:rPr>
          <w:rFonts w:asciiTheme="majorHAnsi" w:hAnsiTheme="majorHAnsi"/>
          <w:bCs/>
          <w:sz w:val="20"/>
          <w:szCs w:val="20"/>
          <w:lang w:val="es-CO"/>
        </w:rPr>
        <w:t xml:space="preserve"> </w:t>
      </w:r>
      <w:r w:rsidR="004E57A9" w:rsidRPr="00E66386">
        <w:rPr>
          <w:rFonts w:asciiTheme="majorHAnsi" w:hAnsiTheme="majorHAnsi"/>
          <w:bCs/>
          <w:sz w:val="20"/>
          <w:szCs w:val="20"/>
          <w:lang w:val="es-CO"/>
        </w:rPr>
        <w:t>en la aldea de Pexla Grande el 2 de junio de 1982</w:t>
      </w:r>
      <w:r w:rsidR="0047449D" w:rsidRPr="00E66386">
        <w:rPr>
          <w:rFonts w:asciiTheme="majorHAnsi" w:hAnsiTheme="majorHAnsi"/>
          <w:bCs/>
          <w:sz w:val="20"/>
          <w:szCs w:val="20"/>
          <w:lang w:val="es-CO"/>
        </w:rPr>
        <w:t>;</w:t>
      </w:r>
      <w:r w:rsidR="004E57A9" w:rsidRPr="00E66386">
        <w:rPr>
          <w:rFonts w:asciiTheme="majorHAnsi" w:hAnsiTheme="majorHAnsi"/>
          <w:bCs/>
          <w:sz w:val="20"/>
          <w:szCs w:val="20"/>
          <w:lang w:val="es-CO"/>
        </w:rPr>
        <w:t xml:space="preserve"> </w:t>
      </w:r>
      <w:r w:rsidR="00C71B37" w:rsidRPr="00E66386">
        <w:rPr>
          <w:rFonts w:asciiTheme="majorHAnsi" w:hAnsiTheme="majorHAnsi"/>
          <w:bCs/>
          <w:sz w:val="20"/>
          <w:szCs w:val="20"/>
          <w:lang w:val="es-CO"/>
        </w:rPr>
        <w:t>en San Francisco Javier el 15 de agosto de 1982</w:t>
      </w:r>
      <w:r w:rsidR="0047449D" w:rsidRPr="00E66386">
        <w:rPr>
          <w:rFonts w:asciiTheme="majorHAnsi" w:hAnsiTheme="majorHAnsi"/>
          <w:bCs/>
          <w:sz w:val="20"/>
          <w:szCs w:val="20"/>
          <w:lang w:val="es-CO"/>
        </w:rPr>
        <w:t>;</w:t>
      </w:r>
      <w:r w:rsidR="00C71B37" w:rsidRPr="00E66386">
        <w:rPr>
          <w:rFonts w:asciiTheme="majorHAnsi" w:hAnsiTheme="majorHAnsi"/>
          <w:bCs/>
          <w:sz w:val="20"/>
          <w:szCs w:val="20"/>
          <w:lang w:val="es-CO"/>
        </w:rPr>
        <w:t xml:space="preserve"> </w:t>
      </w:r>
      <w:r w:rsidR="0063592E" w:rsidRPr="00E66386">
        <w:rPr>
          <w:rFonts w:asciiTheme="majorHAnsi" w:hAnsiTheme="majorHAnsi"/>
          <w:bCs/>
          <w:sz w:val="20"/>
          <w:szCs w:val="20"/>
          <w:lang w:val="es-CO"/>
        </w:rPr>
        <w:t xml:space="preserve">en la aldea de Chuatuj </w:t>
      </w:r>
      <w:r w:rsidR="00EF68DD" w:rsidRPr="00E66386">
        <w:rPr>
          <w:rFonts w:asciiTheme="majorHAnsi" w:hAnsiTheme="majorHAnsi"/>
          <w:bCs/>
          <w:sz w:val="20"/>
          <w:szCs w:val="20"/>
          <w:lang w:val="es-CO"/>
        </w:rPr>
        <w:t>e</w:t>
      </w:r>
      <w:r w:rsidR="00751FC5" w:rsidRPr="00E66386">
        <w:rPr>
          <w:rFonts w:asciiTheme="majorHAnsi" w:hAnsiTheme="majorHAnsi"/>
          <w:bCs/>
          <w:sz w:val="20"/>
          <w:szCs w:val="20"/>
          <w:lang w:val="es-CO"/>
        </w:rPr>
        <w:t>n</w:t>
      </w:r>
      <w:r w:rsidR="00EF68DD" w:rsidRPr="00E66386">
        <w:rPr>
          <w:rFonts w:asciiTheme="majorHAnsi" w:hAnsiTheme="majorHAnsi"/>
          <w:bCs/>
          <w:sz w:val="20"/>
          <w:szCs w:val="20"/>
          <w:lang w:val="es-CO"/>
        </w:rPr>
        <w:t xml:space="preserve"> junio de 1982, </w:t>
      </w:r>
      <w:r w:rsidR="0047449D" w:rsidRPr="00E66386">
        <w:rPr>
          <w:rFonts w:asciiTheme="majorHAnsi" w:hAnsiTheme="majorHAnsi"/>
          <w:bCs/>
          <w:sz w:val="20"/>
          <w:szCs w:val="20"/>
          <w:lang w:val="es-CO"/>
        </w:rPr>
        <w:t xml:space="preserve">el 28 de agosto de 1982 y el 10 y 11 de octubre de 1982; </w:t>
      </w:r>
      <w:r w:rsidR="00491075" w:rsidRPr="00E66386">
        <w:rPr>
          <w:rFonts w:asciiTheme="majorHAnsi" w:hAnsiTheme="majorHAnsi"/>
          <w:bCs/>
          <w:sz w:val="20"/>
          <w:szCs w:val="20"/>
          <w:lang w:val="es-CO"/>
        </w:rPr>
        <w:t xml:space="preserve">en el casería Xecol el 20 de noviembre de 1982; </w:t>
      </w:r>
      <w:r w:rsidR="0029566C" w:rsidRPr="00E66386">
        <w:rPr>
          <w:rFonts w:asciiTheme="majorHAnsi" w:hAnsiTheme="majorHAnsi"/>
          <w:bCs/>
          <w:sz w:val="20"/>
          <w:szCs w:val="20"/>
          <w:lang w:val="es-CO"/>
        </w:rPr>
        <w:t>en la aldea Vijolóm III en marzo de 1982</w:t>
      </w:r>
      <w:r w:rsidR="00D503DF" w:rsidRPr="00E66386">
        <w:rPr>
          <w:rFonts w:asciiTheme="majorHAnsi" w:hAnsiTheme="majorHAnsi"/>
          <w:bCs/>
          <w:sz w:val="20"/>
          <w:szCs w:val="20"/>
          <w:lang w:val="es-CO"/>
        </w:rPr>
        <w:t xml:space="preserve"> y el 23 de septiembre de 1982</w:t>
      </w:r>
      <w:r w:rsidR="0029566C" w:rsidRPr="00E66386">
        <w:rPr>
          <w:rFonts w:asciiTheme="majorHAnsi" w:hAnsiTheme="majorHAnsi"/>
          <w:bCs/>
          <w:sz w:val="20"/>
          <w:szCs w:val="20"/>
          <w:lang w:val="es-CO"/>
        </w:rPr>
        <w:t xml:space="preserve">; </w:t>
      </w:r>
      <w:r w:rsidR="008E2FE7" w:rsidRPr="00E66386">
        <w:rPr>
          <w:rFonts w:asciiTheme="majorHAnsi" w:hAnsiTheme="majorHAnsi"/>
          <w:bCs/>
          <w:sz w:val="20"/>
          <w:szCs w:val="20"/>
          <w:lang w:val="es-CO"/>
        </w:rPr>
        <w:t>en Achba’Itxo de la aldea Vijolom III</w:t>
      </w:r>
      <w:r w:rsidR="005E6147" w:rsidRPr="00E66386">
        <w:rPr>
          <w:rFonts w:asciiTheme="majorHAnsi" w:hAnsiTheme="majorHAnsi"/>
          <w:bCs/>
          <w:sz w:val="20"/>
          <w:szCs w:val="20"/>
          <w:lang w:val="es-CO"/>
        </w:rPr>
        <w:t xml:space="preserve"> el 9 de septiembre de 1982</w:t>
      </w:r>
      <w:r w:rsidR="00F55D02" w:rsidRPr="00E66386">
        <w:rPr>
          <w:rFonts w:asciiTheme="majorHAnsi" w:hAnsiTheme="majorHAnsi"/>
          <w:bCs/>
          <w:sz w:val="20"/>
          <w:szCs w:val="20"/>
          <w:lang w:val="es-CO"/>
        </w:rPr>
        <w:t xml:space="preserve">; en la aldea de Xachmoxan el 3 de abril de 1982; en </w:t>
      </w:r>
      <w:r w:rsidR="00BE3734" w:rsidRPr="00E66386">
        <w:rPr>
          <w:rFonts w:asciiTheme="majorHAnsi" w:hAnsiTheme="majorHAnsi"/>
          <w:bCs/>
          <w:sz w:val="20"/>
          <w:szCs w:val="20"/>
          <w:lang w:val="es-CO"/>
        </w:rPr>
        <w:t xml:space="preserve">la aldea </w:t>
      </w:r>
      <w:r w:rsidR="00F55D02" w:rsidRPr="00E66386">
        <w:rPr>
          <w:rFonts w:asciiTheme="majorHAnsi" w:hAnsiTheme="majorHAnsi"/>
          <w:bCs/>
          <w:sz w:val="20"/>
          <w:szCs w:val="20"/>
          <w:lang w:val="es-CO"/>
        </w:rPr>
        <w:t>Vatzpo</w:t>
      </w:r>
      <w:r w:rsidR="00BE3734" w:rsidRPr="00E66386">
        <w:rPr>
          <w:rFonts w:asciiTheme="majorHAnsi" w:hAnsiTheme="majorHAnsi"/>
          <w:bCs/>
          <w:sz w:val="20"/>
          <w:szCs w:val="20"/>
          <w:lang w:val="es-CO"/>
        </w:rPr>
        <w:t xml:space="preserve">llí </w:t>
      </w:r>
      <w:r w:rsidR="00B3757B" w:rsidRPr="00E66386">
        <w:rPr>
          <w:rFonts w:asciiTheme="majorHAnsi" w:hAnsiTheme="majorHAnsi"/>
          <w:bCs/>
          <w:sz w:val="20"/>
          <w:szCs w:val="20"/>
          <w:lang w:val="es-CO"/>
        </w:rPr>
        <w:t>e</w:t>
      </w:r>
      <w:r w:rsidR="00BE3734" w:rsidRPr="00E66386">
        <w:rPr>
          <w:rFonts w:asciiTheme="majorHAnsi" w:hAnsiTheme="majorHAnsi"/>
          <w:bCs/>
          <w:sz w:val="20"/>
          <w:szCs w:val="20"/>
          <w:lang w:val="es-CO"/>
        </w:rPr>
        <w:t xml:space="preserve">l 10 de abril de 1982; </w:t>
      </w:r>
      <w:r w:rsidR="00566EAF" w:rsidRPr="00E66386">
        <w:rPr>
          <w:rFonts w:asciiTheme="majorHAnsi" w:hAnsiTheme="majorHAnsi"/>
          <w:bCs/>
          <w:sz w:val="20"/>
          <w:szCs w:val="20"/>
          <w:lang w:val="es-CO"/>
        </w:rPr>
        <w:t xml:space="preserve">en la aldea Villa Hortensia II el 15 de abril </w:t>
      </w:r>
      <w:r w:rsidR="00AB6530" w:rsidRPr="00E66386">
        <w:rPr>
          <w:rFonts w:asciiTheme="majorHAnsi" w:hAnsiTheme="majorHAnsi"/>
          <w:bCs/>
          <w:sz w:val="20"/>
          <w:szCs w:val="20"/>
          <w:lang w:val="es-CO"/>
        </w:rPr>
        <w:t>y el 10 de septiembre de 1982</w:t>
      </w:r>
      <w:r w:rsidR="00566EAF" w:rsidRPr="00E66386">
        <w:rPr>
          <w:rFonts w:asciiTheme="majorHAnsi" w:hAnsiTheme="majorHAnsi"/>
          <w:bCs/>
          <w:sz w:val="20"/>
          <w:szCs w:val="20"/>
          <w:lang w:val="es-CO"/>
        </w:rPr>
        <w:t xml:space="preserve">; </w:t>
      </w:r>
      <w:r w:rsidR="00F30597" w:rsidRPr="00E66386">
        <w:rPr>
          <w:rFonts w:asciiTheme="majorHAnsi" w:hAnsiTheme="majorHAnsi"/>
          <w:bCs/>
          <w:sz w:val="20"/>
          <w:szCs w:val="20"/>
          <w:lang w:val="es-CO"/>
        </w:rPr>
        <w:t xml:space="preserve">en el cantón de Chipal </w:t>
      </w:r>
      <w:r w:rsidR="00707E6F" w:rsidRPr="00E66386">
        <w:rPr>
          <w:rFonts w:asciiTheme="majorHAnsi" w:hAnsiTheme="majorHAnsi"/>
          <w:bCs/>
          <w:sz w:val="20"/>
          <w:szCs w:val="20"/>
          <w:lang w:val="es-CO"/>
        </w:rPr>
        <w:t xml:space="preserve">el 27 de abril de 1982; </w:t>
      </w:r>
      <w:r w:rsidR="00E8433B" w:rsidRPr="00E66386">
        <w:rPr>
          <w:rFonts w:asciiTheme="majorHAnsi" w:hAnsiTheme="majorHAnsi"/>
          <w:bCs/>
          <w:sz w:val="20"/>
          <w:szCs w:val="20"/>
          <w:lang w:val="es-CO"/>
        </w:rPr>
        <w:t>en Vajila de la aldea Acul el 20 de abril</w:t>
      </w:r>
      <w:r w:rsidR="008361BF" w:rsidRPr="00E66386">
        <w:rPr>
          <w:rFonts w:asciiTheme="majorHAnsi" w:hAnsiTheme="majorHAnsi"/>
          <w:bCs/>
          <w:sz w:val="20"/>
          <w:szCs w:val="20"/>
          <w:lang w:val="es-CO"/>
        </w:rPr>
        <w:t>, el 20 de junio y el 25 de octubre de 1982</w:t>
      </w:r>
      <w:r w:rsidR="007C0312" w:rsidRPr="00E66386">
        <w:rPr>
          <w:rFonts w:asciiTheme="majorHAnsi" w:hAnsiTheme="majorHAnsi"/>
          <w:bCs/>
          <w:sz w:val="20"/>
          <w:szCs w:val="20"/>
          <w:lang w:val="es-CO"/>
        </w:rPr>
        <w:t>;</w:t>
      </w:r>
      <w:r w:rsidR="00573442" w:rsidRPr="00E66386">
        <w:rPr>
          <w:rFonts w:asciiTheme="majorHAnsi" w:hAnsiTheme="majorHAnsi"/>
          <w:bCs/>
          <w:sz w:val="20"/>
          <w:szCs w:val="20"/>
          <w:lang w:val="es-CO"/>
        </w:rPr>
        <w:t xml:space="preserve"> </w:t>
      </w:r>
      <w:r w:rsidR="00254D24" w:rsidRPr="00E66386">
        <w:rPr>
          <w:rFonts w:asciiTheme="majorHAnsi" w:hAnsiTheme="majorHAnsi"/>
          <w:bCs/>
          <w:sz w:val="20"/>
          <w:szCs w:val="20"/>
          <w:lang w:val="es-CO"/>
        </w:rPr>
        <w:t xml:space="preserve">en Tuqanal en mayo de 1982; </w:t>
      </w:r>
      <w:r w:rsidR="00751FC5" w:rsidRPr="00E66386">
        <w:rPr>
          <w:rFonts w:asciiTheme="majorHAnsi" w:hAnsiTheme="majorHAnsi"/>
          <w:bCs/>
          <w:sz w:val="20"/>
          <w:szCs w:val="20"/>
          <w:lang w:val="es-CO"/>
        </w:rPr>
        <w:t xml:space="preserve">en Bicocol el 10 de mayo de 1982; </w:t>
      </w:r>
      <w:r w:rsidR="004048D4" w:rsidRPr="00E66386">
        <w:rPr>
          <w:rFonts w:asciiTheme="majorHAnsi" w:hAnsiTheme="majorHAnsi"/>
          <w:bCs/>
          <w:sz w:val="20"/>
          <w:szCs w:val="20"/>
          <w:lang w:val="es-CO"/>
        </w:rPr>
        <w:t>en la aldea Tujolom en junio</w:t>
      </w:r>
      <w:r w:rsidR="00CA533D" w:rsidRPr="00E66386">
        <w:rPr>
          <w:rFonts w:asciiTheme="majorHAnsi" w:hAnsiTheme="majorHAnsi"/>
          <w:bCs/>
          <w:sz w:val="20"/>
          <w:szCs w:val="20"/>
          <w:lang w:val="es-CO"/>
        </w:rPr>
        <w:t>, noviembre y diciembre</w:t>
      </w:r>
      <w:r w:rsidR="004048D4" w:rsidRPr="00E66386">
        <w:rPr>
          <w:rFonts w:asciiTheme="majorHAnsi" w:hAnsiTheme="majorHAnsi"/>
          <w:bCs/>
          <w:sz w:val="20"/>
          <w:szCs w:val="20"/>
          <w:lang w:val="es-CO"/>
        </w:rPr>
        <w:t xml:space="preserve"> de 1982;</w:t>
      </w:r>
      <w:r w:rsidR="00BB1362" w:rsidRPr="00E66386">
        <w:rPr>
          <w:rFonts w:asciiTheme="majorHAnsi" w:hAnsiTheme="majorHAnsi"/>
          <w:bCs/>
          <w:sz w:val="20"/>
          <w:szCs w:val="20"/>
          <w:lang w:val="es-CO"/>
        </w:rPr>
        <w:t xml:space="preserve"> en Tusibán de la aldea Quejchip el 22 de junio de 1982; </w:t>
      </w:r>
      <w:r w:rsidR="00D91093" w:rsidRPr="00E66386">
        <w:rPr>
          <w:rFonts w:asciiTheme="majorHAnsi" w:hAnsiTheme="majorHAnsi"/>
          <w:bCs/>
          <w:sz w:val="20"/>
          <w:szCs w:val="20"/>
          <w:lang w:val="es-CO"/>
        </w:rPr>
        <w:t xml:space="preserve">en Tucalamá de la aldea Vijolóm I en julio </w:t>
      </w:r>
      <w:r w:rsidR="00ED7B03" w:rsidRPr="00E66386">
        <w:rPr>
          <w:rFonts w:asciiTheme="majorHAnsi" w:hAnsiTheme="majorHAnsi"/>
          <w:bCs/>
          <w:sz w:val="20"/>
          <w:szCs w:val="20"/>
          <w:lang w:val="es-CO"/>
        </w:rPr>
        <w:t xml:space="preserve">de 1982; </w:t>
      </w:r>
      <w:r w:rsidR="006E287C" w:rsidRPr="00E66386">
        <w:rPr>
          <w:rFonts w:asciiTheme="majorHAnsi" w:hAnsiTheme="majorHAnsi"/>
          <w:bCs/>
          <w:sz w:val="20"/>
          <w:szCs w:val="20"/>
          <w:lang w:val="es-CO"/>
        </w:rPr>
        <w:t xml:space="preserve">en Kabtzé el 15 de julio de 1982; </w:t>
      </w:r>
      <w:r w:rsidR="00A30A55" w:rsidRPr="00E66386">
        <w:rPr>
          <w:rFonts w:asciiTheme="majorHAnsi" w:hAnsiTheme="majorHAnsi"/>
          <w:bCs/>
          <w:sz w:val="20"/>
          <w:szCs w:val="20"/>
          <w:lang w:val="es-CO"/>
        </w:rPr>
        <w:t xml:space="preserve">en Palop Chiquito en julio y agosto de 1982; </w:t>
      </w:r>
      <w:r w:rsidR="006033AE" w:rsidRPr="00E66386">
        <w:rPr>
          <w:rFonts w:asciiTheme="majorHAnsi" w:hAnsiTheme="majorHAnsi"/>
          <w:bCs/>
          <w:sz w:val="20"/>
          <w:szCs w:val="20"/>
          <w:lang w:val="es-CO"/>
        </w:rPr>
        <w:t xml:space="preserve">en Tu Captze </w:t>
      </w:r>
      <w:r w:rsidR="00A4706D" w:rsidRPr="00E66386">
        <w:rPr>
          <w:rFonts w:asciiTheme="majorHAnsi" w:hAnsiTheme="majorHAnsi"/>
          <w:bCs/>
          <w:sz w:val="20"/>
          <w:szCs w:val="20"/>
          <w:lang w:val="es-CO"/>
        </w:rPr>
        <w:t xml:space="preserve">el 2 de septiembre de 1982; en el caserío Xolá el 10 de septiembre de 1982; </w:t>
      </w:r>
      <w:r w:rsidR="003667EF" w:rsidRPr="00E66386">
        <w:rPr>
          <w:rFonts w:asciiTheme="majorHAnsi" w:hAnsiTheme="majorHAnsi"/>
          <w:bCs/>
          <w:sz w:val="20"/>
          <w:szCs w:val="20"/>
          <w:lang w:val="es-CO"/>
        </w:rPr>
        <w:t xml:space="preserve">en el cantón Jolopxam el 13 de septiembre de 1982; en Tu B’aj Mam el </w:t>
      </w:r>
      <w:r w:rsidR="00240574" w:rsidRPr="00E66386">
        <w:rPr>
          <w:rFonts w:asciiTheme="majorHAnsi" w:hAnsiTheme="majorHAnsi"/>
          <w:bCs/>
          <w:sz w:val="20"/>
          <w:szCs w:val="20"/>
          <w:lang w:val="es-CO"/>
        </w:rPr>
        <w:t xml:space="preserve">20 de septiembre de 1982; </w:t>
      </w:r>
      <w:r w:rsidR="00B4379E" w:rsidRPr="00E66386">
        <w:rPr>
          <w:rFonts w:asciiTheme="majorHAnsi" w:hAnsiTheme="majorHAnsi"/>
          <w:bCs/>
          <w:sz w:val="20"/>
          <w:szCs w:val="20"/>
          <w:lang w:val="es-CO"/>
        </w:rPr>
        <w:t>en la aldea de Visibac</w:t>
      </w:r>
      <w:r w:rsidR="00B12C9D" w:rsidRPr="00E66386">
        <w:rPr>
          <w:rFonts w:asciiTheme="majorHAnsi" w:hAnsiTheme="majorHAnsi"/>
          <w:bCs/>
          <w:sz w:val="20"/>
          <w:szCs w:val="20"/>
          <w:lang w:val="es-CO"/>
        </w:rPr>
        <w:t xml:space="preserve">bitz el 1° de octubre de 1982; en la aldea Varz Sumal II el 10 de octubre de 1982; en Xemanzana de la aldea Sajsiban el 15 de octubre y en diciembre de 1982; </w:t>
      </w:r>
      <w:r w:rsidR="00882897" w:rsidRPr="00E66386">
        <w:rPr>
          <w:rFonts w:asciiTheme="majorHAnsi" w:hAnsiTheme="majorHAnsi"/>
          <w:bCs/>
          <w:sz w:val="20"/>
          <w:szCs w:val="20"/>
          <w:lang w:val="es-CO"/>
        </w:rPr>
        <w:t xml:space="preserve">en la ladea Xeo el 15 de octubre de 1982; </w:t>
      </w:r>
      <w:r w:rsidR="00D5221D" w:rsidRPr="00E66386">
        <w:rPr>
          <w:rFonts w:asciiTheme="majorHAnsi" w:hAnsiTheme="majorHAnsi"/>
          <w:bCs/>
          <w:sz w:val="20"/>
          <w:szCs w:val="20"/>
          <w:lang w:val="es-CO"/>
        </w:rPr>
        <w:t xml:space="preserve">en el cantón itzal el 21 de octubre de 1982; en la aldea Trapichitos en octubre de 1982; </w:t>
      </w:r>
      <w:r w:rsidR="0086539F" w:rsidRPr="00E66386">
        <w:rPr>
          <w:rFonts w:asciiTheme="majorHAnsi" w:hAnsiTheme="majorHAnsi"/>
          <w:bCs/>
          <w:sz w:val="20"/>
          <w:szCs w:val="20"/>
          <w:lang w:val="es-CO"/>
        </w:rPr>
        <w:t>en Acul el 22 de abril de 1982;</w:t>
      </w:r>
      <w:r w:rsidR="00851453" w:rsidRPr="00E66386">
        <w:rPr>
          <w:rFonts w:asciiTheme="majorHAnsi" w:hAnsiTheme="majorHAnsi"/>
          <w:bCs/>
          <w:sz w:val="20"/>
          <w:szCs w:val="20"/>
          <w:lang w:val="es-CO"/>
        </w:rPr>
        <w:t xml:space="preserve"> </w:t>
      </w:r>
      <w:r w:rsidR="00F54A1D" w:rsidRPr="00E66386">
        <w:rPr>
          <w:rFonts w:asciiTheme="majorHAnsi" w:hAnsiTheme="majorHAnsi"/>
          <w:bCs/>
          <w:sz w:val="20"/>
          <w:szCs w:val="20"/>
          <w:lang w:val="es-CO"/>
        </w:rPr>
        <w:t>en la aldea Batzchocola el 1° de abril de 1983;</w:t>
      </w:r>
      <w:r w:rsidR="00F94A31" w:rsidRPr="00E66386">
        <w:rPr>
          <w:rFonts w:asciiTheme="majorHAnsi" w:hAnsiTheme="majorHAnsi"/>
          <w:bCs/>
          <w:sz w:val="20"/>
          <w:szCs w:val="20"/>
          <w:lang w:val="es-CO"/>
        </w:rPr>
        <w:t xml:space="preserve"> en la aldea Parramos Grande el 15 de enero de 1983; en el casería Xe Belubal el 20 de febrero de 1983; </w:t>
      </w:r>
      <w:r w:rsidR="002F7811" w:rsidRPr="00E66386">
        <w:rPr>
          <w:rFonts w:asciiTheme="majorHAnsi" w:hAnsiTheme="majorHAnsi"/>
          <w:bCs/>
          <w:sz w:val="20"/>
          <w:szCs w:val="20"/>
          <w:lang w:val="es-CO"/>
        </w:rPr>
        <w:t xml:space="preserve">en la aldea Vipecbalam el 25 </w:t>
      </w:r>
      <w:r w:rsidR="00EC37EF" w:rsidRPr="00E66386">
        <w:rPr>
          <w:rFonts w:asciiTheme="majorHAnsi" w:hAnsiTheme="majorHAnsi"/>
          <w:bCs/>
          <w:sz w:val="20"/>
          <w:szCs w:val="20"/>
          <w:lang w:val="es-CO"/>
        </w:rPr>
        <w:t xml:space="preserve">y 27 </w:t>
      </w:r>
      <w:r w:rsidR="002F7811" w:rsidRPr="00E66386">
        <w:rPr>
          <w:rFonts w:asciiTheme="majorHAnsi" w:hAnsiTheme="majorHAnsi"/>
          <w:bCs/>
          <w:sz w:val="20"/>
          <w:szCs w:val="20"/>
          <w:lang w:val="es-CO"/>
        </w:rPr>
        <w:t>de febrero</w:t>
      </w:r>
      <w:r w:rsidR="00EC37EF" w:rsidRPr="00E66386">
        <w:rPr>
          <w:rFonts w:asciiTheme="majorHAnsi" w:hAnsiTheme="majorHAnsi"/>
          <w:bCs/>
          <w:sz w:val="20"/>
          <w:szCs w:val="20"/>
          <w:lang w:val="es-CO"/>
        </w:rPr>
        <w:t xml:space="preserve"> </w:t>
      </w:r>
      <w:r w:rsidR="002F7811" w:rsidRPr="00E66386">
        <w:rPr>
          <w:rFonts w:asciiTheme="majorHAnsi" w:hAnsiTheme="majorHAnsi"/>
          <w:bCs/>
          <w:sz w:val="20"/>
          <w:szCs w:val="20"/>
          <w:lang w:val="es-CO"/>
        </w:rPr>
        <w:t xml:space="preserve">de 1983; </w:t>
      </w:r>
      <w:r w:rsidR="00533121" w:rsidRPr="00E66386">
        <w:rPr>
          <w:rFonts w:asciiTheme="majorHAnsi" w:hAnsiTheme="majorHAnsi"/>
          <w:bCs/>
          <w:sz w:val="20"/>
          <w:szCs w:val="20"/>
          <w:lang w:val="es-CO"/>
        </w:rPr>
        <w:t>en el cantón Chapyac de la aldea Sumal Grande el 15 de abril de 1982 y en abril de 1983;</w:t>
      </w:r>
      <w:r w:rsidR="00F13EA9" w:rsidRPr="00E66386">
        <w:rPr>
          <w:rFonts w:asciiTheme="majorHAnsi" w:hAnsiTheme="majorHAnsi"/>
          <w:bCs/>
          <w:sz w:val="20"/>
          <w:szCs w:val="20"/>
          <w:lang w:val="es-CO"/>
        </w:rPr>
        <w:t xml:space="preserve"> en la aldea Viucalvitz el 25 de mayo de 1983; </w:t>
      </w:r>
      <w:r w:rsidR="00346869" w:rsidRPr="00E66386">
        <w:rPr>
          <w:rFonts w:asciiTheme="majorHAnsi" w:hAnsiTheme="majorHAnsi"/>
          <w:bCs/>
          <w:sz w:val="20"/>
          <w:szCs w:val="20"/>
          <w:lang w:val="es-CO"/>
        </w:rPr>
        <w:t xml:space="preserve">en la aldea Santa Clara </w:t>
      </w:r>
      <w:r w:rsidR="00F9270B" w:rsidRPr="00E66386">
        <w:rPr>
          <w:rFonts w:asciiTheme="majorHAnsi" w:hAnsiTheme="majorHAnsi"/>
          <w:bCs/>
          <w:sz w:val="20"/>
          <w:szCs w:val="20"/>
          <w:lang w:val="es-CO"/>
        </w:rPr>
        <w:t xml:space="preserve">14 de junio de 1982 </w:t>
      </w:r>
      <w:r w:rsidR="00350F7F" w:rsidRPr="00E66386">
        <w:rPr>
          <w:rFonts w:asciiTheme="majorHAnsi" w:hAnsiTheme="majorHAnsi"/>
          <w:bCs/>
          <w:sz w:val="20"/>
          <w:szCs w:val="20"/>
          <w:lang w:val="es-CO"/>
        </w:rPr>
        <w:t xml:space="preserve">y </w:t>
      </w:r>
      <w:r w:rsidR="00346869" w:rsidRPr="00E66386">
        <w:rPr>
          <w:rFonts w:asciiTheme="majorHAnsi" w:hAnsiTheme="majorHAnsi"/>
          <w:bCs/>
          <w:sz w:val="20"/>
          <w:szCs w:val="20"/>
          <w:lang w:val="es-CO"/>
        </w:rPr>
        <w:t>e</w:t>
      </w:r>
      <w:r w:rsidR="00F9270B" w:rsidRPr="00E66386">
        <w:rPr>
          <w:rFonts w:asciiTheme="majorHAnsi" w:hAnsiTheme="majorHAnsi"/>
          <w:bCs/>
          <w:sz w:val="20"/>
          <w:szCs w:val="20"/>
          <w:lang w:val="es-CO"/>
        </w:rPr>
        <w:t>n marzo</w:t>
      </w:r>
      <w:r w:rsidR="00533121" w:rsidRPr="00E66386">
        <w:rPr>
          <w:rFonts w:asciiTheme="majorHAnsi" w:hAnsiTheme="majorHAnsi"/>
          <w:bCs/>
          <w:sz w:val="20"/>
          <w:szCs w:val="20"/>
          <w:lang w:val="es-CO"/>
        </w:rPr>
        <w:t xml:space="preserve"> </w:t>
      </w:r>
      <w:r w:rsidR="00350F7F" w:rsidRPr="00E66386">
        <w:rPr>
          <w:rFonts w:asciiTheme="majorHAnsi" w:hAnsiTheme="majorHAnsi"/>
          <w:bCs/>
          <w:sz w:val="20"/>
          <w:szCs w:val="20"/>
          <w:lang w:val="es-CO"/>
        </w:rPr>
        <w:t xml:space="preserve">de 1983; en el paraje </w:t>
      </w:r>
      <w:r w:rsidR="004851CD" w:rsidRPr="00E66386">
        <w:rPr>
          <w:rFonts w:asciiTheme="majorHAnsi" w:hAnsiTheme="majorHAnsi"/>
          <w:bCs/>
          <w:sz w:val="20"/>
          <w:szCs w:val="20"/>
          <w:lang w:val="es-CO"/>
        </w:rPr>
        <w:t>Tu Uchuch de la aldea Acul e</w:t>
      </w:r>
      <w:r w:rsidR="00D16043" w:rsidRPr="00E66386">
        <w:rPr>
          <w:rFonts w:asciiTheme="majorHAnsi" w:hAnsiTheme="majorHAnsi"/>
          <w:bCs/>
          <w:sz w:val="20"/>
          <w:szCs w:val="20"/>
          <w:lang w:val="es-CO"/>
        </w:rPr>
        <w:t xml:space="preserve">n julio de 1982; en la aldea Vicalama </w:t>
      </w:r>
      <w:r w:rsidR="00A44C25" w:rsidRPr="00E66386">
        <w:rPr>
          <w:rFonts w:asciiTheme="majorHAnsi" w:hAnsiTheme="majorHAnsi"/>
          <w:bCs/>
          <w:sz w:val="20"/>
          <w:szCs w:val="20"/>
          <w:lang w:val="es-CO"/>
        </w:rPr>
        <w:t xml:space="preserve">en junio de 1982; en la aldea Vatzsuchil en </w:t>
      </w:r>
      <w:r w:rsidR="00F01080" w:rsidRPr="00E66386">
        <w:rPr>
          <w:rFonts w:asciiTheme="majorHAnsi" w:hAnsiTheme="majorHAnsi"/>
          <w:bCs/>
          <w:sz w:val="20"/>
          <w:szCs w:val="20"/>
          <w:lang w:val="es-CO"/>
        </w:rPr>
        <w:t xml:space="preserve">septiembre de 1982; </w:t>
      </w:r>
      <w:r w:rsidR="00B575F8" w:rsidRPr="00E66386">
        <w:rPr>
          <w:rFonts w:asciiTheme="majorHAnsi" w:hAnsiTheme="majorHAnsi"/>
          <w:bCs/>
          <w:sz w:val="20"/>
          <w:szCs w:val="20"/>
          <w:lang w:val="es-CO"/>
        </w:rPr>
        <w:t>en Xelocvitz de la aldea Sacsiban</w:t>
      </w:r>
      <w:r w:rsidR="000F2142" w:rsidRPr="00E66386">
        <w:rPr>
          <w:rFonts w:asciiTheme="majorHAnsi" w:hAnsiTheme="majorHAnsi"/>
          <w:bCs/>
          <w:sz w:val="20"/>
          <w:szCs w:val="20"/>
          <w:lang w:val="es-CO"/>
        </w:rPr>
        <w:t xml:space="preserve"> e</w:t>
      </w:r>
      <w:r w:rsidR="00D66AB1" w:rsidRPr="00E66386">
        <w:rPr>
          <w:rFonts w:asciiTheme="majorHAnsi" w:hAnsiTheme="majorHAnsi"/>
          <w:bCs/>
          <w:sz w:val="20"/>
          <w:szCs w:val="20"/>
          <w:lang w:val="es-CO"/>
        </w:rPr>
        <w:t>n numerosas ocasiones entre</w:t>
      </w:r>
      <w:r w:rsidR="000F2142" w:rsidRPr="00E66386">
        <w:rPr>
          <w:rFonts w:asciiTheme="majorHAnsi" w:hAnsiTheme="majorHAnsi"/>
          <w:bCs/>
          <w:sz w:val="20"/>
          <w:szCs w:val="20"/>
          <w:lang w:val="es-CO"/>
        </w:rPr>
        <w:t xml:space="preserve"> abril </w:t>
      </w:r>
      <w:r w:rsidR="00DF02E4" w:rsidRPr="00E66386">
        <w:rPr>
          <w:rFonts w:asciiTheme="majorHAnsi" w:hAnsiTheme="majorHAnsi"/>
          <w:bCs/>
          <w:sz w:val="20"/>
          <w:szCs w:val="20"/>
          <w:lang w:val="es-CO"/>
        </w:rPr>
        <w:t xml:space="preserve">y </w:t>
      </w:r>
      <w:r w:rsidR="004F4491" w:rsidRPr="00E66386">
        <w:rPr>
          <w:rFonts w:asciiTheme="majorHAnsi" w:hAnsiTheme="majorHAnsi"/>
          <w:bCs/>
          <w:sz w:val="20"/>
          <w:szCs w:val="20"/>
          <w:lang w:val="es-CO"/>
        </w:rPr>
        <w:t>dic</w:t>
      </w:r>
      <w:r w:rsidR="00DF02E4" w:rsidRPr="00E66386">
        <w:rPr>
          <w:rFonts w:asciiTheme="majorHAnsi" w:hAnsiTheme="majorHAnsi"/>
          <w:bCs/>
          <w:sz w:val="20"/>
          <w:szCs w:val="20"/>
          <w:lang w:val="es-CO"/>
        </w:rPr>
        <w:t>iembre de 1982</w:t>
      </w:r>
      <w:r w:rsidR="009E3D2D" w:rsidRPr="00E66386">
        <w:rPr>
          <w:rFonts w:asciiTheme="majorHAnsi" w:hAnsiTheme="majorHAnsi"/>
          <w:bCs/>
          <w:sz w:val="20"/>
          <w:szCs w:val="20"/>
          <w:lang w:val="es-CO"/>
        </w:rPr>
        <w:t xml:space="preserve">; </w:t>
      </w:r>
      <w:r w:rsidR="00D2084D" w:rsidRPr="00E66386">
        <w:rPr>
          <w:rFonts w:asciiTheme="majorHAnsi" w:hAnsiTheme="majorHAnsi"/>
          <w:bCs/>
          <w:sz w:val="20"/>
          <w:szCs w:val="20"/>
          <w:lang w:val="es-CO"/>
        </w:rPr>
        <w:t xml:space="preserve">en la aldea El Mirador el 23 de abril de 1983; </w:t>
      </w:r>
      <w:r w:rsidR="007716C1" w:rsidRPr="00E66386">
        <w:rPr>
          <w:rFonts w:asciiTheme="majorHAnsi" w:hAnsiTheme="majorHAnsi"/>
          <w:bCs/>
          <w:sz w:val="20"/>
          <w:szCs w:val="20"/>
          <w:lang w:val="es-CO"/>
        </w:rPr>
        <w:t>en la finca San Joaquín Chel el 5 de abril de 1982;</w:t>
      </w:r>
      <w:r w:rsidR="006426BA" w:rsidRPr="00E66386">
        <w:rPr>
          <w:rFonts w:asciiTheme="majorHAnsi" w:hAnsiTheme="majorHAnsi"/>
          <w:bCs/>
          <w:sz w:val="20"/>
          <w:szCs w:val="20"/>
          <w:lang w:val="es-CO"/>
        </w:rPr>
        <w:t xml:space="preserve"> </w:t>
      </w:r>
      <w:r w:rsidR="001E6363" w:rsidRPr="00E66386">
        <w:rPr>
          <w:rFonts w:asciiTheme="majorHAnsi" w:hAnsiTheme="majorHAnsi"/>
          <w:bCs/>
          <w:sz w:val="20"/>
          <w:szCs w:val="20"/>
          <w:lang w:val="es-CO"/>
        </w:rPr>
        <w:t xml:space="preserve">en Tuchabuc el 3 de mayo de 1982; </w:t>
      </w:r>
      <w:r w:rsidR="00C634B5" w:rsidRPr="00E66386">
        <w:rPr>
          <w:rFonts w:asciiTheme="majorHAnsi" w:hAnsiTheme="majorHAnsi"/>
          <w:bCs/>
          <w:sz w:val="20"/>
          <w:szCs w:val="20"/>
          <w:lang w:val="es-CO"/>
        </w:rPr>
        <w:t>en el cantón Batzcorral</w:t>
      </w:r>
      <w:r w:rsidR="003C7574" w:rsidRPr="00E66386">
        <w:rPr>
          <w:rFonts w:asciiTheme="majorHAnsi" w:hAnsiTheme="majorHAnsi"/>
          <w:bCs/>
          <w:sz w:val="20"/>
          <w:szCs w:val="20"/>
          <w:lang w:val="es-CO"/>
        </w:rPr>
        <w:t>;</w:t>
      </w:r>
      <w:r w:rsidR="00312165" w:rsidRPr="00E66386">
        <w:rPr>
          <w:rFonts w:asciiTheme="majorHAnsi" w:hAnsiTheme="majorHAnsi"/>
          <w:bCs/>
          <w:sz w:val="20"/>
          <w:szCs w:val="20"/>
          <w:lang w:val="es-CO"/>
        </w:rPr>
        <w:t xml:space="preserve"> en la finca San Francisco de San Juan Cotzal el 15 de agosto de 1982; </w:t>
      </w:r>
      <w:r w:rsidR="00023B5A" w:rsidRPr="00E66386">
        <w:rPr>
          <w:rFonts w:asciiTheme="majorHAnsi" w:hAnsiTheme="majorHAnsi"/>
          <w:bCs/>
          <w:sz w:val="20"/>
          <w:szCs w:val="20"/>
          <w:lang w:val="es-CO"/>
        </w:rPr>
        <w:t xml:space="preserve">en Suman II de la aldea Vicalama el 22 de febrero de 1983; </w:t>
      </w:r>
      <w:r w:rsidR="00CA425E" w:rsidRPr="00E66386">
        <w:rPr>
          <w:rFonts w:asciiTheme="majorHAnsi" w:hAnsiTheme="majorHAnsi"/>
          <w:bCs/>
          <w:sz w:val="20"/>
          <w:szCs w:val="20"/>
          <w:lang w:val="es-CO"/>
        </w:rPr>
        <w:t xml:space="preserve">en el casería Xesayí el 12 </w:t>
      </w:r>
      <w:r w:rsidR="00CA425E" w:rsidRPr="00E66386">
        <w:rPr>
          <w:rFonts w:asciiTheme="majorHAnsi" w:hAnsiTheme="majorHAnsi"/>
          <w:bCs/>
          <w:sz w:val="20"/>
          <w:szCs w:val="20"/>
          <w:lang w:val="es-CO"/>
        </w:rPr>
        <w:lastRenderedPageBreak/>
        <w:t xml:space="preserve">de abril de 1983; </w:t>
      </w:r>
      <w:r w:rsidR="00FC6FE3" w:rsidRPr="00E66386">
        <w:rPr>
          <w:rFonts w:asciiTheme="majorHAnsi" w:hAnsiTheme="majorHAnsi"/>
          <w:bCs/>
          <w:sz w:val="20"/>
          <w:szCs w:val="20"/>
          <w:lang w:val="es-CO"/>
        </w:rPr>
        <w:t xml:space="preserve">en Vijolom II en julio de 1983; </w:t>
      </w:r>
      <w:r w:rsidR="00FB3917" w:rsidRPr="00E66386">
        <w:rPr>
          <w:rFonts w:asciiTheme="majorHAnsi" w:hAnsiTheme="majorHAnsi"/>
          <w:bCs/>
          <w:sz w:val="20"/>
          <w:szCs w:val="20"/>
          <w:lang w:val="es-CO"/>
        </w:rPr>
        <w:t xml:space="preserve">en Visumal el 20 de abril de 1983; en la aldea Parramos en agosto de 1983; y </w:t>
      </w:r>
      <w:r w:rsidR="00BC63B3" w:rsidRPr="00E66386">
        <w:rPr>
          <w:rFonts w:asciiTheme="majorHAnsi" w:hAnsiTheme="majorHAnsi"/>
          <w:bCs/>
          <w:sz w:val="20"/>
          <w:szCs w:val="20"/>
          <w:lang w:val="es-CO"/>
        </w:rPr>
        <w:t>la aldea de Ilom el 23 de marzo de 1982.</w:t>
      </w:r>
    </w:p>
    <w:p w14:paraId="210A5763" w14:textId="14E248C3" w:rsidR="003C1A12" w:rsidRPr="00E66386" w:rsidRDefault="003F32D1" w:rsidP="00855375">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De acuerdo con el relato de los peticionarios, </w:t>
      </w:r>
      <w:r w:rsidR="00F37AB2" w:rsidRPr="00E66386">
        <w:rPr>
          <w:rFonts w:asciiTheme="majorHAnsi" w:hAnsiTheme="majorHAnsi"/>
          <w:bCs/>
          <w:sz w:val="20"/>
          <w:szCs w:val="20"/>
          <w:lang w:val="es-CO"/>
        </w:rPr>
        <w:t xml:space="preserve">los </w:t>
      </w:r>
      <w:r w:rsidRPr="00E66386">
        <w:rPr>
          <w:rFonts w:asciiTheme="majorHAnsi" w:hAnsiTheme="majorHAnsi"/>
          <w:bCs/>
          <w:sz w:val="20"/>
          <w:szCs w:val="20"/>
          <w:lang w:val="es-CO"/>
        </w:rPr>
        <w:t>episodi</w:t>
      </w:r>
      <w:r w:rsidR="00F37AB2" w:rsidRPr="00E66386">
        <w:rPr>
          <w:rFonts w:asciiTheme="majorHAnsi" w:hAnsiTheme="majorHAnsi"/>
          <w:bCs/>
          <w:sz w:val="20"/>
          <w:szCs w:val="20"/>
          <w:lang w:val="es-CO"/>
        </w:rPr>
        <w:t xml:space="preserve">os </w:t>
      </w:r>
      <w:r w:rsidRPr="00E66386">
        <w:rPr>
          <w:rFonts w:asciiTheme="majorHAnsi" w:hAnsiTheme="majorHAnsi"/>
          <w:bCs/>
          <w:sz w:val="20"/>
          <w:szCs w:val="20"/>
          <w:lang w:val="es-CO"/>
        </w:rPr>
        <w:t xml:space="preserve">denunciados </w:t>
      </w:r>
      <w:r w:rsidR="00F37AB2" w:rsidRPr="00E66386">
        <w:rPr>
          <w:rFonts w:asciiTheme="majorHAnsi" w:hAnsiTheme="majorHAnsi"/>
          <w:bCs/>
          <w:sz w:val="20"/>
          <w:szCs w:val="20"/>
          <w:lang w:val="es-CO"/>
        </w:rPr>
        <w:t xml:space="preserve">coinciden en el </w:t>
      </w:r>
      <w:r w:rsidR="00F37AB2" w:rsidRPr="00E66386">
        <w:rPr>
          <w:rFonts w:asciiTheme="majorHAnsi" w:hAnsiTheme="majorHAnsi"/>
          <w:bCs/>
          <w:i/>
          <w:iCs/>
          <w:sz w:val="20"/>
          <w:szCs w:val="20"/>
          <w:lang w:val="es-CO"/>
        </w:rPr>
        <w:t>modus operandi</w:t>
      </w:r>
      <w:r w:rsidR="00F37AB2" w:rsidRPr="00E66386">
        <w:rPr>
          <w:rFonts w:asciiTheme="majorHAnsi" w:hAnsiTheme="majorHAnsi"/>
          <w:bCs/>
          <w:sz w:val="20"/>
          <w:szCs w:val="20"/>
          <w:lang w:val="es-CO"/>
        </w:rPr>
        <w:t xml:space="preserve">, </w:t>
      </w:r>
      <w:r w:rsidR="009C0687" w:rsidRPr="00E66386">
        <w:rPr>
          <w:rFonts w:asciiTheme="majorHAnsi" w:hAnsiTheme="majorHAnsi"/>
          <w:bCs/>
          <w:sz w:val="20"/>
          <w:szCs w:val="20"/>
          <w:lang w:val="es-CO"/>
        </w:rPr>
        <w:t>según el cual, en horas de la noche o la madrugada, elementos del ejército irrumpían en las comunidades</w:t>
      </w:r>
      <w:r w:rsidR="00720D9F" w:rsidRPr="00E66386">
        <w:rPr>
          <w:rFonts w:asciiTheme="majorHAnsi" w:hAnsiTheme="majorHAnsi"/>
          <w:bCs/>
          <w:sz w:val="20"/>
          <w:szCs w:val="20"/>
          <w:lang w:val="es-CO"/>
        </w:rPr>
        <w:t xml:space="preserve">, </w:t>
      </w:r>
      <w:r w:rsidR="00911DAC" w:rsidRPr="00E66386">
        <w:rPr>
          <w:rFonts w:asciiTheme="majorHAnsi" w:hAnsiTheme="majorHAnsi"/>
          <w:bCs/>
          <w:sz w:val="20"/>
          <w:szCs w:val="20"/>
          <w:lang w:val="es-CO"/>
        </w:rPr>
        <w:t xml:space="preserve">a veces </w:t>
      </w:r>
      <w:r w:rsidR="005E4B60" w:rsidRPr="00E66386">
        <w:rPr>
          <w:rFonts w:asciiTheme="majorHAnsi" w:hAnsiTheme="majorHAnsi"/>
          <w:bCs/>
          <w:sz w:val="20"/>
          <w:szCs w:val="20"/>
          <w:lang w:val="es-CO"/>
        </w:rPr>
        <w:t xml:space="preserve">en compañía de </w:t>
      </w:r>
      <w:r w:rsidR="00441F6D" w:rsidRPr="00E66386">
        <w:rPr>
          <w:rFonts w:asciiTheme="majorHAnsi" w:hAnsiTheme="majorHAnsi"/>
          <w:bCs/>
          <w:sz w:val="20"/>
          <w:szCs w:val="20"/>
          <w:lang w:val="es-CO"/>
        </w:rPr>
        <w:t xml:space="preserve">Patrullas de Autodefensa Civil (en adelante “PAC”), </w:t>
      </w:r>
      <w:r w:rsidR="00911DAC" w:rsidRPr="00E66386">
        <w:rPr>
          <w:rFonts w:asciiTheme="majorHAnsi" w:hAnsiTheme="majorHAnsi"/>
          <w:bCs/>
          <w:sz w:val="20"/>
          <w:szCs w:val="20"/>
          <w:lang w:val="es-CO"/>
        </w:rPr>
        <w:t>destruían</w:t>
      </w:r>
      <w:r w:rsidR="005438BF" w:rsidRPr="00E66386">
        <w:rPr>
          <w:rFonts w:asciiTheme="majorHAnsi" w:hAnsiTheme="majorHAnsi"/>
          <w:bCs/>
          <w:sz w:val="20"/>
          <w:szCs w:val="20"/>
          <w:lang w:val="es-CO"/>
        </w:rPr>
        <w:t xml:space="preserve"> y</w:t>
      </w:r>
      <w:r w:rsidR="008259B9" w:rsidRPr="00E66386">
        <w:rPr>
          <w:rFonts w:asciiTheme="majorHAnsi" w:hAnsiTheme="majorHAnsi"/>
          <w:bCs/>
          <w:sz w:val="20"/>
          <w:szCs w:val="20"/>
          <w:lang w:val="es-CO"/>
        </w:rPr>
        <w:t>,</w:t>
      </w:r>
      <w:r w:rsidR="005438BF" w:rsidRPr="00E66386">
        <w:rPr>
          <w:rFonts w:asciiTheme="majorHAnsi" w:hAnsiTheme="majorHAnsi"/>
          <w:bCs/>
          <w:sz w:val="20"/>
          <w:szCs w:val="20"/>
          <w:lang w:val="es-CO"/>
        </w:rPr>
        <w:t xml:space="preserve"> </w:t>
      </w:r>
      <w:r w:rsidR="00441F6D" w:rsidRPr="00E66386">
        <w:rPr>
          <w:rFonts w:asciiTheme="majorHAnsi" w:hAnsiTheme="majorHAnsi"/>
          <w:bCs/>
          <w:sz w:val="20"/>
          <w:szCs w:val="20"/>
          <w:lang w:val="es-CO"/>
        </w:rPr>
        <w:t>en ocasiones</w:t>
      </w:r>
      <w:r w:rsidR="008259B9" w:rsidRPr="00E66386">
        <w:rPr>
          <w:rFonts w:asciiTheme="majorHAnsi" w:hAnsiTheme="majorHAnsi"/>
          <w:bCs/>
          <w:sz w:val="20"/>
          <w:szCs w:val="20"/>
          <w:lang w:val="es-CO"/>
        </w:rPr>
        <w:t>,</w:t>
      </w:r>
      <w:r w:rsidR="00441F6D" w:rsidRPr="00E66386">
        <w:rPr>
          <w:rFonts w:asciiTheme="majorHAnsi" w:hAnsiTheme="majorHAnsi"/>
          <w:bCs/>
          <w:sz w:val="20"/>
          <w:szCs w:val="20"/>
          <w:lang w:val="es-CO"/>
        </w:rPr>
        <w:t xml:space="preserve"> </w:t>
      </w:r>
      <w:r w:rsidR="005438BF" w:rsidRPr="00E66386">
        <w:rPr>
          <w:rFonts w:asciiTheme="majorHAnsi" w:hAnsiTheme="majorHAnsi"/>
          <w:bCs/>
          <w:sz w:val="20"/>
          <w:szCs w:val="20"/>
          <w:lang w:val="es-CO"/>
        </w:rPr>
        <w:t>quemaban</w:t>
      </w:r>
      <w:r w:rsidR="00911DAC" w:rsidRPr="00E66386">
        <w:rPr>
          <w:rFonts w:asciiTheme="majorHAnsi" w:hAnsiTheme="majorHAnsi"/>
          <w:bCs/>
          <w:sz w:val="20"/>
          <w:szCs w:val="20"/>
          <w:lang w:val="es-CO"/>
        </w:rPr>
        <w:t xml:space="preserve"> </w:t>
      </w:r>
      <w:r w:rsidR="0051667E" w:rsidRPr="00E66386">
        <w:rPr>
          <w:rFonts w:asciiTheme="majorHAnsi" w:hAnsiTheme="majorHAnsi"/>
          <w:bCs/>
          <w:sz w:val="20"/>
          <w:szCs w:val="20"/>
          <w:lang w:val="es-CO"/>
        </w:rPr>
        <w:t>las casa</w:t>
      </w:r>
      <w:r w:rsidR="008515D7" w:rsidRPr="00E66386">
        <w:rPr>
          <w:rFonts w:asciiTheme="majorHAnsi" w:hAnsiTheme="majorHAnsi"/>
          <w:bCs/>
          <w:sz w:val="20"/>
          <w:szCs w:val="20"/>
          <w:lang w:val="es-CO"/>
        </w:rPr>
        <w:t>s de la comunidad</w:t>
      </w:r>
      <w:r w:rsidR="005438BF" w:rsidRPr="00E66386">
        <w:rPr>
          <w:rFonts w:asciiTheme="majorHAnsi" w:hAnsiTheme="majorHAnsi"/>
          <w:bCs/>
          <w:sz w:val="20"/>
          <w:szCs w:val="20"/>
          <w:lang w:val="es-CO"/>
        </w:rPr>
        <w:t xml:space="preserve"> con personas adentro</w:t>
      </w:r>
      <w:r w:rsidR="0051667E" w:rsidRPr="00E66386">
        <w:rPr>
          <w:rFonts w:asciiTheme="majorHAnsi" w:hAnsiTheme="majorHAnsi"/>
          <w:bCs/>
          <w:sz w:val="20"/>
          <w:szCs w:val="20"/>
          <w:lang w:val="es-CO"/>
        </w:rPr>
        <w:t xml:space="preserve">, </w:t>
      </w:r>
      <w:r w:rsidR="008515D7" w:rsidRPr="00E66386">
        <w:rPr>
          <w:rFonts w:asciiTheme="majorHAnsi" w:hAnsiTheme="majorHAnsi"/>
          <w:bCs/>
          <w:sz w:val="20"/>
          <w:szCs w:val="20"/>
          <w:lang w:val="es-CO"/>
        </w:rPr>
        <w:t xml:space="preserve">reunían </w:t>
      </w:r>
      <w:r w:rsidR="00C86422" w:rsidRPr="00E66386">
        <w:rPr>
          <w:rFonts w:asciiTheme="majorHAnsi" w:hAnsiTheme="majorHAnsi"/>
          <w:bCs/>
          <w:sz w:val="20"/>
          <w:szCs w:val="20"/>
          <w:lang w:val="es-CO"/>
        </w:rPr>
        <w:t>a los pobladores</w:t>
      </w:r>
      <w:r w:rsidR="00FE561A" w:rsidRPr="00E66386">
        <w:rPr>
          <w:rFonts w:asciiTheme="majorHAnsi" w:hAnsiTheme="majorHAnsi"/>
          <w:bCs/>
          <w:sz w:val="20"/>
          <w:szCs w:val="20"/>
          <w:lang w:val="es-CO"/>
        </w:rPr>
        <w:t xml:space="preserve"> y los ejecutaban. </w:t>
      </w:r>
      <w:r w:rsidR="00B575F8" w:rsidRPr="00E66386">
        <w:rPr>
          <w:rFonts w:asciiTheme="majorHAnsi" w:hAnsiTheme="majorHAnsi"/>
          <w:bCs/>
          <w:sz w:val="20"/>
          <w:szCs w:val="20"/>
          <w:lang w:val="es-CO"/>
        </w:rPr>
        <w:t>Muchos de los episodios denunciados consi</w:t>
      </w:r>
      <w:r w:rsidR="00216B36" w:rsidRPr="00E66386">
        <w:rPr>
          <w:rFonts w:asciiTheme="majorHAnsi" w:hAnsiTheme="majorHAnsi"/>
          <w:bCs/>
          <w:sz w:val="20"/>
          <w:szCs w:val="20"/>
          <w:lang w:val="es-CO"/>
        </w:rPr>
        <w:t>s</w:t>
      </w:r>
      <w:r w:rsidR="00B575F8" w:rsidRPr="00E66386">
        <w:rPr>
          <w:rFonts w:asciiTheme="majorHAnsi" w:hAnsiTheme="majorHAnsi"/>
          <w:bCs/>
          <w:sz w:val="20"/>
          <w:szCs w:val="20"/>
          <w:lang w:val="es-CO"/>
        </w:rPr>
        <w:t>tían en la</w:t>
      </w:r>
      <w:r w:rsidR="00FE561A" w:rsidRPr="00E66386">
        <w:rPr>
          <w:rFonts w:asciiTheme="majorHAnsi" w:hAnsiTheme="majorHAnsi"/>
          <w:bCs/>
          <w:sz w:val="20"/>
          <w:szCs w:val="20"/>
          <w:lang w:val="es-CO"/>
        </w:rPr>
        <w:t xml:space="preserve"> </w:t>
      </w:r>
      <w:r w:rsidR="00A068E2" w:rsidRPr="00E66386">
        <w:rPr>
          <w:rFonts w:asciiTheme="majorHAnsi" w:hAnsiTheme="majorHAnsi"/>
          <w:bCs/>
          <w:sz w:val="20"/>
          <w:szCs w:val="20"/>
          <w:lang w:val="es-CO"/>
        </w:rPr>
        <w:t>selecci</w:t>
      </w:r>
      <w:r w:rsidR="00B575F8" w:rsidRPr="00E66386">
        <w:rPr>
          <w:rFonts w:asciiTheme="majorHAnsi" w:hAnsiTheme="majorHAnsi"/>
          <w:bCs/>
          <w:sz w:val="20"/>
          <w:szCs w:val="20"/>
          <w:lang w:val="es-CO"/>
        </w:rPr>
        <w:t>ón</w:t>
      </w:r>
      <w:r w:rsidR="00A068E2" w:rsidRPr="00E66386">
        <w:rPr>
          <w:rFonts w:asciiTheme="majorHAnsi" w:hAnsiTheme="majorHAnsi"/>
          <w:bCs/>
          <w:sz w:val="20"/>
          <w:szCs w:val="20"/>
          <w:lang w:val="es-CO"/>
        </w:rPr>
        <w:t xml:space="preserve"> </w:t>
      </w:r>
      <w:r w:rsidR="00B575F8" w:rsidRPr="00E66386">
        <w:rPr>
          <w:rFonts w:asciiTheme="majorHAnsi" w:hAnsiTheme="majorHAnsi"/>
          <w:bCs/>
          <w:sz w:val="20"/>
          <w:szCs w:val="20"/>
          <w:lang w:val="es-CO"/>
        </w:rPr>
        <w:t>de</w:t>
      </w:r>
      <w:r w:rsidR="00A068E2" w:rsidRPr="00E66386">
        <w:rPr>
          <w:rFonts w:asciiTheme="majorHAnsi" w:hAnsiTheme="majorHAnsi"/>
          <w:bCs/>
          <w:sz w:val="20"/>
          <w:szCs w:val="20"/>
          <w:lang w:val="es-CO"/>
        </w:rPr>
        <w:t xml:space="preserve"> determinad</w:t>
      </w:r>
      <w:r w:rsidR="008F6138" w:rsidRPr="00E66386">
        <w:rPr>
          <w:rFonts w:asciiTheme="majorHAnsi" w:hAnsiTheme="majorHAnsi"/>
          <w:bCs/>
          <w:sz w:val="20"/>
          <w:szCs w:val="20"/>
          <w:lang w:val="es-CO"/>
        </w:rPr>
        <w:t>a</w:t>
      </w:r>
      <w:r w:rsidR="00A068E2" w:rsidRPr="00E66386">
        <w:rPr>
          <w:rFonts w:asciiTheme="majorHAnsi" w:hAnsiTheme="majorHAnsi"/>
          <w:bCs/>
          <w:sz w:val="20"/>
          <w:szCs w:val="20"/>
          <w:lang w:val="es-CO"/>
        </w:rPr>
        <w:t xml:space="preserve">s </w:t>
      </w:r>
      <w:r w:rsidR="008F6138" w:rsidRPr="00E66386">
        <w:rPr>
          <w:rFonts w:asciiTheme="majorHAnsi" w:hAnsiTheme="majorHAnsi"/>
          <w:bCs/>
          <w:sz w:val="20"/>
          <w:szCs w:val="20"/>
          <w:lang w:val="es-CO"/>
        </w:rPr>
        <w:t xml:space="preserve">personas </w:t>
      </w:r>
      <w:r w:rsidR="00B575F8" w:rsidRPr="00E66386">
        <w:rPr>
          <w:rFonts w:asciiTheme="majorHAnsi" w:hAnsiTheme="majorHAnsi"/>
          <w:bCs/>
          <w:sz w:val="20"/>
          <w:szCs w:val="20"/>
          <w:lang w:val="es-CO"/>
        </w:rPr>
        <w:t xml:space="preserve">de las aldeas </w:t>
      </w:r>
      <w:r w:rsidR="00A068E2" w:rsidRPr="00E66386">
        <w:rPr>
          <w:rFonts w:asciiTheme="majorHAnsi" w:hAnsiTheme="majorHAnsi"/>
          <w:bCs/>
          <w:sz w:val="20"/>
          <w:szCs w:val="20"/>
          <w:lang w:val="es-CO"/>
        </w:rPr>
        <w:t xml:space="preserve">para </w:t>
      </w:r>
      <w:r w:rsidR="00B575F8" w:rsidRPr="00E66386">
        <w:rPr>
          <w:rFonts w:asciiTheme="majorHAnsi" w:hAnsiTheme="majorHAnsi"/>
          <w:bCs/>
          <w:sz w:val="20"/>
          <w:szCs w:val="20"/>
          <w:lang w:val="es-CO"/>
        </w:rPr>
        <w:t xml:space="preserve">su </w:t>
      </w:r>
      <w:r w:rsidR="00A068E2" w:rsidRPr="00E66386">
        <w:rPr>
          <w:rFonts w:asciiTheme="majorHAnsi" w:hAnsiTheme="majorHAnsi"/>
          <w:bCs/>
          <w:sz w:val="20"/>
          <w:szCs w:val="20"/>
          <w:lang w:val="es-CO"/>
        </w:rPr>
        <w:t>ejecu</w:t>
      </w:r>
      <w:r w:rsidR="00B3589A" w:rsidRPr="00E66386">
        <w:rPr>
          <w:rFonts w:asciiTheme="majorHAnsi" w:hAnsiTheme="majorHAnsi"/>
          <w:bCs/>
          <w:sz w:val="20"/>
          <w:szCs w:val="20"/>
          <w:lang w:val="es-CO"/>
        </w:rPr>
        <w:t>ción</w:t>
      </w:r>
      <w:r w:rsidR="005D59B3" w:rsidRPr="00E66386">
        <w:rPr>
          <w:rFonts w:asciiTheme="majorHAnsi" w:hAnsiTheme="majorHAnsi"/>
          <w:bCs/>
          <w:sz w:val="20"/>
          <w:szCs w:val="20"/>
          <w:lang w:val="es-CO"/>
        </w:rPr>
        <w:t>.</w:t>
      </w:r>
      <w:r w:rsidR="00A068E2" w:rsidRPr="00E66386">
        <w:rPr>
          <w:rFonts w:asciiTheme="majorHAnsi" w:hAnsiTheme="majorHAnsi"/>
          <w:bCs/>
          <w:sz w:val="20"/>
          <w:szCs w:val="20"/>
          <w:lang w:val="es-CO"/>
        </w:rPr>
        <w:t xml:space="preserve"> </w:t>
      </w:r>
      <w:r w:rsidR="00B25B3A" w:rsidRPr="00E66386">
        <w:rPr>
          <w:rFonts w:asciiTheme="majorHAnsi" w:hAnsiTheme="majorHAnsi"/>
          <w:bCs/>
          <w:sz w:val="20"/>
          <w:szCs w:val="20"/>
          <w:lang w:val="es-CO"/>
        </w:rPr>
        <w:t>Señalan que, e</w:t>
      </w:r>
      <w:r w:rsidR="00A068E2" w:rsidRPr="00E66386">
        <w:rPr>
          <w:rFonts w:asciiTheme="majorHAnsi" w:hAnsiTheme="majorHAnsi"/>
          <w:bCs/>
          <w:sz w:val="20"/>
          <w:szCs w:val="20"/>
          <w:lang w:val="es-CO"/>
        </w:rPr>
        <w:t xml:space="preserve">n </w:t>
      </w:r>
      <w:r w:rsidR="00592992" w:rsidRPr="00E66386">
        <w:rPr>
          <w:rFonts w:asciiTheme="majorHAnsi" w:hAnsiTheme="majorHAnsi"/>
          <w:bCs/>
          <w:sz w:val="20"/>
          <w:szCs w:val="20"/>
          <w:lang w:val="es-CO"/>
        </w:rPr>
        <w:t xml:space="preserve">algunas </w:t>
      </w:r>
      <w:r w:rsidR="00B25B3A" w:rsidRPr="00E66386">
        <w:rPr>
          <w:rFonts w:asciiTheme="majorHAnsi" w:hAnsiTheme="majorHAnsi"/>
          <w:bCs/>
          <w:sz w:val="20"/>
          <w:szCs w:val="20"/>
          <w:lang w:val="es-CO"/>
        </w:rPr>
        <w:t>ocasiones,</w:t>
      </w:r>
      <w:r w:rsidR="005D59B3" w:rsidRPr="00E66386">
        <w:rPr>
          <w:rFonts w:asciiTheme="majorHAnsi" w:hAnsiTheme="majorHAnsi"/>
          <w:bCs/>
          <w:sz w:val="20"/>
          <w:szCs w:val="20"/>
          <w:lang w:val="es-CO"/>
        </w:rPr>
        <w:t xml:space="preserve"> </w:t>
      </w:r>
      <w:r w:rsidR="00FE561A" w:rsidRPr="00E66386">
        <w:rPr>
          <w:rFonts w:asciiTheme="majorHAnsi" w:hAnsiTheme="majorHAnsi"/>
          <w:bCs/>
          <w:sz w:val="20"/>
          <w:szCs w:val="20"/>
          <w:lang w:val="es-CO"/>
        </w:rPr>
        <w:t>agrupaban a los hombres para ejecutarlos por grupos de distintas maneras</w:t>
      </w:r>
      <w:r w:rsidR="00592992" w:rsidRPr="00E66386">
        <w:rPr>
          <w:rFonts w:asciiTheme="majorHAnsi" w:hAnsiTheme="majorHAnsi"/>
          <w:bCs/>
          <w:sz w:val="20"/>
          <w:szCs w:val="20"/>
          <w:lang w:val="es-CO"/>
        </w:rPr>
        <w:t xml:space="preserve"> y</w:t>
      </w:r>
      <w:r w:rsidR="00FE561A" w:rsidRPr="00E66386">
        <w:rPr>
          <w:rFonts w:asciiTheme="majorHAnsi" w:hAnsiTheme="majorHAnsi"/>
          <w:bCs/>
          <w:sz w:val="20"/>
          <w:szCs w:val="20"/>
          <w:lang w:val="es-CO"/>
        </w:rPr>
        <w:t xml:space="preserve"> </w:t>
      </w:r>
      <w:r w:rsidR="009F125D" w:rsidRPr="00E66386">
        <w:rPr>
          <w:rFonts w:asciiTheme="majorHAnsi" w:hAnsiTheme="majorHAnsi"/>
          <w:bCs/>
          <w:sz w:val="20"/>
          <w:szCs w:val="20"/>
          <w:lang w:val="es-CO"/>
        </w:rPr>
        <w:t xml:space="preserve">separaban a las mujeres </w:t>
      </w:r>
      <w:r w:rsidR="00A82D99" w:rsidRPr="00E66386">
        <w:rPr>
          <w:rFonts w:asciiTheme="majorHAnsi" w:hAnsiTheme="majorHAnsi"/>
          <w:bCs/>
          <w:sz w:val="20"/>
          <w:szCs w:val="20"/>
          <w:lang w:val="es-CO"/>
        </w:rPr>
        <w:t xml:space="preserve">para </w:t>
      </w:r>
      <w:r w:rsidR="009F125D" w:rsidRPr="00E66386">
        <w:rPr>
          <w:rFonts w:asciiTheme="majorHAnsi" w:hAnsiTheme="majorHAnsi"/>
          <w:bCs/>
          <w:sz w:val="20"/>
          <w:szCs w:val="20"/>
          <w:lang w:val="es-CO"/>
        </w:rPr>
        <w:t>vio</w:t>
      </w:r>
      <w:r w:rsidR="00A82D99" w:rsidRPr="00E66386">
        <w:rPr>
          <w:rFonts w:asciiTheme="majorHAnsi" w:hAnsiTheme="majorHAnsi"/>
          <w:bCs/>
          <w:sz w:val="20"/>
          <w:szCs w:val="20"/>
          <w:lang w:val="es-CO"/>
        </w:rPr>
        <w:t>larlas</w:t>
      </w:r>
      <w:r w:rsidR="009F125D" w:rsidRPr="00E66386">
        <w:rPr>
          <w:rFonts w:asciiTheme="majorHAnsi" w:hAnsiTheme="majorHAnsi"/>
          <w:bCs/>
          <w:sz w:val="20"/>
          <w:szCs w:val="20"/>
          <w:lang w:val="es-CO"/>
        </w:rPr>
        <w:t>.</w:t>
      </w:r>
      <w:r w:rsidR="00534B7A" w:rsidRPr="00E66386">
        <w:rPr>
          <w:rFonts w:asciiTheme="majorHAnsi" w:hAnsiTheme="majorHAnsi"/>
          <w:bCs/>
          <w:sz w:val="20"/>
          <w:szCs w:val="20"/>
          <w:lang w:val="es-CO"/>
        </w:rPr>
        <w:t xml:space="preserve"> </w:t>
      </w:r>
      <w:r w:rsidR="007C0312" w:rsidRPr="00E66386">
        <w:rPr>
          <w:rFonts w:asciiTheme="majorHAnsi" w:hAnsiTheme="majorHAnsi"/>
          <w:bCs/>
          <w:sz w:val="20"/>
          <w:szCs w:val="20"/>
          <w:lang w:val="es-CO"/>
        </w:rPr>
        <w:t>En otras</w:t>
      </w:r>
      <w:r w:rsidR="0048013A" w:rsidRPr="00E66386">
        <w:rPr>
          <w:rFonts w:asciiTheme="majorHAnsi" w:hAnsiTheme="majorHAnsi"/>
          <w:bCs/>
          <w:sz w:val="20"/>
          <w:szCs w:val="20"/>
          <w:lang w:val="es-CO"/>
        </w:rPr>
        <w:t>,</w:t>
      </w:r>
      <w:r w:rsidR="007C0312" w:rsidRPr="00E66386">
        <w:rPr>
          <w:rFonts w:asciiTheme="majorHAnsi" w:hAnsiTheme="majorHAnsi"/>
          <w:bCs/>
          <w:sz w:val="20"/>
          <w:szCs w:val="20"/>
          <w:lang w:val="es-CO"/>
        </w:rPr>
        <w:t xml:space="preserve"> utilizaban </w:t>
      </w:r>
      <w:r w:rsidR="002D1554" w:rsidRPr="00E66386">
        <w:rPr>
          <w:rFonts w:asciiTheme="majorHAnsi" w:hAnsiTheme="majorHAnsi"/>
          <w:bCs/>
          <w:sz w:val="20"/>
          <w:szCs w:val="20"/>
          <w:lang w:val="es-CO"/>
        </w:rPr>
        <w:t xml:space="preserve">artefactos explosivos </w:t>
      </w:r>
      <w:r w:rsidR="006B2702" w:rsidRPr="00E66386">
        <w:rPr>
          <w:rFonts w:asciiTheme="majorHAnsi" w:hAnsiTheme="majorHAnsi"/>
          <w:bCs/>
          <w:sz w:val="20"/>
          <w:szCs w:val="20"/>
          <w:lang w:val="es-CO"/>
        </w:rPr>
        <w:t>que detonaban al interior d</w:t>
      </w:r>
      <w:r w:rsidR="002D1554" w:rsidRPr="00E66386">
        <w:rPr>
          <w:rFonts w:asciiTheme="majorHAnsi" w:hAnsiTheme="majorHAnsi"/>
          <w:bCs/>
          <w:sz w:val="20"/>
          <w:szCs w:val="20"/>
          <w:lang w:val="es-CO"/>
        </w:rPr>
        <w:t>e las aldeas</w:t>
      </w:r>
      <w:r w:rsidR="00216B36" w:rsidRPr="00E66386">
        <w:rPr>
          <w:rFonts w:asciiTheme="majorHAnsi" w:hAnsiTheme="majorHAnsi"/>
          <w:bCs/>
          <w:sz w:val="20"/>
          <w:szCs w:val="20"/>
          <w:lang w:val="es-CO"/>
        </w:rPr>
        <w:t xml:space="preserve"> o incluso mediante bombardeos y disparos en helicópteros</w:t>
      </w:r>
      <w:r w:rsidR="002D1554" w:rsidRPr="00E66386">
        <w:rPr>
          <w:rFonts w:asciiTheme="majorHAnsi" w:hAnsiTheme="majorHAnsi"/>
          <w:bCs/>
          <w:sz w:val="20"/>
          <w:szCs w:val="20"/>
          <w:lang w:val="es-CO"/>
        </w:rPr>
        <w:t xml:space="preserve">. </w:t>
      </w:r>
      <w:r w:rsidR="00A3402D" w:rsidRPr="00E66386">
        <w:rPr>
          <w:rFonts w:asciiTheme="majorHAnsi" w:hAnsiTheme="majorHAnsi"/>
          <w:bCs/>
          <w:sz w:val="20"/>
          <w:szCs w:val="20"/>
          <w:lang w:val="es-CO"/>
        </w:rPr>
        <w:t>L</w:t>
      </w:r>
      <w:r w:rsidR="009578B8" w:rsidRPr="00E66386">
        <w:rPr>
          <w:rFonts w:asciiTheme="majorHAnsi" w:hAnsiTheme="majorHAnsi"/>
          <w:bCs/>
          <w:sz w:val="20"/>
          <w:szCs w:val="20"/>
          <w:lang w:val="es-CO"/>
        </w:rPr>
        <w:t>os</w:t>
      </w:r>
      <w:r w:rsidR="006B79E0" w:rsidRPr="00E66386">
        <w:rPr>
          <w:rFonts w:asciiTheme="majorHAnsi" w:hAnsiTheme="majorHAnsi"/>
          <w:bCs/>
          <w:sz w:val="20"/>
          <w:szCs w:val="20"/>
          <w:lang w:val="es-CO"/>
        </w:rPr>
        <w:t xml:space="preserve"> </w:t>
      </w:r>
      <w:r w:rsidR="00650147" w:rsidRPr="00E66386">
        <w:rPr>
          <w:rFonts w:asciiTheme="majorHAnsi" w:hAnsiTheme="majorHAnsi"/>
          <w:bCs/>
          <w:sz w:val="20"/>
          <w:szCs w:val="20"/>
          <w:lang w:val="es-CO"/>
        </w:rPr>
        <w:t xml:space="preserve">bebés y los </w:t>
      </w:r>
      <w:r w:rsidR="006B79E0" w:rsidRPr="00E66386">
        <w:rPr>
          <w:rFonts w:asciiTheme="majorHAnsi" w:hAnsiTheme="majorHAnsi"/>
          <w:bCs/>
          <w:sz w:val="20"/>
          <w:szCs w:val="20"/>
          <w:lang w:val="es-CO"/>
        </w:rPr>
        <w:t xml:space="preserve">niños </w:t>
      </w:r>
      <w:r w:rsidR="000E3520" w:rsidRPr="00E66386">
        <w:rPr>
          <w:rFonts w:asciiTheme="majorHAnsi" w:hAnsiTheme="majorHAnsi"/>
          <w:bCs/>
          <w:sz w:val="20"/>
          <w:szCs w:val="20"/>
          <w:lang w:val="es-CO"/>
        </w:rPr>
        <w:t>más pequeños</w:t>
      </w:r>
      <w:r w:rsidR="006B79E0" w:rsidRPr="00E66386">
        <w:rPr>
          <w:rFonts w:asciiTheme="majorHAnsi" w:hAnsiTheme="majorHAnsi"/>
          <w:bCs/>
          <w:sz w:val="20"/>
          <w:szCs w:val="20"/>
          <w:lang w:val="es-CO"/>
        </w:rPr>
        <w:t xml:space="preserve"> eran </w:t>
      </w:r>
      <w:r w:rsidR="000D4E9C" w:rsidRPr="00E66386">
        <w:rPr>
          <w:rFonts w:asciiTheme="majorHAnsi" w:hAnsiTheme="majorHAnsi"/>
          <w:bCs/>
          <w:sz w:val="20"/>
          <w:szCs w:val="20"/>
          <w:lang w:val="es-CO"/>
        </w:rPr>
        <w:t>asesina</w:t>
      </w:r>
      <w:r w:rsidR="006B79E0" w:rsidRPr="00E66386">
        <w:rPr>
          <w:rFonts w:asciiTheme="majorHAnsi" w:hAnsiTheme="majorHAnsi"/>
          <w:bCs/>
          <w:sz w:val="20"/>
          <w:szCs w:val="20"/>
          <w:lang w:val="es-CO"/>
        </w:rPr>
        <w:t>dos mediante golpe</w:t>
      </w:r>
      <w:r w:rsidR="00650147" w:rsidRPr="00E66386">
        <w:rPr>
          <w:rFonts w:asciiTheme="majorHAnsi" w:hAnsiTheme="majorHAnsi"/>
          <w:bCs/>
          <w:sz w:val="20"/>
          <w:szCs w:val="20"/>
          <w:lang w:val="es-CO"/>
        </w:rPr>
        <w:t>s</w:t>
      </w:r>
      <w:r w:rsidR="00CE5A75" w:rsidRPr="00E66386">
        <w:rPr>
          <w:rFonts w:asciiTheme="majorHAnsi" w:hAnsiTheme="majorHAnsi"/>
          <w:bCs/>
          <w:sz w:val="20"/>
          <w:szCs w:val="20"/>
          <w:lang w:val="es-CO"/>
        </w:rPr>
        <w:t xml:space="preserve"> contra árboles</w:t>
      </w:r>
      <w:r w:rsidR="000F2142" w:rsidRPr="00E66386">
        <w:rPr>
          <w:rFonts w:asciiTheme="majorHAnsi" w:hAnsiTheme="majorHAnsi"/>
          <w:bCs/>
          <w:sz w:val="20"/>
          <w:szCs w:val="20"/>
          <w:lang w:val="es-CO"/>
        </w:rPr>
        <w:t xml:space="preserve"> o ahorcamiento</w:t>
      </w:r>
      <w:r w:rsidR="006B79E0" w:rsidRPr="00E66386">
        <w:rPr>
          <w:rFonts w:asciiTheme="majorHAnsi" w:hAnsiTheme="majorHAnsi"/>
          <w:bCs/>
          <w:sz w:val="20"/>
          <w:szCs w:val="20"/>
          <w:lang w:val="es-CO"/>
        </w:rPr>
        <w:t xml:space="preserve">, </w:t>
      </w:r>
      <w:r w:rsidR="006925D6" w:rsidRPr="00E66386">
        <w:rPr>
          <w:rFonts w:asciiTheme="majorHAnsi" w:hAnsiTheme="majorHAnsi"/>
          <w:bCs/>
          <w:sz w:val="20"/>
          <w:szCs w:val="20"/>
          <w:lang w:val="es-CO"/>
        </w:rPr>
        <w:t xml:space="preserve">y muchos fueron </w:t>
      </w:r>
      <w:r w:rsidR="00D73703" w:rsidRPr="00E66386">
        <w:rPr>
          <w:rFonts w:asciiTheme="majorHAnsi" w:hAnsiTheme="majorHAnsi"/>
          <w:bCs/>
          <w:sz w:val="20"/>
          <w:szCs w:val="20"/>
          <w:lang w:val="es-CO"/>
        </w:rPr>
        <w:t xml:space="preserve">separados </w:t>
      </w:r>
      <w:r w:rsidR="006925D6" w:rsidRPr="00E66386">
        <w:rPr>
          <w:rFonts w:asciiTheme="majorHAnsi" w:hAnsiTheme="majorHAnsi"/>
          <w:bCs/>
          <w:sz w:val="20"/>
          <w:szCs w:val="20"/>
          <w:lang w:val="es-CO"/>
        </w:rPr>
        <w:t>ilegalmente</w:t>
      </w:r>
      <w:r w:rsidR="00D73703" w:rsidRPr="00E66386">
        <w:rPr>
          <w:rFonts w:asciiTheme="majorHAnsi" w:hAnsiTheme="majorHAnsi"/>
          <w:bCs/>
          <w:sz w:val="20"/>
          <w:szCs w:val="20"/>
          <w:lang w:val="es-CO"/>
        </w:rPr>
        <w:t xml:space="preserve"> de sus familias</w:t>
      </w:r>
      <w:r w:rsidR="006925D6" w:rsidRPr="00E66386">
        <w:rPr>
          <w:rFonts w:asciiTheme="majorHAnsi" w:hAnsiTheme="majorHAnsi"/>
          <w:bCs/>
          <w:sz w:val="20"/>
          <w:szCs w:val="20"/>
          <w:lang w:val="es-CO"/>
        </w:rPr>
        <w:t xml:space="preserve">. </w:t>
      </w:r>
      <w:r w:rsidR="00CE2498" w:rsidRPr="00E66386">
        <w:rPr>
          <w:rFonts w:asciiTheme="majorHAnsi" w:hAnsiTheme="majorHAnsi"/>
          <w:bCs/>
          <w:sz w:val="20"/>
          <w:szCs w:val="20"/>
          <w:lang w:val="es-CO"/>
        </w:rPr>
        <w:t xml:space="preserve">También </w:t>
      </w:r>
      <w:r w:rsidR="00534B7A" w:rsidRPr="00E66386">
        <w:rPr>
          <w:rFonts w:asciiTheme="majorHAnsi" w:hAnsiTheme="majorHAnsi"/>
          <w:bCs/>
          <w:sz w:val="20"/>
          <w:szCs w:val="20"/>
          <w:lang w:val="es-CO"/>
        </w:rPr>
        <w:t>arrasaba</w:t>
      </w:r>
      <w:r w:rsidR="00CE2498" w:rsidRPr="00E66386">
        <w:rPr>
          <w:rFonts w:asciiTheme="majorHAnsi" w:hAnsiTheme="majorHAnsi"/>
          <w:bCs/>
          <w:sz w:val="20"/>
          <w:szCs w:val="20"/>
          <w:lang w:val="es-CO"/>
        </w:rPr>
        <w:t>n</w:t>
      </w:r>
      <w:r w:rsidR="00534B7A" w:rsidRPr="00E66386">
        <w:rPr>
          <w:rFonts w:asciiTheme="majorHAnsi" w:hAnsiTheme="majorHAnsi"/>
          <w:bCs/>
          <w:sz w:val="20"/>
          <w:szCs w:val="20"/>
          <w:lang w:val="es-CO"/>
        </w:rPr>
        <w:t xml:space="preserve"> las cosechas y robaba</w:t>
      </w:r>
      <w:r w:rsidR="00CE2498" w:rsidRPr="00E66386">
        <w:rPr>
          <w:rFonts w:asciiTheme="majorHAnsi" w:hAnsiTheme="majorHAnsi"/>
          <w:bCs/>
          <w:sz w:val="20"/>
          <w:szCs w:val="20"/>
          <w:lang w:val="es-CO"/>
        </w:rPr>
        <w:t>n o mataban a</w:t>
      </w:r>
      <w:r w:rsidR="00534B7A" w:rsidRPr="00E66386">
        <w:rPr>
          <w:rFonts w:asciiTheme="majorHAnsi" w:hAnsiTheme="majorHAnsi"/>
          <w:bCs/>
          <w:sz w:val="20"/>
          <w:szCs w:val="20"/>
          <w:lang w:val="es-CO"/>
        </w:rPr>
        <w:t xml:space="preserve"> los animales de l</w:t>
      </w:r>
      <w:r w:rsidR="00C95FB0" w:rsidRPr="00E66386">
        <w:rPr>
          <w:rFonts w:asciiTheme="majorHAnsi" w:hAnsiTheme="majorHAnsi"/>
          <w:bCs/>
          <w:sz w:val="20"/>
          <w:szCs w:val="20"/>
          <w:lang w:val="es-CO"/>
        </w:rPr>
        <w:t>os pobladores</w:t>
      </w:r>
      <w:r w:rsidR="00534B7A" w:rsidRPr="00E66386">
        <w:rPr>
          <w:rFonts w:asciiTheme="majorHAnsi" w:hAnsiTheme="majorHAnsi"/>
          <w:bCs/>
          <w:sz w:val="20"/>
          <w:szCs w:val="20"/>
          <w:lang w:val="es-CO"/>
        </w:rPr>
        <w:t>.</w:t>
      </w:r>
      <w:r w:rsidR="000618C3" w:rsidRPr="00E66386">
        <w:rPr>
          <w:rFonts w:asciiTheme="majorHAnsi" w:hAnsiTheme="majorHAnsi"/>
          <w:bCs/>
          <w:sz w:val="20"/>
          <w:szCs w:val="20"/>
          <w:lang w:val="es-CO"/>
        </w:rPr>
        <w:t xml:space="preserve"> </w:t>
      </w:r>
      <w:r w:rsidR="00DA313B" w:rsidRPr="00E66386">
        <w:rPr>
          <w:rFonts w:asciiTheme="majorHAnsi" w:hAnsiTheme="majorHAnsi"/>
          <w:bCs/>
          <w:sz w:val="20"/>
          <w:szCs w:val="20"/>
          <w:lang w:val="es-CO"/>
        </w:rPr>
        <w:t xml:space="preserve">Los </w:t>
      </w:r>
      <w:r w:rsidR="000618C3" w:rsidRPr="00E66386">
        <w:rPr>
          <w:rFonts w:asciiTheme="majorHAnsi" w:hAnsiTheme="majorHAnsi"/>
          <w:bCs/>
          <w:sz w:val="20"/>
          <w:szCs w:val="20"/>
          <w:lang w:val="es-CO"/>
        </w:rPr>
        <w:t xml:space="preserve">sobrevivientes </w:t>
      </w:r>
      <w:r w:rsidR="009E3D2D" w:rsidRPr="00E66386">
        <w:rPr>
          <w:rFonts w:asciiTheme="majorHAnsi" w:hAnsiTheme="majorHAnsi"/>
          <w:bCs/>
          <w:sz w:val="20"/>
          <w:szCs w:val="20"/>
          <w:lang w:val="es-CO"/>
        </w:rPr>
        <w:t>se veían obligados a hui</w:t>
      </w:r>
      <w:r w:rsidR="00DB587C" w:rsidRPr="00E66386">
        <w:rPr>
          <w:rFonts w:asciiTheme="majorHAnsi" w:hAnsiTheme="majorHAnsi"/>
          <w:bCs/>
          <w:sz w:val="20"/>
          <w:szCs w:val="20"/>
          <w:lang w:val="es-CO"/>
        </w:rPr>
        <w:t>r</w:t>
      </w:r>
      <w:r w:rsidR="009E3D2D" w:rsidRPr="00E66386">
        <w:rPr>
          <w:rFonts w:asciiTheme="majorHAnsi" w:hAnsiTheme="majorHAnsi"/>
          <w:bCs/>
          <w:sz w:val="20"/>
          <w:szCs w:val="20"/>
          <w:lang w:val="es-CO"/>
        </w:rPr>
        <w:t xml:space="preserve"> hacia las montañas, a veces </w:t>
      </w:r>
      <w:r w:rsidR="000618C3" w:rsidRPr="00E66386">
        <w:rPr>
          <w:rFonts w:asciiTheme="majorHAnsi" w:hAnsiTheme="majorHAnsi"/>
          <w:bCs/>
          <w:sz w:val="20"/>
          <w:szCs w:val="20"/>
          <w:lang w:val="es-CO"/>
        </w:rPr>
        <w:t>era</w:t>
      </w:r>
      <w:r w:rsidR="006B79E0" w:rsidRPr="00E66386">
        <w:rPr>
          <w:rFonts w:asciiTheme="majorHAnsi" w:hAnsiTheme="majorHAnsi"/>
          <w:bCs/>
          <w:sz w:val="20"/>
          <w:szCs w:val="20"/>
          <w:lang w:val="es-CO"/>
        </w:rPr>
        <w:t>n</w:t>
      </w:r>
      <w:r w:rsidR="000618C3" w:rsidRPr="00E66386">
        <w:rPr>
          <w:rFonts w:asciiTheme="majorHAnsi" w:hAnsiTheme="majorHAnsi"/>
          <w:bCs/>
          <w:sz w:val="20"/>
          <w:szCs w:val="20"/>
          <w:lang w:val="es-CO"/>
        </w:rPr>
        <w:t xml:space="preserve"> perseguidos por militares </w:t>
      </w:r>
      <w:r w:rsidR="00DA313B" w:rsidRPr="00E66386">
        <w:rPr>
          <w:rFonts w:asciiTheme="majorHAnsi" w:hAnsiTheme="majorHAnsi"/>
          <w:bCs/>
          <w:sz w:val="20"/>
          <w:szCs w:val="20"/>
          <w:lang w:val="es-CO"/>
        </w:rPr>
        <w:t>para ejecutarlos</w:t>
      </w:r>
      <w:r w:rsidR="000618C3" w:rsidRPr="00E66386">
        <w:rPr>
          <w:rFonts w:asciiTheme="majorHAnsi" w:hAnsiTheme="majorHAnsi"/>
          <w:bCs/>
          <w:sz w:val="20"/>
          <w:szCs w:val="20"/>
          <w:lang w:val="es-CO"/>
        </w:rPr>
        <w:t xml:space="preserve">, </w:t>
      </w:r>
      <w:r w:rsidR="0038039F" w:rsidRPr="00E66386">
        <w:rPr>
          <w:rFonts w:asciiTheme="majorHAnsi" w:hAnsiTheme="majorHAnsi"/>
          <w:bCs/>
          <w:sz w:val="20"/>
          <w:szCs w:val="20"/>
          <w:lang w:val="es-CO"/>
        </w:rPr>
        <w:t xml:space="preserve">y </w:t>
      </w:r>
      <w:r w:rsidR="00D9722F" w:rsidRPr="00E66386">
        <w:rPr>
          <w:rFonts w:asciiTheme="majorHAnsi" w:hAnsiTheme="majorHAnsi"/>
          <w:bCs/>
          <w:sz w:val="20"/>
          <w:szCs w:val="20"/>
          <w:lang w:val="es-CO"/>
        </w:rPr>
        <w:t>quedaba</w:t>
      </w:r>
      <w:r w:rsidR="009E3D2D" w:rsidRPr="00E66386">
        <w:rPr>
          <w:rFonts w:asciiTheme="majorHAnsi" w:hAnsiTheme="majorHAnsi"/>
          <w:bCs/>
          <w:sz w:val="20"/>
          <w:szCs w:val="20"/>
          <w:lang w:val="es-CO"/>
        </w:rPr>
        <w:t>n</w:t>
      </w:r>
      <w:r w:rsidR="00D9722F" w:rsidRPr="00E66386">
        <w:rPr>
          <w:rFonts w:asciiTheme="majorHAnsi" w:hAnsiTheme="majorHAnsi"/>
          <w:bCs/>
          <w:sz w:val="20"/>
          <w:szCs w:val="20"/>
          <w:lang w:val="es-CO"/>
        </w:rPr>
        <w:t xml:space="preserve"> a la intemperie en </w:t>
      </w:r>
      <w:r w:rsidR="008B3A0E" w:rsidRPr="00E66386">
        <w:rPr>
          <w:rFonts w:asciiTheme="majorHAnsi" w:hAnsiTheme="majorHAnsi"/>
          <w:bCs/>
          <w:sz w:val="20"/>
          <w:szCs w:val="20"/>
          <w:lang w:val="es-CO"/>
        </w:rPr>
        <w:t xml:space="preserve">deplorables </w:t>
      </w:r>
      <w:r w:rsidR="00D9722F" w:rsidRPr="00E66386">
        <w:rPr>
          <w:rFonts w:asciiTheme="majorHAnsi" w:hAnsiTheme="majorHAnsi"/>
          <w:bCs/>
          <w:sz w:val="20"/>
          <w:szCs w:val="20"/>
          <w:lang w:val="es-CO"/>
        </w:rPr>
        <w:t xml:space="preserve">condiciones </w:t>
      </w:r>
      <w:r w:rsidR="008B3A0E" w:rsidRPr="00E66386">
        <w:rPr>
          <w:rFonts w:asciiTheme="majorHAnsi" w:hAnsiTheme="majorHAnsi"/>
          <w:bCs/>
          <w:sz w:val="20"/>
          <w:szCs w:val="20"/>
          <w:lang w:val="es-CO"/>
        </w:rPr>
        <w:t xml:space="preserve">de </w:t>
      </w:r>
      <w:r w:rsidR="00D9722F" w:rsidRPr="00E66386">
        <w:rPr>
          <w:rFonts w:asciiTheme="majorHAnsi" w:hAnsiTheme="majorHAnsi"/>
          <w:bCs/>
          <w:sz w:val="20"/>
          <w:szCs w:val="20"/>
          <w:lang w:val="es-CO"/>
        </w:rPr>
        <w:t>subsist</w:t>
      </w:r>
      <w:r w:rsidR="008B3A0E" w:rsidRPr="00E66386">
        <w:rPr>
          <w:rFonts w:asciiTheme="majorHAnsi" w:hAnsiTheme="majorHAnsi"/>
          <w:bCs/>
          <w:sz w:val="20"/>
          <w:szCs w:val="20"/>
          <w:lang w:val="es-CO"/>
        </w:rPr>
        <w:t>encia</w:t>
      </w:r>
      <w:r w:rsidR="00D9722F" w:rsidRPr="00E66386">
        <w:rPr>
          <w:rFonts w:asciiTheme="majorHAnsi" w:hAnsiTheme="majorHAnsi"/>
          <w:bCs/>
          <w:sz w:val="20"/>
          <w:szCs w:val="20"/>
          <w:lang w:val="es-CO"/>
        </w:rPr>
        <w:t>.</w:t>
      </w:r>
      <w:r w:rsidR="008B3A0E" w:rsidRPr="00E66386">
        <w:rPr>
          <w:rFonts w:asciiTheme="majorHAnsi" w:hAnsiTheme="majorHAnsi"/>
          <w:bCs/>
          <w:sz w:val="20"/>
          <w:szCs w:val="20"/>
          <w:lang w:val="es-CO"/>
        </w:rPr>
        <w:t xml:space="preserve"> </w:t>
      </w:r>
      <w:r w:rsidR="009E3D2D" w:rsidRPr="00E66386">
        <w:rPr>
          <w:rFonts w:asciiTheme="majorHAnsi" w:hAnsiTheme="majorHAnsi"/>
          <w:bCs/>
          <w:sz w:val="20"/>
          <w:szCs w:val="20"/>
          <w:lang w:val="es-CO"/>
        </w:rPr>
        <w:t xml:space="preserve">Muchos </w:t>
      </w:r>
      <w:r w:rsidR="00830C95" w:rsidRPr="00E66386">
        <w:rPr>
          <w:rFonts w:asciiTheme="majorHAnsi" w:hAnsiTheme="majorHAnsi"/>
          <w:bCs/>
          <w:sz w:val="20"/>
          <w:szCs w:val="20"/>
          <w:lang w:val="es-CO"/>
        </w:rPr>
        <w:t xml:space="preserve">murieron de hambre </w:t>
      </w:r>
      <w:r w:rsidR="00907A39" w:rsidRPr="00E66386">
        <w:rPr>
          <w:rFonts w:asciiTheme="majorHAnsi" w:hAnsiTheme="majorHAnsi"/>
          <w:bCs/>
          <w:sz w:val="20"/>
          <w:szCs w:val="20"/>
          <w:lang w:val="es-CO"/>
        </w:rPr>
        <w:t>o de frío</w:t>
      </w:r>
      <w:r w:rsidR="008B3A0E" w:rsidRPr="00E66386">
        <w:rPr>
          <w:rFonts w:asciiTheme="majorHAnsi" w:hAnsiTheme="majorHAnsi"/>
          <w:bCs/>
          <w:sz w:val="20"/>
          <w:szCs w:val="20"/>
          <w:lang w:val="es-CO"/>
        </w:rPr>
        <w:t xml:space="preserve"> en las montañas</w:t>
      </w:r>
      <w:r w:rsidR="00907A39" w:rsidRPr="00E66386">
        <w:rPr>
          <w:rFonts w:asciiTheme="majorHAnsi" w:hAnsiTheme="majorHAnsi"/>
          <w:bCs/>
          <w:sz w:val="20"/>
          <w:szCs w:val="20"/>
          <w:lang w:val="es-CO"/>
        </w:rPr>
        <w:t xml:space="preserve">. Quienes </w:t>
      </w:r>
      <w:r w:rsidR="00FB4EAD" w:rsidRPr="00E66386">
        <w:rPr>
          <w:rFonts w:asciiTheme="majorHAnsi" w:hAnsiTheme="majorHAnsi"/>
          <w:bCs/>
          <w:sz w:val="20"/>
          <w:szCs w:val="20"/>
          <w:lang w:val="es-CO"/>
        </w:rPr>
        <w:t>sobrevivieron</w:t>
      </w:r>
      <w:r w:rsidR="00E74E37" w:rsidRPr="00E66386">
        <w:rPr>
          <w:rFonts w:asciiTheme="majorHAnsi" w:hAnsiTheme="majorHAnsi"/>
          <w:bCs/>
          <w:sz w:val="20"/>
          <w:szCs w:val="20"/>
          <w:lang w:val="es-CO"/>
        </w:rPr>
        <w:t xml:space="preserve"> </w:t>
      </w:r>
      <w:r w:rsidR="00091B29" w:rsidRPr="00E66386">
        <w:rPr>
          <w:rFonts w:asciiTheme="majorHAnsi" w:hAnsiTheme="majorHAnsi"/>
          <w:bCs/>
          <w:sz w:val="20"/>
          <w:szCs w:val="20"/>
          <w:lang w:val="es-CO"/>
        </w:rPr>
        <w:t xml:space="preserve">permanecieron en esas condiciones </w:t>
      </w:r>
      <w:r w:rsidR="00E74E37" w:rsidRPr="00E66386">
        <w:rPr>
          <w:rFonts w:asciiTheme="majorHAnsi" w:hAnsiTheme="majorHAnsi"/>
          <w:bCs/>
          <w:sz w:val="20"/>
          <w:szCs w:val="20"/>
          <w:lang w:val="es-CO"/>
        </w:rPr>
        <w:t>varios días o incluso años</w:t>
      </w:r>
      <w:r w:rsidR="00DD329C" w:rsidRPr="00E66386">
        <w:rPr>
          <w:rFonts w:asciiTheme="majorHAnsi" w:hAnsiTheme="majorHAnsi"/>
          <w:bCs/>
          <w:sz w:val="20"/>
          <w:szCs w:val="20"/>
          <w:lang w:val="es-CO"/>
        </w:rPr>
        <w:t>.</w:t>
      </w:r>
      <w:r w:rsidR="00E74E37" w:rsidRPr="00E66386">
        <w:rPr>
          <w:rFonts w:asciiTheme="majorHAnsi" w:hAnsiTheme="majorHAnsi"/>
          <w:bCs/>
          <w:sz w:val="20"/>
          <w:szCs w:val="20"/>
          <w:lang w:val="es-CO"/>
        </w:rPr>
        <w:t xml:space="preserve"> </w:t>
      </w:r>
      <w:r w:rsidR="00091B29" w:rsidRPr="00E66386">
        <w:rPr>
          <w:rFonts w:asciiTheme="majorHAnsi" w:hAnsiTheme="majorHAnsi"/>
          <w:bCs/>
          <w:sz w:val="20"/>
          <w:szCs w:val="20"/>
          <w:lang w:val="es-CO"/>
        </w:rPr>
        <w:t>M</w:t>
      </w:r>
      <w:r w:rsidR="00E74E37" w:rsidRPr="00E66386">
        <w:rPr>
          <w:rFonts w:asciiTheme="majorHAnsi" w:hAnsiTheme="majorHAnsi"/>
          <w:bCs/>
          <w:sz w:val="20"/>
          <w:szCs w:val="20"/>
          <w:lang w:val="es-CO"/>
        </w:rPr>
        <w:t>uchos</w:t>
      </w:r>
      <w:r w:rsidR="00FB4EAD" w:rsidRPr="00E66386">
        <w:rPr>
          <w:rFonts w:asciiTheme="majorHAnsi" w:hAnsiTheme="majorHAnsi"/>
          <w:bCs/>
          <w:sz w:val="20"/>
          <w:szCs w:val="20"/>
          <w:lang w:val="es-CO"/>
        </w:rPr>
        <w:t xml:space="preserve"> </w:t>
      </w:r>
      <w:r w:rsidR="005E4B60" w:rsidRPr="00E66386">
        <w:rPr>
          <w:rFonts w:asciiTheme="majorHAnsi" w:hAnsiTheme="majorHAnsi"/>
          <w:bCs/>
          <w:sz w:val="20"/>
          <w:szCs w:val="20"/>
          <w:lang w:val="es-CO"/>
        </w:rPr>
        <w:t xml:space="preserve">declararon sobre </w:t>
      </w:r>
      <w:r w:rsidR="0038039F" w:rsidRPr="00E66386">
        <w:rPr>
          <w:rFonts w:asciiTheme="majorHAnsi" w:hAnsiTheme="majorHAnsi"/>
          <w:bCs/>
          <w:sz w:val="20"/>
          <w:szCs w:val="20"/>
          <w:lang w:val="es-CO"/>
        </w:rPr>
        <w:t xml:space="preserve">lo ocurrido en el juicio celebrado contra el general </w:t>
      </w:r>
      <w:r w:rsidR="00CF3E39" w:rsidRPr="00E66386">
        <w:rPr>
          <w:rFonts w:asciiTheme="majorHAnsi" w:hAnsiTheme="majorHAnsi"/>
          <w:bCs/>
          <w:sz w:val="20"/>
          <w:szCs w:val="20"/>
          <w:lang w:val="es-CO"/>
        </w:rPr>
        <w:t xml:space="preserve">retirado </w:t>
      </w:r>
      <w:r w:rsidR="0038039F" w:rsidRPr="00E66386">
        <w:rPr>
          <w:rFonts w:asciiTheme="majorHAnsi" w:hAnsiTheme="majorHAnsi"/>
          <w:bCs/>
          <w:sz w:val="20"/>
          <w:szCs w:val="20"/>
          <w:lang w:val="es-CO"/>
        </w:rPr>
        <w:t>Ríos Montt.</w:t>
      </w:r>
    </w:p>
    <w:p w14:paraId="51A5C232" w14:textId="299982FF" w:rsidR="000A2C1C" w:rsidRPr="00E66386" w:rsidRDefault="00305754" w:rsidP="00855375">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En cuanto</w:t>
      </w:r>
      <w:r w:rsidR="00AE6F0A" w:rsidRPr="00E66386">
        <w:rPr>
          <w:rFonts w:asciiTheme="majorHAnsi" w:hAnsiTheme="majorHAnsi"/>
          <w:bCs/>
          <w:sz w:val="20"/>
          <w:szCs w:val="20"/>
          <w:lang w:val="es-CO"/>
        </w:rPr>
        <w:t xml:space="preserve"> a</w:t>
      </w:r>
      <w:r w:rsidRPr="00E66386">
        <w:rPr>
          <w:rFonts w:asciiTheme="majorHAnsi" w:hAnsiTheme="majorHAnsi"/>
          <w:bCs/>
          <w:sz w:val="20"/>
          <w:szCs w:val="20"/>
          <w:lang w:val="es-CO"/>
        </w:rPr>
        <w:t xml:space="preserve"> </w:t>
      </w:r>
      <w:r w:rsidR="00EE3197" w:rsidRPr="00E66386">
        <w:rPr>
          <w:rFonts w:asciiTheme="majorHAnsi" w:hAnsiTheme="majorHAnsi"/>
          <w:bCs/>
          <w:sz w:val="20"/>
          <w:szCs w:val="20"/>
          <w:lang w:val="es-CO"/>
        </w:rPr>
        <w:t>la</w:t>
      </w:r>
      <w:r w:rsidRPr="00E66386">
        <w:rPr>
          <w:rFonts w:asciiTheme="majorHAnsi" w:hAnsiTheme="majorHAnsi"/>
          <w:bCs/>
          <w:sz w:val="20"/>
          <w:szCs w:val="20"/>
          <w:lang w:val="es-CO"/>
        </w:rPr>
        <w:t xml:space="preserve"> violencia sexual</w:t>
      </w:r>
      <w:r w:rsidR="00EE3197" w:rsidRPr="00E66386">
        <w:rPr>
          <w:rFonts w:asciiTheme="majorHAnsi" w:hAnsiTheme="majorHAnsi"/>
          <w:bCs/>
          <w:sz w:val="20"/>
          <w:szCs w:val="20"/>
          <w:lang w:val="es-CO"/>
        </w:rPr>
        <w:t xml:space="preserve"> cometida contra</w:t>
      </w:r>
      <w:r w:rsidR="00F66B1C" w:rsidRPr="00E66386">
        <w:rPr>
          <w:rFonts w:asciiTheme="majorHAnsi" w:hAnsiTheme="majorHAnsi"/>
          <w:bCs/>
          <w:sz w:val="20"/>
          <w:szCs w:val="20"/>
          <w:lang w:val="es-CO"/>
        </w:rPr>
        <w:t xml:space="preserve"> las</w:t>
      </w:r>
      <w:r w:rsidR="00EE3197" w:rsidRPr="00E66386">
        <w:rPr>
          <w:rFonts w:asciiTheme="majorHAnsi" w:hAnsiTheme="majorHAnsi"/>
          <w:bCs/>
          <w:sz w:val="20"/>
          <w:szCs w:val="20"/>
          <w:lang w:val="es-CO"/>
        </w:rPr>
        <w:t xml:space="preserve"> mujeres </w:t>
      </w:r>
      <w:r w:rsidR="00C51C64" w:rsidRPr="00E66386">
        <w:rPr>
          <w:rFonts w:asciiTheme="majorHAnsi" w:hAnsiTheme="majorHAnsi"/>
          <w:bCs/>
          <w:sz w:val="20"/>
          <w:szCs w:val="20"/>
          <w:lang w:val="es-CO"/>
        </w:rPr>
        <w:t>Ixil</w:t>
      </w:r>
      <w:r w:rsidRPr="00E66386">
        <w:rPr>
          <w:rFonts w:asciiTheme="majorHAnsi" w:hAnsiTheme="majorHAnsi"/>
          <w:bCs/>
          <w:sz w:val="20"/>
          <w:szCs w:val="20"/>
          <w:lang w:val="es-CO"/>
        </w:rPr>
        <w:t xml:space="preserve">, los peticionarios </w:t>
      </w:r>
      <w:r w:rsidR="000E3B7B" w:rsidRPr="00E66386">
        <w:rPr>
          <w:rFonts w:asciiTheme="majorHAnsi" w:hAnsiTheme="majorHAnsi"/>
          <w:bCs/>
          <w:sz w:val="20"/>
          <w:szCs w:val="20"/>
          <w:lang w:val="es-CO"/>
        </w:rPr>
        <w:t>aseveran que ést</w:t>
      </w:r>
      <w:r w:rsidR="007F3158" w:rsidRPr="00E66386">
        <w:rPr>
          <w:rFonts w:asciiTheme="majorHAnsi" w:hAnsiTheme="majorHAnsi"/>
          <w:bCs/>
          <w:sz w:val="20"/>
          <w:szCs w:val="20"/>
          <w:lang w:val="es-CO"/>
        </w:rPr>
        <w:t>a</w:t>
      </w:r>
      <w:r w:rsidR="000E3B7B" w:rsidRPr="00E66386">
        <w:rPr>
          <w:rFonts w:asciiTheme="majorHAnsi" w:hAnsiTheme="majorHAnsi"/>
          <w:bCs/>
          <w:sz w:val="20"/>
          <w:szCs w:val="20"/>
          <w:lang w:val="es-CO"/>
        </w:rPr>
        <w:t xml:space="preserve"> se </w:t>
      </w:r>
      <w:r w:rsidR="00835460" w:rsidRPr="00E66386">
        <w:rPr>
          <w:rFonts w:asciiTheme="majorHAnsi" w:hAnsiTheme="majorHAnsi"/>
          <w:bCs/>
          <w:sz w:val="20"/>
          <w:szCs w:val="20"/>
          <w:lang w:val="es-CO"/>
        </w:rPr>
        <w:t>cometió</w:t>
      </w:r>
      <w:r w:rsidR="000E3B7B" w:rsidRPr="00E66386">
        <w:rPr>
          <w:rFonts w:asciiTheme="majorHAnsi" w:hAnsiTheme="majorHAnsi"/>
          <w:bCs/>
          <w:sz w:val="20"/>
          <w:szCs w:val="20"/>
          <w:lang w:val="es-CO"/>
        </w:rPr>
        <w:t xml:space="preserve"> de manera sistemática contra </w:t>
      </w:r>
      <w:r w:rsidR="00125AF4" w:rsidRPr="00E66386">
        <w:rPr>
          <w:rFonts w:asciiTheme="majorHAnsi" w:hAnsiTheme="majorHAnsi"/>
          <w:bCs/>
          <w:sz w:val="20"/>
          <w:szCs w:val="20"/>
          <w:lang w:val="es-CO"/>
        </w:rPr>
        <w:t>adultas, niñas y ancianas obligándolas, entre otros actos, a tener relaciones sexuales con los soldados que realizaban los operativos militares.</w:t>
      </w:r>
      <w:r w:rsidR="00C71842" w:rsidRPr="00E66386">
        <w:rPr>
          <w:rFonts w:asciiTheme="majorHAnsi" w:hAnsiTheme="majorHAnsi"/>
          <w:bCs/>
          <w:sz w:val="20"/>
          <w:szCs w:val="20"/>
          <w:lang w:val="es-CO"/>
        </w:rPr>
        <w:t xml:space="preserve"> </w:t>
      </w:r>
      <w:r w:rsidR="00835460" w:rsidRPr="00E66386">
        <w:rPr>
          <w:rFonts w:asciiTheme="majorHAnsi" w:hAnsiTheme="majorHAnsi"/>
          <w:bCs/>
          <w:sz w:val="20"/>
          <w:szCs w:val="20"/>
          <w:lang w:val="es-CO"/>
        </w:rPr>
        <w:t>Los peticionarios i</w:t>
      </w:r>
      <w:r w:rsidR="008C5DD2" w:rsidRPr="00E66386">
        <w:rPr>
          <w:rFonts w:asciiTheme="majorHAnsi" w:hAnsiTheme="majorHAnsi"/>
          <w:bCs/>
          <w:sz w:val="20"/>
          <w:szCs w:val="20"/>
          <w:lang w:val="es-CO"/>
        </w:rPr>
        <w:t>dentifican</w:t>
      </w:r>
      <w:r w:rsidR="00835460" w:rsidRPr="00E66386">
        <w:rPr>
          <w:rFonts w:asciiTheme="majorHAnsi" w:hAnsiTheme="majorHAnsi"/>
          <w:bCs/>
          <w:sz w:val="20"/>
          <w:szCs w:val="20"/>
          <w:lang w:val="es-CO"/>
        </w:rPr>
        <w:t xml:space="preserve"> a</w:t>
      </w:r>
      <w:r w:rsidR="008C5DD2" w:rsidRPr="00E66386">
        <w:rPr>
          <w:rFonts w:asciiTheme="majorHAnsi" w:hAnsiTheme="majorHAnsi"/>
          <w:bCs/>
          <w:sz w:val="20"/>
          <w:szCs w:val="20"/>
          <w:lang w:val="es-CO"/>
        </w:rPr>
        <w:t xml:space="preserve"> </w:t>
      </w:r>
      <w:r w:rsidR="002740FB" w:rsidRPr="00E66386">
        <w:rPr>
          <w:rFonts w:asciiTheme="majorHAnsi" w:hAnsiTheme="majorHAnsi"/>
          <w:bCs/>
          <w:sz w:val="20"/>
          <w:szCs w:val="20"/>
          <w:lang w:val="es-CO"/>
        </w:rPr>
        <w:t xml:space="preserve">las siguientes mujeres como víctimas de </w:t>
      </w:r>
      <w:r w:rsidR="00610845" w:rsidRPr="00E66386">
        <w:rPr>
          <w:rFonts w:asciiTheme="majorHAnsi" w:hAnsiTheme="majorHAnsi"/>
          <w:bCs/>
          <w:sz w:val="20"/>
          <w:szCs w:val="20"/>
          <w:lang w:val="es-CO"/>
        </w:rPr>
        <w:t xml:space="preserve">tortura y violencia sexual: Ana López, Magdalena Bernal de Paz, </w:t>
      </w:r>
      <w:r w:rsidR="007E2955" w:rsidRPr="00E66386">
        <w:rPr>
          <w:rFonts w:asciiTheme="majorHAnsi" w:hAnsiTheme="majorHAnsi"/>
          <w:bCs/>
          <w:sz w:val="20"/>
          <w:szCs w:val="20"/>
          <w:lang w:val="es-CO"/>
        </w:rPr>
        <w:t xml:space="preserve">Elena de Paz Santiago </w:t>
      </w:r>
      <w:r w:rsidR="00B95CE5" w:rsidRPr="00E66386">
        <w:rPr>
          <w:rFonts w:asciiTheme="majorHAnsi" w:hAnsiTheme="majorHAnsi"/>
          <w:bCs/>
          <w:sz w:val="20"/>
          <w:szCs w:val="20"/>
          <w:lang w:val="es-CO"/>
        </w:rPr>
        <w:t>y otras</w:t>
      </w:r>
      <w:r w:rsidR="007E2955" w:rsidRPr="00E66386">
        <w:rPr>
          <w:rFonts w:asciiTheme="majorHAnsi" w:hAnsiTheme="majorHAnsi"/>
          <w:bCs/>
          <w:sz w:val="20"/>
          <w:szCs w:val="20"/>
          <w:lang w:val="es-CO"/>
        </w:rPr>
        <w:t xml:space="preserve">, </w:t>
      </w:r>
      <w:r w:rsidR="00B95CE5" w:rsidRPr="00E66386">
        <w:rPr>
          <w:rFonts w:asciiTheme="majorHAnsi" w:hAnsiTheme="majorHAnsi"/>
          <w:bCs/>
          <w:sz w:val="20"/>
          <w:szCs w:val="20"/>
          <w:lang w:val="es-CO"/>
        </w:rPr>
        <w:t xml:space="preserve">Juana Sánchez Toma, </w:t>
      </w:r>
      <w:r w:rsidR="00FB583A" w:rsidRPr="00E66386">
        <w:rPr>
          <w:rFonts w:asciiTheme="majorHAnsi" w:hAnsiTheme="majorHAnsi"/>
          <w:bCs/>
          <w:sz w:val="20"/>
          <w:szCs w:val="20"/>
          <w:lang w:val="es-CO"/>
        </w:rPr>
        <w:t xml:space="preserve">Cecilia Baca Gallego, </w:t>
      </w:r>
      <w:r w:rsidR="00B14A51" w:rsidRPr="00E66386">
        <w:rPr>
          <w:rFonts w:asciiTheme="majorHAnsi" w:hAnsiTheme="majorHAnsi"/>
          <w:bCs/>
          <w:sz w:val="20"/>
          <w:szCs w:val="20"/>
          <w:lang w:val="es-CO"/>
        </w:rPr>
        <w:t>Margarita Ceto Rivera de Guzmán, María Cavinal Rodríguez</w:t>
      </w:r>
      <w:r w:rsidR="00AB2432" w:rsidRPr="00E66386">
        <w:rPr>
          <w:rFonts w:asciiTheme="majorHAnsi" w:hAnsiTheme="majorHAnsi"/>
          <w:bCs/>
          <w:sz w:val="20"/>
          <w:szCs w:val="20"/>
          <w:lang w:val="es-CO"/>
        </w:rPr>
        <w:t xml:space="preserve">, Ana Pacheco Ramírez, </w:t>
      </w:r>
      <w:r w:rsidR="00073003" w:rsidRPr="00E66386">
        <w:rPr>
          <w:rFonts w:asciiTheme="majorHAnsi" w:hAnsiTheme="majorHAnsi"/>
          <w:bCs/>
          <w:sz w:val="20"/>
          <w:szCs w:val="20"/>
          <w:lang w:val="es-CO"/>
        </w:rPr>
        <w:t xml:space="preserve">Magdalena Matóm Raymundo, </w:t>
      </w:r>
      <w:r w:rsidR="002726C3" w:rsidRPr="00E66386">
        <w:rPr>
          <w:rFonts w:asciiTheme="majorHAnsi" w:hAnsiTheme="majorHAnsi"/>
          <w:bCs/>
          <w:sz w:val="20"/>
          <w:szCs w:val="20"/>
          <w:lang w:val="es-CO"/>
        </w:rPr>
        <w:t>y Carmen Teresa Pérez López.</w:t>
      </w:r>
      <w:r w:rsidR="00AE6F0A" w:rsidRPr="00E66386">
        <w:rPr>
          <w:rFonts w:asciiTheme="majorHAnsi" w:hAnsiTheme="majorHAnsi"/>
          <w:bCs/>
          <w:sz w:val="20"/>
          <w:szCs w:val="20"/>
          <w:lang w:val="es-CO"/>
        </w:rPr>
        <w:t xml:space="preserve"> Respecto de hechos de tortura, los peticionarios identifican a una presunta víctima</w:t>
      </w:r>
      <w:r w:rsidR="004F38FD" w:rsidRPr="00E66386">
        <w:rPr>
          <w:rFonts w:asciiTheme="majorHAnsi" w:hAnsiTheme="majorHAnsi"/>
          <w:bCs/>
          <w:sz w:val="20"/>
          <w:szCs w:val="20"/>
          <w:lang w:val="es-CO"/>
        </w:rPr>
        <w:t>:</w:t>
      </w:r>
      <w:r w:rsidR="00AE6F0A" w:rsidRPr="00E66386">
        <w:rPr>
          <w:rFonts w:asciiTheme="majorHAnsi" w:hAnsiTheme="majorHAnsi"/>
          <w:bCs/>
          <w:sz w:val="20"/>
          <w:szCs w:val="20"/>
          <w:lang w:val="es-CO"/>
        </w:rPr>
        <w:t xml:space="preserve"> el señor Tiburcio Utuy.</w:t>
      </w:r>
    </w:p>
    <w:p w14:paraId="1758BE52" w14:textId="754EE621" w:rsidR="00FC47D6" w:rsidRPr="00E66386" w:rsidRDefault="000A2C1C" w:rsidP="00855375">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w:t>
      </w:r>
      <w:r w:rsidR="00117663" w:rsidRPr="00E66386">
        <w:rPr>
          <w:rFonts w:asciiTheme="majorHAnsi" w:hAnsiTheme="majorHAnsi"/>
          <w:bCs/>
          <w:sz w:val="20"/>
          <w:szCs w:val="20"/>
          <w:lang w:val="es-CO"/>
        </w:rPr>
        <w:t xml:space="preserve">n relación con el desplazamiento masivo de la población </w:t>
      </w:r>
      <w:r w:rsidR="00C51C64" w:rsidRPr="00E66386">
        <w:rPr>
          <w:rFonts w:asciiTheme="majorHAnsi" w:hAnsiTheme="majorHAnsi"/>
          <w:bCs/>
          <w:sz w:val="20"/>
          <w:szCs w:val="20"/>
          <w:lang w:val="es-CO"/>
        </w:rPr>
        <w:t>Ixil</w:t>
      </w:r>
      <w:r w:rsidR="00117663" w:rsidRPr="00E66386">
        <w:rPr>
          <w:rFonts w:asciiTheme="majorHAnsi" w:hAnsiTheme="majorHAnsi"/>
          <w:bCs/>
          <w:sz w:val="20"/>
          <w:szCs w:val="20"/>
          <w:lang w:val="es-CO"/>
        </w:rPr>
        <w:t xml:space="preserve">, </w:t>
      </w:r>
      <w:r w:rsidR="00203CA4" w:rsidRPr="00E66386">
        <w:rPr>
          <w:rFonts w:asciiTheme="majorHAnsi" w:hAnsiTheme="majorHAnsi"/>
          <w:bCs/>
          <w:sz w:val="20"/>
          <w:szCs w:val="20"/>
          <w:lang w:val="es-CO"/>
        </w:rPr>
        <w:t xml:space="preserve">la parte peticionaria </w:t>
      </w:r>
      <w:r w:rsidR="005C6B63" w:rsidRPr="00E66386">
        <w:rPr>
          <w:rFonts w:asciiTheme="majorHAnsi" w:hAnsiTheme="majorHAnsi"/>
          <w:bCs/>
          <w:sz w:val="20"/>
          <w:szCs w:val="20"/>
          <w:lang w:val="es-CO"/>
        </w:rPr>
        <w:t>refiere que el</w:t>
      </w:r>
      <w:r w:rsidR="00203CA4" w:rsidRPr="00E66386">
        <w:rPr>
          <w:rFonts w:asciiTheme="majorHAnsi" w:hAnsiTheme="majorHAnsi"/>
          <w:bCs/>
          <w:sz w:val="20"/>
          <w:szCs w:val="20"/>
          <w:lang w:val="es-CO"/>
        </w:rPr>
        <w:t xml:space="preserve"> peritaje pr</w:t>
      </w:r>
      <w:r w:rsidR="005C6B63" w:rsidRPr="00E66386">
        <w:rPr>
          <w:rFonts w:asciiTheme="majorHAnsi" w:hAnsiTheme="majorHAnsi"/>
          <w:bCs/>
          <w:sz w:val="20"/>
          <w:szCs w:val="20"/>
          <w:lang w:val="es-CO"/>
        </w:rPr>
        <w:t>actic</w:t>
      </w:r>
      <w:r w:rsidR="00203CA4" w:rsidRPr="00E66386">
        <w:rPr>
          <w:rFonts w:asciiTheme="majorHAnsi" w:hAnsiTheme="majorHAnsi"/>
          <w:bCs/>
          <w:sz w:val="20"/>
          <w:szCs w:val="20"/>
          <w:lang w:val="es-CO"/>
        </w:rPr>
        <w:t xml:space="preserve">ado en el juicio al exgeneral Ríos Montt </w:t>
      </w:r>
      <w:r w:rsidR="00552D3D" w:rsidRPr="00E66386">
        <w:rPr>
          <w:rFonts w:asciiTheme="majorHAnsi" w:hAnsiTheme="majorHAnsi"/>
          <w:bCs/>
          <w:sz w:val="20"/>
          <w:szCs w:val="20"/>
          <w:lang w:val="es-CO"/>
        </w:rPr>
        <w:t>estima que al menos 29</w:t>
      </w:r>
      <w:r w:rsidR="00282582" w:rsidRPr="00E66386">
        <w:rPr>
          <w:rFonts w:asciiTheme="majorHAnsi" w:hAnsiTheme="majorHAnsi"/>
          <w:bCs/>
          <w:sz w:val="20"/>
          <w:szCs w:val="20"/>
          <w:lang w:val="es-CO"/>
        </w:rPr>
        <w:t>,000</w:t>
      </w:r>
      <w:r w:rsidR="00552D3D" w:rsidRPr="00E66386">
        <w:rPr>
          <w:rFonts w:asciiTheme="majorHAnsi" w:hAnsiTheme="majorHAnsi"/>
          <w:bCs/>
          <w:sz w:val="20"/>
          <w:szCs w:val="20"/>
          <w:lang w:val="es-CO"/>
        </w:rPr>
        <w:t xml:space="preserve"> personas </w:t>
      </w:r>
      <w:r w:rsidR="00BE26FE" w:rsidRPr="00E66386">
        <w:rPr>
          <w:rFonts w:asciiTheme="majorHAnsi" w:hAnsiTheme="majorHAnsi"/>
          <w:bCs/>
          <w:sz w:val="20"/>
          <w:szCs w:val="20"/>
          <w:lang w:val="es-CO"/>
        </w:rPr>
        <w:t>habrían sido víctima</w:t>
      </w:r>
      <w:r w:rsidR="00282582" w:rsidRPr="00E66386">
        <w:rPr>
          <w:rFonts w:asciiTheme="majorHAnsi" w:hAnsiTheme="majorHAnsi"/>
          <w:bCs/>
          <w:sz w:val="20"/>
          <w:szCs w:val="20"/>
          <w:lang w:val="es-CO"/>
        </w:rPr>
        <w:t>s</w:t>
      </w:r>
      <w:r w:rsidR="00BE26FE" w:rsidRPr="00E66386">
        <w:rPr>
          <w:rFonts w:asciiTheme="majorHAnsi" w:hAnsiTheme="majorHAnsi"/>
          <w:bCs/>
          <w:sz w:val="20"/>
          <w:szCs w:val="20"/>
          <w:lang w:val="es-CO"/>
        </w:rPr>
        <w:t xml:space="preserve"> de desplazamiento interno como consecuencia de los ataques del ejército en las aldeas</w:t>
      </w:r>
      <w:r w:rsidR="00702D82" w:rsidRPr="00E66386">
        <w:rPr>
          <w:rFonts w:asciiTheme="majorHAnsi" w:hAnsiTheme="majorHAnsi"/>
          <w:bCs/>
          <w:sz w:val="20"/>
          <w:szCs w:val="20"/>
          <w:lang w:val="es-CO"/>
        </w:rPr>
        <w:t>, de las cuales identifica</w:t>
      </w:r>
      <w:r w:rsidR="000E1EAD" w:rsidRPr="00E66386">
        <w:rPr>
          <w:rFonts w:asciiTheme="majorHAnsi" w:hAnsiTheme="majorHAnsi"/>
          <w:bCs/>
          <w:sz w:val="20"/>
          <w:szCs w:val="20"/>
          <w:lang w:val="es-CO"/>
        </w:rPr>
        <w:t>n</w:t>
      </w:r>
      <w:r w:rsidR="00702D82" w:rsidRPr="00E66386">
        <w:rPr>
          <w:rFonts w:asciiTheme="majorHAnsi" w:hAnsiTheme="majorHAnsi"/>
          <w:bCs/>
          <w:sz w:val="20"/>
          <w:szCs w:val="20"/>
          <w:lang w:val="es-CO"/>
        </w:rPr>
        <w:t xml:space="preserve"> a Jacinto Corio Raymundo, </w:t>
      </w:r>
      <w:r w:rsidR="00056381" w:rsidRPr="00E66386">
        <w:rPr>
          <w:rFonts w:asciiTheme="majorHAnsi" w:hAnsiTheme="majorHAnsi"/>
          <w:bCs/>
          <w:sz w:val="20"/>
          <w:szCs w:val="20"/>
          <w:lang w:val="es-CO"/>
        </w:rPr>
        <w:t xml:space="preserve">Gaspar Velasco, </w:t>
      </w:r>
      <w:r w:rsidR="00430CD7" w:rsidRPr="00E66386">
        <w:rPr>
          <w:rFonts w:asciiTheme="majorHAnsi" w:hAnsiTheme="majorHAnsi"/>
          <w:bCs/>
          <w:sz w:val="20"/>
          <w:szCs w:val="20"/>
          <w:lang w:val="es-CO"/>
        </w:rPr>
        <w:t xml:space="preserve">Juan Sajic Aguilar, </w:t>
      </w:r>
      <w:r w:rsidR="00F717E6" w:rsidRPr="00E66386">
        <w:rPr>
          <w:rFonts w:asciiTheme="majorHAnsi" w:hAnsiTheme="majorHAnsi"/>
          <w:bCs/>
          <w:sz w:val="20"/>
          <w:szCs w:val="20"/>
          <w:lang w:val="es-CO"/>
        </w:rPr>
        <w:t xml:space="preserve">Jacinto y Gabriel de Paz, </w:t>
      </w:r>
      <w:r w:rsidR="00D94261" w:rsidRPr="00E66386">
        <w:rPr>
          <w:rFonts w:asciiTheme="majorHAnsi" w:hAnsiTheme="majorHAnsi"/>
          <w:bCs/>
          <w:sz w:val="20"/>
          <w:szCs w:val="20"/>
          <w:lang w:val="es-CO"/>
        </w:rPr>
        <w:t xml:space="preserve">Pedro Brito, </w:t>
      </w:r>
      <w:r w:rsidR="002D3E9C" w:rsidRPr="00E66386">
        <w:rPr>
          <w:rFonts w:asciiTheme="majorHAnsi" w:hAnsiTheme="majorHAnsi"/>
          <w:bCs/>
          <w:sz w:val="20"/>
          <w:szCs w:val="20"/>
          <w:lang w:val="es-CO"/>
        </w:rPr>
        <w:t>Juana Tiu Tzoy</w:t>
      </w:r>
      <w:r w:rsidR="00877B37" w:rsidRPr="00E66386">
        <w:rPr>
          <w:rFonts w:asciiTheme="majorHAnsi" w:hAnsiTheme="majorHAnsi"/>
          <w:bCs/>
          <w:sz w:val="20"/>
          <w:szCs w:val="20"/>
          <w:lang w:val="es-CO"/>
        </w:rPr>
        <w:t xml:space="preserve"> y</w:t>
      </w:r>
      <w:r w:rsidR="002D3E9C" w:rsidRPr="00E66386">
        <w:rPr>
          <w:rFonts w:asciiTheme="majorHAnsi" w:hAnsiTheme="majorHAnsi"/>
          <w:bCs/>
          <w:sz w:val="20"/>
          <w:szCs w:val="20"/>
          <w:lang w:val="es-CO"/>
        </w:rPr>
        <w:t xml:space="preserve"> Tiburcio Uty</w:t>
      </w:r>
      <w:r w:rsidR="00877B37" w:rsidRPr="00E66386">
        <w:rPr>
          <w:rFonts w:asciiTheme="majorHAnsi" w:hAnsiTheme="majorHAnsi"/>
          <w:bCs/>
          <w:sz w:val="20"/>
          <w:szCs w:val="20"/>
          <w:lang w:val="es-CO"/>
        </w:rPr>
        <w:t>.</w:t>
      </w:r>
      <w:r w:rsidR="005C6B63" w:rsidRPr="00E66386">
        <w:rPr>
          <w:rFonts w:asciiTheme="majorHAnsi" w:hAnsiTheme="majorHAnsi"/>
          <w:bCs/>
          <w:sz w:val="20"/>
          <w:szCs w:val="20"/>
          <w:lang w:val="es-CO"/>
        </w:rPr>
        <w:t xml:space="preserve"> Asimismo, denuncia la detención ilegal </w:t>
      </w:r>
      <w:r w:rsidR="00983014" w:rsidRPr="00E66386">
        <w:rPr>
          <w:rFonts w:asciiTheme="majorHAnsi" w:hAnsiTheme="majorHAnsi"/>
          <w:bCs/>
          <w:sz w:val="20"/>
          <w:szCs w:val="20"/>
          <w:lang w:val="es-CO"/>
        </w:rPr>
        <w:t xml:space="preserve">en destacamentos militares </w:t>
      </w:r>
      <w:r w:rsidR="002F63BB" w:rsidRPr="00E66386">
        <w:rPr>
          <w:rFonts w:asciiTheme="majorHAnsi" w:hAnsiTheme="majorHAnsi"/>
          <w:bCs/>
          <w:sz w:val="20"/>
          <w:szCs w:val="20"/>
          <w:lang w:val="es-CO"/>
        </w:rPr>
        <w:t xml:space="preserve">de muchos desplazados </w:t>
      </w:r>
      <w:r w:rsidR="00016F5C" w:rsidRPr="00E66386">
        <w:rPr>
          <w:rFonts w:asciiTheme="majorHAnsi" w:hAnsiTheme="majorHAnsi"/>
          <w:bCs/>
          <w:sz w:val="20"/>
          <w:szCs w:val="20"/>
          <w:lang w:val="es-CO"/>
        </w:rPr>
        <w:t>durante meses o incluso varios años</w:t>
      </w:r>
      <w:r w:rsidR="00FC47D6" w:rsidRPr="00E66386">
        <w:rPr>
          <w:rFonts w:asciiTheme="majorHAnsi" w:hAnsiTheme="majorHAnsi"/>
          <w:bCs/>
          <w:sz w:val="20"/>
          <w:szCs w:val="20"/>
          <w:lang w:val="es-CO"/>
        </w:rPr>
        <w:t>.</w:t>
      </w:r>
    </w:p>
    <w:p w14:paraId="7BCB0390" w14:textId="6DEDB51A" w:rsidR="00A82FF8" w:rsidRPr="00E66386" w:rsidRDefault="00FC47D6" w:rsidP="00855375">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En 1982</w:t>
      </w:r>
      <w:r w:rsidR="00016F5C" w:rsidRPr="00E66386">
        <w:rPr>
          <w:rFonts w:asciiTheme="majorHAnsi" w:hAnsiTheme="majorHAnsi"/>
          <w:bCs/>
          <w:sz w:val="20"/>
          <w:szCs w:val="20"/>
          <w:lang w:val="es-CO"/>
        </w:rPr>
        <w:t xml:space="preserve"> </w:t>
      </w:r>
      <w:r w:rsidRPr="00E66386">
        <w:rPr>
          <w:rFonts w:asciiTheme="majorHAnsi" w:hAnsiTheme="majorHAnsi"/>
          <w:bCs/>
          <w:sz w:val="20"/>
          <w:szCs w:val="20"/>
          <w:lang w:val="es-CO"/>
        </w:rPr>
        <w:t xml:space="preserve">el gobierno promulgó un decreto de amnistía, por el cual muchos desplazados en las montañas se entregaron voluntariamente </w:t>
      </w:r>
      <w:r w:rsidR="002F63BB" w:rsidRPr="00E66386">
        <w:rPr>
          <w:rFonts w:asciiTheme="majorHAnsi" w:hAnsiTheme="majorHAnsi"/>
          <w:bCs/>
          <w:sz w:val="20"/>
          <w:szCs w:val="20"/>
          <w:lang w:val="es-CO"/>
        </w:rPr>
        <w:t>al ejército.</w:t>
      </w:r>
      <w:r w:rsidR="00BC6D6B" w:rsidRPr="00E66386">
        <w:rPr>
          <w:rFonts w:asciiTheme="majorHAnsi" w:hAnsiTheme="majorHAnsi"/>
          <w:bCs/>
          <w:sz w:val="20"/>
          <w:szCs w:val="20"/>
          <w:lang w:val="es-CO"/>
        </w:rPr>
        <w:t xml:space="preserve"> </w:t>
      </w:r>
      <w:r w:rsidR="00D4017D" w:rsidRPr="00E66386">
        <w:rPr>
          <w:rFonts w:asciiTheme="majorHAnsi" w:hAnsiTheme="majorHAnsi"/>
          <w:bCs/>
          <w:sz w:val="20"/>
          <w:szCs w:val="20"/>
          <w:lang w:val="es-CO"/>
        </w:rPr>
        <w:t xml:space="preserve">Los peticionarios narran que, de acuerdo con los testimonios de las personas </w:t>
      </w:r>
      <w:r w:rsidR="007A0156" w:rsidRPr="00E66386">
        <w:rPr>
          <w:rFonts w:asciiTheme="majorHAnsi" w:hAnsiTheme="majorHAnsi"/>
          <w:bCs/>
          <w:sz w:val="20"/>
          <w:szCs w:val="20"/>
          <w:lang w:val="es-CO"/>
        </w:rPr>
        <w:t xml:space="preserve">que se entregaron y fueron </w:t>
      </w:r>
      <w:r w:rsidR="00D4017D" w:rsidRPr="00E66386">
        <w:rPr>
          <w:rFonts w:asciiTheme="majorHAnsi" w:hAnsiTheme="majorHAnsi"/>
          <w:bCs/>
          <w:sz w:val="20"/>
          <w:szCs w:val="20"/>
          <w:lang w:val="es-CO"/>
        </w:rPr>
        <w:t xml:space="preserve">detenidas, el ejército </w:t>
      </w:r>
      <w:r w:rsidR="005E393B" w:rsidRPr="00E66386">
        <w:rPr>
          <w:rFonts w:asciiTheme="majorHAnsi" w:hAnsiTheme="majorHAnsi"/>
          <w:bCs/>
          <w:sz w:val="20"/>
          <w:szCs w:val="20"/>
          <w:lang w:val="es-CO"/>
        </w:rPr>
        <w:t>real</w:t>
      </w:r>
      <w:r w:rsidR="00D61B10" w:rsidRPr="00E66386">
        <w:rPr>
          <w:rFonts w:asciiTheme="majorHAnsi" w:hAnsiTheme="majorHAnsi"/>
          <w:bCs/>
          <w:sz w:val="20"/>
          <w:szCs w:val="20"/>
          <w:lang w:val="es-CO"/>
        </w:rPr>
        <w:t>i</w:t>
      </w:r>
      <w:r w:rsidR="005E393B" w:rsidRPr="00E66386">
        <w:rPr>
          <w:rFonts w:asciiTheme="majorHAnsi" w:hAnsiTheme="majorHAnsi"/>
          <w:bCs/>
          <w:sz w:val="20"/>
          <w:szCs w:val="20"/>
          <w:lang w:val="es-CO"/>
        </w:rPr>
        <w:t xml:space="preserve">zaba operaciones psicológicas de control social mediante </w:t>
      </w:r>
      <w:r w:rsidR="00500E9B" w:rsidRPr="00E66386">
        <w:rPr>
          <w:rFonts w:asciiTheme="majorHAnsi" w:hAnsiTheme="majorHAnsi"/>
          <w:bCs/>
          <w:sz w:val="20"/>
          <w:szCs w:val="20"/>
          <w:lang w:val="es-CO"/>
        </w:rPr>
        <w:t xml:space="preserve">la impartición de </w:t>
      </w:r>
      <w:r w:rsidR="005E393B" w:rsidRPr="00E66386">
        <w:rPr>
          <w:rFonts w:asciiTheme="majorHAnsi" w:hAnsiTheme="majorHAnsi"/>
          <w:bCs/>
          <w:sz w:val="20"/>
          <w:szCs w:val="20"/>
          <w:lang w:val="es-CO"/>
        </w:rPr>
        <w:t>charlas</w:t>
      </w:r>
      <w:r w:rsidR="00463FB4" w:rsidRPr="00E66386">
        <w:rPr>
          <w:rFonts w:asciiTheme="majorHAnsi" w:hAnsiTheme="majorHAnsi"/>
          <w:bCs/>
          <w:sz w:val="20"/>
          <w:szCs w:val="20"/>
          <w:lang w:val="es-CO"/>
        </w:rPr>
        <w:t xml:space="preserve"> antisubversivas,</w:t>
      </w:r>
      <w:r w:rsidR="00F30437" w:rsidRPr="00E66386">
        <w:rPr>
          <w:rFonts w:asciiTheme="majorHAnsi" w:hAnsiTheme="majorHAnsi"/>
          <w:bCs/>
          <w:sz w:val="20"/>
          <w:szCs w:val="20"/>
          <w:lang w:val="es-CO"/>
        </w:rPr>
        <w:t xml:space="preserve"> y</w:t>
      </w:r>
      <w:r w:rsidR="00463FB4" w:rsidRPr="00E66386">
        <w:rPr>
          <w:rFonts w:asciiTheme="majorHAnsi" w:hAnsiTheme="majorHAnsi"/>
          <w:bCs/>
          <w:sz w:val="20"/>
          <w:szCs w:val="20"/>
          <w:lang w:val="es-CO"/>
        </w:rPr>
        <w:t xml:space="preserve"> </w:t>
      </w:r>
      <w:r w:rsidR="00A861F0" w:rsidRPr="00E66386">
        <w:rPr>
          <w:rFonts w:asciiTheme="majorHAnsi" w:hAnsiTheme="majorHAnsi"/>
          <w:bCs/>
          <w:sz w:val="20"/>
          <w:szCs w:val="20"/>
          <w:lang w:val="es-CO"/>
        </w:rPr>
        <w:t>la insistencia del nacionalismo o “guatemalidad”, término que, según aducen</w:t>
      </w:r>
      <w:r w:rsidR="00D61B10" w:rsidRPr="00E66386">
        <w:rPr>
          <w:rFonts w:asciiTheme="majorHAnsi" w:hAnsiTheme="majorHAnsi"/>
          <w:bCs/>
          <w:sz w:val="20"/>
          <w:szCs w:val="20"/>
          <w:lang w:val="es-CO"/>
        </w:rPr>
        <w:t>,</w:t>
      </w:r>
      <w:r w:rsidR="00A861F0" w:rsidRPr="00E66386">
        <w:rPr>
          <w:rFonts w:asciiTheme="majorHAnsi" w:hAnsiTheme="majorHAnsi"/>
          <w:bCs/>
          <w:sz w:val="20"/>
          <w:szCs w:val="20"/>
          <w:lang w:val="es-CO"/>
        </w:rPr>
        <w:t xml:space="preserve"> acuñó Ríos Montt para destruir los vínculos culturales de las comunidades indígenas</w:t>
      </w:r>
      <w:r w:rsidR="009D5C18" w:rsidRPr="00E66386">
        <w:rPr>
          <w:rFonts w:asciiTheme="majorHAnsi" w:hAnsiTheme="majorHAnsi"/>
          <w:bCs/>
          <w:sz w:val="20"/>
          <w:szCs w:val="20"/>
          <w:lang w:val="es-CO"/>
        </w:rPr>
        <w:t xml:space="preserve"> con su </w:t>
      </w:r>
      <w:r w:rsidR="009D5C18" w:rsidRPr="00E66386">
        <w:rPr>
          <w:rFonts w:asciiTheme="majorHAnsi" w:hAnsiTheme="majorHAnsi"/>
          <w:bCs/>
          <w:color w:val="000000" w:themeColor="text1"/>
          <w:sz w:val="20"/>
          <w:szCs w:val="20"/>
          <w:lang w:val="es-CO"/>
        </w:rPr>
        <w:t>tradición</w:t>
      </w:r>
      <w:r w:rsidR="009D5C18" w:rsidRPr="00E66386">
        <w:rPr>
          <w:rFonts w:asciiTheme="majorHAnsi" w:hAnsiTheme="majorHAnsi"/>
          <w:bCs/>
          <w:sz w:val="20"/>
          <w:szCs w:val="20"/>
          <w:lang w:val="es-CO"/>
        </w:rPr>
        <w:t>.</w:t>
      </w:r>
      <w:r w:rsidR="00CF5483" w:rsidRPr="00E66386">
        <w:rPr>
          <w:rFonts w:asciiTheme="majorHAnsi" w:hAnsiTheme="majorHAnsi"/>
          <w:bCs/>
          <w:sz w:val="20"/>
          <w:szCs w:val="20"/>
          <w:lang w:val="es-CO"/>
        </w:rPr>
        <w:t xml:space="preserve"> </w:t>
      </w:r>
      <w:r w:rsidR="008F1053" w:rsidRPr="00E66386">
        <w:rPr>
          <w:rFonts w:asciiTheme="majorHAnsi" w:hAnsiTheme="majorHAnsi"/>
          <w:bCs/>
          <w:sz w:val="20"/>
          <w:szCs w:val="20"/>
          <w:lang w:val="es-CO"/>
        </w:rPr>
        <w:t xml:space="preserve">Los peticionarios señalan que las personas concentradas eran obligadas a delatar a los líderes desplazados en las montañas, </w:t>
      </w:r>
      <w:r w:rsidR="00F30437" w:rsidRPr="00E66386">
        <w:rPr>
          <w:rFonts w:asciiTheme="majorHAnsi" w:hAnsiTheme="majorHAnsi"/>
          <w:bCs/>
          <w:sz w:val="20"/>
          <w:szCs w:val="20"/>
          <w:lang w:val="es-CO"/>
        </w:rPr>
        <w:t xml:space="preserve">y </w:t>
      </w:r>
      <w:r w:rsidR="008F1053" w:rsidRPr="00E66386">
        <w:rPr>
          <w:rFonts w:asciiTheme="majorHAnsi" w:hAnsiTheme="majorHAnsi"/>
          <w:bCs/>
          <w:sz w:val="20"/>
          <w:szCs w:val="20"/>
          <w:lang w:val="es-CO"/>
        </w:rPr>
        <w:t xml:space="preserve">a cambiar al culto evangélico, y en algunos casos, obligaban a los hombres a formar parte de las PAC. </w:t>
      </w:r>
      <w:r w:rsidR="0089140A" w:rsidRPr="00E66386">
        <w:rPr>
          <w:rFonts w:asciiTheme="majorHAnsi" w:hAnsiTheme="majorHAnsi"/>
          <w:bCs/>
          <w:sz w:val="20"/>
          <w:szCs w:val="20"/>
          <w:lang w:val="es-CO"/>
        </w:rPr>
        <w:t xml:space="preserve">Entre las personas reclutadas de manera forzada en las PAC, la parte peticionaria identifica a Pedro Caba Caba, Francisco Guzmán Ramírez, Pedro del Barrio Caba, Diego Ceto Santiado, Nicolás Toma Matóm, Marcelina Castro, Pedro Herrera Bernal, y los sobrevivientes del ataque a la aldea Villa Hortensia II del 15 de abril de 1982. </w:t>
      </w:r>
      <w:r w:rsidR="00EF4866" w:rsidRPr="00E66386">
        <w:rPr>
          <w:rFonts w:asciiTheme="majorHAnsi" w:hAnsiTheme="majorHAnsi"/>
          <w:bCs/>
          <w:sz w:val="20"/>
          <w:szCs w:val="20"/>
          <w:lang w:val="es-CO"/>
        </w:rPr>
        <w:t xml:space="preserve">Los peticionarios arguyen que esas acciones demuestran que la estrategia militar del ejército </w:t>
      </w:r>
      <w:r w:rsidR="00D61A60" w:rsidRPr="00E66386">
        <w:rPr>
          <w:rFonts w:asciiTheme="majorHAnsi" w:hAnsiTheme="majorHAnsi"/>
          <w:bCs/>
          <w:sz w:val="20"/>
          <w:szCs w:val="20"/>
          <w:lang w:val="es-CO"/>
        </w:rPr>
        <w:t xml:space="preserve">propendía por la destrucción del grupo étnico </w:t>
      </w:r>
      <w:r w:rsidR="00C51C64" w:rsidRPr="00E66386">
        <w:rPr>
          <w:rFonts w:asciiTheme="majorHAnsi" w:hAnsiTheme="majorHAnsi"/>
          <w:bCs/>
          <w:sz w:val="20"/>
          <w:szCs w:val="20"/>
          <w:lang w:val="es-CO"/>
        </w:rPr>
        <w:t>Ixil</w:t>
      </w:r>
      <w:r w:rsidR="00D61A60" w:rsidRPr="00E66386">
        <w:rPr>
          <w:rFonts w:asciiTheme="majorHAnsi" w:hAnsiTheme="majorHAnsi"/>
          <w:bCs/>
          <w:sz w:val="20"/>
          <w:szCs w:val="20"/>
          <w:lang w:val="es-CO"/>
        </w:rPr>
        <w:t xml:space="preserve"> no sólo </w:t>
      </w:r>
      <w:r w:rsidR="00C52E34" w:rsidRPr="00E66386">
        <w:rPr>
          <w:rFonts w:asciiTheme="majorHAnsi" w:hAnsiTheme="majorHAnsi"/>
          <w:bCs/>
          <w:sz w:val="20"/>
          <w:szCs w:val="20"/>
          <w:lang w:val="es-CO"/>
        </w:rPr>
        <w:t xml:space="preserve">físicamente, sino también </w:t>
      </w:r>
      <w:r w:rsidR="00F92B83" w:rsidRPr="00E66386">
        <w:rPr>
          <w:rFonts w:asciiTheme="majorHAnsi" w:hAnsiTheme="majorHAnsi"/>
          <w:bCs/>
          <w:sz w:val="20"/>
          <w:szCs w:val="20"/>
          <w:lang w:val="es-CO"/>
        </w:rPr>
        <w:t xml:space="preserve">mediante </w:t>
      </w:r>
      <w:r w:rsidR="00EC32D1" w:rsidRPr="00E66386">
        <w:rPr>
          <w:rFonts w:asciiTheme="majorHAnsi" w:hAnsiTheme="majorHAnsi"/>
          <w:bCs/>
          <w:sz w:val="20"/>
          <w:szCs w:val="20"/>
          <w:lang w:val="es-CO"/>
        </w:rPr>
        <w:t>su</w:t>
      </w:r>
      <w:r w:rsidR="00F92B83" w:rsidRPr="00E66386">
        <w:rPr>
          <w:rFonts w:asciiTheme="majorHAnsi" w:hAnsiTheme="majorHAnsi"/>
          <w:bCs/>
          <w:sz w:val="20"/>
          <w:szCs w:val="20"/>
          <w:lang w:val="es-CO"/>
        </w:rPr>
        <w:t xml:space="preserve"> </w:t>
      </w:r>
      <w:r w:rsidR="00C52E34" w:rsidRPr="00E66386">
        <w:rPr>
          <w:rFonts w:asciiTheme="majorHAnsi" w:hAnsiTheme="majorHAnsi"/>
          <w:bCs/>
          <w:sz w:val="20"/>
          <w:szCs w:val="20"/>
          <w:lang w:val="es-CO"/>
        </w:rPr>
        <w:t>destrucción cultural.</w:t>
      </w:r>
      <w:r w:rsidR="0089140A" w:rsidRPr="00E66386">
        <w:rPr>
          <w:rFonts w:asciiTheme="majorHAnsi" w:hAnsiTheme="majorHAnsi"/>
          <w:bCs/>
          <w:sz w:val="20"/>
          <w:szCs w:val="20"/>
          <w:lang w:val="es-CO"/>
        </w:rPr>
        <w:t xml:space="preserve"> </w:t>
      </w:r>
    </w:p>
    <w:p w14:paraId="5FED3152" w14:textId="5A128A99" w:rsidR="0066036D" w:rsidRPr="00E66386" w:rsidRDefault="009B7919" w:rsidP="00855375">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Adicionalmente, los peticionarios denuncian el uso de la desaparición forzada como instrumento de represión.</w:t>
      </w:r>
      <w:r w:rsidR="00240681" w:rsidRPr="00E66386">
        <w:rPr>
          <w:rFonts w:asciiTheme="majorHAnsi" w:hAnsiTheme="majorHAnsi"/>
          <w:bCs/>
          <w:sz w:val="20"/>
          <w:szCs w:val="20"/>
          <w:lang w:val="es-CO"/>
        </w:rPr>
        <w:t xml:space="preserve"> Señalan que 101 personas fue inscritas como desaparecidas en el Registro Nacional de las Personas, </w:t>
      </w:r>
      <w:r w:rsidR="00583FCE" w:rsidRPr="00E66386">
        <w:rPr>
          <w:rFonts w:asciiTheme="majorHAnsi" w:hAnsiTheme="majorHAnsi"/>
          <w:bCs/>
          <w:sz w:val="20"/>
          <w:szCs w:val="20"/>
          <w:lang w:val="es-CO"/>
        </w:rPr>
        <w:t xml:space="preserve">y 17 fueron identificadas por sobrevivientes como desaparecidas por el ejército, a saber: Mara y Ana Toma Cruz, Domingo Sajic López, Lucas Caba, Sebastián Caba, Gaspar Caba Caba, Domingo Cavinal Rodríguez, Diego Raymundo de León, </w:t>
      </w:r>
      <w:r w:rsidR="00003E94" w:rsidRPr="00E66386">
        <w:rPr>
          <w:rFonts w:asciiTheme="majorHAnsi" w:hAnsiTheme="majorHAnsi"/>
          <w:bCs/>
          <w:sz w:val="20"/>
          <w:szCs w:val="20"/>
          <w:lang w:val="es-CO"/>
        </w:rPr>
        <w:t xml:space="preserve">Jacinta Santiago Bernal, </w:t>
      </w:r>
      <w:r w:rsidR="00B059A0" w:rsidRPr="00E66386">
        <w:rPr>
          <w:rFonts w:asciiTheme="majorHAnsi" w:hAnsiTheme="majorHAnsi"/>
          <w:bCs/>
          <w:sz w:val="20"/>
          <w:szCs w:val="20"/>
          <w:lang w:val="es-CO"/>
        </w:rPr>
        <w:t>Gaspar Berna, Juan Pérez de la Cruz, Pedro Bernal Brito, Juana Bernal Brito, Pedro Berna, el hermano de la señora Magdalena de Paz Cedillo (</w:t>
      </w:r>
      <w:r w:rsidR="00C514A3" w:rsidRPr="00E66386">
        <w:rPr>
          <w:rFonts w:asciiTheme="majorHAnsi" w:hAnsiTheme="majorHAnsi"/>
          <w:bCs/>
          <w:sz w:val="20"/>
          <w:szCs w:val="20"/>
          <w:lang w:val="es-CO"/>
        </w:rPr>
        <w:t xml:space="preserve">quien testificó como </w:t>
      </w:r>
      <w:r w:rsidR="002479F8" w:rsidRPr="00E66386">
        <w:rPr>
          <w:rFonts w:asciiTheme="majorHAnsi" w:hAnsiTheme="majorHAnsi"/>
          <w:bCs/>
          <w:sz w:val="20"/>
          <w:szCs w:val="20"/>
          <w:lang w:val="es-CO"/>
        </w:rPr>
        <w:lastRenderedPageBreak/>
        <w:t>sobreviviente de la masacre de Acul) y el esposo de la señora Ana López (</w:t>
      </w:r>
      <w:r w:rsidR="00C514A3" w:rsidRPr="00E66386">
        <w:rPr>
          <w:rFonts w:asciiTheme="majorHAnsi" w:hAnsiTheme="majorHAnsi"/>
          <w:bCs/>
          <w:sz w:val="20"/>
          <w:szCs w:val="20"/>
          <w:lang w:val="es-CO"/>
        </w:rPr>
        <w:t xml:space="preserve">quien testificó como </w:t>
      </w:r>
      <w:r w:rsidR="002479F8" w:rsidRPr="00E66386">
        <w:rPr>
          <w:rFonts w:asciiTheme="majorHAnsi" w:hAnsiTheme="majorHAnsi"/>
          <w:bCs/>
          <w:sz w:val="20"/>
          <w:szCs w:val="20"/>
          <w:lang w:val="es-CO"/>
        </w:rPr>
        <w:t xml:space="preserve">sobreviviente de </w:t>
      </w:r>
      <w:r w:rsidR="00D63143" w:rsidRPr="00E66386">
        <w:rPr>
          <w:rFonts w:asciiTheme="majorHAnsi" w:hAnsiTheme="majorHAnsi"/>
          <w:bCs/>
          <w:sz w:val="20"/>
          <w:szCs w:val="20"/>
          <w:lang w:val="es-CO"/>
        </w:rPr>
        <w:t>violencia sexual en Xepalma).</w:t>
      </w:r>
    </w:p>
    <w:p w14:paraId="2E221A4D" w14:textId="40265B27" w:rsidR="008417E0" w:rsidRPr="00E66386" w:rsidRDefault="00162D82"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Por último, los peticionarios denuncian el </w:t>
      </w:r>
      <w:r w:rsidR="00344D7A" w:rsidRPr="00E66386">
        <w:rPr>
          <w:rFonts w:asciiTheme="majorHAnsi" w:hAnsiTheme="majorHAnsi"/>
          <w:bCs/>
          <w:sz w:val="20"/>
          <w:szCs w:val="20"/>
          <w:lang w:val="es-CO"/>
        </w:rPr>
        <w:t>“</w:t>
      </w:r>
      <w:r w:rsidRPr="00E66386">
        <w:rPr>
          <w:rFonts w:asciiTheme="majorHAnsi" w:hAnsiTheme="majorHAnsi"/>
          <w:bCs/>
          <w:sz w:val="20"/>
          <w:szCs w:val="20"/>
          <w:lang w:val="es-CO"/>
        </w:rPr>
        <w:t>robo</w:t>
      </w:r>
      <w:r w:rsidR="00344D7A" w:rsidRPr="00E66386">
        <w:rPr>
          <w:rFonts w:asciiTheme="majorHAnsi" w:hAnsiTheme="majorHAnsi"/>
          <w:bCs/>
          <w:sz w:val="20"/>
          <w:szCs w:val="20"/>
          <w:lang w:val="es-CO"/>
        </w:rPr>
        <w:t>”</w:t>
      </w:r>
      <w:r w:rsidRPr="00E66386">
        <w:rPr>
          <w:rFonts w:asciiTheme="majorHAnsi" w:hAnsiTheme="majorHAnsi"/>
          <w:bCs/>
          <w:sz w:val="20"/>
          <w:szCs w:val="20"/>
          <w:lang w:val="es-CO"/>
        </w:rPr>
        <w:t xml:space="preserve"> de niños </w:t>
      </w:r>
      <w:r w:rsidR="00C70DF9" w:rsidRPr="00E66386">
        <w:rPr>
          <w:rFonts w:asciiTheme="majorHAnsi" w:hAnsiTheme="majorHAnsi"/>
          <w:bCs/>
          <w:sz w:val="20"/>
          <w:szCs w:val="20"/>
          <w:lang w:val="es-CO"/>
        </w:rPr>
        <w:t xml:space="preserve">y su entrega </w:t>
      </w:r>
      <w:r w:rsidR="0030726A" w:rsidRPr="00E66386">
        <w:rPr>
          <w:rFonts w:asciiTheme="majorHAnsi" w:hAnsiTheme="majorHAnsi"/>
          <w:bCs/>
          <w:sz w:val="20"/>
          <w:szCs w:val="20"/>
          <w:lang w:val="es-CO"/>
        </w:rPr>
        <w:t>a centros religiosos</w:t>
      </w:r>
      <w:r w:rsidR="00E17AA0" w:rsidRPr="00E66386">
        <w:rPr>
          <w:rFonts w:asciiTheme="majorHAnsi" w:hAnsiTheme="majorHAnsi"/>
          <w:bCs/>
          <w:sz w:val="20"/>
          <w:szCs w:val="20"/>
          <w:lang w:val="es-CO"/>
        </w:rPr>
        <w:t xml:space="preserve"> por parte del </w:t>
      </w:r>
      <w:r w:rsidR="001C4278" w:rsidRPr="00E66386">
        <w:rPr>
          <w:rFonts w:asciiTheme="majorHAnsi" w:hAnsiTheme="majorHAnsi"/>
          <w:bCs/>
          <w:sz w:val="20"/>
          <w:szCs w:val="20"/>
          <w:lang w:val="es-CO"/>
        </w:rPr>
        <w:t>ejército</w:t>
      </w:r>
      <w:r w:rsidR="00E17AA0" w:rsidRPr="00E66386">
        <w:rPr>
          <w:rFonts w:asciiTheme="majorHAnsi" w:hAnsiTheme="majorHAnsi"/>
          <w:bCs/>
          <w:sz w:val="20"/>
          <w:szCs w:val="20"/>
          <w:lang w:val="es-CO"/>
        </w:rPr>
        <w:t xml:space="preserve"> guatemalteco</w:t>
      </w:r>
      <w:r w:rsidRPr="00E66386">
        <w:rPr>
          <w:rFonts w:asciiTheme="majorHAnsi" w:hAnsiTheme="majorHAnsi"/>
          <w:bCs/>
          <w:sz w:val="20"/>
          <w:szCs w:val="20"/>
          <w:lang w:val="es-CO"/>
        </w:rPr>
        <w:t>.</w:t>
      </w:r>
      <w:r w:rsidR="00193CA5" w:rsidRPr="00E66386">
        <w:rPr>
          <w:rFonts w:asciiTheme="majorHAnsi" w:hAnsiTheme="majorHAnsi"/>
          <w:bCs/>
          <w:sz w:val="20"/>
          <w:szCs w:val="20"/>
          <w:lang w:val="es-CO"/>
        </w:rPr>
        <w:t xml:space="preserve"> </w:t>
      </w:r>
      <w:r w:rsidR="00344D7A" w:rsidRPr="00E66386">
        <w:rPr>
          <w:rFonts w:asciiTheme="majorHAnsi" w:hAnsiTheme="majorHAnsi"/>
          <w:bCs/>
          <w:sz w:val="20"/>
          <w:szCs w:val="20"/>
          <w:lang w:val="es-CO"/>
        </w:rPr>
        <w:t>A este respecto, i</w:t>
      </w:r>
      <w:r w:rsidR="00193CA5" w:rsidRPr="00E66386">
        <w:rPr>
          <w:rFonts w:asciiTheme="majorHAnsi" w:hAnsiTheme="majorHAnsi"/>
          <w:bCs/>
          <w:sz w:val="20"/>
          <w:szCs w:val="20"/>
          <w:lang w:val="es-CO"/>
        </w:rPr>
        <w:t>dentifican a los siguientes niños, niñas y adolescente como víctimas de abducción ilegal: Jacinto</w:t>
      </w:r>
      <w:r w:rsidR="00E95D2A" w:rsidRPr="00E66386">
        <w:rPr>
          <w:rFonts w:asciiTheme="majorHAnsi" w:hAnsiTheme="majorHAnsi"/>
          <w:bCs/>
          <w:sz w:val="20"/>
          <w:szCs w:val="20"/>
          <w:lang w:val="es-CO"/>
        </w:rPr>
        <w:t xml:space="preserve"> Lupamac Gómez</w:t>
      </w:r>
      <w:r w:rsidR="00657CA1" w:rsidRPr="00E66386">
        <w:rPr>
          <w:rFonts w:asciiTheme="majorHAnsi" w:hAnsiTheme="majorHAnsi"/>
          <w:bCs/>
          <w:sz w:val="20"/>
          <w:szCs w:val="20"/>
          <w:lang w:val="es-CO"/>
        </w:rPr>
        <w:t xml:space="preserve">, </w:t>
      </w:r>
      <w:r w:rsidR="0040568D" w:rsidRPr="00E66386">
        <w:rPr>
          <w:rFonts w:asciiTheme="majorHAnsi" w:hAnsiTheme="majorHAnsi"/>
          <w:bCs/>
          <w:sz w:val="20"/>
          <w:szCs w:val="20"/>
          <w:lang w:val="es-CO"/>
        </w:rPr>
        <w:t xml:space="preserve">Tomás </w:t>
      </w:r>
      <w:r w:rsidR="00E95D2A" w:rsidRPr="00E66386">
        <w:rPr>
          <w:rFonts w:asciiTheme="majorHAnsi" w:hAnsiTheme="majorHAnsi"/>
          <w:bCs/>
          <w:sz w:val="20"/>
          <w:szCs w:val="20"/>
          <w:lang w:val="es-CO"/>
        </w:rPr>
        <w:t xml:space="preserve">Lupamac Gómez, </w:t>
      </w:r>
      <w:r w:rsidR="00B95727" w:rsidRPr="00E66386">
        <w:rPr>
          <w:rFonts w:asciiTheme="majorHAnsi" w:hAnsiTheme="majorHAnsi"/>
          <w:bCs/>
          <w:sz w:val="20"/>
          <w:szCs w:val="20"/>
          <w:lang w:val="es-CO"/>
        </w:rPr>
        <w:t>Pedro Lupamac Gómez,</w:t>
      </w:r>
      <w:r w:rsidR="00CC22D2" w:rsidRPr="00E66386">
        <w:rPr>
          <w:rFonts w:asciiTheme="majorHAnsi" w:hAnsiTheme="majorHAnsi"/>
          <w:bCs/>
          <w:sz w:val="20"/>
          <w:szCs w:val="20"/>
          <w:lang w:val="es-CO"/>
        </w:rPr>
        <w:t xml:space="preserve"> Marta Chávez Raymundo,</w:t>
      </w:r>
      <w:r w:rsidR="00E17AA0" w:rsidRPr="00E66386">
        <w:rPr>
          <w:rFonts w:asciiTheme="majorHAnsi" w:hAnsiTheme="majorHAnsi"/>
          <w:bCs/>
          <w:sz w:val="20"/>
          <w:szCs w:val="20"/>
          <w:lang w:val="es-CO"/>
        </w:rPr>
        <w:t xml:space="preserve"> y</w:t>
      </w:r>
      <w:r w:rsidR="00CC22D2" w:rsidRPr="00E66386">
        <w:rPr>
          <w:rFonts w:asciiTheme="majorHAnsi" w:hAnsiTheme="majorHAnsi"/>
          <w:bCs/>
          <w:sz w:val="20"/>
          <w:szCs w:val="20"/>
          <w:lang w:val="es-CO"/>
        </w:rPr>
        <w:t xml:space="preserve"> Francisco Chávez Raymundo</w:t>
      </w:r>
      <w:r w:rsidR="00E17AA0" w:rsidRPr="00E66386">
        <w:rPr>
          <w:rFonts w:asciiTheme="majorHAnsi" w:hAnsiTheme="majorHAnsi"/>
          <w:bCs/>
          <w:sz w:val="20"/>
          <w:szCs w:val="20"/>
          <w:lang w:val="es-CO"/>
        </w:rPr>
        <w:t>.</w:t>
      </w:r>
      <w:r w:rsidR="008A41B1" w:rsidRPr="00E66386">
        <w:rPr>
          <w:rFonts w:asciiTheme="majorHAnsi" w:hAnsiTheme="majorHAnsi"/>
          <w:bCs/>
          <w:sz w:val="20"/>
          <w:szCs w:val="20"/>
          <w:lang w:val="es-CO"/>
        </w:rPr>
        <w:t xml:space="preserve"> Refieren que con la implementación de </w:t>
      </w:r>
      <w:r w:rsidR="00E22863" w:rsidRPr="00E66386">
        <w:rPr>
          <w:rFonts w:asciiTheme="majorHAnsi" w:hAnsiTheme="majorHAnsi"/>
          <w:bCs/>
          <w:sz w:val="20"/>
          <w:szCs w:val="20"/>
          <w:lang w:val="es-CO"/>
        </w:rPr>
        <w:t xml:space="preserve">los acuerdos de paz se </w:t>
      </w:r>
      <w:r w:rsidR="008A41B1" w:rsidRPr="00E66386">
        <w:rPr>
          <w:rFonts w:asciiTheme="majorHAnsi" w:hAnsiTheme="majorHAnsi"/>
          <w:bCs/>
          <w:sz w:val="20"/>
          <w:szCs w:val="20"/>
          <w:lang w:val="es-CO"/>
        </w:rPr>
        <w:t>expidi</w:t>
      </w:r>
      <w:r w:rsidR="006C7EC5" w:rsidRPr="00E66386">
        <w:rPr>
          <w:rFonts w:asciiTheme="majorHAnsi" w:hAnsiTheme="majorHAnsi"/>
          <w:bCs/>
          <w:sz w:val="20"/>
          <w:szCs w:val="20"/>
          <w:lang w:val="es-CO"/>
        </w:rPr>
        <w:t>ó</w:t>
      </w:r>
      <w:r w:rsidR="00E22863" w:rsidRPr="00E66386">
        <w:rPr>
          <w:rFonts w:asciiTheme="majorHAnsi" w:hAnsiTheme="majorHAnsi"/>
          <w:bCs/>
          <w:sz w:val="20"/>
          <w:szCs w:val="20"/>
          <w:lang w:val="es-CO"/>
        </w:rPr>
        <w:t xml:space="preserve"> la Ley Especial de Documentación que abrió la posibilidad de inscribir los cambios en el estado civil de las personas que no habían sido inscritos a causa del conflicto armado</w:t>
      </w:r>
      <w:r w:rsidR="008A755D" w:rsidRPr="00E66386">
        <w:rPr>
          <w:rFonts w:asciiTheme="majorHAnsi" w:hAnsiTheme="majorHAnsi"/>
          <w:bCs/>
          <w:sz w:val="20"/>
          <w:szCs w:val="20"/>
          <w:lang w:val="es-CO"/>
        </w:rPr>
        <w:t>,</w:t>
      </w:r>
      <w:r w:rsidR="00E22863" w:rsidRPr="00E66386">
        <w:rPr>
          <w:rFonts w:asciiTheme="majorHAnsi" w:hAnsiTheme="majorHAnsi"/>
          <w:bCs/>
          <w:sz w:val="20"/>
          <w:szCs w:val="20"/>
          <w:lang w:val="es-CO"/>
        </w:rPr>
        <w:t xml:space="preserve"> </w:t>
      </w:r>
      <w:r w:rsidR="008A41B1" w:rsidRPr="00E66386">
        <w:rPr>
          <w:rFonts w:asciiTheme="majorHAnsi" w:hAnsiTheme="majorHAnsi"/>
          <w:bCs/>
          <w:sz w:val="20"/>
          <w:szCs w:val="20"/>
          <w:lang w:val="es-CO"/>
        </w:rPr>
        <w:t xml:space="preserve">con lo que se </w:t>
      </w:r>
      <w:r w:rsidR="00E22863" w:rsidRPr="00E66386">
        <w:rPr>
          <w:rFonts w:asciiTheme="majorHAnsi" w:hAnsiTheme="majorHAnsi"/>
          <w:bCs/>
          <w:sz w:val="20"/>
          <w:szCs w:val="20"/>
          <w:lang w:val="es-CO"/>
        </w:rPr>
        <w:t>legaliz</w:t>
      </w:r>
      <w:r w:rsidR="008A41B1" w:rsidRPr="00E66386">
        <w:rPr>
          <w:rFonts w:asciiTheme="majorHAnsi" w:hAnsiTheme="majorHAnsi"/>
          <w:bCs/>
          <w:sz w:val="20"/>
          <w:szCs w:val="20"/>
          <w:lang w:val="es-CO"/>
        </w:rPr>
        <w:t>ó</w:t>
      </w:r>
      <w:r w:rsidR="00E22863" w:rsidRPr="00E66386">
        <w:rPr>
          <w:rFonts w:asciiTheme="majorHAnsi" w:hAnsiTheme="majorHAnsi"/>
          <w:bCs/>
          <w:sz w:val="20"/>
          <w:szCs w:val="20"/>
          <w:lang w:val="es-CO"/>
        </w:rPr>
        <w:t xml:space="preserve"> </w:t>
      </w:r>
      <w:r w:rsidR="008A41B1" w:rsidRPr="00E66386">
        <w:rPr>
          <w:rFonts w:asciiTheme="majorHAnsi" w:hAnsiTheme="majorHAnsi"/>
          <w:bCs/>
          <w:sz w:val="20"/>
          <w:szCs w:val="20"/>
          <w:lang w:val="es-CO"/>
        </w:rPr>
        <w:t xml:space="preserve">la </w:t>
      </w:r>
      <w:r w:rsidR="00E22863" w:rsidRPr="00E66386">
        <w:rPr>
          <w:rFonts w:asciiTheme="majorHAnsi" w:hAnsiTheme="majorHAnsi"/>
          <w:bCs/>
          <w:sz w:val="20"/>
          <w:szCs w:val="20"/>
          <w:lang w:val="es-CO"/>
        </w:rPr>
        <w:t>situación</w:t>
      </w:r>
      <w:r w:rsidR="008A41B1" w:rsidRPr="00E66386">
        <w:rPr>
          <w:rFonts w:asciiTheme="majorHAnsi" w:hAnsiTheme="majorHAnsi"/>
          <w:bCs/>
          <w:sz w:val="20"/>
          <w:szCs w:val="20"/>
          <w:lang w:val="es-CO"/>
        </w:rPr>
        <w:t xml:space="preserve"> de algunos niño</w:t>
      </w:r>
      <w:r w:rsidR="00E841FA" w:rsidRPr="00E66386">
        <w:rPr>
          <w:rFonts w:asciiTheme="majorHAnsi" w:hAnsiTheme="majorHAnsi"/>
          <w:bCs/>
          <w:sz w:val="20"/>
          <w:szCs w:val="20"/>
          <w:lang w:val="es-CO"/>
        </w:rPr>
        <w:t>s</w:t>
      </w:r>
      <w:r w:rsidR="00E22863" w:rsidRPr="00E66386">
        <w:rPr>
          <w:rFonts w:asciiTheme="majorHAnsi" w:hAnsiTheme="majorHAnsi"/>
          <w:bCs/>
          <w:sz w:val="20"/>
          <w:szCs w:val="20"/>
          <w:lang w:val="es-CO"/>
        </w:rPr>
        <w:t>.</w:t>
      </w:r>
      <w:r w:rsidR="00BD2DA4" w:rsidRPr="00E66386">
        <w:rPr>
          <w:rFonts w:asciiTheme="majorHAnsi" w:hAnsiTheme="majorHAnsi"/>
          <w:bCs/>
          <w:sz w:val="20"/>
          <w:szCs w:val="20"/>
          <w:lang w:val="es-CO"/>
        </w:rPr>
        <w:t xml:space="preserve"> Sin embargo, </w:t>
      </w:r>
      <w:r w:rsidR="008A755D" w:rsidRPr="00E66386">
        <w:rPr>
          <w:rFonts w:asciiTheme="majorHAnsi" w:hAnsiTheme="majorHAnsi"/>
          <w:bCs/>
          <w:sz w:val="20"/>
          <w:szCs w:val="20"/>
          <w:lang w:val="es-CO"/>
        </w:rPr>
        <w:t xml:space="preserve">algunos </w:t>
      </w:r>
      <w:r w:rsidR="00BD2DA4" w:rsidRPr="00E66386">
        <w:rPr>
          <w:rFonts w:asciiTheme="majorHAnsi" w:hAnsiTheme="majorHAnsi"/>
          <w:bCs/>
          <w:sz w:val="20"/>
          <w:szCs w:val="20"/>
          <w:lang w:val="es-CO"/>
        </w:rPr>
        <w:t>niños habrían sido registrados bajo el nombre de la familia adoptiva, lo que considera</w:t>
      </w:r>
      <w:r w:rsidR="008A755D" w:rsidRPr="00E66386">
        <w:rPr>
          <w:rFonts w:asciiTheme="majorHAnsi" w:hAnsiTheme="majorHAnsi"/>
          <w:bCs/>
          <w:sz w:val="20"/>
          <w:szCs w:val="20"/>
          <w:lang w:val="es-CO"/>
        </w:rPr>
        <w:t>n</w:t>
      </w:r>
      <w:r w:rsidR="00BD2DA4" w:rsidRPr="00E66386">
        <w:rPr>
          <w:rFonts w:asciiTheme="majorHAnsi" w:hAnsiTheme="majorHAnsi"/>
          <w:bCs/>
          <w:sz w:val="20"/>
          <w:szCs w:val="20"/>
          <w:lang w:val="es-CO"/>
        </w:rPr>
        <w:t xml:space="preserve"> una violación de su derecho a la identidad y al nombre.</w:t>
      </w:r>
      <w:r w:rsidR="00E22863" w:rsidRPr="00E66386">
        <w:rPr>
          <w:rFonts w:asciiTheme="majorHAnsi" w:hAnsiTheme="majorHAnsi"/>
          <w:bCs/>
          <w:sz w:val="20"/>
          <w:szCs w:val="20"/>
          <w:lang w:val="es-CO"/>
        </w:rPr>
        <w:t xml:space="preserve"> </w:t>
      </w:r>
      <w:r w:rsidR="004942F7" w:rsidRPr="00E66386">
        <w:rPr>
          <w:rFonts w:asciiTheme="majorHAnsi" w:hAnsiTheme="majorHAnsi"/>
          <w:bCs/>
          <w:sz w:val="20"/>
          <w:szCs w:val="20"/>
          <w:lang w:val="es-CO"/>
        </w:rPr>
        <w:t>Refieren que a</w:t>
      </w:r>
      <w:r w:rsidR="00E841FA" w:rsidRPr="00E66386">
        <w:rPr>
          <w:rFonts w:asciiTheme="majorHAnsi" w:hAnsiTheme="majorHAnsi"/>
          <w:bCs/>
          <w:sz w:val="20"/>
          <w:szCs w:val="20"/>
          <w:lang w:val="es-CO"/>
        </w:rPr>
        <w:t xml:space="preserve">lgunos de ellos </w:t>
      </w:r>
      <w:r w:rsidR="00293ED6" w:rsidRPr="00E66386">
        <w:rPr>
          <w:rFonts w:asciiTheme="majorHAnsi" w:hAnsiTheme="majorHAnsi"/>
          <w:bCs/>
          <w:sz w:val="20"/>
          <w:szCs w:val="20"/>
          <w:lang w:val="es-CO"/>
        </w:rPr>
        <w:t xml:space="preserve">pudieron </w:t>
      </w:r>
      <w:r w:rsidR="00E22863" w:rsidRPr="00E66386">
        <w:rPr>
          <w:rFonts w:asciiTheme="majorHAnsi" w:hAnsiTheme="majorHAnsi"/>
          <w:bCs/>
          <w:sz w:val="20"/>
          <w:szCs w:val="20"/>
          <w:lang w:val="es-CO"/>
        </w:rPr>
        <w:t>reenc</w:t>
      </w:r>
      <w:r w:rsidR="00293ED6" w:rsidRPr="00E66386">
        <w:rPr>
          <w:rFonts w:asciiTheme="majorHAnsi" w:hAnsiTheme="majorHAnsi"/>
          <w:bCs/>
          <w:sz w:val="20"/>
          <w:szCs w:val="20"/>
          <w:lang w:val="es-CO"/>
        </w:rPr>
        <w:t>o</w:t>
      </w:r>
      <w:r w:rsidR="00E22863" w:rsidRPr="00E66386">
        <w:rPr>
          <w:rFonts w:asciiTheme="majorHAnsi" w:hAnsiTheme="majorHAnsi"/>
          <w:bCs/>
          <w:sz w:val="20"/>
          <w:szCs w:val="20"/>
          <w:lang w:val="es-CO"/>
        </w:rPr>
        <w:t>ntr</w:t>
      </w:r>
      <w:r w:rsidR="00293ED6" w:rsidRPr="00E66386">
        <w:rPr>
          <w:rFonts w:asciiTheme="majorHAnsi" w:hAnsiTheme="majorHAnsi"/>
          <w:bCs/>
          <w:sz w:val="20"/>
          <w:szCs w:val="20"/>
          <w:lang w:val="es-CO"/>
        </w:rPr>
        <w:t>arse con su familia</w:t>
      </w:r>
      <w:r w:rsidR="00E22863" w:rsidRPr="00E66386">
        <w:rPr>
          <w:rFonts w:asciiTheme="majorHAnsi" w:hAnsiTheme="majorHAnsi"/>
          <w:bCs/>
          <w:sz w:val="20"/>
          <w:szCs w:val="20"/>
          <w:lang w:val="es-CO"/>
        </w:rPr>
        <w:t xml:space="preserve"> </w:t>
      </w:r>
      <w:r w:rsidR="00293ED6" w:rsidRPr="00E66386">
        <w:rPr>
          <w:rFonts w:asciiTheme="majorHAnsi" w:hAnsiTheme="majorHAnsi"/>
          <w:bCs/>
          <w:sz w:val="20"/>
          <w:szCs w:val="20"/>
          <w:lang w:val="es-CO"/>
        </w:rPr>
        <w:t xml:space="preserve">gracias a un programa de </w:t>
      </w:r>
      <w:r w:rsidR="00E22863" w:rsidRPr="00E66386">
        <w:rPr>
          <w:rFonts w:asciiTheme="majorHAnsi" w:hAnsiTheme="majorHAnsi"/>
          <w:bCs/>
          <w:sz w:val="20"/>
          <w:szCs w:val="20"/>
          <w:lang w:val="es-CO"/>
        </w:rPr>
        <w:t>la Oficina de Derechos Humanos del Arzobispado de Guatemala</w:t>
      </w:r>
      <w:r w:rsidR="006C7EC5" w:rsidRPr="00E66386">
        <w:rPr>
          <w:rFonts w:asciiTheme="majorHAnsi" w:hAnsiTheme="majorHAnsi"/>
          <w:bCs/>
          <w:sz w:val="20"/>
          <w:szCs w:val="20"/>
          <w:lang w:val="es-CO"/>
        </w:rPr>
        <w:t>.</w:t>
      </w:r>
    </w:p>
    <w:p w14:paraId="28FA9AF0" w14:textId="131EB6F2" w:rsidR="00293ED6" w:rsidRPr="00E66386" w:rsidRDefault="00301FC0" w:rsidP="00293ED6">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 xml:space="preserve">Investigación penal de los delitos cometidos con el grupo maya </w:t>
      </w:r>
      <w:r w:rsidR="00C51C64" w:rsidRPr="00E66386">
        <w:rPr>
          <w:rFonts w:asciiTheme="majorHAnsi" w:hAnsiTheme="majorHAnsi"/>
          <w:bCs/>
          <w:i/>
          <w:iCs/>
          <w:sz w:val="20"/>
          <w:szCs w:val="20"/>
          <w:lang w:val="es-CO"/>
        </w:rPr>
        <w:t>Ixil</w:t>
      </w:r>
    </w:p>
    <w:p w14:paraId="77BED315" w14:textId="3878011B" w:rsidR="00293ED6" w:rsidRPr="00E66386" w:rsidRDefault="00536C0D"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La parte peticionaria relata que </w:t>
      </w:r>
      <w:r w:rsidR="004F1AAB" w:rsidRPr="00E66386">
        <w:rPr>
          <w:rFonts w:asciiTheme="majorHAnsi" w:hAnsiTheme="majorHAnsi"/>
          <w:bCs/>
          <w:sz w:val="20"/>
          <w:szCs w:val="20"/>
          <w:lang w:val="es-CO"/>
        </w:rPr>
        <w:t>entre 1999 y 2001</w:t>
      </w:r>
      <w:r w:rsidR="00F12D68" w:rsidRPr="00E66386">
        <w:rPr>
          <w:rFonts w:asciiTheme="majorHAnsi" w:hAnsiTheme="majorHAnsi"/>
          <w:bCs/>
          <w:sz w:val="20"/>
          <w:szCs w:val="20"/>
          <w:lang w:val="es-CO"/>
        </w:rPr>
        <w:t xml:space="preserve"> </w:t>
      </w:r>
      <w:r w:rsidR="00266B16" w:rsidRPr="00E66386">
        <w:rPr>
          <w:rFonts w:asciiTheme="majorHAnsi" w:hAnsiTheme="majorHAnsi"/>
          <w:bCs/>
          <w:sz w:val="20"/>
          <w:szCs w:val="20"/>
          <w:lang w:val="es-CO"/>
        </w:rPr>
        <w:t xml:space="preserve">muchos </w:t>
      </w:r>
      <w:r w:rsidR="00F12D68" w:rsidRPr="00E66386">
        <w:rPr>
          <w:rFonts w:asciiTheme="majorHAnsi" w:hAnsiTheme="majorHAnsi"/>
          <w:bCs/>
          <w:sz w:val="20"/>
          <w:szCs w:val="20"/>
          <w:lang w:val="es-CO"/>
        </w:rPr>
        <w:t xml:space="preserve">sobrevivientes </w:t>
      </w:r>
      <w:r w:rsidR="00EF127C" w:rsidRPr="00E66386">
        <w:rPr>
          <w:rFonts w:asciiTheme="majorHAnsi" w:hAnsiTheme="majorHAnsi"/>
          <w:bCs/>
          <w:sz w:val="20"/>
          <w:szCs w:val="20"/>
          <w:lang w:val="es-CO"/>
        </w:rPr>
        <w:t xml:space="preserve">presentaron denuncias por los crímenes cometidos por el ejército </w:t>
      </w:r>
      <w:r w:rsidR="00896244" w:rsidRPr="00E66386">
        <w:rPr>
          <w:rFonts w:asciiTheme="majorHAnsi" w:hAnsiTheme="majorHAnsi"/>
          <w:bCs/>
          <w:sz w:val="20"/>
          <w:szCs w:val="20"/>
          <w:lang w:val="es-CO"/>
        </w:rPr>
        <w:t>durante la</w:t>
      </w:r>
      <w:r w:rsidR="00EF127C" w:rsidRPr="00E66386">
        <w:rPr>
          <w:rFonts w:asciiTheme="majorHAnsi" w:hAnsiTheme="majorHAnsi"/>
          <w:bCs/>
          <w:sz w:val="20"/>
          <w:szCs w:val="20"/>
          <w:lang w:val="es-CO"/>
        </w:rPr>
        <w:t xml:space="preserve"> dictadura</w:t>
      </w:r>
      <w:r w:rsidR="00896244" w:rsidRPr="00E66386">
        <w:rPr>
          <w:rFonts w:asciiTheme="majorHAnsi" w:hAnsiTheme="majorHAnsi"/>
          <w:bCs/>
          <w:sz w:val="20"/>
          <w:szCs w:val="20"/>
          <w:lang w:val="es-CO"/>
        </w:rPr>
        <w:t>. De particular importancia es la denun</w:t>
      </w:r>
      <w:r w:rsidR="005332B0" w:rsidRPr="00E66386">
        <w:rPr>
          <w:rFonts w:asciiTheme="majorHAnsi" w:hAnsiTheme="majorHAnsi"/>
          <w:bCs/>
          <w:sz w:val="20"/>
          <w:szCs w:val="20"/>
          <w:lang w:val="es-CO"/>
        </w:rPr>
        <w:t>cia del 6 de junio de 2001 presentada por un grupo de sobrevivientes organizados en la Asociación para la Justicia y la Reconciliación (en adelante “AJR”</w:t>
      </w:r>
      <w:r w:rsidR="004B35D5" w:rsidRPr="00E66386">
        <w:rPr>
          <w:rFonts w:asciiTheme="majorHAnsi" w:hAnsiTheme="majorHAnsi"/>
          <w:bCs/>
          <w:sz w:val="20"/>
          <w:szCs w:val="20"/>
          <w:lang w:val="es-CO"/>
        </w:rPr>
        <w:t>, parte peticionaria en el presente trámite</w:t>
      </w:r>
      <w:r w:rsidR="005332B0" w:rsidRPr="00E66386">
        <w:rPr>
          <w:rFonts w:asciiTheme="majorHAnsi" w:hAnsiTheme="majorHAnsi"/>
          <w:bCs/>
          <w:sz w:val="20"/>
          <w:szCs w:val="20"/>
          <w:lang w:val="es-CO"/>
        </w:rPr>
        <w:t>)</w:t>
      </w:r>
      <w:r w:rsidR="00913727" w:rsidRPr="00E66386">
        <w:rPr>
          <w:rFonts w:asciiTheme="majorHAnsi" w:hAnsiTheme="majorHAnsi"/>
          <w:bCs/>
          <w:sz w:val="20"/>
          <w:szCs w:val="20"/>
          <w:lang w:val="es-CO"/>
        </w:rPr>
        <w:t xml:space="preserve">, </w:t>
      </w:r>
      <w:r w:rsidR="00F165B2" w:rsidRPr="00E66386">
        <w:rPr>
          <w:rFonts w:asciiTheme="majorHAnsi" w:hAnsiTheme="majorHAnsi"/>
          <w:bCs/>
          <w:sz w:val="20"/>
          <w:szCs w:val="20"/>
          <w:lang w:val="es-CO"/>
        </w:rPr>
        <w:t xml:space="preserve">por el delito de </w:t>
      </w:r>
      <w:r w:rsidR="00E7451F" w:rsidRPr="00E66386">
        <w:rPr>
          <w:rFonts w:asciiTheme="majorHAnsi" w:hAnsiTheme="majorHAnsi"/>
          <w:bCs/>
          <w:sz w:val="20"/>
          <w:szCs w:val="20"/>
          <w:lang w:val="es-CO"/>
        </w:rPr>
        <w:t>genocidio</w:t>
      </w:r>
      <w:r w:rsidR="00F165B2" w:rsidRPr="00E66386">
        <w:rPr>
          <w:rFonts w:asciiTheme="majorHAnsi" w:hAnsiTheme="majorHAnsi"/>
          <w:bCs/>
          <w:sz w:val="20"/>
          <w:szCs w:val="20"/>
          <w:lang w:val="es-CO"/>
        </w:rPr>
        <w:t xml:space="preserve"> en contra de los integrantes del Alto Mando del Ejército de Guatemala.</w:t>
      </w:r>
      <w:r w:rsidR="00E7451F" w:rsidRPr="00E66386">
        <w:rPr>
          <w:rFonts w:asciiTheme="majorHAnsi" w:hAnsiTheme="majorHAnsi"/>
          <w:bCs/>
          <w:sz w:val="20"/>
          <w:szCs w:val="20"/>
          <w:lang w:val="es-CO"/>
        </w:rPr>
        <w:t xml:space="preserve"> En esta denuncia se incluyeron una serie de masacres y otros delitos cometidos entre el 23 de marzo de 1982 y el 21 de octubre de 1983</w:t>
      </w:r>
      <w:r w:rsidR="00BD6648" w:rsidRPr="00E66386">
        <w:rPr>
          <w:rFonts w:asciiTheme="majorHAnsi" w:hAnsiTheme="majorHAnsi"/>
          <w:bCs/>
          <w:sz w:val="20"/>
          <w:szCs w:val="20"/>
          <w:lang w:val="es-CO"/>
        </w:rPr>
        <w:t xml:space="preserve"> contra varios grupos maya, incluido el </w:t>
      </w:r>
      <w:r w:rsidR="00C51C64" w:rsidRPr="00E66386">
        <w:rPr>
          <w:rFonts w:asciiTheme="majorHAnsi" w:hAnsiTheme="majorHAnsi"/>
          <w:bCs/>
          <w:sz w:val="20"/>
          <w:szCs w:val="20"/>
          <w:lang w:val="es-CO"/>
        </w:rPr>
        <w:t>Ixil</w:t>
      </w:r>
      <w:r w:rsidR="00D62ED7" w:rsidRPr="00E66386">
        <w:rPr>
          <w:rFonts w:asciiTheme="majorHAnsi" w:hAnsiTheme="majorHAnsi"/>
          <w:bCs/>
          <w:sz w:val="20"/>
          <w:szCs w:val="20"/>
          <w:lang w:val="es-CO"/>
        </w:rPr>
        <w:t>.</w:t>
      </w:r>
    </w:p>
    <w:p w14:paraId="01D5BB27" w14:textId="07556441" w:rsidR="00DA1B1A" w:rsidRPr="00E66386" w:rsidRDefault="00D24120"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La querella inicial fue registrad</w:t>
      </w:r>
      <w:r w:rsidR="00563514" w:rsidRPr="00E66386">
        <w:rPr>
          <w:rFonts w:asciiTheme="majorHAnsi" w:hAnsiTheme="majorHAnsi"/>
          <w:bCs/>
          <w:sz w:val="20"/>
          <w:szCs w:val="20"/>
          <w:lang w:val="es-CO"/>
        </w:rPr>
        <w:t>a</w:t>
      </w:r>
      <w:r w:rsidRPr="00E66386">
        <w:rPr>
          <w:rFonts w:asciiTheme="majorHAnsi" w:hAnsiTheme="majorHAnsi"/>
          <w:bCs/>
          <w:sz w:val="20"/>
          <w:szCs w:val="20"/>
          <w:lang w:val="es-CO"/>
        </w:rPr>
        <w:t xml:space="preserve"> </w:t>
      </w:r>
      <w:r w:rsidR="00563514" w:rsidRPr="00E66386">
        <w:rPr>
          <w:rFonts w:asciiTheme="majorHAnsi" w:hAnsiTheme="majorHAnsi"/>
          <w:bCs/>
          <w:sz w:val="20"/>
          <w:szCs w:val="20"/>
          <w:lang w:val="es-CO"/>
        </w:rPr>
        <w:t>bajo el número 6665-2001</w:t>
      </w:r>
      <w:r w:rsidR="0064048A" w:rsidRPr="00E66386">
        <w:rPr>
          <w:rFonts w:asciiTheme="majorHAnsi" w:hAnsiTheme="majorHAnsi"/>
          <w:bCs/>
          <w:sz w:val="20"/>
          <w:szCs w:val="20"/>
          <w:lang w:val="es-CO"/>
        </w:rPr>
        <w:t xml:space="preserve">, desglosada en varias causas en 2006 y posteriormente </w:t>
      </w:r>
      <w:r w:rsidR="00841D53" w:rsidRPr="00E66386">
        <w:rPr>
          <w:rFonts w:asciiTheme="majorHAnsi" w:hAnsiTheme="majorHAnsi"/>
          <w:bCs/>
          <w:sz w:val="20"/>
          <w:szCs w:val="20"/>
          <w:lang w:val="es-CO"/>
        </w:rPr>
        <w:t xml:space="preserve">acumulada y </w:t>
      </w:r>
      <w:r w:rsidR="0064048A" w:rsidRPr="00E66386">
        <w:rPr>
          <w:rFonts w:asciiTheme="majorHAnsi" w:hAnsiTheme="majorHAnsi"/>
          <w:bCs/>
          <w:sz w:val="20"/>
          <w:szCs w:val="20"/>
          <w:lang w:val="es-CO"/>
        </w:rPr>
        <w:t xml:space="preserve">enfocada en las masacres cometidas en el área </w:t>
      </w:r>
      <w:r w:rsidR="00C51C64" w:rsidRPr="00E66386">
        <w:rPr>
          <w:rFonts w:asciiTheme="majorHAnsi" w:hAnsiTheme="majorHAnsi"/>
          <w:bCs/>
          <w:sz w:val="20"/>
          <w:szCs w:val="20"/>
          <w:lang w:val="es-CO"/>
        </w:rPr>
        <w:t>Ixil</w:t>
      </w:r>
      <w:r w:rsidR="00D4514E" w:rsidRPr="00E66386">
        <w:rPr>
          <w:rFonts w:asciiTheme="majorHAnsi" w:hAnsiTheme="majorHAnsi"/>
          <w:bCs/>
          <w:sz w:val="20"/>
          <w:szCs w:val="20"/>
          <w:lang w:val="es-CO"/>
        </w:rPr>
        <w:t>. Los peticionarios aseveran que, en un primer momento, la investigación permaneció estancada del 2001 al 2009</w:t>
      </w:r>
      <w:r w:rsidR="00430C06" w:rsidRPr="00E66386">
        <w:rPr>
          <w:rFonts w:asciiTheme="majorHAnsi" w:hAnsiTheme="majorHAnsi"/>
          <w:bCs/>
          <w:sz w:val="20"/>
          <w:szCs w:val="20"/>
          <w:lang w:val="es-CO"/>
        </w:rPr>
        <w:t>, periodo en el cual el Ministerio Público recibió 80 testimonios de sobrevivientes y la declaración de tres militares señalados en la querella.</w:t>
      </w:r>
      <w:r w:rsidR="00701996" w:rsidRPr="00E66386">
        <w:rPr>
          <w:rFonts w:asciiTheme="majorHAnsi" w:hAnsiTheme="majorHAnsi"/>
          <w:bCs/>
          <w:sz w:val="20"/>
          <w:szCs w:val="20"/>
          <w:lang w:val="es-CO"/>
        </w:rPr>
        <w:t xml:space="preserve"> Aducen que el Ministerio Público se abstuvo de realizar otras diligencias investigativas</w:t>
      </w:r>
      <w:r w:rsidR="0056450D" w:rsidRPr="00E66386">
        <w:rPr>
          <w:rFonts w:asciiTheme="majorHAnsi" w:hAnsiTheme="majorHAnsi"/>
          <w:bCs/>
          <w:sz w:val="20"/>
          <w:szCs w:val="20"/>
          <w:lang w:val="es-CO"/>
        </w:rPr>
        <w:t xml:space="preserve"> e imputaciones</w:t>
      </w:r>
      <w:r w:rsidR="00394323" w:rsidRPr="00E66386">
        <w:rPr>
          <w:rFonts w:asciiTheme="majorHAnsi" w:hAnsiTheme="majorHAnsi"/>
          <w:bCs/>
          <w:sz w:val="20"/>
          <w:szCs w:val="20"/>
          <w:lang w:val="es-CO"/>
        </w:rPr>
        <w:t>.</w:t>
      </w:r>
      <w:r w:rsidR="0056450D" w:rsidRPr="00E66386">
        <w:rPr>
          <w:rFonts w:asciiTheme="majorHAnsi" w:hAnsiTheme="majorHAnsi"/>
          <w:bCs/>
          <w:sz w:val="20"/>
          <w:szCs w:val="20"/>
          <w:lang w:val="es-CO"/>
        </w:rPr>
        <w:t xml:space="preserve"> </w:t>
      </w:r>
      <w:r w:rsidR="00394323" w:rsidRPr="00E66386">
        <w:rPr>
          <w:rFonts w:asciiTheme="majorHAnsi" w:hAnsiTheme="majorHAnsi"/>
          <w:bCs/>
          <w:sz w:val="20"/>
          <w:szCs w:val="20"/>
          <w:lang w:val="es-CO"/>
        </w:rPr>
        <w:t>S</w:t>
      </w:r>
      <w:r w:rsidR="00410ED8" w:rsidRPr="00E66386">
        <w:rPr>
          <w:rFonts w:asciiTheme="majorHAnsi" w:hAnsiTheme="majorHAnsi"/>
          <w:bCs/>
          <w:sz w:val="20"/>
          <w:szCs w:val="20"/>
          <w:lang w:val="es-CO"/>
        </w:rPr>
        <w:t xml:space="preserve">ostienen que </w:t>
      </w:r>
      <w:r w:rsidR="0056450D" w:rsidRPr="00E66386">
        <w:rPr>
          <w:rFonts w:asciiTheme="majorHAnsi" w:hAnsiTheme="majorHAnsi"/>
          <w:bCs/>
          <w:sz w:val="20"/>
          <w:szCs w:val="20"/>
          <w:lang w:val="es-CO"/>
        </w:rPr>
        <w:t>el p</w:t>
      </w:r>
      <w:r w:rsidR="00410ED8" w:rsidRPr="00E66386">
        <w:rPr>
          <w:rFonts w:asciiTheme="majorHAnsi" w:hAnsiTheme="majorHAnsi"/>
          <w:bCs/>
          <w:sz w:val="20"/>
          <w:szCs w:val="20"/>
          <w:lang w:val="es-CO"/>
        </w:rPr>
        <w:t>e</w:t>
      </w:r>
      <w:r w:rsidR="0056450D" w:rsidRPr="00E66386">
        <w:rPr>
          <w:rFonts w:asciiTheme="majorHAnsi" w:hAnsiTheme="majorHAnsi"/>
          <w:bCs/>
          <w:sz w:val="20"/>
          <w:szCs w:val="20"/>
          <w:lang w:val="es-CO"/>
        </w:rPr>
        <w:t>so de la investigación recayó en las víctimas.</w:t>
      </w:r>
    </w:p>
    <w:p w14:paraId="0DF9A87A" w14:textId="70810BC3" w:rsidR="00D24120" w:rsidRPr="00E66386" w:rsidRDefault="00394323"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Aunado a ello, </w:t>
      </w:r>
      <w:r w:rsidR="00944809" w:rsidRPr="00E66386">
        <w:rPr>
          <w:rFonts w:asciiTheme="majorHAnsi" w:hAnsiTheme="majorHAnsi"/>
          <w:bCs/>
          <w:sz w:val="20"/>
          <w:szCs w:val="20"/>
          <w:lang w:val="es-CO"/>
        </w:rPr>
        <w:t xml:space="preserve">denuncian la obstaculización para que las presuntas víctimas accedieran a los documentos y planes militares </w:t>
      </w:r>
      <w:r w:rsidR="00F71868" w:rsidRPr="00E66386">
        <w:rPr>
          <w:rFonts w:asciiTheme="majorHAnsi" w:hAnsiTheme="majorHAnsi"/>
          <w:bCs/>
          <w:sz w:val="20"/>
          <w:szCs w:val="20"/>
          <w:lang w:val="es-CO"/>
        </w:rPr>
        <w:t>en el marco de la causa penal.</w:t>
      </w:r>
      <w:r w:rsidR="009E1066" w:rsidRPr="00E66386">
        <w:rPr>
          <w:rFonts w:asciiTheme="majorHAnsi" w:hAnsiTheme="majorHAnsi"/>
          <w:bCs/>
          <w:sz w:val="20"/>
          <w:szCs w:val="20"/>
          <w:lang w:val="es-CO"/>
        </w:rPr>
        <w:t xml:space="preserve"> Señalan que después de un litigio de tres años algunos de los documentos solicitados por la parte peticionaria fueron </w:t>
      </w:r>
      <w:r w:rsidR="0004328B" w:rsidRPr="00E66386">
        <w:rPr>
          <w:rFonts w:asciiTheme="majorHAnsi" w:hAnsiTheme="majorHAnsi"/>
          <w:bCs/>
          <w:sz w:val="20"/>
          <w:szCs w:val="20"/>
          <w:lang w:val="es-CO"/>
        </w:rPr>
        <w:t xml:space="preserve">desclasificados y </w:t>
      </w:r>
      <w:r w:rsidR="009E1066" w:rsidRPr="00E66386">
        <w:rPr>
          <w:rFonts w:asciiTheme="majorHAnsi" w:hAnsiTheme="majorHAnsi"/>
          <w:bCs/>
          <w:sz w:val="20"/>
          <w:szCs w:val="20"/>
          <w:lang w:val="es-CO"/>
        </w:rPr>
        <w:t>entregados por el Ministerio de Defensa Nacional en 2009</w:t>
      </w:r>
      <w:r w:rsidR="00490903" w:rsidRPr="00E66386">
        <w:rPr>
          <w:rFonts w:asciiTheme="majorHAnsi" w:hAnsiTheme="majorHAnsi"/>
          <w:bCs/>
          <w:sz w:val="20"/>
          <w:szCs w:val="20"/>
          <w:lang w:val="es-CO"/>
        </w:rPr>
        <w:t xml:space="preserve">. Si bien desde 2007 </w:t>
      </w:r>
      <w:r w:rsidR="00786F1A" w:rsidRPr="00E66386">
        <w:rPr>
          <w:rFonts w:asciiTheme="majorHAnsi" w:hAnsiTheme="majorHAnsi"/>
          <w:bCs/>
          <w:sz w:val="20"/>
          <w:szCs w:val="20"/>
          <w:lang w:val="es-CO"/>
        </w:rPr>
        <w:t xml:space="preserve">la </w:t>
      </w:r>
      <w:r w:rsidR="00490903" w:rsidRPr="00E66386">
        <w:rPr>
          <w:rFonts w:asciiTheme="majorHAnsi" w:hAnsiTheme="majorHAnsi"/>
          <w:bCs/>
          <w:sz w:val="20"/>
          <w:szCs w:val="20"/>
          <w:lang w:val="es-CO"/>
        </w:rPr>
        <w:t>juez</w:t>
      </w:r>
      <w:r w:rsidR="006563D7" w:rsidRPr="00E66386">
        <w:rPr>
          <w:rFonts w:asciiTheme="majorHAnsi" w:hAnsiTheme="majorHAnsi"/>
          <w:bCs/>
          <w:sz w:val="20"/>
          <w:szCs w:val="20"/>
          <w:lang w:val="es-CO"/>
        </w:rPr>
        <w:t>a</w:t>
      </w:r>
      <w:r w:rsidR="00490903" w:rsidRPr="00E66386">
        <w:rPr>
          <w:rFonts w:asciiTheme="majorHAnsi" w:hAnsiTheme="majorHAnsi"/>
          <w:bCs/>
          <w:sz w:val="20"/>
          <w:szCs w:val="20"/>
          <w:lang w:val="es-CO"/>
        </w:rPr>
        <w:t xml:space="preserve"> penal había ordenado </w:t>
      </w:r>
      <w:r w:rsidR="00E87DE1" w:rsidRPr="00E66386">
        <w:rPr>
          <w:rFonts w:asciiTheme="majorHAnsi" w:hAnsiTheme="majorHAnsi"/>
          <w:bCs/>
          <w:sz w:val="20"/>
          <w:szCs w:val="20"/>
          <w:lang w:val="es-CO"/>
        </w:rPr>
        <w:t xml:space="preserve">la desclasificación de los planes militares, el exgeneral Ríos Montt interpuso una serie de recursos a fin de evitar la entrega de los documentos, </w:t>
      </w:r>
      <w:r w:rsidR="00B24DD5" w:rsidRPr="00E66386">
        <w:rPr>
          <w:rFonts w:asciiTheme="majorHAnsi" w:hAnsiTheme="majorHAnsi"/>
          <w:bCs/>
          <w:sz w:val="20"/>
          <w:szCs w:val="20"/>
          <w:lang w:val="es-CO"/>
        </w:rPr>
        <w:t>entre recursos ordinarios y de amparo.</w:t>
      </w:r>
      <w:r w:rsidR="00C862CB" w:rsidRPr="00E66386">
        <w:rPr>
          <w:rFonts w:asciiTheme="majorHAnsi" w:hAnsiTheme="majorHAnsi"/>
          <w:bCs/>
          <w:sz w:val="20"/>
          <w:szCs w:val="20"/>
          <w:lang w:val="es-CO"/>
        </w:rPr>
        <w:t xml:space="preserve"> </w:t>
      </w:r>
      <w:r w:rsidR="0085318C" w:rsidRPr="00E66386">
        <w:rPr>
          <w:rFonts w:asciiTheme="majorHAnsi" w:hAnsiTheme="majorHAnsi"/>
          <w:bCs/>
          <w:sz w:val="20"/>
          <w:szCs w:val="20"/>
          <w:lang w:val="es-CO"/>
        </w:rPr>
        <w:t xml:space="preserve">El 6 de marzo de 2009 se realizó la entrega de partes de tres documentos, a saber: el Plan de Campaña Victoria 82, Operativo Sofía 82, y Firmeza 83, éste último de manera incompleta. </w:t>
      </w:r>
      <w:r w:rsidR="00587CE3" w:rsidRPr="00E66386">
        <w:rPr>
          <w:rFonts w:asciiTheme="majorHAnsi" w:hAnsiTheme="majorHAnsi"/>
          <w:bCs/>
          <w:sz w:val="20"/>
          <w:szCs w:val="20"/>
          <w:lang w:val="es-CO"/>
        </w:rPr>
        <w:t xml:space="preserve">El juzgado solicitó la entrega de </w:t>
      </w:r>
      <w:r w:rsidR="00FA734C" w:rsidRPr="00E66386">
        <w:rPr>
          <w:rFonts w:asciiTheme="majorHAnsi" w:hAnsiTheme="majorHAnsi"/>
          <w:bCs/>
          <w:sz w:val="20"/>
          <w:szCs w:val="20"/>
          <w:lang w:val="es-CO"/>
        </w:rPr>
        <w:t xml:space="preserve">los documentos denominados Plan Sofía, Asuntos civiles y Operación </w:t>
      </w:r>
      <w:r w:rsidR="00C51C64" w:rsidRPr="00E66386">
        <w:rPr>
          <w:rFonts w:asciiTheme="majorHAnsi" w:hAnsiTheme="majorHAnsi"/>
          <w:bCs/>
          <w:sz w:val="20"/>
          <w:szCs w:val="20"/>
          <w:lang w:val="es-CO"/>
        </w:rPr>
        <w:t>Ixil</w:t>
      </w:r>
      <w:r w:rsidR="00FA734C" w:rsidRPr="00E66386">
        <w:rPr>
          <w:rFonts w:asciiTheme="majorHAnsi" w:hAnsiTheme="majorHAnsi"/>
          <w:bCs/>
          <w:sz w:val="20"/>
          <w:szCs w:val="20"/>
          <w:lang w:val="es-CO"/>
        </w:rPr>
        <w:t xml:space="preserve">, </w:t>
      </w:r>
      <w:r w:rsidR="00EE7CED" w:rsidRPr="00E66386">
        <w:rPr>
          <w:rFonts w:asciiTheme="majorHAnsi" w:hAnsiTheme="majorHAnsi"/>
          <w:bCs/>
          <w:sz w:val="20"/>
          <w:szCs w:val="20"/>
          <w:lang w:val="es-CO"/>
        </w:rPr>
        <w:t xml:space="preserve">pero </w:t>
      </w:r>
      <w:r w:rsidR="006D19B6" w:rsidRPr="00E66386">
        <w:rPr>
          <w:rFonts w:asciiTheme="majorHAnsi" w:hAnsiTheme="majorHAnsi"/>
          <w:bCs/>
          <w:sz w:val="20"/>
          <w:szCs w:val="20"/>
          <w:lang w:val="es-CO"/>
        </w:rPr>
        <w:t>el Ministerio de</w:t>
      </w:r>
      <w:r w:rsidR="00EE7CED" w:rsidRPr="00E66386">
        <w:rPr>
          <w:rFonts w:asciiTheme="majorHAnsi" w:hAnsiTheme="majorHAnsi"/>
          <w:bCs/>
          <w:sz w:val="20"/>
          <w:szCs w:val="20"/>
          <w:lang w:val="es-CO"/>
        </w:rPr>
        <w:t xml:space="preserve"> la Defensa adujo que éstos no existían, por lo cual el Juzgado advirtió que correspondía investigar a los posibles responsables de desaparición de documentos. </w:t>
      </w:r>
    </w:p>
    <w:p w14:paraId="2322C060" w14:textId="405E3B61" w:rsidR="009C7AB7" w:rsidRPr="00E66386" w:rsidRDefault="000F04F2"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Las organizaciones peticionarias narran que</w:t>
      </w:r>
      <w:r w:rsidR="00527D24" w:rsidRPr="00E66386">
        <w:rPr>
          <w:rFonts w:asciiTheme="majorHAnsi" w:hAnsiTheme="majorHAnsi"/>
          <w:bCs/>
          <w:sz w:val="20"/>
          <w:szCs w:val="20"/>
          <w:lang w:val="es-CO"/>
        </w:rPr>
        <w:t>,</w:t>
      </w:r>
      <w:r w:rsidRPr="00E66386">
        <w:rPr>
          <w:rFonts w:asciiTheme="majorHAnsi" w:hAnsiTheme="majorHAnsi"/>
          <w:bCs/>
          <w:sz w:val="20"/>
          <w:szCs w:val="20"/>
          <w:lang w:val="es-CO"/>
        </w:rPr>
        <w:t xml:space="preserve"> e</w:t>
      </w:r>
      <w:r w:rsidR="00A5199F" w:rsidRPr="00E66386">
        <w:rPr>
          <w:rFonts w:asciiTheme="majorHAnsi" w:hAnsiTheme="majorHAnsi"/>
          <w:bCs/>
          <w:sz w:val="20"/>
          <w:szCs w:val="20"/>
          <w:lang w:val="es-CO"/>
        </w:rPr>
        <w:t>l 12 de marzo de 2009</w:t>
      </w:r>
      <w:r w:rsidR="00527D24" w:rsidRPr="00E66386">
        <w:rPr>
          <w:rFonts w:asciiTheme="majorHAnsi" w:hAnsiTheme="majorHAnsi"/>
          <w:bCs/>
          <w:sz w:val="20"/>
          <w:szCs w:val="20"/>
          <w:lang w:val="es-CO"/>
        </w:rPr>
        <w:t>,</w:t>
      </w:r>
      <w:r w:rsidR="00A5199F" w:rsidRPr="00E66386">
        <w:rPr>
          <w:rFonts w:asciiTheme="majorHAnsi" w:hAnsiTheme="majorHAnsi"/>
          <w:bCs/>
          <w:sz w:val="20"/>
          <w:szCs w:val="20"/>
          <w:lang w:val="es-CO"/>
        </w:rPr>
        <w:t xml:space="preserve"> </w:t>
      </w:r>
      <w:r w:rsidR="00BC7F70" w:rsidRPr="00E66386">
        <w:rPr>
          <w:rFonts w:asciiTheme="majorHAnsi" w:hAnsiTheme="majorHAnsi"/>
          <w:bCs/>
          <w:sz w:val="20"/>
          <w:szCs w:val="20"/>
          <w:lang w:val="es-CO"/>
        </w:rPr>
        <w:t xml:space="preserve">se filtró en </w:t>
      </w:r>
      <w:r w:rsidR="00C529CE" w:rsidRPr="00E66386">
        <w:rPr>
          <w:rFonts w:asciiTheme="majorHAnsi" w:hAnsiTheme="majorHAnsi"/>
          <w:bCs/>
          <w:sz w:val="20"/>
          <w:szCs w:val="20"/>
          <w:lang w:val="es-CO"/>
        </w:rPr>
        <w:t xml:space="preserve">los </w:t>
      </w:r>
      <w:r w:rsidR="00BC7F70" w:rsidRPr="00E66386">
        <w:rPr>
          <w:rFonts w:asciiTheme="majorHAnsi" w:hAnsiTheme="majorHAnsi"/>
          <w:bCs/>
          <w:sz w:val="20"/>
          <w:szCs w:val="20"/>
          <w:lang w:val="es-CO"/>
        </w:rPr>
        <w:t xml:space="preserve">medios de comunicación que </w:t>
      </w:r>
      <w:r w:rsidR="00E800E6" w:rsidRPr="00E66386">
        <w:rPr>
          <w:rFonts w:asciiTheme="majorHAnsi" w:hAnsiTheme="majorHAnsi"/>
          <w:bCs/>
          <w:sz w:val="20"/>
          <w:szCs w:val="20"/>
          <w:lang w:val="es-CO"/>
        </w:rPr>
        <w:t>el entonces presidente de Guatemala, Álvaro Colom Caballero</w:t>
      </w:r>
      <w:r w:rsidR="00B76F1B" w:rsidRPr="00E66386">
        <w:rPr>
          <w:rFonts w:asciiTheme="majorHAnsi" w:hAnsiTheme="majorHAnsi"/>
          <w:bCs/>
          <w:sz w:val="20"/>
          <w:szCs w:val="20"/>
          <w:lang w:val="es-CO"/>
        </w:rPr>
        <w:t>,</w:t>
      </w:r>
      <w:r w:rsidR="00E800E6" w:rsidRPr="00E66386">
        <w:rPr>
          <w:rFonts w:asciiTheme="majorHAnsi" w:hAnsiTheme="majorHAnsi"/>
          <w:bCs/>
          <w:sz w:val="20"/>
          <w:szCs w:val="20"/>
          <w:lang w:val="es-CO"/>
        </w:rPr>
        <w:t xml:space="preserve"> </w:t>
      </w:r>
      <w:r w:rsidR="00BC7F70" w:rsidRPr="00E66386">
        <w:rPr>
          <w:rFonts w:asciiTheme="majorHAnsi" w:hAnsiTheme="majorHAnsi"/>
          <w:bCs/>
          <w:sz w:val="20"/>
          <w:szCs w:val="20"/>
          <w:lang w:val="es-CO"/>
        </w:rPr>
        <w:t>había recibido una copia del Plan Sofía</w:t>
      </w:r>
      <w:r w:rsidR="00306DA7" w:rsidRPr="00E66386">
        <w:rPr>
          <w:rFonts w:asciiTheme="majorHAnsi" w:hAnsiTheme="majorHAnsi"/>
          <w:bCs/>
          <w:sz w:val="20"/>
          <w:szCs w:val="20"/>
          <w:lang w:val="es-CO"/>
        </w:rPr>
        <w:t xml:space="preserve"> -</w:t>
      </w:r>
      <w:r w:rsidR="00C529CE" w:rsidRPr="00E66386">
        <w:rPr>
          <w:rFonts w:asciiTheme="majorHAnsi" w:hAnsiTheme="majorHAnsi"/>
          <w:bCs/>
          <w:sz w:val="20"/>
          <w:szCs w:val="20"/>
          <w:lang w:val="es-CO"/>
        </w:rPr>
        <w:t>-</w:t>
      </w:r>
      <w:r w:rsidR="00306DA7" w:rsidRPr="00E66386">
        <w:rPr>
          <w:rFonts w:asciiTheme="majorHAnsi" w:hAnsiTheme="majorHAnsi"/>
          <w:bCs/>
          <w:sz w:val="20"/>
          <w:szCs w:val="20"/>
          <w:lang w:val="es-CO"/>
        </w:rPr>
        <w:t>que se alegaba no existía</w:t>
      </w:r>
      <w:r w:rsidR="00056454" w:rsidRPr="00E66386">
        <w:rPr>
          <w:rFonts w:asciiTheme="majorHAnsi" w:hAnsiTheme="majorHAnsi"/>
          <w:bCs/>
          <w:sz w:val="20"/>
          <w:szCs w:val="20"/>
          <w:lang w:val="es-CO"/>
        </w:rPr>
        <w:t>-</w:t>
      </w:r>
      <w:r w:rsidR="00C529CE" w:rsidRPr="00E66386">
        <w:rPr>
          <w:rFonts w:asciiTheme="majorHAnsi" w:hAnsiTheme="majorHAnsi"/>
          <w:bCs/>
          <w:sz w:val="20"/>
          <w:szCs w:val="20"/>
          <w:lang w:val="es-CO"/>
        </w:rPr>
        <w:t>-</w:t>
      </w:r>
      <w:r w:rsidR="00056454" w:rsidRPr="00E66386">
        <w:rPr>
          <w:rFonts w:asciiTheme="majorHAnsi" w:hAnsiTheme="majorHAnsi"/>
          <w:bCs/>
          <w:sz w:val="20"/>
          <w:szCs w:val="20"/>
          <w:lang w:val="es-CO"/>
        </w:rPr>
        <w:t xml:space="preserve"> a</w:t>
      </w:r>
      <w:r w:rsidR="00306DA7" w:rsidRPr="00E66386">
        <w:rPr>
          <w:rFonts w:asciiTheme="majorHAnsi" w:hAnsiTheme="majorHAnsi"/>
          <w:bCs/>
          <w:sz w:val="20"/>
          <w:szCs w:val="20"/>
          <w:lang w:val="es-CO"/>
        </w:rPr>
        <w:t xml:space="preserve"> su correo electrónico, la cual</w:t>
      </w:r>
      <w:r w:rsidR="003938E6" w:rsidRPr="00E66386">
        <w:rPr>
          <w:rFonts w:asciiTheme="majorHAnsi" w:hAnsiTheme="majorHAnsi"/>
          <w:bCs/>
          <w:sz w:val="20"/>
          <w:szCs w:val="20"/>
          <w:lang w:val="es-CO"/>
        </w:rPr>
        <w:t xml:space="preserve"> fue trasladada a la Comisión Presidencial de Desclasificación de Archivos Militares.</w:t>
      </w:r>
      <w:r w:rsidR="00F14943" w:rsidRPr="00E66386">
        <w:rPr>
          <w:rFonts w:asciiTheme="majorHAnsi" w:hAnsiTheme="majorHAnsi"/>
          <w:bCs/>
          <w:sz w:val="20"/>
          <w:szCs w:val="20"/>
          <w:lang w:val="es-CO"/>
        </w:rPr>
        <w:t xml:space="preserve"> A partir de esta información, </w:t>
      </w:r>
      <w:r w:rsidR="00C37846" w:rsidRPr="00E66386">
        <w:rPr>
          <w:rFonts w:asciiTheme="majorHAnsi" w:hAnsiTheme="majorHAnsi"/>
          <w:bCs/>
          <w:sz w:val="20"/>
          <w:szCs w:val="20"/>
          <w:lang w:val="es-CO"/>
        </w:rPr>
        <w:t>a</w:t>
      </w:r>
      <w:r w:rsidR="0060073F" w:rsidRPr="00E66386">
        <w:rPr>
          <w:rFonts w:asciiTheme="majorHAnsi" w:hAnsiTheme="majorHAnsi"/>
          <w:bCs/>
          <w:sz w:val="20"/>
          <w:szCs w:val="20"/>
          <w:lang w:val="es-CO"/>
        </w:rPr>
        <w:t xml:space="preserve"> mediados de junio del 2009, la AJR </w:t>
      </w:r>
      <w:r w:rsidR="00056454" w:rsidRPr="00E66386">
        <w:rPr>
          <w:rFonts w:asciiTheme="majorHAnsi" w:hAnsiTheme="majorHAnsi"/>
          <w:bCs/>
          <w:sz w:val="20"/>
          <w:szCs w:val="20"/>
          <w:lang w:val="es-CO"/>
        </w:rPr>
        <w:t xml:space="preserve">y la </w:t>
      </w:r>
      <w:r w:rsidR="0060073F" w:rsidRPr="00E66386">
        <w:rPr>
          <w:rFonts w:asciiTheme="majorHAnsi" w:hAnsiTheme="majorHAnsi"/>
          <w:bCs/>
          <w:sz w:val="20"/>
          <w:szCs w:val="20"/>
          <w:lang w:val="es-CO"/>
        </w:rPr>
        <w:t>CALDH inici</w:t>
      </w:r>
      <w:r w:rsidR="00056454" w:rsidRPr="00E66386">
        <w:rPr>
          <w:rFonts w:asciiTheme="majorHAnsi" w:hAnsiTheme="majorHAnsi"/>
          <w:bCs/>
          <w:sz w:val="20"/>
          <w:szCs w:val="20"/>
          <w:lang w:val="es-CO"/>
        </w:rPr>
        <w:t>aron</w:t>
      </w:r>
      <w:r w:rsidR="0060073F" w:rsidRPr="00E66386">
        <w:rPr>
          <w:rFonts w:asciiTheme="majorHAnsi" w:hAnsiTheme="majorHAnsi"/>
          <w:bCs/>
          <w:sz w:val="20"/>
          <w:szCs w:val="20"/>
          <w:lang w:val="es-CO"/>
        </w:rPr>
        <w:t xml:space="preserve"> una investigación documental y pericial de los diferentes procesos de exhumaciones efectuadas o tramitadas en la Fiscalía del Ministerio Público del municipio de Santa María Nebaj del departamento de Quiché.</w:t>
      </w:r>
      <w:r w:rsidR="00E8782A" w:rsidRPr="00E66386">
        <w:rPr>
          <w:rFonts w:asciiTheme="majorHAnsi" w:hAnsiTheme="majorHAnsi"/>
          <w:bCs/>
          <w:sz w:val="20"/>
          <w:szCs w:val="20"/>
          <w:lang w:val="es-CO"/>
        </w:rPr>
        <w:t xml:space="preserve"> </w:t>
      </w:r>
      <w:r w:rsidR="002B432A" w:rsidRPr="00E66386">
        <w:rPr>
          <w:rFonts w:asciiTheme="majorHAnsi" w:hAnsiTheme="majorHAnsi"/>
          <w:bCs/>
          <w:sz w:val="20"/>
          <w:szCs w:val="20"/>
          <w:lang w:val="es-CO"/>
        </w:rPr>
        <w:t xml:space="preserve">La </w:t>
      </w:r>
      <w:r w:rsidR="00E8782A" w:rsidRPr="00E66386">
        <w:rPr>
          <w:rFonts w:asciiTheme="majorHAnsi" w:hAnsiTheme="majorHAnsi"/>
          <w:bCs/>
          <w:sz w:val="20"/>
          <w:szCs w:val="20"/>
          <w:lang w:val="es-CO"/>
        </w:rPr>
        <w:t xml:space="preserve">AJR se constituyó como querellante adhesivo en la causa </w:t>
      </w:r>
      <w:r w:rsidR="00803E56" w:rsidRPr="00E66386">
        <w:rPr>
          <w:rFonts w:asciiTheme="majorHAnsi" w:hAnsiTheme="majorHAnsi"/>
          <w:bCs/>
          <w:sz w:val="20"/>
          <w:szCs w:val="20"/>
          <w:lang w:val="es-CO"/>
        </w:rPr>
        <w:t>8</w:t>
      </w:r>
      <w:r w:rsidR="00E8782A" w:rsidRPr="00E66386">
        <w:rPr>
          <w:rFonts w:asciiTheme="majorHAnsi" w:hAnsiTheme="majorHAnsi"/>
          <w:bCs/>
          <w:sz w:val="20"/>
          <w:szCs w:val="20"/>
          <w:lang w:val="es-CO"/>
        </w:rPr>
        <w:t>6</w:t>
      </w:r>
      <w:r w:rsidR="00803E56" w:rsidRPr="00E66386">
        <w:rPr>
          <w:rFonts w:asciiTheme="majorHAnsi" w:hAnsiTheme="majorHAnsi"/>
          <w:bCs/>
          <w:sz w:val="20"/>
          <w:szCs w:val="20"/>
          <w:lang w:val="es-CO"/>
        </w:rPr>
        <w:t>-1999</w:t>
      </w:r>
      <w:r w:rsidR="00205F07" w:rsidRPr="00E66386">
        <w:rPr>
          <w:rFonts w:asciiTheme="majorHAnsi" w:hAnsiTheme="majorHAnsi"/>
          <w:bCs/>
          <w:sz w:val="20"/>
          <w:szCs w:val="20"/>
          <w:lang w:val="es-CO"/>
        </w:rPr>
        <w:t>. Finalmente,</w:t>
      </w:r>
      <w:r w:rsidR="00656A71" w:rsidRPr="00E66386">
        <w:rPr>
          <w:rFonts w:asciiTheme="majorHAnsi" w:hAnsiTheme="majorHAnsi"/>
          <w:bCs/>
          <w:sz w:val="20"/>
          <w:szCs w:val="20"/>
          <w:lang w:val="es-CO"/>
        </w:rPr>
        <w:t xml:space="preserve"> en 2011 se acumularon las </w:t>
      </w:r>
      <w:r w:rsidR="00524C42" w:rsidRPr="00E66386">
        <w:rPr>
          <w:rFonts w:asciiTheme="majorHAnsi" w:hAnsiTheme="majorHAnsi"/>
          <w:bCs/>
          <w:sz w:val="20"/>
          <w:szCs w:val="20"/>
          <w:lang w:val="es-CO"/>
        </w:rPr>
        <w:t xml:space="preserve">cuatro </w:t>
      </w:r>
      <w:r w:rsidR="00656A71" w:rsidRPr="00E66386">
        <w:rPr>
          <w:rFonts w:asciiTheme="majorHAnsi" w:hAnsiTheme="majorHAnsi"/>
          <w:bCs/>
          <w:sz w:val="20"/>
          <w:szCs w:val="20"/>
          <w:lang w:val="es-CO"/>
        </w:rPr>
        <w:t xml:space="preserve">causas </w:t>
      </w:r>
      <w:r w:rsidR="00524C42" w:rsidRPr="00E66386">
        <w:rPr>
          <w:rFonts w:asciiTheme="majorHAnsi" w:hAnsiTheme="majorHAnsi"/>
          <w:bCs/>
          <w:sz w:val="20"/>
          <w:szCs w:val="20"/>
          <w:lang w:val="es-CO"/>
        </w:rPr>
        <w:t xml:space="preserve">creadas a partir de más de quinientas denuncias </w:t>
      </w:r>
      <w:r w:rsidR="00205F07" w:rsidRPr="00E66386">
        <w:rPr>
          <w:rFonts w:asciiTheme="majorHAnsi" w:hAnsiTheme="majorHAnsi"/>
          <w:bCs/>
          <w:sz w:val="20"/>
          <w:szCs w:val="20"/>
          <w:lang w:val="es-CO"/>
        </w:rPr>
        <w:t xml:space="preserve">presentadas entre 1999 y 2001, </w:t>
      </w:r>
      <w:r w:rsidR="00524C42" w:rsidRPr="00E66386">
        <w:rPr>
          <w:rFonts w:asciiTheme="majorHAnsi" w:hAnsiTheme="majorHAnsi"/>
          <w:bCs/>
          <w:sz w:val="20"/>
          <w:szCs w:val="20"/>
          <w:lang w:val="es-CO"/>
        </w:rPr>
        <w:t xml:space="preserve">en la </w:t>
      </w:r>
      <w:r w:rsidR="00205F07" w:rsidRPr="00E66386">
        <w:rPr>
          <w:rFonts w:asciiTheme="majorHAnsi" w:hAnsiTheme="majorHAnsi"/>
          <w:bCs/>
          <w:sz w:val="20"/>
          <w:szCs w:val="20"/>
          <w:lang w:val="es-CO"/>
        </w:rPr>
        <w:t xml:space="preserve">causa </w:t>
      </w:r>
      <w:r w:rsidR="00524C42" w:rsidRPr="00E66386">
        <w:rPr>
          <w:rFonts w:asciiTheme="majorHAnsi" w:hAnsiTheme="majorHAnsi"/>
          <w:bCs/>
          <w:sz w:val="20"/>
          <w:szCs w:val="20"/>
          <w:lang w:val="es-CO"/>
        </w:rPr>
        <w:t>86-1999</w:t>
      </w:r>
      <w:r w:rsidR="00803E56" w:rsidRPr="00E66386">
        <w:rPr>
          <w:rFonts w:asciiTheme="majorHAnsi" w:hAnsiTheme="majorHAnsi"/>
          <w:bCs/>
          <w:sz w:val="20"/>
          <w:szCs w:val="20"/>
          <w:lang w:val="es-CO"/>
        </w:rPr>
        <w:t>.</w:t>
      </w:r>
      <w:r w:rsidR="00140027" w:rsidRPr="00E66386">
        <w:rPr>
          <w:rFonts w:asciiTheme="majorHAnsi" w:hAnsiTheme="majorHAnsi"/>
          <w:bCs/>
          <w:sz w:val="20"/>
          <w:szCs w:val="20"/>
          <w:lang w:val="es-CO"/>
        </w:rPr>
        <w:t xml:space="preserve"> </w:t>
      </w:r>
    </w:p>
    <w:p w14:paraId="0EE178EE" w14:textId="2493C57E" w:rsidR="00F047EB" w:rsidRPr="00E66386" w:rsidRDefault="00F047EB" w:rsidP="00F047EB">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Primeras imputaciones y recursos del proceso penal</w:t>
      </w:r>
    </w:p>
    <w:p w14:paraId="467D1E8D" w14:textId="58F37E7B" w:rsidR="002D462F" w:rsidRPr="00E66386" w:rsidRDefault="00E800E6"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lastRenderedPageBreak/>
        <w:t>En 2011, l</w:t>
      </w:r>
      <w:r w:rsidR="002D462F" w:rsidRPr="00E66386">
        <w:rPr>
          <w:rFonts w:asciiTheme="majorHAnsi" w:hAnsiTheme="majorHAnsi"/>
          <w:bCs/>
          <w:sz w:val="20"/>
          <w:szCs w:val="20"/>
          <w:lang w:val="es-CO"/>
        </w:rPr>
        <w:t>a Fiscalía de Derechos Humanos y los querellantes adhesivos procedieron a realizar las imputaciones en contra del señor José Efraín Ríos Montt, Héctor Mario López Fuentes y José Mauricio Rodríguez. Los hechos investigados fueron calificados bajo el tipo penal de genocidio y delitos contra los deberes de humanidad, tipificados en los artículos 376 y 378 del Código Penal Guatemalteco.</w:t>
      </w:r>
    </w:p>
    <w:p w14:paraId="73C73BF3" w14:textId="3F33EFA3" w:rsidR="00B86DF8" w:rsidRPr="00E66386" w:rsidRDefault="004860A3"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En marzo de 2011 </w:t>
      </w:r>
      <w:r w:rsidR="00F122D8" w:rsidRPr="00E66386">
        <w:rPr>
          <w:rFonts w:asciiTheme="majorHAnsi" w:hAnsiTheme="majorHAnsi"/>
          <w:bCs/>
          <w:sz w:val="20"/>
          <w:szCs w:val="20"/>
          <w:lang w:val="es-CO"/>
        </w:rPr>
        <w:t xml:space="preserve">se realizó la imputación de cargos contra </w:t>
      </w:r>
      <w:r w:rsidR="00093AB0" w:rsidRPr="00E66386">
        <w:rPr>
          <w:rFonts w:asciiTheme="majorHAnsi" w:hAnsiTheme="majorHAnsi"/>
          <w:bCs/>
          <w:sz w:val="20"/>
          <w:szCs w:val="20"/>
          <w:lang w:val="es-CO"/>
        </w:rPr>
        <w:t>quien fungió como</w:t>
      </w:r>
      <w:r w:rsidR="00F122D8" w:rsidRPr="00E66386">
        <w:rPr>
          <w:rFonts w:asciiTheme="majorHAnsi" w:hAnsiTheme="majorHAnsi"/>
          <w:bCs/>
          <w:sz w:val="20"/>
          <w:szCs w:val="20"/>
          <w:lang w:val="es-CO"/>
        </w:rPr>
        <w:t xml:space="preserve"> </w:t>
      </w:r>
      <w:r w:rsidR="006A6A1A" w:rsidRPr="00E66386">
        <w:rPr>
          <w:rFonts w:asciiTheme="majorHAnsi" w:hAnsiTheme="majorHAnsi"/>
          <w:bCs/>
          <w:sz w:val="20"/>
          <w:szCs w:val="20"/>
          <w:lang w:val="es-CO"/>
        </w:rPr>
        <w:t xml:space="preserve">jefe del Estado Mayor del Ejército </w:t>
      </w:r>
      <w:r w:rsidR="00093AB0" w:rsidRPr="00E66386">
        <w:rPr>
          <w:rFonts w:asciiTheme="majorHAnsi" w:hAnsiTheme="majorHAnsi"/>
          <w:bCs/>
          <w:sz w:val="20"/>
          <w:szCs w:val="20"/>
          <w:lang w:val="es-CO"/>
        </w:rPr>
        <w:t xml:space="preserve">del 23 de marzo de 1982 al 21 de octubre de 1983, el </w:t>
      </w:r>
      <w:r w:rsidR="00F122D8" w:rsidRPr="00E66386">
        <w:rPr>
          <w:rFonts w:asciiTheme="majorHAnsi" w:hAnsiTheme="majorHAnsi"/>
          <w:bCs/>
          <w:sz w:val="20"/>
          <w:szCs w:val="20"/>
          <w:lang w:val="es-CO"/>
        </w:rPr>
        <w:t>señor Héctor Mario López Fuentes por los delitos de genocidio y contra los deberes de humanidad</w:t>
      </w:r>
      <w:r w:rsidR="00093AB0" w:rsidRPr="00E66386">
        <w:rPr>
          <w:rFonts w:asciiTheme="majorHAnsi" w:hAnsiTheme="majorHAnsi"/>
          <w:bCs/>
          <w:sz w:val="20"/>
          <w:szCs w:val="20"/>
          <w:lang w:val="es-CO"/>
        </w:rPr>
        <w:t>.</w:t>
      </w:r>
      <w:r w:rsidR="00FC1039" w:rsidRPr="00E66386">
        <w:rPr>
          <w:rFonts w:asciiTheme="majorHAnsi" w:hAnsiTheme="majorHAnsi"/>
          <w:bCs/>
          <w:sz w:val="20"/>
          <w:szCs w:val="20"/>
          <w:lang w:val="es-CO"/>
        </w:rPr>
        <w:t xml:space="preserve"> </w:t>
      </w:r>
      <w:r w:rsidR="00093AB0" w:rsidRPr="00E66386">
        <w:rPr>
          <w:rFonts w:asciiTheme="majorHAnsi" w:hAnsiTheme="majorHAnsi"/>
          <w:bCs/>
          <w:sz w:val="20"/>
          <w:szCs w:val="20"/>
          <w:lang w:val="es-CO"/>
        </w:rPr>
        <w:t>E</w:t>
      </w:r>
      <w:r w:rsidR="00FC1039" w:rsidRPr="00E66386">
        <w:rPr>
          <w:rFonts w:asciiTheme="majorHAnsi" w:hAnsiTheme="majorHAnsi"/>
          <w:bCs/>
          <w:sz w:val="20"/>
          <w:szCs w:val="20"/>
          <w:lang w:val="es-CO"/>
        </w:rPr>
        <w:t xml:space="preserve">l 17 de junio de 2011 se emitió una orden de captura en su contra y </w:t>
      </w:r>
      <w:r w:rsidR="006A6A1A" w:rsidRPr="00E66386">
        <w:rPr>
          <w:rFonts w:asciiTheme="majorHAnsi" w:hAnsiTheme="majorHAnsi"/>
          <w:bCs/>
          <w:sz w:val="20"/>
          <w:szCs w:val="20"/>
          <w:lang w:val="es-CO"/>
        </w:rPr>
        <w:t>fue recluido de manera preventiva.</w:t>
      </w:r>
      <w:r w:rsidR="00BC5E17" w:rsidRPr="00E66386">
        <w:rPr>
          <w:rFonts w:asciiTheme="majorHAnsi" w:hAnsiTheme="majorHAnsi"/>
          <w:bCs/>
          <w:sz w:val="20"/>
          <w:szCs w:val="20"/>
          <w:lang w:val="es-CO"/>
        </w:rPr>
        <w:t xml:space="preserve"> El 20 de junio de 2011 el señor López Fuentes rindió su primera declaración y se dictó auto de procesamiento en su contra.</w:t>
      </w:r>
    </w:p>
    <w:p w14:paraId="029FB99C" w14:textId="77777777" w:rsidR="000A464D" w:rsidRPr="00E66386" w:rsidRDefault="00D13F28"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El 12 de octubre de 2011 </w:t>
      </w:r>
      <w:r w:rsidR="00F36187" w:rsidRPr="00E66386">
        <w:rPr>
          <w:rFonts w:asciiTheme="majorHAnsi" w:hAnsiTheme="majorHAnsi"/>
          <w:bCs/>
          <w:sz w:val="20"/>
          <w:szCs w:val="20"/>
          <w:lang w:val="es-CO"/>
        </w:rPr>
        <w:t>el Juzgado Primero de Primera Instancia Penal Narcoa</w:t>
      </w:r>
      <w:r w:rsidR="000A11B2" w:rsidRPr="00E66386">
        <w:rPr>
          <w:rFonts w:asciiTheme="majorHAnsi" w:hAnsiTheme="majorHAnsi"/>
          <w:bCs/>
          <w:sz w:val="20"/>
          <w:szCs w:val="20"/>
          <w:lang w:val="es-CO"/>
        </w:rPr>
        <w:t>c</w:t>
      </w:r>
      <w:r w:rsidR="00F36187" w:rsidRPr="00E66386">
        <w:rPr>
          <w:rFonts w:asciiTheme="majorHAnsi" w:hAnsiTheme="majorHAnsi"/>
          <w:bCs/>
          <w:sz w:val="20"/>
          <w:szCs w:val="20"/>
          <w:lang w:val="es-CO"/>
        </w:rPr>
        <w:t xml:space="preserve">tividad y Delitos contra el Ambiente de Mayor Riesgo </w:t>
      </w:r>
      <w:r w:rsidRPr="00E66386">
        <w:rPr>
          <w:rFonts w:asciiTheme="majorHAnsi" w:hAnsiTheme="majorHAnsi"/>
          <w:bCs/>
          <w:sz w:val="20"/>
          <w:szCs w:val="20"/>
          <w:lang w:val="es-CO"/>
        </w:rPr>
        <w:t>emiti</w:t>
      </w:r>
      <w:r w:rsidR="00F36187" w:rsidRPr="00E66386">
        <w:rPr>
          <w:rFonts w:asciiTheme="majorHAnsi" w:hAnsiTheme="majorHAnsi"/>
          <w:bCs/>
          <w:sz w:val="20"/>
          <w:szCs w:val="20"/>
          <w:lang w:val="es-CO"/>
        </w:rPr>
        <w:t>ó</w:t>
      </w:r>
      <w:r w:rsidRPr="00E66386">
        <w:rPr>
          <w:rFonts w:asciiTheme="majorHAnsi" w:hAnsiTheme="majorHAnsi"/>
          <w:bCs/>
          <w:sz w:val="20"/>
          <w:szCs w:val="20"/>
          <w:lang w:val="es-CO"/>
        </w:rPr>
        <w:t xml:space="preserve"> órdenes de captura contra </w:t>
      </w:r>
      <w:r w:rsidR="00326F78" w:rsidRPr="00E66386">
        <w:rPr>
          <w:rFonts w:asciiTheme="majorHAnsi" w:hAnsiTheme="majorHAnsi"/>
          <w:bCs/>
          <w:sz w:val="20"/>
          <w:szCs w:val="20"/>
          <w:lang w:val="es-CO"/>
        </w:rPr>
        <w:t>quienes desempeñaron los cargos de</w:t>
      </w:r>
      <w:r w:rsidR="007A53B9" w:rsidRPr="00E66386">
        <w:rPr>
          <w:rFonts w:asciiTheme="majorHAnsi" w:hAnsiTheme="majorHAnsi"/>
          <w:bCs/>
          <w:sz w:val="20"/>
          <w:szCs w:val="20"/>
          <w:lang w:val="es-CO"/>
        </w:rPr>
        <w:t xml:space="preserve"> </w:t>
      </w:r>
      <w:r w:rsidR="00326F78" w:rsidRPr="00E66386">
        <w:rPr>
          <w:rFonts w:asciiTheme="majorHAnsi" w:hAnsiTheme="majorHAnsi"/>
          <w:bCs/>
          <w:sz w:val="20"/>
          <w:szCs w:val="20"/>
          <w:lang w:val="es-CO"/>
        </w:rPr>
        <w:t xml:space="preserve">viceministro de la defensa, </w:t>
      </w:r>
      <w:r w:rsidR="003449A6" w:rsidRPr="00E66386">
        <w:rPr>
          <w:rFonts w:asciiTheme="majorHAnsi" w:hAnsiTheme="majorHAnsi"/>
          <w:bCs/>
          <w:sz w:val="20"/>
          <w:szCs w:val="20"/>
          <w:lang w:val="es-CO"/>
        </w:rPr>
        <w:t xml:space="preserve">jefe de la sección de inteligencia del ejército y </w:t>
      </w:r>
      <w:r w:rsidR="00732703" w:rsidRPr="00E66386">
        <w:rPr>
          <w:rFonts w:asciiTheme="majorHAnsi" w:hAnsiTheme="majorHAnsi"/>
          <w:bCs/>
          <w:sz w:val="20"/>
          <w:szCs w:val="20"/>
          <w:lang w:val="es-CO"/>
        </w:rPr>
        <w:t xml:space="preserve">jefe de la sección </w:t>
      </w:r>
      <w:r w:rsidR="003449A6" w:rsidRPr="00E66386">
        <w:rPr>
          <w:rFonts w:asciiTheme="majorHAnsi" w:hAnsiTheme="majorHAnsi"/>
          <w:bCs/>
          <w:sz w:val="20"/>
          <w:szCs w:val="20"/>
          <w:lang w:val="es-CO"/>
        </w:rPr>
        <w:t xml:space="preserve">de operaciones </w:t>
      </w:r>
      <w:r w:rsidR="00732703" w:rsidRPr="00E66386">
        <w:rPr>
          <w:rFonts w:asciiTheme="majorHAnsi" w:hAnsiTheme="majorHAnsi"/>
          <w:bCs/>
          <w:sz w:val="20"/>
          <w:szCs w:val="20"/>
          <w:lang w:val="es-CO"/>
        </w:rPr>
        <w:t xml:space="preserve">del </w:t>
      </w:r>
      <w:r w:rsidR="003449A6" w:rsidRPr="00E66386">
        <w:rPr>
          <w:rFonts w:asciiTheme="majorHAnsi" w:hAnsiTheme="majorHAnsi"/>
          <w:bCs/>
          <w:sz w:val="20"/>
          <w:szCs w:val="20"/>
          <w:lang w:val="es-CO"/>
        </w:rPr>
        <w:t>e</w:t>
      </w:r>
      <w:r w:rsidR="00732703" w:rsidRPr="00E66386">
        <w:rPr>
          <w:rFonts w:asciiTheme="majorHAnsi" w:hAnsiTheme="majorHAnsi"/>
          <w:bCs/>
          <w:sz w:val="20"/>
          <w:szCs w:val="20"/>
          <w:lang w:val="es-CO"/>
        </w:rPr>
        <w:t>jército</w:t>
      </w:r>
      <w:r w:rsidR="003449A6" w:rsidRPr="00E66386">
        <w:rPr>
          <w:rFonts w:asciiTheme="majorHAnsi" w:hAnsiTheme="majorHAnsi"/>
          <w:bCs/>
          <w:sz w:val="20"/>
          <w:szCs w:val="20"/>
          <w:lang w:val="es-CO"/>
        </w:rPr>
        <w:t xml:space="preserve">, los señores </w:t>
      </w:r>
      <w:r w:rsidR="00FE0596" w:rsidRPr="00E66386">
        <w:rPr>
          <w:rFonts w:asciiTheme="majorHAnsi" w:hAnsiTheme="majorHAnsi"/>
          <w:bCs/>
          <w:sz w:val="20"/>
          <w:szCs w:val="20"/>
          <w:lang w:val="es-CO"/>
        </w:rPr>
        <w:t>Ó</w:t>
      </w:r>
      <w:r w:rsidR="00A410B1" w:rsidRPr="00E66386">
        <w:rPr>
          <w:rFonts w:asciiTheme="majorHAnsi" w:hAnsiTheme="majorHAnsi"/>
          <w:bCs/>
          <w:sz w:val="20"/>
          <w:szCs w:val="20"/>
          <w:lang w:val="es-CO"/>
        </w:rPr>
        <w:t>scar Humberto Mejía Victores, José Mauricio Rodríguez Sánchez y Luis Enrique Mendoza García, respectivamente.</w:t>
      </w:r>
      <w:r w:rsidR="00FE0596" w:rsidRPr="00E66386">
        <w:rPr>
          <w:rFonts w:asciiTheme="majorHAnsi" w:hAnsiTheme="majorHAnsi"/>
          <w:bCs/>
          <w:sz w:val="20"/>
          <w:szCs w:val="20"/>
          <w:lang w:val="es-CO"/>
        </w:rPr>
        <w:t xml:space="preserve"> Ese</w:t>
      </w:r>
      <w:r w:rsidR="00732703" w:rsidRPr="00E66386">
        <w:rPr>
          <w:rFonts w:asciiTheme="majorHAnsi" w:hAnsiTheme="majorHAnsi"/>
          <w:bCs/>
          <w:sz w:val="20"/>
          <w:szCs w:val="20"/>
          <w:lang w:val="es-CO"/>
        </w:rPr>
        <w:t xml:space="preserve"> </w:t>
      </w:r>
      <w:r w:rsidR="00FE0596" w:rsidRPr="00E66386">
        <w:rPr>
          <w:rFonts w:asciiTheme="majorHAnsi" w:hAnsiTheme="majorHAnsi"/>
          <w:bCs/>
          <w:sz w:val="20"/>
          <w:szCs w:val="20"/>
          <w:lang w:val="es-CO"/>
        </w:rPr>
        <w:t>día fue capturado el señor Rodríguez Sánchez</w:t>
      </w:r>
      <w:r w:rsidR="00B87A9B" w:rsidRPr="00E66386">
        <w:rPr>
          <w:rFonts w:asciiTheme="majorHAnsi" w:hAnsiTheme="majorHAnsi"/>
          <w:bCs/>
          <w:sz w:val="20"/>
          <w:szCs w:val="20"/>
          <w:lang w:val="es-CO"/>
        </w:rPr>
        <w:t xml:space="preserve"> y</w:t>
      </w:r>
      <w:r w:rsidR="00FE0596" w:rsidRPr="00E66386">
        <w:rPr>
          <w:rFonts w:asciiTheme="majorHAnsi" w:hAnsiTheme="majorHAnsi"/>
          <w:bCs/>
          <w:sz w:val="20"/>
          <w:szCs w:val="20"/>
          <w:lang w:val="es-CO"/>
        </w:rPr>
        <w:t xml:space="preserve"> </w:t>
      </w:r>
      <w:r w:rsidR="00B87A9B" w:rsidRPr="00E66386">
        <w:rPr>
          <w:rFonts w:asciiTheme="majorHAnsi" w:hAnsiTheme="majorHAnsi"/>
          <w:bCs/>
          <w:sz w:val="20"/>
          <w:szCs w:val="20"/>
          <w:lang w:val="es-CO"/>
        </w:rPr>
        <w:t>se dictó auto de procesamiento en su contra</w:t>
      </w:r>
      <w:r w:rsidR="00556DF1" w:rsidRPr="00E66386">
        <w:rPr>
          <w:rFonts w:asciiTheme="majorHAnsi" w:hAnsiTheme="majorHAnsi"/>
          <w:bCs/>
          <w:sz w:val="20"/>
          <w:szCs w:val="20"/>
          <w:lang w:val="es-CO"/>
        </w:rPr>
        <w:t xml:space="preserve">. </w:t>
      </w:r>
      <w:r w:rsidR="00F52434" w:rsidRPr="00E66386">
        <w:rPr>
          <w:rFonts w:asciiTheme="majorHAnsi" w:hAnsiTheme="majorHAnsi"/>
          <w:bCs/>
          <w:sz w:val="20"/>
          <w:szCs w:val="20"/>
          <w:lang w:val="es-CO"/>
        </w:rPr>
        <w:t xml:space="preserve">En noviembre de 2011 se decretó la detención preventiva contra el señor </w:t>
      </w:r>
      <w:r w:rsidR="00F01F70" w:rsidRPr="00E66386">
        <w:rPr>
          <w:rFonts w:asciiTheme="majorHAnsi" w:hAnsiTheme="majorHAnsi"/>
          <w:bCs/>
          <w:sz w:val="20"/>
          <w:szCs w:val="20"/>
          <w:lang w:val="es-CO"/>
        </w:rPr>
        <w:t>Mejía Victores en un centro médico militar debido a su estado de salud.</w:t>
      </w:r>
      <w:r w:rsidR="00FF76C3" w:rsidRPr="00E66386">
        <w:rPr>
          <w:rFonts w:asciiTheme="majorHAnsi" w:hAnsiTheme="majorHAnsi"/>
          <w:bCs/>
          <w:sz w:val="20"/>
          <w:szCs w:val="20"/>
          <w:lang w:val="es-CO"/>
        </w:rPr>
        <w:t xml:space="preserve"> El 5 de enero de 2012 el Juzgado decretó la suspensión del proceso penal en su contra </w:t>
      </w:r>
      <w:r w:rsidR="00BD5A53" w:rsidRPr="00E66386">
        <w:rPr>
          <w:rFonts w:asciiTheme="majorHAnsi" w:hAnsiTheme="majorHAnsi"/>
          <w:bCs/>
          <w:sz w:val="20"/>
          <w:szCs w:val="20"/>
          <w:lang w:val="es-CO"/>
        </w:rPr>
        <w:t xml:space="preserve">ya que </w:t>
      </w:r>
      <w:r w:rsidR="00233900" w:rsidRPr="00E66386">
        <w:rPr>
          <w:rFonts w:asciiTheme="majorHAnsi" w:hAnsiTheme="majorHAnsi"/>
          <w:bCs/>
          <w:sz w:val="20"/>
          <w:szCs w:val="20"/>
          <w:lang w:val="es-CO"/>
        </w:rPr>
        <w:t>los padecimientos físicos y mentales</w:t>
      </w:r>
      <w:r w:rsidR="00BD5A53" w:rsidRPr="00E66386">
        <w:rPr>
          <w:rFonts w:asciiTheme="majorHAnsi" w:hAnsiTheme="majorHAnsi"/>
          <w:bCs/>
          <w:sz w:val="20"/>
          <w:szCs w:val="20"/>
          <w:lang w:val="es-CO"/>
        </w:rPr>
        <w:t xml:space="preserve"> que presentaba no permitían </w:t>
      </w:r>
      <w:r w:rsidR="00B7343B" w:rsidRPr="00E66386">
        <w:rPr>
          <w:rFonts w:asciiTheme="majorHAnsi" w:hAnsiTheme="majorHAnsi"/>
          <w:bCs/>
          <w:sz w:val="20"/>
          <w:szCs w:val="20"/>
          <w:lang w:val="es-CO"/>
        </w:rPr>
        <w:t>su intimación por los hechos de los que se le acusaba.</w:t>
      </w:r>
      <w:r w:rsidR="001D0ECE" w:rsidRPr="00E66386">
        <w:rPr>
          <w:rFonts w:asciiTheme="majorHAnsi" w:hAnsiTheme="majorHAnsi"/>
          <w:bCs/>
          <w:sz w:val="20"/>
          <w:szCs w:val="20"/>
          <w:lang w:val="es-CO"/>
        </w:rPr>
        <w:t xml:space="preserve"> Por último, </w:t>
      </w:r>
      <w:r w:rsidR="00400041" w:rsidRPr="00E66386">
        <w:rPr>
          <w:rFonts w:asciiTheme="majorHAnsi" w:hAnsiTheme="majorHAnsi"/>
          <w:bCs/>
          <w:sz w:val="20"/>
          <w:szCs w:val="20"/>
          <w:lang w:val="es-CO"/>
        </w:rPr>
        <w:t xml:space="preserve">el señor Mendoza García </w:t>
      </w:r>
      <w:r w:rsidR="00A10EF7" w:rsidRPr="00E66386">
        <w:rPr>
          <w:rFonts w:asciiTheme="majorHAnsi" w:hAnsiTheme="majorHAnsi"/>
          <w:bCs/>
          <w:sz w:val="20"/>
          <w:szCs w:val="20"/>
          <w:lang w:val="es-CO"/>
        </w:rPr>
        <w:t xml:space="preserve">permaneció </w:t>
      </w:r>
      <w:r w:rsidR="00D20827" w:rsidRPr="00E66386">
        <w:rPr>
          <w:rFonts w:asciiTheme="majorHAnsi" w:hAnsiTheme="majorHAnsi"/>
          <w:bCs/>
          <w:sz w:val="20"/>
          <w:szCs w:val="20"/>
          <w:lang w:val="es-CO"/>
        </w:rPr>
        <w:t xml:space="preserve">prófugo de la justicia </w:t>
      </w:r>
      <w:r w:rsidR="00A10EF7" w:rsidRPr="00E66386">
        <w:rPr>
          <w:rFonts w:asciiTheme="majorHAnsi" w:hAnsiTheme="majorHAnsi"/>
          <w:bCs/>
          <w:sz w:val="20"/>
          <w:szCs w:val="20"/>
          <w:lang w:val="es-CO"/>
        </w:rPr>
        <w:t>hasta el 16 de junio de 2019</w:t>
      </w:r>
      <w:r w:rsidR="00D20827" w:rsidRPr="00E66386">
        <w:rPr>
          <w:rFonts w:asciiTheme="majorHAnsi" w:hAnsiTheme="majorHAnsi"/>
          <w:bCs/>
          <w:sz w:val="20"/>
          <w:szCs w:val="20"/>
          <w:lang w:val="es-CO"/>
        </w:rPr>
        <w:t xml:space="preserve">, pues pese a que fue encontrado en su domicilio durante el allanamiento, la policía no pudo capturarlo porque el número de identidad que aparecía en la orden de captura no coincidía con </w:t>
      </w:r>
      <w:r w:rsidR="004D745D" w:rsidRPr="00E66386">
        <w:rPr>
          <w:rFonts w:asciiTheme="majorHAnsi" w:hAnsiTheme="majorHAnsi"/>
          <w:bCs/>
          <w:sz w:val="20"/>
          <w:szCs w:val="20"/>
          <w:lang w:val="es-CO"/>
        </w:rPr>
        <w:t>su documento de identidad</w:t>
      </w:r>
      <w:r w:rsidR="00A84E0E" w:rsidRPr="00E66386">
        <w:rPr>
          <w:rFonts w:asciiTheme="majorHAnsi" w:hAnsiTheme="majorHAnsi"/>
          <w:bCs/>
          <w:sz w:val="20"/>
          <w:szCs w:val="20"/>
          <w:lang w:val="es-CO"/>
        </w:rPr>
        <w:t>.</w:t>
      </w:r>
    </w:p>
    <w:p w14:paraId="52169D38" w14:textId="69E42C2D" w:rsidR="00BC5E17" w:rsidRPr="00E66386" w:rsidRDefault="00607171"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En vista de lo anterior, </w:t>
      </w:r>
      <w:r w:rsidR="00136182" w:rsidRPr="00E66386">
        <w:rPr>
          <w:rFonts w:asciiTheme="majorHAnsi" w:hAnsiTheme="majorHAnsi"/>
          <w:bCs/>
          <w:sz w:val="20"/>
          <w:szCs w:val="20"/>
          <w:lang w:val="es-CO"/>
        </w:rPr>
        <w:t>únicamente l</w:t>
      </w:r>
      <w:r w:rsidR="000A464D" w:rsidRPr="00E66386">
        <w:rPr>
          <w:rFonts w:asciiTheme="majorHAnsi" w:hAnsiTheme="majorHAnsi"/>
          <w:bCs/>
          <w:sz w:val="20"/>
          <w:szCs w:val="20"/>
          <w:lang w:val="es-CO"/>
        </w:rPr>
        <w:t>os</w:t>
      </w:r>
      <w:r w:rsidR="00136182" w:rsidRPr="00E66386">
        <w:rPr>
          <w:rFonts w:asciiTheme="majorHAnsi" w:hAnsiTheme="majorHAnsi"/>
          <w:bCs/>
          <w:sz w:val="20"/>
          <w:szCs w:val="20"/>
          <w:lang w:val="es-CO"/>
        </w:rPr>
        <w:t xml:space="preserve"> señor</w:t>
      </w:r>
      <w:r w:rsidR="000A464D" w:rsidRPr="00E66386">
        <w:rPr>
          <w:rFonts w:asciiTheme="majorHAnsi" w:hAnsiTheme="majorHAnsi"/>
          <w:bCs/>
          <w:sz w:val="20"/>
          <w:szCs w:val="20"/>
          <w:lang w:val="es-CO"/>
        </w:rPr>
        <w:t>es</w:t>
      </w:r>
      <w:r w:rsidR="00136182" w:rsidRPr="00E66386">
        <w:rPr>
          <w:rFonts w:asciiTheme="majorHAnsi" w:hAnsiTheme="majorHAnsi"/>
          <w:bCs/>
          <w:sz w:val="20"/>
          <w:szCs w:val="20"/>
          <w:lang w:val="es-CO"/>
        </w:rPr>
        <w:t xml:space="preserve"> José </w:t>
      </w:r>
      <w:r w:rsidR="0022337D" w:rsidRPr="00E66386">
        <w:rPr>
          <w:rFonts w:asciiTheme="majorHAnsi" w:hAnsiTheme="majorHAnsi"/>
          <w:bCs/>
          <w:sz w:val="20"/>
          <w:szCs w:val="20"/>
          <w:lang w:val="es-CO"/>
        </w:rPr>
        <w:t xml:space="preserve">Mauricio Rodríguez Sánchez </w:t>
      </w:r>
      <w:r w:rsidR="000A464D" w:rsidRPr="00E66386">
        <w:rPr>
          <w:rFonts w:asciiTheme="majorHAnsi" w:hAnsiTheme="majorHAnsi"/>
          <w:bCs/>
          <w:sz w:val="20"/>
          <w:szCs w:val="20"/>
          <w:lang w:val="es-CO"/>
        </w:rPr>
        <w:t xml:space="preserve">y Héctor Mario López Fuentes </w:t>
      </w:r>
      <w:r w:rsidR="0022337D" w:rsidRPr="00E66386">
        <w:rPr>
          <w:rFonts w:asciiTheme="majorHAnsi" w:hAnsiTheme="majorHAnsi"/>
          <w:bCs/>
          <w:sz w:val="20"/>
          <w:szCs w:val="20"/>
          <w:lang w:val="es-CO"/>
        </w:rPr>
        <w:t>fue</w:t>
      </w:r>
      <w:r w:rsidR="000A464D" w:rsidRPr="00E66386">
        <w:rPr>
          <w:rFonts w:asciiTheme="majorHAnsi" w:hAnsiTheme="majorHAnsi"/>
          <w:bCs/>
          <w:sz w:val="20"/>
          <w:szCs w:val="20"/>
          <w:lang w:val="es-CO"/>
        </w:rPr>
        <w:t>ron</w:t>
      </w:r>
      <w:r w:rsidR="0022337D" w:rsidRPr="00E66386">
        <w:rPr>
          <w:rFonts w:asciiTheme="majorHAnsi" w:hAnsiTheme="majorHAnsi"/>
          <w:bCs/>
          <w:sz w:val="20"/>
          <w:szCs w:val="20"/>
          <w:lang w:val="es-CO"/>
        </w:rPr>
        <w:t xml:space="preserve"> procesado</w:t>
      </w:r>
      <w:r w:rsidR="000A464D" w:rsidRPr="00E66386">
        <w:rPr>
          <w:rFonts w:asciiTheme="majorHAnsi" w:hAnsiTheme="majorHAnsi"/>
          <w:bCs/>
          <w:sz w:val="20"/>
          <w:szCs w:val="20"/>
          <w:lang w:val="es-CO"/>
        </w:rPr>
        <w:t>s</w:t>
      </w:r>
      <w:r w:rsidR="0022337D" w:rsidRPr="00E66386">
        <w:rPr>
          <w:rFonts w:asciiTheme="majorHAnsi" w:hAnsiTheme="majorHAnsi"/>
          <w:bCs/>
          <w:sz w:val="20"/>
          <w:szCs w:val="20"/>
          <w:lang w:val="es-CO"/>
        </w:rPr>
        <w:t xml:space="preserve"> en el primer juicio</w:t>
      </w:r>
      <w:r w:rsidR="00E509A3" w:rsidRPr="00E66386">
        <w:rPr>
          <w:rFonts w:asciiTheme="majorHAnsi" w:hAnsiTheme="majorHAnsi"/>
          <w:bCs/>
          <w:sz w:val="20"/>
          <w:szCs w:val="20"/>
          <w:lang w:val="es-CO"/>
        </w:rPr>
        <w:t>, dado que de los otros dos imputados, uno fue declarado inimputable y el otro permaneció prófugo de la justicia hasta 2019</w:t>
      </w:r>
      <w:r w:rsidR="0022337D" w:rsidRPr="00E66386">
        <w:rPr>
          <w:rFonts w:asciiTheme="majorHAnsi" w:hAnsiTheme="majorHAnsi"/>
          <w:bCs/>
          <w:sz w:val="20"/>
          <w:szCs w:val="20"/>
          <w:lang w:val="es-CO"/>
        </w:rPr>
        <w:t>.</w:t>
      </w:r>
    </w:p>
    <w:p w14:paraId="1F2F3F29" w14:textId="6B755EF3" w:rsidR="00BA385D" w:rsidRPr="00E66386" w:rsidRDefault="00461021"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El 14 de enero de 201</w:t>
      </w:r>
      <w:r w:rsidR="00086F15" w:rsidRPr="00E66386">
        <w:rPr>
          <w:rFonts w:asciiTheme="majorHAnsi" w:hAnsiTheme="majorHAnsi"/>
          <w:bCs/>
          <w:sz w:val="20"/>
          <w:szCs w:val="20"/>
          <w:lang w:val="es-CO"/>
        </w:rPr>
        <w:t>3 el señor José Efraín Ríos Montt</w:t>
      </w:r>
      <w:r w:rsidR="00CB1621" w:rsidRPr="00E66386">
        <w:rPr>
          <w:rFonts w:asciiTheme="majorHAnsi" w:hAnsiTheme="majorHAnsi"/>
          <w:bCs/>
          <w:sz w:val="20"/>
          <w:szCs w:val="20"/>
          <w:lang w:val="es-CO"/>
        </w:rPr>
        <w:t xml:space="preserve"> </w:t>
      </w:r>
      <w:r w:rsidR="00E7702E" w:rsidRPr="00E66386">
        <w:rPr>
          <w:rFonts w:asciiTheme="majorHAnsi" w:hAnsiTheme="majorHAnsi"/>
          <w:bCs/>
          <w:sz w:val="20"/>
          <w:szCs w:val="20"/>
          <w:lang w:val="es-CO"/>
        </w:rPr>
        <w:t xml:space="preserve">perdió su calidad de diputado y con ella, su inmunidad política, por lo cual, el 26 de enero de 2013 se le imputaron los cargos de </w:t>
      </w:r>
      <w:r w:rsidR="0000390D" w:rsidRPr="00E66386">
        <w:rPr>
          <w:rFonts w:asciiTheme="majorHAnsi" w:hAnsiTheme="majorHAnsi"/>
          <w:bCs/>
          <w:sz w:val="20"/>
          <w:szCs w:val="20"/>
          <w:lang w:val="es-CO"/>
        </w:rPr>
        <w:t xml:space="preserve">genocidio y delitos contra los deberes de humanidad </w:t>
      </w:r>
      <w:r w:rsidR="00EB107E" w:rsidRPr="00E66386">
        <w:rPr>
          <w:rFonts w:asciiTheme="majorHAnsi" w:hAnsiTheme="majorHAnsi"/>
          <w:bCs/>
          <w:sz w:val="20"/>
          <w:szCs w:val="20"/>
          <w:lang w:val="es-CO"/>
        </w:rPr>
        <w:t xml:space="preserve">en </w:t>
      </w:r>
      <w:r w:rsidR="003B59CE" w:rsidRPr="00E66386">
        <w:rPr>
          <w:rFonts w:asciiTheme="majorHAnsi" w:hAnsiTheme="majorHAnsi"/>
          <w:bCs/>
          <w:sz w:val="20"/>
          <w:szCs w:val="20"/>
          <w:lang w:val="es-CO"/>
        </w:rPr>
        <w:t xml:space="preserve">una </w:t>
      </w:r>
      <w:r w:rsidR="00EB107E" w:rsidRPr="00E66386">
        <w:rPr>
          <w:rFonts w:asciiTheme="majorHAnsi" w:hAnsiTheme="majorHAnsi"/>
          <w:bCs/>
          <w:sz w:val="20"/>
          <w:szCs w:val="20"/>
          <w:lang w:val="es-CO"/>
        </w:rPr>
        <w:t>audiencia.</w:t>
      </w:r>
      <w:r w:rsidR="00445C1B" w:rsidRPr="00E66386">
        <w:rPr>
          <w:rFonts w:asciiTheme="majorHAnsi" w:hAnsiTheme="majorHAnsi"/>
          <w:bCs/>
          <w:sz w:val="20"/>
          <w:szCs w:val="20"/>
          <w:lang w:val="es-CO"/>
        </w:rPr>
        <w:t xml:space="preserve"> Ese mismo día el Juzgado dictó auto de procesamiento en su contra y ordenó una medida sustitutiva de la prisión preventi</w:t>
      </w:r>
      <w:r w:rsidR="00A30783" w:rsidRPr="00E66386">
        <w:rPr>
          <w:rFonts w:asciiTheme="majorHAnsi" w:hAnsiTheme="majorHAnsi"/>
          <w:bCs/>
          <w:sz w:val="20"/>
          <w:szCs w:val="20"/>
          <w:lang w:val="es-CO"/>
        </w:rPr>
        <w:t>va consistente en una caución económica y arresto domicili</w:t>
      </w:r>
      <w:r w:rsidR="00D417C0" w:rsidRPr="00E66386">
        <w:rPr>
          <w:rFonts w:asciiTheme="majorHAnsi" w:hAnsiTheme="majorHAnsi"/>
          <w:bCs/>
          <w:sz w:val="20"/>
          <w:szCs w:val="20"/>
          <w:lang w:val="es-CO"/>
        </w:rPr>
        <w:t>a</w:t>
      </w:r>
      <w:r w:rsidR="00A30783" w:rsidRPr="00E66386">
        <w:rPr>
          <w:rFonts w:asciiTheme="majorHAnsi" w:hAnsiTheme="majorHAnsi"/>
          <w:bCs/>
          <w:sz w:val="20"/>
          <w:szCs w:val="20"/>
          <w:lang w:val="es-CO"/>
        </w:rPr>
        <w:t>rio.</w:t>
      </w:r>
    </w:p>
    <w:p w14:paraId="31234CF6" w14:textId="197182E7" w:rsidR="005B378A" w:rsidRPr="00E66386" w:rsidRDefault="00145589"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Los peticionarios </w:t>
      </w:r>
      <w:r w:rsidR="006B22E3" w:rsidRPr="00E66386">
        <w:rPr>
          <w:rFonts w:asciiTheme="majorHAnsi" w:hAnsiTheme="majorHAnsi"/>
          <w:bCs/>
          <w:sz w:val="20"/>
          <w:szCs w:val="20"/>
          <w:lang w:val="es-CO"/>
        </w:rPr>
        <w:t>sostienen</w:t>
      </w:r>
      <w:r w:rsidR="00AE4FD1" w:rsidRPr="00E66386">
        <w:rPr>
          <w:rFonts w:asciiTheme="majorHAnsi" w:hAnsiTheme="majorHAnsi"/>
          <w:bCs/>
          <w:sz w:val="20"/>
          <w:szCs w:val="20"/>
          <w:lang w:val="es-CO"/>
        </w:rPr>
        <w:t xml:space="preserve"> que “</w:t>
      </w:r>
      <w:r w:rsidR="00AE4FD1" w:rsidRPr="00E66386">
        <w:rPr>
          <w:rFonts w:asciiTheme="majorHAnsi" w:hAnsiTheme="majorHAnsi"/>
          <w:bCs/>
          <w:i/>
          <w:iCs/>
          <w:sz w:val="20"/>
          <w:szCs w:val="20"/>
          <w:lang w:val="es-CO"/>
        </w:rPr>
        <w:t>los abogados defensores implementaron una estrategia dilatoria</w:t>
      </w:r>
      <w:r w:rsidR="00C62E83" w:rsidRPr="00E66386">
        <w:rPr>
          <w:rFonts w:asciiTheme="majorHAnsi" w:hAnsiTheme="majorHAnsi"/>
          <w:bCs/>
          <w:i/>
          <w:iCs/>
          <w:sz w:val="20"/>
          <w:szCs w:val="20"/>
          <w:lang w:val="es-CO"/>
        </w:rPr>
        <w:t xml:space="preserve"> </w:t>
      </w:r>
      <w:r w:rsidR="00AE4FD1" w:rsidRPr="00E66386">
        <w:rPr>
          <w:rFonts w:asciiTheme="majorHAnsi" w:hAnsiTheme="majorHAnsi"/>
          <w:bCs/>
          <w:i/>
          <w:iCs/>
          <w:sz w:val="20"/>
          <w:szCs w:val="20"/>
          <w:lang w:val="es-CO"/>
        </w:rPr>
        <w:t>mediante el uso sistemático y abusivo de recursos</w:t>
      </w:r>
      <w:r w:rsidR="00C62E83" w:rsidRPr="00E66386">
        <w:rPr>
          <w:rFonts w:asciiTheme="majorHAnsi" w:hAnsiTheme="majorHAnsi"/>
          <w:bCs/>
          <w:sz w:val="20"/>
          <w:szCs w:val="20"/>
          <w:lang w:val="es-CO"/>
        </w:rPr>
        <w:t>”</w:t>
      </w:r>
      <w:r w:rsidR="00AE4FD1" w:rsidRPr="00E66386">
        <w:rPr>
          <w:rFonts w:asciiTheme="majorHAnsi" w:hAnsiTheme="majorHAnsi"/>
          <w:bCs/>
          <w:sz w:val="20"/>
          <w:szCs w:val="20"/>
          <w:lang w:val="es-CO"/>
        </w:rPr>
        <w:t xml:space="preserve">. </w:t>
      </w:r>
      <w:r w:rsidR="003C285B" w:rsidRPr="00E66386">
        <w:rPr>
          <w:rFonts w:asciiTheme="majorHAnsi" w:hAnsiTheme="majorHAnsi"/>
          <w:bCs/>
          <w:sz w:val="20"/>
          <w:szCs w:val="20"/>
          <w:lang w:val="es-CO"/>
        </w:rPr>
        <w:t xml:space="preserve">En esa tesitura, </w:t>
      </w:r>
      <w:r w:rsidRPr="00E66386">
        <w:rPr>
          <w:rFonts w:asciiTheme="majorHAnsi" w:hAnsiTheme="majorHAnsi"/>
          <w:bCs/>
          <w:sz w:val="20"/>
          <w:szCs w:val="20"/>
          <w:lang w:val="es-CO"/>
        </w:rPr>
        <w:t xml:space="preserve">refieren </w:t>
      </w:r>
      <w:r w:rsidR="00B333E7" w:rsidRPr="00E66386">
        <w:rPr>
          <w:rFonts w:asciiTheme="majorHAnsi" w:hAnsiTheme="majorHAnsi"/>
          <w:bCs/>
          <w:sz w:val="20"/>
          <w:szCs w:val="20"/>
          <w:lang w:val="es-CO"/>
        </w:rPr>
        <w:t>que,</w:t>
      </w:r>
      <w:r w:rsidR="003C285B" w:rsidRPr="00E66386">
        <w:rPr>
          <w:rFonts w:asciiTheme="majorHAnsi" w:hAnsiTheme="majorHAnsi"/>
          <w:bCs/>
          <w:sz w:val="20"/>
          <w:szCs w:val="20"/>
          <w:lang w:val="es-CO"/>
        </w:rPr>
        <w:t xml:space="preserve"> durant</w:t>
      </w:r>
      <w:r w:rsidR="0065441A" w:rsidRPr="00E66386">
        <w:rPr>
          <w:rFonts w:asciiTheme="majorHAnsi" w:hAnsiTheme="majorHAnsi"/>
          <w:bCs/>
          <w:sz w:val="20"/>
          <w:szCs w:val="20"/>
          <w:lang w:val="es-CO"/>
        </w:rPr>
        <w:t>e</w:t>
      </w:r>
      <w:r w:rsidRPr="00E66386">
        <w:rPr>
          <w:rFonts w:asciiTheme="majorHAnsi" w:hAnsiTheme="majorHAnsi"/>
          <w:bCs/>
          <w:sz w:val="20"/>
          <w:szCs w:val="20"/>
          <w:lang w:val="es-CO"/>
        </w:rPr>
        <w:t xml:space="preserve"> todas las etapas del proceso, la</w:t>
      </w:r>
      <w:r w:rsidR="00995AF0" w:rsidRPr="00E66386">
        <w:rPr>
          <w:rFonts w:asciiTheme="majorHAnsi" w:hAnsiTheme="majorHAnsi"/>
          <w:bCs/>
          <w:sz w:val="20"/>
          <w:szCs w:val="20"/>
          <w:lang w:val="es-CO"/>
        </w:rPr>
        <w:t>s</w:t>
      </w:r>
      <w:r w:rsidRPr="00E66386">
        <w:rPr>
          <w:rFonts w:asciiTheme="majorHAnsi" w:hAnsiTheme="majorHAnsi"/>
          <w:bCs/>
          <w:sz w:val="20"/>
          <w:szCs w:val="20"/>
          <w:lang w:val="es-CO"/>
        </w:rPr>
        <w:t xml:space="preserve"> defensa</w:t>
      </w:r>
      <w:r w:rsidR="00995AF0" w:rsidRPr="00E66386">
        <w:rPr>
          <w:rFonts w:asciiTheme="majorHAnsi" w:hAnsiTheme="majorHAnsi"/>
          <w:bCs/>
          <w:sz w:val="20"/>
          <w:szCs w:val="20"/>
          <w:lang w:val="es-CO"/>
        </w:rPr>
        <w:t>s</w:t>
      </w:r>
      <w:r w:rsidRPr="00E66386">
        <w:rPr>
          <w:rFonts w:asciiTheme="majorHAnsi" w:hAnsiTheme="majorHAnsi"/>
          <w:bCs/>
          <w:sz w:val="20"/>
          <w:szCs w:val="20"/>
          <w:lang w:val="es-CO"/>
        </w:rPr>
        <w:t xml:space="preserve"> de los coprocesados </w:t>
      </w:r>
      <w:r w:rsidR="003C285B" w:rsidRPr="00E66386">
        <w:rPr>
          <w:rFonts w:asciiTheme="majorHAnsi" w:hAnsiTheme="majorHAnsi"/>
          <w:bCs/>
          <w:sz w:val="20"/>
          <w:szCs w:val="20"/>
          <w:lang w:val="es-CO"/>
        </w:rPr>
        <w:t xml:space="preserve">José Efraín Ríos Montt, </w:t>
      </w:r>
      <w:r w:rsidRPr="00E66386">
        <w:rPr>
          <w:rFonts w:asciiTheme="majorHAnsi" w:hAnsiTheme="majorHAnsi"/>
          <w:bCs/>
          <w:sz w:val="20"/>
          <w:szCs w:val="20"/>
          <w:lang w:val="es-CO"/>
        </w:rPr>
        <w:t>Héctor Mario López</w:t>
      </w:r>
      <w:r w:rsidR="00F0390E" w:rsidRPr="00E66386">
        <w:rPr>
          <w:rFonts w:asciiTheme="majorHAnsi" w:hAnsiTheme="majorHAnsi"/>
          <w:bCs/>
          <w:sz w:val="20"/>
          <w:szCs w:val="20"/>
          <w:lang w:val="es-CO"/>
        </w:rPr>
        <w:t xml:space="preserve"> </w:t>
      </w:r>
      <w:r w:rsidRPr="00E66386">
        <w:rPr>
          <w:rFonts w:asciiTheme="majorHAnsi" w:hAnsiTheme="majorHAnsi"/>
          <w:bCs/>
          <w:sz w:val="20"/>
          <w:szCs w:val="20"/>
          <w:lang w:val="es-CO"/>
        </w:rPr>
        <w:t xml:space="preserve">Fuentes </w:t>
      </w:r>
      <w:r w:rsidR="003C285B" w:rsidRPr="00E66386">
        <w:rPr>
          <w:rFonts w:asciiTheme="majorHAnsi" w:hAnsiTheme="majorHAnsi"/>
          <w:bCs/>
          <w:sz w:val="20"/>
          <w:szCs w:val="20"/>
          <w:lang w:val="es-CO"/>
        </w:rPr>
        <w:t xml:space="preserve">y </w:t>
      </w:r>
      <w:r w:rsidRPr="00E66386">
        <w:rPr>
          <w:rFonts w:asciiTheme="majorHAnsi" w:hAnsiTheme="majorHAnsi"/>
          <w:bCs/>
          <w:sz w:val="20"/>
          <w:szCs w:val="20"/>
          <w:lang w:val="es-CO"/>
        </w:rPr>
        <w:t>José Mauricio Rodríguez Sánchez presenta</w:t>
      </w:r>
      <w:r w:rsidR="00E7077F" w:rsidRPr="00E66386">
        <w:rPr>
          <w:rFonts w:asciiTheme="majorHAnsi" w:hAnsiTheme="majorHAnsi"/>
          <w:bCs/>
          <w:sz w:val="20"/>
          <w:szCs w:val="20"/>
          <w:lang w:val="es-CO"/>
        </w:rPr>
        <w:t>ron</w:t>
      </w:r>
      <w:r w:rsidR="00F0390E" w:rsidRPr="00E66386">
        <w:rPr>
          <w:rFonts w:asciiTheme="majorHAnsi" w:hAnsiTheme="majorHAnsi"/>
          <w:bCs/>
          <w:sz w:val="20"/>
          <w:szCs w:val="20"/>
          <w:lang w:val="es-CO"/>
        </w:rPr>
        <w:t xml:space="preserve"> </w:t>
      </w:r>
      <w:r w:rsidR="00946508" w:rsidRPr="00E66386">
        <w:rPr>
          <w:rFonts w:asciiTheme="majorHAnsi" w:hAnsiTheme="majorHAnsi"/>
          <w:bCs/>
          <w:sz w:val="20"/>
          <w:szCs w:val="20"/>
          <w:lang w:val="es-CO"/>
        </w:rPr>
        <w:t xml:space="preserve">compulsivamente </w:t>
      </w:r>
      <w:r w:rsidRPr="00E66386">
        <w:rPr>
          <w:rFonts w:asciiTheme="majorHAnsi" w:hAnsiTheme="majorHAnsi"/>
          <w:bCs/>
          <w:sz w:val="20"/>
          <w:szCs w:val="20"/>
          <w:lang w:val="es-CO"/>
        </w:rPr>
        <w:t xml:space="preserve">múltiples incidentes, recusaciones, </w:t>
      </w:r>
      <w:r w:rsidR="00E7077F" w:rsidRPr="00E66386">
        <w:rPr>
          <w:rFonts w:asciiTheme="majorHAnsi" w:hAnsiTheme="majorHAnsi"/>
          <w:bCs/>
          <w:sz w:val="20"/>
          <w:szCs w:val="20"/>
          <w:lang w:val="es-CO"/>
        </w:rPr>
        <w:t xml:space="preserve">acciones de </w:t>
      </w:r>
      <w:r w:rsidRPr="00E66386">
        <w:rPr>
          <w:rFonts w:asciiTheme="majorHAnsi" w:hAnsiTheme="majorHAnsi"/>
          <w:bCs/>
          <w:sz w:val="20"/>
          <w:szCs w:val="20"/>
          <w:lang w:val="es-CO"/>
        </w:rPr>
        <w:t>inconstitucionalidad, amparos, apelaciones de</w:t>
      </w:r>
      <w:r w:rsidR="00F0390E" w:rsidRPr="00E66386">
        <w:rPr>
          <w:rFonts w:asciiTheme="majorHAnsi" w:hAnsiTheme="majorHAnsi"/>
          <w:bCs/>
          <w:sz w:val="20"/>
          <w:szCs w:val="20"/>
          <w:lang w:val="es-CO"/>
        </w:rPr>
        <w:t xml:space="preserve"> </w:t>
      </w:r>
      <w:r w:rsidR="00A96AB9" w:rsidRPr="00E66386">
        <w:rPr>
          <w:rFonts w:asciiTheme="majorHAnsi" w:hAnsiTheme="majorHAnsi"/>
          <w:bCs/>
          <w:sz w:val="20"/>
          <w:szCs w:val="20"/>
          <w:lang w:val="es-CO"/>
        </w:rPr>
        <w:t>primeras instancias</w:t>
      </w:r>
      <w:r w:rsidRPr="00E66386">
        <w:rPr>
          <w:rFonts w:asciiTheme="majorHAnsi" w:hAnsiTheme="majorHAnsi"/>
          <w:bCs/>
          <w:sz w:val="20"/>
          <w:szCs w:val="20"/>
          <w:lang w:val="es-CO"/>
        </w:rPr>
        <w:t>, apelaciones de amparo y otras solicitudes con el s</w:t>
      </w:r>
      <w:r w:rsidR="00EE3797" w:rsidRPr="00E66386">
        <w:rPr>
          <w:rFonts w:asciiTheme="majorHAnsi" w:hAnsiTheme="majorHAnsi"/>
          <w:bCs/>
          <w:sz w:val="20"/>
          <w:szCs w:val="20"/>
          <w:lang w:val="es-CO"/>
        </w:rPr>
        <w:t>ó</w:t>
      </w:r>
      <w:r w:rsidRPr="00E66386">
        <w:rPr>
          <w:rFonts w:asciiTheme="majorHAnsi" w:hAnsiTheme="majorHAnsi"/>
          <w:bCs/>
          <w:sz w:val="20"/>
          <w:szCs w:val="20"/>
          <w:lang w:val="es-CO"/>
        </w:rPr>
        <w:t>lo objetivo de</w:t>
      </w:r>
      <w:r w:rsidR="00F0390E" w:rsidRPr="00E66386">
        <w:rPr>
          <w:rFonts w:asciiTheme="majorHAnsi" w:hAnsiTheme="majorHAnsi"/>
          <w:bCs/>
          <w:sz w:val="20"/>
          <w:szCs w:val="20"/>
          <w:lang w:val="es-CO"/>
        </w:rPr>
        <w:t xml:space="preserve"> </w:t>
      </w:r>
      <w:r w:rsidRPr="00E66386">
        <w:rPr>
          <w:rFonts w:asciiTheme="majorHAnsi" w:hAnsiTheme="majorHAnsi"/>
          <w:bCs/>
          <w:sz w:val="20"/>
          <w:szCs w:val="20"/>
          <w:lang w:val="es-CO"/>
        </w:rPr>
        <w:t>retrasar el proceso penal y perpetuar la impunidad.</w:t>
      </w:r>
    </w:p>
    <w:p w14:paraId="32B79BE1" w14:textId="730A7BF4" w:rsidR="0021005D" w:rsidRPr="00E66386" w:rsidRDefault="00601020"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Con relación a Héctor Mario López Fuentes, </w:t>
      </w:r>
      <w:r w:rsidR="009973E7" w:rsidRPr="00E66386">
        <w:rPr>
          <w:rFonts w:asciiTheme="majorHAnsi" w:hAnsiTheme="majorHAnsi"/>
          <w:bCs/>
          <w:sz w:val="20"/>
          <w:szCs w:val="20"/>
          <w:lang w:val="es-CO"/>
        </w:rPr>
        <w:t xml:space="preserve">quien se encontraba recluido en el centro médico militar desde su aprehensión, </w:t>
      </w:r>
      <w:r w:rsidRPr="00E66386">
        <w:rPr>
          <w:rFonts w:asciiTheme="majorHAnsi" w:hAnsiTheme="majorHAnsi"/>
          <w:bCs/>
          <w:sz w:val="20"/>
          <w:szCs w:val="20"/>
          <w:lang w:val="es-CO"/>
        </w:rPr>
        <w:t>el 22 de junio de 2012 se emitió un dictamen pericial</w:t>
      </w:r>
      <w:r w:rsidR="00FF6AFC" w:rsidRPr="00E66386">
        <w:rPr>
          <w:rFonts w:asciiTheme="majorHAnsi" w:hAnsiTheme="majorHAnsi"/>
          <w:bCs/>
          <w:sz w:val="20"/>
          <w:szCs w:val="20"/>
          <w:lang w:val="es-CO"/>
        </w:rPr>
        <w:t xml:space="preserve"> psiquiátrico, según el cual, éste estaba “limitado física, psicológica y emocionalmente para enfrentar juicio”. </w:t>
      </w:r>
      <w:r w:rsidR="007D2287" w:rsidRPr="00E66386">
        <w:rPr>
          <w:rFonts w:asciiTheme="majorHAnsi" w:hAnsiTheme="majorHAnsi"/>
          <w:bCs/>
          <w:sz w:val="20"/>
          <w:szCs w:val="20"/>
          <w:lang w:val="es-CO"/>
        </w:rPr>
        <w:t xml:space="preserve">Por ello, </w:t>
      </w:r>
      <w:r w:rsidRPr="00E66386">
        <w:rPr>
          <w:rFonts w:asciiTheme="majorHAnsi" w:hAnsiTheme="majorHAnsi"/>
          <w:bCs/>
          <w:sz w:val="20"/>
          <w:szCs w:val="20"/>
          <w:lang w:val="es-CO"/>
        </w:rPr>
        <w:t>el juz</w:t>
      </w:r>
      <w:r w:rsidR="007D2287" w:rsidRPr="00E66386">
        <w:rPr>
          <w:rFonts w:asciiTheme="majorHAnsi" w:hAnsiTheme="majorHAnsi"/>
          <w:bCs/>
          <w:sz w:val="20"/>
          <w:szCs w:val="20"/>
          <w:lang w:val="es-CO"/>
        </w:rPr>
        <w:t>gado</w:t>
      </w:r>
      <w:r w:rsidRPr="00E66386">
        <w:rPr>
          <w:rFonts w:asciiTheme="majorHAnsi" w:hAnsiTheme="majorHAnsi"/>
          <w:bCs/>
          <w:sz w:val="20"/>
          <w:szCs w:val="20"/>
          <w:lang w:val="es-CO"/>
        </w:rPr>
        <w:t xml:space="preserve"> resolvió </w:t>
      </w:r>
      <w:r w:rsidR="007D2287" w:rsidRPr="00E66386">
        <w:rPr>
          <w:rFonts w:asciiTheme="majorHAnsi" w:hAnsiTheme="majorHAnsi"/>
          <w:bCs/>
          <w:sz w:val="20"/>
          <w:szCs w:val="20"/>
          <w:lang w:val="es-CO"/>
        </w:rPr>
        <w:t>no llamarlo a juicio.</w:t>
      </w:r>
    </w:p>
    <w:p w14:paraId="7C2EED5B" w14:textId="6E0E3FA4" w:rsidR="002F729D" w:rsidRPr="00E66386" w:rsidRDefault="001E1496"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El </w:t>
      </w:r>
      <w:r w:rsidR="00CA11CD" w:rsidRPr="00E66386">
        <w:rPr>
          <w:rFonts w:asciiTheme="majorHAnsi" w:hAnsiTheme="majorHAnsi"/>
          <w:bCs/>
          <w:sz w:val="20"/>
          <w:szCs w:val="20"/>
          <w:lang w:val="es-CO"/>
        </w:rPr>
        <w:t xml:space="preserve">28 de enero de 2013 </w:t>
      </w:r>
      <w:r w:rsidR="003A4B19" w:rsidRPr="00E66386">
        <w:rPr>
          <w:rFonts w:asciiTheme="majorHAnsi" w:hAnsiTheme="majorHAnsi"/>
          <w:bCs/>
          <w:sz w:val="20"/>
          <w:szCs w:val="20"/>
          <w:lang w:val="es-CO"/>
        </w:rPr>
        <w:t>el juzgado</w:t>
      </w:r>
      <w:r w:rsidR="00CA11CD" w:rsidRPr="00E66386">
        <w:rPr>
          <w:rFonts w:asciiTheme="majorHAnsi" w:hAnsiTheme="majorHAnsi"/>
          <w:bCs/>
          <w:sz w:val="20"/>
          <w:szCs w:val="20"/>
          <w:lang w:val="es-CO"/>
        </w:rPr>
        <w:t xml:space="preserve"> </w:t>
      </w:r>
      <w:r w:rsidRPr="00E66386">
        <w:rPr>
          <w:rFonts w:asciiTheme="majorHAnsi" w:hAnsiTheme="majorHAnsi"/>
          <w:bCs/>
          <w:sz w:val="20"/>
          <w:szCs w:val="20"/>
          <w:lang w:val="es-CO"/>
        </w:rPr>
        <w:t>dict</w:t>
      </w:r>
      <w:r w:rsidR="00CA11CD" w:rsidRPr="00E66386">
        <w:rPr>
          <w:rFonts w:asciiTheme="majorHAnsi" w:hAnsiTheme="majorHAnsi"/>
          <w:bCs/>
          <w:sz w:val="20"/>
          <w:szCs w:val="20"/>
          <w:lang w:val="es-CO"/>
        </w:rPr>
        <w:t>ó</w:t>
      </w:r>
      <w:r w:rsidRPr="00E66386">
        <w:rPr>
          <w:rFonts w:asciiTheme="majorHAnsi" w:hAnsiTheme="majorHAnsi"/>
          <w:bCs/>
          <w:sz w:val="20"/>
          <w:szCs w:val="20"/>
          <w:lang w:val="es-CO"/>
        </w:rPr>
        <w:t xml:space="preserve"> auto de apertura a juicio en contra de los señores Ríos Montt y Rodríguez Sánchez.</w:t>
      </w:r>
      <w:r w:rsidR="00087439" w:rsidRPr="00E66386">
        <w:rPr>
          <w:rFonts w:asciiTheme="majorHAnsi" w:hAnsiTheme="majorHAnsi"/>
          <w:bCs/>
          <w:sz w:val="20"/>
          <w:szCs w:val="20"/>
          <w:lang w:val="es-CO"/>
        </w:rPr>
        <w:t xml:space="preserve"> </w:t>
      </w:r>
      <w:r w:rsidR="00CA11CD" w:rsidRPr="00E66386">
        <w:rPr>
          <w:rFonts w:asciiTheme="majorHAnsi" w:hAnsiTheme="majorHAnsi"/>
          <w:bCs/>
          <w:sz w:val="20"/>
          <w:szCs w:val="20"/>
          <w:lang w:val="es-CO"/>
        </w:rPr>
        <w:t xml:space="preserve">El </w:t>
      </w:r>
      <w:r w:rsidR="00077D84" w:rsidRPr="00E66386">
        <w:rPr>
          <w:rFonts w:asciiTheme="majorHAnsi" w:hAnsiTheme="majorHAnsi"/>
          <w:bCs/>
          <w:sz w:val="20"/>
          <w:szCs w:val="20"/>
          <w:lang w:val="es-CO"/>
        </w:rPr>
        <w:t>4 de febrero de 2013 se celebró la audiencia en la que se decretaron las pruebas a ser practicadas en el juicio</w:t>
      </w:r>
      <w:r w:rsidR="00CA11CD" w:rsidRPr="00E66386">
        <w:rPr>
          <w:rFonts w:asciiTheme="majorHAnsi" w:hAnsiTheme="majorHAnsi"/>
          <w:bCs/>
          <w:sz w:val="20"/>
          <w:szCs w:val="20"/>
          <w:lang w:val="es-CO"/>
        </w:rPr>
        <w:t>, pero ésta fue suspendida porque la defensa interpuso una acción de</w:t>
      </w:r>
      <w:r w:rsidR="008317AC" w:rsidRPr="00E66386">
        <w:rPr>
          <w:rFonts w:asciiTheme="majorHAnsi" w:hAnsiTheme="majorHAnsi"/>
          <w:bCs/>
          <w:sz w:val="20"/>
          <w:szCs w:val="20"/>
          <w:lang w:val="es-CO"/>
        </w:rPr>
        <w:t xml:space="preserve"> </w:t>
      </w:r>
      <w:r w:rsidR="00CA11CD" w:rsidRPr="00E66386">
        <w:rPr>
          <w:rFonts w:asciiTheme="majorHAnsi" w:hAnsiTheme="majorHAnsi"/>
          <w:bCs/>
          <w:sz w:val="20"/>
          <w:szCs w:val="20"/>
          <w:lang w:val="es-CO"/>
        </w:rPr>
        <w:t>a</w:t>
      </w:r>
      <w:r w:rsidR="008317AC" w:rsidRPr="00E66386">
        <w:rPr>
          <w:rFonts w:asciiTheme="majorHAnsi" w:hAnsiTheme="majorHAnsi"/>
          <w:bCs/>
          <w:sz w:val="20"/>
          <w:szCs w:val="20"/>
          <w:lang w:val="es-CO"/>
        </w:rPr>
        <w:t xml:space="preserve">mparo </w:t>
      </w:r>
      <w:r w:rsidR="00334CEE" w:rsidRPr="00E66386">
        <w:rPr>
          <w:rFonts w:asciiTheme="majorHAnsi" w:hAnsiTheme="majorHAnsi"/>
          <w:bCs/>
          <w:sz w:val="20"/>
          <w:szCs w:val="20"/>
          <w:lang w:val="es-CO"/>
        </w:rPr>
        <w:t xml:space="preserve">contra el rechazo de </w:t>
      </w:r>
      <w:r w:rsidR="00CA11CD" w:rsidRPr="00E66386">
        <w:rPr>
          <w:rFonts w:asciiTheme="majorHAnsi" w:hAnsiTheme="majorHAnsi"/>
          <w:bCs/>
          <w:sz w:val="20"/>
          <w:szCs w:val="20"/>
          <w:lang w:val="es-CO"/>
        </w:rPr>
        <w:t xml:space="preserve">algunas </w:t>
      </w:r>
      <w:r w:rsidR="00334CEE" w:rsidRPr="00E66386">
        <w:rPr>
          <w:rFonts w:asciiTheme="majorHAnsi" w:hAnsiTheme="majorHAnsi"/>
          <w:bCs/>
          <w:sz w:val="20"/>
          <w:szCs w:val="20"/>
          <w:lang w:val="es-CO"/>
        </w:rPr>
        <w:t>pruebas</w:t>
      </w:r>
      <w:r w:rsidR="00CA11CD" w:rsidRPr="00E66386">
        <w:rPr>
          <w:rFonts w:asciiTheme="majorHAnsi" w:hAnsiTheme="majorHAnsi"/>
          <w:bCs/>
          <w:sz w:val="20"/>
          <w:szCs w:val="20"/>
          <w:lang w:val="es-CO"/>
        </w:rPr>
        <w:t xml:space="preserve"> solicitadas por la defensa</w:t>
      </w:r>
      <w:r w:rsidR="00334CEE" w:rsidRPr="00E66386">
        <w:rPr>
          <w:rFonts w:asciiTheme="majorHAnsi" w:hAnsiTheme="majorHAnsi"/>
          <w:bCs/>
          <w:sz w:val="20"/>
          <w:szCs w:val="20"/>
          <w:lang w:val="es-CO"/>
        </w:rPr>
        <w:t>.</w:t>
      </w:r>
      <w:r w:rsidR="00534E40" w:rsidRPr="00E66386">
        <w:rPr>
          <w:rFonts w:asciiTheme="majorHAnsi" w:hAnsiTheme="majorHAnsi"/>
          <w:bCs/>
          <w:sz w:val="20"/>
          <w:szCs w:val="20"/>
          <w:lang w:val="es-CO"/>
        </w:rPr>
        <w:t xml:space="preserve"> </w:t>
      </w:r>
      <w:r w:rsidR="00D45609" w:rsidRPr="00E66386">
        <w:rPr>
          <w:rFonts w:asciiTheme="majorHAnsi" w:hAnsiTheme="majorHAnsi"/>
          <w:bCs/>
          <w:sz w:val="20"/>
          <w:szCs w:val="20"/>
          <w:lang w:val="es-CO"/>
        </w:rPr>
        <w:t>La demanda de amparo fue concedida</w:t>
      </w:r>
      <w:r w:rsidR="003E7F0E" w:rsidRPr="00E66386">
        <w:rPr>
          <w:rFonts w:asciiTheme="majorHAnsi" w:hAnsiTheme="majorHAnsi"/>
          <w:bCs/>
          <w:sz w:val="20"/>
          <w:szCs w:val="20"/>
          <w:lang w:val="es-CO"/>
        </w:rPr>
        <w:t xml:space="preserve"> provisionalmente</w:t>
      </w:r>
      <w:r w:rsidR="00534E40" w:rsidRPr="00E66386">
        <w:rPr>
          <w:rFonts w:asciiTheme="majorHAnsi" w:hAnsiTheme="majorHAnsi"/>
          <w:bCs/>
          <w:sz w:val="20"/>
          <w:szCs w:val="20"/>
          <w:lang w:val="es-CO"/>
        </w:rPr>
        <w:t>, se admitieron e introdujeron a juicio los medios de prueba solicitados por la defensa</w:t>
      </w:r>
      <w:r w:rsidR="003E7F0E" w:rsidRPr="00E66386">
        <w:rPr>
          <w:rFonts w:asciiTheme="majorHAnsi" w:hAnsiTheme="majorHAnsi"/>
          <w:bCs/>
          <w:sz w:val="20"/>
          <w:szCs w:val="20"/>
          <w:lang w:val="es-CO"/>
        </w:rPr>
        <w:t xml:space="preserve">, no </w:t>
      </w:r>
      <w:r w:rsidR="009C5DB7" w:rsidRPr="00E66386">
        <w:rPr>
          <w:rFonts w:asciiTheme="majorHAnsi" w:hAnsiTheme="majorHAnsi"/>
          <w:bCs/>
          <w:sz w:val="20"/>
          <w:szCs w:val="20"/>
          <w:lang w:val="es-CO"/>
        </w:rPr>
        <w:t>obstante,</w:t>
      </w:r>
      <w:r w:rsidR="003E7F0E" w:rsidRPr="00E66386">
        <w:rPr>
          <w:rFonts w:asciiTheme="majorHAnsi" w:hAnsiTheme="majorHAnsi"/>
          <w:bCs/>
          <w:sz w:val="20"/>
          <w:szCs w:val="20"/>
          <w:lang w:val="es-CO"/>
        </w:rPr>
        <w:t xml:space="preserve"> l</w:t>
      </w:r>
      <w:r w:rsidR="00D45609" w:rsidRPr="00E66386">
        <w:rPr>
          <w:rFonts w:asciiTheme="majorHAnsi" w:hAnsiTheme="majorHAnsi"/>
          <w:bCs/>
          <w:sz w:val="20"/>
          <w:szCs w:val="20"/>
          <w:lang w:val="es-CO"/>
        </w:rPr>
        <w:t>os abogados</w:t>
      </w:r>
      <w:r w:rsidR="003E7F0E" w:rsidRPr="00E66386">
        <w:rPr>
          <w:rFonts w:asciiTheme="majorHAnsi" w:hAnsiTheme="majorHAnsi"/>
          <w:bCs/>
          <w:sz w:val="20"/>
          <w:szCs w:val="20"/>
          <w:lang w:val="es-CO"/>
        </w:rPr>
        <w:t xml:space="preserve"> defens</w:t>
      </w:r>
      <w:r w:rsidR="00D45609" w:rsidRPr="00E66386">
        <w:rPr>
          <w:rFonts w:asciiTheme="majorHAnsi" w:hAnsiTheme="majorHAnsi"/>
          <w:bCs/>
          <w:sz w:val="20"/>
          <w:szCs w:val="20"/>
          <w:lang w:val="es-CO"/>
        </w:rPr>
        <w:t>ores</w:t>
      </w:r>
      <w:r w:rsidR="003E7F0E" w:rsidRPr="00E66386">
        <w:rPr>
          <w:rFonts w:asciiTheme="majorHAnsi" w:hAnsiTheme="majorHAnsi"/>
          <w:bCs/>
          <w:sz w:val="20"/>
          <w:szCs w:val="20"/>
          <w:lang w:val="es-CO"/>
        </w:rPr>
        <w:t xml:space="preserve"> del señor </w:t>
      </w:r>
      <w:r w:rsidR="001F717D" w:rsidRPr="00E66386">
        <w:rPr>
          <w:rFonts w:asciiTheme="majorHAnsi" w:hAnsiTheme="majorHAnsi"/>
          <w:bCs/>
          <w:sz w:val="20"/>
          <w:szCs w:val="20"/>
          <w:lang w:val="es-CO"/>
        </w:rPr>
        <w:t>Ríos</w:t>
      </w:r>
      <w:r w:rsidR="003E7F0E" w:rsidRPr="00E66386">
        <w:rPr>
          <w:rFonts w:asciiTheme="majorHAnsi" w:hAnsiTheme="majorHAnsi"/>
          <w:bCs/>
          <w:sz w:val="20"/>
          <w:szCs w:val="20"/>
          <w:lang w:val="es-CO"/>
        </w:rPr>
        <w:t xml:space="preserve"> Montt </w:t>
      </w:r>
      <w:r w:rsidR="00D45609" w:rsidRPr="00E66386">
        <w:rPr>
          <w:rFonts w:asciiTheme="majorHAnsi" w:hAnsiTheme="majorHAnsi"/>
          <w:bCs/>
          <w:sz w:val="20"/>
          <w:szCs w:val="20"/>
          <w:lang w:val="es-CO"/>
        </w:rPr>
        <w:t>interpusieron</w:t>
      </w:r>
      <w:r w:rsidR="003E7F0E" w:rsidRPr="00E66386">
        <w:rPr>
          <w:rFonts w:asciiTheme="majorHAnsi" w:hAnsiTheme="majorHAnsi"/>
          <w:bCs/>
          <w:sz w:val="20"/>
          <w:szCs w:val="20"/>
          <w:lang w:val="es-CO"/>
        </w:rPr>
        <w:t xml:space="preserve"> recurso de apelación a fin de ampliar las resoluciones que otorgaron el amparo</w:t>
      </w:r>
      <w:r w:rsidR="00D45609" w:rsidRPr="00E66386">
        <w:rPr>
          <w:rFonts w:asciiTheme="majorHAnsi" w:hAnsiTheme="majorHAnsi"/>
          <w:bCs/>
          <w:sz w:val="20"/>
          <w:szCs w:val="20"/>
          <w:lang w:val="es-CO"/>
        </w:rPr>
        <w:t xml:space="preserve"> provisional</w:t>
      </w:r>
      <w:r w:rsidR="00534E40" w:rsidRPr="00E66386">
        <w:rPr>
          <w:rFonts w:asciiTheme="majorHAnsi" w:hAnsiTheme="majorHAnsi"/>
          <w:bCs/>
          <w:sz w:val="20"/>
          <w:szCs w:val="20"/>
          <w:lang w:val="es-CO"/>
        </w:rPr>
        <w:t>.</w:t>
      </w:r>
      <w:r w:rsidR="009C5DB7" w:rsidRPr="00E66386">
        <w:rPr>
          <w:rFonts w:asciiTheme="majorHAnsi" w:hAnsiTheme="majorHAnsi"/>
          <w:bCs/>
          <w:sz w:val="20"/>
          <w:szCs w:val="20"/>
          <w:lang w:val="es-CO"/>
        </w:rPr>
        <w:t xml:space="preserve"> El 18 de </w:t>
      </w:r>
      <w:r w:rsidR="00411B08" w:rsidRPr="00E66386">
        <w:rPr>
          <w:rFonts w:asciiTheme="majorHAnsi" w:hAnsiTheme="majorHAnsi"/>
          <w:bCs/>
          <w:sz w:val="20"/>
          <w:szCs w:val="20"/>
          <w:lang w:val="es-CO"/>
        </w:rPr>
        <w:t>febrero de 2013 sesi</w:t>
      </w:r>
      <w:r w:rsidR="00D45609" w:rsidRPr="00E66386">
        <w:rPr>
          <w:rFonts w:asciiTheme="majorHAnsi" w:hAnsiTheme="majorHAnsi"/>
          <w:bCs/>
          <w:sz w:val="20"/>
          <w:szCs w:val="20"/>
          <w:lang w:val="es-CO"/>
        </w:rPr>
        <w:t>o</w:t>
      </w:r>
      <w:r w:rsidR="00411B08" w:rsidRPr="00E66386">
        <w:rPr>
          <w:rFonts w:asciiTheme="majorHAnsi" w:hAnsiTheme="majorHAnsi"/>
          <w:bCs/>
          <w:sz w:val="20"/>
          <w:szCs w:val="20"/>
          <w:lang w:val="es-CO"/>
        </w:rPr>
        <w:t>n</w:t>
      </w:r>
      <w:r w:rsidR="00D45609" w:rsidRPr="00E66386">
        <w:rPr>
          <w:rFonts w:asciiTheme="majorHAnsi" w:hAnsiTheme="majorHAnsi"/>
          <w:bCs/>
          <w:sz w:val="20"/>
          <w:szCs w:val="20"/>
          <w:lang w:val="es-CO"/>
        </w:rPr>
        <w:t>ó</w:t>
      </w:r>
      <w:r w:rsidR="00411B08" w:rsidRPr="00E66386">
        <w:rPr>
          <w:rFonts w:asciiTheme="majorHAnsi" w:hAnsiTheme="majorHAnsi"/>
          <w:bCs/>
          <w:sz w:val="20"/>
          <w:szCs w:val="20"/>
          <w:lang w:val="es-CO"/>
        </w:rPr>
        <w:t xml:space="preserve"> el Tribunal de Sentencia de Mayor Riesgo </w:t>
      </w:r>
      <w:r w:rsidR="00AC3376" w:rsidRPr="00E66386">
        <w:rPr>
          <w:rFonts w:asciiTheme="majorHAnsi" w:hAnsiTheme="majorHAnsi"/>
          <w:bCs/>
          <w:sz w:val="20"/>
          <w:szCs w:val="20"/>
          <w:lang w:val="es-CO"/>
        </w:rPr>
        <w:t>A</w:t>
      </w:r>
      <w:r w:rsidR="00E65669" w:rsidRPr="00E66386">
        <w:rPr>
          <w:rFonts w:asciiTheme="majorHAnsi" w:hAnsiTheme="majorHAnsi"/>
          <w:bCs/>
          <w:sz w:val="20"/>
          <w:szCs w:val="20"/>
          <w:lang w:val="es-CO"/>
        </w:rPr>
        <w:t xml:space="preserve"> (en adelante “el Tribunal A” o “el </w:t>
      </w:r>
      <w:r w:rsidR="009B6D8B" w:rsidRPr="00E66386">
        <w:rPr>
          <w:rFonts w:asciiTheme="majorHAnsi" w:hAnsiTheme="majorHAnsi"/>
          <w:bCs/>
          <w:sz w:val="20"/>
          <w:szCs w:val="20"/>
          <w:lang w:val="es-CO"/>
        </w:rPr>
        <w:t>T</w:t>
      </w:r>
      <w:r w:rsidR="00E65669" w:rsidRPr="00E66386">
        <w:rPr>
          <w:rFonts w:asciiTheme="majorHAnsi" w:hAnsiTheme="majorHAnsi"/>
          <w:bCs/>
          <w:sz w:val="20"/>
          <w:szCs w:val="20"/>
          <w:lang w:val="es-CO"/>
        </w:rPr>
        <w:t>ribunal”)</w:t>
      </w:r>
      <w:r w:rsidR="00411B08" w:rsidRPr="00E66386">
        <w:rPr>
          <w:rFonts w:asciiTheme="majorHAnsi" w:hAnsiTheme="majorHAnsi"/>
          <w:bCs/>
          <w:sz w:val="20"/>
          <w:szCs w:val="20"/>
          <w:lang w:val="es-CO"/>
        </w:rPr>
        <w:t xml:space="preserve"> en una audiencia preliminar en la cual fijó la </w:t>
      </w:r>
      <w:r w:rsidR="00411B08" w:rsidRPr="00E66386">
        <w:rPr>
          <w:rFonts w:asciiTheme="majorHAnsi" w:hAnsiTheme="majorHAnsi"/>
          <w:bCs/>
          <w:sz w:val="20"/>
          <w:szCs w:val="20"/>
          <w:lang w:val="es-CO"/>
        </w:rPr>
        <w:lastRenderedPageBreak/>
        <w:t xml:space="preserve">fecha para el inicio del juicio y </w:t>
      </w:r>
      <w:r w:rsidR="00AD2945" w:rsidRPr="00E66386">
        <w:rPr>
          <w:rFonts w:asciiTheme="majorHAnsi" w:hAnsiTheme="majorHAnsi"/>
          <w:bCs/>
          <w:sz w:val="20"/>
          <w:szCs w:val="20"/>
          <w:lang w:val="es-CO"/>
        </w:rPr>
        <w:t xml:space="preserve">rechazó la recusación presentada por la defensa contra los magistrados del </w:t>
      </w:r>
      <w:r w:rsidR="009B6D8B" w:rsidRPr="00E66386">
        <w:rPr>
          <w:rFonts w:asciiTheme="majorHAnsi" w:hAnsiTheme="majorHAnsi"/>
          <w:bCs/>
          <w:sz w:val="20"/>
          <w:szCs w:val="20"/>
          <w:lang w:val="es-CO"/>
        </w:rPr>
        <w:t>T</w:t>
      </w:r>
      <w:r w:rsidR="00AD2945" w:rsidRPr="00E66386">
        <w:rPr>
          <w:rFonts w:asciiTheme="majorHAnsi" w:hAnsiTheme="majorHAnsi"/>
          <w:bCs/>
          <w:sz w:val="20"/>
          <w:szCs w:val="20"/>
          <w:lang w:val="es-CO"/>
        </w:rPr>
        <w:t>ribunal.</w:t>
      </w:r>
    </w:p>
    <w:p w14:paraId="41B7ADEE" w14:textId="0CB481D3" w:rsidR="00E65669" w:rsidRPr="00E66386" w:rsidRDefault="00E65669" w:rsidP="00E65669">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 xml:space="preserve">El juicio </w:t>
      </w:r>
      <w:r w:rsidR="00CC0835" w:rsidRPr="00E66386">
        <w:rPr>
          <w:rFonts w:asciiTheme="majorHAnsi" w:hAnsiTheme="majorHAnsi"/>
          <w:bCs/>
          <w:i/>
          <w:iCs/>
          <w:sz w:val="20"/>
          <w:szCs w:val="20"/>
          <w:lang w:val="es-CO"/>
        </w:rPr>
        <w:t xml:space="preserve">seguido </w:t>
      </w:r>
      <w:r w:rsidRPr="00E66386">
        <w:rPr>
          <w:rFonts w:asciiTheme="majorHAnsi" w:hAnsiTheme="majorHAnsi"/>
          <w:bCs/>
          <w:i/>
          <w:iCs/>
          <w:sz w:val="20"/>
          <w:szCs w:val="20"/>
          <w:lang w:val="es-CO"/>
        </w:rPr>
        <w:t>ante el Tribunal A</w:t>
      </w:r>
    </w:p>
    <w:p w14:paraId="6F5A5B38" w14:textId="45B5ECB4" w:rsidR="00020B32" w:rsidRPr="00E66386" w:rsidRDefault="001C2B3E"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Las organizaciones peticionarias relatan que el juicio </w:t>
      </w:r>
      <w:r w:rsidR="00D75E50" w:rsidRPr="00E66386">
        <w:rPr>
          <w:rFonts w:asciiTheme="majorHAnsi" w:hAnsiTheme="majorHAnsi"/>
          <w:bCs/>
          <w:sz w:val="20"/>
          <w:szCs w:val="20"/>
          <w:lang w:val="es-CO"/>
        </w:rPr>
        <w:t xml:space="preserve">contra Ríos Montt y Rodríguez Sánchez </w:t>
      </w:r>
      <w:r w:rsidRPr="00E66386">
        <w:rPr>
          <w:rFonts w:asciiTheme="majorHAnsi" w:hAnsiTheme="majorHAnsi"/>
          <w:bCs/>
          <w:sz w:val="20"/>
          <w:szCs w:val="20"/>
          <w:lang w:val="es-CO"/>
        </w:rPr>
        <w:t>inició el 19 de marzo de 2013</w:t>
      </w:r>
      <w:r w:rsidR="002D4E81" w:rsidRPr="00E66386">
        <w:rPr>
          <w:rFonts w:asciiTheme="majorHAnsi" w:hAnsiTheme="majorHAnsi"/>
          <w:bCs/>
          <w:sz w:val="20"/>
          <w:szCs w:val="20"/>
          <w:lang w:val="es-CO"/>
        </w:rPr>
        <w:t>. Durante los siguientes dos meses, se celebraron un total de 27 audiencias durante las cuales el Tribunal</w:t>
      </w:r>
      <w:r w:rsidR="008E4B65" w:rsidRPr="00E66386">
        <w:rPr>
          <w:rFonts w:asciiTheme="majorHAnsi" w:hAnsiTheme="majorHAnsi"/>
          <w:bCs/>
          <w:sz w:val="20"/>
          <w:szCs w:val="20"/>
          <w:lang w:val="es-CO"/>
        </w:rPr>
        <w:t xml:space="preserve"> A</w:t>
      </w:r>
      <w:r w:rsidR="002D4E81" w:rsidRPr="00E66386">
        <w:rPr>
          <w:rFonts w:asciiTheme="majorHAnsi" w:hAnsiTheme="majorHAnsi"/>
          <w:bCs/>
          <w:sz w:val="20"/>
          <w:szCs w:val="20"/>
          <w:lang w:val="es-CO"/>
        </w:rPr>
        <w:t xml:space="preserve"> recibió </w:t>
      </w:r>
      <w:r w:rsidR="00920BB5" w:rsidRPr="00E66386">
        <w:rPr>
          <w:rFonts w:asciiTheme="majorHAnsi" w:hAnsiTheme="majorHAnsi"/>
          <w:bCs/>
          <w:sz w:val="20"/>
          <w:szCs w:val="20"/>
          <w:lang w:val="es-CO"/>
        </w:rPr>
        <w:t xml:space="preserve">los testimonios </w:t>
      </w:r>
      <w:r w:rsidR="002D4E81" w:rsidRPr="00E66386">
        <w:rPr>
          <w:rFonts w:asciiTheme="majorHAnsi" w:hAnsiTheme="majorHAnsi"/>
          <w:bCs/>
          <w:sz w:val="20"/>
          <w:szCs w:val="20"/>
          <w:lang w:val="es-CO"/>
        </w:rPr>
        <w:t xml:space="preserve">de más de 90 personas </w:t>
      </w:r>
      <w:r w:rsidR="00C51C64" w:rsidRPr="00E66386">
        <w:rPr>
          <w:rFonts w:asciiTheme="majorHAnsi" w:hAnsiTheme="majorHAnsi"/>
          <w:bCs/>
          <w:sz w:val="20"/>
          <w:szCs w:val="20"/>
          <w:lang w:val="es-CO"/>
        </w:rPr>
        <w:t>Ixil</w:t>
      </w:r>
      <w:r w:rsidR="002D4E81" w:rsidRPr="00E66386">
        <w:rPr>
          <w:rFonts w:asciiTheme="majorHAnsi" w:hAnsiTheme="majorHAnsi"/>
          <w:bCs/>
          <w:sz w:val="20"/>
          <w:szCs w:val="20"/>
          <w:lang w:val="es-CO"/>
        </w:rPr>
        <w:t>es sobrevivientes y sus familiares en calidad de testigos</w:t>
      </w:r>
      <w:r w:rsidR="004C7E55" w:rsidRPr="00E66386">
        <w:rPr>
          <w:rFonts w:asciiTheme="majorHAnsi" w:hAnsiTheme="majorHAnsi"/>
          <w:bCs/>
          <w:sz w:val="20"/>
          <w:szCs w:val="20"/>
          <w:lang w:val="es-CO"/>
        </w:rPr>
        <w:t>;</w:t>
      </w:r>
      <w:r w:rsidR="002D4E81" w:rsidRPr="00E66386">
        <w:rPr>
          <w:rFonts w:asciiTheme="majorHAnsi" w:hAnsiTheme="majorHAnsi"/>
          <w:bCs/>
          <w:sz w:val="20"/>
          <w:szCs w:val="20"/>
          <w:lang w:val="es-CO"/>
        </w:rPr>
        <w:t xml:space="preserve"> así como </w:t>
      </w:r>
      <w:r w:rsidR="00920BB5" w:rsidRPr="00E66386">
        <w:rPr>
          <w:rFonts w:asciiTheme="majorHAnsi" w:hAnsiTheme="majorHAnsi"/>
          <w:bCs/>
          <w:sz w:val="20"/>
          <w:szCs w:val="20"/>
          <w:lang w:val="es-CO"/>
        </w:rPr>
        <w:t xml:space="preserve">la declaración de </w:t>
      </w:r>
      <w:r w:rsidR="002D4E81" w:rsidRPr="00E66386">
        <w:rPr>
          <w:rFonts w:asciiTheme="majorHAnsi" w:hAnsiTheme="majorHAnsi"/>
          <w:bCs/>
          <w:sz w:val="20"/>
          <w:szCs w:val="20"/>
          <w:lang w:val="es-CO"/>
        </w:rPr>
        <w:t xml:space="preserve">55 expertos de diferentes disciplinas y especialidades, </w:t>
      </w:r>
      <w:r w:rsidR="00920BB5" w:rsidRPr="00E66386">
        <w:rPr>
          <w:rFonts w:asciiTheme="majorHAnsi" w:hAnsiTheme="majorHAnsi"/>
          <w:bCs/>
          <w:sz w:val="20"/>
          <w:szCs w:val="20"/>
          <w:lang w:val="es-CO"/>
        </w:rPr>
        <w:t xml:space="preserve">y </w:t>
      </w:r>
      <w:r w:rsidR="002D4E81" w:rsidRPr="00E66386">
        <w:rPr>
          <w:rFonts w:asciiTheme="majorHAnsi" w:hAnsiTheme="majorHAnsi"/>
          <w:bCs/>
          <w:sz w:val="20"/>
          <w:szCs w:val="20"/>
          <w:lang w:val="es-CO"/>
        </w:rPr>
        <w:t>se incorporaron documentos militares y otras pruebas.</w:t>
      </w:r>
      <w:r w:rsidR="00425CC4" w:rsidRPr="00E66386">
        <w:rPr>
          <w:rFonts w:asciiTheme="majorHAnsi" w:hAnsiTheme="majorHAnsi"/>
          <w:bCs/>
          <w:sz w:val="20"/>
          <w:szCs w:val="20"/>
          <w:lang w:val="es-CO"/>
        </w:rPr>
        <w:t xml:space="preserve"> En ese </w:t>
      </w:r>
      <w:r w:rsidR="009D095D" w:rsidRPr="00E66386">
        <w:rPr>
          <w:rFonts w:asciiTheme="majorHAnsi" w:hAnsiTheme="majorHAnsi"/>
          <w:bCs/>
          <w:sz w:val="20"/>
          <w:szCs w:val="20"/>
          <w:lang w:val="es-CO"/>
        </w:rPr>
        <w:t>período</w:t>
      </w:r>
      <w:r w:rsidR="00425CC4" w:rsidRPr="00E66386">
        <w:rPr>
          <w:rFonts w:asciiTheme="majorHAnsi" w:hAnsiTheme="majorHAnsi"/>
          <w:bCs/>
          <w:sz w:val="20"/>
          <w:szCs w:val="20"/>
          <w:lang w:val="es-CO"/>
        </w:rPr>
        <w:t>, el juicio fue suspendido por unos días como consecuencia de un fallo emitido por</w:t>
      </w:r>
      <w:r w:rsidR="007171BC" w:rsidRPr="00E66386">
        <w:rPr>
          <w:rFonts w:asciiTheme="majorHAnsi" w:hAnsiTheme="majorHAnsi"/>
          <w:bCs/>
          <w:sz w:val="20"/>
          <w:szCs w:val="20"/>
          <w:lang w:val="es-CO"/>
        </w:rPr>
        <w:t xml:space="preserve">que </w:t>
      </w:r>
      <w:r w:rsidR="005F789F" w:rsidRPr="00E66386">
        <w:rPr>
          <w:rFonts w:asciiTheme="majorHAnsi" w:hAnsiTheme="majorHAnsi"/>
          <w:bCs/>
          <w:sz w:val="20"/>
          <w:szCs w:val="20"/>
          <w:lang w:val="es-CO"/>
        </w:rPr>
        <w:t xml:space="preserve">se </w:t>
      </w:r>
      <w:r w:rsidR="007171BC" w:rsidRPr="00E66386">
        <w:rPr>
          <w:rFonts w:asciiTheme="majorHAnsi" w:hAnsiTheme="majorHAnsi"/>
          <w:bCs/>
          <w:sz w:val="20"/>
          <w:szCs w:val="20"/>
          <w:lang w:val="es-CO"/>
        </w:rPr>
        <w:t>estaba conociendo del amparo contra la decisión de rechazo de algunas pruebas solicitadas por la defensa en la audiencia preliminar</w:t>
      </w:r>
      <w:r w:rsidR="00E90004" w:rsidRPr="00E66386">
        <w:rPr>
          <w:rStyle w:val="FootnoteReference"/>
          <w:rFonts w:asciiTheme="majorHAnsi" w:hAnsiTheme="majorHAnsi"/>
          <w:bCs/>
          <w:sz w:val="20"/>
          <w:szCs w:val="20"/>
          <w:lang w:val="es-CO"/>
        </w:rPr>
        <w:footnoteReference w:id="11"/>
      </w:r>
      <w:r w:rsidR="00C2658C" w:rsidRPr="00E66386">
        <w:rPr>
          <w:rFonts w:asciiTheme="majorHAnsi" w:hAnsiTheme="majorHAnsi"/>
          <w:bCs/>
          <w:sz w:val="20"/>
          <w:szCs w:val="20"/>
          <w:lang w:val="es-CO"/>
        </w:rPr>
        <w:t>; así como por la separación del cargo de uno de los abogados defensores</w:t>
      </w:r>
      <w:r w:rsidR="00C2644F" w:rsidRPr="00E66386">
        <w:rPr>
          <w:rFonts w:asciiTheme="majorHAnsi" w:hAnsiTheme="majorHAnsi"/>
          <w:bCs/>
          <w:sz w:val="20"/>
          <w:szCs w:val="20"/>
          <w:lang w:val="es-CO"/>
        </w:rPr>
        <w:t xml:space="preserve"> y su posterior reincorporación mediante amparo</w:t>
      </w:r>
      <w:r w:rsidR="00C2658C" w:rsidRPr="00E66386">
        <w:rPr>
          <w:rFonts w:asciiTheme="majorHAnsi" w:hAnsiTheme="majorHAnsi"/>
          <w:bCs/>
          <w:sz w:val="20"/>
          <w:szCs w:val="20"/>
          <w:lang w:val="es-CO"/>
        </w:rPr>
        <w:t xml:space="preserve">, </w:t>
      </w:r>
      <w:r w:rsidR="00C50E71" w:rsidRPr="00E66386">
        <w:rPr>
          <w:rFonts w:asciiTheme="majorHAnsi" w:hAnsiTheme="majorHAnsi"/>
          <w:bCs/>
          <w:sz w:val="20"/>
          <w:szCs w:val="20"/>
          <w:lang w:val="es-CO"/>
        </w:rPr>
        <w:t>que se explicará más adelante</w:t>
      </w:r>
      <w:r w:rsidR="00C2644F" w:rsidRPr="00E66386">
        <w:rPr>
          <w:rFonts w:asciiTheme="majorHAnsi" w:hAnsiTheme="majorHAnsi"/>
          <w:bCs/>
          <w:sz w:val="20"/>
          <w:szCs w:val="20"/>
          <w:lang w:val="es-CO"/>
        </w:rPr>
        <w:t xml:space="preserve"> en mayor detalle</w:t>
      </w:r>
      <w:r w:rsidR="00C50E71" w:rsidRPr="00E66386">
        <w:rPr>
          <w:rFonts w:asciiTheme="majorHAnsi" w:hAnsiTheme="majorHAnsi"/>
          <w:bCs/>
          <w:sz w:val="20"/>
          <w:szCs w:val="20"/>
          <w:lang w:val="es-CO"/>
        </w:rPr>
        <w:t>.</w:t>
      </w:r>
    </w:p>
    <w:p w14:paraId="784B209D" w14:textId="3521857E" w:rsidR="003E6B6C" w:rsidRPr="00E66386" w:rsidRDefault="00656978"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Finalmente, el 1</w:t>
      </w:r>
      <w:r w:rsidR="00D96265" w:rsidRPr="00E66386">
        <w:rPr>
          <w:rFonts w:asciiTheme="majorHAnsi" w:hAnsiTheme="majorHAnsi"/>
          <w:bCs/>
          <w:sz w:val="20"/>
          <w:szCs w:val="20"/>
          <w:lang w:val="es-CO"/>
        </w:rPr>
        <w:t>3</w:t>
      </w:r>
      <w:r w:rsidRPr="00E66386">
        <w:rPr>
          <w:rFonts w:asciiTheme="majorHAnsi" w:hAnsiTheme="majorHAnsi"/>
          <w:bCs/>
          <w:sz w:val="20"/>
          <w:szCs w:val="20"/>
          <w:lang w:val="es-CO"/>
        </w:rPr>
        <w:t xml:space="preserve"> de mayo de 2013</w:t>
      </w:r>
      <w:r w:rsidR="00527D24" w:rsidRPr="00E66386">
        <w:rPr>
          <w:rFonts w:asciiTheme="majorHAnsi" w:hAnsiTheme="majorHAnsi"/>
          <w:bCs/>
          <w:sz w:val="20"/>
          <w:szCs w:val="20"/>
          <w:lang w:val="es-CO"/>
        </w:rPr>
        <w:t>,</w:t>
      </w:r>
      <w:r w:rsidRPr="00E66386">
        <w:rPr>
          <w:rFonts w:asciiTheme="majorHAnsi" w:hAnsiTheme="majorHAnsi"/>
          <w:bCs/>
          <w:sz w:val="20"/>
          <w:szCs w:val="20"/>
          <w:lang w:val="es-CO"/>
        </w:rPr>
        <w:t xml:space="preserve"> l</w:t>
      </w:r>
      <w:r w:rsidR="00702D31" w:rsidRPr="00E66386">
        <w:rPr>
          <w:rFonts w:asciiTheme="majorHAnsi" w:hAnsiTheme="majorHAnsi"/>
          <w:bCs/>
          <w:sz w:val="20"/>
          <w:szCs w:val="20"/>
          <w:lang w:val="es-CO"/>
        </w:rPr>
        <w:t xml:space="preserve">os jueces del </w:t>
      </w:r>
      <w:r w:rsidR="00235828" w:rsidRPr="00E66386">
        <w:rPr>
          <w:rFonts w:asciiTheme="majorHAnsi" w:hAnsiTheme="majorHAnsi"/>
          <w:bCs/>
          <w:sz w:val="20"/>
          <w:szCs w:val="20"/>
          <w:lang w:val="es-CO"/>
        </w:rPr>
        <w:t>T</w:t>
      </w:r>
      <w:r w:rsidR="00702D31" w:rsidRPr="00E66386">
        <w:rPr>
          <w:rFonts w:asciiTheme="majorHAnsi" w:hAnsiTheme="majorHAnsi"/>
          <w:bCs/>
          <w:sz w:val="20"/>
          <w:szCs w:val="20"/>
          <w:lang w:val="es-CO"/>
        </w:rPr>
        <w:t xml:space="preserve">ribunal </w:t>
      </w:r>
      <w:r w:rsidR="00235828" w:rsidRPr="00E66386">
        <w:rPr>
          <w:rFonts w:asciiTheme="majorHAnsi" w:hAnsiTheme="majorHAnsi"/>
          <w:bCs/>
          <w:sz w:val="20"/>
          <w:szCs w:val="20"/>
          <w:lang w:val="es-CO"/>
        </w:rPr>
        <w:t xml:space="preserve">A </w:t>
      </w:r>
      <w:r w:rsidRPr="00E66386">
        <w:rPr>
          <w:rFonts w:asciiTheme="majorHAnsi" w:hAnsiTheme="majorHAnsi"/>
          <w:bCs/>
          <w:sz w:val="20"/>
          <w:szCs w:val="20"/>
          <w:lang w:val="es-CO"/>
        </w:rPr>
        <w:t xml:space="preserve">emitieron sentencia en la que </w:t>
      </w:r>
      <w:r w:rsidR="00702D31" w:rsidRPr="00E66386">
        <w:rPr>
          <w:rFonts w:asciiTheme="majorHAnsi" w:hAnsiTheme="majorHAnsi"/>
          <w:bCs/>
          <w:sz w:val="20"/>
          <w:szCs w:val="20"/>
          <w:lang w:val="es-CO"/>
        </w:rPr>
        <w:t>concluyeron que</w:t>
      </w:r>
      <w:r w:rsidR="00C82A32" w:rsidRPr="00E66386">
        <w:rPr>
          <w:rFonts w:asciiTheme="majorHAnsi" w:hAnsiTheme="majorHAnsi"/>
          <w:bCs/>
          <w:sz w:val="20"/>
          <w:szCs w:val="20"/>
          <w:lang w:val="es-CO"/>
        </w:rPr>
        <w:t>,</w:t>
      </w:r>
      <w:r w:rsidR="00702D31" w:rsidRPr="00E66386">
        <w:rPr>
          <w:rFonts w:asciiTheme="majorHAnsi" w:hAnsiTheme="majorHAnsi"/>
          <w:bCs/>
          <w:sz w:val="20"/>
          <w:szCs w:val="20"/>
          <w:lang w:val="es-CO"/>
        </w:rPr>
        <w:t xml:space="preserve"> </w:t>
      </w:r>
      <w:r w:rsidR="00B44434" w:rsidRPr="00E66386">
        <w:rPr>
          <w:rFonts w:asciiTheme="majorHAnsi" w:hAnsiTheme="majorHAnsi"/>
          <w:bCs/>
          <w:sz w:val="20"/>
          <w:szCs w:val="20"/>
          <w:lang w:val="es-CO"/>
        </w:rPr>
        <w:t xml:space="preserve">bajo el mando del </w:t>
      </w:r>
      <w:r w:rsidR="00C82A32" w:rsidRPr="00E66386">
        <w:rPr>
          <w:rFonts w:asciiTheme="majorHAnsi" w:hAnsiTheme="majorHAnsi"/>
          <w:bCs/>
          <w:sz w:val="20"/>
          <w:szCs w:val="20"/>
          <w:lang w:val="es-CO"/>
        </w:rPr>
        <w:t>g</w:t>
      </w:r>
      <w:r w:rsidR="00B44434" w:rsidRPr="00E66386">
        <w:rPr>
          <w:rFonts w:asciiTheme="majorHAnsi" w:hAnsiTheme="majorHAnsi"/>
          <w:bCs/>
          <w:sz w:val="20"/>
          <w:szCs w:val="20"/>
          <w:lang w:val="es-CO"/>
        </w:rPr>
        <w:t xml:space="preserve">eneral </w:t>
      </w:r>
      <w:r w:rsidR="00C82A32" w:rsidRPr="00E66386">
        <w:rPr>
          <w:rFonts w:asciiTheme="majorHAnsi" w:hAnsiTheme="majorHAnsi"/>
          <w:bCs/>
          <w:sz w:val="20"/>
          <w:szCs w:val="20"/>
          <w:lang w:val="es-CO"/>
        </w:rPr>
        <w:t xml:space="preserve">retirado </w:t>
      </w:r>
      <w:r w:rsidR="00B44434" w:rsidRPr="00E66386">
        <w:rPr>
          <w:rFonts w:asciiTheme="majorHAnsi" w:hAnsiTheme="majorHAnsi"/>
          <w:bCs/>
          <w:sz w:val="20"/>
          <w:szCs w:val="20"/>
          <w:lang w:val="es-CO"/>
        </w:rPr>
        <w:t xml:space="preserve">Ríos Montt, las fuerzas armadas de Guatemala elaboraron e implementaron una serie de planes destinados a eliminar a la población </w:t>
      </w:r>
      <w:r w:rsidR="00BF5118" w:rsidRPr="00E66386">
        <w:rPr>
          <w:rFonts w:asciiTheme="majorHAnsi" w:hAnsiTheme="majorHAnsi"/>
          <w:bCs/>
          <w:sz w:val="20"/>
          <w:szCs w:val="20"/>
          <w:lang w:val="es-CO"/>
        </w:rPr>
        <w:t>m</w:t>
      </w:r>
      <w:r w:rsidR="00B44434" w:rsidRPr="00E66386">
        <w:rPr>
          <w:rFonts w:asciiTheme="majorHAnsi" w:hAnsiTheme="majorHAnsi"/>
          <w:bCs/>
          <w:sz w:val="20"/>
          <w:szCs w:val="20"/>
          <w:lang w:val="es-CO"/>
        </w:rPr>
        <w:t xml:space="preserve">aya </w:t>
      </w:r>
      <w:r w:rsidR="00C51C64" w:rsidRPr="00E66386">
        <w:rPr>
          <w:rFonts w:asciiTheme="majorHAnsi" w:hAnsiTheme="majorHAnsi"/>
          <w:bCs/>
          <w:sz w:val="20"/>
          <w:szCs w:val="20"/>
          <w:lang w:val="es-CO"/>
        </w:rPr>
        <w:t>Ixil</w:t>
      </w:r>
      <w:r w:rsidR="00B44434" w:rsidRPr="00E66386">
        <w:rPr>
          <w:rFonts w:asciiTheme="majorHAnsi" w:hAnsiTheme="majorHAnsi"/>
          <w:bCs/>
          <w:sz w:val="20"/>
          <w:szCs w:val="20"/>
          <w:lang w:val="es-CO"/>
        </w:rPr>
        <w:t xml:space="preserve">, a la que consideraban que respaldaba </w:t>
      </w:r>
      <w:r w:rsidRPr="00E66386">
        <w:rPr>
          <w:rFonts w:asciiTheme="majorHAnsi" w:hAnsiTheme="majorHAnsi"/>
          <w:bCs/>
          <w:sz w:val="20"/>
          <w:szCs w:val="20"/>
          <w:lang w:val="es-CO"/>
        </w:rPr>
        <w:t xml:space="preserve">en su totalidad </w:t>
      </w:r>
      <w:r w:rsidR="00B44434" w:rsidRPr="00E66386">
        <w:rPr>
          <w:rFonts w:asciiTheme="majorHAnsi" w:hAnsiTheme="majorHAnsi"/>
          <w:bCs/>
          <w:sz w:val="20"/>
          <w:szCs w:val="20"/>
          <w:lang w:val="es-CO"/>
        </w:rPr>
        <w:t>a la guerrilla.</w:t>
      </w:r>
      <w:r w:rsidRPr="00E66386">
        <w:rPr>
          <w:rFonts w:asciiTheme="majorHAnsi" w:hAnsiTheme="majorHAnsi"/>
          <w:bCs/>
          <w:sz w:val="20"/>
          <w:szCs w:val="20"/>
          <w:lang w:val="es-CO"/>
        </w:rPr>
        <w:t xml:space="preserve"> </w:t>
      </w:r>
      <w:r w:rsidR="00020B32" w:rsidRPr="00E66386">
        <w:rPr>
          <w:rFonts w:asciiTheme="majorHAnsi" w:hAnsiTheme="majorHAnsi"/>
          <w:bCs/>
          <w:sz w:val="20"/>
          <w:szCs w:val="20"/>
          <w:lang w:val="es-CO"/>
        </w:rPr>
        <w:t>La sentencia determinó que el señor Ríos Montt, como Jefe de Estado de facto y Comandante General del Ejército de Guatemala</w:t>
      </w:r>
      <w:r w:rsidR="001B356A" w:rsidRPr="00E66386">
        <w:rPr>
          <w:rFonts w:asciiTheme="majorHAnsi" w:hAnsiTheme="majorHAnsi"/>
          <w:bCs/>
          <w:sz w:val="20"/>
          <w:szCs w:val="20"/>
          <w:lang w:val="es-CO"/>
        </w:rPr>
        <w:t xml:space="preserve"> </w:t>
      </w:r>
      <w:r w:rsidR="00020B32" w:rsidRPr="00E66386">
        <w:rPr>
          <w:rFonts w:asciiTheme="majorHAnsi" w:hAnsiTheme="majorHAnsi"/>
          <w:bCs/>
          <w:sz w:val="20"/>
          <w:szCs w:val="20"/>
          <w:lang w:val="es-CO"/>
        </w:rPr>
        <w:t>autorizó y tuvo conocimiento de la implementación de los planes Victoria 82, Firmeza 83 y del Plan Sofía</w:t>
      </w:r>
      <w:r w:rsidR="004942CE" w:rsidRPr="00E66386">
        <w:rPr>
          <w:rFonts w:asciiTheme="majorHAnsi" w:hAnsiTheme="majorHAnsi"/>
          <w:bCs/>
          <w:sz w:val="20"/>
          <w:szCs w:val="20"/>
          <w:lang w:val="es-CO"/>
        </w:rPr>
        <w:t>;</w:t>
      </w:r>
      <w:r w:rsidR="00020B32" w:rsidRPr="00E66386">
        <w:rPr>
          <w:rFonts w:asciiTheme="majorHAnsi" w:hAnsiTheme="majorHAnsi"/>
          <w:bCs/>
          <w:sz w:val="20"/>
          <w:szCs w:val="20"/>
          <w:lang w:val="es-CO"/>
        </w:rPr>
        <w:t xml:space="preserve"> y de todo lo ocurr</w:t>
      </w:r>
      <w:r w:rsidR="001B356A" w:rsidRPr="00E66386">
        <w:rPr>
          <w:rFonts w:asciiTheme="majorHAnsi" w:hAnsiTheme="majorHAnsi"/>
          <w:bCs/>
          <w:sz w:val="20"/>
          <w:szCs w:val="20"/>
          <w:lang w:val="es-CO"/>
        </w:rPr>
        <w:t>ía</w:t>
      </w:r>
      <w:r w:rsidR="00020B32" w:rsidRPr="00E66386">
        <w:rPr>
          <w:rFonts w:asciiTheme="majorHAnsi" w:hAnsiTheme="majorHAnsi"/>
          <w:bCs/>
          <w:sz w:val="20"/>
          <w:szCs w:val="20"/>
          <w:lang w:val="es-CO"/>
        </w:rPr>
        <w:t xml:space="preserve"> en las aldeas ubicadas en el Quiche, </w:t>
      </w:r>
      <w:r w:rsidR="001B356A" w:rsidRPr="00E66386">
        <w:rPr>
          <w:rFonts w:asciiTheme="majorHAnsi" w:hAnsiTheme="majorHAnsi"/>
          <w:bCs/>
          <w:sz w:val="20"/>
          <w:szCs w:val="20"/>
          <w:lang w:val="es-CO"/>
        </w:rPr>
        <w:t xml:space="preserve">incluidas </w:t>
      </w:r>
      <w:r w:rsidR="00020B32" w:rsidRPr="00E66386">
        <w:rPr>
          <w:rFonts w:asciiTheme="majorHAnsi" w:hAnsiTheme="majorHAnsi"/>
          <w:bCs/>
          <w:sz w:val="20"/>
          <w:szCs w:val="20"/>
          <w:lang w:val="es-CO"/>
        </w:rPr>
        <w:t>las masacres y no l</w:t>
      </w:r>
      <w:r w:rsidR="001B356A" w:rsidRPr="00E66386">
        <w:rPr>
          <w:rFonts w:asciiTheme="majorHAnsi" w:hAnsiTheme="majorHAnsi"/>
          <w:bCs/>
          <w:sz w:val="20"/>
          <w:szCs w:val="20"/>
          <w:lang w:val="es-CO"/>
        </w:rPr>
        <w:t>as</w:t>
      </w:r>
      <w:r w:rsidR="00020B32" w:rsidRPr="00E66386">
        <w:rPr>
          <w:rFonts w:asciiTheme="majorHAnsi" w:hAnsiTheme="majorHAnsi"/>
          <w:bCs/>
          <w:sz w:val="20"/>
          <w:szCs w:val="20"/>
          <w:lang w:val="es-CO"/>
        </w:rPr>
        <w:t xml:space="preserve"> detuvo, a pesar de tener el poder</w:t>
      </w:r>
      <w:r w:rsidR="00003237" w:rsidRPr="00E66386">
        <w:rPr>
          <w:rFonts w:asciiTheme="majorHAnsi" w:hAnsiTheme="majorHAnsi"/>
          <w:bCs/>
          <w:sz w:val="20"/>
          <w:szCs w:val="20"/>
          <w:lang w:val="es-CO"/>
        </w:rPr>
        <w:t xml:space="preserve"> </w:t>
      </w:r>
      <w:r w:rsidR="00020B32" w:rsidRPr="00E66386">
        <w:rPr>
          <w:rFonts w:asciiTheme="majorHAnsi" w:hAnsiTheme="majorHAnsi"/>
          <w:bCs/>
          <w:sz w:val="20"/>
          <w:szCs w:val="20"/>
          <w:lang w:val="es-CO"/>
        </w:rPr>
        <w:t>para evitar su perpetración.</w:t>
      </w:r>
      <w:r w:rsidR="00831EA8" w:rsidRPr="00E66386">
        <w:rPr>
          <w:rFonts w:asciiTheme="majorHAnsi" w:hAnsiTheme="majorHAnsi"/>
          <w:bCs/>
          <w:sz w:val="20"/>
          <w:szCs w:val="20"/>
          <w:lang w:val="es-CO"/>
        </w:rPr>
        <w:t xml:space="preserve"> El Tribunal </w:t>
      </w:r>
      <w:r w:rsidR="001B356A" w:rsidRPr="00E66386">
        <w:rPr>
          <w:rFonts w:asciiTheme="majorHAnsi" w:hAnsiTheme="majorHAnsi"/>
          <w:bCs/>
          <w:sz w:val="20"/>
          <w:szCs w:val="20"/>
          <w:lang w:val="es-CO"/>
        </w:rPr>
        <w:t xml:space="preserve">A </w:t>
      </w:r>
      <w:r w:rsidR="007B31BE" w:rsidRPr="00E66386">
        <w:rPr>
          <w:rFonts w:asciiTheme="majorHAnsi" w:hAnsiTheme="majorHAnsi"/>
          <w:bCs/>
          <w:sz w:val="20"/>
          <w:szCs w:val="20"/>
          <w:lang w:val="es-CO"/>
        </w:rPr>
        <w:t>dictaminó que el Ministerio Público y la parte civil habían demostrado los delitos concretos identificados en la acusación: el asesinato de 1</w:t>
      </w:r>
      <w:r w:rsidR="004942CE" w:rsidRPr="00E66386">
        <w:rPr>
          <w:rFonts w:asciiTheme="majorHAnsi" w:hAnsiTheme="majorHAnsi"/>
          <w:bCs/>
          <w:sz w:val="20"/>
          <w:szCs w:val="20"/>
          <w:lang w:val="es-CO"/>
        </w:rPr>
        <w:t>,</w:t>
      </w:r>
      <w:r w:rsidR="007B31BE" w:rsidRPr="00E66386">
        <w:rPr>
          <w:rFonts w:asciiTheme="majorHAnsi" w:hAnsiTheme="majorHAnsi"/>
          <w:bCs/>
          <w:sz w:val="20"/>
          <w:szCs w:val="20"/>
          <w:lang w:val="es-CO"/>
        </w:rPr>
        <w:t xml:space="preserve">771 personas </w:t>
      </w:r>
      <w:r w:rsidR="00C51C64" w:rsidRPr="00E66386">
        <w:rPr>
          <w:rFonts w:asciiTheme="majorHAnsi" w:hAnsiTheme="majorHAnsi"/>
          <w:bCs/>
          <w:sz w:val="20"/>
          <w:szCs w:val="20"/>
          <w:lang w:val="es-CO"/>
        </w:rPr>
        <w:t>Ixil</w:t>
      </w:r>
      <w:r w:rsidR="007B31BE" w:rsidRPr="00E66386">
        <w:rPr>
          <w:rFonts w:asciiTheme="majorHAnsi" w:hAnsiTheme="majorHAnsi"/>
          <w:bCs/>
          <w:sz w:val="20"/>
          <w:szCs w:val="20"/>
          <w:lang w:val="es-CO"/>
        </w:rPr>
        <w:t>es, el desplazamiento forzoso de 29</w:t>
      </w:r>
      <w:r w:rsidR="004942CE" w:rsidRPr="00E66386">
        <w:rPr>
          <w:rFonts w:asciiTheme="majorHAnsi" w:hAnsiTheme="majorHAnsi"/>
          <w:bCs/>
          <w:sz w:val="20"/>
          <w:szCs w:val="20"/>
          <w:lang w:val="es-CO"/>
        </w:rPr>
        <w:t>,</w:t>
      </w:r>
      <w:r w:rsidR="007B31BE" w:rsidRPr="00E66386">
        <w:rPr>
          <w:rFonts w:asciiTheme="majorHAnsi" w:hAnsiTheme="majorHAnsi"/>
          <w:bCs/>
          <w:sz w:val="20"/>
          <w:szCs w:val="20"/>
          <w:lang w:val="es-CO"/>
        </w:rPr>
        <w:t>000 personas, por lo menos nueve casos de violencia sexual, y varios casos de tortura.</w:t>
      </w:r>
      <w:r w:rsidR="00454541" w:rsidRPr="00E66386">
        <w:rPr>
          <w:rFonts w:asciiTheme="majorHAnsi" w:hAnsiTheme="majorHAnsi"/>
          <w:bCs/>
          <w:sz w:val="20"/>
          <w:szCs w:val="20"/>
          <w:lang w:val="es-CO"/>
        </w:rPr>
        <w:t xml:space="preserve"> </w:t>
      </w:r>
      <w:r w:rsidR="00417C55" w:rsidRPr="00E66386">
        <w:rPr>
          <w:rFonts w:asciiTheme="majorHAnsi" w:hAnsiTheme="majorHAnsi"/>
          <w:bCs/>
          <w:sz w:val="20"/>
          <w:szCs w:val="20"/>
          <w:lang w:val="es-CO"/>
        </w:rPr>
        <w:t xml:space="preserve">Además, la sentencia ordenó adoptar medidas de reparación a favor del pueblo Maya Ixil. </w:t>
      </w:r>
      <w:r w:rsidR="00454541" w:rsidRPr="00E66386">
        <w:rPr>
          <w:rFonts w:asciiTheme="majorHAnsi" w:hAnsiTheme="majorHAnsi"/>
          <w:bCs/>
          <w:sz w:val="20"/>
          <w:szCs w:val="20"/>
          <w:lang w:val="es-CO"/>
        </w:rPr>
        <w:t xml:space="preserve">Los peticionarios </w:t>
      </w:r>
      <w:r w:rsidR="00045610" w:rsidRPr="00E66386">
        <w:rPr>
          <w:rFonts w:asciiTheme="majorHAnsi" w:hAnsiTheme="majorHAnsi"/>
          <w:bCs/>
          <w:sz w:val="20"/>
          <w:szCs w:val="20"/>
          <w:lang w:val="es-CO"/>
        </w:rPr>
        <w:t xml:space="preserve">reseñan la sentencia del Tribunal </w:t>
      </w:r>
      <w:r w:rsidR="004B096C" w:rsidRPr="00E66386">
        <w:rPr>
          <w:rFonts w:asciiTheme="majorHAnsi" w:hAnsiTheme="majorHAnsi"/>
          <w:bCs/>
          <w:sz w:val="20"/>
          <w:szCs w:val="20"/>
          <w:lang w:val="es-CO"/>
        </w:rPr>
        <w:t>A</w:t>
      </w:r>
      <w:r w:rsidR="00045610" w:rsidRPr="00E66386">
        <w:rPr>
          <w:rFonts w:asciiTheme="majorHAnsi" w:hAnsiTheme="majorHAnsi"/>
          <w:bCs/>
          <w:sz w:val="20"/>
          <w:szCs w:val="20"/>
          <w:lang w:val="es-CO"/>
        </w:rPr>
        <w:t xml:space="preserve"> en los siguientes términos:</w:t>
      </w:r>
    </w:p>
    <w:p w14:paraId="118B96DF" w14:textId="349086B8" w:rsidR="00323893" w:rsidRPr="00E66386" w:rsidRDefault="003E6B6C" w:rsidP="00662103">
      <w:pPr>
        <w:pStyle w:val="ListParagraph"/>
        <w:spacing w:before="240" w:after="240"/>
        <w:ind w:right="720"/>
        <w:jc w:val="both"/>
        <w:rPr>
          <w:rFonts w:asciiTheme="majorHAnsi" w:hAnsiTheme="majorHAnsi"/>
          <w:bCs/>
          <w:sz w:val="20"/>
          <w:szCs w:val="20"/>
          <w:lang w:val="es-CO"/>
        </w:rPr>
      </w:pPr>
      <w:r w:rsidRPr="00E66386">
        <w:rPr>
          <w:rFonts w:asciiTheme="majorHAnsi" w:hAnsiTheme="majorHAnsi"/>
          <w:bCs/>
          <w:sz w:val="20"/>
          <w:szCs w:val="20"/>
          <w:lang w:val="es-CO"/>
        </w:rPr>
        <w:t xml:space="preserve">El </w:t>
      </w:r>
      <w:r w:rsidR="00045610" w:rsidRPr="00E66386">
        <w:rPr>
          <w:rFonts w:asciiTheme="majorHAnsi" w:hAnsiTheme="majorHAnsi"/>
          <w:bCs/>
          <w:sz w:val="20"/>
          <w:szCs w:val="20"/>
          <w:lang w:val="es-CO"/>
        </w:rPr>
        <w:t>T</w:t>
      </w:r>
      <w:r w:rsidRPr="00E66386">
        <w:rPr>
          <w:rFonts w:asciiTheme="majorHAnsi" w:hAnsiTheme="majorHAnsi"/>
          <w:bCs/>
          <w:sz w:val="20"/>
          <w:szCs w:val="20"/>
          <w:lang w:val="es-CO"/>
        </w:rPr>
        <w:t xml:space="preserve">ribunal describió la naturaleza de la violencia desplegada contra la comunidad </w:t>
      </w:r>
      <w:r w:rsidR="00C51C64" w:rsidRPr="00E66386">
        <w:rPr>
          <w:rFonts w:asciiTheme="majorHAnsi" w:hAnsiTheme="majorHAnsi"/>
          <w:bCs/>
          <w:sz w:val="20"/>
          <w:szCs w:val="20"/>
          <w:lang w:val="es-CO"/>
        </w:rPr>
        <w:t>Ixil</w:t>
      </w:r>
      <w:r w:rsidRPr="00E66386">
        <w:rPr>
          <w:rFonts w:asciiTheme="majorHAnsi" w:hAnsiTheme="majorHAnsi"/>
          <w:bCs/>
          <w:sz w:val="20"/>
          <w:szCs w:val="20"/>
          <w:lang w:val="es-CO"/>
        </w:rPr>
        <w:t xml:space="preserve">, incluyendo masacres indiscriminadas, violación y violencia sexual contra las mujeres, infanticidio, destrucción de los cultivos para inducir el hambre, el secuestro de niños, el desplazamiento forzoso y la reubicación de las poblaciones sobrevivientes en zonas militarizadas llamadas </w:t>
      </w:r>
      <w:r w:rsidR="00874F15" w:rsidRPr="00E66386">
        <w:rPr>
          <w:rFonts w:asciiTheme="majorHAnsi" w:hAnsiTheme="majorHAnsi"/>
          <w:bCs/>
          <w:sz w:val="20"/>
          <w:szCs w:val="20"/>
          <w:lang w:val="es-CO"/>
        </w:rPr>
        <w:t>‘</w:t>
      </w:r>
      <w:r w:rsidRPr="00E66386">
        <w:rPr>
          <w:rFonts w:asciiTheme="majorHAnsi" w:hAnsiTheme="majorHAnsi"/>
          <w:bCs/>
          <w:sz w:val="20"/>
          <w:szCs w:val="20"/>
          <w:lang w:val="es-CO"/>
        </w:rPr>
        <w:t>aldeas modelo</w:t>
      </w:r>
      <w:r w:rsidR="00874F15" w:rsidRPr="00E66386">
        <w:rPr>
          <w:rFonts w:asciiTheme="majorHAnsi" w:hAnsiTheme="majorHAnsi"/>
          <w:bCs/>
          <w:sz w:val="20"/>
          <w:szCs w:val="20"/>
          <w:lang w:val="es-CO"/>
        </w:rPr>
        <w:t>’</w:t>
      </w:r>
      <w:r w:rsidRPr="00E66386">
        <w:rPr>
          <w:rFonts w:asciiTheme="majorHAnsi" w:hAnsiTheme="majorHAnsi"/>
          <w:bCs/>
          <w:sz w:val="20"/>
          <w:szCs w:val="20"/>
          <w:lang w:val="es-CO"/>
        </w:rPr>
        <w:t>. El Tribunal también dio por probada la participación forzada de la población en las patrullas de autodefensa civil (PAC) como método para destruir las formas de autogobierno y socavar a las autoridades indígenas locales, que tuvieron que implementar y reforzar la obligación de los hombres de unirse a las patrullas. Todas las técnicas usadas (el hambre, la militarización de aldeas, las operaciones psicológicas para doblegar y destruir a los "enemigos internos", fusilamientos) estaban contempladas en los mencionados planes elaborados por la cúpula militar que dirigía el entonces General Ríos Montt.</w:t>
      </w:r>
    </w:p>
    <w:p w14:paraId="482A3E53" w14:textId="3B1F6B91" w:rsidR="005F290B" w:rsidRPr="00E66386" w:rsidRDefault="00AA3F5E" w:rsidP="00662103">
      <w:pPr>
        <w:pStyle w:val="ListParagraph"/>
        <w:spacing w:before="240" w:after="240"/>
        <w:ind w:right="720"/>
        <w:jc w:val="both"/>
        <w:rPr>
          <w:rFonts w:asciiTheme="majorHAnsi" w:hAnsiTheme="majorHAnsi"/>
          <w:bCs/>
          <w:sz w:val="20"/>
          <w:szCs w:val="20"/>
          <w:lang w:val="es-CO"/>
        </w:rPr>
      </w:pPr>
      <w:r w:rsidRPr="00E66386">
        <w:rPr>
          <w:rFonts w:asciiTheme="majorHAnsi" w:hAnsiTheme="majorHAnsi"/>
          <w:bCs/>
          <w:sz w:val="20"/>
          <w:szCs w:val="20"/>
          <w:lang w:val="es-CO"/>
        </w:rPr>
        <w:t xml:space="preserve">A partir de </w:t>
      </w:r>
      <w:r w:rsidR="003A7E28" w:rsidRPr="00E66386">
        <w:rPr>
          <w:rFonts w:asciiTheme="majorHAnsi" w:hAnsiTheme="majorHAnsi"/>
          <w:bCs/>
          <w:sz w:val="20"/>
          <w:szCs w:val="20"/>
          <w:lang w:val="es-CO"/>
        </w:rPr>
        <w:t>estos</w:t>
      </w:r>
      <w:r w:rsidRPr="00E66386">
        <w:rPr>
          <w:rFonts w:asciiTheme="majorHAnsi" w:hAnsiTheme="majorHAnsi"/>
          <w:bCs/>
          <w:sz w:val="20"/>
          <w:szCs w:val="20"/>
          <w:lang w:val="es-CO"/>
        </w:rPr>
        <w:t xml:space="preserve"> hechos, el </w:t>
      </w:r>
      <w:r w:rsidR="00323893" w:rsidRPr="00E66386">
        <w:rPr>
          <w:rFonts w:asciiTheme="majorHAnsi" w:hAnsiTheme="majorHAnsi"/>
          <w:bCs/>
          <w:sz w:val="20"/>
          <w:szCs w:val="20"/>
          <w:lang w:val="es-CO"/>
        </w:rPr>
        <w:t xml:space="preserve">13 de mayo de 2013 el </w:t>
      </w:r>
      <w:r w:rsidRPr="00E66386">
        <w:rPr>
          <w:rFonts w:asciiTheme="majorHAnsi" w:hAnsiTheme="majorHAnsi"/>
          <w:bCs/>
          <w:sz w:val="20"/>
          <w:szCs w:val="20"/>
          <w:lang w:val="es-CO"/>
        </w:rPr>
        <w:t xml:space="preserve">Tribunal </w:t>
      </w:r>
      <w:r w:rsidR="00323893" w:rsidRPr="00E66386">
        <w:rPr>
          <w:rFonts w:asciiTheme="majorHAnsi" w:hAnsiTheme="majorHAnsi"/>
          <w:bCs/>
          <w:sz w:val="20"/>
          <w:szCs w:val="20"/>
          <w:lang w:val="es-CO"/>
        </w:rPr>
        <w:t xml:space="preserve">profirió sentencia de primera instancia, en la que </w:t>
      </w:r>
      <w:r w:rsidRPr="00E66386">
        <w:rPr>
          <w:rFonts w:asciiTheme="majorHAnsi" w:hAnsiTheme="majorHAnsi"/>
          <w:bCs/>
          <w:sz w:val="20"/>
          <w:szCs w:val="20"/>
          <w:lang w:val="es-CO"/>
        </w:rPr>
        <w:t>determinó la existencia de elementos de persecución masiva, repetición de patrones de conducta y eliminación cultural del grupo étnico, que permitieron establecer los elementos del tipo penal del delito de genocidio.</w:t>
      </w:r>
      <w:r w:rsidR="006F182E" w:rsidRPr="00E66386">
        <w:rPr>
          <w:rFonts w:asciiTheme="majorHAnsi" w:hAnsiTheme="majorHAnsi"/>
          <w:bCs/>
          <w:sz w:val="20"/>
          <w:szCs w:val="20"/>
          <w:lang w:val="es-CO"/>
        </w:rPr>
        <w:t xml:space="preserve"> Por ello, condenó al señor José Efraín Ríos Montt a ochenta años de prisión por la comisión del delito de genocidio.</w:t>
      </w:r>
      <w:r w:rsidR="00E302AE" w:rsidRPr="00E66386">
        <w:rPr>
          <w:rFonts w:asciiTheme="majorHAnsi" w:hAnsiTheme="majorHAnsi"/>
          <w:bCs/>
          <w:sz w:val="20"/>
          <w:szCs w:val="20"/>
          <w:lang w:val="es-CO"/>
        </w:rPr>
        <w:t xml:space="preserve"> Con relación al segundo acusado, el general José Mauricio Rodríguez Sánchez, el Tribunal declaró que al no haberse demostrado su participación en los hechos que se le</w:t>
      </w:r>
      <w:r w:rsidR="001D0473" w:rsidRPr="00E66386">
        <w:rPr>
          <w:rFonts w:asciiTheme="majorHAnsi" w:hAnsiTheme="majorHAnsi"/>
          <w:bCs/>
          <w:sz w:val="20"/>
          <w:szCs w:val="20"/>
          <w:lang w:val="es-CO"/>
        </w:rPr>
        <w:t xml:space="preserve"> </w:t>
      </w:r>
      <w:r w:rsidR="00E302AE" w:rsidRPr="00E66386">
        <w:rPr>
          <w:rFonts w:asciiTheme="majorHAnsi" w:hAnsiTheme="majorHAnsi"/>
          <w:bCs/>
          <w:sz w:val="20"/>
          <w:szCs w:val="20"/>
          <w:lang w:val="es-CO"/>
        </w:rPr>
        <w:t>atribuye decidieron absolverlo del delito de genocidio y- delitos contra los deberes de</w:t>
      </w:r>
      <w:r w:rsidR="001D0473" w:rsidRPr="00E66386">
        <w:rPr>
          <w:rFonts w:asciiTheme="majorHAnsi" w:hAnsiTheme="majorHAnsi"/>
          <w:bCs/>
          <w:sz w:val="20"/>
          <w:szCs w:val="20"/>
          <w:lang w:val="es-CO"/>
        </w:rPr>
        <w:t xml:space="preserve"> </w:t>
      </w:r>
      <w:r w:rsidR="00E302AE" w:rsidRPr="00E66386">
        <w:rPr>
          <w:rFonts w:asciiTheme="majorHAnsi" w:hAnsiTheme="majorHAnsi"/>
          <w:bCs/>
          <w:sz w:val="20"/>
          <w:szCs w:val="20"/>
          <w:lang w:val="es-CO"/>
        </w:rPr>
        <w:t>humanidad</w:t>
      </w:r>
      <w:r w:rsidR="001D0473" w:rsidRPr="00E66386">
        <w:rPr>
          <w:rFonts w:asciiTheme="majorHAnsi" w:hAnsiTheme="majorHAnsi"/>
          <w:bCs/>
          <w:sz w:val="20"/>
          <w:szCs w:val="20"/>
          <w:lang w:val="es-CO"/>
        </w:rPr>
        <w:t>.</w:t>
      </w:r>
    </w:p>
    <w:p w14:paraId="07B5FFC4" w14:textId="66B901BF" w:rsidR="00483D4C" w:rsidRPr="00E66386" w:rsidRDefault="001669FD" w:rsidP="00483D4C">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lastRenderedPageBreak/>
        <w:t xml:space="preserve">Actuaciones de la Defensa y </w:t>
      </w:r>
      <w:r w:rsidR="00483D4C" w:rsidRPr="00E66386">
        <w:rPr>
          <w:rFonts w:asciiTheme="majorHAnsi" w:hAnsiTheme="majorHAnsi"/>
          <w:bCs/>
          <w:i/>
          <w:iCs/>
          <w:sz w:val="20"/>
          <w:szCs w:val="20"/>
          <w:lang w:val="es-CO"/>
        </w:rPr>
        <w:t xml:space="preserve">Recusación de los </w:t>
      </w:r>
      <w:r w:rsidR="00241EE0" w:rsidRPr="00E66386">
        <w:rPr>
          <w:rFonts w:asciiTheme="majorHAnsi" w:hAnsiTheme="majorHAnsi"/>
          <w:bCs/>
          <w:i/>
          <w:iCs/>
          <w:sz w:val="20"/>
          <w:szCs w:val="20"/>
          <w:lang w:val="es-CO"/>
        </w:rPr>
        <w:t>juece</w:t>
      </w:r>
      <w:r w:rsidR="00483D4C" w:rsidRPr="00E66386">
        <w:rPr>
          <w:rFonts w:asciiTheme="majorHAnsi" w:hAnsiTheme="majorHAnsi"/>
          <w:bCs/>
          <w:i/>
          <w:iCs/>
          <w:sz w:val="20"/>
          <w:szCs w:val="20"/>
          <w:lang w:val="es-CO"/>
        </w:rPr>
        <w:t xml:space="preserve">s del </w:t>
      </w:r>
      <w:r w:rsidR="00BB2293" w:rsidRPr="00E66386">
        <w:rPr>
          <w:rFonts w:asciiTheme="majorHAnsi" w:hAnsiTheme="majorHAnsi"/>
          <w:bCs/>
          <w:i/>
          <w:iCs/>
          <w:sz w:val="20"/>
          <w:szCs w:val="20"/>
          <w:lang w:val="es-CO"/>
        </w:rPr>
        <w:t>T</w:t>
      </w:r>
      <w:r w:rsidR="00483D4C" w:rsidRPr="00E66386">
        <w:rPr>
          <w:rFonts w:asciiTheme="majorHAnsi" w:hAnsiTheme="majorHAnsi"/>
          <w:bCs/>
          <w:i/>
          <w:iCs/>
          <w:sz w:val="20"/>
          <w:szCs w:val="20"/>
          <w:lang w:val="es-CO"/>
        </w:rPr>
        <w:t>ribunal</w:t>
      </w:r>
      <w:r w:rsidR="00B136FA" w:rsidRPr="00E66386">
        <w:rPr>
          <w:rFonts w:asciiTheme="majorHAnsi" w:hAnsiTheme="majorHAnsi"/>
          <w:bCs/>
          <w:i/>
          <w:iCs/>
          <w:sz w:val="20"/>
          <w:szCs w:val="20"/>
          <w:lang w:val="es-CO"/>
        </w:rPr>
        <w:t xml:space="preserve"> A</w:t>
      </w:r>
    </w:p>
    <w:p w14:paraId="356089DF" w14:textId="0EBDE027" w:rsidR="00076D4C" w:rsidRPr="00E66386" w:rsidRDefault="00A62B11"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Los peticionarios narra</w:t>
      </w:r>
      <w:r w:rsidR="00451371" w:rsidRPr="00E66386">
        <w:rPr>
          <w:rFonts w:asciiTheme="majorHAnsi" w:hAnsiTheme="majorHAnsi"/>
          <w:bCs/>
          <w:sz w:val="20"/>
          <w:szCs w:val="20"/>
          <w:lang w:val="es-CO"/>
        </w:rPr>
        <w:t>n</w:t>
      </w:r>
      <w:r w:rsidRPr="00E66386">
        <w:rPr>
          <w:rFonts w:asciiTheme="majorHAnsi" w:hAnsiTheme="majorHAnsi"/>
          <w:bCs/>
          <w:sz w:val="20"/>
          <w:szCs w:val="20"/>
          <w:lang w:val="es-CO"/>
        </w:rPr>
        <w:t xml:space="preserve"> que el día del inicio del juicio los abogados defensores del señor Ríos Montt </w:t>
      </w:r>
      <w:r w:rsidR="00717E86" w:rsidRPr="00E66386">
        <w:rPr>
          <w:rFonts w:asciiTheme="majorHAnsi" w:hAnsiTheme="majorHAnsi"/>
          <w:bCs/>
          <w:sz w:val="20"/>
          <w:szCs w:val="20"/>
          <w:lang w:val="es-CO"/>
        </w:rPr>
        <w:t xml:space="preserve">que </w:t>
      </w:r>
      <w:r w:rsidR="00451371" w:rsidRPr="00E66386">
        <w:rPr>
          <w:rFonts w:asciiTheme="majorHAnsi" w:hAnsiTheme="majorHAnsi"/>
          <w:bCs/>
          <w:sz w:val="20"/>
          <w:szCs w:val="20"/>
          <w:lang w:val="es-CO"/>
        </w:rPr>
        <w:t xml:space="preserve">lo acompañaban en la sala de vistas del Tribunal, deliberadamente abandonaron </w:t>
      </w:r>
      <w:r w:rsidR="00B010FC" w:rsidRPr="00E66386">
        <w:rPr>
          <w:rFonts w:asciiTheme="majorHAnsi" w:hAnsiTheme="majorHAnsi"/>
          <w:bCs/>
          <w:sz w:val="20"/>
          <w:szCs w:val="20"/>
          <w:lang w:val="es-CO"/>
        </w:rPr>
        <w:t xml:space="preserve">el </w:t>
      </w:r>
      <w:r w:rsidR="008D0B3F" w:rsidRPr="00E66386">
        <w:rPr>
          <w:rFonts w:asciiTheme="majorHAnsi" w:hAnsiTheme="majorHAnsi"/>
          <w:bCs/>
          <w:sz w:val="20"/>
          <w:szCs w:val="20"/>
          <w:lang w:val="es-CO"/>
        </w:rPr>
        <w:t xml:space="preserve">recinto </w:t>
      </w:r>
      <w:r w:rsidR="00B010FC" w:rsidRPr="00E66386">
        <w:rPr>
          <w:rFonts w:asciiTheme="majorHAnsi" w:hAnsiTheme="majorHAnsi"/>
          <w:bCs/>
          <w:sz w:val="20"/>
          <w:szCs w:val="20"/>
          <w:lang w:val="es-CO"/>
        </w:rPr>
        <w:t xml:space="preserve">momentos antes de la hora señalada </w:t>
      </w:r>
      <w:r w:rsidR="00252B07" w:rsidRPr="00E66386">
        <w:rPr>
          <w:rFonts w:asciiTheme="majorHAnsi" w:hAnsiTheme="majorHAnsi"/>
          <w:bCs/>
          <w:sz w:val="20"/>
          <w:szCs w:val="20"/>
          <w:lang w:val="es-CO"/>
        </w:rPr>
        <w:t>para</w:t>
      </w:r>
      <w:r w:rsidR="00B010FC" w:rsidRPr="00E66386">
        <w:rPr>
          <w:rFonts w:asciiTheme="majorHAnsi" w:hAnsiTheme="majorHAnsi"/>
          <w:bCs/>
          <w:sz w:val="20"/>
          <w:szCs w:val="20"/>
          <w:lang w:val="es-CO"/>
        </w:rPr>
        <w:t xml:space="preserve"> la audiencia</w:t>
      </w:r>
      <w:r w:rsidR="004D1FE8" w:rsidRPr="00E66386">
        <w:rPr>
          <w:rFonts w:asciiTheme="majorHAnsi" w:hAnsiTheme="majorHAnsi"/>
          <w:bCs/>
          <w:sz w:val="20"/>
          <w:szCs w:val="20"/>
          <w:lang w:val="es-CO"/>
        </w:rPr>
        <w:t>.</w:t>
      </w:r>
      <w:r w:rsidR="005F6B0B" w:rsidRPr="00E66386">
        <w:rPr>
          <w:rFonts w:asciiTheme="majorHAnsi" w:hAnsiTheme="majorHAnsi"/>
          <w:bCs/>
          <w:sz w:val="20"/>
          <w:szCs w:val="20"/>
          <w:lang w:val="es-CO"/>
        </w:rPr>
        <w:t xml:space="preserve"> </w:t>
      </w:r>
      <w:r w:rsidR="004D1FE8" w:rsidRPr="00E66386">
        <w:rPr>
          <w:rFonts w:asciiTheme="majorHAnsi" w:hAnsiTheme="majorHAnsi"/>
          <w:bCs/>
          <w:sz w:val="20"/>
          <w:szCs w:val="20"/>
          <w:lang w:val="es-CO"/>
        </w:rPr>
        <w:t>C</w:t>
      </w:r>
      <w:r w:rsidR="005F6B0B" w:rsidRPr="00E66386">
        <w:rPr>
          <w:rFonts w:asciiTheme="majorHAnsi" w:hAnsiTheme="majorHAnsi"/>
          <w:bCs/>
          <w:sz w:val="20"/>
          <w:szCs w:val="20"/>
          <w:lang w:val="es-CO"/>
        </w:rPr>
        <w:t xml:space="preserve">uando el Tribunal procedió a verificar la presencia de las partes y sus abogados, se presentó </w:t>
      </w:r>
      <w:r w:rsidR="004D1FE8" w:rsidRPr="00E66386">
        <w:rPr>
          <w:rFonts w:asciiTheme="majorHAnsi" w:hAnsiTheme="majorHAnsi"/>
          <w:bCs/>
          <w:sz w:val="20"/>
          <w:szCs w:val="20"/>
          <w:lang w:val="es-CO"/>
        </w:rPr>
        <w:t xml:space="preserve">el </w:t>
      </w:r>
      <w:r w:rsidR="005F7510" w:rsidRPr="00E66386">
        <w:rPr>
          <w:rFonts w:asciiTheme="majorHAnsi" w:hAnsiTheme="majorHAnsi"/>
          <w:bCs/>
          <w:sz w:val="20"/>
          <w:szCs w:val="20"/>
          <w:lang w:val="es-CO"/>
        </w:rPr>
        <w:t xml:space="preserve">abogado </w:t>
      </w:r>
      <w:r w:rsidR="004D1FE8" w:rsidRPr="00E66386">
        <w:rPr>
          <w:rFonts w:asciiTheme="majorHAnsi" w:hAnsiTheme="majorHAnsi"/>
          <w:bCs/>
          <w:sz w:val="20"/>
          <w:szCs w:val="20"/>
          <w:lang w:val="es-CO"/>
        </w:rPr>
        <w:t xml:space="preserve">Francisco García Gudiel como nuevo </w:t>
      </w:r>
      <w:r w:rsidR="00423266" w:rsidRPr="00E66386">
        <w:rPr>
          <w:rFonts w:asciiTheme="majorHAnsi" w:hAnsiTheme="majorHAnsi"/>
          <w:bCs/>
          <w:sz w:val="20"/>
          <w:szCs w:val="20"/>
          <w:lang w:val="es-CO"/>
        </w:rPr>
        <w:t xml:space="preserve">defensor del señor Ríos Montt. </w:t>
      </w:r>
      <w:r w:rsidR="003A10F3" w:rsidRPr="00E66386">
        <w:rPr>
          <w:rFonts w:asciiTheme="majorHAnsi" w:hAnsiTheme="majorHAnsi"/>
          <w:bCs/>
          <w:sz w:val="20"/>
          <w:szCs w:val="20"/>
          <w:lang w:val="es-CO"/>
        </w:rPr>
        <w:t xml:space="preserve">El Tribunal requirió la presencia de los abogados que se habían retirado del </w:t>
      </w:r>
      <w:r w:rsidR="00F90192" w:rsidRPr="00E66386">
        <w:rPr>
          <w:rFonts w:asciiTheme="majorHAnsi" w:hAnsiTheme="majorHAnsi"/>
          <w:bCs/>
          <w:sz w:val="20"/>
          <w:szCs w:val="20"/>
          <w:lang w:val="es-CO"/>
        </w:rPr>
        <w:t>edifici</w:t>
      </w:r>
      <w:r w:rsidR="003A10F3" w:rsidRPr="00E66386">
        <w:rPr>
          <w:rFonts w:asciiTheme="majorHAnsi" w:hAnsiTheme="majorHAnsi"/>
          <w:bCs/>
          <w:sz w:val="20"/>
          <w:szCs w:val="20"/>
          <w:lang w:val="es-CO"/>
        </w:rPr>
        <w:t>o</w:t>
      </w:r>
      <w:r w:rsidR="00FB1039" w:rsidRPr="00E66386">
        <w:rPr>
          <w:rFonts w:asciiTheme="majorHAnsi" w:hAnsiTheme="majorHAnsi"/>
          <w:bCs/>
          <w:sz w:val="20"/>
          <w:szCs w:val="20"/>
          <w:lang w:val="es-CO"/>
        </w:rPr>
        <w:t xml:space="preserve"> y éstos se reincorporaron</w:t>
      </w:r>
      <w:r w:rsidR="003A10F3" w:rsidRPr="00E66386">
        <w:rPr>
          <w:rFonts w:asciiTheme="majorHAnsi" w:hAnsiTheme="majorHAnsi"/>
          <w:bCs/>
          <w:sz w:val="20"/>
          <w:szCs w:val="20"/>
          <w:lang w:val="es-CO"/>
        </w:rPr>
        <w:t xml:space="preserve">. </w:t>
      </w:r>
      <w:r w:rsidR="00FB1039" w:rsidRPr="00E66386">
        <w:rPr>
          <w:rFonts w:asciiTheme="majorHAnsi" w:hAnsiTheme="majorHAnsi"/>
          <w:bCs/>
          <w:sz w:val="20"/>
          <w:szCs w:val="20"/>
          <w:lang w:val="es-CO"/>
        </w:rPr>
        <w:t>Entonces, e</w:t>
      </w:r>
      <w:r w:rsidR="00D81AC2" w:rsidRPr="00E66386">
        <w:rPr>
          <w:rFonts w:asciiTheme="majorHAnsi" w:hAnsiTheme="majorHAnsi"/>
          <w:bCs/>
          <w:sz w:val="20"/>
          <w:szCs w:val="20"/>
          <w:lang w:val="es-CO"/>
        </w:rPr>
        <w:t xml:space="preserve">l abogado García Gudiel solicitó al Tribunal que suspendiera el debate por </w:t>
      </w:r>
      <w:r w:rsidR="007C7387" w:rsidRPr="00E66386">
        <w:rPr>
          <w:rFonts w:asciiTheme="majorHAnsi" w:hAnsiTheme="majorHAnsi"/>
          <w:bCs/>
          <w:sz w:val="20"/>
          <w:szCs w:val="20"/>
          <w:lang w:val="es-CO"/>
        </w:rPr>
        <w:t xml:space="preserve">cinco </w:t>
      </w:r>
      <w:r w:rsidR="00D81AC2" w:rsidRPr="00E66386">
        <w:rPr>
          <w:rFonts w:asciiTheme="majorHAnsi" w:hAnsiTheme="majorHAnsi"/>
          <w:bCs/>
          <w:sz w:val="20"/>
          <w:szCs w:val="20"/>
          <w:lang w:val="es-CO"/>
        </w:rPr>
        <w:t xml:space="preserve">días </w:t>
      </w:r>
      <w:r w:rsidR="004D4DC1" w:rsidRPr="00E66386">
        <w:rPr>
          <w:rFonts w:asciiTheme="majorHAnsi" w:hAnsiTheme="majorHAnsi"/>
          <w:bCs/>
          <w:sz w:val="20"/>
          <w:szCs w:val="20"/>
          <w:lang w:val="es-CO"/>
        </w:rPr>
        <w:t>por</w:t>
      </w:r>
      <w:r w:rsidR="00D81AC2" w:rsidRPr="00E66386">
        <w:rPr>
          <w:rFonts w:asciiTheme="majorHAnsi" w:hAnsiTheme="majorHAnsi"/>
          <w:bCs/>
          <w:sz w:val="20"/>
          <w:szCs w:val="20"/>
          <w:lang w:val="es-CO"/>
        </w:rPr>
        <w:t xml:space="preserve">que </w:t>
      </w:r>
      <w:r w:rsidR="004D4DC1" w:rsidRPr="00E66386">
        <w:rPr>
          <w:rFonts w:asciiTheme="majorHAnsi" w:hAnsiTheme="majorHAnsi"/>
          <w:bCs/>
          <w:sz w:val="20"/>
          <w:szCs w:val="20"/>
          <w:lang w:val="es-CO"/>
        </w:rPr>
        <w:t xml:space="preserve">había sido contratado ese mismo días horas antes y </w:t>
      </w:r>
      <w:r w:rsidR="00D81AC2" w:rsidRPr="00E66386">
        <w:rPr>
          <w:rFonts w:asciiTheme="majorHAnsi" w:hAnsiTheme="majorHAnsi"/>
          <w:bCs/>
          <w:sz w:val="20"/>
          <w:szCs w:val="20"/>
          <w:lang w:val="es-CO"/>
        </w:rPr>
        <w:t xml:space="preserve">no se encontraba al tanto de las actuaciones del proceso. Esta solicitud fue desestimada por el Tribunal </w:t>
      </w:r>
      <w:r w:rsidR="00B2431B" w:rsidRPr="00E66386">
        <w:rPr>
          <w:rFonts w:asciiTheme="majorHAnsi" w:hAnsiTheme="majorHAnsi"/>
          <w:bCs/>
          <w:sz w:val="20"/>
          <w:szCs w:val="20"/>
          <w:lang w:val="es-CO"/>
        </w:rPr>
        <w:t xml:space="preserve">A </w:t>
      </w:r>
      <w:r w:rsidR="00D81AC2" w:rsidRPr="00E66386">
        <w:rPr>
          <w:rFonts w:asciiTheme="majorHAnsi" w:hAnsiTheme="majorHAnsi"/>
          <w:bCs/>
          <w:sz w:val="20"/>
          <w:szCs w:val="20"/>
          <w:lang w:val="es-CO"/>
        </w:rPr>
        <w:t>con base en las palabras del propio defensor</w:t>
      </w:r>
      <w:r w:rsidR="00AA1C15" w:rsidRPr="00E66386">
        <w:rPr>
          <w:rFonts w:asciiTheme="majorHAnsi" w:hAnsiTheme="majorHAnsi"/>
          <w:bCs/>
          <w:sz w:val="20"/>
          <w:szCs w:val="20"/>
          <w:lang w:val="es-CO"/>
        </w:rPr>
        <w:t>,</w:t>
      </w:r>
      <w:r w:rsidR="00D81AC2" w:rsidRPr="00E66386">
        <w:rPr>
          <w:rFonts w:asciiTheme="majorHAnsi" w:hAnsiTheme="majorHAnsi"/>
          <w:bCs/>
          <w:sz w:val="20"/>
          <w:szCs w:val="20"/>
          <w:lang w:val="es-CO"/>
        </w:rPr>
        <w:t xml:space="preserve"> quien había expresado su voluntad de no retrasar el proceso más de lo necesario y que se encontraba en la plena capacidad profesional de continuar con la audiencia.</w:t>
      </w:r>
    </w:p>
    <w:p w14:paraId="6B8D1D18" w14:textId="03A1D7E7" w:rsidR="004E72EE" w:rsidRPr="00E66386" w:rsidRDefault="005C3C6B" w:rsidP="00EA289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Aunado a ello, e</w:t>
      </w:r>
      <w:r w:rsidR="00743B48" w:rsidRPr="00E66386">
        <w:rPr>
          <w:rFonts w:asciiTheme="majorHAnsi" w:hAnsiTheme="majorHAnsi"/>
          <w:bCs/>
          <w:sz w:val="20"/>
          <w:szCs w:val="20"/>
          <w:lang w:val="es-CO"/>
        </w:rPr>
        <w:t xml:space="preserve">l abogado García Gudiel </w:t>
      </w:r>
      <w:r w:rsidR="00E56E62" w:rsidRPr="00E66386">
        <w:rPr>
          <w:rFonts w:asciiTheme="majorHAnsi" w:hAnsiTheme="majorHAnsi"/>
          <w:bCs/>
          <w:sz w:val="20"/>
          <w:szCs w:val="20"/>
          <w:lang w:val="es-CO"/>
        </w:rPr>
        <w:t>presentó una recusación contra la presidenta del Tribunal y contra uno de los jueces vocales.</w:t>
      </w:r>
      <w:r w:rsidR="00866180" w:rsidRPr="00E66386">
        <w:rPr>
          <w:rFonts w:asciiTheme="majorHAnsi" w:hAnsiTheme="majorHAnsi"/>
          <w:bCs/>
          <w:sz w:val="20"/>
          <w:szCs w:val="20"/>
          <w:lang w:val="es-CO"/>
        </w:rPr>
        <w:t xml:space="preserve"> El Tribunal rechazó las recusaciones puesto que el término legal para interponerlas había precluido</w:t>
      </w:r>
      <w:r w:rsidR="003C7166" w:rsidRPr="00E66386">
        <w:rPr>
          <w:rFonts w:asciiTheme="majorHAnsi" w:hAnsiTheme="majorHAnsi"/>
          <w:bCs/>
          <w:sz w:val="20"/>
          <w:szCs w:val="20"/>
          <w:lang w:val="es-CO"/>
        </w:rPr>
        <w:t xml:space="preserve"> y por cuanto no existían </w:t>
      </w:r>
      <w:r w:rsidR="0041435F" w:rsidRPr="00E66386">
        <w:rPr>
          <w:rFonts w:asciiTheme="majorHAnsi" w:hAnsiTheme="majorHAnsi"/>
          <w:bCs/>
          <w:sz w:val="20"/>
          <w:szCs w:val="20"/>
          <w:lang w:val="es-CO"/>
        </w:rPr>
        <w:t xml:space="preserve">los </w:t>
      </w:r>
      <w:r w:rsidR="003C7166" w:rsidRPr="00E66386">
        <w:rPr>
          <w:rFonts w:asciiTheme="majorHAnsi" w:hAnsiTheme="majorHAnsi"/>
          <w:bCs/>
          <w:sz w:val="20"/>
          <w:szCs w:val="20"/>
          <w:lang w:val="es-CO"/>
        </w:rPr>
        <w:t>motivos de recusación o impedimento</w:t>
      </w:r>
      <w:r w:rsidR="0041435F" w:rsidRPr="00E66386">
        <w:rPr>
          <w:rFonts w:asciiTheme="majorHAnsi" w:hAnsiTheme="majorHAnsi"/>
          <w:bCs/>
          <w:sz w:val="20"/>
          <w:szCs w:val="20"/>
          <w:lang w:val="es-CO"/>
        </w:rPr>
        <w:t xml:space="preserve"> invocados</w:t>
      </w:r>
      <w:r w:rsidR="00866180" w:rsidRPr="00E66386">
        <w:rPr>
          <w:rFonts w:asciiTheme="majorHAnsi" w:hAnsiTheme="majorHAnsi"/>
          <w:bCs/>
          <w:sz w:val="20"/>
          <w:szCs w:val="20"/>
          <w:lang w:val="es-CO"/>
        </w:rPr>
        <w:t>.</w:t>
      </w:r>
      <w:r w:rsidR="00E01450" w:rsidRPr="00E66386">
        <w:rPr>
          <w:rFonts w:asciiTheme="majorHAnsi" w:hAnsiTheme="majorHAnsi"/>
          <w:bCs/>
          <w:sz w:val="20"/>
          <w:szCs w:val="20"/>
          <w:lang w:val="es-CO"/>
        </w:rPr>
        <w:t xml:space="preserve"> </w:t>
      </w:r>
      <w:r w:rsidR="00433310" w:rsidRPr="00E66386">
        <w:rPr>
          <w:rFonts w:asciiTheme="majorHAnsi" w:hAnsiTheme="majorHAnsi"/>
          <w:bCs/>
          <w:sz w:val="20"/>
          <w:szCs w:val="20"/>
          <w:lang w:val="es-CO"/>
        </w:rPr>
        <w:t>Además,</w:t>
      </w:r>
      <w:r w:rsidR="00E01450" w:rsidRPr="00E66386">
        <w:rPr>
          <w:rFonts w:asciiTheme="majorHAnsi" w:hAnsiTheme="majorHAnsi"/>
          <w:bCs/>
          <w:sz w:val="20"/>
          <w:szCs w:val="20"/>
          <w:lang w:val="es-CO"/>
        </w:rPr>
        <w:t xml:space="preserve"> ordenó la separación del abogado García Gudiel de la defensa del señor Ríos Montt con el fin de </w:t>
      </w:r>
      <w:r w:rsidR="00FE0EBB" w:rsidRPr="00E66386">
        <w:rPr>
          <w:rFonts w:asciiTheme="majorHAnsi" w:hAnsiTheme="majorHAnsi"/>
          <w:bCs/>
          <w:sz w:val="20"/>
          <w:szCs w:val="20"/>
          <w:lang w:val="es-CO"/>
        </w:rPr>
        <w:t>“</w:t>
      </w:r>
      <w:r w:rsidR="00E01450" w:rsidRPr="00E66386">
        <w:rPr>
          <w:rFonts w:asciiTheme="majorHAnsi" w:hAnsiTheme="majorHAnsi"/>
          <w:bCs/>
          <w:i/>
          <w:iCs/>
          <w:sz w:val="20"/>
          <w:szCs w:val="20"/>
          <w:lang w:val="es-CO"/>
        </w:rPr>
        <w:t>garantizar la transparencia y objetividad que caracteriza a este Tribunal, en resguardo del derecho de defensa</w:t>
      </w:r>
      <w:r w:rsidR="00FE0EBB" w:rsidRPr="00E66386">
        <w:rPr>
          <w:rFonts w:asciiTheme="majorHAnsi" w:hAnsiTheme="majorHAnsi"/>
          <w:bCs/>
          <w:sz w:val="20"/>
          <w:szCs w:val="20"/>
          <w:lang w:val="es-CO"/>
        </w:rPr>
        <w:t>”</w:t>
      </w:r>
      <w:r w:rsidR="00E01450" w:rsidRPr="00E66386">
        <w:rPr>
          <w:rFonts w:asciiTheme="majorHAnsi" w:hAnsiTheme="majorHAnsi"/>
          <w:bCs/>
          <w:sz w:val="20"/>
          <w:szCs w:val="20"/>
          <w:lang w:val="es-CO"/>
        </w:rPr>
        <w:t xml:space="preserve">, </w:t>
      </w:r>
      <w:r w:rsidR="00FE0EBB" w:rsidRPr="00E66386">
        <w:rPr>
          <w:rFonts w:asciiTheme="majorHAnsi" w:hAnsiTheme="majorHAnsi"/>
          <w:bCs/>
          <w:sz w:val="20"/>
          <w:szCs w:val="20"/>
          <w:lang w:val="es-CO"/>
        </w:rPr>
        <w:t>“</w:t>
      </w:r>
      <w:r w:rsidR="00E01450" w:rsidRPr="00E66386">
        <w:rPr>
          <w:rFonts w:asciiTheme="majorHAnsi" w:hAnsiTheme="majorHAnsi"/>
          <w:bCs/>
          <w:i/>
          <w:iCs/>
          <w:sz w:val="20"/>
          <w:szCs w:val="20"/>
          <w:lang w:val="es-CO"/>
        </w:rPr>
        <w:t>recordándole que el actuar del abogado debe ser de buena fe y con lealtad procesal tal y como lo regula el Código de ética y el Reglamento de Tribunales Penales</w:t>
      </w:r>
      <w:r w:rsidR="00FE0EBB" w:rsidRPr="00E66386">
        <w:rPr>
          <w:rFonts w:asciiTheme="majorHAnsi" w:hAnsiTheme="majorHAnsi"/>
          <w:bCs/>
          <w:sz w:val="20"/>
          <w:szCs w:val="20"/>
          <w:lang w:val="es-CO"/>
        </w:rPr>
        <w:t>”</w:t>
      </w:r>
      <w:r w:rsidR="00E01450" w:rsidRPr="00E66386">
        <w:rPr>
          <w:rFonts w:asciiTheme="majorHAnsi" w:hAnsiTheme="majorHAnsi"/>
          <w:bCs/>
          <w:sz w:val="20"/>
          <w:szCs w:val="20"/>
          <w:lang w:val="es-CO"/>
        </w:rPr>
        <w:t xml:space="preserve">. </w:t>
      </w:r>
      <w:r w:rsidR="00F87420" w:rsidRPr="00E66386">
        <w:rPr>
          <w:rFonts w:asciiTheme="majorHAnsi" w:hAnsiTheme="majorHAnsi"/>
          <w:bCs/>
          <w:sz w:val="20"/>
          <w:szCs w:val="20"/>
          <w:lang w:val="es-CO"/>
        </w:rPr>
        <w:t>E</w:t>
      </w:r>
      <w:r w:rsidR="006A3644" w:rsidRPr="00E66386">
        <w:rPr>
          <w:rFonts w:asciiTheme="majorHAnsi" w:hAnsiTheme="majorHAnsi"/>
          <w:bCs/>
          <w:sz w:val="20"/>
          <w:szCs w:val="20"/>
          <w:lang w:val="es-CO"/>
        </w:rPr>
        <w:t>n consecuencia, e</w:t>
      </w:r>
      <w:r w:rsidR="00F87420" w:rsidRPr="00E66386">
        <w:rPr>
          <w:rFonts w:asciiTheme="majorHAnsi" w:hAnsiTheme="majorHAnsi"/>
          <w:bCs/>
          <w:sz w:val="20"/>
          <w:szCs w:val="20"/>
          <w:lang w:val="es-CO"/>
        </w:rPr>
        <w:t xml:space="preserve">l Tribunal </w:t>
      </w:r>
      <w:r w:rsidR="00FE0EBB" w:rsidRPr="00E66386">
        <w:rPr>
          <w:rFonts w:asciiTheme="majorHAnsi" w:hAnsiTheme="majorHAnsi"/>
          <w:bCs/>
          <w:sz w:val="20"/>
          <w:szCs w:val="20"/>
          <w:lang w:val="es-CO"/>
        </w:rPr>
        <w:t xml:space="preserve">A </w:t>
      </w:r>
      <w:r w:rsidR="00F87420" w:rsidRPr="00E66386">
        <w:rPr>
          <w:rFonts w:asciiTheme="majorHAnsi" w:hAnsiTheme="majorHAnsi"/>
          <w:bCs/>
          <w:sz w:val="20"/>
          <w:szCs w:val="20"/>
          <w:lang w:val="es-CO"/>
        </w:rPr>
        <w:t>dejó la defensa del señor Ríos Montt a cargo de los defensores de</w:t>
      </w:r>
      <w:r w:rsidR="00200840" w:rsidRPr="00E66386">
        <w:rPr>
          <w:rFonts w:asciiTheme="majorHAnsi" w:hAnsiTheme="majorHAnsi"/>
          <w:bCs/>
          <w:sz w:val="20"/>
          <w:szCs w:val="20"/>
          <w:lang w:val="es-CO"/>
        </w:rPr>
        <w:t xml:space="preserve"> su coprocesado e</w:t>
      </w:r>
      <w:r w:rsidR="00F87420" w:rsidRPr="00E66386">
        <w:rPr>
          <w:rFonts w:asciiTheme="majorHAnsi" w:hAnsiTheme="majorHAnsi"/>
          <w:bCs/>
          <w:sz w:val="20"/>
          <w:szCs w:val="20"/>
          <w:lang w:val="es-CO"/>
        </w:rPr>
        <w:t>l señor Rodríguez Sánchez.</w:t>
      </w:r>
      <w:r w:rsidR="00EA2897" w:rsidRPr="00E66386">
        <w:rPr>
          <w:rFonts w:asciiTheme="majorHAnsi" w:hAnsiTheme="majorHAnsi"/>
          <w:bCs/>
          <w:sz w:val="20"/>
          <w:szCs w:val="20"/>
          <w:lang w:val="es-CO"/>
        </w:rPr>
        <w:t xml:space="preserve"> </w:t>
      </w:r>
      <w:r w:rsidR="00516A21" w:rsidRPr="00E66386">
        <w:rPr>
          <w:rFonts w:asciiTheme="majorHAnsi" w:hAnsiTheme="majorHAnsi"/>
          <w:bCs/>
          <w:sz w:val="20"/>
          <w:szCs w:val="20"/>
          <w:lang w:val="es-CO"/>
        </w:rPr>
        <w:t>Los peticionarios enfatizan que</w:t>
      </w:r>
      <w:r w:rsidR="007D3389" w:rsidRPr="00E66386">
        <w:rPr>
          <w:rFonts w:asciiTheme="majorHAnsi" w:hAnsiTheme="majorHAnsi"/>
          <w:bCs/>
          <w:sz w:val="20"/>
          <w:szCs w:val="20"/>
          <w:lang w:val="es-CO"/>
        </w:rPr>
        <w:t xml:space="preserve"> el nombramiento del abogado García Gudiel fue una estrategia para impedir el inicio del juicio. </w:t>
      </w:r>
    </w:p>
    <w:p w14:paraId="3596557F" w14:textId="367EBFFD" w:rsidR="00213BDA" w:rsidRPr="00E66386" w:rsidRDefault="00B44CEE" w:rsidP="00F17DFB">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 </w:t>
      </w:r>
      <w:r w:rsidR="00C34348" w:rsidRPr="00E66386">
        <w:rPr>
          <w:rFonts w:asciiTheme="majorHAnsi" w:hAnsiTheme="majorHAnsi"/>
          <w:bCs/>
          <w:sz w:val="20"/>
          <w:szCs w:val="20"/>
          <w:lang w:val="es-CO"/>
        </w:rPr>
        <w:t>A</w:t>
      </w:r>
      <w:r w:rsidR="004E72EE" w:rsidRPr="00E66386">
        <w:rPr>
          <w:rFonts w:asciiTheme="majorHAnsi" w:hAnsiTheme="majorHAnsi"/>
          <w:bCs/>
          <w:sz w:val="20"/>
          <w:szCs w:val="20"/>
          <w:lang w:val="es-CO"/>
        </w:rPr>
        <w:t xml:space="preserve">l día siguiente, </w:t>
      </w:r>
      <w:r w:rsidR="00AB2067" w:rsidRPr="00E66386">
        <w:rPr>
          <w:rFonts w:asciiTheme="majorHAnsi" w:hAnsiTheme="majorHAnsi"/>
          <w:bCs/>
          <w:sz w:val="20"/>
          <w:szCs w:val="20"/>
          <w:lang w:val="es-CO"/>
        </w:rPr>
        <w:t xml:space="preserve">el </w:t>
      </w:r>
      <w:r w:rsidR="00EC5623" w:rsidRPr="00E66386">
        <w:rPr>
          <w:rFonts w:asciiTheme="majorHAnsi" w:hAnsiTheme="majorHAnsi"/>
          <w:bCs/>
          <w:sz w:val="20"/>
          <w:szCs w:val="20"/>
          <w:lang w:val="es-CO"/>
        </w:rPr>
        <w:t>20 de marzo de 2013, se apersonó un nuevo abogado de confianza de Ríos Montt</w:t>
      </w:r>
      <w:r w:rsidR="0003440C" w:rsidRPr="00E66386">
        <w:rPr>
          <w:rFonts w:asciiTheme="majorHAnsi" w:hAnsiTheme="majorHAnsi"/>
          <w:bCs/>
          <w:sz w:val="20"/>
          <w:szCs w:val="20"/>
          <w:lang w:val="es-CO"/>
        </w:rPr>
        <w:t xml:space="preserve"> y el 25 de marzo de 2013 se reincorporó uno más a su defensa</w:t>
      </w:r>
      <w:r w:rsidR="00EC5623" w:rsidRPr="00E66386">
        <w:rPr>
          <w:rFonts w:asciiTheme="majorHAnsi" w:hAnsiTheme="majorHAnsi"/>
          <w:bCs/>
          <w:sz w:val="20"/>
          <w:szCs w:val="20"/>
          <w:lang w:val="es-CO"/>
        </w:rPr>
        <w:t>.</w:t>
      </w:r>
      <w:r w:rsidR="00BB08CF" w:rsidRPr="00E66386">
        <w:rPr>
          <w:rFonts w:asciiTheme="majorHAnsi" w:hAnsiTheme="majorHAnsi"/>
          <w:bCs/>
          <w:sz w:val="20"/>
          <w:szCs w:val="20"/>
          <w:lang w:val="es-CO"/>
        </w:rPr>
        <w:t xml:space="preserve"> </w:t>
      </w:r>
      <w:r w:rsidR="007E7D17" w:rsidRPr="00E66386">
        <w:rPr>
          <w:rFonts w:asciiTheme="majorHAnsi" w:hAnsiTheme="majorHAnsi"/>
          <w:bCs/>
          <w:sz w:val="20"/>
          <w:szCs w:val="20"/>
          <w:lang w:val="es-CO"/>
        </w:rPr>
        <w:t>Además, los</w:t>
      </w:r>
      <w:r w:rsidR="00BB08CF" w:rsidRPr="00E66386">
        <w:rPr>
          <w:rFonts w:asciiTheme="majorHAnsi" w:hAnsiTheme="majorHAnsi"/>
          <w:bCs/>
          <w:sz w:val="20"/>
          <w:szCs w:val="20"/>
          <w:lang w:val="es-CO"/>
        </w:rPr>
        <w:t xml:space="preserve"> defens</w:t>
      </w:r>
      <w:r w:rsidR="007E7D17" w:rsidRPr="00E66386">
        <w:rPr>
          <w:rFonts w:asciiTheme="majorHAnsi" w:hAnsiTheme="majorHAnsi"/>
          <w:bCs/>
          <w:sz w:val="20"/>
          <w:szCs w:val="20"/>
          <w:lang w:val="es-CO"/>
        </w:rPr>
        <w:t>ores</w:t>
      </w:r>
      <w:r w:rsidR="00BB08CF" w:rsidRPr="00E66386">
        <w:rPr>
          <w:rFonts w:asciiTheme="majorHAnsi" w:hAnsiTheme="majorHAnsi"/>
          <w:bCs/>
          <w:sz w:val="20"/>
          <w:szCs w:val="20"/>
          <w:lang w:val="es-CO"/>
        </w:rPr>
        <w:t xml:space="preserve"> </w:t>
      </w:r>
      <w:r w:rsidR="004167A3" w:rsidRPr="00E66386">
        <w:rPr>
          <w:rFonts w:asciiTheme="majorHAnsi" w:hAnsiTheme="majorHAnsi"/>
          <w:bCs/>
          <w:sz w:val="20"/>
          <w:szCs w:val="20"/>
          <w:lang w:val="es-CO"/>
        </w:rPr>
        <w:t>de</w:t>
      </w:r>
      <w:r w:rsidR="00BB08CF" w:rsidRPr="00E66386">
        <w:rPr>
          <w:rFonts w:asciiTheme="majorHAnsi" w:hAnsiTheme="majorHAnsi"/>
          <w:bCs/>
          <w:sz w:val="20"/>
          <w:szCs w:val="20"/>
          <w:lang w:val="es-CO"/>
        </w:rPr>
        <w:t xml:space="preserve"> Ríos Montt</w:t>
      </w:r>
      <w:r w:rsidR="007E7D17" w:rsidRPr="00E66386">
        <w:rPr>
          <w:rFonts w:asciiTheme="majorHAnsi" w:hAnsiTheme="majorHAnsi"/>
          <w:bCs/>
          <w:sz w:val="20"/>
          <w:szCs w:val="20"/>
          <w:lang w:val="es-CO"/>
        </w:rPr>
        <w:t>, incluido el abogado que había sido separado de su cargo,</w:t>
      </w:r>
      <w:r w:rsidR="00BB08CF" w:rsidRPr="00E66386">
        <w:rPr>
          <w:rFonts w:asciiTheme="majorHAnsi" w:hAnsiTheme="majorHAnsi"/>
          <w:bCs/>
          <w:sz w:val="20"/>
          <w:szCs w:val="20"/>
          <w:lang w:val="es-CO"/>
        </w:rPr>
        <w:t xml:space="preserve"> present</w:t>
      </w:r>
      <w:r w:rsidR="007E7D17" w:rsidRPr="00E66386">
        <w:rPr>
          <w:rFonts w:asciiTheme="majorHAnsi" w:hAnsiTheme="majorHAnsi"/>
          <w:bCs/>
          <w:sz w:val="20"/>
          <w:szCs w:val="20"/>
          <w:lang w:val="es-CO"/>
        </w:rPr>
        <w:t>aron</w:t>
      </w:r>
      <w:r w:rsidR="00BB08CF" w:rsidRPr="00E66386">
        <w:rPr>
          <w:rFonts w:asciiTheme="majorHAnsi" w:hAnsiTheme="majorHAnsi"/>
          <w:bCs/>
          <w:sz w:val="20"/>
          <w:szCs w:val="20"/>
          <w:lang w:val="es-CO"/>
        </w:rPr>
        <w:t xml:space="preserve"> varios recursos de amparo</w:t>
      </w:r>
      <w:r w:rsidR="00794BB9" w:rsidRPr="00E66386">
        <w:rPr>
          <w:rFonts w:asciiTheme="majorHAnsi" w:hAnsiTheme="majorHAnsi"/>
          <w:bCs/>
          <w:sz w:val="20"/>
          <w:szCs w:val="20"/>
          <w:lang w:val="es-CO"/>
        </w:rPr>
        <w:t xml:space="preserve"> a fin de que </w:t>
      </w:r>
      <w:r w:rsidR="001C121F" w:rsidRPr="00E66386">
        <w:rPr>
          <w:rFonts w:asciiTheme="majorHAnsi" w:hAnsiTheme="majorHAnsi"/>
          <w:bCs/>
          <w:sz w:val="20"/>
          <w:szCs w:val="20"/>
          <w:lang w:val="es-CO"/>
        </w:rPr>
        <w:t xml:space="preserve">éste </w:t>
      </w:r>
      <w:r w:rsidR="00794BB9" w:rsidRPr="00E66386">
        <w:rPr>
          <w:rFonts w:asciiTheme="majorHAnsi" w:hAnsiTheme="majorHAnsi"/>
          <w:bCs/>
          <w:sz w:val="20"/>
          <w:szCs w:val="20"/>
          <w:lang w:val="es-CO"/>
        </w:rPr>
        <w:t xml:space="preserve">fuera restituido </w:t>
      </w:r>
      <w:r w:rsidR="001C121F" w:rsidRPr="00E66386">
        <w:rPr>
          <w:rFonts w:asciiTheme="majorHAnsi" w:hAnsiTheme="majorHAnsi"/>
          <w:bCs/>
          <w:sz w:val="20"/>
          <w:szCs w:val="20"/>
          <w:lang w:val="es-CO"/>
        </w:rPr>
        <w:t xml:space="preserve">como </w:t>
      </w:r>
      <w:r w:rsidR="00794BB9" w:rsidRPr="00E66386">
        <w:rPr>
          <w:rFonts w:asciiTheme="majorHAnsi" w:hAnsiTheme="majorHAnsi"/>
          <w:bCs/>
          <w:sz w:val="20"/>
          <w:szCs w:val="20"/>
          <w:lang w:val="es-CO"/>
        </w:rPr>
        <w:t>defensor de confianza</w:t>
      </w:r>
      <w:r w:rsidR="00BB08CF" w:rsidRPr="00E66386">
        <w:rPr>
          <w:rFonts w:asciiTheme="majorHAnsi" w:hAnsiTheme="majorHAnsi"/>
          <w:bCs/>
          <w:sz w:val="20"/>
          <w:szCs w:val="20"/>
          <w:lang w:val="es-CO"/>
        </w:rPr>
        <w:t>, y apelaron todas las decisiones tanto de otorgar como de no otorgar el amparo provisional.</w:t>
      </w:r>
      <w:r w:rsidR="00EC5623" w:rsidRPr="00E66386">
        <w:rPr>
          <w:rFonts w:asciiTheme="majorHAnsi" w:hAnsiTheme="majorHAnsi"/>
          <w:bCs/>
          <w:sz w:val="20"/>
          <w:szCs w:val="20"/>
          <w:lang w:val="es-CO"/>
        </w:rPr>
        <w:t xml:space="preserve"> </w:t>
      </w:r>
      <w:r w:rsidR="008100B2" w:rsidRPr="00E66386">
        <w:rPr>
          <w:rFonts w:asciiTheme="majorHAnsi" w:hAnsiTheme="majorHAnsi"/>
          <w:bCs/>
          <w:sz w:val="20"/>
          <w:szCs w:val="20"/>
          <w:lang w:val="es-CO"/>
        </w:rPr>
        <w:t xml:space="preserve">El </w:t>
      </w:r>
      <w:r w:rsidR="00576F4C" w:rsidRPr="00E66386">
        <w:rPr>
          <w:rFonts w:asciiTheme="majorHAnsi" w:hAnsiTheme="majorHAnsi"/>
          <w:bCs/>
          <w:sz w:val="20"/>
          <w:szCs w:val="20"/>
          <w:lang w:val="es-CO"/>
        </w:rPr>
        <w:t xml:space="preserve">26 de marzo y el </w:t>
      </w:r>
      <w:r w:rsidR="008100B2" w:rsidRPr="00E66386">
        <w:rPr>
          <w:rFonts w:asciiTheme="majorHAnsi" w:hAnsiTheme="majorHAnsi"/>
          <w:bCs/>
          <w:sz w:val="20"/>
          <w:szCs w:val="20"/>
          <w:lang w:val="es-CO"/>
        </w:rPr>
        <w:t>18 de abril de 2013</w:t>
      </w:r>
      <w:r w:rsidR="005F789F" w:rsidRPr="00E66386">
        <w:rPr>
          <w:rFonts w:asciiTheme="majorHAnsi" w:hAnsiTheme="majorHAnsi"/>
          <w:bCs/>
          <w:sz w:val="20"/>
          <w:szCs w:val="20"/>
          <w:lang w:val="es-CO"/>
        </w:rPr>
        <w:t>,</w:t>
      </w:r>
      <w:r w:rsidR="008100B2" w:rsidRPr="00E66386">
        <w:rPr>
          <w:rFonts w:asciiTheme="majorHAnsi" w:hAnsiTheme="majorHAnsi"/>
          <w:bCs/>
          <w:sz w:val="20"/>
          <w:szCs w:val="20"/>
          <w:lang w:val="es-CO"/>
        </w:rPr>
        <w:t xml:space="preserve"> la Sala Tercera de </w:t>
      </w:r>
      <w:r w:rsidR="0063543B" w:rsidRPr="00E66386">
        <w:rPr>
          <w:rFonts w:asciiTheme="majorHAnsi" w:hAnsiTheme="majorHAnsi"/>
          <w:bCs/>
          <w:sz w:val="20"/>
          <w:szCs w:val="20"/>
          <w:lang w:val="es-CO"/>
        </w:rPr>
        <w:t xml:space="preserve">la Corte de Constitucionalidad </w:t>
      </w:r>
      <w:r w:rsidR="00576F4C" w:rsidRPr="00E66386">
        <w:rPr>
          <w:rFonts w:asciiTheme="majorHAnsi" w:hAnsiTheme="majorHAnsi"/>
          <w:bCs/>
          <w:sz w:val="20"/>
          <w:szCs w:val="20"/>
          <w:lang w:val="es-CO"/>
        </w:rPr>
        <w:t xml:space="preserve">decidió dejar sin efecto la resolución que separaba del cargo al señor </w:t>
      </w:r>
      <w:r w:rsidR="00C94CDF" w:rsidRPr="00E66386">
        <w:rPr>
          <w:rFonts w:asciiTheme="majorHAnsi" w:hAnsiTheme="majorHAnsi"/>
          <w:bCs/>
          <w:sz w:val="20"/>
          <w:szCs w:val="20"/>
          <w:lang w:val="es-CO"/>
        </w:rPr>
        <w:t xml:space="preserve">García </w:t>
      </w:r>
      <w:r w:rsidR="00576F4C" w:rsidRPr="00E66386">
        <w:rPr>
          <w:rFonts w:asciiTheme="majorHAnsi" w:hAnsiTheme="majorHAnsi"/>
          <w:bCs/>
          <w:sz w:val="20"/>
          <w:szCs w:val="20"/>
          <w:lang w:val="es-CO"/>
        </w:rPr>
        <w:t>Gudiel</w:t>
      </w:r>
      <w:r w:rsidR="00C94CDF" w:rsidRPr="00E66386">
        <w:rPr>
          <w:rFonts w:asciiTheme="majorHAnsi" w:hAnsiTheme="majorHAnsi"/>
          <w:bCs/>
          <w:sz w:val="20"/>
          <w:szCs w:val="20"/>
          <w:lang w:val="es-CO"/>
        </w:rPr>
        <w:t>, en la primera no restituyó al abogado a</w:t>
      </w:r>
      <w:r w:rsidR="00454CB7" w:rsidRPr="00E66386">
        <w:rPr>
          <w:rFonts w:asciiTheme="majorHAnsi" w:hAnsiTheme="majorHAnsi"/>
          <w:bCs/>
          <w:sz w:val="20"/>
          <w:szCs w:val="20"/>
          <w:lang w:val="es-CO"/>
        </w:rPr>
        <w:t xml:space="preserve"> la defensa, y en la segunda sí</w:t>
      </w:r>
      <w:r w:rsidR="00C94CDF" w:rsidRPr="00E66386">
        <w:rPr>
          <w:rFonts w:asciiTheme="majorHAnsi" w:hAnsiTheme="majorHAnsi"/>
          <w:bCs/>
          <w:sz w:val="20"/>
          <w:szCs w:val="20"/>
          <w:lang w:val="es-CO"/>
        </w:rPr>
        <w:t xml:space="preserve"> </w:t>
      </w:r>
      <w:r w:rsidR="000E0B57" w:rsidRPr="00E66386">
        <w:rPr>
          <w:rFonts w:asciiTheme="majorHAnsi" w:hAnsiTheme="majorHAnsi"/>
          <w:bCs/>
          <w:sz w:val="20"/>
          <w:szCs w:val="20"/>
          <w:lang w:val="es-CO"/>
        </w:rPr>
        <w:t>orden</w:t>
      </w:r>
      <w:r w:rsidR="00454CB7" w:rsidRPr="00E66386">
        <w:rPr>
          <w:rFonts w:asciiTheme="majorHAnsi" w:hAnsiTheme="majorHAnsi"/>
          <w:bCs/>
          <w:sz w:val="20"/>
          <w:szCs w:val="20"/>
          <w:lang w:val="es-CO"/>
        </w:rPr>
        <w:t>ó su restitución.</w:t>
      </w:r>
      <w:r w:rsidR="002F0AAC" w:rsidRPr="00E66386">
        <w:rPr>
          <w:rFonts w:asciiTheme="majorHAnsi" w:hAnsiTheme="majorHAnsi"/>
          <w:bCs/>
          <w:sz w:val="20"/>
          <w:szCs w:val="20"/>
          <w:lang w:val="es-CO"/>
        </w:rPr>
        <w:t xml:space="preserve"> La Corte de Constitucionalidad declaró con lugar los cuatro recursos de apelación interpuestos por la defensa de Ríos Montt contra el amparo provisional.</w:t>
      </w:r>
    </w:p>
    <w:p w14:paraId="2B3BDEF0" w14:textId="5A25BA04" w:rsidR="009317C7" w:rsidRPr="00E66386" w:rsidRDefault="00E51928" w:rsidP="00F17DFB">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En consecuencia, el 30 abril de 2013 el Tribunal de Mayor Riesgo A</w:t>
      </w:r>
      <w:r w:rsidR="005C5E8C" w:rsidRPr="00E66386">
        <w:rPr>
          <w:rFonts w:asciiTheme="majorHAnsi" w:hAnsiTheme="majorHAnsi"/>
          <w:bCs/>
          <w:sz w:val="20"/>
          <w:szCs w:val="20"/>
          <w:lang w:val="es-CO"/>
        </w:rPr>
        <w:t xml:space="preserve"> reincorporó al abogado García Gudiel como defensor del señor Ríos Montt</w:t>
      </w:r>
      <w:r w:rsidRPr="00E66386">
        <w:rPr>
          <w:rFonts w:asciiTheme="majorHAnsi" w:hAnsiTheme="majorHAnsi"/>
          <w:bCs/>
          <w:sz w:val="20"/>
          <w:szCs w:val="20"/>
          <w:lang w:val="es-CO"/>
        </w:rPr>
        <w:t>, en cumplimiento de las resoluciones de la C</w:t>
      </w:r>
      <w:r w:rsidR="00625797" w:rsidRPr="00E66386">
        <w:rPr>
          <w:rFonts w:asciiTheme="majorHAnsi" w:hAnsiTheme="majorHAnsi"/>
          <w:bCs/>
          <w:sz w:val="20"/>
          <w:szCs w:val="20"/>
          <w:lang w:val="es-CO"/>
        </w:rPr>
        <w:t xml:space="preserve">orte de </w:t>
      </w:r>
      <w:r w:rsidRPr="00E66386">
        <w:rPr>
          <w:rFonts w:asciiTheme="majorHAnsi" w:hAnsiTheme="majorHAnsi"/>
          <w:bCs/>
          <w:sz w:val="20"/>
          <w:szCs w:val="20"/>
          <w:lang w:val="es-CO"/>
        </w:rPr>
        <w:t>C</w:t>
      </w:r>
      <w:r w:rsidR="00625797" w:rsidRPr="00E66386">
        <w:rPr>
          <w:rFonts w:asciiTheme="majorHAnsi" w:hAnsiTheme="majorHAnsi"/>
          <w:bCs/>
          <w:sz w:val="20"/>
          <w:szCs w:val="20"/>
          <w:lang w:val="es-CO"/>
        </w:rPr>
        <w:t>onstitucionalidad</w:t>
      </w:r>
      <w:r w:rsidRPr="00E66386">
        <w:rPr>
          <w:rFonts w:asciiTheme="majorHAnsi" w:hAnsiTheme="majorHAnsi"/>
          <w:bCs/>
          <w:sz w:val="20"/>
          <w:szCs w:val="20"/>
          <w:lang w:val="es-CO"/>
        </w:rPr>
        <w:t>,</w:t>
      </w:r>
      <w:r w:rsidR="005C5E8C" w:rsidRPr="00E66386">
        <w:rPr>
          <w:rFonts w:asciiTheme="majorHAnsi" w:hAnsiTheme="majorHAnsi"/>
          <w:bCs/>
          <w:sz w:val="20"/>
          <w:szCs w:val="20"/>
          <w:lang w:val="es-CO"/>
        </w:rPr>
        <w:t xml:space="preserve"> y</w:t>
      </w:r>
      <w:r w:rsidRPr="00E66386">
        <w:rPr>
          <w:rFonts w:asciiTheme="majorHAnsi" w:hAnsiTheme="majorHAnsi"/>
          <w:bCs/>
          <w:sz w:val="20"/>
          <w:szCs w:val="20"/>
          <w:lang w:val="es-CO"/>
        </w:rPr>
        <w:t xml:space="preserve"> ordenó que se diera nuevamente lectura de la acusación en contra del señor Ríos Montt</w:t>
      </w:r>
      <w:r w:rsidR="005C5E8C" w:rsidRPr="00E66386">
        <w:rPr>
          <w:rFonts w:asciiTheme="majorHAnsi" w:hAnsiTheme="majorHAnsi"/>
          <w:bCs/>
          <w:sz w:val="20"/>
          <w:szCs w:val="20"/>
          <w:lang w:val="es-CO"/>
        </w:rPr>
        <w:t xml:space="preserve">. Además, dejó sin efecto la declaración de cuatro testigos </w:t>
      </w:r>
      <w:r w:rsidR="0077048C" w:rsidRPr="00E66386">
        <w:rPr>
          <w:rFonts w:asciiTheme="majorHAnsi" w:hAnsiTheme="majorHAnsi"/>
          <w:bCs/>
          <w:sz w:val="20"/>
          <w:szCs w:val="20"/>
          <w:lang w:val="es-CO"/>
        </w:rPr>
        <w:t>que declararon</w:t>
      </w:r>
      <w:r w:rsidR="0027147D" w:rsidRPr="00E66386">
        <w:rPr>
          <w:rFonts w:asciiTheme="majorHAnsi" w:hAnsiTheme="majorHAnsi"/>
          <w:bCs/>
          <w:sz w:val="20"/>
          <w:szCs w:val="20"/>
          <w:lang w:val="es-CO"/>
        </w:rPr>
        <w:t xml:space="preserve"> el 19 y el 20 de marzo de 2013, periodo en que la defensa de</w:t>
      </w:r>
      <w:r w:rsidR="00D5183F" w:rsidRPr="00E66386">
        <w:rPr>
          <w:rFonts w:asciiTheme="majorHAnsi" w:hAnsiTheme="majorHAnsi"/>
          <w:bCs/>
          <w:sz w:val="20"/>
          <w:szCs w:val="20"/>
          <w:lang w:val="es-CO"/>
        </w:rPr>
        <w:t xml:space="preserve"> Ríos Montt estuvo a cargo de los defensores de Rodríguez Sánchez.</w:t>
      </w:r>
      <w:r w:rsidR="000F746E" w:rsidRPr="00E66386">
        <w:rPr>
          <w:rFonts w:asciiTheme="majorHAnsi" w:hAnsiTheme="majorHAnsi"/>
          <w:bCs/>
          <w:sz w:val="20"/>
          <w:szCs w:val="20"/>
          <w:lang w:val="es-CO"/>
        </w:rPr>
        <w:t xml:space="preserve"> El abogado García Gudiel de nuevo interpuso </w:t>
      </w:r>
      <w:r w:rsidR="002C0C35" w:rsidRPr="00E66386">
        <w:rPr>
          <w:rFonts w:asciiTheme="majorHAnsi" w:hAnsiTheme="majorHAnsi"/>
          <w:bCs/>
          <w:sz w:val="20"/>
          <w:szCs w:val="20"/>
          <w:lang w:val="es-CO"/>
        </w:rPr>
        <w:t xml:space="preserve">un </w:t>
      </w:r>
      <w:r w:rsidR="000F746E" w:rsidRPr="00E66386">
        <w:rPr>
          <w:rFonts w:asciiTheme="majorHAnsi" w:hAnsiTheme="majorHAnsi"/>
          <w:bCs/>
          <w:sz w:val="20"/>
          <w:szCs w:val="20"/>
          <w:lang w:val="es-CO"/>
        </w:rPr>
        <w:t>recurso de reposición sobre la resolución que lo reincorporó al proceso</w:t>
      </w:r>
      <w:r w:rsidR="002C0C35" w:rsidRPr="00E66386">
        <w:rPr>
          <w:rFonts w:asciiTheme="majorHAnsi" w:hAnsiTheme="majorHAnsi"/>
          <w:bCs/>
          <w:sz w:val="20"/>
          <w:szCs w:val="20"/>
          <w:lang w:val="es-CO"/>
        </w:rPr>
        <w:t>,</w:t>
      </w:r>
      <w:r w:rsidR="000F746E" w:rsidRPr="00E66386">
        <w:rPr>
          <w:rFonts w:asciiTheme="majorHAnsi" w:hAnsiTheme="majorHAnsi"/>
          <w:bCs/>
          <w:sz w:val="20"/>
          <w:szCs w:val="20"/>
          <w:lang w:val="es-CO"/>
        </w:rPr>
        <w:t xml:space="preserve"> alegando la nulidad de todo lo actuado sin su presencia y el incumplimiento de la suspensión del debate ordenado por la Sala Tercera </w:t>
      </w:r>
      <w:r w:rsidR="00006FE7" w:rsidRPr="00E66386">
        <w:rPr>
          <w:rFonts w:asciiTheme="majorHAnsi" w:hAnsiTheme="majorHAnsi"/>
          <w:bCs/>
          <w:sz w:val="20"/>
          <w:szCs w:val="20"/>
          <w:lang w:val="es-CO"/>
        </w:rPr>
        <w:t>de la Corte de Constitucionalidad del</w:t>
      </w:r>
      <w:r w:rsidR="000F746E" w:rsidRPr="00E66386">
        <w:rPr>
          <w:rFonts w:asciiTheme="majorHAnsi" w:hAnsiTheme="majorHAnsi"/>
          <w:bCs/>
          <w:sz w:val="20"/>
          <w:szCs w:val="20"/>
          <w:lang w:val="es-CO"/>
        </w:rPr>
        <w:t xml:space="preserve"> 18 de abril de 2013.</w:t>
      </w:r>
      <w:r w:rsidR="00950A4A" w:rsidRPr="00E66386">
        <w:rPr>
          <w:rFonts w:asciiTheme="majorHAnsi" w:hAnsiTheme="majorHAnsi"/>
          <w:bCs/>
          <w:sz w:val="20"/>
          <w:szCs w:val="20"/>
          <w:lang w:val="es-CO"/>
        </w:rPr>
        <w:t xml:space="preserve"> Este amparo fue otorgado de manera provisional por la S</w:t>
      </w:r>
      <w:r w:rsidR="008F0EC0" w:rsidRPr="00E66386">
        <w:rPr>
          <w:rFonts w:asciiTheme="majorHAnsi" w:hAnsiTheme="majorHAnsi"/>
          <w:bCs/>
          <w:sz w:val="20"/>
          <w:szCs w:val="20"/>
          <w:lang w:val="es-CO"/>
        </w:rPr>
        <w:t xml:space="preserve">ala Tercera de la Corte de Constitucionalidad, </w:t>
      </w:r>
      <w:r w:rsidR="00A07D35" w:rsidRPr="00E66386">
        <w:rPr>
          <w:rFonts w:asciiTheme="majorHAnsi" w:hAnsiTheme="majorHAnsi"/>
          <w:bCs/>
          <w:sz w:val="20"/>
          <w:szCs w:val="20"/>
          <w:lang w:val="es-CO"/>
        </w:rPr>
        <w:t xml:space="preserve">en una </w:t>
      </w:r>
      <w:r w:rsidR="008F0EC0" w:rsidRPr="00E66386">
        <w:rPr>
          <w:rFonts w:asciiTheme="majorHAnsi" w:hAnsiTheme="majorHAnsi"/>
          <w:bCs/>
          <w:sz w:val="20"/>
          <w:szCs w:val="20"/>
          <w:lang w:val="es-CO"/>
        </w:rPr>
        <w:t xml:space="preserve">resolución que fue apelada por el Ministerio Público ante el pleno de la Corte. No obstante, el 3 de mayo de 2013 la Corte de Constitucionalidad decidió confirmar </w:t>
      </w:r>
      <w:r w:rsidR="00582D9C" w:rsidRPr="00E66386">
        <w:rPr>
          <w:rFonts w:asciiTheme="majorHAnsi" w:hAnsiTheme="majorHAnsi"/>
          <w:bCs/>
          <w:sz w:val="20"/>
          <w:szCs w:val="20"/>
          <w:lang w:val="es-CO"/>
        </w:rPr>
        <w:t>“</w:t>
      </w:r>
      <w:r w:rsidR="008F0EC0" w:rsidRPr="00E66386">
        <w:rPr>
          <w:rFonts w:asciiTheme="majorHAnsi" w:hAnsiTheme="majorHAnsi"/>
          <w:bCs/>
          <w:i/>
          <w:iCs/>
          <w:sz w:val="20"/>
          <w:szCs w:val="20"/>
          <w:lang w:val="es-CO"/>
        </w:rPr>
        <w:t>en los mismos términos</w:t>
      </w:r>
      <w:r w:rsidR="00582D9C" w:rsidRPr="00E66386">
        <w:rPr>
          <w:rFonts w:asciiTheme="majorHAnsi" w:hAnsiTheme="majorHAnsi"/>
          <w:bCs/>
          <w:sz w:val="20"/>
          <w:szCs w:val="20"/>
          <w:lang w:val="es-CO"/>
        </w:rPr>
        <w:t>”</w:t>
      </w:r>
      <w:r w:rsidR="008F0EC0" w:rsidRPr="00E66386">
        <w:rPr>
          <w:rFonts w:asciiTheme="majorHAnsi" w:hAnsiTheme="majorHAnsi"/>
          <w:bCs/>
          <w:sz w:val="20"/>
          <w:szCs w:val="20"/>
          <w:lang w:val="es-CO"/>
        </w:rPr>
        <w:t xml:space="preserve"> el amparo provisional concedido</w:t>
      </w:r>
      <w:r w:rsidR="001C6F9E" w:rsidRPr="00E66386">
        <w:rPr>
          <w:rFonts w:asciiTheme="majorHAnsi" w:hAnsiTheme="majorHAnsi"/>
          <w:bCs/>
          <w:sz w:val="20"/>
          <w:szCs w:val="20"/>
          <w:lang w:val="es-CO"/>
        </w:rPr>
        <w:t>.</w:t>
      </w:r>
    </w:p>
    <w:p w14:paraId="66CCC58A" w14:textId="7A0C98F3" w:rsidR="002F0AAC" w:rsidRPr="00E66386" w:rsidRDefault="00516AC9" w:rsidP="00F17DFB">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Finalmente, el 6 de mayo</w:t>
      </w:r>
      <w:r w:rsidR="004B096C" w:rsidRPr="00E66386">
        <w:rPr>
          <w:rFonts w:asciiTheme="majorHAnsi" w:hAnsiTheme="majorHAnsi"/>
          <w:bCs/>
          <w:sz w:val="20"/>
          <w:szCs w:val="20"/>
          <w:lang w:val="es-CO"/>
        </w:rPr>
        <w:t xml:space="preserve"> de 2013,</w:t>
      </w:r>
      <w:r w:rsidRPr="00E66386">
        <w:rPr>
          <w:rFonts w:asciiTheme="majorHAnsi" w:hAnsiTheme="majorHAnsi"/>
          <w:bCs/>
          <w:sz w:val="20"/>
          <w:szCs w:val="20"/>
          <w:lang w:val="es-CO"/>
        </w:rPr>
        <w:t xml:space="preserve"> </w:t>
      </w:r>
      <w:r w:rsidR="00582D9C" w:rsidRPr="00E66386">
        <w:rPr>
          <w:rFonts w:asciiTheme="majorHAnsi" w:hAnsiTheme="majorHAnsi"/>
          <w:bCs/>
          <w:sz w:val="20"/>
          <w:szCs w:val="20"/>
          <w:lang w:val="es-CO"/>
        </w:rPr>
        <w:t xml:space="preserve">la Sala Tercera de la Corte de Apelaciones </w:t>
      </w:r>
      <w:r w:rsidR="008C5884" w:rsidRPr="00E66386">
        <w:rPr>
          <w:rFonts w:asciiTheme="majorHAnsi" w:hAnsiTheme="majorHAnsi"/>
          <w:bCs/>
          <w:sz w:val="20"/>
          <w:szCs w:val="20"/>
          <w:lang w:val="es-CO"/>
        </w:rPr>
        <w:t xml:space="preserve">resolvió de fondo el amparo planteado por el señor Ríos Montt, </w:t>
      </w:r>
      <w:r w:rsidR="0056006D" w:rsidRPr="00E66386">
        <w:rPr>
          <w:rFonts w:asciiTheme="majorHAnsi" w:hAnsiTheme="majorHAnsi"/>
          <w:bCs/>
          <w:sz w:val="20"/>
          <w:szCs w:val="20"/>
          <w:lang w:val="es-CO"/>
        </w:rPr>
        <w:t xml:space="preserve">en lo que los peticionarios consideran una extralimitación del objeto del amparo. En efecto, sostienen que el amparo fue presentado por la separación del cargo del abogado defensor, pero la Corte de Apelaciones amplió </w:t>
      </w:r>
      <w:r w:rsidR="00D36550" w:rsidRPr="00E66386">
        <w:rPr>
          <w:rFonts w:asciiTheme="majorHAnsi" w:hAnsiTheme="majorHAnsi"/>
          <w:bCs/>
          <w:sz w:val="20"/>
          <w:szCs w:val="20"/>
          <w:lang w:val="es-CO"/>
        </w:rPr>
        <w:t>el objeto del amparo</w:t>
      </w:r>
      <w:r w:rsidR="00A66122" w:rsidRPr="00E66386">
        <w:rPr>
          <w:rFonts w:asciiTheme="majorHAnsi" w:hAnsiTheme="majorHAnsi"/>
          <w:bCs/>
          <w:sz w:val="20"/>
          <w:szCs w:val="20"/>
          <w:lang w:val="es-CO"/>
        </w:rPr>
        <w:t xml:space="preserve"> al rechazo de las recusaciones planteadas por la defensa de Ríos Montt contra los jueces del Tribunal A. Así, la Corte de Apelaciones </w:t>
      </w:r>
      <w:r w:rsidR="00D32473" w:rsidRPr="00E66386">
        <w:rPr>
          <w:rFonts w:asciiTheme="majorHAnsi" w:hAnsiTheme="majorHAnsi"/>
          <w:bCs/>
          <w:sz w:val="20"/>
          <w:szCs w:val="20"/>
          <w:lang w:val="es-CO"/>
        </w:rPr>
        <w:t xml:space="preserve">ordenó la reincorporación definitiva del abogado García Gudiel </w:t>
      </w:r>
      <w:r w:rsidR="00A57DCA" w:rsidRPr="00E66386">
        <w:rPr>
          <w:rFonts w:asciiTheme="majorHAnsi" w:hAnsiTheme="majorHAnsi"/>
          <w:bCs/>
          <w:sz w:val="20"/>
          <w:szCs w:val="20"/>
          <w:lang w:val="es-CO"/>
        </w:rPr>
        <w:t xml:space="preserve">a la defensa del exgeneral Ríos Montt y </w:t>
      </w:r>
      <w:r w:rsidR="00BF29D0" w:rsidRPr="00E66386">
        <w:rPr>
          <w:rFonts w:asciiTheme="majorHAnsi" w:hAnsiTheme="majorHAnsi"/>
          <w:bCs/>
          <w:sz w:val="20"/>
          <w:szCs w:val="20"/>
          <w:lang w:val="es-CO"/>
        </w:rPr>
        <w:t xml:space="preserve">el estudio de fondo de la recusación planteada. </w:t>
      </w:r>
      <w:r w:rsidR="000C164C" w:rsidRPr="00E66386">
        <w:rPr>
          <w:rFonts w:asciiTheme="majorHAnsi" w:hAnsiTheme="majorHAnsi"/>
          <w:bCs/>
          <w:sz w:val="20"/>
          <w:szCs w:val="20"/>
          <w:lang w:val="es-CO"/>
        </w:rPr>
        <w:t xml:space="preserve">Al día </w:t>
      </w:r>
      <w:r w:rsidR="00452AAC" w:rsidRPr="00E66386">
        <w:rPr>
          <w:rFonts w:asciiTheme="majorHAnsi" w:hAnsiTheme="majorHAnsi"/>
          <w:bCs/>
          <w:sz w:val="20"/>
          <w:szCs w:val="20"/>
          <w:lang w:val="es-CO"/>
        </w:rPr>
        <w:t>siguiente, el 7 de mayo</w:t>
      </w:r>
      <w:r w:rsidR="004B096C" w:rsidRPr="00E66386">
        <w:rPr>
          <w:rFonts w:asciiTheme="majorHAnsi" w:hAnsiTheme="majorHAnsi"/>
          <w:bCs/>
          <w:sz w:val="20"/>
          <w:szCs w:val="20"/>
          <w:lang w:val="es-CO"/>
        </w:rPr>
        <w:t xml:space="preserve"> de 2013,</w:t>
      </w:r>
      <w:r w:rsidR="00452AAC" w:rsidRPr="00E66386">
        <w:rPr>
          <w:rFonts w:asciiTheme="majorHAnsi" w:hAnsiTheme="majorHAnsi"/>
          <w:bCs/>
          <w:sz w:val="20"/>
          <w:szCs w:val="20"/>
          <w:lang w:val="es-CO"/>
        </w:rPr>
        <w:t xml:space="preserve"> el Tribunal A reanudó el juicio para escuchar al </w:t>
      </w:r>
      <w:r w:rsidR="005B4BC4" w:rsidRPr="00E66386">
        <w:rPr>
          <w:rFonts w:asciiTheme="majorHAnsi" w:hAnsiTheme="majorHAnsi"/>
          <w:bCs/>
          <w:sz w:val="20"/>
          <w:szCs w:val="20"/>
          <w:lang w:val="es-CO"/>
        </w:rPr>
        <w:t xml:space="preserve">abogado García Gudiel, pero éste no compareció a la audiencia alegando </w:t>
      </w:r>
      <w:r w:rsidR="00606A5E" w:rsidRPr="00E66386">
        <w:rPr>
          <w:rFonts w:asciiTheme="majorHAnsi" w:hAnsiTheme="majorHAnsi"/>
          <w:bCs/>
          <w:sz w:val="20"/>
          <w:szCs w:val="20"/>
          <w:lang w:val="es-CO"/>
        </w:rPr>
        <w:t xml:space="preserve">quebrantos </w:t>
      </w:r>
      <w:r w:rsidR="005B4BC4" w:rsidRPr="00E66386">
        <w:rPr>
          <w:rFonts w:asciiTheme="majorHAnsi" w:hAnsiTheme="majorHAnsi"/>
          <w:bCs/>
          <w:sz w:val="20"/>
          <w:szCs w:val="20"/>
          <w:lang w:val="es-CO"/>
        </w:rPr>
        <w:t xml:space="preserve">de salud, por lo cual se suspendió el trámite </w:t>
      </w:r>
      <w:r w:rsidR="00606A5E" w:rsidRPr="00E66386">
        <w:rPr>
          <w:rFonts w:asciiTheme="majorHAnsi" w:hAnsiTheme="majorHAnsi"/>
          <w:bCs/>
          <w:sz w:val="20"/>
          <w:szCs w:val="20"/>
          <w:lang w:val="es-CO"/>
        </w:rPr>
        <w:t>hasta el día siguiente.</w:t>
      </w:r>
      <w:r w:rsidR="00793C38" w:rsidRPr="00E66386">
        <w:rPr>
          <w:rFonts w:asciiTheme="majorHAnsi" w:hAnsiTheme="majorHAnsi"/>
          <w:bCs/>
          <w:sz w:val="20"/>
          <w:szCs w:val="20"/>
          <w:lang w:val="es-CO"/>
        </w:rPr>
        <w:t xml:space="preserve"> No obstante, ese día el señor Ríos Montt </w:t>
      </w:r>
      <w:r w:rsidR="0091353C" w:rsidRPr="00E66386">
        <w:rPr>
          <w:rFonts w:asciiTheme="majorHAnsi" w:hAnsiTheme="majorHAnsi"/>
          <w:bCs/>
          <w:sz w:val="20"/>
          <w:szCs w:val="20"/>
          <w:lang w:val="es-CO"/>
        </w:rPr>
        <w:t>presentó una</w:t>
      </w:r>
      <w:r w:rsidR="00793C38" w:rsidRPr="00E66386">
        <w:rPr>
          <w:rFonts w:asciiTheme="majorHAnsi" w:hAnsiTheme="majorHAnsi"/>
          <w:bCs/>
          <w:sz w:val="20"/>
          <w:szCs w:val="20"/>
          <w:lang w:val="es-CO"/>
        </w:rPr>
        <w:t xml:space="preserve"> queja </w:t>
      </w:r>
      <w:r w:rsidR="00467797" w:rsidRPr="00E66386">
        <w:rPr>
          <w:rFonts w:asciiTheme="majorHAnsi" w:hAnsiTheme="majorHAnsi"/>
          <w:bCs/>
          <w:sz w:val="20"/>
          <w:szCs w:val="20"/>
          <w:lang w:val="es-CO"/>
        </w:rPr>
        <w:t xml:space="preserve">ante la </w:t>
      </w:r>
      <w:r w:rsidR="00467797" w:rsidRPr="00E66386">
        <w:rPr>
          <w:rFonts w:asciiTheme="majorHAnsi" w:hAnsiTheme="majorHAnsi"/>
          <w:bCs/>
          <w:sz w:val="20"/>
          <w:szCs w:val="20"/>
          <w:lang w:val="es-CO"/>
        </w:rPr>
        <w:lastRenderedPageBreak/>
        <w:t xml:space="preserve">Corte de Constitucionalidad por considerar que el Tribunal A no había cumplido con la resolución de amparo </w:t>
      </w:r>
      <w:r w:rsidR="00702B1C" w:rsidRPr="00E66386">
        <w:rPr>
          <w:rFonts w:asciiTheme="majorHAnsi" w:hAnsiTheme="majorHAnsi"/>
          <w:bCs/>
          <w:sz w:val="20"/>
          <w:szCs w:val="20"/>
          <w:lang w:val="es-CO"/>
        </w:rPr>
        <w:t xml:space="preserve">proferida </w:t>
      </w:r>
      <w:r w:rsidR="00467797" w:rsidRPr="00E66386">
        <w:rPr>
          <w:rFonts w:asciiTheme="majorHAnsi" w:hAnsiTheme="majorHAnsi"/>
          <w:bCs/>
          <w:sz w:val="20"/>
          <w:szCs w:val="20"/>
          <w:lang w:val="es-CO"/>
        </w:rPr>
        <w:t>el 6 de mayo.</w:t>
      </w:r>
    </w:p>
    <w:p w14:paraId="3B4694FC" w14:textId="374148BF" w:rsidR="00A17BEF" w:rsidRPr="00E66386" w:rsidRDefault="00522AC9"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El </w:t>
      </w:r>
      <w:r w:rsidR="001B2D8F" w:rsidRPr="00E66386">
        <w:rPr>
          <w:rFonts w:asciiTheme="majorHAnsi" w:hAnsiTheme="majorHAnsi"/>
          <w:bCs/>
          <w:sz w:val="20"/>
          <w:szCs w:val="20"/>
          <w:lang w:val="es-CO"/>
        </w:rPr>
        <w:t xml:space="preserve">día siguiente, </w:t>
      </w:r>
      <w:r w:rsidRPr="00E66386">
        <w:rPr>
          <w:rFonts w:asciiTheme="majorHAnsi" w:hAnsiTheme="majorHAnsi"/>
          <w:bCs/>
          <w:sz w:val="20"/>
          <w:szCs w:val="20"/>
          <w:lang w:val="es-CO"/>
        </w:rPr>
        <w:t xml:space="preserve">8 de mayo </w:t>
      </w:r>
      <w:r w:rsidR="004B096C" w:rsidRPr="00E66386">
        <w:rPr>
          <w:rFonts w:asciiTheme="majorHAnsi" w:hAnsiTheme="majorHAnsi"/>
          <w:bCs/>
          <w:sz w:val="20"/>
          <w:szCs w:val="20"/>
          <w:lang w:val="es-CO"/>
        </w:rPr>
        <w:t xml:space="preserve">de 2013, </w:t>
      </w:r>
      <w:r w:rsidR="00334899" w:rsidRPr="00E66386">
        <w:rPr>
          <w:rFonts w:asciiTheme="majorHAnsi" w:hAnsiTheme="majorHAnsi"/>
          <w:bCs/>
          <w:sz w:val="20"/>
          <w:szCs w:val="20"/>
          <w:lang w:val="es-CO"/>
        </w:rPr>
        <w:t xml:space="preserve">en </w:t>
      </w:r>
      <w:r w:rsidRPr="00E66386">
        <w:rPr>
          <w:rFonts w:asciiTheme="majorHAnsi" w:hAnsiTheme="majorHAnsi"/>
          <w:bCs/>
          <w:sz w:val="20"/>
          <w:szCs w:val="20"/>
          <w:lang w:val="es-CO"/>
        </w:rPr>
        <w:t xml:space="preserve">sesión </w:t>
      </w:r>
      <w:r w:rsidR="00334899" w:rsidRPr="00E66386">
        <w:rPr>
          <w:rFonts w:asciiTheme="majorHAnsi" w:hAnsiTheme="majorHAnsi"/>
          <w:bCs/>
          <w:sz w:val="20"/>
          <w:szCs w:val="20"/>
          <w:lang w:val="es-CO"/>
        </w:rPr>
        <w:t>d</w:t>
      </w:r>
      <w:r w:rsidRPr="00E66386">
        <w:rPr>
          <w:rFonts w:asciiTheme="majorHAnsi" w:hAnsiTheme="majorHAnsi"/>
          <w:bCs/>
          <w:sz w:val="20"/>
          <w:szCs w:val="20"/>
          <w:lang w:val="es-CO"/>
        </w:rPr>
        <w:t xml:space="preserve">el Tribunal A, </w:t>
      </w:r>
      <w:r w:rsidR="001B681C" w:rsidRPr="00E66386">
        <w:rPr>
          <w:rFonts w:asciiTheme="majorHAnsi" w:hAnsiTheme="majorHAnsi"/>
          <w:bCs/>
          <w:sz w:val="20"/>
          <w:szCs w:val="20"/>
          <w:lang w:val="es-CO"/>
        </w:rPr>
        <w:t>e</w:t>
      </w:r>
      <w:r w:rsidR="00195173" w:rsidRPr="00E66386">
        <w:rPr>
          <w:rFonts w:asciiTheme="majorHAnsi" w:hAnsiTheme="majorHAnsi"/>
          <w:bCs/>
          <w:sz w:val="20"/>
          <w:szCs w:val="20"/>
          <w:lang w:val="es-CO"/>
        </w:rPr>
        <w:t xml:space="preserve">l abogado defensor </w:t>
      </w:r>
      <w:r w:rsidR="00D93E6C" w:rsidRPr="00E66386">
        <w:rPr>
          <w:rFonts w:asciiTheme="majorHAnsi" w:hAnsiTheme="majorHAnsi"/>
          <w:bCs/>
          <w:sz w:val="20"/>
          <w:szCs w:val="20"/>
          <w:lang w:val="es-CO"/>
        </w:rPr>
        <w:t xml:space="preserve">de </w:t>
      </w:r>
      <w:r w:rsidR="00885D9F" w:rsidRPr="00E66386">
        <w:rPr>
          <w:rFonts w:asciiTheme="majorHAnsi" w:hAnsiTheme="majorHAnsi"/>
          <w:bCs/>
          <w:sz w:val="20"/>
          <w:szCs w:val="20"/>
          <w:lang w:val="es-CO"/>
        </w:rPr>
        <w:t>Ríos</w:t>
      </w:r>
      <w:r w:rsidR="00D93E6C" w:rsidRPr="00E66386">
        <w:rPr>
          <w:rFonts w:asciiTheme="majorHAnsi" w:hAnsiTheme="majorHAnsi"/>
          <w:bCs/>
          <w:sz w:val="20"/>
          <w:szCs w:val="20"/>
          <w:lang w:val="es-CO"/>
        </w:rPr>
        <w:t xml:space="preserve"> Montt </w:t>
      </w:r>
      <w:r w:rsidR="00195173" w:rsidRPr="00E66386">
        <w:rPr>
          <w:rFonts w:asciiTheme="majorHAnsi" w:hAnsiTheme="majorHAnsi"/>
          <w:bCs/>
          <w:sz w:val="20"/>
          <w:szCs w:val="20"/>
          <w:lang w:val="es-CO"/>
        </w:rPr>
        <w:t xml:space="preserve">manifestó que la audiencia del día anterior se había llevado a cabo de forma ilegal por no contar con su presencia, y por lo tanto planteó una actividad procesal defectuosa. </w:t>
      </w:r>
      <w:r w:rsidR="002532DA" w:rsidRPr="00E66386">
        <w:rPr>
          <w:rFonts w:asciiTheme="majorHAnsi" w:hAnsiTheme="majorHAnsi"/>
          <w:bCs/>
          <w:sz w:val="20"/>
          <w:szCs w:val="20"/>
          <w:lang w:val="es-CO"/>
        </w:rPr>
        <w:t xml:space="preserve">Por su parte, el Ministerio Público se opuso a la suspensión del juicio y </w:t>
      </w:r>
      <w:r w:rsidR="00195173" w:rsidRPr="00E66386">
        <w:rPr>
          <w:rFonts w:asciiTheme="majorHAnsi" w:hAnsiTheme="majorHAnsi"/>
          <w:bCs/>
          <w:sz w:val="20"/>
          <w:szCs w:val="20"/>
          <w:lang w:val="es-CO"/>
        </w:rPr>
        <w:t xml:space="preserve">al </w:t>
      </w:r>
      <w:r w:rsidR="00D15C44" w:rsidRPr="00E66386">
        <w:rPr>
          <w:rFonts w:asciiTheme="majorHAnsi" w:hAnsiTheme="majorHAnsi"/>
          <w:bCs/>
          <w:sz w:val="20"/>
          <w:szCs w:val="20"/>
          <w:lang w:val="es-CO"/>
        </w:rPr>
        <w:t xml:space="preserve">planteo de la defensa, por cuanto la resolución de amparo había otorgado un plazo de 24 horas al Tribunal A para pronunciarse y </w:t>
      </w:r>
      <w:r w:rsidR="00D57238" w:rsidRPr="00E66386">
        <w:rPr>
          <w:rFonts w:asciiTheme="majorHAnsi" w:hAnsiTheme="majorHAnsi"/>
          <w:bCs/>
          <w:sz w:val="20"/>
          <w:szCs w:val="20"/>
          <w:lang w:val="es-CO"/>
        </w:rPr>
        <w:t>aport</w:t>
      </w:r>
      <w:r w:rsidR="00D15C44" w:rsidRPr="00E66386">
        <w:rPr>
          <w:rFonts w:asciiTheme="majorHAnsi" w:hAnsiTheme="majorHAnsi"/>
          <w:bCs/>
          <w:sz w:val="20"/>
          <w:szCs w:val="20"/>
          <w:lang w:val="es-CO"/>
        </w:rPr>
        <w:t>ó un video en el que se observaba al abogado defensor acudiendo al Mini</w:t>
      </w:r>
      <w:r w:rsidR="00942229" w:rsidRPr="00E66386">
        <w:rPr>
          <w:rFonts w:asciiTheme="majorHAnsi" w:hAnsiTheme="majorHAnsi"/>
          <w:bCs/>
          <w:sz w:val="20"/>
          <w:szCs w:val="20"/>
          <w:lang w:val="es-CO"/>
        </w:rPr>
        <w:t>s</w:t>
      </w:r>
      <w:r w:rsidR="00D15C44" w:rsidRPr="00E66386">
        <w:rPr>
          <w:rFonts w:asciiTheme="majorHAnsi" w:hAnsiTheme="majorHAnsi"/>
          <w:bCs/>
          <w:sz w:val="20"/>
          <w:szCs w:val="20"/>
          <w:lang w:val="es-CO"/>
        </w:rPr>
        <w:t xml:space="preserve">terio Público el día anterior, lo que </w:t>
      </w:r>
      <w:r w:rsidR="006B3A34" w:rsidRPr="00E66386">
        <w:rPr>
          <w:rFonts w:asciiTheme="majorHAnsi" w:hAnsiTheme="majorHAnsi"/>
          <w:bCs/>
          <w:sz w:val="20"/>
          <w:szCs w:val="20"/>
          <w:lang w:val="es-CO"/>
        </w:rPr>
        <w:t>demostraba que los quebrantos de salud habrían sido una excusa para impedir la sesión de la audiencia</w:t>
      </w:r>
      <w:r w:rsidR="00942229" w:rsidRPr="00E66386">
        <w:rPr>
          <w:rFonts w:asciiTheme="majorHAnsi" w:hAnsiTheme="majorHAnsi"/>
          <w:bCs/>
          <w:sz w:val="20"/>
          <w:szCs w:val="20"/>
          <w:lang w:val="es-CO"/>
        </w:rPr>
        <w:t xml:space="preserve"> y el cumplimiento de la resolución de amparo</w:t>
      </w:r>
      <w:r w:rsidR="006B3A34" w:rsidRPr="00E66386">
        <w:rPr>
          <w:rFonts w:asciiTheme="majorHAnsi" w:hAnsiTheme="majorHAnsi"/>
          <w:bCs/>
          <w:sz w:val="20"/>
          <w:szCs w:val="20"/>
          <w:lang w:val="es-CO"/>
        </w:rPr>
        <w:t>.</w:t>
      </w:r>
    </w:p>
    <w:p w14:paraId="5FDB4A32" w14:textId="6472EE8C" w:rsidR="002B6BCC" w:rsidRPr="00E66386" w:rsidRDefault="002B6BCC"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El Tribunal A </w:t>
      </w:r>
      <w:r w:rsidR="00F3320A" w:rsidRPr="00E66386">
        <w:rPr>
          <w:rFonts w:asciiTheme="majorHAnsi" w:hAnsiTheme="majorHAnsi"/>
          <w:bCs/>
          <w:sz w:val="20"/>
          <w:szCs w:val="20"/>
          <w:lang w:val="es-CO"/>
        </w:rPr>
        <w:t xml:space="preserve">dejó constancia de que la defensa se negaba a presentar su recusación nuevamente, y reiteró </w:t>
      </w:r>
      <w:r w:rsidR="00012780" w:rsidRPr="00E66386">
        <w:rPr>
          <w:rFonts w:asciiTheme="majorHAnsi" w:hAnsiTheme="majorHAnsi"/>
          <w:bCs/>
          <w:sz w:val="20"/>
          <w:szCs w:val="20"/>
          <w:lang w:val="es-CO"/>
        </w:rPr>
        <w:t>el rechazo de la causal de recusación planteada el 19 de marzo de 20</w:t>
      </w:r>
      <w:r w:rsidR="00FA4111" w:rsidRPr="00E66386">
        <w:rPr>
          <w:rFonts w:asciiTheme="majorHAnsi" w:hAnsiTheme="majorHAnsi"/>
          <w:bCs/>
          <w:sz w:val="20"/>
          <w:szCs w:val="20"/>
          <w:lang w:val="es-CO"/>
        </w:rPr>
        <w:t xml:space="preserve">13 por el defensor García Gudiel. Además, rechazó </w:t>
      </w:r>
      <w:r w:rsidR="00FA4111" w:rsidRPr="00E66386">
        <w:rPr>
          <w:rFonts w:asciiTheme="majorHAnsi" w:hAnsiTheme="majorHAnsi"/>
          <w:bCs/>
          <w:i/>
          <w:iCs/>
          <w:sz w:val="20"/>
          <w:szCs w:val="20"/>
          <w:lang w:val="es-CO"/>
        </w:rPr>
        <w:t>in limine</w:t>
      </w:r>
      <w:r w:rsidR="00FA4111" w:rsidRPr="00E66386">
        <w:rPr>
          <w:rFonts w:asciiTheme="majorHAnsi" w:hAnsiTheme="majorHAnsi"/>
          <w:bCs/>
          <w:sz w:val="20"/>
          <w:szCs w:val="20"/>
          <w:lang w:val="es-CO"/>
        </w:rPr>
        <w:t xml:space="preserve"> el alegato de actividad procesal defectuosa</w:t>
      </w:r>
      <w:r w:rsidR="00E16A2D" w:rsidRPr="00E66386">
        <w:rPr>
          <w:rFonts w:asciiTheme="majorHAnsi" w:hAnsiTheme="majorHAnsi"/>
          <w:bCs/>
          <w:sz w:val="20"/>
          <w:szCs w:val="20"/>
          <w:lang w:val="es-CO"/>
        </w:rPr>
        <w:t>,</w:t>
      </w:r>
      <w:r w:rsidR="003E2AE8" w:rsidRPr="00E66386">
        <w:rPr>
          <w:rFonts w:asciiTheme="majorHAnsi" w:hAnsiTheme="majorHAnsi"/>
          <w:bCs/>
          <w:sz w:val="20"/>
          <w:szCs w:val="20"/>
          <w:lang w:val="es-CO"/>
        </w:rPr>
        <w:t xml:space="preserve"> dado que el 7 de mayo de 2013 no se llevó a cabo la audiencia por la no comparecencia del abogado defensor.</w:t>
      </w:r>
      <w:r w:rsidR="006129F7" w:rsidRPr="00E66386">
        <w:rPr>
          <w:rFonts w:asciiTheme="majorHAnsi" w:hAnsiTheme="majorHAnsi"/>
          <w:bCs/>
          <w:sz w:val="20"/>
          <w:szCs w:val="20"/>
          <w:lang w:val="es-CO"/>
        </w:rPr>
        <w:t xml:space="preserve"> El abogado García Gudiel interpuso un nuevo recurso de reposición contra dicha decisión</w:t>
      </w:r>
      <w:r w:rsidR="00D55032" w:rsidRPr="00E66386">
        <w:rPr>
          <w:rFonts w:asciiTheme="majorHAnsi" w:hAnsiTheme="majorHAnsi"/>
          <w:bCs/>
          <w:sz w:val="20"/>
          <w:szCs w:val="20"/>
          <w:lang w:val="es-CO"/>
        </w:rPr>
        <w:t xml:space="preserve">. Los peticionarios </w:t>
      </w:r>
      <w:r w:rsidR="00D948BE" w:rsidRPr="00E66386">
        <w:rPr>
          <w:rFonts w:asciiTheme="majorHAnsi" w:hAnsiTheme="majorHAnsi"/>
          <w:bCs/>
          <w:sz w:val="20"/>
          <w:szCs w:val="20"/>
          <w:lang w:val="es-CO"/>
        </w:rPr>
        <w:t>recalcan que, al presentar su recurso,</w:t>
      </w:r>
      <w:r w:rsidR="00046EFD" w:rsidRPr="00E66386">
        <w:rPr>
          <w:rFonts w:asciiTheme="majorHAnsi" w:hAnsiTheme="majorHAnsi"/>
          <w:bCs/>
          <w:sz w:val="20"/>
          <w:szCs w:val="20"/>
          <w:lang w:val="es-CO"/>
        </w:rPr>
        <w:t xml:space="preserve"> </w:t>
      </w:r>
      <w:r w:rsidR="00D948BE" w:rsidRPr="00E66386">
        <w:rPr>
          <w:rFonts w:asciiTheme="majorHAnsi" w:hAnsiTheme="majorHAnsi"/>
          <w:bCs/>
          <w:sz w:val="20"/>
          <w:szCs w:val="20"/>
          <w:lang w:val="es-CO"/>
        </w:rPr>
        <w:t xml:space="preserve">el defensor </w:t>
      </w:r>
      <w:r w:rsidR="00046EFD" w:rsidRPr="00E66386">
        <w:rPr>
          <w:rFonts w:asciiTheme="majorHAnsi" w:hAnsiTheme="majorHAnsi"/>
          <w:bCs/>
          <w:sz w:val="20"/>
          <w:szCs w:val="20"/>
          <w:lang w:val="es-CO"/>
        </w:rPr>
        <w:t xml:space="preserve">habría insultado e incluso amenazado a los integrantes del </w:t>
      </w:r>
      <w:r w:rsidR="00D948BE" w:rsidRPr="00E66386">
        <w:rPr>
          <w:rFonts w:asciiTheme="majorHAnsi" w:hAnsiTheme="majorHAnsi"/>
          <w:bCs/>
          <w:sz w:val="20"/>
          <w:szCs w:val="20"/>
          <w:lang w:val="es-CO"/>
        </w:rPr>
        <w:t>T</w:t>
      </w:r>
      <w:r w:rsidR="00046EFD" w:rsidRPr="00E66386">
        <w:rPr>
          <w:rFonts w:asciiTheme="majorHAnsi" w:hAnsiTheme="majorHAnsi"/>
          <w:bCs/>
          <w:sz w:val="20"/>
          <w:szCs w:val="20"/>
          <w:lang w:val="es-CO"/>
        </w:rPr>
        <w:t xml:space="preserve">ribunal, de acuerdo con </w:t>
      </w:r>
      <w:r w:rsidR="0072795A" w:rsidRPr="00E66386">
        <w:rPr>
          <w:rFonts w:asciiTheme="majorHAnsi" w:hAnsiTheme="majorHAnsi"/>
          <w:bCs/>
          <w:sz w:val="20"/>
          <w:szCs w:val="20"/>
          <w:lang w:val="es-CO"/>
        </w:rPr>
        <w:t>la transcripción presentada por los peticionarios.</w:t>
      </w:r>
      <w:r w:rsidR="00C717D1" w:rsidRPr="00E66386">
        <w:rPr>
          <w:rFonts w:asciiTheme="majorHAnsi" w:hAnsiTheme="majorHAnsi"/>
          <w:bCs/>
          <w:sz w:val="20"/>
          <w:szCs w:val="20"/>
          <w:lang w:val="es-CO"/>
        </w:rPr>
        <w:t xml:space="preserve"> </w:t>
      </w:r>
      <w:r w:rsidR="00313310" w:rsidRPr="00E66386">
        <w:rPr>
          <w:rFonts w:asciiTheme="majorHAnsi" w:hAnsiTheme="majorHAnsi"/>
          <w:bCs/>
          <w:sz w:val="20"/>
          <w:szCs w:val="20"/>
          <w:lang w:val="es-CO"/>
        </w:rPr>
        <w:t>No obstante, e</w:t>
      </w:r>
      <w:r w:rsidR="00C717D1" w:rsidRPr="00E66386">
        <w:rPr>
          <w:rFonts w:asciiTheme="majorHAnsi" w:hAnsiTheme="majorHAnsi"/>
          <w:bCs/>
          <w:sz w:val="20"/>
          <w:szCs w:val="20"/>
          <w:lang w:val="es-CO"/>
        </w:rPr>
        <w:t xml:space="preserve">l </w:t>
      </w:r>
      <w:r w:rsidR="00313310" w:rsidRPr="00E66386">
        <w:rPr>
          <w:rFonts w:asciiTheme="majorHAnsi" w:hAnsiTheme="majorHAnsi"/>
          <w:bCs/>
          <w:sz w:val="20"/>
          <w:szCs w:val="20"/>
          <w:lang w:val="es-CO"/>
        </w:rPr>
        <w:t xml:space="preserve">día siguiente, </w:t>
      </w:r>
      <w:r w:rsidR="00C717D1" w:rsidRPr="00E66386">
        <w:rPr>
          <w:rFonts w:asciiTheme="majorHAnsi" w:hAnsiTheme="majorHAnsi"/>
          <w:bCs/>
          <w:sz w:val="20"/>
          <w:szCs w:val="20"/>
          <w:lang w:val="es-CO"/>
        </w:rPr>
        <w:t>9 de mayo de 2013</w:t>
      </w:r>
      <w:r w:rsidR="00313310" w:rsidRPr="00E66386">
        <w:rPr>
          <w:rFonts w:asciiTheme="majorHAnsi" w:hAnsiTheme="majorHAnsi"/>
          <w:bCs/>
          <w:sz w:val="20"/>
          <w:szCs w:val="20"/>
          <w:lang w:val="es-CO"/>
        </w:rPr>
        <w:t>,</w:t>
      </w:r>
      <w:r w:rsidR="00C717D1" w:rsidRPr="00E66386">
        <w:rPr>
          <w:rFonts w:asciiTheme="majorHAnsi" w:hAnsiTheme="majorHAnsi"/>
          <w:bCs/>
          <w:sz w:val="20"/>
          <w:szCs w:val="20"/>
          <w:lang w:val="es-CO"/>
        </w:rPr>
        <w:t xml:space="preserve"> la Sala Tercera de la Corte de Apelaciones dio por cumplida su resolución del 6 de mayo de 2013</w:t>
      </w:r>
      <w:r w:rsidR="009E4E04" w:rsidRPr="00E66386">
        <w:rPr>
          <w:rFonts w:asciiTheme="majorHAnsi" w:hAnsiTheme="majorHAnsi"/>
          <w:bCs/>
          <w:sz w:val="20"/>
          <w:szCs w:val="20"/>
          <w:lang w:val="es-CO"/>
        </w:rPr>
        <w:t xml:space="preserve"> por parte del Tribunal A</w:t>
      </w:r>
      <w:r w:rsidR="00C717D1" w:rsidRPr="00E66386">
        <w:rPr>
          <w:rFonts w:asciiTheme="majorHAnsi" w:hAnsiTheme="majorHAnsi"/>
          <w:bCs/>
          <w:sz w:val="20"/>
          <w:szCs w:val="20"/>
          <w:lang w:val="es-CO"/>
        </w:rPr>
        <w:t>.</w:t>
      </w:r>
    </w:p>
    <w:p w14:paraId="034D00EB" w14:textId="28535FD4" w:rsidR="005D444E" w:rsidRPr="00E66386" w:rsidRDefault="005D444E" w:rsidP="005D444E">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Anulación del juicio</w:t>
      </w:r>
    </w:p>
    <w:p w14:paraId="751A62DA" w14:textId="70B32376" w:rsidR="00DD088C" w:rsidRPr="00E66386" w:rsidRDefault="001A56DC" w:rsidP="00DD088C">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Los peticionarios narran que, t</w:t>
      </w:r>
      <w:r w:rsidR="00DD088C" w:rsidRPr="00E66386">
        <w:rPr>
          <w:rFonts w:asciiTheme="majorHAnsi" w:hAnsiTheme="majorHAnsi"/>
          <w:bCs/>
          <w:sz w:val="20"/>
          <w:szCs w:val="20"/>
          <w:lang w:val="es-CO"/>
        </w:rPr>
        <w:t>res días después</w:t>
      </w:r>
      <w:r w:rsidR="002168F0" w:rsidRPr="00E66386">
        <w:rPr>
          <w:rFonts w:asciiTheme="majorHAnsi" w:hAnsiTheme="majorHAnsi"/>
          <w:bCs/>
          <w:sz w:val="20"/>
          <w:szCs w:val="20"/>
          <w:lang w:val="es-CO"/>
        </w:rPr>
        <w:t xml:space="preserve"> de la emisión de la sentencia condenatoria contra Ríos Montt del 10 de mayo de 2013</w:t>
      </w:r>
      <w:r w:rsidR="00DD088C" w:rsidRPr="00E66386">
        <w:rPr>
          <w:rFonts w:asciiTheme="majorHAnsi" w:hAnsiTheme="majorHAnsi"/>
          <w:bCs/>
          <w:sz w:val="20"/>
          <w:szCs w:val="20"/>
          <w:lang w:val="es-CO"/>
        </w:rPr>
        <w:t xml:space="preserve">, </w:t>
      </w:r>
      <w:r w:rsidR="00845E84" w:rsidRPr="00E66386">
        <w:rPr>
          <w:rFonts w:asciiTheme="majorHAnsi" w:hAnsiTheme="majorHAnsi"/>
          <w:bCs/>
          <w:sz w:val="20"/>
          <w:szCs w:val="20"/>
          <w:lang w:val="es-CO"/>
        </w:rPr>
        <w:t xml:space="preserve">la mayor agrupación patronal de Guatemala, </w:t>
      </w:r>
      <w:r w:rsidR="00DD088C" w:rsidRPr="00E66386">
        <w:rPr>
          <w:rFonts w:asciiTheme="majorHAnsi" w:hAnsiTheme="majorHAnsi"/>
          <w:bCs/>
          <w:sz w:val="20"/>
          <w:szCs w:val="20"/>
          <w:lang w:val="es-CO"/>
        </w:rPr>
        <w:t xml:space="preserve">el Comité Coordinador de Asociaciones Agrícolas, Comerciales, Industriales y Financieras, se declaró en asamblea permanente y solicitó a la Corte de Constitucionalidad la anulación de la sentencia dictada en contra del </w:t>
      </w:r>
      <w:r w:rsidR="00845E84" w:rsidRPr="00E66386">
        <w:rPr>
          <w:rFonts w:asciiTheme="majorHAnsi" w:hAnsiTheme="majorHAnsi"/>
          <w:bCs/>
          <w:sz w:val="20"/>
          <w:szCs w:val="20"/>
          <w:lang w:val="es-CO"/>
        </w:rPr>
        <w:t>exgeneral</w:t>
      </w:r>
      <w:r w:rsidR="00DD088C" w:rsidRPr="00E66386">
        <w:rPr>
          <w:rFonts w:asciiTheme="majorHAnsi" w:hAnsiTheme="majorHAnsi"/>
          <w:bCs/>
          <w:sz w:val="20"/>
          <w:szCs w:val="20"/>
          <w:lang w:val="es-CO"/>
        </w:rPr>
        <w:t xml:space="preserve"> Ríos Montt. Así, el 20 de mayo de 2013</w:t>
      </w:r>
      <w:r w:rsidR="004B096C" w:rsidRPr="00E66386">
        <w:rPr>
          <w:rFonts w:asciiTheme="majorHAnsi" w:hAnsiTheme="majorHAnsi"/>
          <w:bCs/>
          <w:sz w:val="20"/>
          <w:szCs w:val="20"/>
          <w:lang w:val="es-CO"/>
        </w:rPr>
        <w:t>,</w:t>
      </w:r>
      <w:r w:rsidR="00DD088C" w:rsidRPr="00E66386">
        <w:rPr>
          <w:rFonts w:asciiTheme="majorHAnsi" w:hAnsiTheme="majorHAnsi"/>
          <w:bCs/>
          <w:sz w:val="20"/>
          <w:szCs w:val="20"/>
          <w:lang w:val="es-CO"/>
        </w:rPr>
        <w:t xml:space="preserve"> la Corte de Constitucionalidad resolvió con lugar el ocurso en queja planteado por el señor Ríos Montt, en el cual alegaba que el Tribunal de Mayor Riesgo A no había dado cumplimiento a la resolución de la Sala Tercera de </w:t>
      </w:r>
      <w:r w:rsidR="00C1643C" w:rsidRPr="00E66386">
        <w:rPr>
          <w:rFonts w:asciiTheme="majorHAnsi" w:hAnsiTheme="majorHAnsi"/>
          <w:bCs/>
          <w:sz w:val="20"/>
          <w:szCs w:val="20"/>
          <w:lang w:val="es-CO"/>
        </w:rPr>
        <w:t xml:space="preserve">la Corte de Apelaciones </w:t>
      </w:r>
      <w:r w:rsidR="00E16A2D" w:rsidRPr="00E66386">
        <w:rPr>
          <w:rFonts w:asciiTheme="majorHAnsi" w:hAnsiTheme="majorHAnsi"/>
          <w:bCs/>
          <w:sz w:val="20"/>
          <w:szCs w:val="20"/>
          <w:lang w:val="es-CO"/>
        </w:rPr>
        <w:t xml:space="preserve">de </w:t>
      </w:r>
      <w:r w:rsidR="00DD088C" w:rsidRPr="00E66386">
        <w:rPr>
          <w:rFonts w:asciiTheme="majorHAnsi" w:hAnsiTheme="majorHAnsi"/>
          <w:bCs/>
          <w:sz w:val="20"/>
          <w:szCs w:val="20"/>
          <w:lang w:val="es-CO"/>
        </w:rPr>
        <w:t>6 de mayo de 2013</w:t>
      </w:r>
      <w:r w:rsidR="00E16A2D" w:rsidRPr="00E66386">
        <w:rPr>
          <w:rFonts w:asciiTheme="majorHAnsi" w:hAnsiTheme="majorHAnsi"/>
          <w:bCs/>
          <w:sz w:val="20"/>
          <w:szCs w:val="20"/>
          <w:lang w:val="es-CO"/>
        </w:rPr>
        <w:t>,</w:t>
      </w:r>
      <w:r w:rsidR="00C1643C" w:rsidRPr="00E66386">
        <w:rPr>
          <w:rFonts w:asciiTheme="majorHAnsi" w:hAnsiTheme="majorHAnsi"/>
          <w:bCs/>
          <w:sz w:val="20"/>
          <w:szCs w:val="20"/>
          <w:lang w:val="es-CO"/>
        </w:rPr>
        <w:t xml:space="preserve"> que ordenaba la reincorporación del defensor de confianza y el reestudio de la recusación</w:t>
      </w:r>
      <w:r w:rsidR="009A3124" w:rsidRPr="00E66386">
        <w:rPr>
          <w:rFonts w:asciiTheme="majorHAnsi" w:hAnsiTheme="majorHAnsi"/>
          <w:bCs/>
          <w:sz w:val="20"/>
          <w:szCs w:val="20"/>
          <w:lang w:val="es-CO"/>
        </w:rPr>
        <w:t xml:space="preserve"> planteada</w:t>
      </w:r>
      <w:r w:rsidR="00DD088C" w:rsidRPr="00E66386">
        <w:rPr>
          <w:rFonts w:asciiTheme="majorHAnsi" w:hAnsiTheme="majorHAnsi"/>
          <w:bCs/>
          <w:sz w:val="20"/>
          <w:szCs w:val="20"/>
          <w:lang w:val="es-CO"/>
        </w:rPr>
        <w:t>.</w:t>
      </w:r>
    </w:p>
    <w:p w14:paraId="39E12B72" w14:textId="038185C8" w:rsidR="00442216" w:rsidRPr="00E66386" w:rsidRDefault="003559B1"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La Corte de Constitucionalidad ordenó anular todo lo actuado </w:t>
      </w:r>
      <w:r w:rsidR="00C82A5C" w:rsidRPr="00E66386">
        <w:rPr>
          <w:rFonts w:asciiTheme="majorHAnsi" w:hAnsiTheme="majorHAnsi"/>
          <w:bCs/>
          <w:sz w:val="20"/>
          <w:szCs w:val="20"/>
          <w:lang w:val="es-CO"/>
        </w:rPr>
        <w:t xml:space="preserve">a partir del 19 de abril de 2013 y </w:t>
      </w:r>
      <w:r w:rsidR="007779C7" w:rsidRPr="00E66386">
        <w:rPr>
          <w:rFonts w:asciiTheme="majorHAnsi" w:hAnsiTheme="majorHAnsi"/>
          <w:bCs/>
          <w:sz w:val="20"/>
          <w:szCs w:val="20"/>
          <w:lang w:val="es-CO"/>
        </w:rPr>
        <w:t xml:space="preserve">ordenó al Tribunal A decretar la suspensión del proceso hasta tanto se decidiera definitivamente el amparo promovido por el señor Ríos Montt </w:t>
      </w:r>
      <w:r w:rsidR="008C32EB" w:rsidRPr="00E66386">
        <w:rPr>
          <w:rFonts w:asciiTheme="majorHAnsi" w:hAnsiTheme="majorHAnsi"/>
          <w:bCs/>
          <w:sz w:val="20"/>
          <w:szCs w:val="20"/>
          <w:lang w:val="es-CO"/>
        </w:rPr>
        <w:t>contra la decisión de la recusación.</w:t>
      </w:r>
      <w:r w:rsidR="008F4C3E" w:rsidRPr="00E66386">
        <w:rPr>
          <w:rFonts w:asciiTheme="majorHAnsi" w:hAnsiTheme="majorHAnsi"/>
          <w:bCs/>
          <w:sz w:val="20"/>
          <w:szCs w:val="20"/>
          <w:lang w:val="es-CO"/>
        </w:rPr>
        <w:t xml:space="preserve"> En este punto, </w:t>
      </w:r>
      <w:r w:rsidR="000930CC" w:rsidRPr="00E66386">
        <w:rPr>
          <w:rFonts w:asciiTheme="majorHAnsi" w:hAnsiTheme="majorHAnsi"/>
          <w:bCs/>
          <w:sz w:val="20"/>
          <w:szCs w:val="20"/>
          <w:lang w:val="es-CO"/>
        </w:rPr>
        <w:t>los peticionarios sostienen</w:t>
      </w:r>
      <w:r w:rsidR="008F4C3E" w:rsidRPr="00E66386">
        <w:rPr>
          <w:rFonts w:asciiTheme="majorHAnsi" w:hAnsiTheme="majorHAnsi"/>
          <w:bCs/>
          <w:sz w:val="20"/>
          <w:szCs w:val="20"/>
          <w:lang w:val="es-CO"/>
        </w:rPr>
        <w:t xml:space="preserve"> que la Corte de Constitucionalidad tergiversó el amparo propuesto por Ríos Montt, en tanto éste iba dirigido contra la decisión de separar a su abogado del cargo, y no contra la decisión que negó la recusación p</w:t>
      </w:r>
      <w:r w:rsidR="00595E63" w:rsidRPr="00E66386">
        <w:rPr>
          <w:rFonts w:asciiTheme="majorHAnsi" w:hAnsiTheme="majorHAnsi"/>
          <w:bCs/>
          <w:sz w:val="20"/>
          <w:szCs w:val="20"/>
          <w:lang w:val="es-CO"/>
        </w:rPr>
        <w:t>rese</w:t>
      </w:r>
      <w:r w:rsidR="008F4C3E" w:rsidRPr="00E66386">
        <w:rPr>
          <w:rFonts w:asciiTheme="majorHAnsi" w:hAnsiTheme="majorHAnsi"/>
          <w:bCs/>
          <w:sz w:val="20"/>
          <w:szCs w:val="20"/>
          <w:lang w:val="es-CO"/>
        </w:rPr>
        <w:t>ntada contra los jueces del tribunal.</w:t>
      </w:r>
      <w:r w:rsidR="000930CC" w:rsidRPr="00E66386">
        <w:rPr>
          <w:rFonts w:asciiTheme="majorHAnsi" w:hAnsiTheme="majorHAnsi"/>
          <w:bCs/>
          <w:sz w:val="20"/>
          <w:szCs w:val="20"/>
          <w:lang w:val="es-CO"/>
        </w:rPr>
        <w:t xml:space="preserve"> En ese orden de ideas, la Corte de Constitucionalidad estableció que el Tribunal A tenía el deber de admitir la recusación a trámite y no sólo limitarse a recibirla</w:t>
      </w:r>
      <w:r w:rsidR="00F90C4D" w:rsidRPr="00E66386">
        <w:rPr>
          <w:rFonts w:asciiTheme="majorHAnsi" w:hAnsiTheme="majorHAnsi"/>
          <w:bCs/>
          <w:sz w:val="20"/>
          <w:szCs w:val="20"/>
          <w:lang w:val="es-CO"/>
        </w:rPr>
        <w:t>. Asimismo, determinó que el Tribunal A no había cumplido con la resolución de amparo del 6 de mayo de 2013</w:t>
      </w:r>
      <w:r w:rsidR="0087641D" w:rsidRPr="00E66386">
        <w:rPr>
          <w:rFonts w:asciiTheme="majorHAnsi" w:hAnsiTheme="majorHAnsi"/>
          <w:bCs/>
          <w:sz w:val="20"/>
          <w:szCs w:val="20"/>
          <w:lang w:val="es-CO"/>
        </w:rPr>
        <w:t xml:space="preserve"> en el sentido de suspender temporalmente el debate</w:t>
      </w:r>
      <w:r w:rsidR="00F90C4D" w:rsidRPr="00E66386">
        <w:rPr>
          <w:rFonts w:asciiTheme="majorHAnsi" w:hAnsiTheme="majorHAnsi"/>
          <w:bCs/>
          <w:sz w:val="20"/>
          <w:szCs w:val="20"/>
          <w:lang w:val="es-CO"/>
        </w:rPr>
        <w:t>.</w:t>
      </w:r>
    </w:p>
    <w:p w14:paraId="00D57287" w14:textId="263D3062" w:rsidR="00244644" w:rsidRPr="00E66386" w:rsidRDefault="004F53DA"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El 21 de mayo de 2013 la Sala Tercera de la Corte de Apelaciones solicitó una prórroga a la Corte de Constitucionalidad para dar cumplimiento a </w:t>
      </w:r>
      <w:r w:rsidR="000612B2" w:rsidRPr="00E66386">
        <w:rPr>
          <w:rFonts w:asciiTheme="majorHAnsi" w:hAnsiTheme="majorHAnsi"/>
          <w:bCs/>
          <w:sz w:val="20"/>
          <w:szCs w:val="20"/>
          <w:lang w:val="es-CO"/>
        </w:rPr>
        <w:t>la orden del 20 de mayo de 2013</w:t>
      </w:r>
      <w:r w:rsidR="0026168D" w:rsidRPr="00E66386">
        <w:rPr>
          <w:rFonts w:asciiTheme="majorHAnsi" w:hAnsiTheme="majorHAnsi"/>
          <w:bCs/>
          <w:sz w:val="20"/>
          <w:szCs w:val="20"/>
          <w:lang w:val="es-CO"/>
        </w:rPr>
        <w:t>, ya que</w:t>
      </w:r>
      <w:r w:rsidR="000612B2" w:rsidRPr="00E66386">
        <w:rPr>
          <w:rFonts w:asciiTheme="majorHAnsi" w:hAnsiTheme="majorHAnsi"/>
          <w:bCs/>
          <w:sz w:val="20"/>
          <w:szCs w:val="20"/>
          <w:lang w:val="es-CO"/>
        </w:rPr>
        <w:t xml:space="preserve"> </w:t>
      </w:r>
      <w:r w:rsidR="0026168D" w:rsidRPr="00E66386">
        <w:rPr>
          <w:rFonts w:asciiTheme="majorHAnsi" w:hAnsiTheme="majorHAnsi"/>
          <w:bCs/>
          <w:sz w:val="20"/>
          <w:szCs w:val="20"/>
          <w:lang w:val="es-CO"/>
        </w:rPr>
        <w:t>m</w:t>
      </w:r>
      <w:r w:rsidR="000612B2" w:rsidRPr="00E66386">
        <w:rPr>
          <w:rFonts w:asciiTheme="majorHAnsi" w:hAnsiTheme="majorHAnsi"/>
          <w:bCs/>
          <w:sz w:val="20"/>
          <w:szCs w:val="20"/>
          <w:lang w:val="es-CO"/>
        </w:rPr>
        <w:t xml:space="preserve">ás de 60 magistrados </w:t>
      </w:r>
      <w:r w:rsidR="007F427A" w:rsidRPr="00E66386">
        <w:rPr>
          <w:rFonts w:asciiTheme="majorHAnsi" w:hAnsiTheme="majorHAnsi"/>
          <w:bCs/>
          <w:sz w:val="20"/>
          <w:szCs w:val="20"/>
          <w:lang w:val="es-CO"/>
        </w:rPr>
        <w:t xml:space="preserve">que iban a integrar la Sala </w:t>
      </w:r>
      <w:r w:rsidR="000612B2" w:rsidRPr="00E66386">
        <w:rPr>
          <w:rFonts w:asciiTheme="majorHAnsi" w:hAnsiTheme="majorHAnsi"/>
          <w:bCs/>
          <w:sz w:val="20"/>
          <w:szCs w:val="20"/>
          <w:lang w:val="es-CO"/>
        </w:rPr>
        <w:t xml:space="preserve">se </w:t>
      </w:r>
      <w:r w:rsidR="007F427A" w:rsidRPr="00E66386">
        <w:rPr>
          <w:rFonts w:asciiTheme="majorHAnsi" w:hAnsiTheme="majorHAnsi"/>
          <w:bCs/>
          <w:sz w:val="20"/>
          <w:szCs w:val="20"/>
          <w:lang w:val="es-CO"/>
        </w:rPr>
        <w:t>excusaron de conocer el proceso.</w:t>
      </w:r>
      <w:r w:rsidR="008620E2" w:rsidRPr="00E66386">
        <w:rPr>
          <w:rFonts w:asciiTheme="majorHAnsi" w:hAnsiTheme="majorHAnsi"/>
          <w:bCs/>
          <w:sz w:val="20"/>
          <w:szCs w:val="20"/>
          <w:lang w:val="es-CO"/>
        </w:rPr>
        <w:t xml:space="preserve"> Finalmente, el 27 de mayo de 2013</w:t>
      </w:r>
      <w:r w:rsidR="00F35239" w:rsidRPr="00E66386">
        <w:rPr>
          <w:rFonts w:asciiTheme="majorHAnsi" w:hAnsiTheme="majorHAnsi"/>
          <w:bCs/>
          <w:sz w:val="20"/>
          <w:szCs w:val="20"/>
          <w:lang w:val="es-CO"/>
        </w:rPr>
        <w:t>,</w:t>
      </w:r>
      <w:r w:rsidR="008620E2" w:rsidRPr="00E66386">
        <w:rPr>
          <w:rFonts w:asciiTheme="majorHAnsi" w:hAnsiTheme="majorHAnsi"/>
          <w:bCs/>
          <w:sz w:val="20"/>
          <w:szCs w:val="20"/>
          <w:lang w:val="es-CO"/>
        </w:rPr>
        <w:t xml:space="preserve"> la Sala Primera de la Corte de Apelaciones </w:t>
      </w:r>
      <w:r w:rsidR="00FB0D05" w:rsidRPr="00E66386">
        <w:rPr>
          <w:rFonts w:asciiTheme="majorHAnsi" w:hAnsiTheme="majorHAnsi"/>
          <w:bCs/>
          <w:sz w:val="20"/>
          <w:szCs w:val="20"/>
          <w:lang w:val="es-CO"/>
        </w:rPr>
        <w:t>cumplió con la sentencia y anuló todo lo actuado en el proceso desde el 19 de abril de 2013</w:t>
      </w:r>
      <w:r w:rsidR="00A508FE" w:rsidRPr="00E66386">
        <w:rPr>
          <w:rFonts w:asciiTheme="majorHAnsi" w:hAnsiTheme="majorHAnsi"/>
          <w:bCs/>
          <w:sz w:val="20"/>
          <w:szCs w:val="20"/>
          <w:lang w:val="es-CO"/>
        </w:rPr>
        <w:t>, incluida la sentencia condenatoria</w:t>
      </w:r>
      <w:r w:rsidR="004502C0" w:rsidRPr="00E66386">
        <w:rPr>
          <w:rFonts w:asciiTheme="majorHAnsi" w:hAnsiTheme="majorHAnsi"/>
          <w:bCs/>
          <w:sz w:val="20"/>
          <w:szCs w:val="20"/>
          <w:lang w:val="es-CO"/>
        </w:rPr>
        <w:t>.</w:t>
      </w:r>
      <w:r w:rsidR="00D4567B" w:rsidRPr="00E66386">
        <w:rPr>
          <w:rFonts w:asciiTheme="majorHAnsi" w:hAnsiTheme="majorHAnsi"/>
          <w:bCs/>
          <w:sz w:val="20"/>
          <w:szCs w:val="20"/>
          <w:lang w:val="es-CO"/>
        </w:rPr>
        <w:t xml:space="preserve"> Ese mismo día el Tribunal A se excusó de conocer nuevamente el proceso dado que ya había emitido un criterio en la sentencia condenatoria que quedó anulada.</w:t>
      </w:r>
      <w:r w:rsidR="003854C5" w:rsidRPr="00E66386">
        <w:rPr>
          <w:rFonts w:asciiTheme="majorHAnsi" w:hAnsiTheme="majorHAnsi"/>
          <w:bCs/>
          <w:sz w:val="20"/>
          <w:szCs w:val="20"/>
          <w:lang w:val="es-CO"/>
        </w:rPr>
        <w:t xml:space="preserve"> Se fijó como nueva fecha de inicio de juicio el 5 de enero de 2015.</w:t>
      </w:r>
    </w:p>
    <w:p w14:paraId="5D6CDDB0" w14:textId="093E00CB" w:rsidR="009B4F39" w:rsidRPr="00E66386" w:rsidRDefault="009811CC" w:rsidP="009D0D6B">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Los peticionarios alegan que se presentó un uso abusivo de </w:t>
      </w:r>
      <w:r w:rsidR="00A24F31" w:rsidRPr="00E66386">
        <w:rPr>
          <w:rFonts w:asciiTheme="majorHAnsi" w:hAnsiTheme="majorHAnsi"/>
          <w:bCs/>
          <w:sz w:val="20"/>
          <w:szCs w:val="20"/>
          <w:lang w:val="es-CO"/>
        </w:rPr>
        <w:t>la justicia constitucional por parte de la defensa co</w:t>
      </w:r>
      <w:r w:rsidR="003D0107" w:rsidRPr="00E66386">
        <w:rPr>
          <w:rFonts w:asciiTheme="majorHAnsi" w:hAnsiTheme="majorHAnsi"/>
          <w:bCs/>
          <w:sz w:val="20"/>
          <w:szCs w:val="20"/>
          <w:lang w:val="es-CO"/>
        </w:rPr>
        <w:t>mo una mera táctica dilatoria del proceso</w:t>
      </w:r>
      <w:r w:rsidR="00F4147E" w:rsidRPr="00E66386">
        <w:rPr>
          <w:rFonts w:asciiTheme="majorHAnsi" w:hAnsiTheme="majorHAnsi"/>
          <w:bCs/>
          <w:sz w:val="20"/>
          <w:szCs w:val="20"/>
          <w:lang w:val="es-CO"/>
        </w:rPr>
        <w:t>.</w:t>
      </w:r>
      <w:r w:rsidR="003D0107" w:rsidRPr="00E66386">
        <w:rPr>
          <w:rFonts w:asciiTheme="majorHAnsi" w:hAnsiTheme="majorHAnsi"/>
          <w:bCs/>
          <w:sz w:val="20"/>
          <w:szCs w:val="20"/>
          <w:lang w:val="es-CO"/>
        </w:rPr>
        <w:t xml:space="preserve"> </w:t>
      </w:r>
      <w:r w:rsidR="00600A4A" w:rsidRPr="00E66386">
        <w:rPr>
          <w:rFonts w:asciiTheme="majorHAnsi" w:hAnsiTheme="majorHAnsi"/>
          <w:bCs/>
          <w:sz w:val="20"/>
          <w:szCs w:val="20"/>
          <w:lang w:val="es-CO"/>
        </w:rPr>
        <w:t>Enfatizan que s</w:t>
      </w:r>
      <w:r w:rsidR="003D0107" w:rsidRPr="00E66386">
        <w:rPr>
          <w:rFonts w:asciiTheme="majorHAnsi" w:hAnsiTheme="majorHAnsi"/>
          <w:bCs/>
          <w:sz w:val="20"/>
          <w:szCs w:val="20"/>
          <w:lang w:val="es-CO"/>
        </w:rPr>
        <w:t>e interp</w:t>
      </w:r>
      <w:r w:rsidR="00600A4A" w:rsidRPr="00E66386">
        <w:rPr>
          <w:rFonts w:asciiTheme="majorHAnsi" w:hAnsiTheme="majorHAnsi"/>
          <w:bCs/>
          <w:sz w:val="20"/>
          <w:szCs w:val="20"/>
          <w:lang w:val="es-CO"/>
        </w:rPr>
        <w:t>usieron</w:t>
      </w:r>
      <w:r w:rsidR="003D0107" w:rsidRPr="00E66386">
        <w:rPr>
          <w:rFonts w:asciiTheme="majorHAnsi" w:hAnsiTheme="majorHAnsi"/>
          <w:bCs/>
          <w:sz w:val="20"/>
          <w:szCs w:val="20"/>
          <w:lang w:val="es-CO"/>
        </w:rPr>
        <w:t xml:space="preserve"> 22 acciones constitucionales de amparo, de las cuales 20 fueron </w:t>
      </w:r>
      <w:r w:rsidR="00600A4A" w:rsidRPr="00E66386">
        <w:rPr>
          <w:rFonts w:asciiTheme="majorHAnsi" w:hAnsiTheme="majorHAnsi"/>
          <w:bCs/>
          <w:sz w:val="20"/>
          <w:szCs w:val="20"/>
          <w:lang w:val="es-CO"/>
        </w:rPr>
        <w:t>promovida</w:t>
      </w:r>
      <w:r w:rsidR="003D0107" w:rsidRPr="00E66386">
        <w:rPr>
          <w:rFonts w:asciiTheme="majorHAnsi" w:hAnsiTheme="majorHAnsi"/>
          <w:bCs/>
          <w:sz w:val="20"/>
          <w:szCs w:val="20"/>
          <w:lang w:val="es-CO"/>
        </w:rPr>
        <w:t xml:space="preserve">s por la defensa de los procesados. Entre </w:t>
      </w:r>
      <w:r w:rsidR="00600A4A" w:rsidRPr="00E66386">
        <w:rPr>
          <w:rFonts w:asciiTheme="majorHAnsi" w:hAnsiTheme="majorHAnsi"/>
          <w:bCs/>
          <w:sz w:val="20"/>
          <w:szCs w:val="20"/>
          <w:lang w:val="es-CO"/>
        </w:rPr>
        <w:t xml:space="preserve">éstas </w:t>
      </w:r>
      <w:r w:rsidR="003D0107" w:rsidRPr="00E66386">
        <w:rPr>
          <w:rFonts w:asciiTheme="majorHAnsi" w:hAnsiTheme="majorHAnsi"/>
          <w:bCs/>
          <w:sz w:val="20"/>
          <w:szCs w:val="20"/>
          <w:lang w:val="es-CO"/>
        </w:rPr>
        <w:t xml:space="preserve">se encuentran, </w:t>
      </w:r>
      <w:r w:rsidR="00600A4A" w:rsidRPr="00E66386">
        <w:rPr>
          <w:rFonts w:asciiTheme="majorHAnsi" w:hAnsiTheme="majorHAnsi"/>
          <w:bCs/>
          <w:sz w:val="20"/>
          <w:szCs w:val="20"/>
          <w:lang w:val="es-CO"/>
        </w:rPr>
        <w:t xml:space="preserve">además, </w:t>
      </w:r>
      <w:r w:rsidR="003D0107" w:rsidRPr="00E66386">
        <w:rPr>
          <w:rFonts w:asciiTheme="majorHAnsi" w:hAnsiTheme="majorHAnsi"/>
          <w:bCs/>
          <w:sz w:val="20"/>
          <w:szCs w:val="20"/>
          <w:lang w:val="es-CO"/>
        </w:rPr>
        <w:t>la aplicación de amnistías o aplicaciones retroactivas de normas</w:t>
      </w:r>
      <w:r w:rsidR="00C83F1A" w:rsidRPr="00E66386">
        <w:rPr>
          <w:rFonts w:asciiTheme="majorHAnsi" w:hAnsiTheme="majorHAnsi"/>
          <w:bCs/>
          <w:sz w:val="20"/>
          <w:szCs w:val="20"/>
          <w:lang w:val="es-CO"/>
        </w:rPr>
        <w:t xml:space="preserve"> </w:t>
      </w:r>
      <w:r w:rsidR="003D0107" w:rsidRPr="00E66386">
        <w:rPr>
          <w:rFonts w:asciiTheme="majorHAnsi" w:hAnsiTheme="majorHAnsi"/>
          <w:bCs/>
          <w:sz w:val="20"/>
          <w:szCs w:val="20"/>
          <w:lang w:val="es-CO"/>
        </w:rPr>
        <w:t>de la jurisdicción militar.</w:t>
      </w:r>
      <w:r w:rsidR="007842D6" w:rsidRPr="00E66386">
        <w:rPr>
          <w:rFonts w:asciiTheme="majorHAnsi" w:hAnsiTheme="majorHAnsi"/>
          <w:bCs/>
          <w:sz w:val="20"/>
          <w:szCs w:val="20"/>
          <w:lang w:val="es-CO"/>
        </w:rPr>
        <w:t xml:space="preserve"> </w:t>
      </w:r>
      <w:r w:rsidR="00C83F1A" w:rsidRPr="00E66386">
        <w:rPr>
          <w:rFonts w:asciiTheme="majorHAnsi" w:hAnsiTheme="majorHAnsi"/>
          <w:bCs/>
          <w:sz w:val="20"/>
          <w:szCs w:val="20"/>
          <w:lang w:val="es-CO"/>
        </w:rPr>
        <w:t>Sostienen que</w:t>
      </w:r>
      <w:r w:rsidR="00981F5D" w:rsidRPr="00E66386">
        <w:rPr>
          <w:rFonts w:asciiTheme="majorHAnsi" w:hAnsiTheme="majorHAnsi"/>
          <w:bCs/>
          <w:sz w:val="20"/>
          <w:szCs w:val="20"/>
          <w:lang w:val="es-CO"/>
        </w:rPr>
        <w:t xml:space="preserve"> l</w:t>
      </w:r>
      <w:r w:rsidR="00C83F1A" w:rsidRPr="00E66386">
        <w:rPr>
          <w:rFonts w:asciiTheme="majorHAnsi" w:hAnsiTheme="majorHAnsi"/>
          <w:bCs/>
          <w:sz w:val="20"/>
          <w:szCs w:val="20"/>
          <w:lang w:val="es-CO"/>
        </w:rPr>
        <w:t xml:space="preserve">a defensa presentó </w:t>
      </w:r>
      <w:r w:rsidR="00981F5D" w:rsidRPr="00E66386">
        <w:rPr>
          <w:rFonts w:asciiTheme="majorHAnsi" w:hAnsiTheme="majorHAnsi"/>
          <w:bCs/>
          <w:sz w:val="20"/>
          <w:szCs w:val="20"/>
          <w:lang w:val="es-CO"/>
        </w:rPr>
        <w:t xml:space="preserve">además </w:t>
      </w:r>
      <w:r w:rsidR="00757D7E" w:rsidRPr="00E66386">
        <w:rPr>
          <w:rFonts w:asciiTheme="majorHAnsi" w:hAnsiTheme="majorHAnsi"/>
          <w:bCs/>
          <w:sz w:val="20"/>
          <w:szCs w:val="20"/>
          <w:lang w:val="es-CO"/>
        </w:rPr>
        <w:t>seis</w:t>
      </w:r>
      <w:r w:rsidR="00FA2C05" w:rsidRPr="00E66386">
        <w:rPr>
          <w:rFonts w:asciiTheme="majorHAnsi" w:hAnsiTheme="majorHAnsi"/>
          <w:bCs/>
          <w:sz w:val="20"/>
          <w:szCs w:val="20"/>
          <w:lang w:val="es-CO"/>
        </w:rPr>
        <w:t xml:space="preserve"> acciones de inconstitucionalidad</w:t>
      </w:r>
      <w:r w:rsidR="004A030E" w:rsidRPr="00E66386">
        <w:rPr>
          <w:rFonts w:asciiTheme="majorHAnsi" w:hAnsiTheme="majorHAnsi"/>
          <w:bCs/>
          <w:sz w:val="20"/>
          <w:szCs w:val="20"/>
          <w:lang w:val="es-CO"/>
        </w:rPr>
        <w:t>.</w:t>
      </w:r>
      <w:r w:rsidR="00220C61" w:rsidRPr="00E66386">
        <w:rPr>
          <w:rFonts w:asciiTheme="majorHAnsi" w:hAnsiTheme="majorHAnsi"/>
          <w:bCs/>
          <w:sz w:val="20"/>
          <w:szCs w:val="20"/>
          <w:lang w:val="es-CO"/>
        </w:rPr>
        <w:t xml:space="preserve"> </w:t>
      </w:r>
      <w:r w:rsidR="004F1EAC" w:rsidRPr="00E66386">
        <w:rPr>
          <w:rFonts w:asciiTheme="majorHAnsi" w:hAnsiTheme="majorHAnsi"/>
          <w:bCs/>
          <w:sz w:val="20"/>
          <w:szCs w:val="20"/>
          <w:lang w:val="es-CO"/>
        </w:rPr>
        <w:t>Y d</w:t>
      </w:r>
      <w:r w:rsidR="00220C61" w:rsidRPr="00E66386">
        <w:rPr>
          <w:rFonts w:asciiTheme="majorHAnsi" w:hAnsiTheme="majorHAnsi"/>
          <w:bCs/>
          <w:sz w:val="20"/>
          <w:szCs w:val="20"/>
          <w:lang w:val="es-CO"/>
        </w:rPr>
        <w:t>estaca</w:t>
      </w:r>
      <w:r w:rsidR="004F1EAC" w:rsidRPr="00E66386">
        <w:rPr>
          <w:rFonts w:asciiTheme="majorHAnsi" w:hAnsiTheme="majorHAnsi"/>
          <w:bCs/>
          <w:sz w:val="20"/>
          <w:szCs w:val="20"/>
          <w:lang w:val="es-CO"/>
        </w:rPr>
        <w:t>n</w:t>
      </w:r>
      <w:r w:rsidR="00220C61" w:rsidRPr="00E66386">
        <w:rPr>
          <w:rFonts w:asciiTheme="majorHAnsi" w:hAnsiTheme="majorHAnsi"/>
          <w:bCs/>
          <w:sz w:val="20"/>
          <w:szCs w:val="20"/>
          <w:lang w:val="es-CO"/>
        </w:rPr>
        <w:t xml:space="preserve"> que la Corte </w:t>
      </w:r>
      <w:r w:rsidR="00220C61" w:rsidRPr="00E66386">
        <w:rPr>
          <w:rFonts w:asciiTheme="majorHAnsi" w:hAnsiTheme="majorHAnsi"/>
          <w:bCs/>
          <w:sz w:val="20"/>
          <w:szCs w:val="20"/>
          <w:lang w:val="es-CO"/>
        </w:rPr>
        <w:lastRenderedPageBreak/>
        <w:t>de</w:t>
      </w:r>
      <w:r w:rsidR="003A3643" w:rsidRPr="00E66386">
        <w:rPr>
          <w:rFonts w:asciiTheme="majorHAnsi" w:hAnsiTheme="majorHAnsi"/>
          <w:bCs/>
          <w:sz w:val="20"/>
          <w:szCs w:val="20"/>
          <w:lang w:val="es-CO"/>
        </w:rPr>
        <w:t xml:space="preserve"> </w:t>
      </w:r>
      <w:r w:rsidR="004F1EAC" w:rsidRPr="00E66386">
        <w:rPr>
          <w:rFonts w:asciiTheme="majorHAnsi" w:hAnsiTheme="majorHAnsi"/>
          <w:bCs/>
          <w:sz w:val="20"/>
          <w:szCs w:val="20"/>
          <w:lang w:val="es-CO"/>
        </w:rPr>
        <w:t>C</w:t>
      </w:r>
      <w:r w:rsidR="00220C61" w:rsidRPr="00E66386">
        <w:rPr>
          <w:rFonts w:asciiTheme="majorHAnsi" w:hAnsiTheme="majorHAnsi"/>
          <w:bCs/>
          <w:sz w:val="20"/>
          <w:szCs w:val="20"/>
          <w:lang w:val="es-CO"/>
        </w:rPr>
        <w:t xml:space="preserve">onstitucionalidad resolvió </w:t>
      </w:r>
      <w:r w:rsidR="004F1EAC" w:rsidRPr="00E66386">
        <w:rPr>
          <w:rFonts w:asciiTheme="majorHAnsi" w:hAnsiTheme="majorHAnsi"/>
          <w:bCs/>
          <w:sz w:val="20"/>
          <w:szCs w:val="20"/>
          <w:lang w:val="es-CO"/>
        </w:rPr>
        <w:t xml:space="preserve">dos de los amparos relativos a la aplicación de amnistías </w:t>
      </w:r>
      <w:r w:rsidR="00220C61" w:rsidRPr="00E66386">
        <w:rPr>
          <w:rFonts w:asciiTheme="majorHAnsi" w:hAnsiTheme="majorHAnsi"/>
          <w:bCs/>
          <w:sz w:val="20"/>
          <w:szCs w:val="20"/>
          <w:lang w:val="es-CO"/>
        </w:rPr>
        <w:t>sin pronunciarse sobre el fondo del asunto,</w:t>
      </w:r>
      <w:r w:rsidR="003A3643" w:rsidRPr="00E66386">
        <w:rPr>
          <w:rFonts w:asciiTheme="majorHAnsi" w:hAnsiTheme="majorHAnsi"/>
          <w:bCs/>
          <w:sz w:val="20"/>
          <w:szCs w:val="20"/>
          <w:lang w:val="es-CO"/>
        </w:rPr>
        <w:t xml:space="preserve"> </w:t>
      </w:r>
      <w:r w:rsidR="00220C61" w:rsidRPr="00E66386">
        <w:rPr>
          <w:rFonts w:asciiTheme="majorHAnsi" w:hAnsiTheme="majorHAnsi"/>
          <w:bCs/>
          <w:sz w:val="20"/>
          <w:szCs w:val="20"/>
          <w:lang w:val="es-CO"/>
        </w:rPr>
        <w:t>es decir, la aplicabilidad de la amnistía, sino que los rechazó por motivos de forma.</w:t>
      </w:r>
    </w:p>
    <w:p w14:paraId="407B709F" w14:textId="52C6B009" w:rsidR="0099224C" w:rsidRPr="00E66386" w:rsidRDefault="0099224C" w:rsidP="0099224C">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 xml:space="preserve">Nuevo juicio y </w:t>
      </w:r>
      <w:r w:rsidR="00EA313D" w:rsidRPr="00E66386">
        <w:rPr>
          <w:rFonts w:asciiTheme="majorHAnsi" w:hAnsiTheme="majorHAnsi"/>
          <w:bCs/>
          <w:i/>
          <w:iCs/>
          <w:sz w:val="20"/>
          <w:szCs w:val="20"/>
          <w:lang w:val="es-CO"/>
        </w:rPr>
        <w:t xml:space="preserve">otros </w:t>
      </w:r>
      <w:r w:rsidRPr="00E66386">
        <w:rPr>
          <w:rFonts w:asciiTheme="majorHAnsi" w:hAnsiTheme="majorHAnsi"/>
          <w:bCs/>
          <w:i/>
          <w:iCs/>
          <w:sz w:val="20"/>
          <w:szCs w:val="20"/>
          <w:lang w:val="es-CO"/>
        </w:rPr>
        <w:t>procesos penales</w:t>
      </w:r>
      <w:r w:rsidR="00EA313D" w:rsidRPr="00E66386">
        <w:rPr>
          <w:rFonts w:asciiTheme="majorHAnsi" w:hAnsiTheme="majorHAnsi"/>
          <w:bCs/>
          <w:i/>
          <w:iCs/>
          <w:sz w:val="20"/>
          <w:szCs w:val="20"/>
          <w:lang w:val="es-CO"/>
        </w:rPr>
        <w:t xml:space="preserve"> conducidos a la fecha</w:t>
      </w:r>
    </w:p>
    <w:p w14:paraId="5779B893" w14:textId="20A549E9" w:rsidR="0008592C" w:rsidRPr="00E66386" w:rsidRDefault="00177A23" w:rsidP="00FE1C3B">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Las organizaciones peticionarias </w:t>
      </w:r>
      <w:r w:rsidR="00417347" w:rsidRPr="00E66386">
        <w:rPr>
          <w:rFonts w:asciiTheme="majorHAnsi" w:hAnsiTheme="majorHAnsi"/>
          <w:bCs/>
          <w:sz w:val="20"/>
          <w:szCs w:val="20"/>
          <w:lang w:val="es-CO"/>
        </w:rPr>
        <w:t>informan que, d</w:t>
      </w:r>
      <w:r w:rsidR="0008592C" w:rsidRPr="00E66386">
        <w:rPr>
          <w:rFonts w:asciiTheme="majorHAnsi" w:hAnsiTheme="majorHAnsi"/>
          <w:bCs/>
          <w:sz w:val="20"/>
          <w:szCs w:val="20"/>
          <w:lang w:val="es-CO"/>
        </w:rPr>
        <w:t xml:space="preserve">espués de </w:t>
      </w:r>
      <w:r w:rsidR="00417347" w:rsidRPr="00E66386">
        <w:rPr>
          <w:rFonts w:asciiTheme="majorHAnsi" w:hAnsiTheme="majorHAnsi"/>
          <w:bCs/>
          <w:sz w:val="20"/>
          <w:szCs w:val="20"/>
          <w:lang w:val="es-CO"/>
        </w:rPr>
        <w:t>la anulación d</w:t>
      </w:r>
      <w:r w:rsidR="0008592C" w:rsidRPr="00E66386">
        <w:rPr>
          <w:rFonts w:asciiTheme="majorHAnsi" w:hAnsiTheme="majorHAnsi"/>
          <w:bCs/>
          <w:sz w:val="20"/>
          <w:szCs w:val="20"/>
          <w:lang w:val="es-CO"/>
        </w:rPr>
        <w:t>el proceso</w:t>
      </w:r>
      <w:r w:rsidR="00417347" w:rsidRPr="00E66386">
        <w:rPr>
          <w:rFonts w:asciiTheme="majorHAnsi" w:hAnsiTheme="majorHAnsi"/>
          <w:bCs/>
          <w:sz w:val="20"/>
          <w:szCs w:val="20"/>
          <w:lang w:val="es-CO"/>
        </w:rPr>
        <w:t xml:space="preserve"> seguido contra Ríos Montt y </w:t>
      </w:r>
      <w:r w:rsidR="009964F2" w:rsidRPr="00E66386">
        <w:rPr>
          <w:rFonts w:asciiTheme="majorHAnsi" w:hAnsiTheme="majorHAnsi"/>
          <w:bCs/>
          <w:sz w:val="20"/>
          <w:szCs w:val="20"/>
          <w:lang w:val="es-CO"/>
        </w:rPr>
        <w:t>Rodríguez Sánchez</w:t>
      </w:r>
      <w:r w:rsidR="0008592C" w:rsidRPr="00E66386">
        <w:rPr>
          <w:rFonts w:asciiTheme="majorHAnsi" w:hAnsiTheme="majorHAnsi"/>
          <w:bCs/>
          <w:sz w:val="20"/>
          <w:szCs w:val="20"/>
          <w:lang w:val="es-CO"/>
        </w:rPr>
        <w:t xml:space="preserve">, el caso </w:t>
      </w:r>
      <w:r w:rsidR="009964F2" w:rsidRPr="00E66386">
        <w:rPr>
          <w:rFonts w:asciiTheme="majorHAnsi" w:hAnsiTheme="majorHAnsi"/>
          <w:bCs/>
          <w:sz w:val="20"/>
          <w:szCs w:val="20"/>
          <w:lang w:val="es-CO"/>
        </w:rPr>
        <w:t>fue re</w:t>
      </w:r>
      <w:r w:rsidR="0008592C" w:rsidRPr="00E66386">
        <w:rPr>
          <w:rFonts w:asciiTheme="majorHAnsi" w:hAnsiTheme="majorHAnsi"/>
          <w:bCs/>
          <w:sz w:val="20"/>
          <w:szCs w:val="20"/>
          <w:lang w:val="es-CO"/>
        </w:rPr>
        <w:t>asign</w:t>
      </w:r>
      <w:r w:rsidR="009964F2" w:rsidRPr="00E66386">
        <w:rPr>
          <w:rFonts w:asciiTheme="majorHAnsi" w:hAnsiTheme="majorHAnsi"/>
          <w:bCs/>
          <w:sz w:val="20"/>
          <w:szCs w:val="20"/>
          <w:lang w:val="es-CO"/>
        </w:rPr>
        <w:t>ado</w:t>
      </w:r>
      <w:r w:rsidR="0008592C" w:rsidRPr="00E66386">
        <w:rPr>
          <w:rFonts w:asciiTheme="majorHAnsi" w:hAnsiTheme="majorHAnsi"/>
          <w:bCs/>
          <w:sz w:val="20"/>
          <w:szCs w:val="20"/>
          <w:lang w:val="es-CO"/>
        </w:rPr>
        <w:t xml:space="preserve"> al Tribunal Primero de Sentencia Penal Narcoactividad y Delitos Contra el Ambiente de Guatemala, de Procesos de Mayor Riesgo B</w:t>
      </w:r>
      <w:r w:rsidR="009964F2" w:rsidRPr="00E66386">
        <w:rPr>
          <w:rFonts w:asciiTheme="majorHAnsi" w:hAnsiTheme="majorHAnsi"/>
          <w:bCs/>
          <w:sz w:val="20"/>
          <w:szCs w:val="20"/>
          <w:lang w:val="es-CO"/>
        </w:rPr>
        <w:t xml:space="preserve"> (en adelante “el Tribunal B”)</w:t>
      </w:r>
      <w:r w:rsidR="0008592C" w:rsidRPr="00E66386">
        <w:rPr>
          <w:rFonts w:asciiTheme="majorHAnsi" w:hAnsiTheme="majorHAnsi"/>
          <w:bCs/>
          <w:sz w:val="20"/>
          <w:szCs w:val="20"/>
          <w:lang w:val="es-CO"/>
        </w:rPr>
        <w:t xml:space="preserve">. </w:t>
      </w:r>
      <w:r w:rsidR="004229AA" w:rsidRPr="00E66386">
        <w:rPr>
          <w:rFonts w:asciiTheme="majorHAnsi" w:hAnsiTheme="majorHAnsi"/>
          <w:bCs/>
          <w:sz w:val="20"/>
          <w:szCs w:val="20"/>
          <w:lang w:val="es-CO"/>
        </w:rPr>
        <w:t>E</w:t>
      </w:r>
      <w:r w:rsidR="0008592C" w:rsidRPr="00E66386">
        <w:rPr>
          <w:rFonts w:asciiTheme="majorHAnsi" w:hAnsiTheme="majorHAnsi"/>
          <w:bCs/>
          <w:sz w:val="20"/>
          <w:szCs w:val="20"/>
          <w:lang w:val="es-CO"/>
        </w:rPr>
        <w:t xml:space="preserve">l </w:t>
      </w:r>
      <w:r w:rsidR="004229AA" w:rsidRPr="00E66386">
        <w:rPr>
          <w:rFonts w:asciiTheme="majorHAnsi" w:hAnsiTheme="majorHAnsi"/>
          <w:bCs/>
          <w:sz w:val="20"/>
          <w:szCs w:val="20"/>
          <w:lang w:val="es-CO"/>
        </w:rPr>
        <w:t>T</w:t>
      </w:r>
      <w:r w:rsidR="0008592C" w:rsidRPr="00E66386">
        <w:rPr>
          <w:rFonts w:asciiTheme="majorHAnsi" w:hAnsiTheme="majorHAnsi"/>
          <w:bCs/>
          <w:sz w:val="20"/>
          <w:szCs w:val="20"/>
          <w:lang w:val="es-CO"/>
        </w:rPr>
        <w:t xml:space="preserve">ribunal </w:t>
      </w:r>
      <w:r w:rsidR="004229AA" w:rsidRPr="00E66386">
        <w:rPr>
          <w:rFonts w:asciiTheme="majorHAnsi" w:hAnsiTheme="majorHAnsi"/>
          <w:bCs/>
          <w:sz w:val="20"/>
          <w:szCs w:val="20"/>
          <w:lang w:val="es-CO"/>
        </w:rPr>
        <w:t xml:space="preserve">B </w:t>
      </w:r>
      <w:r w:rsidR="0008592C" w:rsidRPr="00E66386">
        <w:rPr>
          <w:rFonts w:asciiTheme="majorHAnsi" w:hAnsiTheme="majorHAnsi"/>
          <w:bCs/>
          <w:sz w:val="20"/>
          <w:szCs w:val="20"/>
          <w:lang w:val="es-CO"/>
        </w:rPr>
        <w:t>determinó la incapacidad</w:t>
      </w:r>
      <w:r w:rsidR="004229AA" w:rsidRPr="00E66386">
        <w:rPr>
          <w:rFonts w:asciiTheme="majorHAnsi" w:hAnsiTheme="majorHAnsi"/>
          <w:bCs/>
          <w:sz w:val="20"/>
          <w:szCs w:val="20"/>
          <w:lang w:val="es-CO"/>
        </w:rPr>
        <w:t xml:space="preserve"> del general retirado</w:t>
      </w:r>
      <w:r w:rsidR="0008592C" w:rsidRPr="00E66386">
        <w:rPr>
          <w:rFonts w:asciiTheme="majorHAnsi" w:hAnsiTheme="majorHAnsi"/>
          <w:bCs/>
          <w:sz w:val="20"/>
          <w:szCs w:val="20"/>
          <w:lang w:val="es-CO"/>
        </w:rPr>
        <w:t xml:space="preserve"> Ríos Montt para comparecer </w:t>
      </w:r>
      <w:r w:rsidR="004229AA" w:rsidRPr="00E66386">
        <w:rPr>
          <w:rFonts w:asciiTheme="majorHAnsi" w:hAnsiTheme="majorHAnsi"/>
          <w:bCs/>
          <w:sz w:val="20"/>
          <w:szCs w:val="20"/>
          <w:lang w:val="es-CO"/>
        </w:rPr>
        <w:t xml:space="preserve">a juicio, </w:t>
      </w:r>
      <w:r w:rsidR="0008592C" w:rsidRPr="00E66386">
        <w:rPr>
          <w:rFonts w:asciiTheme="majorHAnsi" w:hAnsiTheme="majorHAnsi"/>
          <w:bCs/>
          <w:sz w:val="20"/>
          <w:szCs w:val="20"/>
          <w:lang w:val="es-CO"/>
        </w:rPr>
        <w:t xml:space="preserve">por lo que </w:t>
      </w:r>
      <w:r w:rsidR="002370C1" w:rsidRPr="00E66386">
        <w:rPr>
          <w:rFonts w:asciiTheme="majorHAnsi" w:hAnsiTheme="majorHAnsi"/>
          <w:bCs/>
          <w:sz w:val="20"/>
          <w:szCs w:val="20"/>
          <w:lang w:val="es-CO"/>
        </w:rPr>
        <w:t xml:space="preserve">fue </w:t>
      </w:r>
      <w:r w:rsidR="0008592C" w:rsidRPr="00E66386">
        <w:rPr>
          <w:rFonts w:asciiTheme="majorHAnsi" w:hAnsiTheme="majorHAnsi"/>
          <w:bCs/>
          <w:sz w:val="20"/>
          <w:szCs w:val="20"/>
          <w:lang w:val="es-CO"/>
        </w:rPr>
        <w:t>juzgado en un procedimiento especial</w:t>
      </w:r>
      <w:r w:rsidR="002370C1" w:rsidRPr="00E66386">
        <w:rPr>
          <w:rFonts w:asciiTheme="majorHAnsi" w:hAnsiTheme="majorHAnsi"/>
          <w:bCs/>
          <w:sz w:val="20"/>
          <w:szCs w:val="20"/>
          <w:lang w:val="es-CO"/>
        </w:rPr>
        <w:t>,</w:t>
      </w:r>
      <w:r w:rsidR="0008592C" w:rsidRPr="00E66386">
        <w:rPr>
          <w:rFonts w:asciiTheme="majorHAnsi" w:hAnsiTheme="majorHAnsi"/>
          <w:bCs/>
          <w:sz w:val="20"/>
          <w:szCs w:val="20"/>
          <w:lang w:val="es-CO"/>
        </w:rPr>
        <w:t xml:space="preserve"> mientras que, </w:t>
      </w:r>
      <w:r w:rsidR="002370C1" w:rsidRPr="00E66386">
        <w:rPr>
          <w:rFonts w:asciiTheme="majorHAnsi" w:hAnsiTheme="majorHAnsi"/>
          <w:bCs/>
          <w:sz w:val="20"/>
          <w:szCs w:val="20"/>
          <w:lang w:val="es-CO"/>
        </w:rPr>
        <w:t>e</w:t>
      </w:r>
      <w:r w:rsidR="0008592C" w:rsidRPr="00E66386">
        <w:rPr>
          <w:rFonts w:asciiTheme="majorHAnsi" w:hAnsiTheme="majorHAnsi"/>
          <w:bCs/>
          <w:sz w:val="20"/>
          <w:szCs w:val="20"/>
          <w:lang w:val="es-CO"/>
        </w:rPr>
        <w:t xml:space="preserve">l otro imputado, </w:t>
      </w:r>
      <w:r w:rsidR="002370C1" w:rsidRPr="00E66386">
        <w:rPr>
          <w:rFonts w:asciiTheme="majorHAnsi" w:hAnsiTheme="majorHAnsi"/>
          <w:bCs/>
          <w:sz w:val="20"/>
          <w:szCs w:val="20"/>
          <w:lang w:val="es-CO"/>
        </w:rPr>
        <w:t xml:space="preserve">el señor </w:t>
      </w:r>
      <w:r w:rsidR="0008592C" w:rsidRPr="00E66386">
        <w:rPr>
          <w:rFonts w:asciiTheme="majorHAnsi" w:hAnsiTheme="majorHAnsi"/>
          <w:bCs/>
          <w:sz w:val="20"/>
          <w:szCs w:val="20"/>
          <w:lang w:val="es-CO"/>
        </w:rPr>
        <w:t>José Mauricio Rodríguez Sánchez</w:t>
      </w:r>
      <w:r w:rsidR="006C525E" w:rsidRPr="00E66386">
        <w:rPr>
          <w:rFonts w:asciiTheme="majorHAnsi" w:hAnsiTheme="majorHAnsi"/>
          <w:bCs/>
          <w:sz w:val="20"/>
          <w:szCs w:val="20"/>
          <w:lang w:val="es-CO"/>
        </w:rPr>
        <w:t xml:space="preserve"> debía </w:t>
      </w:r>
      <w:r w:rsidR="0001273C" w:rsidRPr="00E66386">
        <w:rPr>
          <w:rFonts w:asciiTheme="majorHAnsi" w:hAnsiTheme="majorHAnsi"/>
          <w:bCs/>
          <w:sz w:val="20"/>
          <w:szCs w:val="20"/>
          <w:lang w:val="es-CO"/>
        </w:rPr>
        <w:t xml:space="preserve">mantenerse </w:t>
      </w:r>
      <w:r w:rsidR="0008592C" w:rsidRPr="00E66386">
        <w:rPr>
          <w:rFonts w:asciiTheme="majorHAnsi" w:hAnsiTheme="majorHAnsi"/>
          <w:bCs/>
          <w:sz w:val="20"/>
          <w:szCs w:val="20"/>
          <w:lang w:val="es-CO"/>
        </w:rPr>
        <w:t xml:space="preserve">en un juicio ordinario oral y público. No obstante, </w:t>
      </w:r>
      <w:r w:rsidR="0001273C" w:rsidRPr="00E66386">
        <w:rPr>
          <w:rFonts w:asciiTheme="majorHAnsi" w:hAnsiTheme="majorHAnsi"/>
          <w:bCs/>
          <w:sz w:val="20"/>
          <w:szCs w:val="20"/>
          <w:lang w:val="es-CO"/>
        </w:rPr>
        <w:t xml:space="preserve">los peticionarios señalan que </w:t>
      </w:r>
      <w:r w:rsidR="0008592C" w:rsidRPr="00E66386">
        <w:rPr>
          <w:rFonts w:asciiTheme="majorHAnsi" w:hAnsiTheme="majorHAnsi"/>
          <w:bCs/>
          <w:sz w:val="20"/>
          <w:szCs w:val="20"/>
          <w:lang w:val="es-CO"/>
        </w:rPr>
        <w:t xml:space="preserve">el Tribunal B ordenó que ambos juicios se desarrollaran conjuntamente a puerta cerrada, sin acceso </w:t>
      </w:r>
      <w:r w:rsidR="0069021B" w:rsidRPr="00E66386">
        <w:rPr>
          <w:rFonts w:asciiTheme="majorHAnsi" w:hAnsiTheme="majorHAnsi"/>
          <w:bCs/>
          <w:sz w:val="20"/>
          <w:szCs w:val="20"/>
          <w:lang w:val="es-CO"/>
        </w:rPr>
        <w:t>de</w:t>
      </w:r>
      <w:r w:rsidR="0008592C" w:rsidRPr="00E66386">
        <w:rPr>
          <w:rFonts w:asciiTheme="majorHAnsi" w:hAnsiTheme="majorHAnsi"/>
          <w:bCs/>
          <w:sz w:val="20"/>
          <w:szCs w:val="20"/>
          <w:lang w:val="es-CO"/>
        </w:rPr>
        <w:t xml:space="preserve"> los medios de comunicación. </w:t>
      </w:r>
      <w:r w:rsidR="0069021B" w:rsidRPr="00E66386">
        <w:rPr>
          <w:rFonts w:asciiTheme="majorHAnsi" w:hAnsiTheme="majorHAnsi"/>
          <w:bCs/>
          <w:sz w:val="20"/>
          <w:szCs w:val="20"/>
          <w:lang w:val="es-CO"/>
        </w:rPr>
        <w:t xml:space="preserve">La parte peticionaria </w:t>
      </w:r>
      <w:r w:rsidR="0008592C" w:rsidRPr="00E66386">
        <w:rPr>
          <w:rFonts w:asciiTheme="majorHAnsi" w:hAnsiTheme="majorHAnsi"/>
          <w:bCs/>
          <w:sz w:val="20"/>
          <w:szCs w:val="20"/>
          <w:lang w:val="es-CO"/>
        </w:rPr>
        <w:t>impugn</w:t>
      </w:r>
      <w:r w:rsidR="0069021B" w:rsidRPr="00E66386">
        <w:rPr>
          <w:rFonts w:asciiTheme="majorHAnsi" w:hAnsiTheme="majorHAnsi"/>
          <w:bCs/>
          <w:sz w:val="20"/>
          <w:szCs w:val="20"/>
          <w:lang w:val="es-CO"/>
        </w:rPr>
        <w:t>ó</w:t>
      </w:r>
      <w:r w:rsidR="0008592C" w:rsidRPr="00E66386">
        <w:rPr>
          <w:rFonts w:asciiTheme="majorHAnsi" w:hAnsiTheme="majorHAnsi"/>
          <w:bCs/>
          <w:sz w:val="20"/>
          <w:szCs w:val="20"/>
          <w:lang w:val="es-CO"/>
        </w:rPr>
        <w:t xml:space="preserve"> </w:t>
      </w:r>
      <w:r w:rsidR="0069021B" w:rsidRPr="00E66386">
        <w:rPr>
          <w:rFonts w:asciiTheme="majorHAnsi" w:hAnsiTheme="majorHAnsi"/>
          <w:bCs/>
          <w:sz w:val="20"/>
          <w:szCs w:val="20"/>
          <w:lang w:val="es-CO"/>
        </w:rPr>
        <w:t>es</w:t>
      </w:r>
      <w:r w:rsidR="0008592C" w:rsidRPr="00E66386">
        <w:rPr>
          <w:rFonts w:asciiTheme="majorHAnsi" w:hAnsiTheme="majorHAnsi"/>
          <w:bCs/>
          <w:sz w:val="20"/>
          <w:szCs w:val="20"/>
          <w:lang w:val="es-CO"/>
        </w:rPr>
        <w:t xml:space="preserve">a decisión mediante recurso de reposición y </w:t>
      </w:r>
      <w:r w:rsidR="0069021B" w:rsidRPr="00E66386">
        <w:rPr>
          <w:rFonts w:asciiTheme="majorHAnsi" w:hAnsiTheme="majorHAnsi"/>
          <w:bCs/>
          <w:sz w:val="20"/>
          <w:szCs w:val="20"/>
          <w:lang w:val="es-CO"/>
        </w:rPr>
        <w:t xml:space="preserve">de </w:t>
      </w:r>
      <w:r w:rsidR="0008592C" w:rsidRPr="00E66386">
        <w:rPr>
          <w:rFonts w:asciiTheme="majorHAnsi" w:hAnsiTheme="majorHAnsi"/>
          <w:bCs/>
          <w:sz w:val="20"/>
          <w:szCs w:val="20"/>
          <w:lang w:val="es-CO"/>
        </w:rPr>
        <w:t>amparo por violación del principio de publicidad</w:t>
      </w:r>
      <w:r w:rsidR="0069021B" w:rsidRPr="00E66386">
        <w:rPr>
          <w:rFonts w:asciiTheme="majorHAnsi" w:hAnsiTheme="majorHAnsi"/>
          <w:bCs/>
          <w:sz w:val="20"/>
          <w:szCs w:val="20"/>
          <w:lang w:val="es-CO"/>
        </w:rPr>
        <w:t>.</w:t>
      </w:r>
      <w:r w:rsidR="0008592C" w:rsidRPr="00E66386">
        <w:rPr>
          <w:rFonts w:asciiTheme="majorHAnsi" w:hAnsiTheme="majorHAnsi"/>
          <w:bCs/>
          <w:sz w:val="20"/>
          <w:szCs w:val="20"/>
          <w:lang w:val="es-CO"/>
        </w:rPr>
        <w:t xml:space="preserve"> El 6 de mayo de 2016 se resolvió </w:t>
      </w:r>
      <w:r w:rsidR="0089534E" w:rsidRPr="00E66386">
        <w:rPr>
          <w:rFonts w:asciiTheme="majorHAnsi" w:hAnsiTheme="majorHAnsi"/>
          <w:bCs/>
          <w:sz w:val="20"/>
          <w:szCs w:val="20"/>
          <w:lang w:val="es-CO"/>
        </w:rPr>
        <w:t>el recurso</w:t>
      </w:r>
      <w:r w:rsidR="0008592C" w:rsidRPr="00E66386">
        <w:rPr>
          <w:rFonts w:asciiTheme="majorHAnsi" w:hAnsiTheme="majorHAnsi"/>
          <w:bCs/>
          <w:sz w:val="20"/>
          <w:szCs w:val="20"/>
          <w:lang w:val="es-CO"/>
        </w:rPr>
        <w:t xml:space="preserve"> y se otorgó el amparo solicitado por la organización peticionaria</w:t>
      </w:r>
      <w:r w:rsidR="00055071" w:rsidRPr="00E66386">
        <w:rPr>
          <w:rFonts w:asciiTheme="majorHAnsi" w:hAnsiTheme="majorHAnsi"/>
          <w:bCs/>
          <w:sz w:val="20"/>
          <w:szCs w:val="20"/>
          <w:lang w:val="es-CO"/>
        </w:rPr>
        <w:t>, orden</w:t>
      </w:r>
      <w:r w:rsidR="0089534E" w:rsidRPr="00E66386">
        <w:rPr>
          <w:rFonts w:asciiTheme="majorHAnsi" w:hAnsiTheme="majorHAnsi"/>
          <w:bCs/>
          <w:sz w:val="20"/>
          <w:szCs w:val="20"/>
          <w:lang w:val="es-CO"/>
        </w:rPr>
        <w:t>á</w:t>
      </w:r>
      <w:r w:rsidR="00055071" w:rsidRPr="00E66386">
        <w:rPr>
          <w:rFonts w:asciiTheme="majorHAnsi" w:hAnsiTheme="majorHAnsi"/>
          <w:bCs/>
          <w:sz w:val="20"/>
          <w:szCs w:val="20"/>
          <w:lang w:val="es-CO"/>
        </w:rPr>
        <w:t>ndo</w:t>
      </w:r>
      <w:r w:rsidR="0089534E" w:rsidRPr="00E66386">
        <w:rPr>
          <w:rFonts w:asciiTheme="majorHAnsi" w:hAnsiTheme="majorHAnsi"/>
          <w:bCs/>
          <w:sz w:val="20"/>
          <w:szCs w:val="20"/>
          <w:lang w:val="es-CO"/>
        </w:rPr>
        <w:t>se</w:t>
      </w:r>
      <w:r w:rsidR="00055071" w:rsidRPr="00E66386">
        <w:rPr>
          <w:rFonts w:asciiTheme="majorHAnsi" w:hAnsiTheme="majorHAnsi"/>
          <w:bCs/>
          <w:sz w:val="20"/>
          <w:szCs w:val="20"/>
          <w:lang w:val="es-CO"/>
        </w:rPr>
        <w:t xml:space="preserve"> reinstaurar la publicidad del proceso</w:t>
      </w:r>
      <w:r w:rsidR="0008592C" w:rsidRPr="00E66386">
        <w:rPr>
          <w:rFonts w:asciiTheme="majorHAnsi" w:hAnsiTheme="majorHAnsi"/>
          <w:bCs/>
          <w:sz w:val="20"/>
          <w:szCs w:val="20"/>
          <w:lang w:val="es-CO"/>
        </w:rPr>
        <w:t>. Sin embargo, esta decisión fue apelada por la defensa</w:t>
      </w:r>
      <w:r w:rsidR="0089534E" w:rsidRPr="00E66386">
        <w:rPr>
          <w:rFonts w:asciiTheme="majorHAnsi" w:hAnsiTheme="majorHAnsi"/>
          <w:bCs/>
          <w:sz w:val="20"/>
          <w:szCs w:val="20"/>
          <w:lang w:val="es-CO"/>
        </w:rPr>
        <w:t>; pero,</w:t>
      </w:r>
      <w:r w:rsidR="0008592C" w:rsidRPr="00E66386">
        <w:rPr>
          <w:rFonts w:asciiTheme="majorHAnsi" w:hAnsiTheme="majorHAnsi"/>
          <w:bCs/>
          <w:sz w:val="20"/>
          <w:szCs w:val="20"/>
          <w:lang w:val="es-CO"/>
        </w:rPr>
        <w:t xml:space="preserve"> el 18 de mayo de 2017 la Corte de Constitucionalidad denegó el recurso de apelación planteado, manteniendo el juicio público.</w:t>
      </w:r>
    </w:p>
    <w:p w14:paraId="449F024A" w14:textId="35A2B66B" w:rsidR="00C56D3E" w:rsidRPr="00E66386" w:rsidRDefault="0008592C" w:rsidP="0008592C">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El nuevo juicio </w:t>
      </w:r>
      <w:r w:rsidR="0089534E" w:rsidRPr="00E66386">
        <w:rPr>
          <w:rFonts w:asciiTheme="majorHAnsi" w:hAnsiTheme="majorHAnsi"/>
          <w:bCs/>
          <w:sz w:val="20"/>
          <w:szCs w:val="20"/>
          <w:lang w:val="es-CO"/>
        </w:rPr>
        <w:t>inició</w:t>
      </w:r>
      <w:r w:rsidRPr="00E66386">
        <w:rPr>
          <w:rFonts w:asciiTheme="majorHAnsi" w:hAnsiTheme="majorHAnsi"/>
          <w:bCs/>
          <w:sz w:val="20"/>
          <w:szCs w:val="20"/>
          <w:lang w:val="es-CO"/>
        </w:rPr>
        <w:t xml:space="preserve"> el 16 de marzo de 2016, después de haber sido aplazado en tres ocasiones </w:t>
      </w:r>
      <w:r w:rsidR="00F92481" w:rsidRPr="00E66386">
        <w:rPr>
          <w:rFonts w:asciiTheme="majorHAnsi" w:hAnsiTheme="majorHAnsi"/>
          <w:bCs/>
          <w:sz w:val="20"/>
          <w:szCs w:val="20"/>
          <w:lang w:val="es-CO"/>
        </w:rPr>
        <w:t xml:space="preserve">debido a la interposición de </w:t>
      </w:r>
      <w:r w:rsidRPr="00E66386">
        <w:rPr>
          <w:rFonts w:asciiTheme="majorHAnsi" w:hAnsiTheme="majorHAnsi"/>
          <w:bCs/>
          <w:sz w:val="20"/>
          <w:szCs w:val="20"/>
          <w:lang w:val="es-CO"/>
        </w:rPr>
        <w:t xml:space="preserve">diversos recursos por la defensa. </w:t>
      </w:r>
      <w:r w:rsidR="00F92481" w:rsidRPr="00E66386">
        <w:rPr>
          <w:rFonts w:asciiTheme="majorHAnsi" w:hAnsiTheme="majorHAnsi"/>
          <w:bCs/>
          <w:sz w:val="20"/>
          <w:szCs w:val="20"/>
          <w:lang w:val="es-CO"/>
        </w:rPr>
        <w:t>Los peticionarios s</w:t>
      </w:r>
      <w:r w:rsidRPr="00E66386">
        <w:rPr>
          <w:rFonts w:asciiTheme="majorHAnsi" w:hAnsiTheme="majorHAnsi"/>
          <w:bCs/>
          <w:sz w:val="20"/>
          <w:szCs w:val="20"/>
          <w:lang w:val="es-CO"/>
        </w:rPr>
        <w:t xml:space="preserve">ostienen que </w:t>
      </w:r>
      <w:r w:rsidR="00F92481" w:rsidRPr="00E66386">
        <w:rPr>
          <w:rFonts w:asciiTheme="majorHAnsi" w:hAnsiTheme="majorHAnsi"/>
          <w:bCs/>
          <w:sz w:val="20"/>
          <w:szCs w:val="20"/>
          <w:lang w:val="es-CO"/>
        </w:rPr>
        <w:t xml:space="preserve">las personas sobrevivientes </w:t>
      </w:r>
      <w:r w:rsidR="00BE25E9" w:rsidRPr="00E66386">
        <w:rPr>
          <w:rFonts w:asciiTheme="majorHAnsi" w:hAnsiTheme="majorHAnsi"/>
          <w:bCs/>
          <w:sz w:val="20"/>
          <w:szCs w:val="20"/>
          <w:lang w:val="es-CO"/>
        </w:rPr>
        <w:t>fueron</w:t>
      </w:r>
      <w:r w:rsidRPr="00E66386">
        <w:rPr>
          <w:rFonts w:asciiTheme="majorHAnsi" w:hAnsiTheme="majorHAnsi"/>
          <w:bCs/>
          <w:sz w:val="20"/>
          <w:szCs w:val="20"/>
          <w:lang w:val="es-CO"/>
        </w:rPr>
        <w:t xml:space="preserve"> revictimiza</w:t>
      </w:r>
      <w:r w:rsidR="00BE25E9" w:rsidRPr="00E66386">
        <w:rPr>
          <w:rFonts w:asciiTheme="majorHAnsi" w:hAnsiTheme="majorHAnsi"/>
          <w:bCs/>
          <w:sz w:val="20"/>
          <w:szCs w:val="20"/>
          <w:lang w:val="es-CO"/>
        </w:rPr>
        <w:t>das en el nuevo juicio</w:t>
      </w:r>
      <w:r w:rsidR="0089534E" w:rsidRPr="00E66386">
        <w:rPr>
          <w:rFonts w:asciiTheme="majorHAnsi" w:hAnsiTheme="majorHAnsi"/>
          <w:bCs/>
          <w:sz w:val="20"/>
          <w:szCs w:val="20"/>
          <w:lang w:val="es-CO"/>
        </w:rPr>
        <w:t>,</w:t>
      </w:r>
      <w:r w:rsidRPr="00E66386">
        <w:rPr>
          <w:rFonts w:asciiTheme="majorHAnsi" w:hAnsiTheme="majorHAnsi"/>
          <w:bCs/>
          <w:sz w:val="20"/>
          <w:szCs w:val="20"/>
          <w:lang w:val="es-CO"/>
        </w:rPr>
        <w:t xml:space="preserve"> </w:t>
      </w:r>
      <w:r w:rsidR="00BE25E9" w:rsidRPr="00E66386">
        <w:rPr>
          <w:rFonts w:asciiTheme="majorHAnsi" w:hAnsiTheme="majorHAnsi"/>
          <w:bCs/>
          <w:sz w:val="20"/>
          <w:szCs w:val="20"/>
          <w:lang w:val="es-CO"/>
        </w:rPr>
        <w:t xml:space="preserve">ya </w:t>
      </w:r>
      <w:r w:rsidRPr="00E66386">
        <w:rPr>
          <w:rFonts w:asciiTheme="majorHAnsi" w:hAnsiTheme="majorHAnsi"/>
          <w:bCs/>
          <w:sz w:val="20"/>
          <w:szCs w:val="20"/>
          <w:lang w:val="es-CO"/>
        </w:rPr>
        <w:t xml:space="preserve">que </w:t>
      </w:r>
      <w:r w:rsidR="009F4673" w:rsidRPr="00E66386">
        <w:rPr>
          <w:rFonts w:asciiTheme="majorHAnsi" w:hAnsiTheme="majorHAnsi"/>
          <w:bCs/>
          <w:sz w:val="20"/>
          <w:szCs w:val="20"/>
          <w:lang w:val="es-CO"/>
        </w:rPr>
        <w:t xml:space="preserve">se vieron obligadas a </w:t>
      </w:r>
      <w:r w:rsidR="0045323C" w:rsidRPr="00E66386">
        <w:rPr>
          <w:rFonts w:asciiTheme="majorHAnsi" w:hAnsiTheme="majorHAnsi"/>
          <w:bCs/>
          <w:sz w:val="20"/>
          <w:szCs w:val="20"/>
          <w:lang w:val="es-CO"/>
        </w:rPr>
        <w:t xml:space="preserve">testificar </w:t>
      </w:r>
      <w:r w:rsidR="009F4673" w:rsidRPr="00E66386">
        <w:rPr>
          <w:rFonts w:asciiTheme="majorHAnsi" w:hAnsiTheme="majorHAnsi"/>
          <w:bCs/>
          <w:sz w:val="20"/>
          <w:szCs w:val="20"/>
          <w:lang w:val="es-CO"/>
        </w:rPr>
        <w:t xml:space="preserve">nuevamente los hechos sufridos, </w:t>
      </w:r>
      <w:r w:rsidRPr="00E66386">
        <w:rPr>
          <w:rFonts w:asciiTheme="majorHAnsi" w:hAnsiTheme="majorHAnsi"/>
          <w:bCs/>
          <w:sz w:val="20"/>
          <w:szCs w:val="20"/>
          <w:lang w:val="es-CO"/>
        </w:rPr>
        <w:t>algunas de ellas tuvieron que declarar hasta tres veces</w:t>
      </w:r>
      <w:r w:rsidR="0045323C" w:rsidRPr="00E66386">
        <w:rPr>
          <w:rFonts w:asciiTheme="majorHAnsi" w:hAnsiTheme="majorHAnsi"/>
          <w:bCs/>
          <w:sz w:val="20"/>
          <w:szCs w:val="20"/>
          <w:lang w:val="es-CO"/>
        </w:rPr>
        <w:t>,</w:t>
      </w:r>
      <w:r w:rsidRPr="00E66386">
        <w:rPr>
          <w:rFonts w:asciiTheme="majorHAnsi" w:hAnsiTheme="majorHAnsi"/>
          <w:bCs/>
          <w:sz w:val="20"/>
          <w:szCs w:val="20"/>
          <w:lang w:val="es-CO"/>
        </w:rPr>
        <w:t xml:space="preserve"> en algunos casos incluso en un mismo día.</w:t>
      </w:r>
    </w:p>
    <w:p w14:paraId="0690DB1B" w14:textId="486102AD" w:rsidR="00E02224" w:rsidRPr="00E66386" w:rsidRDefault="00C56D3E" w:rsidP="00CA0A49">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En </w:t>
      </w:r>
      <w:r w:rsidR="0008592C" w:rsidRPr="00E66386">
        <w:rPr>
          <w:rFonts w:asciiTheme="majorHAnsi" w:hAnsiTheme="majorHAnsi"/>
          <w:bCs/>
          <w:sz w:val="20"/>
          <w:szCs w:val="20"/>
          <w:lang w:val="es-CO"/>
        </w:rPr>
        <w:t xml:space="preserve">el transcurso del </w:t>
      </w:r>
      <w:r w:rsidRPr="00E66386">
        <w:rPr>
          <w:rFonts w:asciiTheme="majorHAnsi" w:hAnsiTheme="majorHAnsi"/>
          <w:bCs/>
          <w:sz w:val="20"/>
          <w:szCs w:val="20"/>
          <w:lang w:val="es-CO"/>
        </w:rPr>
        <w:t xml:space="preserve">nuevo </w:t>
      </w:r>
      <w:r w:rsidR="0008592C" w:rsidRPr="00E66386">
        <w:rPr>
          <w:rFonts w:asciiTheme="majorHAnsi" w:hAnsiTheme="majorHAnsi"/>
          <w:bCs/>
          <w:sz w:val="20"/>
          <w:szCs w:val="20"/>
          <w:lang w:val="es-CO"/>
        </w:rPr>
        <w:t>proceso, el 1° de abril de 201</w:t>
      </w:r>
      <w:r w:rsidR="007B5B48" w:rsidRPr="00E66386">
        <w:rPr>
          <w:rFonts w:asciiTheme="majorHAnsi" w:hAnsiTheme="majorHAnsi"/>
          <w:bCs/>
          <w:sz w:val="20"/>
          <w:szCs w:val="20"/>
          <w:lang w:val="es-CO"/>
        </w:rPr>
        <w:t>8</w:t>
      </w:r>
      <w:r w:rsidR="0008592C" w:rsidRPr="00E66386">
        <w:rPr>
          <w:rFonts w:asciiTheme="majorHAnsi" w:hAnsiTheme="majorHAnsi"/>
          <w:bCs/>
          <w:sz w:val="20"/>
          <w:szCs w:val="20"/>
          <w:lang w:val="es-CO"/>
        </w:rPr>
        <w:t xml:space="preserve"> </w:t>
      </w:r>
      <w:r w:rsidR="00556F52" w:rsidRPr="00E66386">
        <w:rPr>
          <w:rFonts w:asciiTheme="majorHAnsi" w:hAnsiTheme="majorHAnsi"/>
          <w:bCs/>
          <w:sz w:val="20"/>
          <w:szCs w:val="20"/>
          <w:lang w:val="es-CO"/>
        </w:rPr>
        <w:t>falleci</w:t>
      </w:r>
      <w:r w:rsidR="0008592C" w:rsidRPr="00E66386">
        <w:rPr>
          <w:rFonts w:asciiTheme="majorHAnsi" w:hAnsiTheme="majorHAnsi"/>
          <w:bCs/>
          <w:sz w:val="20"/>
          <w:szCs w:val="20"/>
          <w:lang w:val="es-CO"/>
        </w:rPr>
        <w:t xml:space="preserve">ó el sindicado José Efraín Ríos Montt, </w:t>
      </w:r>
      <w:r w:rsidR="00556F52" w:rsidRPr="00E66386">
        <w:rPr>
          <w:rFonts w:asciiTheme="majorHAnsi" w:hAnsiTheme="majorHAnsi"/>
          <w:bCs/>
          <w:sz w:val="20"/>
          <w:szCs w:val="20"/>
          <w:lang w:val="es-CO"/>
        </w:rPr>
        <w:t xml:space="preserve">por lo cual, se extinguió la acción penal en su contra. Según las organizaciones peticionarias, ello </w:t>
      </w:r>
      <w:r w:rsidR="0008592C" w:rsidRPr="00E66386">
        <w:rPr>
          <w:rFonts w:asciiTheme="majorHAnsi" w:hAnsiTheme="majorHAnsi"/>
          <w:bCs/>
          <w:sz w:val="20"/>
          <w:szCs w:val="20"/>
          <w:lang w:val="es-CO"/>
        </w:rPr>
        <w:t>“</w:t>
      </w:r>
      <w:r w:rsidR="0008592C" w:rsidRPr="00E66386">
        <w:rPr>
          <w:rFonts w:asciiTheme="majorHAnsi" w:hAnsiTheme="majorHAnsi"/>
          <w:bCs/>
          <w:i/>
          <w:iCs/>
          <w:sz w:val="20"/>
          <w:szCs w:val="20"/>
          <w:lang w:val="es-CO"/>
        </w:rPr>
        <w:t>causó gran impacto y afectación en las víctimas quienes lo consideran como el máximo responsable de las atrocidades cometidas en su contra</w:t>
      </w:r>
      <w:r w:rsidR="0008592C" w:rsidRPr="00E66386">
        <w:rPr>
          <w:rFonts w:asciiTheme="majorHAnsi" w:hAnsiTheme="majorHAnsi"/>
          <w:bCs/>
          <w:sz w:val="20"/>
          <w:szCs w:val="20"/>
          <w:lang w:val="es-CO"/>
        </w:rPr>
        <w:t>”.</w:t>
      </w:r>
      <w:r w:rsidR="00556F52" w:rsidRPr="00E66386">
        <w:rPr>
          <w:rFonts w:asciiTheme="majorHAnsi" w:hAnsiTheme="majorHAnsi"/>
          <w:bCs/>
          <w:sz w:val="20"/>
          <w:szCs w:val="20"/>
          <w:lang w:val="es-CO"/>
        </w:rPr>
        <w:t xml:space="preserve"> </w:t>
      </w:r>
      <w:r w:rsidR="0008592C" w:rsidRPr="00E66386">
        <w:rPr>
          <w:rFonts w:asciiTheme="majorHAnsi" w:hAnsiTheme="majorHAnsi"/>
          <w:bCs/>
          <w:sz w:val="20"/>
          <w:szCs w:val="20"/>
          <w:lang w:val="es-CO"/>
        </w:rPr>
        <w:t>El juicio continuó contra José Mauricio Rodríguez Sánchez</w:t>
      </w:r>
      <w:r w:rsidR="0089534E" w:rsidRPr="00E66386">
        <w:rPr>
          <w:rFonts w:asciiTheme="majorHAnsi" w:hAnsiTheme="majorHAnsi"/>
          <w:bCs/>
          <w:sz w:val="20"/>
          <w:szCs w:val="20"/>
          <w:lang w:val="es-CO"/>
        </w:rPr>
        <w:t>;</w:t>
      </w:r>
      <w:r w:rsidR="0008592C" w:rsidRPr="00E66386">
        <w:rPr>
          <w:rFonts w:asciiTheme="majorHAnsi" w:hAnsiTheme="majorHAnsi"/>
          <w:bCs/>
          <w:sz w:val="20"/>
          <w:szCs w:val="20"/>
          <w:lang w:val="es-CO"/>
        </w:rPr>
        <w:t xml:space="preserve"> y el 26 de septiembre de 2018 el Tribunal B profirió sentencia absolutoria a favor del proceso por “</w:t>
      </w:r>
      <w:r w:rsidR="0008592C" w:rsidRPr="00E66386">
        <w:rPr>
          <w:rFonts w:asciiTheme="majorHAnsi" w:hAnsiTheme="majorHAnsi"/>
          <w:bCs/>
          <w:i/>
          <w:iCs/>
          <w:sz w:val="20"/>
          <w:szCs w:val="20"/>
          <w:lang w:val="es-CO"/>
        </w:rPr>
        <w:t>falta de plena prueba</w:t>
      </w:r>
      <w:r w:rsidR="0008592C" w:rsidRPr="00E66386">
        <w:rPr>
          <w:rFonts w:asciiTheme="majorHAnsi" w:hAnsiTheme="majorHAnsi"/>
          <w:bCs/>
          <w:sz w:val="20"/>
          <w:szCs w:val="20"/>
          <w:lang w:val="es-CO"/>
        </w:rPr>
        <w:t xml:space="preserve">”, aunque declaró que sí se cometieron los delitos de genocidio y contra los deberes de humanidad en perjuicio del pueblo maya </w:t>
      </w:r>
      <w:r w:rsidR="00C51C64" w:rsidRPr="00E66386">
        <w:rPr>
          <w:rFonts w:asciiTheme="majorHAnsi" w:hAnsiTheme="majorHAnsi"/>
          <w:bCs/>
          <w:sz w:val="20"/>
          <w:szCs w:val="20"/>
          <w:lang w:val="es-CO"/>
        </w:rPr>
        <w:t>Ixil</w:t>
      </w:r>
      <w:r w:rsidR="0008592C" w:rsidRPr="00E66386">
        <w:rPr>
          <w:rFonts w:asciiTheme="majorHAnsi" w:hAnsiTheme="majorHAnsi"/>
          <w:bCs/>
          <w:sz w:val="20"/>
          <w:szCs w:val="20"/>
          <w:lang w:val="es-CO"/>
        </w:rPr>
        <w:t>.</w:t>
      </w:r>
      <w:r w:rsidR="00AD6AE2" w:rsidRPr="00E66386">
        <w:rPr>
          <w:rFonts w:asciiTheme="majorHAnsi" w:hAnsiTheme="majorHAnsi"/>
          <w:bCs/>
          <w:sz w:val="20"/>
          <w:szCs w:val="20"/>
          <w:lang w:val="es-CO"/>
        </w:rPr>
        <w:t xml:space="preserve"> También instó al Estado a adoptar medidas de reparación integral a favor del pueblo Maya Ixil, sin embargo, de acuerdo con un informe de la sociedad civil, el programa de reparaciones estatal aún no ha hecho efectivo el acceso a medidas de reparación a favor de la mayoría de las víctimas del conflicto armado y carece de medidas colectivas de reparación y de restitución cultural</w:t>
      </w:r>
      <w:r w:rsidR="00AD6AE2" w:rsidRPr="00E66386">
        <w:rPr>
          <w:rStyle w:val="FootnoteReference"/>
          <w:rFonts w:asciiTheme="majorHAnsi" w:hAnsiTheme="majorHAnsi"/>
          <w:bCs/>
          <w:sz w:val="20"/>
          <w:szCs w:val="20"/>
          <w:lang w:val="es-CO"/>
        </w:rPr>
        <w:footnoteReference w:id="12"/>
      </w:r>
      <w:r w:rsidR="00AD6AE2" w:rsidRPr="00E66386">
        <w:rPr>
          <w:rFonts w:asciiTheme="majorHAnsi" w:hAnsiTheme="majorHAnsi"/>
          <w:bCs/>
          <w:sz w:val="20"/>
          <w:szCs w:val="20"/>
          <w:lang w:val="es-CO"/>
        </w:rPr>
        <w:t>.</w:t>
      </w:r>
    </w:p>
    <w:p w14:paraId="783249F3" w14:textId="65E5C9EB" w:rsidR="0008592C" w:rsidRPr="00E66386" w:rsidRDefault="00E02224" w:rsidP="00CA0A49">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Los peticionarios enfatizan que u</w:t>
      </w:r>
      <w:r w:rsidR="0008592C" w:rsidRPr="00E66386">
        <w:rPr>
          <w:rFonts w:asciiTheme="majorHAnsi" w:hAnsiTheme="majorHAnsi"/>
          <w:bCs/>
          <w:sz w:val="20"/>
          <w:szCs w:val="20"/>
          <w:lang w:val="es-CO"/>
        </w:rPr>
        <w:t xml:space="preserve">na de las juezas </w:t>
      </w:r>
      <w:r w:rsidRPr="00E66386">
        <w:rPr>
          <w:rFonts w:asciiTheme="majorHAnsi" w:hAnsiTheme="majorHAnsi"/>
          <w:bCs/>
          <w:sz w:val="20"/>
          <w:szCs w:val="20"/>
          <w:lang w:val="es-CO"/>
        </w:rPr>
        <w:t xml:space="preserve">del Tribunal B </w:t>
      </w:r>
      <w:r w:rsidR="0008592C" w:rsidRPr="00E66386">
        <w:rPr>
          <w:rFonts w:asciiTheme="majorHAnsi" w:hAnsiTheme="majorHAnsi"/>
          <w:bCs/>
          <w:sz w:val="20"/>
          <w:szCs w:val="20"/>
          <w:lang w:val="es-CO"/>
        </w:rPr>
        <w:t xml:space="preserve">disintió de esta decisión y emitió un voto razonado en el que </w:t>
      </w:r>
      <w:r w:rsidRPr="00E66386">
        <w:rPr>
          <w:rFonts w:asciiTheme="majorHAnsi" w:hAnsiTheme="majorHAnsi"/>
          <w:bCs/>
          <w:sz w:val="20"/>
          <w:szCs w:val="20"/>
          <w:lang w:val="es-CO"/>
        </w:rPr>
        <w:t>manifest</w:t>
      </w:r>
      <w:r w:rsidR="0008592C" w:rsidRPr="00E66386">
        <w:rPr>
          <w:rFonts w:asciiTheme="majorHAnsi" w:hAnsiTheme="majorHAnsi"/>
          <w:bCs/>
          <w:sz w:val="20"/>
          <w:szCs w:val="20"/>
          <w:lang w:val="es-CO"/>
        </w:rPr>
        <w:t xml:space="preserve">ó </w:t>
      </w:r>
      <w:r w:rsidR="00B13361" w:rsidRPr="00E66386">
        <w:rPr>
          <w:rFonts w:asciiTheme="majorHAnsi" w:hAnsiTheme="majorHAnsi"/>
          <w:bCs/>
          <w:sz w:val="20"/>
          <w:szCs w:val="20"/>
          <w:lang w:val="es-CO"/>
        </w:rPr>
        <w:t xml:space="preserve">su posición de </w:t>
      </w:r>
      <w:r w:rsidR="0008592C" w:rsidRPr="00E66386">
        <w:rPr>
          <w:rFonts w:asciiTheme="majorHAnsi" w:hAnsiTheme="majorHAnsi"/>
          <w:bCs/>
          <w:sz w:val="20"/>
          <w:szCs w:val="20"/>
          <w:lang w:val="es-CO"/>
        </w:rPr>
        <w:t>que sí existió responsabilidad penal del sentenciado</w:t>
      </w:r>
      <w:r w:rsidR="00B13361" w:rsidRPr="00E66386">
        <w:rPr>
          <w:rFonts w:asciiTheme="majorHAnsi" w:hAnsiTheme="majorHAnsi"/>
          <w:bCs/>
          <w:sz w:val="20"/>
          <w:szCs w:val="20"/>
          <w:lang w:val="es-CO"/>
        </w:rPr>
        <w:t>,</w:t>
      </w:r>
      <w:r w:rsidR="0008592C" w:rsidRPr="00E66386">
        <w:rPr>
          <w:rFonts w:asciiTheme="majorHAnsi" w:hAnsiTheme="majorHAnsi"/>
          <w:bCs/>
          <w:sz w:val="20"/>
          <w:szCs w:val="20"/>
          <w:lang w:val="es-CO"/>
        </w:rPr>
        <w:t xml:space="preserve"> pues </w:t>
      </w:r>
      <w:r w:rsidR="00B13361" w:rsidRPr="00E66386">
        <w:rPr>
          <w:rFonts w:asciiTheme="majorHAnsi" w:hAnsiTheme="majorHAnsi"/>
          <w:bCs/>
          <w:sz w:val="20"/>
          <w:szCs w:val="20"/>
          <w:lang w:val="es-CO"/>
        </w:rPr>
        <w:t xml:space="preserve">como </w:t>
      </w:r>
      <w:r w:rsidR="00D80E4A" w:rsidRPr="00E66386">
        <w:rPr>
          <w:rFonts w:asciiTheme="majorHAnsi" w:hAnsiTheme="majorHAnsi"/>
          <w:bCs/>
          <w:sz w:val="20"/>
          <w:szCs w:val="20"/>
          <w:lang w:val="es-CO"/>
        </w:rPr>
        <w:t>jefe</w:t>
      </w:r>
      <w:r w:rsidR="0008592C" w:rsidRPr="00E66386">
        <w:rPr>
          <w:rFonts w:asciiTheme="majorHAnsi" w:hAnsiTheme="majorHAnsi"/>
          <w:bCs/>
          <w:sz w:val="20"/>
          <w:szCs w:val="20"/>
          <w:lang w:val="es-CO"/>
        </w:rPr>
        <w:t xml:space="preserve"> de Inteligencia del Ejército era imposible que desconociera del genocidio y las atrocidades cometidas contra el pueblo maya </w:t>
      </w:r>
      <w:r w:rsidR="00C51C64" w:rsidRPr="00E66386">
        <w:rPr>
          <w:rFonts w:asciiTheme="majorHAnsi" w:hAnsiTheme="majorHAnsi"/>
          <w:bCs/>
          <w:sz w:val="20"/>
          <w:szCs w:val="20"/>
          <w:lang w:val="es-CO"/>
        </w:rPr>
        <w:t>Ixil</w:t>
      </w:r>
      <w:r w:rsidR="0008592C" w:rsidRPr="00E66386">
        <w:rPr>
          <w:rFonts w:asciiTheme="majorHAnsi" w:hAnsiTheme="majorHAnsi"/>
          <w:bCs/>
          <w:sz w:val="20"/>
          <w:szCs w:val="20"/>
          <w:lang w:val="es-CO"/>
        </w:rPr>
        <w:t xml:space="preserve">. Sin embargo, </w:t>
      </w:r>
      <w:r w:rsidR="000C54B6" w:rsidRPr="00E66386">
        <w:rPr>
          <w:rFonts w:asciiTheme="majorHAnsi" w:hAnsiTheme="majorHAnsi"/>
          <w:bCs/>
          <w:sz w:val="20"/>
          <w:szCs w:val="20"/>
          <w:lang w:val="es-CO"/>
        </w:rPr>
        <w:t xml:space="preserve">su voto no quedó </w:t>
      </w:r>
      <w:r w:rsidR="0008592C" w:rsidRPr="00E66386">
        <w:rPr>
          <w:rFonts w:asciiTheme="majorHAnsi" w:hAnsiTheme="majorHAnsi"/>
          <w:bCs/>
          <w:sz w:val="20"/>
          <w:szCs w:val="20"/>
          <w:lang w:val="es-CO"/>
        </w:rPr>
        <w:t>asenta</w:t>
      </w:r>
      <w:r w:rsidR="000C54B6" w:rsidRPr="00E66386">
        <w:rPr>
          <w:rFonts w:asciiTheme="majorHAnsi" w:hAnsiTheme="majorHAnsi"/>
          <w:bCs/>
          <w:sz w:val="20"/>
          <w:szCs w:val="20"/>
          <w:lang w:val="es-CO"/>
        </w:rPr>
        <w:t>d</w:t>
      </w:r>
      <w:r w:rsidR="0008592C" w:rsidRPr="00E66386">
        <w:rPr>
          <w:rFonts w:asciiTheme="majorHAnsi" w:hAnsiTheme="majorHAnsi"/>
          <w:bCs/>
          <w:sz w:val="20"/>
          <w:szCs w:val="20"/>
          <w:lang w:val="es-CO"/>
        </w:rPr>
        <w:t>o por un err</w:t>
      </w:r>
      <w:r w:rsidR="00047762" w:rsidRPr="00E66386">
        <w:rPr>
          <w:rFonts w:asciiTheme="majorHAnsi" w:hAnsiTheme="majorHAnsi"/>
          <w:bCs/>
          <w:sz w:val="20"/>
          <w:szCs w:val="20"/>
          <w:lang w:val="es-CO"/>
        </w:rPr>
        <w:t>or en la</w:t>
      </w:r>
      <w:r w:rsidR="0008592C" w:rsidRPr="00E66386">
        <w:rPr>
          <w:rFonts w:asciiTheme="majorHAnsi" w:hAnsiTheme="majorHAnsi"/>
          <w:bCs/>
          <w:sz w:val="20"/>
          <w:szCs w:val="20"/>
          <w:lang w:val="es-CO"/>
        </w:rPr>
        <w:t xml:space="preserve"> interpretación del plazo para </w:t>
      </w:r>
      <w:r w:rsidR="00047762" w:rsidRPr="00E66386">
        <w:rPr>
          <w:rFonts w:asciiTheme="majorHAnsi" w:hAnsiTheme="majorHAnsi"/>
          <w:bCs/>
          <w:sz w:val="20"/>
          <w:szCs w:val="20"/>
          <w:lang w:val="es-CO"/>
        </w:rPr>
        <w:t>presentar</w:t>
      </w:r>
      <w:r w:rsidR="0008592C" w:rsidRPr="00E66386">
        <w:rPr>
          <w:rFonts w:asciiTheme="majorHAnsi" w:hAnsiTheme="majorHAnsi"/>
          <w:bCs/>
          <w:sz w:val="20"/>
          <w:szCs w:val="20"/>
          <w:lang w:val="es-CO"/>
        </w:rPr>
        <w:t>lo,</w:t>
      </w:r>
      <w:r w:rsidR="00047762" w:rsidRPr="00E66386">
        <w:rPr>
          <w:rFonts w:asciiTheme="majorHAnsi" w:hAnsiTheme="majorHAnsi"/>
          <w:bCs/>
          <w:sz w:val="20"/>
          <w:szCs w:val="20"/>
          <w:lang w:val="es-CO"/>
        </w:rPr>
        <w:t xml:space="preserve"> lo que </w:t>
      </w:r>
      <w:r w:rsidR="00CD4249" w:rsidRPr="00E66386">
        <w:rPr>
          <w:rFonts w:asciiTheme="majorHAnsi" w:hAnsiTheme="majorHAnsi"/>
          <w:bCs/>
          <w:sz w:val="20"/>
          <w:szCs w:val="20"/>
          <w:lang w:val="es-CO"/>
        </w:rPr>
        <w:t xml:space="preserve">generó que </w:t>
      </w:r>
      <w:r w:rsidR="0008592C" w:rsidRPr="00E66386">
        <w:rPr>
          <w:rFonts w:asciiTheme="majorHAnsi" w:hAnsiTheme="majorHAnsi"/>
          <w:bCs/>
          <w:sz w:val="20"/>
          <w:szCs w:val="20"/>
          <w:lang w:val="es-CO"/>
        </w:rPr>
        <w:t xml:space="preserve">no </w:t>
      </w:r>
      <w:r w:rsidR="00047762" w:rsidRPr="00E66386">
        <w:rPr>
          <w:rFonts w:asciiTheme="majorHAnsi" w:hAnsiTheme="majorHAnsi"/>
          <w:bCs/>
          <w:sz w:val="20"/>
          <w:szCs w:val="20"/>
          <w:lang w:val="es-CO"/>
        </w:rPr>
        <w:t>fue</w:t>
      </w:r>
      <w:r w:rsidR="00CD4249" w:rsidRPr="00E66386">
        <w:rPr>
          <w:rFonts w:asciiTheme="majorHAnsi" w:hAnsiTheme="majorHAnsi"/>
          <w:bCs/>
          <w:sz w:val="20"/>
          <w:szCs w:val="20"/>
          <w:lang w:val="es-CO"/>
        </w:rPr>
        <w:t>ra</w:t>
      </w:r>
      <w:r w:rsidR="00047762" w:rsidRPr="00E66386">
        <w:rPr>
          <w:rFonts w:asciiTheme="majorHAnsi" w:hAnsiTheme="majorHAnsi"/>
          <w:bCs/>
          <w:sz w:val="20"/>
          <w:szCs w:val="20"/>
          <w:lang w:val="es-CO"/>
        </w:rPr>
        <w:t xml:space="preserve"> plasmado </w:t>
      </w:r>
      <w:r w:rsidR="0008592C" w:rsidRPr="00E66386">
        <w:rPr>
          <w:rFonts w:asciiTheme="majorHAnsi" w:hAnsiTheme="majorHAnsi"/>
          <w:bCs/>
          <w:sz w:val="20"/>
          <w:szCs w:val="20"/>
          <w:lang w:val="es-CO"/>
        </w:rPr>
        <w:t>en la sentencia</w:t>
      </w:r>
      <w:r w:rsidR="00CD4249" w:rsidRPr="00E66386">
        <w:rPr>
          <w:rFonts w:asciiTheme="majorHAnsi" w:hAnsiTheme="majorHAnsi"/>
          <w:bCs/>
          <w:sz w:val="20"/>
          <w:szCs w:val="20"/>
          <w:lang w:val="es-CO"/>
        </w:rPr>
        <w:t xml:space="preserve">, </w:t>
      </w:r>
      <w:r w:rsidR="0089534E" w:rsidRPr="00E66386">
        <w:rPr>
          <w:rFonts w:asciiTheme="majorHAnsi" w:hAnsiTheme="majorHAnsi"/>
          <w:bCs/>
          <w:sz w:val="20"/>
          <w:szCs w:val="20"/>
          <w:lang w:val="es-CO"/>
        </w:rPr>
        <w:t xml:space="preserve">por lo que </w:t>
      </w:r>
      <w:r w:rsidR="00CD4249" w:rsidRPr="00E66386">
        <w:rPr>
          <w:rFonts w:asciiTheme="majorHAnsi" w:hAnsiTheme="majorHAnsi"/>
          <w:bCs/>
          <w:sz w:val="20"/>
          <w:szCs w:val="20"/>
          <w:lang w:val="es-CO"/>
        </w:rPr>
        <w:t xml:space="preserve">ésta </w:t>
      </w:r>
      <w:r w:rsidR="0089534E" w:rsidRPr="00E66386">
        <w:rPr>
          <w:rFonts w:asciiTheme="majorHAnsi" w:hAnsiTheme="majorHAnsi"/>
          <w:bCs/>
          <w:sz w:val="20"/>
          <w:szCs w:val="20"/>
          <w:lang w:val="es-CO"/>
        </w:rPr>
        <w:t>aparece como</w:t>
      </w:r>
      <w:r w:rsidR="00CD4249" w:rsidRPr="00E66386">
        <w:rPr>
          <w:rFonts w:asciiTheme="majorHAnsi" w:hAnsiTheme="majorHAnsi"/>
          <w:bCs/>
          <w:sz w:val="20"/>
          <w:szCs w:val="20"/>
          <w:lang w:val="es-CO"/>
        </w:rPr>
        <w:t xml:space="preserve"> votada por unanimidad</w:t>
      </w:r>
      <w:r w:rsidR="0008592C" w:rsidRPr="00E66386">
        <w:rPr>
          <w:rFonts w:asciiTheme="majorHAnsi" w:hAnsiTheme="majorHAnsi"/>
          <w:bCs/>
          <w:sz w:val="20"/>
          <w:szCs w:val="20"/>
          <w:lang w:val="es-CO"/>
        </w:rPr>
        <w:t xml:space="preserve">. </w:t>
      </w:r>
      <w:r w:rsidR="005F4C24" w:rsidRPr="00E66386">
        <w:rPr>
          <w:rFonts w:asciiTheme="majorHAnsi" w:hAnsiTheme="majorHAnsi"/>
          <w:bCs/>
          <w:sz w:val="20"/>
          <w:szCs w:val="20"/>
          <w:lang w:val="es-CO"/>
        </w:rPr>
        <w:t>L</w:t>
      </w:r>
      <w:r w:rsidR="0008592C" w:rsidRPr="00E66386">
        <w:rPr>
          <w:rFonts w:asciiTheme="majorHAnsi" w:hAnsiTheme="majorHAnsi"/>
          <w:bCs/>
          <w:sz w:val="20"/>
          <w:szCs w:val="20"/>
          <w:lang w:val="es-CO"/>
        </w:rPr>
        <w:t xml:space="preserve">a juzgadora </w:t>
      </w:r>
      <w:r w:rsidR="005F4C24" w:rsidRPr="00E66386">
        <w:rPr>
          <w:rFonts w:asciiTheme="majorHAnsi" w:hAnsiTheme="majorHAnsi"/>
          <w:bCs/>
          <w:sz w:val="20"/>
          <w:szCs w:val="20"/>
          <w:lang w:val="es-CO"/>
        </w:rPr>
        <w:t xml:space="preserve">habría interpuesto </w:t>
      </w:r>
      <w:r w:rsidR="0008592C" w:rsidRPr="00E66386">
        <w:rPr>
          <w:rFonts w:asciiTheme="majorHAnsi" w:hAnsiTheme="majorHAnsi"/>
          <w:bCs/>
          <w:sz w:val="20"/>
          <w:szCs w:val="20"/>
          <w:lang w:val="es-CO"/>
        </w:rPr>
        <w:t>una acción de amparo ante la C</w:t>
      </w:r>
      <w:r w:rsidR="005F4C24" w:rsidRPr="00E66386">
        <w:rPr>
          <w:rFonts w:asciiTheme="majorHAnsi" w:hAnsiTheme="majorHAnsi"/>
          <w:bCs/>
          <w:sz w:val="20"/>
          <w:szCs w:val="20"/>
          <w:lang w:val="es-CO"/>
        </w:rPr>
        <w:t xml:space="preserve">orte de </w:t>
      </w:r>
      <w:r w:rsidR="0008592C" w:rsidRPr="00E66386">
        <w:rPr>
          <w:rFonts w:asciiTheme="majorHAnsi" w:hAnsiTheme="majorHAnsi"/>
          <w:bCs/>
          <w:sz w:val="20"/>
          <w:szCs w:val="20"/>
          <w:lang w:val="es-CO"/>
        </w:rPr>
        <w:t>C</w:t>
      </w:r>
      <w:r w:rsidR="005F4C24" w:rsidRPr="00E66386">
        <w:rPr>
          <w:rFonts w:asciiTheme="majorHAnsi" w:hAnsiTheme="majorHAnsi"/>
          <w:bCs/>
          <w:sz w:val="20"/>
          <w:szCs w:val="20"/>
          <w:lang w:val="es-CO"/>
        </w:rPr>
        <w:t>onstitucionalidad, cuyo resultado se desconoce</w:t>
      </w:r>
      <w:r w:rsidR="0008592C" w:rsidRPr="00E66386">
        <w:rPr>
          <w:rFonts w:asciiTheme="majorHAnsi" w:hAnsiTheme="majorHAnsi"/>
          <w:bCs/>
          <w:sz w:val="20"/>
          <w:szCs w:val="20"/>
          <w:lang w:val="es-CO"/>
        </w:rPr>
        <w:t>.</w:t>
      </w:r>
    </w:p>
    <w:p w14:paraId="480C94FB" w14:textId="49CBC486" w:rsidR="0008592C" w:rsidRPr="00E66386" w:rsidRDefault="00C91D7C" w:rsidP="00FA1633">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Contra la sentencia absolutoria, l</w:t>
      </w:r>
      <w:r w:rsidR="0008592C" w:rsidRPr="00E66386">
        <w:rPr>
          <w:rFonts w:asciiTheme="majorHAnsi" w:hAnsiTheme="majorHAnsi"/>
          <w:bCs/>
          <w:sz w:val="20"/>
          <w:szCs w:val="20"/>
          <w:lang w:val="es-CO"/>
        </w:rPr>
        <w:t>as organizaciones querellantes interpusieron un recurso de apelación especial por motivos de fondo ante la Sala Primera de la Corte de Apelaciones. A septiembre de 2020 no se había decidido de fondo el recurso de apelación.</w:t>
      </w:r>
      <w:r w:rsidR="00761599" w:rsidRPr="00E66386">
        <w:rPr>
          <w:rFonts w:asciiTheme="majorHAnsi" w:hAnsiTheme="majorHAnsi"/>
          <w:bCs/>
          <w:sz w:val="20"/>
          <w:szCs w:val="20"/>
          <w:lang w:val="es-CO"/>
        </w:rPr>
        <w:t xml:space="preserve"> </w:t>
      </w:r>
      <w:r w:rsidR="0008592C" w:rsidRPr="00E66386">
        <w:rPr>
          <w:rFonts w:asciiTheme="majorHAnsi" w:hAnsiTheme="majorHAnsi"/>
          <w:bCs/>
          <w:sz w:val="20"/>
          <w:szCs w:val="20"/>
          <w:lang w:val="es-CO"/>
        </w:rPr>
        <w:t xml:space="preserve">Además, </w:t>
      </w:r>
      <w:r w:rsidR="00D5313C" w:rsidRPr="00E66386">
        <w:rPr>
          <w:rFonts w:asciiTheme="majorHAnsi" w:hAnsiTheme="majorHAnsi"/>
          <w:bCs/>
          <w:sz w:val="20"/>
          <w:szCs w:val="20"/>
          <w:lang w:val="es-CO"/>
        </w:rPr>
        <w:t xml:space="preserve">señalan que </w:t>
      </w:r>
      <w:r w:rsidR="0008592C" w:rsidRPr="00E66386">
        <w:rPr>
          <w:rFonts w:asciiTheme="majorHAnsi" w:hAnsiTheme="majorHAnsi"/>
          <w:bCs/>
          <w:sz w:val="20"/>
          <w:szCs w:val="20"/>
          <w:lang w:val="es-CO"/>
        </w:rPr>
        <w:t xml:space="preserve">el 10 de mayo de 2017 las querellantes presentaron acciones penales por el delito de </w:t>
      </w:r>
      <w:r w:rsidR="00D5313C" w:rsidRPr="00E66386">
        <w:rPr>
          <w:rFonts w:asciiTheme="majorHAnsi" w:hAnsiTheme="majorHAnsi"/>
          <w:bCs/>
          <w:sz w:val="20"/>
          <w:szCs w:val="20"/>
          <w:lang w:val="es-CO"/>
        </w:rPr>
        <w:t>p</w:t>
      </w:r>
      <w:r w:rsidR="0008592C" w:rsidRPr="00E66386">
        <w:rPr>
          <w:rFonts w:asciiTheme="majorHAnsi" w:hAnsiTheme="majorHAnsi"/>
          <w:bCs/>
          <w:sz w:val="20"/>
          <w:szCs w:val="20"/>
          <w:lang w:val="es-CO"/>
        </w:rPr>
        <w:t xml:space="preserve">revaricato contra </w:t>
      </w:r>
      <w:r w:rsidR="00D5313C" w:rsidRPr="00E66386">
        <w:rPr>
          <w:rFonts w:asciiTheme="majorHAnsi" w:hAnsiTheme="majorHAnsi"/>
          <w:bCs/>
          <w:sz w:val="20"/>
          <w:szCs w:val="20"/>
          <w:lang w:val="es-CO"/>
        </w:rPr>
        <w:t xml:space="preserve">los </w:t>
      </w:r>
      <w:r w:rsidR="0008592C" w:rsidRPr="00E66386">
        <w:rPr>
          <w:rFonts w:asciiTheme="majorHAnsi" w:hAnsiTheme="majorHAnsi"/>
          <w:bCs/>
          <w:sz w:val="20"/>
          <w:szCs w:val="20"/>
          <w:lang w:val="es-CO"/>
        </w:rPr>
        <w:t>tres magistrados de la C</w:t>
      </w:r>
      <w:r w:rsidR="00D5313C" w:rsidRPr="00E66386">
        <w:rPr>
          <w:rFonts w:asciiTheme="majorHAnsi" w:hAnsiTheme="majorHAnsi"/>
          <w:bCs/>
          <w:sz w:val="20"/>
          <w:szCs w:val="20"/>
          <w:lang w:val="es-CO"/>
        </w:rPr>
        <w:t xml:space="preserve">orte de </w:t>
      </w:r>
      <w:r w:rsidR="0008592C" w:rsidRPr="00E66386">
        <w:rPr>
          <w:rFonts w:asciiTheme="majorHAnsi" w:hAnsiTheme="majorHAnsi"/>
          <w:bCs/>
          <w:sz w:val="20"/>
          <w:szCs w:val="20"/>
          <w:lang w:val="es-CO"/>
        </w:rPr>
        <w:t>C</w:t>
      </w:r>
      <w:r w:rsidR="00D5313C" w:rsidRPr="00E66386">
        <w:rPr>
          <w:rFonts w:asciiTheme="majorHAnsi" w:hAnsiTheme="majorHAnsi"/>
          <w:bCs/>
          <w:sz w:val="20"/>
          <w:szCs w:val="20"/>
          <w:lang w:val="es-CO"/>
        </w:rPr>
        <w:t>onstitucionalidad</w:t>
      </w:r>
      <w:r w:rsidR="0008592C" w:rsidRPr="00E66386">
        <w:rPr>
          <w:rFonts w:asciiTheme="majorHAnsi" w:hAnsiTheme="majorHAnsi"/>
          <w:bCs/>
          <w:sz w:val="20"/>
          <w:szCs w:val="20"/>
          <w:lang w:val="es-CO"/>
        </w:rPr>
        <w:t xml:space="preserve"> que votaron a favor de retrotraer el proceso y </w:t>
      </w:r>
      <w:r w:rsidR="0089534E" w:rsidRPr="00E66386">
        <w:rPr>
          <w:rFonts w:asciiTheme="majorHAnsi" w:hAnsiTheme="majorHAnsi"/>
          <w:bCs/>
          <w:sz w:val="20"/>
          <w:szCs w:val="20"/>
          <w:lang w:val="es-CO"/>
        </w:rPr>
        <w:t>dejar</w:t>
      </w:r>
      <w:r w:rsidR="0008592C" w:rsidRPr="00E66386">
        <w:rPr>
          <w:rFonts w:asciiTheme="majorHAnsi" w:hAnsiTheme="majorHAnsi"/>
          <w:bCs/>
          <w:sz w:val="20"/>
          <w:szCs w:val="20"/>
          <w:lang w:val="es-CO"/>
        </w:rPr>
        <w:t xml:space="preserve"> sin efecto la sentencia </w:t>
      </w:r>
      <w:r w:rsidR="00D5313C" w:rsidRPr="00E66386">
        <w:rPr>
          <w:rFonts w:asciiTheme="majorHAnsi" w:hAnsiTheme="majorHAnsi"/>
          <w:bCs/>
          <w:sz w:val="20"/>
          <w:szCs w:val="20"/>
          <w:lang w:val="es-CO"/>
        </w:rPr>
        <w:t xml:space="preserve">condenatoria </w:t>
      </w:r>
      <w:r w:rsidR="0008592C" w:rsidRPr="00E66386">
        <w:rPr>
          <w:rFonts w:asciiTheme="majorHAnsi" w:hAnsiTheme="majorHAnsi"/>
          <w:bCs/>
          <w:sz w:val="20"/>
          <w:szCs w:val="20"/>
          <w:lang w:val="es-CO"/>
        </w:rPr>
        <w:t>del 2013, pero éstas fueron desestimadas por la Corte Suprema de Justicia.</w:t>
      </w:r>
    </w:p>
    <w:p w14:paraId="25BC4CA2" w14:textId="7E81188C" w:rsidR="0008592C" w:rsidRPr="00E66386" w:rsidRDefault="0008592C" w:rsidP="0008592C">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lastRenderedPageBreak/>
        <w:t xml:space="preserve">Relatan que también fueron imputados otros altos mandos militares de la época, a saber: Héctor Mario López Fuentes, Oscar Humberto Mejía Víctores y Luis Enrique Mendoza García. De estos últimos, Mejía Víctores y López Fuentes fallecieron sin haber sido llevados a juicio, </w:t>
      </w:r>
      <w:r w:rsidR="00AA5741" w:rsidRPr="00E66386">
        <w:rPr>
          <w:rFonts w:asciiTheme="majorHAnsi" w:hAnsiTheme="majorHAnsi"/>
          <w:bCs/>
          <w:sz w:val="20"/>
          <w:szCs w:val="20"/>
          <w:lang w:val="es-CO"/>
        </w:rPr>
        <w:t xml:space="preserve">por lo que se extinguió </w:t>
      </w:r>
      <w:r w:rsidRPr="00E66386">
        <w:rPr>
          <w:rFonts w:asciiTheme="majorHAnsi" w:hAnsiTheme="majorHAnsi"/>
          <w:bCs/>
          <w:sz w:val="20"/>
          <w:szCs w:val="20"/>
          <w:lang w:val="es-CO"/>
        </w:rPr>
        <w:t>la acción penal en su contra. De los dos que sobreviven, José Mauricio Rodríguez Sánchez fue absuelto y su proceso se encuentra en apelación</w:t>
      </w:r>
      <w:r w:rsidR="0089534E" w:rsidRPr="00E66386">
        <w:rPr>
          <w:rFonts w:asciiTheme="majorHAnsi" w:hAnsiTheme="majorHAnsi"/>
          <w:bCs/>
          <w:sz w:val="20"/>
          <w:szCs w:val="20"/>
          <w:lang w:val="es-CO"/>
        </w:rPr>
        <w:t>;</w:t>
      </w:r>
      <w:r w:rsidRPr="00E66386">
        <w:rPr>
          <w:rFonts w:asciiTheme="majorHAnsi" w:hAnsiTheme="majorHAnsi"/>
          <w:bCs/>
          <w:sz w:val="20"/>
          <w:szCs w:val="20"/>
          <w:lang w:val="es-CO"/>
        </w:rPr>
        <w:t xml:space="preserve"> y Luis Enrique Mendoza García, quien tenía una orden de captura desde el 2011, fue </w:t>
      </w:r>
      <w:r w:rsidR="00AF736F" w:rsidRPr="00E66386">
        <w:rPr>
          <w:rFonts w:asciiTheme="majorHAnsi" w:hAnsiTheme="majorHAnsi"/>
          <w:bCs/>
          <w:sz w:val="20"/>
          <w:szCs w:val="20"/>
          <w:lang w:val="es-CO"/>
        </w:rPr>
        <w:t xml:space="preserve">finalmente </w:t>
      </w:r>
      <w:r w:rsidRPr="00E66386">
        <w:rPr>
          <w:rFonts w:asciiTheme="majorHAnsi" w:hAnsiTheme="majorHAnsi"/>
          <w:bCs/>
          <w:sz w:val="20"/>
          <w:szCs w:val="20"/>
          <w:lang w:val="es-CO"/>
        </w:rPr>
        <w:t xml:space="preserve">capturado el 16 de junio de 2019, </w:t>
      </w:r>
      <w:r w:rsidR="00AF736F" w:rsidRPr="00E66386">
        <w:rPr>
          <w:rFonts w:asciiTheme="majorHAnsi" w:hAnsiTheme="majorHAnsi"/>
          <w:bCs/>
          <w:sz w:val="20"/>
          <w:szCs w:val="20"/>
          <w:lang w:val="es-CO"/>
        </w:rPr>
        <w:t>y</w:t>
      </w:r>
      <w:r w:rsidR="00CD32CA" w:rsidRPr="00E66386">
        <w:rPr>
          <w:rFonts w:asciiTheme="majorHAnsi" w:hAnsiTheme="majorHAnsi"/>
          <w:bCs/>
          <w:sz w:val="20"/>
          <w:szCs w:val="20"/>
          <w:lang w:val="es-CO"/>
        </w:rPr>
        <w:t xml:space="preserve"> vinculado al proceso en noviembre de 2019</w:t>
      </w:r>
      <w:r w:rsidRPr="00E66386">
        <w:rPr>
          <w:rFonts w:asciiTheme="majorHAnsi" w:hAnsiTheme="majorHAnsi"/>
          <w:bCs/>
          <w:sz w:val="20"/>
          <w:szCs w:val="20"/>
          <w:lang w:val="es-CO"/>
        </w:rPr>
        <w:t>. Actualmente est</w:t>
      </w:r>
      <w:r w:rsidR="00AE5943" w:rsidRPr="00E66386">
        <w:rPr>
          <w:rFonts w:asciiTheme="majorHAnsi" w:hAnsiTheme="majorHAnsi"/>
          <w:bCs/>
          <w:sz w:val="20"/>
          <w:szCs w:val="20"/>
          <w:lang w:val="es-CO"/>
        </w:rPr>
        <w:t>aría</w:t>
      </w:r>
      <w:r w:rsidRPr="00E66386">
        <w:rPr>
          <w:rFonts w:asciiTheme="majorHAnsi" w:hAnsiTheme="majorHAnsi"/>
          <w:bCs/>
          <w:sz w:val="20"/>
          <w:szCs w:val="20"/>
          <w:lang w:val="es-CO"/>
        </w:rPr>
        <w:t xml:space="preserve"> a la espera de que se formalice la acusación en su contra,</w:t>
      </w:r>
      <w:r w:rsidR="00CD32CA" w:rsidRPr="00E66386">
        <w:rPr>
          <w:rFonts w:asciiTheme="majorHAnsi" w:hAnsiTheme="majorHAnsi"/>
          <w:bCs/>
          <w:sz w:val="20"/>
          <w:szCs w:val="20"/>
          <w:lang w:val="es-CO"/>
        </w:rPr>
        <w:t xml:space="preserve"> </w:t>
      </w:r>
      <w:r w:rsidRPr="00E66386">
        <w:rPr>
          <w:rFonts w:asciiTheme="majorHAnsi" w:hAnsiTheme="majorHAnsi"/>
          <w:bCs/>
          <w:sz w:val="20"/>
          <w:szCs w:val="20"/>
          <w:lang w:val="es-CO"/>
        </w:rPr>
        <w:t xml:space="preserve">gozando de medida sustitutiva a la privación de la libertad, pese haber estado prófugo más de </w:t>
      </w:r>
      <w:r w:rsidR="00AE5943" w:rsidRPr="00E66386">
        <w:rPr>
          <w:rFonts w:asciiTheme="majorHAnsi" w:hAnsiTheme="majorHAnsi"/>
          <w:bCs/>
          <w:sz w:val="20"/>
          <w:szCs w:val="20"/>
          <w:lang w:val="es-CO"/>
        </w:rPr>
        <w:t xml:space="preserve">ocho </w:t>
      </w:r>
      <w:r w:rsidRPr="00E66386">
        <w:rPr>
          <w:rFonts w:asciiTheme="majorHAnsi" w:hAnsiTheme="majorHAnsi"/>
          <w:bCs/>
          <w:sz w:val="20"/>
          <w:szCs w:val="20"/>
          <w:lang w:val="es-CO"/>
        </w:rPr>
        <w:t>años. De los cinco imputados, ninguno ha sido sancionado por estos hechos.</w:t>
      </w:r>
    </w:p>
    <w:p w14:paraId="57A88DC2" w14:textId="71E7407E" w:rsidR="00306405" w:rsidRPr="00E66386" w:rsidRDefault="00306405" w:rsidP="00306405">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A</w:t>
      </w:r>
      <w:r w:rsidR="00906951" w:rsidRPr="00E66386">
        <w:rPr>
          <w:rFonts w:asciiTheme="majorHAnsi" w:hAnsiTheme="majorHAnsi"/>
          <w:bCs/>
          <w:i/>
          <w:iCs/>
          <w:sz w:val="20"/>
          <w:szCs w:val="20"/>
          <w:lang w:val="es-CO"/>
        </w:rPr>
        <w:t xml:space="preserve">contecimientos </w:t>
      </w:r>
      <w:r w:rsidR="00BE757F" w:rsidRPr="00E66386">
        <w:rPr>
          <w:rFonts w:asciiTheme="majorHAnsi" w:hAnsiTheme="majorHAnsi"/>
          <w:bCs/>
          <w:i/>
          <w:iCs/>
          <w:sz w:val="20"/>
          <w:szCs w:val="20"/>
          <w:lang w:val="es-CO"/>
        </w:rPr>
        <w:t>relevantes alrededor de</w:t>
      </w:r>
      <w:r w:rsidR="00327CB3" w:rsidRPr="00E66386">
        <w:rPr>
          <w:rFonts w:asciiTheme="majorHAnsi" w:hAnsiTheme="majorHAnsi"/>
          <w:bCs/>
          <w:i/>
          <w:iCs/>
          <w:sz w:val="20"/>
          <w:szCs w:val="20"/>
          <w:lang w:val="es-CO"/>
        </w:rPr>
        <w:t>l juicio</w:t>
      </w:r>
    </w:p>
    <w:p w14:paraId="5942F9E9" w14:textId="38A41134" w:rsidR="006666E6" w:rsidRPr="00E66386" w:rsidRDefault="00327CB3" w:rsidP="00327CB3">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A</w:t>
      </w:r>
      <w:r w:rsidR="00DF4BD9" w:rsidRPr="00E66386">
        <w:rPr>
          <w:rFonts w:asciiTheme="majorHAnsi" w:hAnsiTheme="majorHAnsi"/>
          <w:bCs/>
          <w:sz w:val="20"/>
          <w:szCs w:val="20"/>
          <w:lang w:val="es-CO"/>
        </w:rPr>
        <w:t xml:space="preserve">dicionalmente, las organizaciones peticionarias denuncian que </w:t>
      </w:r>
      <w:r w:rsidR="00A60DC4" w:rsidRPr="00E66386">
        <w:rPr>
          <w:rFonts w:asciiTheme="majorHAnsi" w:hAnsiTheme="majorHAnsi"/>
          <w:bCs/>
          <w:sz w:val="20"/>
          <w:szCs w:val="20"/>
          <w:lang w:val="es-CO"/>
        </w:rPr>
        <w:t>el</w:t>
      </w:r>
      <w:r w:rsidR="00245C5F" w:rsidRPr="00E66386">
        <w:rPr>
          <w:rFonts w:asciiTheme="majorHAnsi" w:hAnsiTheme="majorHAnsi"/>
          <w:bCs/>
          <w:sz w:val="20"/>
          <w:szCs w:val="20"/>
          <w:lang w:val="es-CO"/>
        </w:rPr>
        <w:t xml:space="preserve"> </w:t>
      </w:r>
      <w:r w:rsidR="00A60DC4" w:rsidRPr="00E66386">
        <w:rPr>
          <w:rFonts w:asciiTheme="majorHAnsi" w:hAnsiTheme="majorHAnsi"/>
          <w:bCs/>
          <w:sz w:val="20"/>
          <w:szCs w:val="20"/>
          <w:lang w:val="es-CO"/>
        </w:rPr>
        <w:t xml:space="preserve">Congreso </w:t>
      </w:r>
      <w:r w:rsidR="00245C5F" w:rsidRPr="00E66386">
        <w:rPr>
          <w:rFonts w:asciiTheme="majorHAnsi" w:hAnsiTheme="majorHAnsi"/>
          <w:bCs/>
          <w:sz w:val="20"/>
          <w:szCs w:val="20"/>
          <w:lang w:val="es-CO"/>
        </w:rPr>
        <w:t>promovió</w:t>
      </w:r>
      <w:r w:rsidR="00EB0207" w:rsidRPr="00E66386">
        <w:rPr>
          <w:rFonts w:asciiTheme="majorHAnsi" w:hAnsiTheme="majorHAnsi"/>
          <w:bCs/>
          <w:sz w:val="20"/>
          <w:szCs w:val="20"/>
          <w:lang w:val="es-CO"/>
        </w:rPr>
        <w:t xml:space="preserve"> una iniciativa legislativa </w:t>
      </w:r>
      <w:r w:rsidRPr="00E66386">
        <w:rPr>
          <w:rFonts w:asciiTheme="majorHAnsi" w:hAnsiTheme="majorHAnsi"/>
          <w:bCs/>
          <w:sz w:val="20"/>
          <w:szCs w:val="20"/>
          <w:lang w:val="es-CO"/>
        </w:rPr>
        <w:t xml:space="preserve">tendiente a perpetuar la impunidad </w:t>
      </w:r>
      <w:r w:rsidR="00EB0207" w:rsidRPr="00E66386">
        <w:rPr>
          <w:rFonts w:asciiTheme="majorHAnsi" w:hAnsiTheme="majorHAnsi"/>
          <w:bCs/>
          <w:sz w:val="20"/>
          <w:szCs w:val="20"/>
          <w:lang w:val="es-CO"/>
        </w:rPr>
        <w:t xml:space="preserve">en </w:t>
      </w:r>
      <w:r w:rsidRPr="00E66386">
        <w:rPr>
          <w:rFonts w:asciiTheme="majorHAnsi" w:hAnsiTheme="majorHAnsi"/>
          <w:bCs/>
          <w:sz w:val="20"/>
          <w:szCs w:val="20"/>
          <w:lang w:val="es-CO"/>
        </w:rPr>
        <w:t>el presente caso</w:t>
      </w:r>
      <w:r w:rsidR="00EB0207" w:rsidRPr="00E66386">
        <w:rPr>
          <w:rFonts w:asciiTheme="majorHAnsi" w:hAnsiTheme="majorHAnsi"/>
          <w:bCs/>
          <w:sz w:val="20"/>
          <w:szCs w:val="20"/>
          <w:lang w:val="es-CO"/>
        </w:rPr>
        <w:t xml:space="preserve">. Se trata de </w:t>
      </w:r>
      <w:r w:rsidRPr="00E66386">
        <w:rPr>
          <w:rFonts w:asciiTheme="majorHAnsi" w:hAnsiTheme="majorHAnsi"/>
          <w:bCs/>
          <w:sz w:val="20"/>
          <w:szCs w:val="20"/>
          <w:lang w:val="es-CO"/>
        </w:rPr>
        <w:t>la iniciativa 5377</w:t>
      </w:r>
      <w:r w:rsidR="00EB0207" w:rsidRPr="00E66386">
        <w:rPr>
          <w:rFonts w:asciiTheme="majorHAnsi" w:hAnsiTheme="majorHAnsi"/>
          <w:bCs/>
          <w:sz w:val="20"/>
          <w:szCs w:val="20"/>
          <w:lang w:val="es-CO"/>
        </w:rPr>
        <w:t xml:space="preserve"> </w:t>
      </w:r>
      <w:r w:rsidR="001C26C0" w:rsidRPr="00E66386">
        <w:rPr>
          <w:rFonts w:asciiTheme="majorHAnsi" w:hAnsiTheme="majorHAnsi"/>
          <w:bCs/>
          <w:sz w:val="20"/>
          <w:szCs w:val="20"/>
          <w:lang w:val="es-CO"/>
        </w:rPr>
        <w:t xml:space="preserve">que inició </w:t>
      </w:r>
      <w:r w:rsidR="00C94DAC" w:rsidRPr="00E66386">
        <w:rPr>
          <w:rFonts w:asciiTheme="majorHAnsi" w:hAnsiTheme="majorHAnsi"/>
          <w:bCs/>
          <w:sz w:val="20"/>
          <w:szCs w:val="20"/>
          <w:lang w:val="es-CO"/>
        </w:rPr>
        <w:t>trámite</w:t>
      </w:r>
      <w:r w:rsidR="00EB0207" w:rsidRPr="00E66386">
        <w:rPr>
          <w:rFonts w:asciiTheme="majorHAnsi" w:hAnsiTheme="majorHAnsi"/>
          <w:bCs/>
          <w:sz w:val="20"/>
          <w:szCs w:val="20"/>
          <w:lang w:val="es-CO"/>
        </w:rPr>
        <w:t xml:space="preserve"> de aprobación en el Congreso de la República </w:t>
      </w:r>
      <w:r w:rsidRPr="00E66386">
        <w:rPr>
          <w:rFonts w:asciiTheme="majorHAnsi" w:hAnsiTheme="majorHAnsi"/>
          <w:bCs/>
          <w:sz w:val="20"/>
          <w:szCs w:val="20"/>
          <w:lang w:val="es-CO"/>
        </w:rPr>
        <w:t>en noviembre de 2017</w:t>
      </w:r>
      <w:r w:rsidR="007C55AC" w:rsidRPr="00E66386">
        <w:rPr>
          <w:rFonts w:asciiTheme="majorHAnsi" w:hAnsiTheme="majorHAnsi"/>
          <w:bCs/>
          <w:sz w:val="20"/>
          <w:szCs w:val="20"/>
          <w:lang w:val="es-CO"/>
        </w:rPr>
        <w:t>,</w:t>
      </w:r>
      <w:r w:rsidRPr="00E66386">
        <w:rPr>
          <w:rFonts w:asciiTheme="majorHAnsi" w:hAnsiTheme="majorHAnsi"/>
          <w:bCs/>
          <w:sz w:val="20"/>
          <w:szCs w:val="20"/>
          <w:lang w:val="es-CO"/>
        </w:rPr>
        <w:t xml:space="preserve"> para reformar la Ley de Reconciliación Nacional con el objet</w:t>
      </w:r>
      <w:r w:rsidR="00EB0207" w:rsidRPr="00E66386">
        <w:rPr>
          <w:rFonts w:asciiTheme="majorHAnsi" w:hAnsiTheme="majorHAnsi"/>
          <w:bCs/>
          <w:sz w:val="20"/>
          <w:szCs w:val="20"/>
          <w:lang w:val="es-CO"/>
        </w:rPr>
        <w:t>iv</w:t>
      </w:r>
      <w:r w:rsidRPr="00E66386">
        <w:rPr>
          <w:rFonts w:asciiTheme="majorHAnsi" w:hAnsiTheme="majorHAnsi"/>
          <w:bCs/>
          <w:sz w:val="20"/>
          <w:szCs w:val="20"/>
          <w:lang w:val="es-CO"/>
        </w:rPr>
        <w:t>o de otorgar una amnistía “</w:t>
      </w:r>
      <w:r w:rsidRPr="00E66386">
        <w:rPr>
          <w:rFonts w:asciiTheme="majorHAnsi" w:hAnsiTheme="majorHAnsi"/>
          <w:bCs/>
          <w:i/>
          <w:iCs/>
          <w:sz w:val="20"/>
          <w:szCs w:val="20"/>
          <w:lang w:val="es-CO"/>
        </w:rPr>
        <w:t>absoluta e incondicional</w:t>
      </w:r>
      <w:r w:rsidRPr="00E66386">
        <w:rPr>
          <w:rFonts w:asciiTheme="majorHAnsi" w:hAnsiTheme="majorHAnsi"/>
          <w:bCs/>
          <w:sz w:val="20"/>
          <w:szCs w:val="20"/>
          <w:lang w:val="es-CO"/>
        </w:rPr>
        <w:t xml:space="preserve">” a </w:t>
      </w:r>
      <w:r w:rsidR="00621EE2" w:rsidRPr="00E66386">
        <w:rPr>
          <w:rFonts w:asciiTheme="majorHAnsi" w:hAnsiTheme="majorHAnsi"/>
          <w:bCs/>
          <w:sz w:val="20"/>
          <w:szCs w:val="20"/>
          <w:lang w:val="es-CO"/>
        </w:rPr>
        <w:t xml:space="preserve">los responsables de graves </w:t>
      </w:r>
      <w:r w:rsidRPr="00E66386">
        <w:rPr>
          <w:rFonts w:asciiTheme="majorHAnsi" w:hAnsiTheme="majorHAnsi"/>
          <w:bCs/>
          <w:sz w:val="20"/>
          <w:szCs w:val="20"/>
          <w:lang w:val="es-CO"/>
        </w:rPr>
        <w:t xml:space="preserve">violaciones de los derechos humanos durante el conflicto armado guatemalteco. </w:t>
      </w:r>
      <w:r w:rsidR="00621EE2" w:rsidRPr="00E66386">
        <w:rPr>
          <w:rFonts w:asciiTheme="majorHAnsi" w:hAnsiTheme="majorHAnsi"/>
          <w:bCs/>
          <w:sz w:val="20"/>
          <w:szCs w:val="20"/>
          <w:lang w:val="es-CO"/>
        </w:rPr>
        <w:t>Señalan que l</w:t>
      </w:r>
      <w:r w:rsidRPr="00E66386">
        <w:rPr>
          <w:rFonts w:asciiTheme="majorHAnsi" w:hAnsiTheme="majorHAnsi"/>
          <w:bCs/>
          <w:sz w:val="20"/>
          <w:szCs w:val="20"/>
          <w:lang w:val="es-CO"/>
        </w:rPr>
        <w:t>a propuesta avanzó en su trámite legislativo a tal punto que el 12 de marzo de 2019 la Corte Interamericana de Derechos Humanos (</w:t>
      </w:r>
      <w:r w:rsidR="00654AEA" w:rsidRPr="00E66386">
        <w:rPr>
          <w:rFonts w:asciiTheme="majorHAnsi" w:hAnsiTheme="majorHAnsi"/>
          <w:bCs/>
          <w:sz w:val="20"/>
          <w:szCs w:val="20"/>
          <w:lang w:val="es-CO"/>
        </w:rPr>
        <w:t xml:space="preserve">en adelante </w:t>
      </w:r>
      <w:r w:rsidR="00AD517D" w:rsidRPr="00E66386">
        <w:rPr>
          <w:rFonts w:asciiTheme="majorHAnsi" w:hAnsiTheme="majorHAnsi"/>
          <w:bCs/>
          <w:sz w:val="20"/>
          <w:szCs w:val="20"/>
          <w:lang w:val="es-CO"/>
        </w:rPr>
        <w:t xml:space="preserve">“la Corte Interamericana” o </w:t>
      </w:r>
      <w:r w:rsidR="00654AEA" w:rsidRPr="00E66386">
        <w:rPr>
          <w:rFonts w:asciiTheme="majorHAnsi" w:hAnsiTheme="majorHAnsi"/>
          <w:bCs/>
          <w:sz w:val="20"/>
          <w:szCs w:val="20"/>
          <w:lang w:val="es-CO"/>
        </w:rPr>
        <w:t>“</w:t>
      </w:r>
      <w:r w:rsidR="00AD517D" w:rsidRPr="00E66386">
        <w:rPr>
          <w:rFonts w:asciiTheme="majorHAnsi" w:hAnsiTheme="majorHAnsi"/>
          <w:bCs/>
          <w:sz w:val="20"/>
          <w:szCs w:val="20"/>
          <w:lang w:val="es-CO"/>
        </w:rPr>
        <w:t xml:space="preserve">la </w:t>
      </w:r>
      <w:r w:rsidRPr="00E66386">
        <w:rPr>
          <w:rFonts w:asciiTheme="majorHAnsi" w:hAnsiTheme="majorHAnsi"/>
          <w:bCs/>
          <w:sz w:val="20"/>
          <w:szCs w:val="20"/>
          <w:lang w:val="es-CO"/>
        </w:rPr>
        <w:t>Corte IDH</w:t>
      </w:r>
      <w:r w:rsidR="00654AEA" w:rsidRPr="00E66386">
        <w:rPr>
          <w:rFonts w:asciiTheme="majorHAnsi" w:hAnsiTheme="majorHAnsi"/>
          <w:bCs/>
          <w:sz w:val="20"/>
          <w:szCs w:val="20"/>
          <w:lang w:val="es-CO"/>
        </w:rPr>
        <w:t>”</w:t>
      </w:r>
      <w:r w:rsidRPr="00E66386">
        <w:rPr>
          <w:rFonts w:asciiTheme="majorHAnsi" w:hAnsiTheme="majorHAnsi"/>
          <w:bCs/>
          <w:sz w:val="20"/>
          <w:szCs w:val="20"/>
          <w:lang w:val="es-CO"/>
        </w:rPr>
        <w:t xml:space="preserve">) ordenó al Estado interrumpir su tramitación y archivarla por considerar que representa un riesgo de daño irreparable al derecho de acceso a la justicia para las víctimas de </w:t>
      </w:r>
      <w:r w:rsidR="00654AEA" w:rsidRPr="00E66386">
        <w:rPr>
          <w:rFonts w:asciiTheme="majorHAnsi" w:hAnsiTheme="majorHAnsi"/>
          <w:bCs/>
          <w:sz w:val="20"/>
          <w:szCs w:val="20"/>
          <w:lang w:val="es-CO"/>
        </w:rPr>
        <w:t>catorce</w:t>
      </w:r>
      <w:r w:rsidRPr="00E66386">
        <w:rPr>
          <w:rFonts w:asciiTheme="majorHAnsi" w:hAnsiTheme="majorHAnsi"/>
          <w:bCs/>
          <w:sz w:val="20"/>
          <w:szCs w:val="20"/>
          <w:lang w:val="es-CO"/>
        </w:rPr>
        <w:t xml:space="preserve"> </w:t>
      </w:r>
      <w:r w:rsidR="00654AEA" w:rsidRPr="00E66386">
        <w:rPr>
          <w:rFonts w:asciiTheme="majorHAnsi" w:hAnsiTheme="majorHAnsi"/>
          <w:bCs/>
          <w:sz w:val="20"/>
          <w:szCs w:val="20"/>
          <w:lang w:val="es-CO"/>
        </w:rPr>
        <w:t xml:space="preserve">sentencias relativas a </w:t>
      </w:r>
      <w:r w:rsidRPr="00E66386">
        <w:rPr>
          <w:rFonts w:asciiTheme="majorHAnsi" w:hAnsiTheme="majorHAnsi"/>
          <w:bCs/>
          <w:sz w:val="20"/>
          <w:szCs w:val="20"/>
          <w:lang w:val="es-CO"/>
        </w:rPr>
        <w:t>graves violaciones de derechos humanos que se encuentran en la etapa de supervisión de cumplimiento de sentencia</w:t>
      </w:r>
      <w:r w:rsidR="00654AEA" w:rsidRPr="00E66386">
        <w:rPr>
          <w:rFonts w:asciiTheme="majorHAnsi" w:hAnsiTheme="majorHAnsi"/>
          <w:bCs/>
          <w:sz w:val="20"/>
          <w:szCs w:val="20"/>
          <w:lang w:val="es-CO"/>
        </w:rPr>
        <w:t xml:space="preserve"> ante la Corte IDH</w:t>
      </w:r>
      <w:r w:rsidRPr="00E66386">
        <w:rPr>
          <w:rFonts w:asciiTheme="majorHAnsi" w:hAnsiTheme="majorHAnsi"/>
          <w:bCs/>
          <w:sz w:val="20"/>
          <w:szCs w:val="20"/>
          <w:lang w:val="es-CO"/>
        </w:rPr>
        <w:t xml:space="preserve">. </w:t>
      </w:r>
      <w:r w:rsidR="00DC421E" w:rsidRPr="00E66386">
        <w:rPr>
          <w:rFonts w:asciiTheme="majorHAnsi" w:hAnsiTheme="majorHAnsi"/>
          <w:bCs/>
          <w:sz w:val="20"/>
          <w:szCs w:val="20"/>
          <w:lang w:val="es-CO"/>
        </w:rPr>
        <w:t>Se advierte que, d</w:t>
      </w:r>
      <w:r w:rsidR="006666E6" w:rsidRPr="00E66386">
        <w:rPr>
          <w:rFonts w:asciiTheme="majorHAnsi" w:hAnsiTheme="majorHAnsi"/>
          <w:bCs/>
          <w:sz w:val="20"/>
          <w:szCs w:val="20"/>
          <w:lang w:val="es-CO"/>
        </w:rPr>
        <w:t xml:space="preserve">e acuerdo con información de público conocimiento, </w:t>
      </w:r>
      <w:r w:rsidR="006A3E08" w:rsidRPr="00E66386">
        <w:rPr>
          <w:rFonts w:asciiTheme="majorHAnsi" w:hAnsiTheme="majorHAnsi"/>
          <w:bCs/>
          <w:sz w:val="20"/>
          <w:szCs w:val="20"/>
          <w:lang w:val="es-CO"/>
        </w:rPr>
        <w:t>la Corte de Constitucionalidad suspendió el trámite de la iniciativa mediante una decisión de amparo provisional</w:t>
      </w:r>
      <w:r w:rsidR="003F2170" w:rsidRPr="00E66386">
        <w:rPr>
          <w:rFonts w:asciiTheme="majorHAnsi" w:hAnsiTheme="majorHAnsi"/>
          <w:bCs/>
          <w:sz w:val="20"/>
          <w:szCs w:val="20"/>
          <w:lang w:val="es-CO"/>
        </w:rPr>
        <w:t>;</w:t>
      </w:r>
      <w:r w:rsidR="006A3E08" w:rsidRPr="00E66386">
        <w:rPr>
          <w:rFonts w:asciiTheme="majorHAnsi" w:hAnsiTheme="majorHAnsi"/>
          <w:bCs/>
          <w:sz w:val="20"/>
          <w:szCs w:val="20"/>
          <w:lang w:val="es-CO"/>
        </w:rPr>
        <w:t xml:space="preserve"> </w:t>
      </w:r>
      <w:r w:rsidR="00C45CE7" w:rsidRPr="00E66386">
        <w:rPr>
          <w:rFonts w:asciiTheme="majorHAnsi" w:hAnsiTheme="majorHAnsi"/>
          <w:bCs/>
          <w:sz w:val="20"/>
          <w:szCs w:val="20"/>
          <w:lang w:val="es-CO"/>
        </w:rPr>
        <w:t xml:space="preserve">y el 9 de febrero de 2021 ordenó dejar sin efecto </w:t>
      </w:r>
      <w:r w:rsidR="003F65C8" w:rsidRPr="00E66386">
        <w:rPr>
          <w:rFonts w:asciiTheme="majorHAnsi" w:hAnsiTheme="majorHAnsi"/>
          <w:bCs/>
          <w:sz w:val="20"/>
          <w:szCs w:val="20"/>
          <w:lang w:val="es-CO"/>
        </w:rPr>
        <w:t>el procedimiento de formación, sanción y promulgación de la inicia</w:t>
      </w:r>
      <w:r w:rsidR="00A8631F" w:rsidRPr="00E66386">
        <w:rPr>
          <w:rFonts w:asciiTheme="majorHAnsi" w:hAnsiTheme="majorHAnsi"/>
          <w:bCs/>
          <w:sz w:val="20"/>
          <w:szCs w:val="20"/>
          <w:lang w:val="es-CO"/>
        </w:rPr>
        <w:t>tiva por ser “</w:t>
      </w:r>
      <w:r w:rsidR="00A8631F" w:rsidRPr="00E66386">
        <w:rPr>
          <w:rFonts w:asciiTheme="majorHAnsi" w:hAnsiTheme="majorHAnsi"/>
          <w:bCs/>
          <w:i/>
          <w:iCs/>
          <w:sz w:val="20"/>
          <w:szCs w:val="20"/>
          <w:lang w:val="es-CO"/>
        </w:rPr>
        <w:t>constitucional y convencionalmente inviable disponer amnistía con relación a delitos que constituyan graves violaciones de derechos humanos o crímenes de lesa humanidad</w:t>
      </w:r>
      <w:r w:rsidR="00A8631F" w:rsidRPr="00E66386">
        <w:rPr>
          <w:rFonts w:asciiTheme="majorHAnsi" w:hAnsiTheme="majorHAnsi"/>
          <w:bCs/>
          <w:sz w:val="20"/>
          <w:szCs w:val="20"/>
          <w:lang w:val="es-CO"/>
        </w:rPr>
        <w:t>”</w:t>
      </w:r>
      <w:r w:rsidR="00A24212" w:rsidRPr="00E66386">
        <w:rPr>
          <w:rStyle w:val="FootnoteReference"/>
          <w:rFonts w:asciiTheme="majorHAnsi" w:hAnsiTheme="majorHAnsi"/>
          <w:bCs/>
          <w:sz w:val="20"/>
          <w:szCs w:val="20"/>
          <w:lang w:val="es-CO"/>
        </w:rPr>
        <w:footnoteReference w:id="13"/>
      </w:r>
      <w:r w:rsidR="00A8631F" w:rsidRPr="00E66386">
        <w:rPr>
          <w:rFonts w:asciiTheme="majorHAnsi" w:hAnsiTheme="majorHAnsi"/>
          <w:bCs/>
          <w:sz w:val="20"/>
          <w:szCs w:val="20"/>
          <w:lang w:val="es-CO"/>
        </w:rPr>
        <w:t>.</w:t>
      </w:r>
    </w:p>
    <w:p w14:paraId="5C77905A" w14:textId="666DBDAA" w:rsidR="00C34223" w:rsidRPr="00E66386" w:rsidRDefault="007F0FE2" w:rsidP="00E8148F">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Asimismo, l</w:t>
      </w:r>
      <w:r w:rsidR="009904EE" w:rsidRPr="00E66386">
        <w:rPr>
          <w:rFonts w:asciiTheme="majorHAnsi" w:hAnsiTheme="majorHAnsi"/>
          <w:bCs/>
          <w:sz w:val="20"/>
          <w:szCs w:val="20"/>
          <w:lang w:val="es-CO"/>
        </w:rPr>
        <w:t>as organizaciones peticionarias</w:t>
      </w:r>
      <w:r w:rsidRPr="00E66386">
        <w:rPr>
          <w:rFonts w:asciiTheme="majorHAnsi" w:hAnsiTheme="majorHAnsi"/>
          <w:bCs/>
          <w:sz w:val="20"/>
          <w:szCs w:val="20"/>
          <w:lang w:val="es-CO"/>
        </w:rPr>
        <w:t xml:space="preserve"> denuncian nuevos </w:t>
      </w:r>
      <w:r w:rsidR="00327CB3" w:rsidRPr="00E66386">
        <w:rPr>
          <w:rFonts w:asciiTheme="majorHAnsi" w:hAnsiTheme="majorHAnsi"/>
          <w:bCs/>
          <w:sz w:val="20"/>
          <w:szCs w:val="20"/>
          <w:lang w:val="es-CO"/>
        </w:rPr>
        <w:t>esfuerzos estatales para restringir el acceso a los documentos contenidos en el Archivo Histórico de la Policía Nacional</w:t>
      </w:r>
      <w:r w:rsidR="005736E6" w:rsidRPr="00E66386">
        <w:rPr>
          <w:rFonts w:asciiTheme="majorHAnsi" w:hAnsiTheme="majorHAnsi"/>
          <w:bCs/>
          <w:sz w:val="20"/>
          <w:szCs w:val="20"/>
          <w:lang w:val="es-CO"/>
        </w:rPr>
        <w:t>;</w:t>
      </w:r>
      <w:r w:rsidR="00327CB3" w:rsidRPr="00E66386">
        <w:rPr>
          <w:rFonts w:asciiTheme="majorHAnsi" w:hAnsiTheme="majorHAnsi"/>
          <w:bCs/>
          <w:sz w:val="20"/>
          <w:szCs w:val="20"/>
          <w:lang w:val="es-CO"/>
        </w:rPr>
        <w:t xml:space="preserve"> </w:t>
      </w:r>
      <w:r w:rsidR="00E35C88" w:rsidRPr="00E66386">
        <w:rPr>
          <w:rFonts w:asciiTheme="majorHAnsi" w:hAnsiTheme="majorHAnsi"/>
          <w:bCs/>
          <w:sz w:val="20"/>
          <w:szCs w:val="20"/>
          <w:lang w:val="es-CO"/>
        </w:rPr>
        <w:t xml:space="preserve">y </w:t>
      </w:r>
      <w:r w:rsidR="0061586A" w:rsidRPr="00E66386">
        <w:rPr>
          <w:rFonts w:asciiTheme="majorHAnsi" w:hAnsiTheme="majorHAnsi"/>
          <w:bCs/>
          <w:sz w:val="20"/>
          <w:szCs w:val="20"/>
          <w:lang w:val="es-CO"/>
        </w:rPr>
        <w:t xml:space="preserve">la </w:t>
      </w:r>
      <w:r w:rsidR="00144494" w:rsidRPr="00E66386">
        <w:rPr>
          <w:rFonts w:asciiTheme="majorHAnsi" w:hAnsiTheme="majorHAnsi"/>
          <w:bCs/>
          <w:sz w:val="20"/>
          <w:szCs w:val="20"/>
          <w:lang w:val="es-CO"/>
        </w:rPr>
        <w:t xml:space="preserve">implementación </w:t>
      </w:r>
      <w:r w:rsidR="0061586A" w:rsidRPr="00E66386">
        <w:rPr>
          <w:rFonts w:asciiTheme="majorHAnsi" w:hAnsiTheme="majorHAnsi"/>
          <w:bCs/>
          <w:sz w:val="20"/>
          <w:szCs w:val="20"/>
          <w:lang w:val="es-CO"/>
        </w:rPr>
        <w:t xml:space="preserve">de una campaña de desprestigio contra </w:t>
      </w:r>
      <w:r w:rsidR="00144494" w:rsidRPr="00E66386">
        <w:rPr>
          <w:rFonts w:asciiTheme="majorHAnsi" w:hAnsiTheme="majorHAnsi"/>
          <w:bCs/>
          <w:sz w:val="20"/>
          <w:szCs w:val="20"/>
          <w:lang w:val="es-CO"/>
        </w:rPr>
        <w:t xml:space="preserve">los testigos y </w:t>
      </w:r>
      <w:r w:rsidR="007B14BF" w:rsidRPr="00E66386">
        <w:rPr>
          <w:rFonts w:asciiTheme="majorHAnsi" w:hAnsiTheme="majorHAnsi"/>
          <w:bCs/>
          <w:sz w:val="20"/>
          <w:szCs w:val="20"/>
          <w:lang w:val="es-CO"/>
        </w:rPr>
        <w:t xml:space="preserve">partes procesales del juicio por parte de funcionarios del gobierno guatemalteco. Manifiestan que durante el juicio de 2013 el </w:t>
      </w:r>
      <w:r w:rsidR="0008592C" w:rsidRPr="00E66386">
        <w:rPr>
          <w:rFonts w:asciiTheme="majorHAnsi" w:hAnsiTheme="majorHAnsi"/>
          <w:bCs/>
          <w:sz w:val="20"/>
          <w:szCs w:val="20"/>
          <w:lang w:val="es-CO"/>
        </w:rPr>
        <w:t xml:space="preserve">entonces </w:t>
      </w:r>
      <w:r w:rsidR="007B14BF" w:rsidRPr="00E66386">
        <w:rPr>
          <w:rFonts w:asciiTheme="majorHAnsi" w:hAnsiTheme="majorHAnsi"/>
          <w:bCs/>
          <w:sz w:val="20"/>
          <w:szCs w:val="20"/>
          <w:lang w:val="es-CO"/>
        </w:rPr>
        <w:t>P</w:t>
      </w:r>
      <w:r w:rsidR="0008592C" w:rsidRPr="00E66386">
        <w:rPr>
          <w:rFonts w:asciiTheme="majorHAnsi" w:hAnsiTheme="majorHAnsi"/>
          <w:bCs/>
          <w:sz w:val="20"/>
          <w:szCs w:val="20"/>
          <w:lang w:val="es-CO"/>
        </w:rPr>
        <w:t xml:space="preserve">residente de la </w:t>
      </w:r>
      <w:r w:rsidR="007B14BF" w:rsidRPr="00E66386">
        <w:rPr>
          <w:rFonts w:asciiTheme="majorHAnsi" w:hAnsiTheme="majorHAnsi"/>
          <w:bCs/>
          <w:sz w:val="20"/>
          <w:szCs w:val="20"/>
          <w:lang w:val="es-CO"/>
        </w:rPr>
        <w:t>R</w:t>
      </w:r>
      <w:r w:rsidR="0008592C" w:rsidRPr="00E66386">
        <w:rPr>
          <w:rFonts w:asciiTheme="majorHAnsi" w:hAnsiTheme="majorHAnsi"/>
          <w:bCs/>
          <w:sz w:val="20"/>
          <w:szCs w:val="20"/>
          <w:lang w:val="es-CO"/>
        </w:rPr>
        <w:t>epública, Otto Pérez Molina, realiz</w:t>
      </w:r>
      <w:r w:rsidR="007B14BF" w:rsidRPr="00E66386">
        <w:rPr>
          <w:rFonts w:asciiTheme="majorHAnsi" w:hAnsiTheme="majorHAnsi"/>
          <w:bCs/>
          <w:sz w:val="20"/>
          <w:szCs w:val="20"/>
          <w:lang w:val="es-CO"/>
        </w:rPr>
        <w:t>ó</w:t>
      </w:r>
      <w:r w:rsidR="0008592C" w:rsidRPr="00E66386">
        <w:rPr>
          <w:rFonts w:asciiTheme="majorHAnsi" w:hAnsiTheme="majorHAnsi"/>
          <w:bCs/>
          <w:sz w:val="20"/>
          <w:szCs w:val="20"/>
          <w:lang w:val="es-CO"/>
        </w:rPr>
        <w:t xml:space="preserve"> declaraciones que atenta</w:t>
      </w:r>
      <w:r w:rsidR="00C712F6" w:rsidRPr="00E66386">
        <w:rPr>
          <w:rFonts w:asciiTheme="majorHAnsi" w:hAnsiTheme="majorHAnsi"/>
          <w:bCs/>
          <w:sz w:val="20"/>
          <w:szCs w:val="20"/>
          <w:lang w:val="es-CO"/>
        </w:rPr>
        <w:t>ría</w:t>
      </w:r>
      <w:r w:rsidR="0008592C" w:rsidRPr="00E66386">
        <w:rPr>
          <w:rFonts w:asciiTheme="majorHAnsi" w:hAnsiTheme="majorHAnsi"/>
          <w:bCs/>
          <w:sz w:val="20"/>
          <w:szCs w:val="20"/>
          <w:lang w:val="es-CO"/>
        </w:rPr>
        <w:t xml:space="preserve">n contra la independencia judicial del Tribunal </w:t>
      </w:r>
      <w:r w:rsidR="00C712F6" w:rsidRPr="00E66386">
        <w:rPr>
          <w:rFonts w:asciiTheme="majorHAnsi" w:hAnsiTheme="majorHAnsi"/>
          <w:bCs/>
          <w:sz w:val="20"/>
          <w:szCs w:val="20"/>
          <w:lang w:val="es-CO"/>
        </w:rPr>
        <w:t>A</w:t>
      </w:r>
      <w:r w:rsidR="008523A0" w:rsidRPr="00E66386">
        <w:rPr>
          <w:rFonts w:asciiTheme="majorHAnsi" w:hAnsiTheme="majorHAnsi"/>
          <w:bCs/>
          <w:sz w:val="20"/>
          <w:szCs w:val="20"/>
          <w:lang w:val="es-CO"/>
        </w:rPr>
        <w:t>,</w:t>
      </w:r>
      <w:r w:rsidR="00C712F6" w:rsidRPr="00E66386">
        <w:rPr>
          <w:rFonts w:asciiTheme="majorHAnsi" w:hAnsiTheme="majorHAnsi"/>
          <w:bCs/>
          <w:sz w:val="20"/>
          <w:szCs w:val="20"/>
          <w:lang w:val="es-CO"/>
        </w:rPr>
        <w:t xml:space="preserve"> </w:t>
      </w:r>
      <w:r w:rsidR="0008592C" w:rsidRPr="00E66386">
        <w:rPr>
          <w:rFonts w:asciiTheme="majorHAnsi" w:hAnsiTheme="majorHAnsi"/>
          <w:bCs/>
          <w:sz w:val="20"/>
          <w:szCs w:val="20"/>
          <w:lang w:val="es-CO"/>
        </w:rPr>
        <w:t xml:space="preserve">y </w:t>
      </w:r>
      <w:r w:rsidR="008523A0" w:rsidRPr="00E66386">
        <w:rPr>
          <w:rFonts w:asciiTheme="majorHAnsi" w:hAnsiTheme="majorHAnsi"/>
          <w:bCs/>
          <w:sz w:val="20"/>
          <w:szCs w:val="20"/>
          <w:lang w:val="es-CO"/>
        </w:rPr>
        <w:t>negaban</w:t>
      </w:r>
      <w:r w:rsidR="0008592C" w:rsidRPr="00E66386">
        <w:rPr>
          <w:rFonts w:asciiTheme="majorHAnsi" w:hAnsiTheme="majorHAnsi"/>
          <w:bCs/>
          <w:sz w:val="20"/>
          <w:szCs w:val="20"/>
          <w:lang w:val="es-CO"/>
        </w:rPr>
        <w:t xml:space="preserve"> el genocidio</w:t>
      </w:r>
      <w:r w:rsidR="00C712F6" w:rsidRPr="00E66386">
        <w:rPr>
          <w:rFonts w:asciiTheme="majorHAnsi" w:hAnsiTheme="majorHAnsi"/>
          <w:bCs/>
          <w:sz w:val="20"/>
          <w:szCs w:val="20"/>
          <w:lang w:val="es-CO"/>
        </w:rPr>
        <w:t>.</w:t>
      </w:r>
      <w:r w:rsidR="0008592C" w:rsidRPr="00E66386">
        <w:rPr>
          <w:rFonts w:asciiTheme="majorHAnsi" w:hAnsiTheme="majorHAnsi"/>
          <w:bCs/>
          <w:sz w:val="20"/>
          <w:szCs w:val="20"/>
          <w:lang w:val="es-CO"/>
        </w:rPr>
        <w:t xml:space="preserve"> También denuncian diversos actos de intimidación contra testigos y otras partes procesales del juicio. </w:t>
      </w:r>
      <w:r w:rsidR="00C712F6" w:rsidRPr="00E66386">
        <w:rPr>
          <w:rFonts w:asciiTheme="majorHAnsi" w:hAnsiTheme="majorHAnsi"/>
          <w:bCs/>
          <w:sz w:val="20"/>
          <w:szCs w:val="20"/>
          <w:lang w:val="es-CO"/>
        </w:rPr>
        <w:t xml:space="preserve">Y </w:t>
      </w:r>
      <w:r w:rsidR="0008592C" w:rsidRPr="00E66386">
        <w:rPr>
          <w:rFonts w:asciiTheme="majorHAnsi" w:hAnsiTheme="majorHAnsi"/>
          <w:bCs/>
          <w:sz w:val="20"/>
          <w:szCs w:val="20"/>
          <w:lang w:val="es-CO"/>
        </w:rPr>
        <w:t xml:space="preserve">destacan </w:t>
      </w:r>
      <w:r w:rsidR="00C712F6" w:rsidRPr="00E66386">
        <w:rPr>
          <w:rFonts w:asciiTheme="majorHAnsi" w:hAnsiTheme="majorHAnsi"/>
          <w:bCs/>
          <w:sz w:val="20"/>
          <w:szCs w:val="20"/>
          <w:lang w:val="es-CO"/>
        </w:rPr>
        <w:t>la existencia de un</w:t>
      </w:r>
      <w:r w:rsidR="0008592C" w:rsidRPr="00E66386">
        <w:rPr>
          <w:rFonts w:asciiTheme="majorHAnsi" w:hAnsiTheme="majorHAnsi"/>
          <w:bCs/>
          <w:sz w:val="20"/>
          <w:szCs w:val="20"/>
          <w:lang w:val="es-CO"/>
        </w:rPr>
        <w:t xml:space="preserve"> contexto de polarización en Guatemala </w:t>
      </w:r>
      <w:r w:rsidR="00C712F6" w:rsidRPr="00E66386">
        <w:rPr>
          <w:rFonts w:asciiTheme="majorHAnsi" w:hAnsiTheme="majorHAnsi"/>
          <w:bCs/>
          <w:sz w:val="20"/>
          <w:szCs w:val="20"/>
          <w:lang w:val="es-CO"/>
        </w:rPr>
        <w:t xml:space="preserve">que </w:t>
      </w:r>
      <w:r w:rsidR="0008592C" w:rsidRPr="00E66386">
        <w:rPr>
          <w:rFonts w:asciiTheme="majorHAnsi" w:hAnsiTheme="majorHAnsi"/>
          <w:bCs/>
          <w:sz w:val="20"/>
          <w:szCs w:val="20"/>
          <w:lang w:val="es-CO"/>
        </w:rPr>
        <w:t xml:space="preserve">propició riesgos a las personas y víctimas que promovían el proceso. </w:t>
      </w:r>
      <w:r w:rsidR="007C443E" w:rsidRPr="00E66386">
        <w:rPr>
          <w:rFonts w:asciiTheme="majorHAnsi" w:hAnsiTheme="majorHAnsi"/>
          <w:bCs/>
          <w:sz w:val="20"/>
          <w:szCs w:val="20"/>
          <w:lang w:val="es-CO"/>
        </w:rPr>
        <w:t xml:space="preserve">Alegan que los medios de comunicación promovieron la </w:t>
      </w:r>
      <w:r w:rsidR="0008592C" w:rsidRPr="00E66386">
        <w:rPr>
          <w:rFonts w:asciiTheme="majorHAnsi" w:hAnsiTheme="majorHAnsi"/>
          <w:bCs/>
          <w:sz w:val="20"/>
          <w:szCs w:val="20"/>
          <w:lang w:val="es-CO"/>
        </w:rPr>
        <w:t xml:space="preserve">estigmatización </w:t>
      </w:r>
      <w:r w:rsidR="00C15175" w:rsidRPr="00E66386">
        <w:rPr>
          <w:rFonts w:asciiTheme="majorHAnsi" w:hAnsiTheme="majorHAnsi"/>
          <w:bCs/>
          <w:sz w:val="20"/>
          <w:szCs w:val="20"/>
          <w:lang w:val="es-CO"/>
        </w:rPr>
        <w:t>contra</w:t>
      </w:r>
      <w:r w:rsidR="0008592C" w:rsidRPr="00E66386">
        <w:rPr>
          <w:rFonts w:asciiTheme="majorHAnsi" w:hAnsiTheme="majorHAnsi"/>
          <w:bCs/>
          <w:sz w:val="20"/>
          <w:szCs w:val="20"/>
          <w:lang w:val="es-CO"/>
        </w:rPr>
        <w:t xml:space="preserve"> los </w:t>
      </w:r>
      <w:r w:rsidR="00C15175" w:rsidRPr="00E66386">
        <w:rPr>
          <w:rFonts w:asciiTheme="majorHAnsi" w:hAnsiTheme="majorHAnsi"/>
          <w:bCs/>
          <w:sz w:val="20"/>
          <w:szCs w:val="20"/>
          <w:lang w:val="es-CO"/>
        </w:rPr>
        <w:t xml:space="preserve">jueces </w:t>
      </w:r>
      <w:r w:rsidR="0008592C" w:rsidRPr="00E66386">
        <w:rPr>
          <w:rFonts w:asciiTheme="majorHAnsi" w:hAnsiTheme="majorHAnsi"/>
          <w:bCs/>
          <w:sz w:val="20"/>
          <w:szCs w:val="20"/>
          <w:lang w:val="es-CO"/>
        </w:rPr>
        <w:t>del Tribunal de Mayor Riesgo A</w:t>
      </w:r>
      <w:r w:rsidR="00C15175" w:rsidRPr="00E66386">
        <w:rPr>
          <w:rFonts w:asciiTheme="majorHAnsi" w:hAnsiTheme="majorHAnsi"/>
          <w:bCs/>
          <w:sz w:val="20"/>
          <w:szCs w:val="20"/>
          <w:lang w:val="es-CO"/>
        </w:rPr>
        <w:t>, llamándolos “</w:t>
      </w:r>
      <w:r w:rsidR="0008592C" w:rsidRPr="00E66386">
        <w:rPr>
          <w:rFonts w:asciiTheme="majorHAnsi" w:hAnsiTheme="majorHAnsi"/>
          <w:bCs/>
          <w:sz w:val="20"/>
          <w:szCs w:val="20"/>
          <w:lang w:val="es-CO"/>
        </w:rPr>
        <w:t>traidores de la paz</w:t>
      </w:r>
      <w:r w:rsidR="00C15175" w:rsidRPr="00E66386">
        <w:rPr>
          <w:rFonts w:asciiTheme="majorHAnsi" w:hAnsiTheme="majorHAnsi"/>
          <w:bCs/>
          <w:sz w:val="20"/>
          <w:szCs w:val="20"/>
          <w:lang w:val="es-CO"/>
        </w:rPr>
        <w:t>”</w:t>
      </w:r>
      <w:r w:rsidR="0008592C" w:rsidRPr="00E66386">
        <w:rPr>
          <w:rFonts w:asciiTheme="majorHAnsi" w:hAnsiTheme="majorHAnsi"/>
          <w:bCs/>
          <w:sz w:val="20"/>
          <w:szCs w:val="20"/>
          <w:lang w:val="es-CO"/>
        </w:rPr>
        <w:t xml:space="preserve">. </w:t>
      </w:r>
      <w:r w:rsidR="0008592C" w:rsidRPr="00E66386">
        <w:rPr>
          <w:rFonts w:asciiTheme="majorHAnsi" w:hAnsiTheme="majorHAnsi"/>
          <w:bCs/>
          <w:sz w:val="20"/>
          <w:szCs w:val="20"/>
          <w:lang w:val="es-UY"/>
        </w:rPr>
        <w:t xml:space="preserve">Uno de los abogados de Ríos Montt señaló que más de 45.000 partidarios del general estarían listos para paralizar el país y la Asociaciones de Veteranos Militares de Guatemala amenazó con bloquear las vías de comunicación de la capital hasta </w:t>
      </w:r>
      <w:r w:rsidR="005736E6" w:rsidRPr="00E66386">
        <w:rPr>
          <w:rFonts w:asciiTheme="majorHAnsi" w:hAnsiTheme="majorHAnsi"/>
          <w:bCs/>
          <w:sz w:val="20"/>
          <w:szCs w:val="20"/>
          <w:lang w:val="es-UY"/>
        </w:rPr>
        <w:t xml:space="preserve">que </w:t>
      </w:r>
      <w:r w:rsidR="0008592C" w:rsidRPr="00E66386">
        <w:rPr>
          <w:rFonts w:asciiTheme="majorHAnsi" w:hAnsiTheme="majorHAnsi"/>
          <w:bCs/>
          <w:sz w:val="20"/>
          <w:szCs w:val="20"/>
          <w:lang w:val="es-UY"/>
        </w:rPr>
        <w:t>el exgeneral fuera puesto en libertad.</w:t>
      </w:r>
      <w:r w:rsidR="00C34223" w:rsidRPr="00E66386">
        <w:rPr>
          <w:rFonts w:asciiTheme="majorHAnsi" w:hAnsiTheme="majorHAnsi"/>
          <w:bCs/>
          <w:sz w:val="20"/>
          <w:szCs w:val="20"/>
          <w:lang w:val="es-UY"/>
        </w:rPr>
        <w:t xml:space="preserve"> </w:t>
      </w:r>
      <w:r w:rsidR="00F10EF6" w:rsidRPr="00E66386">
        <w:rPr>
          <w:rFonts w:asciiTheme="majorHAnsi" w:hAnsiTheme="majorHAnsi"/>
          <w:bCs/>
          <w:sz w:val="20"/>
          <w:szCs w:val="20"/>
          <w:lang w:val="es-UY"/>
        </w:rPr>
        <w:t xml:space="preserve">Señalan que esta campaña </w:t>
      </w:r>
      <w:r w:rsidR="00C34223" w:rsidRPr="00E66386">
        <w:rPr>
          <w:rFonts w:asciiTheme="majorHAnsi" w:hAnsiTheme="majorHAnsi"/>
          <w:bCs/>
          <w:sz w:val="20"/>
          <w:szCs w:val="20"/>
          <w:lang w:val="es-CO"/>
        </w:rPr>
        <w:t xml:space="preserve">se reavivó </w:t>
      </w:r>
      <w:r w:rsidR="00F10EF6" w:rsidRPr="00E66386">
        <w:rPr>
          <w:rFonts w:asciiTheme="majorHAnsi" w:hAnsiTheme="majorHAnsi"/>
          <w:bCs/>
          <w:sz w:val="20"/>
          <w:szCs w:val="20"/>
          <w:lang w:val="es-CO"/>
        </w:rPr>
        <w:t xml:space="preserve">durante el segundo juicio y </w:t>
      </w:r>
      <w:r w:rsidR="00C34223" w:rsidRPr="00E66386">
        <w:rPr>
          <w:rFonts w:asciiTheme="majorHAnsi" w:hAnsiTheme="majorHAnsi"/>
          <w:bCs/>
          <w:sz w:val="20"/>
          <w:szCs w:val="20"/>
          <w:lang w:val="es-CO"/>
        </w:rPr>
        <w:t xml:space="preserve">se agudizó tras la </w:t>
      </w:r>
      <w:r w:rsidR="00F10EF6" w:rsidRPr="00E66386">
        <w:rPr>
          <w:rFonts w:asciiTheme="majorHAnsi" w:hAnsiTheme="majorHAnsi"/>
          <w:bCs/>
          <w:sz w:val="20"/>
          <w:szCs w:val="20"/>
          <w:lang w:val="es-CO"/>
        </w:rPr>
        <w:t xml:space="preserve">emisión de la </w:t>
      </w:r>
      <w:r w:rsidR="00C34223" w:rsidRPr="00E66386">
        <w:rPr>
          <w:rFonts w:asciiTheme="majorHAnsi" w:hAnsiTheme="majorHAnsi"/>
          <w:bCs/>
          <w:sz w:val="20"/>
          <w:szCs w:val="20"/>
          <w:lang w:val="es-CO"/>
        </w:rPr>
        <w:t xml:space="preserve">sentencia que reconoce que se cometió un genocidio contra el pueblo maya </w:t>
      </w:r>
      <w:r w:rsidR="00C51C64" w:rsidRPr="00E66386">
        <w:rPr>
          <w:rFonts w:asciiTheme="majorHAnsi" w:hAnsiTheme="majorHAnsi"/>
          <w:bCs/>
          <w:sz w:val="20"/>
          <w:szCs w:val="20"/>
          <w:lang w:val="es-CO"/>
        </w:rPr>
        <w:t>Ixil</w:t>
      </w:r>
      <w:r w:rsidR="00C34223" w:rsidRPr="00E66386">
        <w:rPr>
          <w:rFonts w:asciiTheme="majorHAnsi" w:hAnsiTheme="majorHAnsi"/>
          <w:bCs/>
          <w:sz w:val="20"/>
          <w:szCs w:val="20"/>
          <w:lang w:val="es-CO"/>
        </w:rPr>
        <w:t>.</w:t>
      </w:r>
    </w:p>
    <w:p w14:paraId="144598D8" w14:textId="19A0B92B" w:rsidR="003F63DF" w:rsidRPr="00E66386" w:rsidRDefault="00EF71E4" w:rsidP="003F63DF">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sz w:val="20"/>
          <w:szCs w:val="20"/>
          <w:lang w:val="es-CO"/>
        </w:rPr>
        <w:t>Alegatos respecto del agotamiento de los recursos internos y la caracterización de los hechos</w:t>
      </w:r>
    </w:p>
    <w:p w14:paraId="2D081AB4" w14:textId="07447834" w:rsidR="00EF71E4" w:rsidRPr="00E66386" w:rsidRDefault="00EF71E4" w:rsidP="0061586A">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La parte peticionaria invoca la excepción de retardo injustificado en la resolución de los recursos internos, en particular, de los procesos penales, toda vez que no existe sentencia contra ninguno de los procesados después de </w:t>
      </w:r>
      <w:r w:rsidR="009E150B" w:rsidRPr="00E66386">
        <w:rPr>
          <w:rFonts w:asciiTheme="majorHAnsi" w:hAnsiTheme="majorHAnsi"/>
          <w:bCs/>
          <w:sz w:val="20"/>
          <w:szCs w:val="20"/>
          <w:lang w:val="es-CO"/>
        </w:rPr>
        <w:t>más de treinta años de los sucesos y de once años del inicio del proceso penal.</w:t>
      </w:r>
      <w:r w:rsidR="003E7740" w:rsidRPr="00E66386">
        <w:rPr>
          <w:rFonts w:asciiTheme="majorHAnsi" w:hAnsiTheme="majorHAnsi"/>
          <w:bCs/>
          <w:sz w:val="20"/>
          <w:szCs w:val="20"/>
          <w:lang w:val="es-CO"/>
        </w:rPr>
        <w:t xml:space="preserve"> Enfatizan que tres de los procesados fallecieron durante la tramitación del proceso, </w:t>
      </w:r>
      <w:r w:rsidR="00822BFA" w:rsidRPr="00E66386">
        <w:rPr>
          <w:rFonts w:asciiTheme="majorHAnsi" w:hAnsiTheme="majorHAnsi"/>
          <w:bCs/>
          <w:sz w:val="20"/>
          <w:szCs w:val="20"/>
          <w:lang w:val="es-CO"/>
        </w:rPr>
        <w:t>uno fue absuelto y está pendiente de decisión de segunda instancia, y el otro permaneció prófugo durante ocho años y se encuentra en etapa previa a juicio.</w:t>
      </w:r>
    </w:p>
    <w:p w14:paraId="4A5E5B97" w14:textId="77777777" w:rsidR="00463F28" w:rsidRPr="00E66386" w:rsidRDefault="00DA31F1" w:rsidP="00EC2A83">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lastRenderedPageBreak/>
        <w:t>Así, los peticionarios aseveran que e</w:t>
      </w:r>
      <w:r w:rsidR="0061586A" w:rsidRPr="00E66386">
        <w:rPr>
          <w:rFonts w:asciiTheme="majorHAnsi" w:hAnsiTheme="majorHAnsi"/>
          <w:bCs/>
          <w:sz w:val="20"/>
          <w:szCs w:val="20"/>
          <w:lang w:val="es-CO"/>
        </w:rPr>
        <w:t>l retardo injustificado por parte de Guatemala ha provocado que muchas víctimas murieran sin conocer la verdad de lo ocurrido y sin que se reconocieran las violaciones a sus derechos.</w:t>
      </w:r>
      <w:r w:rsidR="00C4205A" w:rsidRPr="00E66386">
        <w:rPr>
          <w:rFonts w:asciiTheme="majorHAnsi" w:hAnsiTheme="majorHAnsi"/>
          <w:bCs/>
          <w:sz w:val="20"/>
          <w:szCs w:val="20"/>
          <w:lang w:val="es-CO"/>
        </w:rPr>
        <w:t xml:space="preserve"> </w:t>
      </w:r>
      <w:r w:rsidRPr="00E66386">
        <w:rPr>
          <w:rFonts w:asciiTheme="majorHAnsi" w:hAnsiTheme="majorHAnsi"/>
          <w:bCs/>
          <w:sz w:val="20"/>
          <w:szCs w:val="20"/>
          <w:lang w:val="es-CO"/>
        </w:rPr>
        <w:t xml:space="preserve">Aducen que el Estado no condujo </w:t>
      </w:r>
      <w:r w:rsidR="0008592C" w:rsidRPr="00E66386">
        <w:rPr>
          <w:rFonts w:asciiTheme="majorHAnsi" w:hAnsiTheme="majorHAnsi"/>
          <w:bCs/>
          <w:sz w:val="20"/>
          <w:szCs w:val="20"/>
          <w:lang w:val="es-CO"/>
        </w:rPr>
        <w:t xml:space="preserve">una investigación </w:t>
      </w:r>
      <w:r w:rsidR="0008592C" w:rsidRPr="00E66386">
        <w:rPr>
          <w:rFonts w:asciiTheme="majorHAnsi" w:hAnsiTheme="majorHAnsi"/>
          <w:bCs/>
          <w:i/>
          <w:iCs/>
          <w:sz w:val="20"/>
          <w:szCs w:val="20"/>
          <w:lang w:val="es-CO"/>
        </w:rPr>
        <w:t>ex oficio</w:t>
      </w:r>
      <w:r w:rsidR="0008592C" w:rsidRPr="00E66386">
        <w:rPr>
          <w:rFonts w:asciiTheme="majorHAnsi" w:hAnsiTheme="majorHAnsi"/>
          <w:bCs/>
          <w:sz w:val="20"/>
          <w:szCs w:val="20"/>
          <w:lang w:val="es-CO"/>
        </w:rPr>
        <w:t xml:space="preserve"> de manera seria y exhaustiva</w:t>
      </w:r>
      <w:r w:rsidR="002164DF" w:rsidRPr="00E66386">
        <w:rPr>
          <w:rFonts w:asciiTheme="majorHAnsi" w:hAnsiTheme="majorHAnsi"/>
          <w:bCs/>
          <w:sz w:val="20"/>
          <w:szCs w:val="20"/>
          <w:lang w:val="es-CO"/>
        </w:rPr>
        <w:t>, puesto que l</w:t>
      </w:r>
      <w:r w:rsidR="0008592C" w:rsidRPr="00E66386">
        <w:rPr>
          <w:rFonts w:asciiTheme="majorHAnsi" w:hAnsiTheme="majorHAnsi"/>
          <w:bCs/>
          <w:sz w:val="20"/>
          <w:szCs w:val="20"/>
          <w:lang w:val="es-CO"/>
        </w:rPr>
        <w:t xml:space="preserve">a primera denuncia de estos hechos </w:t>
      </w:r>
      <w:r w:rsidR="000F4CE5" w:rsidRPr="00E66386">
        <w:rPr>
          <w:rFonts w:asciiTheme="majorHAnsi" w:hAnsiTheme="majorHAnsi"/>
          <w:bCs/>
          <w:sz w:val="20"/>
          <w:szCs w:val="20"/>
          <w:lang w:val="es-CO"/>
        </w:rPr>
        <w:t xml:space="preserve">fue realizada el 28 de enero de 1999 por el señor Gaspar Ijom Pacheco ante el Juzgado de Santa María Nebaj. </w:t>
      </w:r>
      <w:r w:rsidR="002164DF" w:rsidRPr="00E66386">
        <w:rPr>
          <w:rFonts w:asciiTheme="majorHAnsi" w:hAnsiTheme="majorHAnsi"/>
          <w:bCs/>
          <w:sz w:val="20"/>
          <w:szCs w:val="20"/>
          <w:lang w:val="es-CO"/>
        </w:rPr>
        <w:t xml:space="preserve">Recalcan, </w:t>
      </w:r>
      <w:r w:rsidR="000F4CE5" w:rsidRPr="00E66386">
        <w:rPr>
          <w:rFonts w:asciiTheme="majorHAnsi" w:hAnsiTheme="majorHAnsi"/>
          <w:bCs/>
          <w:sz w:val="20"/>
          <w:szCs w:val="20"/>
          <w:lang w:val="es-CO"/>
        </w:rPr>
        <w:t>además</w:t>
      </w:r>
      <w:r w:rsidR="002164DF" w:rsidRPr="00E66386">
        <w:rPr>
          <w:rFonts w:asciiTheme="majorHAnsi" w:hAnsiTheme="majorHAnsi"/>
          <w:bCs/>
          <w:sz w:val="20"/>
          <w:szCs w:val="20"/>
          <w:lang w:val="es-CO"/>
        </w:rPr>
        <w:t>,</w:t>
      </w:r>
      <w:r w:rsidR="000F4CE5" w:rsidRPr="00E66386">
        <w:rPr>
          <w:rFonts w:asciiTheme="majorHAnsi" w:hAnsiTheme="majorHAnsi"/>
          <w:bCs/>
          <w:sz w:val="20"/>
          <w:szCs w:val="20"/>
          <w:lang w:val="es-CO"/>
        </w:rPr>
        <w:t xml:space="preserve"> que gran parte de los hechos del presente caso fueron documentados en el informe establecido por la Comisión de Esclarecimiento Histórico (CEH) y que fue hecho público el 25 de febrero de 199</w:t>
      </w:r>
      <w:r w:rsidR="009E602B" w:rsidRPr="00E66386">
        <w:rPr>
          <w:rFonts w:asciiTheme="majorHAnsi" w:hAnsiTheme="majorHAnsi"/>
          <w:bCs/>
          <w:sz w:val="20"/>
          <w:szCs w:val="20"/>
          <w:lang w:val="es-CO"/>
        </w:rPr>
        <w:t>9.</w:t>
      </w:r>
    </w:p>
    <w:p w14:paraId="1B52F72D" w14:textId="2FDF0472" w:rsidR="00E236E8" w:rsidRPr="00E66386" w:rsidRDefault="00EB2F6C" w:rsidP="00E236E8">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Alegan que existió t</w:t>
      </w:r>
      <w:r w:rsidR="0069612D" w:rsidRPr="00E66386">
        <w:rPr>
          <w:rFonts w:asciiTheme="majorHAnsi" w:hAnsiTheme="majorHAnsi"/>
          <w:bCs/>
          <w:sz w:val="20"/>
          <w:szCs w:val="20"/>
          <w:lang w:val="es-CO"/>
        </w:rPr>
        <w:t xml:space="preserve">olerancia de las autoridades judiciales frente al abuso de acciones de amparo y de inconstitucionalidad </w:t>
      </w:r>
      <w:r w:rsidRPr="00E66386">
        <w:rPr>
          <w:rFonts w:asciiTheme="majorHAnsi" w:hAnsiTheme="majorHAnsi"/>
          <w:bCs/>
          <w:sz w:val="20"/>
          <w:szCs w:val="20"/>
          <w:lang w:val="es-CO"/>
        </w:rPr>
        <w:t xml:space="preserve">por parte de los defensores con el único fin de generar </w:t>
      </w:r>
      <w:r w:rsidR="0069612D" w:rsidRPr="00E66386">
        <w:rPr>
          <w:rFonts w:asciiTheme="majorHAnsi" w:hAnsiTheme="majorHAnsi"/>
          <w:bCs/>
          <w:sz w:val="20"/>
          <w:szCs w:val="20"/>
          <w:lang w:val="es-CO"/>
        </w:rPr>
        <w:t>dilaciones indebidas</w:t>
      </w:r>
      <w:r w:rsidRPr="00E66386">
        <w:rPr>
          <w:rFonts w:asciiTheme="majorHAnsi" w:hAnsiTheme="majorHAnsi"/>
          <w:bCs/>
          <w:sz w:val="20"/>
          <w:szCs w:val="20"/>
          <w:lang w:val="es-CO"/>
        </w:rPr>
        <w:t xml:space="preserve"> en el proceso</w:t>
      </w:r>
      <w:r w:rsidR="0069612D" w:rsidRPr="00E66386">
        <w:rPr>
          <w:rFonts w:asciiTheme="majorHAnsi" w:hAnsiTheme="majorHAnsi"/>
          <w:bCs/>
          <w:sz w:val="20"/>
          <w:szCs w:val="20"/>
          <w:lang w:val="es-CO"/>
        </w:rPr>
        <w:t xml:space="preserve">. </w:t>
      </w:r>
      <w:r w:rsidRPr="00E66386">
        <w:rPr>
          <w:rFonts w:asciiTheme="majorHAnsi" w:hAnsiTheme="majorHAnsi"/>
          <w:bCs/>
          <w:sz w:val="20"/>
          <w:szCs w:val="20"/>
          <w:lang w:val="es-CO"/>
        </w:rPr>
        <w:t>Aducen que las decisiones amparo provisional, en muchos casos, adolecieron de f</w:t>
      </w:r>
      <w:r w:rsidR="0069612D" w:rsidRPr="00E66386">
        <w:rPr>
          <w:rFonts w:asciiTheme="majorHAnsi" w:hAnsiTheme="majorHAnsi"/>
          <w:bCs/>
          <w:sz w:val="20"/>
          <w:szCs w:val="20"/>
          <w:lang w:val="es-CO"/>
        </w:rPr>
        <w:t xml:space="preserve">alta de motivación y arbitrariedad. </w:t>
      </w:r>
      <w:r w:rsidR="004B0EF2" w:rsidRPr="00E66386">
        <w:rPr>
          <w:rFonts w:asciiTheme="majorHAnsi" w:hAnsiTheme="majorHAnsi"/>
          <w:bCs/>
          <w:sz w:val="20"/>
          <w:szCs w:val="20"/>
          <w:lang w:val="es-CO"/>
        </w:rPr>
        <w:t>En particular</w:t>
      </w:r>
      <w:r w:rsidRPr="00E66386">
        <w:rPr>
          <w:rFonts w:asciiTheme="majorHAnsi" w:hAnsiTheme="majorHAnsi"/>
          <w:bCs/>
          <w:sz w:val="20"/>
          <w:szCs w:val="20"/>
          <w:lang w:val="es-CO"/>
        </w:rPr>
        <w:t xml:space="preserve">, </w:t>
      </w:r>
      <w:r w:rsidR="004B0EF2" w:rsidRPr="00E66386">
        <w:rPr>
          <w:rFonts w:asciiTheme="majorHAnsi" w:hAnsiTheme="majorHAnsi"/>
          <w:bCs/>
          <w:sz w:val="20"/>
          <w:szCs w:val="20"/>
          <w:lang w:val="es-CO"/>
        </w:rPr>
        <w:t>alegan la v</w:t>
      </w:r>
      <w:r w:rsidR="0069612D" w:rsidRPr="00E66386">
        <w:rPr>
          <w:rFonts w:asciiTheme="majorHAnsi" w:hAnsiTheme="majorHAnsi"/>
          <w:bCs/>
          <w:sz w:val="20"/>
          <w:szCs w:val="20"/>
          <w:lang w:val="es-CO"/>
        </w:rPr>
        <w:t xml:space="preserve">iolación de los artículos 8 </w:t>
      </w:r>
      <w:r w:rsidR="004B0EF2" w:rsidRPr="00E66386">
        <w:rPr>
          <w:rFonts w:asciiTheme="majorHAnsi" w:hAnsiTheme="majorHAnsi"/>
          <w:bCs/>
          <w:sz w:val="20"/>
          <w:szCs w:val="20"/>
          <w:lang w:val="es-CO"/>
        </w:rPr>
        <w:t xml:space="preserve">(garantías judiciales) </w:t>
      </w:r>
      <w:r w:rsidR="0069612D" w:rsidRPr="00E66386">
        <w:rPr>
          <w:rFonts w:asciiTheme="majorHAnsi" w:hAnsiTheme="majorHAnsi"/>
          <w:bCs/>
          <w:sz w:val="20"/>
          <w:szCs w:val="20"/>
          <w:lang w:val="es-CO"/>
        </w:rPr>
        <w:t xml:space="preserve">y 25 </w:t>
      </w:r>
      <w:r w:rsidR="004B0EF2" w:rsidRPr="00E66386">
        <w:rPr>
          <w:rFonts w:asciiTheme="majorHAnsi" w:hAnsiTheme="majorHAnsi"/>
          <w:bCs/>
          <w:sz w:val="20"/>
          <w:szCs w:val="20"/>
          <w:lang w:val="es-CO"/>
        </w:rPr>
        <w:t xml:space="preserve">(protección judicial) </w:t>
      </w:r>
      <w:r w:rsidR="0069612D" w:rsidRPr="00E66386">
        <w:rPr>
          <w:rFonts w:asciiTheme="majorHAnsi" w:hAnsiTheme="majorHAnsi"/>
          <w:bCs/>
          <w:sz w:val="20"/>
          <w:szCs w:val="20"/>
          <w:lang w:val="es-CO"/>
        </w:rPr>
        <w:t>de la Convención por la decisión de anulación adoptada por la Corte de Constitucionalidad</w:t>
      </w:r>
      <w:r w:rsidR="004B0EF2" w:rsidRPr="00E66386">
        <w:rPr>
          <w:rFonts w:asciiTheme="majorHAnsi" w:hAnsiTheme="majorHAnsi"/>
          <w:bCs/>
          <w:sz w:val="20"/>
          <w:szCs w:val="20"/>
          <w:lang w:val="es-CO"/>
        </w:rPr>
        <w:t>, así como la v</w:t>
      </w:r>
      <w:r w:rsidR="003C42FF" w:rsidRPr="00E66386">
        <w:rPr>
          <w:rFonts w:asciiTheme="majorHAnsi" w:hAnsiTheme="majorHAnsi"/>
          <w:bCs/>
          <w:sz w:val="20"/>
          <w:szCs w:val="20"/>
          <w:lang w:val="es-CO"/>
        </w:rPr>
        <w:t>iolación del derecho a la integridad persona</w:t>
      </w:r>
      <w:r w:rsidR="004B0EF2" w:rsidRPr="00E66386">
        <w:rPr>
          <w:rFonts w:asciiTheme="majorHAnsi" w:hAnsiTheme="majorHAnsi"/>
          <w:bCs/>
          <w:sz w:val="20"/>
          <w:szCs w:val="20"/>
          <w:lang w:val="es-CO"/>
        </w:rPr>
        <w:t>l</w:t>
      </w:r>
      <w:r w:rsidR="003C42FF" w:rsidRPr="00E66386">
        <w:rPr>
          <w:rFonts w:asciiTheme="majorHAnsi" w:hAnsiTheme="majorHAnsi"/>
          <w:bCs/>
          <w:sz w:val="20"/>
          <w:szCs w:val="20"/>
          <w:lang w:val="es-CO"/>
        </w:rPr>
        <w:t xml:space="preserve"> de las personas sobrevivientes y </w:t>
      </w:r>
      <w:r w:rsidR="004B0EF2" w:rsidRPr="00E66386">
        <w:rPr>
          <w:rFonts w:asciiTheme="majorHAnsi" w:hAnsiTheme="majorHAnsi"/>
          <w:bCs/>
          <w:sz w:val="20"/>
          <w:szCs w:val="20"/>
          <w:lang w:val="es-CO"/>
        </w:rPr>
        <w:t>su</w:t>
      </w:r>
      <w:r w:rsidR="003C42FF" w:rsidRPr="00E66386">
        <w:rPr>
          <w:rFonts w:asciiTheme="majorHAnsi" w:hAnsiTheme="majorHAnsi"/>
          <w:bCs/>
          <w:sz w:val="20"/>
          <w:szCs w:val="20"/>
          <w:lang w:val="es-CO"/>
        </w:rPr>
        <w:t>s familiares</w:t>
      </w:r>
      <w:r w:rsidR="00E236E8" w:rsidRPr="00E66386">
        <w:rPr>
          <w:rFonts w:asciiTheme="majorHAnsi" w:hAnsiTheme="majorHAnsi"/>
          <w:bCs/>
          <w:sz w:val="20"/>
          <w:szCs w:val="20"/>
          <w:lang w:val="es-CO"/>
        </w:rPr>
        <w:t>. Consideran que la orden de la Corte de Constitucionalidad del 20 de mayo de 2013 de anular todas las actuaciones del debate realizadas después del 19 de abril de 2013 fue desproporcional en comparación con el alegado incumplimiento, por parte del Tribunal A, de suspender dicho debate, particularmente porque había desaparecido el agravio inicialmente alegado por el señor Ríos Montt en su recurso de amparo de 22 de marzo de 2013.</w:t>
      </w:r>
    </w:p>
    <w:p w14:paraId="3E012608" w14:textId="2E290859" w:rsidR="006E6843" w:rsidRPr="00E66386" w:rsidRDefault="002170FA" w:rsidP="00A60020">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Denuncian otras irregularidades a lo largo del proceso, como la falta de acceso a los archivos de operaciones militares, lo que estima violatorio al derecho al acceso a la información (artículo 13), y la falta de</w:t>
      </w:r>
      <w:r w:rsidR="00152867" w:rsidRPr="00E66386">
        <w:rPr>
          <w:rFonts w:asciiTheme="majorHAnsi" w:hAnsiTheme="majorHAnsi"/>
          <w:bCs/>
          <w:sz w:val="20"/>
          <w:szCs w:val="20"/>
          <w:lang w:val="es-CO"/>
        </w:rPr>
        <w:t xml:space="preserve"> ejecu</w:t>
      </w:r>
      <w:r w:rsidRPr="00E66386">
        <w:rPr>
          <w:rFonts w:asciiTheme="majorHAnsi" w:hAnsiTheme="majorHAnsi"/>
          <w:bCs/>
          <w:sz w:val="20"/>
          <w:szCs w:val="20"/>
          <w:lang w:val="es-CO"/>
        </w:rPr>
        <w:t>ci</w:t>
      </w:r>
      <w:r w:rsidR="00152867" w:rsidRPr="00E66386">
        <w:rPr>
          <w:rFonts w:asciiTheme="majorHAnsi" w:hAnsiTheme="majorHAnsi"/>
          <w:bCs/>
          <w:sz w:val="20"/>
          <w:szCs w:val="20"/>
          <w:lang w:val="es-CO"/>
        </w:rPr>
        <w:t>ó</w:t>
      </w:r>
      <w:r w:rsidRPr="00E66386">
        <w:rPr>
          <w:rFonts w:asciiTheme="majorHAnsi" w:hAnsiTheme="majorHAnsi"/>
          <w:bCs/>
          <w:sz w:val="20"/>
          <w:szCs w:val="20"/>
          <w:lang w:val="es-CO"/>
        </w:rPr>
        <w:t>n de</w:t>
      </w:r>
      <w:r w:rsidR="00152867" w:rsidRPr="00E66386">
        <w:rPr>
          <w:rFonts w:asciiTheme="majorHAnsi" w:hAnsiTheme="majorHAnsi"/>
          <w:bCs/>
          <w:sz w:val="20"/>
          <w:szCs w:val="20"/>
          <w:lang w:val="es-CO"/>
        </w:rPr>
        <w:t xml:space="preserve"> la orden de </w:t>
      </w:r>
      <w:r w:rsidR="004D1956" w:rsidRPr="00E66386">
        <w:rPr>
          <w:rFonts w:asciiTheme="majorHAnsi" w:hAnsiTheme="majorHAnsi"/>
          <w:bCs/>
          <w:sz w:val="20"/>
          <w:szCs w:val="20"/>
          <w:lang w:val="es-CO"/>
        </w:rPr>
        <w:t>aprehensión</w:t>
      </w:r>
      <w:r w:rsidR="00152867" w:rsidRPr="00E66386">
        <w:rPr>
          <w:rFonts w:asciiTheme="majorHAnsi" w:hAnsiTheme="majorHAnsi"/>
          <w:bCs/>
          <w:sz w:val="20"/>
          <w:szCs w:val="20"/>
          <w:lang w:val="es-CO"/>
        </w:rPr>
        <w:t xml:space="preserve"> contra el </w:t>
      </w:r>
      <w:r w:rsidR="00D34153" w:rsidRPr="00E66386">
        <w:rPr>
          <w:rFonts w:asciiTheme="majorHAnsi" w:hAnsiTheme="majorHAnsi"/>
          <w:bCs/>
          <w:sz w:val="20"/>
          <w:szCs w:val="20"/>
          <w:lang w:val="es-CO"/>
        </w:rPr>
        <w:t>procesado</w:t>
      </w:r>
      <w:r w:rsidR="00152867" w:rsidRPr="00E66386">
        <w:rPr>
          <w:rFonts w:asciiTheme="majorHAnsi" w:hAnsiTheme="majorHAnsi"/>
          <w:bCs/>
          <w:sz w:val="20"/>
          <w:szCs w:val="20"/>
          <w:lang w:val="es-CO"/>
        </w:rPr>
        <w:t xml:space="preserve"> Mendoza García.</w:t>
      </w:r>
      <w:r w:rsidR="004D1956" w:rsidRPr="00E66386">
        <w:rPr>
          <w:rFonts w:asciiTheme="majorHAnsi" w:hAnsiTheme="majorHAnsi"/>
          <w:bCs/>
          <w:sz w:val="20"/>
          <w:szCs w:val="20"/>
          <w:lang w:val="es-CO"/>
        </w:rPr>
        <w:t xml:space="preserve"> </w:t>
      </w:r>
      <w:r w:rsidR="00C655B7" w:rsidRPr="00E66386">
        <w:rPr>
          <w:rFonts w:asciiTheme="majorHAnsi" w:hAnsiTheme="majorHAnsi"/>
          <w:bCs/>
          <w:sz w:val="20"/>
          <w:szCs w:val="20"/>
          <w:lang w:val="es-CO"/>
        </w:rPr>
        <w:t>Responden</w:t>
      </w:r>
      <w:r w:rsidR="0076205E" w:rsidRPr="00E66386">
        <w:rPr>
          <w:rFonts w:asciiTheme="majorHAnsi" w:hAnsiTheme="majorHAnsi"/>
          <w:bCs/>
          <w:sz w:val="20"/>
          <w:szCs w:val="20"/>
          <w:lang w:val="es-CO"/>
        </w:rPr>
        <w:t xml:space="preserve"> a las observaciones de</w:t>
      </w:r>
      <w:r w:rsidR="00327CB3" w:rsidRPr="00E66386">
        <w:rPr>
          <w:rFonts w:asciiTheme="majorHAnsi" w:hAnsiTheme="majorHAnsi"/>
          <w:bCs/>
          <w:sz w:val="20"/>
          <w:szCs w:val="20"/>
          <w:lang w:val="es-CO"/>
        </w:rPr>
        <w:t xml:space="preserve">l Estado </w:t>
      </w:r>
      <w:r w:rsidR="0076205E" w:rsidRPr="00E66386">
        <w:rPr>
          <w:rFonts w:asciiTheme="majorHAnsi" w:hAnsiTheme="majorHAnsi"/>
          <w:bCs/>
          <w:sz w:val="20"/>
          <w:szCs w:val="20"/>
          <w:lang w:val="es-CO"/>
        </w:rPr>
        <w:t xml:space="preserve">que </w:t>
      </w:r>
      <w:r w:rsidR="00327CB3" w:rsidRPr="00E66386">
        <w:rPr>
          <w:rFonts w:asciiTheme="majorHAnsi" w:hAnsiTheme="majorHAnsi"/>
          <w:bCs/>
          <w:sz w:val="20"/>
          <w:szCs w:val="20"/>
          <w:lang w:val="es-CO"/>
        </w:rPr>
        <w:t>alude</w:t>
      </w:r>
      <w:r w:rsidR="0076205E" w:rsidRPr="00E66386">
        <w:rPr>
          <w:rFonts w:asciiTheme="majorHAnsi" w:hAnsiTheme="majorHAnsi"/>
          <w:bCs/>
          <w:sz w:val="20"/>
          <w:szCs w:val="20"/>
          <w:lang w:val="es-CO"/>
        </w:rPr>
        <w:t>n</w:t>
      </w:r>
      <w:r w:rsidR="00327CB3" w:rsidRPr="00E66386">
        <w:rPr>
          <w:rFonts w:asciiTheme="majorHAnsi" w:hAnsiTheme="majorHAnsi"/>
          <w:bCs/>
          <w:sz w:val="20"/>
          <w:szCs w:val="20"/>
          <w:lang w:val="es-CO"/>
        </w:rPr>
        <w:t xml:space="preserve"> </w:t>
      </w:r>
      <w:r w:rsidR="00394B36" w:rsidRPr="00E66386">
        <w:rPr>
          <w:rFonts w:asciiTheme="majorHAnsi" w:hAnsiTheme="majorHAnsi"/>
          <w:bCs/>
          <w:sz w:val="20"/>
          <w:szCs w:val="20"/>
          <w:lang w:val="es-CO"/>
        </w:rPr>
        <w:t xml:space="preserve">a </w:t>
      </w:r>
      <w:r w:rsidR="0076205E" w:rsidRPr="00E66386">
        <w:rPr>
          <w:rFonts w:asciiTheme="majorHAnsi" w:hAnsiTheme="majorHAnsi"/>
          <w:bCs/>
          <w:sz w:val="20"/>
          <w:szCs w:val="20"/>
          <w:lang w:val="es-CO"/>
        </w:rPr>
        <w:t xml:space="preserve">que la </w:t>
      </w:r>
      <w:r w:rsidR="00327CB3" w:rsidRPr="00E66386">
        <w:rPr>
          <w:rFonts w:asciiTheme="majorHAnsi" w:hAnsiTheme="majorHAnsi"/>
          <w:bCs/>
          <w:sz w:val="20"/>
          <w:szCs w:val="20"/>
          <w:lang w:val="es-CO"/>
        </w:rPr>
        <w:t xml:space="preserve">sentencia dictada el 26 de septiembre de 2018 habría dado resolución </w:t>
      </w:r>
      <w:r w:rsidR="0076205E" w:rsidRPr="00E66386">
        <w:rPr>
          <w:rFonts w:asciiTheme="majorHAnsi" w:hAnsiTheme="majorHAnsi"/>
          <w:bCs/>
          <w:sz w:val="20"/>
          <w:szCs w:val="20"/>
          <w:lang w:val="es-CO"/>
        </w:rPr>
        <w:t>a</w:t>
      </w:r>
      <w:r w:rsidR="00327CB3" w:rsidRPr="00E66386">
        <w:rPr>
          <w:rFonts w:asciiTheme="majorHAnsi" w:hAnsiTheme="majorHAnsi"/>
          <w:bCs/>
          <w:sz w:val="20"/>
          <w:szCs w:val="20"/>
          <w:lang w:val="es-CO"/>
        </w:rPr>
        <w:t xml:space="preserve">l caso a nivel interno, </w:t>
      </w:r>
      <w:r w:rsidR="00C06B73" w:rsidRPr="00E66386">
        <w:rPr>
          <w:rFonts w:asciiTheme="majorHAnsi" w:hAnsiTheme="majorHAnsi"/>
          <w:bCs/>
          <w:sz w:val="20"/>
          <w:szCs w:val="20"/>
          <w:lang w:val="es-CO"/>
        </w:rPr>
        <w:t xml:space="preserve">arguyendo </w:t>
      </w:r>
      <w:r w:rsidR="00327CB3" w:rsidRPr="00E66386">
        <w:rPr>
          <w:rFonts w:asciiTheme="majorHAnsi" w:hAnsiTheme="majorHAnsi"/>
          <w:bCs/>
          <w:sz w:val="20"/>
          <w:szCs w:val="20"/>
          <w:lang w:val="es-CO"/>
        </w:rPr>
        <w:t xml:space="preserve">que </w:t>
      </w:r>
      <w:r w:rsidR="00C06B73" w:rsidRPr="00E66386">
        <w:rPr>
          <w:rFonts w:asciiTheme="majorHAnsi" w:hAnsiTheme="majorHAnsi"/>
          <w:bCs/>
          <w:sz w:val="20"/>
          <w:szCs w:val="20"/>
          <w:lang w:val="es-CO"/>
        </w:rPr>
        <w:t>é</w:t>
      </w:r>
      <w:r w:rsidR="00327CB3" w:rsidRPr="00E66386">
        <w:rPr>
          <w:rFonts w:asciiTheme="majorHAnsi" w:hAnsiTheme="majorHAnsi"/>
          <w:bCs/>
          <w:sz w:val="20"/>
          <w:szCs w:val="20"/>
          <w:lang w:val="es-CO"/>
        </w:rPr>
        <w:t>sta devi</w:t>
      </w:r>
      <w:r w:rsidR="00C06B73" w:rsidRPr="00E66386">
        <w:rPr>
          <w:rFonts w:asciiTheme="majorHAnsi" w:hAnsiTheme="majorHAnsi"/>
          <w:bCs/>
          <w:sz w:val="20"/>
          <w:szCs w:val="20"/>
          <w:lang w:val="es-CO"/>
        </w:rPr>
        <w:t>no</w:t>
      </w:r>
      <w:r w:rsidR="00327CB3" w:rsidRPr="00E66386">
        <w:rPr>
          <w:rFonts w:asciiTheme="majorHAnsi" w:hAnsiTheme="majorHAnsi"/>
          <w:bCs/>
          <w:sz w:val="20"/>
          <w:szCs w:val="20"/>
          <w:lang w:val="es-CO"/>
        </w:rPr>
        <w:t xml:space="preserve"> de</w:t>
      </w:r>
      <w:r w:rsidR="00C655B7" w:rsidRPr="00E66386">
        <w:rPr>
          <w:rFonts w:asciiTheme="majorHAnsi" w:hAnsiTheme="majorHAnsi"/>
          <w:bCs/>
          <w:sz w:val="20"/>
          <w:szCs w:val="20"/>
          <w:lang w:val="es-CO"/>
        </w:rPr>
        <w:t>l</w:t>
      </w:r>
      <w:r w:rsidR="00327CB3" w:rsidRPr="00E66386">
        <w:rPr>
          <w:rFonts w:asciiTheme="majorHAnsi" w:hAnsiTheme="majorHAnsi"/>
          <w:bCs/>
          <w:sz w:val="20"/>
          <w:szCs w:val="20"/>
          <w:lang w:val="es-CO"/>
        </w:rPr>
        <w:t xml:space="preserve"> </w:t>
      </w:r>
      <w:r w:rsidR="00C06B73" w:rsidRPr="00E66386">
        <w:rPr>
          <w:rFonts w:asciiTheme="majorHAnsi" w:hAnsiTheme="majorHAnsi"/>
          <w:bCs/>
          <w:sz w:val="20"/>
          <w:szCs w:val="20"/>
          <w:lang w:val="es-CO"/>
        </w:rPr>
        <w:t xml:space="preserve">retroceso </w:t>
      </w:r>
      <w:r w:rsidR="00327CB3" w:rsidRPr="00E66386">
        <w:rPr>
          <w:rFonts w:asciiTheme="majorHAnsi" w:hAnsiTheme="majorHAnsi"/>
          <w:bCs/>
          <w:sz w:val="20"/>
          <w:szCs w:val="20"/>
          <w:lang w:val="es-CO"/>
        </w:rPr>
        <w:t>ilega</w:t>
      </w:r>
      <w:r w:rsidR="00C06B73" w:rsidRPr="00E66386">
        <w:rPr>
          <w:rFonts w:asciiTheme="majorHAnsi" w:hAnsiTheme="majorHAnsi"/>
          <w:bCs/>
          <w:sz w:val="20"/>
          <w:szCs w:val="20"/>
          <w:lang w:val="es-CO"/>
        </w:rPr>
        <w:t>l</w:t>
      </w:r>
      <w:r w:rsidR="00327CB3" w:rsidRPr="00E66386">
        <w:rPr>
          <w:rFonts w:asciiTheme="majorHAnsi" w:hAnsiTheme="majorHAnsi"/>
          <w:bCs/>
          <w:sz w:val="20"/>
          <w:szCs w:val="20"/>
          <w:lang w:val="es-CO"/>
        </w:rPr>
        <w:t xml:space="preserve"> </w:t>
      </w:r>
      <w:r w:rsidR="00C06B73" w:rsidRPr="00E66386">
        <w:rPr>
          <w:rFonts w:asciiTheme="majorHAnsi" w:hAnsiTheme="majorHAnsi"/>
          <w:bCs/>
          <w:sz w:val="20"/>
          <w:szCs w:val="20"/>
          <w:lang w:val="es-CO"/>
        </w:rPr>
        <w:t>d</w:t>
      </w:r>
      <w:r w:rsidR="00327CB3" w:rsidRPr="00E66386">
        <w:rPr>
          <w:rFonts w:asciiTheme="majorHAnsi" w:hAnsiTheme="majorHAnsi"/>
          <w:bCs/>
          <w:sz w:val="20"/>
          <w:szCs w:val="20"/>
          <w:lang w:val="es-CO"/>
        </w:rPr>
        <w:t xml:space="preserve">el proceso. </w:t>
      </w:r>
      <w:r w:rsidR="003E3929" w:rsidRPr="00E66386">
        <w:rPr>
          <w:rFonts w:asciiTheme="majorHAnsi" w:hAnsiTheme="majorHAnsi"/>
          <w:bCs/>
          <w:sz w:val="20"/>
          <w:szCs w:val="20"/>
          <w:lang w:val="es-CO"/>
        </w:rPr>
        <w:t>Insisten en que e</w:t>
      </w:r>
      <w:r w:rsidR="00327CB3" w:rsidRPr="00E66386">
        <w:rPr>
          <w:rFonts w:asciiTheme="majorHAnsi" w:hAnsiTheme="majorHAnsi"/>
          <w:bCs/>
          <w:sz w:val="20"/>
          <w:szCs w:val="20"/>
          <w:lang w:val="es-CO"/>
        </w:rPr>
        <w:t>l Estado no ha cumplido con su deber de investigar, juzgar y sancionar</w:t>
      </w:r>
      <w:r w:rsidR="003E3929" w:rsidRPr="00E66386">
        <w:rPr>
          <w:rFonts w:asciiTheme="majorHAnsi" w:hAnsiTheme="majorHAnsi"/>
          <w:bCs/>
          <w:sz w:val="20"/>
          <w:szCs w:val="20"/>
          <w:lang w:val="es-CO"/>
        </w:rPr>
        <w:t xml:space="preserve"> los hechos que consideran constitutivos de genocidio en perjuicio del pueblo maya </w:t>
      </w:r>
      <w:r w:rsidR="00C51C64" w:rsidRPr="00E66386">
        <w:rPr>
          <w:rFonts w:asciiTheme="majorHAnsi" w:hAnsiTheme="majorHAnsi"/>
          <w:bCs/>
          <w:sz w:val="20"/>
          <w:szCs w:val="20"/>
          <w:lang w:val="es-CO"/>
        </w:rPr>
        <w:t>Ixil</w:t>
      </w:r>
      <w:r w:rsidR="00327CB3" w:rsidRPr="00E66386">
        <w:rPr>
          <w:rFonts w:asciiTheme="majorHAnsi" w:hAnsiTheme="majorHAnsi"/>
          <w:bCs/>
          <w:sz w:val="20"/>
          <w:szCs w:val="20"/>
          <w:lang w:val="es-CO"/>
        </w:rPr>
        <w:t>.</w:t>
      </w:r>
    </w:p>
    <w:p w14:paraId="11476FA3" w14:textId="2491831F" w:rsidR="0085340B" w:rsidRPr="00E66386" w:rsidRDefault="0085340B" w:rsidP="0085340B">
      <w:pPr>
        <w:pStyle w:val="ListParagraph"/>
        <w:spacing w:before="240" w:after="240"/>
        <w:jc w:val="both"/>
        <w:rPr>
          <w:rFonts w:asciiTheme="majorHAnsi" w:hAnsiTheme="majorHAnsi"/>
          <w:bCs/>
          <w:i/>
          <w:iCs/>
          <w:sz w:val="20"/>
          <w:szCs w:val="20"/>
          <w:lang w:val="es-CO"/>
        </w:rPr>
      </w:pPr>
      <w:r w:rsidRPr="00E66386">
        <w:rPr>
          <w:rFonts w:asciiTheme="majorHAnsi" w:hAnsiTheme="majorHAnsi"/>
          <w:bCs/>
          <w:i/>
          <w:iCs/>
          <w:color w:val="000000" w:themeColor="text1"/>
          <w:sz w:val="20"/>
          <w:szCs w:val="20"/>
          <w:lang w:val="es-CO"/>
        </w:rPr>
        <w:t xml:space="preserve">Posición </w:t>
      </w:r>
      <w:r w:rsidRPr="00E66386">
        <w:rPr>
          <w:rFonts w:asciiTheme="majorHAnsi" w:hAnsiTheme="majorHAnsi"/>
          <w:bCs/>
          <w:i/>
          <w:iCs/>
          <w:sz w:val="20"/>
          <w:szCs w:val="20"/>
          <w:lang w:val="es-CO"/>
        </w:rPr>
        <w:t>del Estado</w:t>
      </w:r>
    </w:p>
    <w:p w14:paraId="0A79AE97" w14:textId="4B332ED5" w:rsidR="00C32F0C" w:rsidRPr="00E66386" w:rsidRDefault="00C32F0C"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Por su parte, el Estado </w:t>
      </w:r>
      <w:r w:rsidR="00501E63" w:rsidRPr="00E66386">
        <w:rPr>
          <w:rFonts w:asciiTheme="majorHAnsi" w:hAnsiTheme="majorHAnsi"/>
          <w:bCs/>
          <w:sz w:val="20"/>
          <w:szCs w:val="20"/>
          <w:lang w:val="es-CO"/>
        </w:rPr>
        <w:t xml:space="preserve">guatemalteco </w:t>
      </w:r>
      <w:r w:rsidRPr="00E66386">
        <w:rPr>
          <w:rFonts w:asciiTheme="majorHAnsi" w:hAnsiTheme="majorHAnsi"/>
          <w:bCs/>
          <w:sz w:val="20"/>
          <w:szCs w:val="20"/>
          <w:lang w:val="es-CO"/>
        </w:rPr>
        <w:t xml:space="preserve">solicita a la CIDH declarar </w:t>
      </w:r>
      <w:r w:rsidR="004F0F5F" w:rsidRPr="00E66386">
        <w:rPr>
          <w:rFonts w:asciiTheme="majorHAnsi" w:hAnsiTheme="majorHAnsi"/>
          <w:bCs/>
          <w:sz w:val="20"/>
          <w:szCs w:val="20"/>
          <w:lang w:val="es-CO"/>
        </w:rPr>
        <w:t>la presente petición inadmisible</w:t>
      </w:r>
      <w:r w:rsidR="00501E63" w:rsidRPr="00E66386">
        <w:rPr>
          <w:rFonts w:asciiTheme="majorHAnsi" w:hAnsiTheme="majorHAnsi"/>
          <w:bCs/>
          <w:sz w:val="20"/>
          <w:szCs w:val="20"/>
          <w:lang w:val="es-CO"/>
        </w:rPr>
        <w:t xml:space="preserve"> por considerar que </w:t>
      </w:r>
      <w:r w:rsidR="004F0F5F" w:rsidRPr="00E66386">
        <w:rPr>
          <w:rFonts w:asciiTheme="majorHAnsi" w:hAnsiTheme="majorHAnsi"/>
          <w:bCs/>
          <w:sz w:val="20"/>
          <w:szCs w:val="20"/>
          <w:lang w:val="es-CO"/>
        </w:rPr>
        <w:t>no contiene hechos que caractericen violaciones de derechos humanos</w:t>
      </w:r>
      <w:r w:rsidR="00501E63" w:rsidRPr="00E66386">
        <w:rPr>
          <w:rFonts w:asciiTheme="majorHAnsi" w:hAnsiTheme="majorHAnsi"/>
          <w:bCs/>
          <w:sz w:val="20"/>
          <w:szCs w:val="20"/>
          <w:lang w:val="es-CO"/>
        </w:rPr>
        <w:t>,</w:t>
      </w:r>
      <w:r w:rsidR="000D2405" w:rsidRPr="00E66386">
        <w:rPr>
          <w:rFonts w:asciiTheme="majorHAnsi" w:hAnsiTheme="majorHAnsi"/>
          <w:bCs/>
          <w:sz w:val="20"/>
          <w:szCs w:val="20"/>
          <w:lang w:val="es-CO"/>
        </w:rPr>
        <w:t xml:space="preserve"> </w:t>
      </w:r>
      <w:r w:rsidR="005D0C60" w:rsidRPr="00E66386">
        <w:rPr>
          <w:rFonts w:asciiTheme="majorHAnsi" w:hAnsiTheme="majorHAnsi"/>
          <w:bCs/>
          <w:sz w:val="20"/>
          <w:szCs w:val="20"/>
          <w:lang w:val="es-CO"/>
        </w:rPr>
        <w:t>y,</w:t>
      </w:r>
      <w:r w:rsidR="00501E63" w:rsidRPr="00E66386">
        <w:rPr>
          <w:rFonts w:asciiTheme="majorHAnsi" w:hAnsiTheme="majorHAnsi"/>
          <w:bCs/>
          <w:sz w:val="20"/>
          <w:szCs w:val="20"/>
          <w:lang w:val="es-CO"/>
        </w:rPr>
        <w:t xml:space="preserve"> por lo tanto,</w:t>
      </w:r>
      <w:r w:rsidR="000D2405" w:rsidRPr="00E66386">
        <w:rPr>
          <w:rFonts w:asciiTheme="majorHAnsi" w:hAnsiTheme="majorHAnsi"/>
          <w:bCs/>
          <w:sz w:val="20"/>
          <w:szCs w:val="20"/>
          <w:lang w:val="es-CO"/>
        </w:rPr>
        <w:t xml:space="preserve"> manifiestamente infundada</w:t>
      </w:r>
      <w:r w:rsidR="0022232A" w:rsidRPr="00E66386">
        <w:rPr>
          <w:rFonts w:asciiTheme="majorHAnsi" w:hAnsiTheme="majorHAnsi"/>
          <w:bCs/>
          <w:sz w:val="20"/>
          <w:szCs w:val="20"/>
          <w:lang w:val="es-CO"/>
        </w:rPr>
        <w:t>. Arguye también</w:t>
      </w:r>
      <w:r w:rsidR="004F0F5F" w:rsidRPr="00E66386">
        <w:rPr>
          <w:rFonts w:asciiTheme="majorHAnsi" w:hAnsiTheme="majorHAnsi"/>
          <w:bCs/>
          <w:sz w:val="20"/>
          <w:szCs w:val="20"/>
          <w:lang w:val="es-CO"/>
        </w:rPr>
        <w:t xml:space="preserve"> </w:t>
      </w:r>
      <w:r w:rsidR="00501E63" w:rsidRPr="00E66386">
        <w:rPr>
          <w:rFonts w:asciiTheme="majorHAnsi" w:hAnsiTheme="majorHAnsi"/>
          <w:bCs/>
          <w:sz w:val="20"/>
          <w:szCs w:val="20"/>
          <w:lang w:val="es-CO"/>
        </w:rPr>
        <w:t xml:space="preserve">que los peticionarios </w:t>
      </w:r>
      <w:r w:rsidR="00C54453" w:rsidRPr="00E66386">
        <w:rPr>
          <w:rFonts w:asciiTheme="majorHAnsi" w:hAnsiTheme="majorHAnsi"/>
          <w:bCs/>
          <w:sz w:val="20"/>
          <w:szCs w:val="20"/>
          <w:lang w:val="es-CO"/>
        </w:rPr>
        <w:t>pretende</w:t>
      </w:r>
      <w:r w:rsidR="00501E63" w:rsidRPr="00E66386">
        <w:rPr>
          <w:rFonts w:asciiTheme="majorHAnsi" w:hAnsiTheme="majorHAnsi"/>
          <w:bCs/>
          <w:sz w:val="20"/>
          <w:szCs w:val="20"/>
          <w:lang w:val="es-CO"/>
        </w:rPr>
        <w:t>n</w:t>
      </w:r>
      <w:r w:rsidR="00C54453" w:rsidRPr="00E66386">
        <w:rPr>
          <w:rFonts w:asciiTheme="majorHAnsi" w:hAnsiTheme="majorHAnsi"/>
          <w:bCs/>
          <w:sz w:val="20"/>
          <w:szCs w:val="20"/>
          <w:lang w:val="es-CO"/>
        </w:rPr>
        <w:t xml:space="preserve"> hacer uso de la Comisión como </w:t>
      </w:r>
      <w:r w:rsidR="00501E63" w:rsidRPr="00E66386">
        <w:rPr>
          <w:rFonts w:asciiTheme="majorHAnsi" w:hAnsiTheme="majorHAnsi"/>
          <w:bCs/>
          <w:sz w:val="20"/>
          <w:szCs w:val="20"/>
          <w:lang w:val="es-CO"/>
        </w:rPr>
        <w:t xml:space="preserve">lo que considera, o da en llamar, </w:t>
      </w:r>
      <w:r w:rsidR="00C54453" w:rsidRPr="00E66386">
        <w:rPr>
          <w:rFonts w:asciiTheme="majorHAnsi" w:hAnsiTheme="majorHAnsi"/>
          <w:bCs/>
          <w:sz w:val="20"/>
          <w:szCs w:val="20"/>
          <w:lang w:val="es-CO"/>
        </w:rPr>
        <w:t xml:space="preserve">un tribunal de </w:t>
      </w:r>
      <w:r w:rsidR="00501E63" w:rsidRPr="00E66386">
        <w:rPr>
          <w:rFonts w:asciiTheme="majorHAnsi" w:hAnsiTheme="majorHAnsi"/>
          <w:bCs/>
          <w:sz w:val="20"/>
          <w:szCs w:val="20"/>
          <w:lang w:val="es-ES"/>
        </w:rPr>
        <w:t>“</w:t>
      </w:r>
      <w:r w:rsidR="00C54453" w:rsidRPr="00E66386">
        <w:rPr>
          <w:rFonts w:asciiTheme="majorHAnsi" w:hAnsiTheme="majorHAnsi"/>
          <w:bCs/>
          <w:sz w:val="20"/>
          <w:szCs w:val="20"/>
          <w:lang w:val="es-CO"/>
        </w:rPr>
        <w:t>cuarta instancia</w:t>
      </w:r>
      <w:r w:rsidR="00501E63" w:rsidRPr="00E66386">
        <w:rPr>
          <w:rFonts w:asciiTheme="majorHAnsi" w:hAnsiTheme="majorHAnsi"/>
          <w:bCs/>
          <w:sz w:val="20"/>
          <w:szCs w:val="20"/>
          <w:lang w:val="es-CO"/>
        </w:rPr>
        <w:t>”</w:t>
      </w:r>
      <w:r w:rsidR="007E2596" w:rsidRPr="00E66386">
        <w:rPr>
          <w:rFonts w:asciiTheme="majorHAnsi" w:hAnsiTheme="majorHAnsi"/>
          <w:bCs/>
          <w:sz w:val="20"/>
          <w:szCs w:val="20"/>
          <w:lang w:val="es-CO"/>
        </w:rPr>
        <w:t>,</w:t>
      </w:r>
      <w:r w:rsidR="00C54453" w:rsidRPr="00E66386">
        <w:rPr>
          <w:rFonts w:asciiTheme="majorHAnsi" w:hAnsiTheme="majorHAnsi"/>
          <w:bCs/>
          <w:sz w:val="20"/>
          <w:szCs w:val="20"/>
          <w:lang w:val="es-CO"/>
        </w:rPr>
        <w:t xml:space="preserve"> </w:t>
      </w:r>
      <w:r w:rsidR="000D2405" w:rsidRPr="00E66386">
        <w:rPr>
          <w:rFonts w:asciiTheme="majorHAnsi" w:hAnsiTheme="majorHAnsi"/>
          <w:bCs/>
          <w:sz w:val="20"/>
          <w:szCs w:val="20"/>
          <w:lang w:val="es-CO"/>
        </w:rPr>
        <w:t xml:space="preserve">y </w:t>
      </w:r>
      <w:r w:rsidR="00501E63" w:rsidRPr="00E66386">
        <w:rPr>
          <w:rFonts w:asciiTheme="majorHAnsi" w:hAnsiTheme="majorHAnsi"/>
          <w:bCs/>
          <w:sz w:val="20"/>
          <w:szCs w:val="20"/>
          <w:lang w:val="es-CO"/>
        </w:rPr>
        <w:t xml:space="preserve">considera que </w:t>
      </w:r>
      <w:r w:rsidR="00FF6334" w:rsidRPr="00E66386">
        <w:rPr>
          <w:rFonts w:asciiTheme="majorHAnsi" w:hAnsiTheme="majorHAnsi"/>
          <w:bCs/>
          <w:sz w:val="20"/>
          <w:szCs w:val="20"/>
          <w:lang w:val="es-CO"/>
        </w:rPr>
        <w:t>no se han agotado los recursos</w:t>
      </w:r>
      <w:r w:rsidR="00501E63" w:rsidRPr="00E66386">
        <w:rPr>
          <w:rFonts w:asciiTheme="majorHAnsi" w:hAnsiTheme="majorHAnsi"/>
          <w:bCs/>
          <w:sz w:val="20"/>
          <w:szCs w:val="20"/>
          <w:lang w:val="es-CO"/>
        </w:rPr>
        <w:t xml:space="preserve"> judiciales</w:t>
      </w:r>
      <w:r w:rsidR="00FF6334" w:rsidRPr="00E66386">
        <w:rPr>
          <w:rFonts w:asciiTheme="majorHAnsi" w:hAnsiTheme="majorHAnsi"/>
          <w:bCs/>
          <w:sz w:val="20"/>
          <w:szCs w:val="20"/>
          <w:lang w:val="es-CO"/>
        </w:rPr>
        <w:t xml:space="preserve"> internos, en particular, los procesos penales.</w:t>
      </w:r>
    </w:p>
    <w:p w14:paraId="2479126F" w14:textId="5E26673D" w:rsidR="00157ED3" w:rsidRPr="00E66386" w:rsidRDefault="00A731EA" w:rsidP="00A253D3">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El Estado</w:t>
      </w:r>
      <w:r w:rsidR="00BC6D46" w:rsidRPr="00E66386">
        <w:rPr>
          <w:rFonts w:asciiTheme="majorHAnsi" w:hAnsiTheme="majorHAnsi"/>
          <w:bCs/>
          <w:sz w:val="20"/>
          <w:szCs w:val="20"/>
          <w:lang w:val="es-CO"/>
        </w:rPr>
        <w:t xml:space="preserve"> además</w:t>
      </w:r>
      <w:r w:rsidRPr="00E66386">
        <w:rPr>
          <w:rFonts w:asciiTheme="majorHAnsi" w:hAnsiTheme="majorHAnsi"/>
          <w:bCs/>
          <w:sz w:val="20"/>
          <w:szCs w:val="20"/>
          <w:lang w:val="es-CO"/>
        </w:rPr>
        <w:t xml:space="preserve"> presenta observaciones </w:t>
      </w:r>
      <w:r w:rsidR="00A253D3" w:rsidRPr="00E66386">
        <w:rPr>
          <w:rFonts w:asciiTheme="majorHAnsi" w:hAnsiTheme="majorHAnsi"/>
          <w:bCs/>
          <w:sz w:val="20"/>
          <w:szCs w:val="20"/>
          <w:lang w:val="es-CO"/>
        </w:rPr>
        <w:t xml:space="preserve">actualizadas </w:t>
      </w:r>
      <w:r w:rsidRPr="00E66386">
        <w:rPr>
          <w:rFonts w:asciiTheme="majorHAnsi" w:hAnsiTheme="majorHAnsi"/>
          <w:bCs/>
          <w:sz w:val="20"/>
          <w:szCs w:val="20"/>
          <w:lang w:val="es-CO"/>
        </w:rPr>
        <w:t xml:space="preserve">sobre los hechos </w:t>
      </w:r>
      <w:r w:rsidR="00A253D3" w:rsidRPr="00E66386">
        <w:rPr>
          <w:rFonts w:asciiTheme="majorHAnsi" w:hAnsiTheme="majorHAnsi"/>
          <w:bCs/>
          <w:sz w:val="20"/>
          <w:szCs w:val="20"/>
          <w:lang w:val="es-CO"/>
        </w:rPr>
        <w:t xml:space="preserve">e </w:t>
      </w:r>
      <w:r w:rsidR="005D7B3B" w:rsidRPr="00E66386">
        <w:rPr>
          <w:rFonts w:asciiTheme="majorHAnsi" w:hAnsiTheme="majorHAnsi"/>
          <w:bCs/>
          <w:sz w:val="20"/>
          <w:szCs w:val="20"/>
          <w:lang w:val="es-CO"/>
        </w:rPr>
        <w:t xml:space="preserve">informa que </w:t>
      </w:r>
      <w:r w:rsidR="00D93C90" w:rsidRPr="00E66386">
        <w:rPr>
          <w:rFonts w:asciiTheme="majorHAnsi" w:hAnsiTheme="majorHAnsi"/>
          <w:bCs/>
          <w:sz w:val="20"/>
          <w:szCs w:val="20"/>
          <w:lang w:val="es-CO"/>
        </w:rPr>
        <w:t xml:space="preserve">el recurso de apelación </w:t>
      </w:r>
      <w:r w:rsidR="00A253D3" w:rsidRPr="00E66386">
        <w:rPr>
          <w:rFonts w:asciiTheme="majorHAnsi" w:hAnsiTheme="majorHAnsi"/>
          <w:bCs/>
          <w:sz w:val="20"/>
          <w:szCs w:val="20"/>
          <w:lang w:val="es-CO"/>
        </w:rPr>
        <w:t xml:space="preserve">especial </w:t>
      </w:r>
      <w:r w:rsidR="005812DE" w:rsidRPr="00E66386">
        <w:rPr>
          <w:rFonts w:asciiTheme="majorHAnsi" w:hAnsiTheme="majorHAnsi"/>
          <w:bCs/>
          <w:sz w:val="20"/>
          <w:szCs w:val="20"/>
          <w:lang w:val="es-CO"/>
        </w:rPr>
        <w:t xml:space="preserve">de los querellantes en el proceso seguido contra el señor </w:t>
      </w:r>
      <w:r w:rsidR="000F2073" w:rsidRPr="00E66386">
        <w:rPr>
          <w:rFonts w:asciiTheme="majorHAnsi" w:hAnsiTheme="majorHAnsi"/>
          <w:bCs/>
          <w:sz w:val="20"/>
          <w:szCs w:val="20"/>
          <w:lang w:val="es-CO"/>
        </w:rPr>
        <w:t xml:space="preserve">Rodríguez Sánchez </w:t>
      </w:r>
      <w:r w:rsidR="00D93C90" w:rsidRPr="00E66386">
        <w:rPr>
          <w:rFonts w:asciiTheme="majorHAnsi" w:hAnsiTheme="majorHAnsi"/>
          <w:bCs/>
          <w:sz w:val="20"/>
          <w:szCs w:val="20"/>
          <w:lang w:val="es-CO"/>
        </w:rPr>
        <w:t>fue declarado sin lugar el 24 de febrero de 2021</w:t>
      </w:r>
      <w:r w:rsidR="000F2073" w:rsidRPr="00E66386">
        <w:rPr>
          <w:rFonts w:asciiTheme="majorHAnsi" w:hAnsiTheme="majorHAnsi"/>
          <w:bCs/>
          <w:sz w:val="20"/>
          <w:szCs w:val="20"/>
          <w:lang w:val="es-CO"/>
        </w:rPr>
        <w:t>. En vista de ello,</w:t>
      </w:r>
      <w:r w:rsidR="00D93C90" w:rsidRPr="00E66386">
        <w:rPr>
          <w:rFonts w:asciiTheme="majorHAnsi" w:hAnsiTheme="majorHAnsi"/>
          <w:bCs/>
          <w:sz w:val="20"/>
          <w:szCs w:val="20"/>
          <w:lang w:val="es-CO"/>
        </w:rPr>
        <w:t xml:space="preserve"> el Ministerio Público interpuso un recurso de casación por motivo de fondo en marzo de 2021, que est</w:t>
      </w:r>
      <w:r w:rsidR="007439DF" w:rsidRPr="00E66386">
        <w:rPr>
          <w:rFonts w:asciiTheme="majorHAnsi" w:hAnsiTheme="majorHAnsi"/>
          <w:bCs/>
          <w:sz w:val="20"/>
          <w:szCs w:val="20"/>
          <w:lang w:val="es-CO"/>
        </w:rPr>
        <w:t>aría</w:t>
      </w:r>
      <w:r w:rsidR="00D93C90" w:rsidRPr="00E66386">
        <w:rPr>
          <w:rFonts w:asciiTheme="majorHAnsi" w:hAnsiTheme="majorHAnsi"/>
          <w:bCs/>
          <w:sz w:val="20"/>
          <w:szCs w:val="20"/>
          <w:lang w:val="es-CO"/>
        </w:rPr>
        <w:t xml:space="preserve"> pendiente de resolución.</w:t>
      </w:r>
    </w:p>
    <w:p w14:paraId="60A8167A" w14:textId="5B8BF3A7" w:rsidR="0008435C" w:rsidRPr="00E66386" w:rsidRDefault="00BC6D46" w:rsidP="0008435C">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En primer lugar, Guate</w:t>
      </w:r>
      <w:r w:rsidR="00A3024B" w:rsidRPr="00E66386">
        <w:rPr>
          <w:rFonts w:asciiTheme="majorHAnsi" w:hAnsiTheme="majorHAnsi"/>
          <w:bCs/>
          <w:sz w:val="20"/>
          <w:szCs w:val="20"/>
          <w:lang w:val="es-CO"/>
        </w:rPr>
        <w:t>mala alega que la presente petición n</w:t>
      </w:r>
      <w:r w:rsidR="0008435C" w:rsidRPr="00E66386">
        <w:rPr>
          <w:rFonts w:asciiTheme="majorHAnsi" w:hAnsiTheme="majorHAnsi"/>
          <w:bCs/>
          <w:sz w:val="20"/>
          <w:szCs w:val="20"/>
          <w:lang w:val="es-CO"/>
        </w:rPr>
        <w:t xml:space="preserve">o expone hechos que </w:t>
      </w:r>
      <w:r w:rsidR="007439DF" w:rsidRPr="00E66386">
        <w:rPr>
          <w:rFonts w:asciiTheme="majorHAnsi" w:hAnsiTheme="majorHAnsi"/>
          <w:bCs/>
          <w:sz w:val="20"/>
          <w:szCs w:val="20"/>
          <w:lang w:val="es-CO"/>
        </w:rPr>
        <w:t xml:space="preserve">constituyan </w:t>
      </w:r>
      <w:r w:rsidR="007439DF" w:rsidRPr="00E66386">
        <w:rPr>
          <w:rFonts w:asciiTheme="majorHAnsi" w:hAnsiTheme="majorHAnsi"/>
          <w:bCs/>
          <w:i/>
          <w:iCs/>
          <w:sz w:val="20"/>
          <w:szCs w:val="20"/>
          <w:lang w:val="es-CO"/>
        </w:rPr>
        <w:t>prima facie</w:t>
      </w:r>
      <w:r w:rsidR="0008435C" w:rsidRPr="00E66386">
        <w:rPr>
          <w:rFonts w:asciiTheme="majorHAnsi" w:hAnsiTheme="majorHAnsi"/>
          <w:bCs/>
          <w:sz w:val="20"/>
          <w:szCs w:val="20"/>
          <w:lang w:val="es-CO"/>
        </w:rPr>
        <w:t xml:space="preserve"> </w:t>
      </w:r>
      <w:r w:rsidR="007439DF" w:rsidRPr="00E66386">
        <w:rPr>
          <w:rFonts w:asciiTheme="majorHAnsi" w:hAnsiTheme="majorHAnsi"/>
          <w:bCs/>
          <w:sz w:val="20"/>
          <w:szCs w:val="20"/>
          <w:lang w:val="es-CO"/>
        </w:rPr>
        <w:t>violaciones a la</w:t>
      </w:r>
      <w:r w:rsidR="0008435C" w:rsidRPr="00E66386">
        <w:rPr>
          <w:rFonts w:asciiTheme="majorHAnsi" w:hAnsiTheme="majorHAnsi"/>
          <w:bCs/>
          <w:sz w:val="20"/>
          <w:szCs w:val="20"/>
          <w:lang w:val="es-CO"/>
        </w:rPr>
        <w:t xml:space="preserve"> Convención</w:t>
      </w:r>
      <w:r w:rsidR="007439DF" w:rsidRPr="00E66386">
        <w:rPr>
          <w:rFonts w:asciiTheme="majorHAnsi" w:hAnsiTheme="majorHAnsi"/>
          <w:bCs/>
          <w:sz w:val="20"/>
          <w:szCs w:val="20"/>
          <w:lang w:val="es-CO"/>
        </w:rPr>
        <w:t xml:space="preserve"> Americana</w:t>
      </w:r>
      <w:r w:rsidR="0008435C" w:rsidRPr="00E66386">
        <w:rPr>
          <w:rFonts w:asciiTheme="majorHAnsi" w:hAnsiTheme="majorHAnsi"/>
          <w:bCs/>
          <w:sz w:val="20"/>
          <w:szCs w:val="20"/>
          <w:lang w:val="es-CO"/>
        </w:rPr>
        <w:t xml:space="preserve">. </w:t>
      </w:r>
      <w:r w:rsidR="00852373" w:rsidRPr="00E66386">
        <w:rPr>
          <w:rFonts w:asciiTheme="majorHAnsi" w:hAnsiTheme="majorHAnsi"/>
          <w:bCs/>
          <w:sz w:val="20"/>
          <w:szCs w:val="20"/>
          <w:lang w:val="es-CO"/>
        </w:rPr>
        <w:t>R</w:t>
      </w:r>
      <w:r w:rsidR="00A3024B" w:rsidRPr="00E66386">
        <w:rPr>
          <w:rFonts w:asciiTheme="majorHAnsi" w:hAnsiTheme="majorHAnsi"/>
          <w:bCs/>
          <w:sz w:val="20"/>
          <w:szCs w:val="20"/>
          <w:lang w:val="es-CO"/>
        </w:rPr>
        <w:t xml:space="preserve">ecuerda que el Sistema Interamericano de </w:t>
      </w:r>
      <w:r w:rsidR="00F4532C" w:rsidRPr="00E66386">
        <w:rPr>
          <w:rFonts w:asciiTheme="majorHAnsi" w:hAnsiTheme="majorHAnsi"/>
          <w:bCs/>
          <w:sz w:val="20"/>
          <w:szCs w:val="20"/>
          <w:lang w:val="es-CO"/>
        </w:rPr>
        <w:t>P</w:t>
      </w:r>
      <w:r w:rsidR="00A3024B" w:rsidRPr="00E66386">
        <w:rPr>
          <w:rFonts w:asciiTheme="majorHAnsi" w:hAnsiTheme="majorHAnsi"/>
          <w:bCs/>
          <w:sz w:val="20"/>
          <w:szCs w:val="20"/>
          <w:lang w:val="es-CO"/>
        </w:rPr>
        <w:t xml:space="preserve">rotección de </w:t>
      </w:r>
      <w:r w:rsidR="00F4532C" w:rsidRPr="00E66386">
        <w:rPr>
          <w:rFonts w:asciiTheme="majorHAnsi" w:hAnsiTheme="majorHAnsi"/>
          <w:bCs/>
          <w:sz w:val="20"/>
          <w:szCs w:val="20"/>
          <w:lang w:val="es-CO"/>
        </w:rPr>
        <w:t>D</w:t>
      </w:r>
      <w:r w:rsidR="00A3024B" w:rsidRPr="00E66386">
        <w:rPr>
          <w:rFonts w:asciiTheme="majorHAnsi" w:hAnsiTheme="majorHAnsi"/>
          <w:bCs/>
          <w:sz w:val="20"/>
          <w:szCs w:val="20"/>
          <w:lang w:val="es-CO"/>
        </w:rPr>
        <w:t xml:space="preserve">erechos </w:t>
      </w:r>
      <w:r w:rsidR="00F4532C" w:rsidRPr="00E66386">
        <w:rPr>
          <w:rFonts w:asciiTheme="majorHAnsi" w:hAnsiTheme="majorHAnsi"/>
          <w:bCs/>
          <w:sz w:val="20"/>
          <w:szCs w:val="20"/>
          <w:lang w:val="es-CO"/>
        </w:rPr>
        <w:t>H</w:t>
      </w:r>
      <w:r w:rsidR="00A3024B" w:rsidRPr="00E66386">
        <w:rPr>
          <w:rFonts w:asciiTheme="majorHAnsi" w:hAnsiTheme="majorHAnsi"/>
          <w:bCs/>
          <w:sz w:val="20"/>
          <w:szCs w:val="20"/>
          <w:lang w:val="es-CO"/>
        </w:rPr>
        <w:t>umanos se asienta en el p</w:t>
      </w:r>
      <w:r w:rsidR="0008435C" w:rsidRPr="00E66386">
        <w:rPr>
          <w:rFonts w:asciiTheme="majorHAnsi" w:hAnsiTheme="majorHAnsi"/>
          <w:bCs/>
          <w:sz w:val="20"/>
          <w:szCs w:val="20"/>
          <w:lang w:val="es-CO"/>
        </w:rPr>
        <w:t xml:space="preserve">rincipio de complementariedad </w:t>
      </w:r>
      <w:r w:rsidR="00E47295" w:rsidRPr="00E66386">
        <w:rPr>
          <w:rFonts w:asciiTheme="majorHAnsi" w:hAnsiTheme="majorHAnsi"/>
          <w:bCs/>
          <w:sz w:val="20"/>
          <w:szCs w:val="20"/>
          <w:lang w:val="es-CO"/>
        </w:rPr>
        <w:t xml:space="preserve">que </w:t>
      </w:r>
      <w:r w:rsidR="0008435C" w:rsidRPr="00E66386">
        <w:rPr>
          <w:rFonts w:asciiTheme="majorHAnsi" w:hAnsiTheme="majorHAnsi"/>
          <w:bCs/>
          <w:sz w:val="20"/>
          <w:szCs w:val="20"/>
          <w:lang w:val="es-CO"/>
        </w:rPr>
        <w:t xml:space="preserve">excluye la posibilidad de que la CIDH actúe como un tribunal revisor de la actuación judicial desplegada a nivel nacional. El Estado considera que la CIDH carece de competencia para revisar la manera en que los tribunales nacionales interpretan y aplican las normas jurídicas. </w:t>
      </w:r>
      <w:r w:rsidR="00E643E5" w:rsidRPr="00E66386">
        <w:rPr>
          <w:rFonts w:asciiTheme="majorHAnsi" w:hAnsiTheme="majorHAnsi"/>
          <w:bCs/>
          <w:sz w:val="20"/>
          <w:szCs w:val="20"/>
          <w:lang w:val="es-CO"/>
        </w:rPr>
        <w:t>Bajo esa perspectiva, asegura que l</w:t>
      </w:r>
      <w:r w:rsidR="0008435C" w:rsidRPr="00E66386">
        <w:rPr>
          <w:rFonts w:asciiTheme="majorHAnsi" w:hAnsiTheme="majorHAnsi"/>
          <w:bCs/>
          <w:sz w:val="20"/>
          <w:szCs w:val="20"/>
          <w:lang w:val="es-CO"/>
        </w:rPr>
        <w:t>os hechos no quedaron en la impunidad, por el contrario, el Estado diligenció y practicó las pruebas pertinentes</w:t>
      </w:r>
      <w:r w:rsidR="007439DF" w:rsidRPr="00E66386">
        <w:rPr>
          <w:rFonts w:asciiTheme="majorHAnsi" w:hAnsiTheme="majorHAnsi"/>
          <w:bCs/>
          <w:sz w:val="20"/>
          <w:szCs w:val="20"/>
          <w:lang w:val="es-CO"/>
        </w:rPr>
        <w:t>,</w:t>
      </w:r>
      <w:r w:rsidR="0008435C" w:rsidRPr="00E66386">
        <w:rPr>
          <w:rFonts w:asciiTheme="majorHAnsi" w:hAnsiTheme="majorHAnsi"/>
          <w:bCs/>
          <w:sz w:val="20"/>
          <w:szCs w:val="20"/>
          <w:lang w:val="es-CO"/>
        </w:rPr>
        <w:t xml:space="preserve"> y </w:t>
      </w:r>
      <w:r w:rsidR="00E643E5" w:rsidRPr="00E66386">
        <w:rPr>
          <w:rFonts w:asciiTheme="majorHAnsi" w:hAnsiTheme="majorHAnsi"/>
          <w:bCs/>
          <w:sz w:val="20"/>
          <w:szCs w:val="20"/>
          <w:lang w:val="es-CO"/>
        </w:rPr>
        <w:t xml:space="preserve">llevó a </w:t>
      </w:r>
      <w:r w:rsidR="0008435C" w:rsidRPr="00E66386">
        <w:rPr>
          <w:rFonts w:asciiTheme="majorHAnsi" w:hAnsiTheme="majorHAnsi"/>
          <w:bCs/>
          <w:sz w:val="20"/>
          <w:szCs w:val="20"/>
          <w:lang w:val="es-CO"/>
        </w:rPr>
        <w:t>los acusados ante la justicia. De manera que el acusado Ríos Montt fue incluso condenado en 2013, pese a que la Corte de Constitucionalidad anul</w:t>
      </w:r>
      <w:r w:rsidR="00852373" w:rsidRPr="00E66386">
        <w:rPr>
          <w:rFonts w:asciiTheme="majorHAnsi" w:hAnsiTheme="majorHAnsi"/>
          <w:bCs/>
          <w:sz w:val="20"/>
          <w:szCs w:val="20"/>
          <w:lang w:val="es-CO"/>
        </w:rPr>
        <w:t>ó</w:t>
      </w:r>
      <w:r w:rsidR="0008435C" w:rsidRPr="00E66386">
        <w:rPr>
          <w:rFonts w:asciiTheme="majorHAnsi" w:hAnsiTheme="majorHAnsi"/>
          <w:bCs/>
          <w:sz w:val="20"/>
          <w:szCs w:val="20"/>
          <w:lang w:val="es-CO"/>
        </w:rPr>
        <w:t xml:space="preserve"> la sentencia y que su posterior fallecimiento impidi</w:t>
      </w:r>
      <w:r w:rsidR="00852373" w:rsidRPr="00E66386">
        <w:rPr>
          <w:rFonts w:asciiTheme="majorHAnsi" w:hAnsiTheme="majorHAnsi"/>
          <w:bCs/>
          <w:sz w:val="20"/>
          <w:szCs w:val="20"/>
          <w:lang w:val="es-CO"/>
        </w:rPr>
        <w:t>ó</w:t>
      </w:r>
      <w:r w:rsidR="0008435C" w:rsidRPr="00E66386">
        <w:rPr>
          <w:rFonts w:asciiTheme="majorHAnsi" w:hAnsiTheme="majorHAnsi"/>
          <w:bCs/>
          <w:sz w:val="20"/>
          <w:szCs w:val="20"/>
          <w:lang w:val="es-CO"/>
        </w:rPr>
        <w:t xml:space="preserve"> la continuación del juicio en su contra.</w:t>
      </w:r>
    </w:p>
    <w:p w14:paraId="366CAADA" w14:textId="3636B00B" w:rsidR="00083EB3" w:rsidRPr="00E66386" w:rsidRDefault="002D5172" w:rsidP="00A253D3">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w:t>
      </w:r>
      <w:r w:rsidR="00157ED3" w:rsidRPr="00E66386">
        <w:rPr>
          <w:rFonts w:asciiTheme="majorHAnsi" w:hAnsiTheme="majorHAnsi"/>
          <w:bCs/>
          <w:sz w:val="20"/>
          <w:szCs w:val="20"/>
          <w:lang w:val="es-CO"/>
        </w:rPr>
        <w:t xml:space="preserve">n segundo lugar, </w:t>
      </w:r>
      <w:r w:rsidR="00852373" w:rsidRPr="00E66386">
        <w:rPr>
          <w:rFonts w:asciiTheme="majorHAnsi" w:hAnsiTheme="majorHAnsi"/>
          <w:bCs/>
          <w:sz w:val="20"/>
          <w:szCs w:val="20"/>
          <w:lang w:val="es-CO"/>
        </w:rPr>
        <w:t xml:space="preserve">el Estado </w:t>
      </w:r>
      <w:r w:rsidRPr="00E66386">
        <w:rPr>
          <w:rFonts w:asciiTheme="majorHAnsi" w:hAnsiTheme="majorHAnsi"/>
          <w:bCs/>
          <w:sz w:val="20"/>
          <w:szCs w:val="20"/>
          <w:lang w:val="es-CO"/>
        </w:rPr>
        <w:t xml:space="preserve">sostiene que los obstáculos en el juicio no </w:t>
      </w:r>
      <w:r w:rsidR="00852373" w:rsidRPr="00E66386">
        <w:rPr>
          <w:rFonts w:asciiTheme="majorHAnsi" w:hAnsiTheme="majorHAnsi"/>
          <w:bCs/>
          <w:sz w:val="20"/>
          <w:szCs w:val="20"/>
          <w:lang w:val="es-CO"/>
        </w:rPr>
        <w:t xml:space="preserve">le </w:t>
      </w:r>
      <w:r w:rsidR="001A4D9B" w:rsidRPr="00E66386">
        <w:rPr>
          <w:rFonts w:asciiTheme="majorHAnsi" w:hAnsiTheme="majorHAnsi"/>
          <w:bCs/>
          <w:sz w:val="20"/>
          <w:szCs w:val="20"/>
          <w:lang w:val="es-CO"/>
        </w:rPr>
        <w:t>son atribuibles</w:t>
      </w:r>
      <w:r w:rsidR="00852373" w:rsidRPr="00E66386">
        <w:rPr>
          <w:rFonts w:asciiTheme="majorHAnsi" w:hAnsiTheme="majorHAnsi"/>
          <w:bCs/>
          <w:sz w:val="20"/>
          <w:szCs w:val="20"/>
          <w:lang w:val="es-CO"/>
        </w:rPr>
        <w:t>,</w:t>
      </w:r>
      <w:r w:rsidR="001A4D9B" w:rsidRPr="00E66386">
        <w:rPr>
          <w:rFonts w:asciiTheme="majorHAnsi" w:hAnsiTheme="majorHAnsi"/>
          <w:bCs/>
          <w:sz w:val="20"/>
          <w:szCs w:val="20"/>
          <w:lang w:val="es-CO"/>
        </w:rPr>
        <w:t xml:space="preserve"> </w:t>
      </w:r>
      <w:r w:rsidRPr="00E66386">
        <w:rPr>
          <w:rFonts w:asciiTheme="majorHAnsi" w:hAnsiTheme="majorHAnsi"/>
          <w:bCs/>
          <w:sz w:val="20"/>
          <w:szCs w:val="20"/>
          <w:lang w:val="es-CO"/>
        </w:rPr>
        <w:t>sino que fueron p</w:t>
      </w:r>
      <w:r w:rsidR="00AB791B" w:rsidRPr="00E66386">
        <w:rPr>
          <w:rFonts w:asciiTheme="majorHAnsi" w:hAnsiTheme="majorHAnsi"/>
          <w:bCs/>
          <w:sz w:val="20"/>
          <w:szCs w:val="20"/>
          <w:lang w:val="es-CO"/>
        </w:rPr>
        <w:t>rovoc</w:t>
      </w:r>
      <w:r w:rsidRPr="00E66386">
        <w:rPr>
          <w:rFonts w:asciiTheme="majorHAnsi" w:hAnsiTheme="majorHAnsi"/>
          <w:bCs/>
          <w:sz w:val="20"/>
          <w:szCs w:val="20"/>
          <w:lang w:val="es-CO"/>
        </w:rPr>
        <w:t xml:space="preserve">ados por la defensa técnica de los acusados. </w:t>
      </w:r>
      <w:r w:rsidR="00D10C26" w:rsidRPr="00E66386">
        <w:rPr>
          <w:rFonts w:asciiTheme="majorHAnsi" w:hAnsiTheme="majorHAnsi"/>
          <w:bCs/>
          <w:sz w:val="20"/>
          <w:szCs w:val="20"/>
          <w:lang w:val="es-CO"/>
        </w:rPr>
        <w:t xml:space="preserve">De esta forma, Guatemala plantea </w:t>
      </w:r>
      <w:r w:rsidRPr="00E66386">
        <w:rPr>
          <w:rFonts w:asciiTheme="majorHAnsi" w:hAnsiTheme="majorHAnsi"/>
          <w:bCs/>
          <w:sz w:val="20"/>
          <w:szCs w:val="20"/>
          <w:lang w:val="es-CO"/>
        </w:rPr>
        <w:t xml:space="preserve">que ha cumplido los estándares internacionales en cuanto al acceso a la verdad, </w:t>
      </w:r>
      <w:r w:rsidR="00D10C26" w:rsidRPr="00E66386">
        <w:rPr>
          <w:rFonts w:asciiTheme="majorHAnsi" w:hAnsiTheme="majorHAnsi"/>
          <w:bCs/>
          <w:sz w:val="20"/>
          <w:szCs w:val="20"/>
          <w:lang w:val="es-CO"/>
        </w:rPr>
        <w:t>pues la creación de la CEH e</w:t>
      </w:r>
      <w:r w:rsidRPr="00E66386">
        <w:rPr>
          <w:rFonts w:asciiTheme="majorHAnsi" w:hAnsiTheme="majorHAnsi"/>
          <w:bCs/>
          <w:sz w:val="20"/>
          <w:szCs w:val="20"/>
          <w:lang w:val="es-CO"/>
        </w:rPr>
        <w:t xml:space="preserve">l 23 de junio de 1994 </w:t>
      </w:r>
      <w:r w:rsidR="00D10C26" w:rsidRPr="00E66386">
        <w:rPr>
          <w:rFonts w:asciiTheme="majorHAnsi" w:hAnsiTheme="majorHAnsi"/>
          <w:bCs/>
          <w:sz w:val="20"/>
          <w:szCs w:val="20"/>
          <w:lang w:val="es-CO"/>
        </w:rPr>
        <w:t>y la publicación de su</w:t>
      </w:r>
      <w:r w:rsidRPr="00E66386">
        <w:rPr>
          <w:rFonts w:asciiTheme="majorHAnsi" w:hAnsiTheme="majorHAnsi"/>
          <w:bCs/>
          <w:sz w:val="20"/>
          <w:szCs w:val="20"/>
          <w:lang w:val="es-CO"/>
        </w:rPr>
        <w:t xml:space="preserve"> informe </w:t>
      </w:r>
      <w:r w:rsidR="00D10C26" w:rsidRPr="00E66386">
        <w:rPr>
          <w:rFonts w:asciiTheme="majorHAnsi" w:hAnsiTheme="majorHAnsi"/>
          <w:bCs/>
          <w:sz w:val="20"/>
          <w:szCs w:val="20"/>
          <w:lang w:val="es-CO"/>
        </w:rPr>
        <w:t xml:space="preserve">demuestra </w:t>
      </w:r>
      <w:r w:rsidRPr="00E66386">
        <w:rPr>
          <w:rFonts w:asciiTheme="majorHAnsi" w:hAnsiTheme="majorHAnsi"/>
          <w:bCs/>
          <w:sz w:val="20"/>
          <w:szCs w:val="20"/>
          <w:lang w:val="es-CO"/>
        </w:rPr>
        <w:t xml:space="preserve">que cumplió con el deber de investigar e identificar a </w:t>
      </w:r>
      <w:r w:rsidRPr="00E66386">
        <w:rPr>
          <w:rFonts w:asciiTheme="majorHAnsi" w:hAnsiTheme="majorHAnsi"/>
          <w:bCs/>
          <w:sz w:val="20"/>
          <w:szCs w:val="20"/>
          <w:lang w:val="es-CO"/>
        </w:rPr>
        <w:lastRenderedPageBreak/>
        <w:t xml:space="preserve">los presuntos responsables de los hechos denunciados, así como </w:t>
      </w:r>
      <w:r w:rsidR="00D10C26" w:rsidRPr="00E66386">
        <w:rPr>
          <w:rFonts w:asciiTheme="majorHAnsi" w:hAnsiTheme="majorHAnsi"/>
          <w:bCs/>
          <w:sz w:val="20"/>
          <w:szCs w:val="20"/>
          <w:lang w:val="es-CO"/>
        </w:rPr>
        <w:t xml:space="preserve">de </w:t>
      </w:r>
      <w:r w:rsidRPr="00E66386">
        <w:rPr>
          <w:rFonts w:asciiTheme="majorHAnsi" w:hAnsiTheme="majorHAnsi"/>
          <w:bCs/>
          <w:sz w:val="20"/>
          <w:szCs w:val="20"/>
          <w:lang w:val="es-CO"/>
        </w:rPr>
        <w:t xml:space="preserve">enjuiciarlos y sancionarlos. </w:t>
      </w:r>
      <w:r w:rsidR="00443E62" w:rsidRPr="00E66386">
        <w:rPr>
          <w:rFonts w:asciiTheme="majorHAnsi" w:hAnsiTheme="majorHAnsi"/>
          <w:bCs/>
          <w:sz w:val="20"/>
          <w:szCs w:val="20"/>
          <w:lang w:val="es-CO"/>
        </w:rPr>
        <w:t>También afirma que l</w:t>
      </w:r>
      <w:r w:rsidRPr="00E66386">
        <w:rPr>
          <w:rFonts w:asciiTheme="majorHAnsi" w:hAnsiTheme="majorHAnsi"/>
          <w:bCs/>
          <w:sz w:val="20"/>
          <w:szCs w:val="20"/>
          <w:lang w:val="es-CO"/>
        </w:rPr>
        <w:t>a anulación decretada por la Corte de Constitucionalidad no fue óbice para que el caso fuera conocido por un nuevo tribunal que dictó una sentencia</w:t>
      </w:r>
      <w:r w:rsidR="005852F2" w:rsidRPr="00E66386">
        <w:rPr>
          <w:rFonts w:asciiTheme="majorHAnsi" w:hAnsiTheme="majorHAnsi"/>
          <w:bCs/>
          <w:sz w:val="20"/>
          <w:szCs w:val="20"/>
          <w:lang w:val="es-CO"/>
        </w:rPr>
        <w:t xml:space="preserve"> en 2018</w:t>
      </w:r>
      <w:r w:rsidR="00852373" w:rsidRPr="00E66386">
        <w:rPr>
          <w:rFonts w:asciiTheme="majorHAnsi" w:hAnsiTheme="majorHAnsi"/>
          <w:bCs/>
          <w:sz w:val="20"/>
          <w:szCs w:val="20"/>
          <w:lang w:val="es-CO"/>
        </w:rPr>
        <w:t>,</w:t>
      </w:r>
      <w:r w:rsidR="005852F2" w:rsidRPr="00E66386">
        <w:rPr>
          <w:rFonts w:asciiTheme="majorHAnsi" w:hAnsiTheme="majorHAnsi"/>
          <w:bCs/>
          <w:sz w:val="20"/>
          <w:szCs w:val="20"/>
          <w:lang w:val="es-CO"/>
        </w:rPr>
        <w:t xml:space="preserve"> </w:t>
      </w:r>
      <w:r w:rsidR="00852373" w:rsidRPr="00E66386">
        <w:rPr>
          <w:rFonts w:asciiTheme="majorHAnsi" w:hAnsiTheme="majorHAnsi"/>
          <w:bCs/>
          <w:sz w:val="20"/>
          <w:szCs w:val="20"/>
          <w:lang w:val="es-CO"/>
        </w:rPr>
        <w:t>llegando a la</w:t>
      </w:r>
      <w:r w:rsidR="005852F2" w:rsidRPr="00E66386">
        <w:rPr>
          <w:rFonts w:asciiTheme="majorHAnsi" w:hAnsiTheme="majorHAnsi"/>
          <w:bCs/>
          <w:sz w:val="20"/>
          <w:szCs w:val="20"/>
          <w:lang w:val="es-CO"/>
        </w:rPr>
        <w:t xml:space="preserve"> resolución </w:t>
      </w:r>
      <w:r w:rsidR="00852373" w:rsidRPr="00E66386">
        <w:rPr>
          <w:rFonts w:asciiTheme="majorHAnsi" w:hAnsiTheme="majorHAnsi"/>
          <w:bCs/>
          <w:sz w:val="20"/>
          <w:szCs w:val="20"/>
          <w:lang w:val="es-CO"/>
        </w:rPr>
        <w:t>del</w:t>
      </w:r>
      <w:r w:rsidR="005852F2" w:rsidRPr="00E66386">
        <w:rPr>
          <w:rFonts w:asciiTheme="majorHAnsi" w:hAnsiTheme="majorHAnsi"/>
          <w:bCs/>
          <w:sz w:val="20"/>
          <w:szCs w:val="20"/>
          <w:lang w:val="es-CO"/>
        </w:rPr>
        <w:t xml:space="preserve"> objeto de </w:t>
      </w:r>
      <w:r w:rsidR="00852373" w:rsidRPr="00E66386">
        <w:rPr>
          <w:rFonts w:asciiTheme="majorHAnsi" w:hAnsiTheme="majorHAnsi"/>
          <w:bCs/>
          <w:sz w:val="20"/>
          <w:szCs w:val="20"/>
          <w:lang w:val="es-CO"/>
        </w:rPr>
        <w:t>la presente</w:t>
      </w:r>
      <w:r w:rsidR="005852F2" w:rsidRPr="00E66386">
        <w:rPr>
          <w:rFonts w:asciiTheme="majorHAnsi" w:hAnsiTheme="majorHAnsi"/>
          <w:bCs/>
          <w:sz w:val="20"/>
          <w:szCs w:val="20"/>
          <w:lang w:val="es-CO"/>
        </w:rPr>
        <w:t xml:space="preserve"> petición</w:t>
      </w:r>
      <w:r w:rsidRPr="00E66386">
        <w:rPr>
          <w:rFonts w:asciiTheme="majorHAnsi" w:hAnsiTheme="majorHAnsi"/>
          <w:bCs/>
          <w:sz w:val="20"/>
          <w:szCs w:val="20"/>
          <w:lang w:val="es-CO"/>
        </w:rPr>
        <w:t>.</w:t>
      </w:r>
    </w:p>
    <w:p w14:paraId="44E26569" w14:textId="404EB6E3" w:rsidR="00B92076" w:rsidRPr="00E66386" w:rsidRDefault="00852373" w:rsidP="008A41B1">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Con r</w:t>
      </w:r>
      <w:r w:rsidR="003F536A" w:rsidRPr="00E66386">
        <w:rPr>
          <w:rFonts w:asciiTheme="majorHAnsi" w:hAnsiTheme="majorHAnsi"/>
          <w:bCs/>
          <w:sz w:val="20"/>
          <w:szCs w:val="20"/>
          <w:lang w:val="es-CO"/>
        </w:rPr>
        <w:t xml:space="preserve">especto de la alegada falta de debida diligencia en la investigación, </w:t>
      </w:r>
      <w:r w:rsidR="004F39F7" w:rsidRPr="00E66386">
        <w:rPr>
          <w:rFonts w:asciiTheme="majorHAnsi" w:hAnsiTheme="majorHAnsi"/>
          <w:bCs/>
          <w:sz w:val="20"/>
          <w:szCs w:val="20"/>
          <w:lang w:val="es-CO"/>
        </w:rPr>
        <w:t xml:space="preserve">el Estado recuerda que el proceso </w:t>
      </w:r>
      <w:r w:rsidR="00C342F5" w:rsidRPr="00E66386">
        <w:rPr>
          <w:rFonts w:asciiTheme="majorHAnsi" w:hAnsiTheme="majorHAnsi"/>
          <w:bCs/>
          <w:sz w:val="20"/>
          <w:szCs w:val="20"/>
          <w:lang w:val="es-CO"/>
        </w:rPr>
        <w:t xml:space="preserve">penal </w:t>
      </w:r>
      <w:r w:rsidR="004F39F7" w:rsidRPr="00E66386">
        <w:rPr>
          <w:rFonts w:asciiTheme="majorHAnsi" w:hAnsiTheme="majorHAnsi"/>
          <w:bCs/>
          <w:sz w:val="20"/>
          <w:szCs w:val="20"/>
          <w:lang w:val="es-CO"/>
        </w:rPr>
        <w:t>inició a partir de la presentación de cuatro denuncias entre 1999 y 2000</w:t>
      </w:r>
      <w:r w:rsidR="002B0FC3" w:rsidRPr="00E66386">
        <w:rPr>
          <w:rFonts w:asciiTheme="majorHAnsi" w:hAnsiTheme="majorHAnsi"/>
          <w:bCs/>
          <w:sz w:val="20"/>
          <w:szCs w:val="20"/>
          <w:lang w:val="es-CO"/>
        </w:rPr>
        <w:t xml:space="preserve">. </w:t>
      </w:r>
      <w:r w:rsidR="00C342F5" w:rsidRPr="00E66386">
        <w:rPr>
          <w:rFonts w:asciiTheme="majorHAnsi" w:hAnsiTheme="majorHAnsi"/>
          <w:bCs/>
          <w:sz w:val="20"/>
          <w:szCs w:val="20"/>
          <w:lang w:val="es-CO"/>
        </w:rPr>
        <w:t>D</w:t>
      </w:r>
      <w:r w:rsidR="002B0FC3" w:rsidRPr="00E66386">
        <w:rPr>
          <w:rFonts w:asciiTheme="majorHAnsi" w:hAnsiTheme="majorHAnsi"/>
          <w:bCs/>
          <w:sz w:val="20"/>
          <w:szCs w:val="20"/>
          <w:lang w:val="es-CO"/>
        </w:rPr>
        <w:t xml:space="preserve">estaca que el Ministerio Público </w:t>
      </w:r>
      <w:r w:rsidR="00F07941" w:rsidRPr="00E66386">
        <w:rPr>
          <w:rFonts w:asciiTheme="majorHAnsi" w:hAnsiTheme="majorHAnsi"/>
          <w:bCs/>
          <w:sz w:val="20"/>
          <w:szCs w:val="20"/>
          <w:lang w:val="es-CO"/>
        </w:rPr>
        <w:t>recabó y aportó a juicio 14 peritajes especiales</w:t>
      </w:r>
      <w:r w:rsidR="00BC4C82" w:rsidRPr="00E66386">
        <w:rPr>
          <w:rFonts w:asciiTheme="majorHAnsi" w:hAnsiTheme="majorHAnsi"/>
          <w:bCs/>
          <w:sz w:val="20"/>
          <w:szCs w:val="20"/>
          <w:lang w:val="es-CO"/>
        </w:rPr>
        <w:t>;</w:t>
      </w:r>
      <w:r w:rsidR="00F07941" w:rsidRPr="00E66386">
        <w:rPr>
          <w:rFonts w:asciiTheme="majorHAnsi" w:hAnsiTheme="majorHAnsi"/>
          <w:bCs/>
          <w:sz w:val="20"/>
          <w:szCs w:val="20"/>
          <w:lang w:val="es-CO"/>
        </w:rPr>
        <w:t xml:space="preserve"> la declaración de 141 testigos, de los cuales 131 pertenecen al puebl</w:t>
      </w:r>
      <w:r w:rsidR="00F04A18" w:rsidRPr="00E66386">
        <w:rPr>
          <w:rFonts w:asciiTheme="majorHAnsi" w:hAnsiTheme="majorHAnsi"/>
          <w:bCs/>
          <w:sz w:val="20"/>
          <w:szCs w:val="20"/>
          <w:lang w:val="es-CO"/>
        </w:rPr>
        <w:t>o</w:t>
      </w:r>
      <w:r w:rsidR="00F07941" w:rsidRPr="00E66386">
        <w:rPr>
          <w:rFonts w:asciiTheme="majorHAnsi" w:hAnsiTheme="majorHAnsi"/>
          <w:bCs/>
          <w:sz w:val="20"/>
          <w:szCs w:val="20"/>
          <w:lang w:val="es-CO"/>
        </w:rPr>
        <w:t xml:space="preserve"> </w:t>
      </w:r>
      <w:r w:rsidR="00C51C64" w:rsidRPr="00E66386">
        <w:rPr>
          <w:rFonts w:asciiTheme="majorHAnsi" w:hAnsiTheme="majorHAnsi"/>
          <w:bCs/>
          <w:sz w:val="20"/>
          <w:szCs w:val="20"/>
          <w:lang w:val="es-CO"/>
        </w:rPr>
        <w:t>Ixil</w:t>
      </w:r>
      <w:r w:rsidR="00BC4C82" w:rsidRPr="00E66386">
        <w:rPr>
          <w:rFonts w:asciiTheme="majorHAnsi" w:hAnsiTheme="majorHAnsi"/>
          <w:bCs/>
          <w:sz w:val="20"/>
          <w:szCs w:val="20"/>
          <w:lang w:val="es-CO"/>
        </w:rPr>
        <w:t>;</w:t>
      </w:r>
      <w:r w:rsidR="00F07941" w:rsidRPr="00E66386">
        <w:rPr>
          <w:rFonts w:asciiTheme="majorHAnsi" w:hAnsiTheme="majorHAnsi"/>
          <w:bCs/>
          <w:sz w:val="20"/>
          <w:szCs w:val="20"/>
          <w:lang w:val="es-CO"/>
        </w:rPr>
        <w:t xml:space="preserve"> </w:t>
      </w:r>
      <w:r w:rsidR="00F04A18" w:rsidRPr="00E66386">
        <w:rPr>
          <w:rFonts w:asciiTheme="majorHAnsi" w:hAnsiTheme="majorHAnsi"/>
          <w:bCs/>
          <w:sz w:val="20"/>
          <w:szCs w:val="20"/>
          <w:lang w:val="es-CO"/>
        </w:rPr>
        <w:t xml:space="preserve">la </w:t>
      </w:r>
      <w:r w:rsidR="00F07941" w:rsidRPr="00E66386">
        <w:rPr>
          <w:rFonts w:asciiTheme="majorHAnsi" w:hAnsiTheme="majorHAnsi"/>
          <w:bCs/>
          <w:sz w:val="20"/>
          <w:szCs w:val="20"/>
          <w:lang w:val="es-CO"/>
        </w:rPr>
        <w:t>declaración de 61 peritos</w:t>
      </w:r>
      <w:r w:rsidR="00BC4C82" w:rsidRPr="00E66386">
        <w:rPr>
          <w:rFonts w:asciiTheme="majorHAnsi" w:hAnsiTheme="majorHAnsi"/>
          <w:bCs/>
          <w:sz w:val="20"/>
          <w:szCs w:val="20"/>
          <w:lang w:val="es-CO"/>
        </w:rPr>
        <w:t>;</w:t>
      </w:r>
      <w:r w:rsidR="00F07941" w:rsidRPr="00E66386">
        <w:rPr>
          <w:rFonts w:asciiTheme="majorHAnsi" w:hAnsiTheme="majorHAnsi"/>
          <w:bCs/>
          <w:sz w:val="20"/>
          <w:szCs w:val="20"/>
          <w:lang w:val="es-CO"/>
        </w:rPr>
        <w:t xml:space="preserve"> </w:t>
      </w:r>
      <w:r w:rsidR="00677A84" w:rsidRPr="00E66386">
        <w:rPr>
          <w:rFonts w:asciiTheme="majorHAnsi" w:hAnsiTheme="majorHAnsi"/>
          <w:bCs/>
          <w:sz w:val="20"/>
          <w:szCs w:val="20"/>
          <w:lang w:val="es-CO"/>
        </w:rPr>
        <w:t>800 documentos</w:t>
      </w:r>
      <w:r w:rsidR="00BC4C82" w:rsidRPr="00E66386">
        <w:rPr>
          <w:rFonts w:asciiTheme="majorHAnsi" w:hAnsiTheme="majorHAnsi"/>
          <w:bCs/>
          <w:sz w:val="20"/>
          <w:szCs w:val="20"/>
          <w:lang w:val="es-CO"/>
        </w:rPr>
        <w:t>;</w:t>
      </w:r>
      <w:r w:rsidR="00677A84" w:rsidRPr="00E66386">
        <w:rPr>
          <w:rFonts w:asciiTheme="majorHAnsi" w:hAnsiTheme="majorHAnsi"/>
          <w:bCs/>
          <w:sz w:val="20"/>
          <w:szCs w:val="20"/>
          <w:lang w:val="es-CO"/>
        </w:rPr>
        <w:t xml:space="preserve"> medios de reproducción audiovisual y prueba material.</w:t>
      </w:r>
      <w:r w:rsidR="00621C11" w:rsidRPr="00E66386">
        <w:rPr>
          <w:rFonts w:asciiTheme="majorHAnsi" w:hAnsiTheme="majorHAnsi"/>
          <w:bCs/>
          <w:sz w:val="20"/>
          <w:szCs w:val="20"/>
          <w:lang w:val="es-CO"/>
        </w:rPr>
        <w:t xml:space="preserve"> El Estado controvierte el alegato de los peticionarios </w:t>
      </w:r>
      <w:r w:rsidR="00F04A18" w:rsidRPr="00E66386">
        <w:rPr>
          <w:rFonts w:asciiTheme="majorHAnsi" w:hAnsiTheme="majorHAnsi"/>
          <w:bCs/>
          <w:sz w:val="20"/>
          <w:szCs w:val="20"/>
          <w:lang w:val="es-CO"/>
        </w:rPr>
        <w:t>sobr</w:t>
      </w:r>
      <w:r w:rsidR="00621C11" w:rsidRPr="00E66386">
        <w:rPr>
          <w:rFonts w:asciiTheme="majorHAnsi" w:hAnsiTheme="majorHAnsi"/>
          <w:bCs/>
          <w:sz w:val="20"/>
          <w:szCs w:val="20"/>
          <w:lang w:val="es-CO"/>
        </w:rPr>
        <w:t>e la inejecución de la orden de captura contra el señor Mendoza García, pues ésta habría sido ejecutada el 16 de junio de 2019.</w:t>
      </w:r>
    </w:p>
    <w:p w14:paraId="06CFA65C" w14:textId="36B022EF" w:rsidR="001E6A80" w:rsidRPr="00E66386" w:rsidRDefault="00F55683"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Con</w:t>
      </w:r>
      <w:r w:rsidR="009C1662" w:rsidRPr="00E66386">
        <w:rPr>
          <w:rFonts w:asciiTheme="majorHAnsi" w:hAnsiTheme="majorHAnsi"/>
          <w:bCs/>
          <w:sz w:val="20"/>
          <w:szCs w:val="20"/>
          <w:lang w:val="es-CO"/>
        </w:rPr>
        <w:t xml:space="preserve"> </w:t>
      </w:r>
      <w:r w:rsidRPr="00E66386">
        <w:rPr>
          <w:rFonts w:asciiTheme="majorHAnsi" w:hAnsiTheme="majorHAnsi"/>
          <w:bCs/>
          <w:sz w:val="20"/>
          <w:szCs w:val="20"/>
          <w:lang w:val="es-CO"/>
        </w:rPr>
        <w:t>relación a la falta de acceso a los archivos del Ministerio de Defensa</w:t>
      </w:r>
      <w:r w:rsidR="009C1662" w:rsidRPr="00E66386">
        <w:rPr>
          <w:rFonts w:asciiTheme="majorHAnsi" w:hAnsiTheme="majorHAnsi"/>
          <w:bCs/>
          <w:sz w:val="20"/>
          <w:szCs w:val="20"/>
          <w:lang w:val="es-CO"/>
        </w:rPr>
        <w:t xml:space="preserve">, </w:t>
      </w:r>
      <w:r w:rsidR="00153368" w:rsidRPr="00E66386">
        <w:rPr>
          <w:rFonts w:asciiTheme="majorHAnsi" w:hAnsiTheme="majorHAnsi"/>
          <w:bCs/>
          <w:sz w:val="20"/>
          <w:szCs w:val="20"/>
          <w:lang w:val="es-CO"/>
        </w:rPr>
        <w:t xml:space="preserve">el Estado recalca que el artículo 30 de la Constitución Política de Guatemala </w:t>
      </w:r>
      <w:r w:rsidR="00D55A69" w:rsidRPr="00E66386">
        <w:rPr>
          <w:rFonts w:asciiTheme="majorHAnsi" w:hAnsiTheme="majorHAnsi"/>
          <w:bCs/>
          <w:sz w:val="20"/>
          <w:szCs w:val="20"/>
          <w:lang w:val="es-CO"/>
        </w:rPr>
        <w:t>establece</w:t>
      </w:r>
      <w:r w:rsidR="00D34198" w:rsidRPr="00E66386">
        <w:rPr>
          <w:rFonts w:asciiTheme="majorHAnsi" w:hAnsiTheme="majorHAnsi"/>
          <w:bCs/>
          <w:sz w:val="20"/>
          <w:szCs w:val="20"/>
          <w:lang w:val="es-CO"/>
        </w:rPr>
        <w:t xml:space="preserve"> </w:t>
      </w:r>
      <w:r w:rsidR="00153368" w:rsidRPr="00E66386">
        <w:rPr>
          <w:rFonts w:asciiTheme="majorHAnsi" w:hAnsiTheme="majorHAnsi"/>
          <w:bCs/>
          <w:sz w:val="20"/>
          <w:szCs w:val="20"/>
          <w:lang w:val="es-CO"/>
        </w:rPr>
        <w:t>excepci</w:t>
      </w:r>
      <w:r w:rsidR="00D55A69" w:rsidRPr="00E66386">
        <w:rPr>
          <w:rFonts w:asciiTheme="majorHAnsi" w:hAnsiTheme="majorHAnsi"/>
          <w:bCs/>
          <w:sz w:val="20"/>
          <w:szCs w:val="20"/>
          <w:lang w:val="es-CO"/>
        </w:rPr>
        <w:t>ones</w:t>
      </w:r>
      <w:r w:rsidR="00153368" w:rsidRPr="00E66386">
        <w:rPr>
          <w:rFonts w:asciiTheme="majorHAnsi" w:hAnsiTheme="majorHAnsi"/>
          <w:bCs/>
          <w:sz w:val="20"/>
          <w:szCs w:val="20"/>
          <w:lang w:val="es-CO"/>
        </w:rPr>
        <w:t xml:space="preserve"> </w:t>
      </w:r>
      <w:r w:rsidR="00D34198" w:rsidRPr="00E66386">
        <w:rPr>
          <w:rFonts w:asciiTheme="majorHAnsi" w:hAnsiTheme="majorHAnsi"/>
          <w:bCs/>
          <w:sz w:val="20"/>
          <w:szCs w:val="20"/>
          <w:lang w:val="es-CO"/>
        </w:rPr>
        <w:t>al acceso a documentos</w:t>
      </w:r>
      <w:r w:rsidR="008E458D" w:rsidRPr="00E66386">
        <w:rPr>
          <w:rFonts w:asciiTheme="majorHAnsi" w:hAnsiTheme="majorHAnsi"/>
          <w:bCs/>
          <w:sz w:val="20"/>
          <w:szCs w:val="20"/>
          <w:lang w:val="es-CO"/>
        </w:rPr>
        <w:t xml:space="preserve">, por lo que era necesario requerirlos </w:t>
      </w:r>
      <w:r w:rsidR="00D55A69" w:rsidRPr="00E66386">
        <w:rPr>
          <w:rFonts w:asciiTheme="majorHAnsi" w:hAnsiTheme="majorHAnsi"/>
          <w:bCs/>
          <w:sz w:val="20"/>
          <w:szCs w:val="20"/>
          <w:lang w:val="es-CO"/>
        </w:rPr>
        <w:t xml:space="preserve">judicialmente, </w:t>
      </w:r>
      <w:r w:rsidR="008E458D" w:rsidRPr="00E66386">
        <w:rPr>
          <w:rFonts w:asciiTheme="majorHAnsi" w:hAnsiTheme="majorHAnsi"/>
          <w:bCs/>
          <w:sz w:val="20"/>
          <w:szCs w:val="20"/>
          <w:lang w:val="es-CO"/>
        </w:rPr>
        <w:t>como lo hizo el Ministerio Público</w:t>
      </w:r>
      <w:r w:rsidR="005F3E02" w:rsidRPr="00E66386">
        <w:rPr>
          <w:rFonts w:asciiTheme="majorHAnsi" w:hAnsiTheme="majorHAnsi"/>
          <w:bCs/>
          <w:sz w:val="20"/>
          <w:szCs w:val="20"/>
          <w:lang w:val="es-CO"/>
        </w:rPr>
        <w:t>, pero el retraso en su entrega no es atribuible al Ministerio de la Defensa</w:t>
      </w:r>
      <w:r w:rsidR="00BC4C82" w:rsidRPr="00E66386">
        <w:rPr>
          <w:rFonts w:asciiTheme="majorHAnsi" w:hAnsiTheme="majorHAnsi"/>
          <w:bCs/>
          <w:sz w:val="20"/>
          <w:szCs w:val="20"/>
          <w:lang w:val="es-CO"/>
        </w:rPr>
        <w:t>,</w:t>
      </w:r>
      <w:r w:rsidR="005F3E02" w:rsidRPr="00E66386">
        <w:rPr>
          <w:rFonts w:asciiTheme="majorHAnsi" w:hAnsiTheme="majorHAnsi"/>
          <w:bCs/>
          <w:sz w:val="20"/>
          <w:szCs w:val="20"/>
          <w:lang w:val="es-CO"/>
        </w:rPr>
        <w:t xml:space="preserve"> sino a los recursos interpuestos por la defensa de Ríos Montt. </w:t>
      </w:r>
      <w:r w:rsidR="00444533" w:rsidRPr="00E66386">
        <w:rPr>
          <w:rFonts w:asciiTheme="majorHAnsi" w:hAnsiTheme="majorHAnsi"/>
          <w:bCs/>
          <w:sz w:val="20"/>
          <w:szCs w:val="20"/>
          <w:lang w:val="es-CO"/>
        </w:rPr>
        <w:t>En todo caso, asegura que los documentos fueron eventualmente aportados al proceso</w:t>
      </w:r>
      <w:r w:rsidR="005F3AE4" w:rsidRPr="00E66386">
        <w:rPr>
          <w:rFonts w:asciiTheme="majorHAnsi" w:hAnsiTheme="majorHAnsi"/>
          <w:bCs/>
          <w:sz w:val="20"/>
          <w:szCs w:val="20"/>
          <w:lang w:val="es-CO"/>
        </w:rPr>
        <w:t>,</w:t>
      </w:r>
      <w:r w:rsidR="00444533" w:rsidRPr="00E66386">
        <w:rPr>
          <w:rFonts w:asciiTheme="majorHAnsi" w:hAnsiTheme="majorHAnsi"/>
          <w:bCs/>
          <w:sz w:val="20"/>
          <w:szCs w:val="20"/>
          <w:lang w:val="es-CO"/>
        </w:rPr>
        <w:t xml:space="preserve"> </w:t>
      </w:r>
      <w:r w:rsidR="00AB59BD" w:rsidRPr="00E66386">
        <w:rPr>
          <w:rFonts w:asciiTheme="majorHAnsi" w:hAnsiTheme="majorHAnsi"/>
          <w:bCs/>
          <w:sz w:val="20"/>
          <w:szCs w:val="20"/>
          <w:lang w:val="es-CO"/>
        </w:rPr>
        <w:t xml:space="preserve">fueron </w:t>
      </w:r>
      <w:r w:rsidR="00444533" w:rsidRPr="00E66386">
        <w:rPr>
          <w:rFonts w:asciiTheme="majorHAnsi" w:hAnsiTheme="majorHAnsi"/>
          <w:bCs/>
          <w:sz w:val="20"/>
          <w:szCs w:val="20"/>
          <w:lang w:val="es-CO"/>
        </w:rPr>
        <w:t>valora</w:t>
      </w:r>
      <w:r w:rsidR="00BC4C82" w:rsidRPr="00E66386">
        <w:rPr>
          <w:rFonts w:asciiTheme="majorHAnsi" w:hAnsiTheme="majorHAnsi"/>
          <w:bCs/>
          <w:sz w:val="20"/>
          <w:szCs w:val="20"/>
          <w:lang w:val="es-CO"/>
        </w:rPr>
        <w:t>dos</w:t>
      </w:r>
      <w:r w:rsidR="00444533" w:rsidRPr="00E66386">
        <w:rPr>
          <w:rFonts w:asciiTheme="majorHAnsi" w:hAnsiTheme="majorHAnsi"/>
          <w:bCs/>
          <w:sz w:val="20"/>
          <w:szCs w:val="20"/>
          <w:lang w:val="es-CO"/>
        </w:rPr>
        <w:t xml:space="preserve"> como prueba, </w:t>
      </w:r>
      <w:r w:rsidR="001E6A80" w:rsidRPr="00E66386">
        <w:rPr>
          <w:rFonts w:asciiTheme="majorHAnsi" w:hAnsiTheme="majorHAnsi"/>
          <w:bCs/>
          <w:sz w:val="20"/>
          <w:szCs w:val="20"/>
          <w:lang w:val="es-CO"/>
        </w:rPr>
        <w:t>y resultaron ser efectivos para esclarecer los hechos y juzgar a los responsables.</w:t>
      </w:r>
      <w:r w:rsidR="00785CDA" w:rsidRPr="00E66386">
        <w:rPr>
          <w:rFonts w:asciiTheme="majorHAnsi" w:hAnsiTheme="majorHAnsi"/>
          <w:bCs/>
          <w:sz w:val="20"/>
          <w:szCs w:val="20"/>
          <w:lang w:val="es-CO"/>
        </w:rPr>
        <w:t xml:space="preserve"> </w:t>
      </w:r>
      <w:r w:rsidR="00BA7337" w:rsidRPr="00E66386">
        <w:rPr>
          <w:rFonts w:asciiTheme="majorHAnsi" w:hAnsiTheme="majorHAnsi"/>
          <w:bCs/>
          <w:sz w:val="20"/>
          <w:szCs w:val="20"/>
          <w:lang w:val="es-CO"/>
        </w:rPr>
        <w:t>Asimismo, indica que en 2009 el Estado creó una Comisión Presidencial de Desclasificación de los Archivos Militar</w:t>
      </w:r>
      <w:r w:rsidR="005B4C4F" w:rsidRPr="00E66386">
        <w:rPr>
          <w:rFonts w:asciiTheme="majorHAnsi" w:hAnsiTheme="majorHAnsi"/>
          <w:bCs/>
          <w:sz w:val="20"/>
          <w:szCs w:val="20"/>
          <w:lang w:val="es-CO"/>
        </w:rPr>
        <w:t>es</w:t>
      </w:r>
      <w:r w:rsidR="0011656A" w:rsidRPr="00E66386">
        <w:rPr>
          <w:rFonts w:asciiTheme="majorHAnsi" w:hAnsiTheme="majorHAnsi"/>
          <w:bCs/>
          <w:sz w:val="20"/>
          <w:szCs w:val="20"/>
          <w:lang w:val="es-CO"/>
        </w:rPr>
        <w:t xml:space="preserve"> con el pro</w:t>
      </w:r>
      <w:r w:rsidR="00785CDA" w:rsidRPr="00E66386">
        <w:rPr>
          <w:rFonts w:asciiTheme="majorHAnsi" w:hAnsiTheme="majorHAnsi"/>
          <w:bCs/>
          <w:sz w:val="20"/>
          <w:szCs w:val="20"/>
          <w:lang w:val="es-CO"/>
        </w:rPr>
        <w:t>p</w:t>
      </w:r>
      <w:r w:rsidR="0011656A" w:rsidRPr="00E66386">
        <w:rPr>
          <w:rFonts w:asciiTheme="majorHAnsi" w:hAnsiTheme="majorHAnsi"/>
          <w:bCs/>
          <w:sz w:val="20"/>
          <w:szCs w:val="20"/>
          <w:lang w:val="es-CO"/>
        </w:rPr>
        <w:t xml:space="preserve">ósito de desclasificar la documentación relativa a asuntos </w:t>
      </w:r>
      <w:r w:rsidR="0042217C" w:rsidRPr="00E66386">
        <w:rPr>
          <w:rFonts w:asciiTheme="majorHAnsi" w:hAnsiTheme="majorHAnsi"/>
          <w:bCs/>
          <w:sz w:val="20"/>
          <w:szCs w:val="20"/>
          <w:lang w:val="es-CO"/>
        </w:rPr>
        <w:t>militares en el periodo comprendido entre 1954 y 1996.</w:t>
      </w:r>
    </w:p>
    <w:p w14:paraId="692078C7" w14:textId="77777777" w:rsidR="00A170A7" w:rsidRPr="00E66386" w:rsidRDefault="00D412B1" w:rsidP="008B0FB2">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En cuanto a la alegada tolerancia de las autoridades judiciales frente al abuso de acciones de amparo e inconstitucionalidad, </w:t>
      </w:r>
      <w:r w:rsidR="00911CC2" w:rsidRPr="00E66386">
        <w:rPr>
          <w:rFonts w:asciiTheme="majorHAnsi" w:hAnsiTheme="majorHAnsi"/>
          <w:bCs/>
          <w:sz w:val="20"/>
          <w:szCs w:val="20"/>
          <w:lang w:val="es-CO"/>
        </w:rPr>
        <w:t xml:space="preserve">el Estado arguye que </w:t>
      </w:r>
      <w:r w:rsidR="00A4791E" w:rsidRPr="00E66386">
        <w:rPr>
          <w:rFonts w:asciiTheme="majorHAnsi" w:hAnsiTheme="majorHAnsi"/>
          <w:bCs/>
          <w:sz w:val="20"/>
          <w:szCs w:val="20"/>
          <w:lang w:val="es-CO"/>
        </w:rPr>
        <w:t xml:space="preserve">el hecho de que los órganos judiciales resolvieran los recursos del acusado </w:t>
      </w:r>
      <w:r w:rsidR="00F97D6B" w:rsidRPr="00E66386">
        <w:rPr>
          <w:rFonts w:asciiTheme="majorHAnsi" w:hAnsiTheme="majorHAnsi"/>
          <w:bCs/>
          <w:sz w:val="20"/>
          <w:szCs w:val="20"/>
          <w:lang w:val="es-CO"/>
        </w:rPr>
        <w:t>no puede considerarse como una forma de tolerancia</w:t>
      </w:r>
      <w:r w:rsidR="00B530FF" w:rsidRPr="00E66386">
        <w:rPr>
          <w:rFonts w:asciiTheme="majorHAnsi" w:hAnsiTheme="majorHAnsi"/>
          <w:bCs/>
          <w:sz w:val="20"/>
          <w:szCs w:val="20"/>
          <w:lang w:val="es-CO"/>
        </w:rPr>
        <w:t xml:space="preserve"> de la dilación procesal</w:t>
      </w:r>
      <w:r w:rsidR="00F97D6B" w:rsidRPr="00E66386">
        <w:rPr>
          <w:rFonts w:asciiTheme="majorHAnsi" w:hAnsiTheme="majorHAnsi"/>
          <w:bCs/>
          <w:sz w:val="20"/>
          <w:szCs w:val="20"/>
          <w:lang w:val="es-CO"/>
        </w:rPr>
        <w:t>, pues</w:t>
      </w:r>
      <w:r w:rsidR="00B530FF" w:rsidRPr="00E66386">
        <w:rPr>
          <w:rFonts w:asciiTheme="majorHAnsi" w:hAnsiTheme="majorHAnsi"/>
          <w:bCs/>
          <w:sz w:val="20"/>
          <w:szCs w:val="20"/>
          <w:lang w:val="es-CO"/>
        </w:rPr>
        <w:t xml:space="preserve"> el Estado tiene el deber de garantizar el derecho al debido proceso de las personas acusadas</w:t>
      </w:r>
      <w:r w:rsidR="0016345D" w:rsidRPr="00E66386">
        <w:rPr>
          <w:rFonts w:asciiTheme="majorHAnsi" w:hAnsiTheme="majorHAnsi"/>
          <w:bCs/>
          <w:sz w:val="20"/>
          <w:szCs w:val="20"/>
          <w:lang w:val="es-CO"/>
        </w:rPr>
        <w:t xml:space="preserve"> de conformidad con los estándares interamericanos </w:t>
      </w:r>
      <w:r w:rsidR="004264F5" w:rsidRPr="00E66386">
        <w:rPr>
          <w:rFonts w:asciiTheme="majorHAnsi" w:hAnsiTheme="majorHAnsi"/>
          <w:bCs/>
          <w:sz w:val="20"/>
          <w:szCs w:val="20"/>
          <w:lang w:val="es-CO"/>
        </w:rPr>
        <w:t>sobre debido proceso</w:t>
      </w:r>
      <w:r w:rsidR="00B530FF" w:rsidRPr="00E66386">
        <w:rPr>
          <w:rFonts w:asciiTheme="majorHAnsi" w:hAnsiTheme="majorHAnsi"/>
          <w:bCs/>
          <w:sz w:val="20"/>
          <w:szCs w:val="20"/>
          <w:lang w:val="es-CO"/>
        </w:rPr>
        <w:t>.</w:t>
      </w:r>
      <w:r w:rsidR="00A170A7" w:rsidRPr="00E66386">
        <w:rPr>
          <w:rFonts w:asciiTheme="majorHAnsi" w:hAnsiTheme="majorHAnsi"/>
          <w:bCs/>
          <w:sz w:val="20"/>
          <w:szCs w:val="20"/>
          <w:lang w:val="es-CO"/>
        </w:rPr>
        <w:t xml:space="preserve"> T</w:t>
      </w:r>
      <w:r w:rsidR="007B4247" w:rsidRPr="00E66386">
        <w:rPr>
          <w:rFonts w:asciiTheme="majorHAnsi" w:hAnsiTheme="majorHAnsi"/>
          <w:bCs/>
          <w:sz w:val="20"/>
          <w:szCs w:val="20"/>
          <w:lang w:val="es-CO"/>
        </w:rPr>
        <w:t>ambién plantea que no existió arbitrariedad ni falta de motivación en la decisión de nulidad decretada por la Corte de Constitucionalidad</w:t>
      </w:r>
      <w:r w:rsidR="00DD7776" w:rsidRPr="00E66386">
        <w:rPr>
          <w:rFonts w:asciiTheme="majorHAnsi" w:hAnsiTheme="majorHAnsi"/>
          <w:bCs/>
          <w:sz w:val="20"/>
          <w:szCs w:val="20"/>
          <w:lang w:val="es-CO"/>
        </w:rPr>
        <w:t>, ya que ésta se adoptó conforme a las disposiciones que rigen el derecho constitucional interno.</w:t>
      </w:r>
    </w:p>
    <w:p w14:paraId="75BC1424" w14:textId="7D4326A4" w:rsidR="007B4247" w:rsidRPr="00E66386" w:rsidRDefault="006F2A40" w:rsidP="008B0FB2">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Finalmente, en lo concerniente a la alegada </w:t>
      </w:r>
      <w:r w:rsidR="008D091D" w:rsidRPr="00E66386">
        <w:rPr>
          <w:rFonts w:asciiTheme="majorHAnsi" w:hAnsiTheme="majorHAnsi"/>
          <w:bCs/>
          <w:sz w:val="20"/>
          <w:szCs w:val="20"/>
          <w:lang w:val="es-CO"/>
        </w:rPr>
        <w:t xml:space="preserve">duración excesiva del proceso penal, el Estado </w:t>
      </w:r>
      <w:r w:rsidR="00095AB4" w:rsidRPr="00E66386">
        <w:rPr>
          <w:rFonts w:asciiTheme="majorHAnsi" w:hAnsiTheme="majorHAnsi"/>
          <w:bCs/>
          <w:sz w:val="20"/>
          <w:szCs w:val="20"/>
          <w:lang w:val="es-CO"/>
        </w:rPr>
        <w:t xml:space="preserve">cita los </w:t>
      </w:r>
      <w:r w:rsidR="008F487C" w:rsidRPr="00E66386">
        <w:rPr>
          <w:rFonts w:asciiTheme="majorHAnsi" w:hAnsiTheme="majorHAnsi"/>
          <w:bCs/>
          <w:sz w:val="20"/>
          <w:szCs w:val="20"/>
          <w:lang w:val="es-CO"/>
        </w:rPr>
        <w:t xml:space="preserve">criterios de evaluación del plazo razonable, </w:t>
      </w:r>
      <w:r w:rsidR="005B44C4" w:rsidRPr="00E66386">
        <w:rPr>
          <w:rFonts w:asciiTheme="majorHAnsi" w:hAnsiTheme="majorHAnsi"/>
          <w:bCs/>
          <w:sz w:val="20"/>
          <w:szCs w:val="20"/>
          <w:lang w:val="es-CO"/>
        </w:rPr>
        <w:t xml:space="preserve">y </w:t>
      </w:r>
      <w:r w:rsidR="001E54F5" w:rsidRPr="00E66386">
        <w:rPr>
          <w:rFonts w:asciiTheme="majorHAnsi" w:hAnsiTheme="majorHAnsi"/>
          <w:bCs/>
          <w:sz w:val="20"/>
          <w:szCs w:val="20"/>
          <w:lang w:val="es-CO"/>
        </w:rPr>
        <w:t xml:space="preserve">enfatiza que el juicio por </w:t>
      </w:r>
      <w:r w:rsidR="005B44C4" w:rsidRPr="00E66386">
        <w:rPr>
          <w:rFonts w:asciiTheme="majorHAnsi" w:hAnsiTheme="majorHAnsi"/>
          <w:bCs/>
          <w:sz w:val="20"/>
          <w:szCs w:val="20"/>
          <w:lang w:val="es-CO"/>
        </w:rPr>
        <w:t xml:space="preserve">los crímenes de </w:t>
      </w:r>
      <w:r w:rsidR="001E54F5" w:rsidRPr="00E66386">
        <w:rPr>
          <w:rFonts w:asciiTheme="majorHAnsi" w:hAnsiTheme="majorHAnsi"/>
          <w:bCs/>
          <w:sz w:val="20"/>
          <w:szCs w:val="20"/>
          <w:lang w:val="es-CO"/>
        </w:rPr>
        <w:t xml:space="preserve">genocidio y deberes contra la humanidad no tenía antecedentes conocidos en Guatemala, </w:t>
      </w:r>
      <w:r w:rsidR="005376B9" w:rsidRPr="00E66386">
        <w:rPr>
          <w:rFonts w:asciiTheme="majorHAnsi" w:hAnsiTheme="majorHAnsi"/>
          <w:bCs/>
          <w:sz w:val="20"/>
          <w:szCs w:val="20"/>
          <w:lang w:val="es-CO"/>
        </w:rPr>
        <w:t>ni por el Ministerio Público ni por los tribunales</w:t>
      </w:r>
      <w:r w:rsidR="0088134A" w:rsidRPr="00E66386">
        <w:rPr>
          <w:rFonts w:asciiTheme="majorHAnsi" w:hAnsiTheme="majorHAnsi"/>
          <w:bCs/>
          <w:sz w:val="20"/>
          <w:szCs w:val="20"/>
          <w:lang w:val="es-CO"/>
        </w:rPr>
        <w:t>.</w:t>
      </w:r>
    </w:p>
    <w:p w14:paraId="595C551C" w14:textId="525A5EF8" w:rsidR="00A62AA2" w:rsidRPr="00E66386" w:rsidRDefault="005B44C4" w:rsidP="00AD5B52">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Aunado a lo anterior, Guatemala </w:t>
      </w:r>
      <w:r w:rsidR="007A5A21" w:rsidRPr="00E66386">
        <w:rPr>
          <w:rFonts w:asciiTheme="majorHAnsi" w:hAnsiTheme="majorHAnsi"/>
          <w:bCs/>
          <w:sz w:val="20"/>
          <w:szCs w:val="20"/>
          <w:lang w:val="es-CO"/>
        </w:rPr>
        <w:t>aduce</w:t>
      </w:r>
      <w:r w:rsidR="00DB0506" w:rsidRPr="00E66386">
        <w:rPr>
          <w:rFonts w:asciiTheme="majorHAnsi" w:hAnsiTheme="majorHAnsi"/>
          <w:bCs/>
          <w:sz w:val="20"/>
          <w:szCs w:val="20"/>
          <w:lang w:val="es-CO"/>
        </w:rPr>
        <w:t xml:space="preserve"> que la petición resulta m</w:t>
      </w:r>
      <w:r w:rsidR="00453E9B" w:rsidRPr="00E66386">
        <w:rPr>
          <w:rFonts w:asciiTheme="majorHAnsi" w:hAnsiTheme="majorHAnsi"/>
          <w:bCs/>
          <w:sz w:val="20"/>
          <w:szCs w:val="20"/>
          <w:lang w:val="es-CO"/>
        </w:rPr>
        <w:t>anifiestamente infundada o evidentemente improcedente en los términos del artículo 34 (b) del Reglamento Interno de la Comisión</w:t>
      </w:r>
      <w:r w:rsidR="00DB0506" w:rsidRPr="00E66386">
        <w:rPr>
          <w:rFonts w:asciiTheme="majorHAnsi" w:hAnsiTheme="majorHAnsi"/>
          <w:bCs/>
          <w:sz w:val="20"/>
          <w:szCs w:val="20"/>
          <w:lang w:val="es-CO"/>
        </w:rPr>
        <w:t>, toda vez que</w:t>
      </w:r>
      <w:r w:rsidR="00453E9B" w:rsidRPr="00E66386">
        <w:rPr>
          <w:rFonts w:asciiTheme="majorHAnsi" w:hAnsiTheme="majorHAnsi"/>
          <w:bCs/>
          <w:sz w:val="20"/>
          <w:szCs w:val="20"/>
          <w:lang w:val="es-CO"/>
        </w:rPr>
        <w:t xml:space="preserve"> </w:t>
      </w:r>
      <w:r w:rsidR="00EA4C13" w:rsidRPr="00E66386">
        <w:rPr>
          <w:rFonts w:asciiTheme="majorHAnsi" w:hAnsiTheme="majorHAnsi"/>
          <w:bCs/>
          <w:sz w:val="20"/>
          <w:szCs w:val="20"/>
          <w:lang w:val="es-CO"/>
        </w:rPr>
        <w:t xml:space="preserve">sobrevinieron </w:t>
      </w:r>
      <w:r w:rsidR="001C2318" w:rsidRPr="00E66386">
        <w:rPr>
          <w:rFonts w:asciiTheme="majorHAnsi" w:hAnsiTheme="majorHAnsi"/>
          <w:bCs/>
          <w:sz w:val="20"/>
          <w:szCs w:val="20"/>
          <w:lang w:val="es-CO"/>
        </w:rPr>
        <w:t xml:space="preserve">hechos que permitieron dar resolución de fondo a los reclamos planteados. </w:t>
      </w:r>
      <w:r w:rsidR="00764A2C" w:rsidRPr="00E66386">
        <w:rPr>
          <w:rFonts w:asciiTheme="majorHAnsi" w:hAnsiTheme="majorHAnsi"/>
          <w:bCs/>
          <w:sz w:val="20"/>
          <w:szCs w:val="20"/>
          <w:lang w:val="es-CO"/>
        </w:rPr>
        <w:t>Dado que el análisis del agotamiento de los recursos internos se realiza a la luz de la situación vigente, el Estado sostiene que Guatemala dictó una nueva sentencia en 2018. Asimismo, se llevó a cabo audiencia de primera declaración el 4 de noviembre de 2019</w:t>
      </w:r>
      <w:r w:rsidR="005D7996" w:rsidRPr="00E66386">
        <w:rPr>
          <w:rFonts w:asciiTheme="majorHAnsi" w:hAnsiTheme="majorHAnsi"/>
          <w:bCs/>
          <w:sz w:val="20"/>
          <w:szCs w:val="20"/>
          <w:lang w:val="es-CO"/>
        </w:rPr>
        <w:t>;</w:t>
      </w:r>
      <w:r w:rsidR="00764A2C" w:rsidRPr="00E66386">
        <w:rPr>
          <w:rFonts w:asciiTheme="majorHAnsi" w:hAnsiTheme="majorHAnsi"/>
          <w:bCs/>
          <w:sz w:val="20"/>
          <w:szCs w:val="20"/>
          <w:lang w:val="es-CO"/>
        </w:rPr>
        <w:t xml:space="preserve"> y se dictó auto de prisión preventiva contra el exjefe del Estado Mayor de Guatemala y el exjefe de inteligencia militar por los delitos de genocidio, delitos contra los deberes de la humanidad y desaparición forzada. En esa investigación el Ministerio Público ha recabado más de 400 medios de prueba, entre declaraciones testimoniales, informes antropológicos forenses, y peritajes. Por otro lado, el 16 de junio de 2019 fue capturado el señor Luis Enrique Mendoza García, quien se encontraba prófugo. </w:t>
      </w:r>
      <w:r w:rsidR="00B51B4B" w:rsidRPr="00E66386">
        <w:rPr>
          <w:rFonts w:asciiTheme="majorHAnsi" w:hAnsiTheme="majorHAnsi"/>
          <w:bCs/>
          <w:sz w:val="20"/>
          <w:szCs w:val="20"/>
          <w:lang w:val="es-CO"/>
        </w:rPr>
        <w:t>Pese a que la primera sentencia fue anulada, el Estado asevera que la sentencia dictada en 2018 implica gran relevancia, pues brinda respuesta los requerimientos de verdad individual que demandaban las víctimas</w:t>
      </w:r>
      <w:r w:rsidR="00FC5E5C" w:rsidRPr="00E66386">
        <w:rPr>
          <w:rFonts w:asciiTheme="majorHAnsi" w:hAnsiTheme="majorHAnsi"/>
          <w:bCs/>
          <w:sz w:val="20"/>
          <w:szCs w:val="20"/>
          <w:lang w:val="es-CO"/>
        </w:rPr>
        <w:t>. Ello incluye el</w:t>
      </w:r>
      <w:r w:rsidR="001C2318" w:rsidRPr="00E66386">
        <w:rPr>
          <w:rFonts w:asciiTheme="majorHAnsi" w:hAnsiTheme="majorHAnsi"/>
          <w:bCs/>
          <w:sz w:val="20"/>
          <w:szCs w:val="20"/>
          <w:lang w:val="es-CO"/>
        </w:rPr>
        <w:t xml:space="preserve"> </w:t>
      </w:r>
      <w:r w:rsidR="00FC5E5C" w:rsidRPr="00E66386">
        <w:rPr>
          <w:rFonts w:asciiTheme="majorHAnsi" w:hAnsiTheme="majorHAnsi"/>
          <w:bCs/>
          <w:sz w:val="20"/>
          <w:szCs w:val="20"/>
          <w:lang w:val="es-CO"/>
        </w:rPr>
        <w:t xml:space="preserve">reconocimiento y la dignificación del pueblo maya </w:t>
      </w:r>
      <w:r w:rsidR="00C51C64" w:rsidRPr="00E66386">
        <w:rPr>
          <w:rFonts w:asciiTheme="majorHAnsi" w:hAnsiTheme="majorHAnsi"/>
          <w:bCs/>
          <w:sz w:val="20"/>
          <w:szCs w:val="20"/>
          <w:lang w:val="es-CO"/>
        </w:rPr>
        <w:t>Ixil</w:t>
      </w:r>
      <w:r w:rsidR="00FC5E5C" w:rsidRPr="00E66386">
        <w:rPr>
          <w:rFonts w:asciiTheme="majorHAnsi" w:hAnsiTheme="majorHAnsi"/>
          <w:bCs/>
          <w:sz w:val="20"/>
          <w:szCs w:val="20"/>
          <w:lang w:val="es-CO"/>
        </w:rPr>
        <w:t xml:space="preserve"> como víctimas</w:t>
      </w:r>
      <w:r w:rsidR="00FA3A1A" w:rsidRPr="00E66386">
        <w:rPr>
          <w:rFonts w:asciiTheme="majorHAnsi" w:hAnsiTheme="majorHAnsi"/>
          <w:bCs/>
          <w:sz w:val="20"/>
          <w:szCs w:val="20"/>
          <w:lang w:val="es-CO"/>
        </w:rPr>
        <w:t xml:space="preserve"> de genocidio</w:t>
      </w:r>
      <w:r w:rsidR="00FC5E5C" w:rsidRPr="00E66386">
        <w:rPr>
          <w:rFonts w:asciiTheme="majorHAnsi" w:hAnsiTheme="majorHAnsi"/>
          <w:bCs/>
          <w:sz w:val="20"/>
          <w:szCs w:val="20"/>
          <w:lang w:val="es-CO"/>
        </w:rPr>
        <w:t>.</w:t>
      </w:r>
    </w:p>
    <w:p w14:paraId="5E73DE79" w14:textId="4078B1F0" w:rsidR="00817E1B" w:rsidRPr="00E66386" w:rsidRDefault="003738C1"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Asimismo, </w:t>
      </w:r>
      <w:r w:rsidR="00021014" w:rsidRPr="00E66386">
        <w:rPr>
          <w:rFonts w:asciiTheme="majorHAnsi" w:hAnsiTheme="majorHAnsi"/>
          <w:bCs/>
          <w:sz w:val="20"/>
          <w:szCs w:val="20"/>
          <w:lang w:val="es-CO"/>
        </w:rPr>
        <w:t>Guatemala</w:t>
      </w:r>
      <w:r w:rsidRPr="00E66386">
        <w:rPr>
          <w:rFonts w:asciiTheme="majorHAnsi" w:hAnsiTheme="majorHAnsi"/>
          <w:bCs/>
          <w:sz w:val="20"/>
          <w:szCs w:val="20"/>
          <w:lang w:val="es-CO"/>
        </w:rPr>
        <w:t xml:space="preserve"> </w:t>
      </w:r>
      <w:r w:rsidR="00021014" w:rsidRPr="00E66386">
        <w:rPr>
          <w:rFonts w:asciiTheme="majorHAnsi" w:hAnsiTheme="majorHAnsi"/>
          <w:bCs/>
          <w:sz w:val="20"/>
          <w:szCs w:val="20"/>
          <w:lang w:val="es-CO"/>
        </w:rPr>
        <w:t>aduce</w:t>
      </w:r>
      <w:r w:rsidR="001B31AF" w:rsidRPr="00E66386">
        <w:rPr>
          <w:rFonts w:asciiTheme="majorHAnsi" w:hAnsiTheme="majorHAnsi"/>
          <w:bCs/>
          <w:sz w:val="20"/>
          <w:szCs w:val="20"/>
          <w:lang w:val="es-CO"/>
        </w:rPr>
        <w:t xml:space="preserve"> que la CIDH no tiene competencia para reevaluar las pruebas practicadas en juicio, ni para establecer la inocencia o culpabilidad de los sindicados. </w:t>
      </w:r>
      <w:r w:rsidR="00184EBA" w:rsidRPr="00E66386">
        <w:rPr>
          <w:rFonts w:asciiTheme="majorHAnsi" w:hAnsiTheme="majorHAnsi"/>
          <w:bCs/>
          <w:sz w:val="20"/>
          <w:szCs w:val="20"/>
          <w:lang w:val="es-CO"/>
        </w:rPr>
        <w:t>Afirma que t</w:t>
      </w:r>
      <w:r w:rsidR="005D5D1E" w:rsidRPr="00E66386">
        <w:rPr>
          <w:rFonts w:asciiTheme="majorHAnsi" w:hAnsiTheme="majorHAnsi"/>
          <w:bCs/>
          <w:sz w:val="20"/>
          <w:szCs w:val="20"/>
          <w:lang w:val="es-CO"/>
        </w:rPr>
        <w:t>anto la sentencia dictada en 2013 como la proferida en 2018 responden a una lógica jurídica apegada a la verdad material de los hechos que garan</w:t>
      </w:r>
      <w:r w:rsidR="00067516" w:rsidRPr="00E66386">
        <w:rPr>
          <w:rFonts w:asciiTheme="majorHAnsi" w:hAnsiTheme="majorHAnsi"/>
          <w:bCs/>
          <w:sz w:val="20"/>
          <w:szCs w:val="20"/>
          <w:lang w:val="es-CO"/>
        </w:rPr>
        <w:t>t</w:t>
      </w:r>
      <w:r w:rsidR="005D5D1E" w:rsidRPr="00E66386">
        <w:rPr>
          <w:rFonts w:asciiTheme="majorHAnsi" w:hAnsiTheme="majorHAnsi"/>
          <w:bCs/>
          <w:sz w:val="20"/>
          <w:szCs w:val="20"/>
          <w:lang w:val="es-CO"/>
        </w:rPr>
        <w:t xml:space="preserve">iza el juzgamiento en doble instancia. </w:t>
      </w:r>
      <w:r w:rsidR="00E85CBB" w:rsidRPr="00E66386">
        <w:rPr>
          <w:rFonts w:asciiTheme="majorHAnsi" w:hAnsiTheme="majorHAnsi"/>
          <w:bCs/>
          <w:sz w:val="20"/>
          <w:szCs w:val="20"/>
          <w:lang w:val="es-CO"/>
        </w:rPr>
        <w:t xml:space="preserve">La decisión de anulación y la de absolución </w:t>
      </w:r>
      <w:r w:rsidR="00184EBA" w:rsidRPr="00E66386">
        <w:rPr>
          <w:rFonts w:asciiTheme="majorHAnsi" w:hAnsiTheme="majorHAnsi"/>
          <w:bCs/>
          <w:sz w:val="20"/>
          <w:szCs w:val="20"/>
          <w:lang w:val="es-CO"/>
        </w:rPr>
        <w:t xml:space="preserve">de uno de los acusados, fueron decisiones </w:t>
      </w:r>
      <w:r w:rsidR="00E85CBB" w:rsidRPr="00E66386">
        <w:rPr>
          <w:rFonts w:asciiTheme="majorHAnsi" w:hAnsiTheme="majorHAnsi"/>
          <w:bCs/>
          <w:sz w:val="20"/>
          <w:szCs w:val="20"/>
          <w:lang w:val="es-CO"/>
        </w:rPr>
        <w:t>adopta</w:t>
      </w:r>
      <w:r w:rsidR="00184EBA" w:rsidRPr="00E66386">
        <w:rPr>
          <w:rFonts w:asciiTheme="majorHAnsi" w:hAnsiTheme="majorHAnsi"/>
          <w:bCs/>
          <w:sz w:val="20"/>
          <w:szCs w:val="20"/>
          <w:lang w:val="es-CO"/>
        </w:rPr>
        <w:t>das</w:t>
      </w:r>
      <w:r w:rsidR="00E85CBB" w:rsidRPr="00E66386">
        <w:rPr>
          <w:rFonts w:asciiTheme="majorHAnsi" w:hAnsiTheme="majorHAnsi"/>
          <w:bCs/>
          <w:sz w:val="20"/>
          <w:szCs w:val="20"/>
          <w:lang w:val="es-CO"/>
        </w:rPr>
        <w:t xml:space="preserve"> </w:t>
      </w:r>
      <w:r w:rsidR="00663627" w:rsidRPr="00E66386">
        <w:rPr>
          <w:rFonts w:asciiTheme="majorHAnsi" w:hAnsiTheme="majorHAnsi"/>
          <w:bCs/>
          <w:sz w:val="20"/>
          <w:szCs w:val="20"/>
          <w:lang w:val="es-CO"/>
        </w:rPr>
        <w:t>respetando</w:t>
      </w:r>
      <w:r w:rsidR="00E85CBB" w:rsidRPr="00E66386">
        <w:rPr>
          <w:rFonts w:asciiTheme="majorHAnsi" w:hAnsiTheme="majorHAnsi"/>
          <w:bCs/>
          <w:sz w:val="20"/>
          <w:szCs w:val="20"/>
          <w:lang w:val="es-CO"/>
        </w:rPr>
        <w:t xml:space="preserve"> las garantías del debido proceso y </w:t>
      </w:r>
      <w:r w:rsidR="00067516" w:rsidRPr="00E66386">
        <w:rPr>
          <w:rFonts w:asciiTheme="majorHAnsi" w:hAnsiTheme="majorHAnsi"/>
          <w:bCs/>
          <w:sz w:val="20"/>
          <w:szCs w:val="20"/>
          <w:lang w:val="es-CO"/>
        </w:rPr>
        <w:t>a la protección judicial.</w:t>
      </w:r>
      <w:r w:rsidR="003531A6" w:rsidRPr="00E66386">
        <w:rPr>
          <w:rFonts w:asciiTheme="majorHAnsi" w:hAnsiTheme="majorHAnsi"/>
          <w:bCs/>
          <w:sz w:val="20"/>
          <w:szCs w:val="20"/>
          <w:lang w:val="es-CO"/>
        </w:rPr>
        <w:t xml:space="preserve"> </w:t>
      </w:r>
      <w:r w:rsidR="00475628" w:rsidRPr="00E66386">
        <w:rPr>
          <w:rFonts w:asciiTheme="majorHAnsi" w:hAnsiTheme="majorHAnsi"/>
          <w:bCs/>
          <w:sz w:val="20"/>
          <w:szCs w:val="20"/>
          <w:lang w:val="es-CO"/>
        </w:rPr>
        <w:t xml:space="preserve">Así, el Estado añade que </w:t>
      </w:r>
      <w:r w:rsidR="003531A6" w:rsidRPr="00E66386">
        <w:rPr>
          <w:rFonts w:asciiTheme="majorHAnsi" w:hAnsiTheme="majorHAnsi"/>
          <w:bCs/>
          <w:sz w:val="20"/>
          <w:szCs w:val="20"/>
          <w:lang w:val="es-CO"/>
        </w:rPr>
        <w:t>respetó los estándares interamericanos en materia de debido proceso penal</w:t>
      </w:r>
      <w:r w:rsidR="00663627" w:rsidRPr="00E66386">
        <w:rPr>
          <w:rFonts w:asciiTheme="majorHAnsi" w:hAnsiTheme="majorHAnsi"/>
          <w:bCs/>
          <w:sz w:val="20"/>
          <w:szCs w:val="20"/>
          <w:lang w:val="es-CO"/>
        </w:rPr>
        <w:t>,</w:t>
      </w:r>
      <w:r w:rsidR="003531A6" w:rsidRPr="00E66386">
        <w:rPr>
          <w:rFonts w:asciiTheme="majorHAnsi" w:hAnsiTheme="majorHAnsi"/>
          <w:bCs/>
          <w:sz w:val="20"/>
          <w:szCs w:val="20"/>
          <w:lang w:val="es-CO"/>
        </w:rPr>
        <w:t xml:space="preserve"> como la presunción de inocencia, la carga de la prueba, </w:t>
      </w:r>
      <w:r w:rsidR="00475628" w:rsidRPr="00E66386">
        <w:rPr>
          <w:rFonts w:asciiTheme="majorHAnsi" w:hAnsiTheme="majorHAnsi"/>
          <w:bCs/>
          <w:sz w:val="20"/>
          <w:szCs w:val="20"/>
          <w:lang w:val="es-CO"/>
        </w:rPr>
        <w:t>e</w:t>
      </w:r>
      <w:r w:rsidR="003531A6" w:rsidRPr="00E66386">
        <w:rPr>
          <w:rFonts w:asciiTheme="majorHAnsi" w:hAnsiTheme="majorHAnsi"/>
          <w:bCs/>
          <w:sz w:val="20"/>
          <w:szCs w:val="20"/>
          <w:lang w:val="es-CO"/>
        </w:rPr>
        <w:t>l deber de motivación de las decisiones judiciales y la condena basada en la prueba recabada en el proceso.</w:t>
      </w:r>
    </w:p>
    <w:p w14:paraId="3B36CDBC" w14:textId="6AE9EEB7" w:rsidR="00C77EA0" w:rsidRPr="00E66386" w:rsidRDefault="00817E1B"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lastRenderedPageBreak/>
        <w:t>En particular, manifiesta que l</w:t>
      </w:r>
      <w:r w:rsidR="004C3E1F" w:rsidRPr="00E66386">
        <w:rPr>
          <w:rFonts w:asciiTheme="majorHAnsi" w:hAnsiTheme="majorHAnsi"/>
          <w:bCs/>
          <w:sz w:val="20"/>
          <w:szCs w:val="20"/>
          <w:lang w:val="es-CO"/>
        </w:rPr>
        <w:t xml:space="preserve">a absolución del señor José Mauricio Rodríguez Sánchez tuvo en cuenta </w:t>
      </w:r>
      <w:r w:rsidR="00E04BCD" w:rsidRPr="00E66386">
        <w:rPr>
          <w:rFonts w:asciiTheme="majorHAnsi" w:hAnsiTheme="majorHAnsi"/>
          <w:bCs/>
          <w:sz w:val="20"/>
          <w:szCs w:val="20"/>
          <w:lang w:val="es-CO"/>
        </w:rPr>
        <w:t>el grado militar y la función que cumplía dentro de la estructura del ejército.</w:t>
      </w:r>
      <w:r w:rsidR="00A93975" w:rsidRPr="00E66386">
        <w:rPr>
          <w:rFonts w:asciiTheme="majorHAnsi" w:hAnsiTheme="majorHAnsi"/>
          <w:bCs/>
          <w:sz w:val="20"/>
          <w:szCs w:val="20"/>
          <w:lang w:val="es-CO"/>
        </w:rPr>
        <w:t xml:space="preserve"> Según el Manual del Oficial de Estado Mayor, </w:t>
      </w:r>
      <w:r w:rsidR="003B5D0D" w:rsidRPr="00E66386">
        <w:rPr>
          <w:rFonts w:asciiTheme="majorHAnsi" w:hAnsiTheme="majorHAnsi"/>
          <w:bCs/>
          <w:sz w:val="20"/>
          <w:szCs w:val="20"/>
          <w:lang w:val="es-CO"/>
        </w:rPr>
        <w:t xml:space="preserve">los oficiales del Estado Mayor son asesores del jefe del Estado Mayor, pero quien toma las decisiones </w:t>
      </w:r>
      <w:r w:rsidR="005F028F" w:rsidRPr="00E66386">
        <w:rPr>
          <w:rFonts w:asciiTheme="majorHAnsi" w:hAnsiTheme="majorHAnsi"/>
          <w:bCs/>
          <w:sz w:val="20"/>
          <w:szCs w:val="20"/>
          <w:lang w:val="es-CO"/>
        </w:rPr>
        <w:t>es el Alto Mando del Ejército</w:t>
      </w:r>
      <w:r w:rsidR="00AA7B4E" w:rsidRPr="00E66386">
        <w:rPr>
          <w:rFonts w:asciiTheme="majorHAnsi" w:hAnsiTheme="majorHAnsi"/>
          <w:bCs/>
          <w:sz w:val="20"/>
          <w:szCs w:val="20"/>
          <w:lang w:val="es-CO"/>
        </w:rPr>
        <w:t xml:space="preserve"> y las ejecuta por medio de la cadena de mando</w:t>
      </w:r>
      <w:r w:rsidR="005F028F" w:rsidRPr="00E66386">
        <w:rPr>
          <w:rFonts w:asciiTheme="majorHAnsi" w:hAnsiTheme="majorHAnsi"/>
          <w:bCs/>
          <w:sz w:val="20"/>
          <w:szCs w:val="20"/>
          <w:lang w:val="es-CO"/>
        </w:rPr>
        <w:t>.</w:t>
      </w:r>
      <w:r w:rsidR="00D602F6" w:rsidRPr="00E66386">
        <w:rPr>
          <w:rFonts w:asciiTheme="majorHAnsi" w:hAnsiTheme="majorHAnsi"/>
          <w:bCs/>
          <w:sz w:val="20"/>
          <w:szCs w:val="20"/>
          <w:lang w:val="es-CO"/>
        </w:rPr>
        <w:t xml:space="preserve"> En tal sentido, el </w:t>
      </w:r>
      <w:r w:rsidR="0036553E" w:rsidRPr="00E66386">
        <w:rPr>
          <w:rFonts w:asciiTheme="majorHAnsi" w:hAnsiTheme="majorHAnsi"/>
          <w:bCs/>
          <w:sz w:val="20"/>
          <w:szCs w:val="20"/>
          <w:lang w:val="es-CO"/>
        </w:rPr>
        <w:t>T</w:t>
      </w:r>
      <w:r w:rsidR="00D602F6" w:rsidRPr="00E66386">
        <w:rPr>
          <w:rFonts w:asciiTheme="majorHAnsi" w:hAnsiTheme="majorHAnsi"/>
          <w:bCs/>
          <w:sz w:val="20"/>
          <w:szCs w:val="20"/>
          <w:lang w:val="es-CO"/>
        </w:rPr>
        <w:t xml:space="preserve">ribunal </w:t>
      </w:r>
      <w:r w:rsidR="0036553E" w:rsidRPr="00E66386">
        <w:rPr>
          <w:rFonts w:asciiTheme="majorHAnsi" w:hAnsiTheme="majorHAnsi"/>
          <w:bCs/>
          <w:sz w:val="20"/>
          <w:szCs w:val="20"/>
          <w:lang w:val="es-CO"/>
        </w:rPr>
        <w:t xml:space="preserve">B </w:t>
      </w:r>
      <w:r w:rsidR="00D602F6" w:rsidRPr="00E66386">
        <w:rPr>
          <w:rFonts w:asciiTheme="majorHAnsi" w:hAnsiTheme="majorHAnsi"/>
          <w:bCs/>
          <w:sz w:val="20"/>
          <w:szCs w:val="20"/>
          <w:lang w:val="es-CO"/>
        </w:rPr>
        <w:t xml:space="preserve">concluyó que </w:t>
      </w:r>
      <w:r w:rsidR="00463122" w:rsidRPr="00E66386">
        <w:rPr>
          <w:rFonts w:asciiTheme="majorHAnsi" w:hAnsiTheme="majorHAnsi"/>
          <w:bCs/>
          <w:sz w:val="20"/>
          <w:szCs w:val="20"/>
          <w:lang w:val="es-CO"/>
        </w:rPr>
        <w:t>no era posible establecer que de la Sección de inteligencia del Ejército surgiera la instrucción de operaciones militares que imp</w:t>
      </w:r>
      <w:r w:rsidR="00A80521" w:rsidRPr="00E66386">
        <w:rPr>
          <w:rFonts w:asciiTheme="majorHAnsi" w:hAnsiTheme="majorHAnsi"/>
          <w:bCs/>
          <w:sz w:val="20"/>
          <w:szCs w:val="20"/>
          <w:lang w:val="es-CO"/>
        </w:rPr>
        <w:t>l</w:t>
      </w:r>
      <w:r w:rsidR="00463122" w:rsidRPr="00E66386">
        <w:rPr>
          <w:rFonts w:asciiTheme="majorHAnsi" w:hAnsiTheme="majorHAnsi"/>
          <w:bCs/>
          <w:sz w:val="20"/>
          <w:szCs w:val="20"/>
          <w:lang w:val="es-CO"/>
        </w:rPr>
        <w:t xml:space="preserve">iquen </w:t>
      </w:r>
      <w:r w:rsidR="00A80521" w:rsidRPr="00E66386">
        <w:rPr>
          <w:rFonts w:asciiTheme="majorHAnsi" w:hAnsiTheme="majorHAnsi"/>
          <w:bCs/>
          <w:sz w:val="20"/>
          <w:szCs w:val="20"/>
          <w:lang w:val="es-CO"/>
        </w:rPr>
        <w:t>el propósito de aniquilamiento, destrucción o muerte de la población civil.</w:t>
      </w:r>
      <w:r w:rsidR="007078E7" w:rsidRPr="00E66386">
        <w:rPr>
          <w:rFonts w:asciiTheme="majorHAnsi" w:hAnsiTheme="majorHAnsi"/>
          <w:bCs/>
          <w:sz w:val="20"/>
          <w:szCs w:val="20"/>
          <w:lang w:val="es-CO"/>
        </w:rPr>
        <w:t xml:space="preserve"> De ahí que en su rol de asesor sus apreci</w:t>
      </w:r>
      <w:r w:rsidR="00C6653D" w:rsidRPr="00E66386">
        <w:rPr>
          <w:rFonts w:asciiTheme="majorHAnsi" w:hAnsiTheme="majorHAnsi"/>
          <w:bCs/>
          <w:sz w:val="20"/>
          <w:szCs w:val="20"/>
          <w:lang w:val="es-CO"/>
        </w:rPr>
        <w:t>aci</w:t>
      </w:r>
      <w:r w:rsidR="007078E7" w:rsidRPr="00E66386">
        <w:rPr>
          <w:rFonts w:asciiTheme="majorHAnsi" w:hAnsiTheme="majorHAnsi"/>
          <w:bCs/>
          <w:sz w:val="20"/>
          <w:szCs w:val="20"/>
          <w:lang w:val="es-CO"/>
        </w:rPr>
        <w:t xml:space="preserve">ones se pudieron haber tomado o no en cuenta </w:t>
      </w:r>
      <w:r w:rsidR="000A2559" w:rsidRPr="00E66386">
        <w:rPr>
          <w:rFonts w:asciiTheme="majorHAnsi" w:hAnsiTheme="majorHAnsi"/>
          <w:bCs/>
          <w:sz w:val="20"/>
          <w:szCs w:val="20"/>
          <w:lang w:val="es-CO"/>
        </w:rPr>
        <w:t xml:space="preserve">por el Alto Mando del Ejército, así </w:t>
      </w:r>
      <w:r w:rsidR="00DD19AB" w:rsidRPr="00E66386">
        <w:rPr>
          <w:rFonts w:asciiTheme="majorHAnsi" w:hAnsiTheme="majorHAnsi"/>
          <w:bCs/>
          <w:sz w:val="20"/>
          <w:szCs w:val="20"/>
          <w:lang w:val="es-CO"/>
        </w:rPr>
        <w:t>pues,</w:t>
      </w:r>
      <w:r w:rsidR="000A2559" w:rsidRPr="00E66386">
        <w:rPr>
          <w:rFonts w:asciiTheme="majorHAnsi" w:hAnsiTheme="majorHAnsi"/>
          <w:bCs/>
          <w:sz w:val="20"/>
          <w:szCs w:val="20"/>
          <w:lang w:val="es-CO"/>
        </w:rPr>
        <w:t xml:space="preserve"> su rol no fue determinante en la comisión del delito.</w:t>
      </w:r>
    </w:p>
    <w:p w14:paraId="1E58ED72" w14:textId="714F0F57" w:rsidR="004C3E1F" w:rsidRPr="00E66386" w:rsidRDefault="00DF10DE"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Así, e</w:t>
      </w:r>
      <w:r w:rsidR="00DD19AB" w:rsidRPr="00E66386">
        <w:rPr>
          <w:rFonts w:asciiTheme="majorHAnsi" w:hAnsiTheme="majorHAnsi"/>
          <w:bCs/>
          <w:sz w:val="20"/>
          <w:szCs w:val="20"/>
          <w:lang w:val="es-CO"/>
        </w:rPr>
        <w:t>l Estado concluye que la petición es manifiestamente infundada</w:t>
      </w:r>
      <w:r w:rsidR="00663627" w:rsidRPr="00E66386">
        <w:rPr>
          <w:rFonts w:asciiTheme="majorHAnsi" w:hAnsiTheme="majorHAnsi"/>
          <w:bCs/>
          <w:sz w:val="20"/>
          <w:szCs w:val="20"/>
          <w:lang w:val="es-CO"/>
        </w:rPr>
        <w:t>,</w:t>
      </w:r>
      <w:r w:rsidR="00DD19AB" w:rsidRPr="00E66386">
        <w:rPr>
          <w:rFonts w:asciiTheme="majorHAnsi" w:hAnsiTheme="majorHAnsi"/>
          <w:bCs/>
          <w:sz w:val="20"/>
          <w:szCs w:val="20"/>
          <w:lang w:val="es-CO"/>
        </w:rPr>
        <w:t xml:space="preserve"> </w:t>
      </w:r>
      <w:r w:rsidR="002076ED" w:rsidRPr="00E66386">
        <w:rPr>
          <w:rFonts w:asciiTheme="majorHAnsi" w:hAnsiTheme="majorHAnsi"/>
          <w:bCs/>
          <w:sz w:val="20"/>
          <w:szCs w:val="20"/>
          <w:lang w:val="es-CO"/>
        </w:rPr>
        <w:t>puesto que pretende afirmar la responsabilidad por violaciones de derechos humanos que han sido conocidas y juzgadas por los tribunales nacionales</w:t>
      </w:r>
      <w:r w:rsidR="000D348C" w:rsidRPr="00E66386">
        <w:rPr>
          <w:rFonts w:asciiTheme="majorHAnsi" w:hAnsiTheme="majorHAnsi"/>
          <w:bCs/>
          <w:sz w:val="20"/>
          <w:szCs w:val="20"/>
          <w:lang w:val="es-CO"/>
        </w:rPr>
        <w:t>, aunado al hecho de que existe una investigación pendiente contra otras personas que posiblemente estuvieran involucradas.</w:t>
      </w:r>
    </w:p>
    <w:p w14:paraId="3A6E1396" w14:textId="539BA4C6" w:rsidR="000D348C" w:rsidRPr="00E66386" w:rsidRDefault="00B305FF"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En tercer lugar, el Estado propone la excepción de f</w:t>
      </w:r>
      <w:r w:rsidR="008F41B8" w:rsidRPr="00E66386">
        <w:rPr>
          <w:rFonts w:asciiTheme="majorHAnsi" w:hAnsiTheme="majorHAnsi"/>
          <w:bCs/>
          <w:sz w:val="20"/>
          <w:szCs w:val="20"/>
          <w:lang w:val="es-CO"/>
        </w:rPr>
        <w:t>alta de agotamiento de los recursos internos</w:t>
      </w:r>
      <w:r w:rsidRPr="00E66386">
        <w:rPr>
          <w:rFonts w:asciiTheme="majorHAnsi" w:hAnsiTheme="majorHAnsi"/>
          <w:bCs/>
          <w:sz w:val="20"/>
          <w:szCs w:val="20"/>
          <w:lang w:val="es-CO"/>
        </w:rPr>
        <w:t xml:space="preserve"> y rechaza </w:t>
      </w:r>
      <w:r w:rsidR="00900A41" w:rsidRPr="00E66386">
        <w:rPr>
          <w:rFonts w:asciiTheme="majorHAnsi" w:hAnsiTheme="majorHAnsi"/>
          <w:bCs/>
          <w:sz w:val="20"/>
          <w:szCs w:val="20"/>
          <w:lang w:val="es-CO"/>
        </w:rPr>
        <w:t xml:space="preserve">el alegato de los peticionarios de </w:t>
      </w:r>
      <w:r w:rsidR="002B597E" w:rsidRPr="00E66386">
        <w:rPr>
          <w:rFonts w:asciiTheme="majorHAnsi" w:hAnsiTheme="majorHAnsi"/>
          <w:bCs/>
          <w:sz w:val="20"/>
          <w:szCs w:val="20"/>
          <w:lang w:val="es-CO"/>
        </w:rPr>
        <w:t xml:space="preserve">retardo injustificado </w:t>
      </w:r>
      <w:r w:rsidR="00900A41" w:rsidRPr="00E66386">
        <w:rPr>
          <w:rFonts w:asciiTheme="majorHAnsi" w:hAnsiTheme="majorHAnsi"/>
          <w:bCs/>
          <w:sz w:val="20"/>
          <w:szCs w:val="20"/>
          <w:lang w:val="es-CO"/>
        </w:rPr>
        <w:t xml:space="preserve">en la resolución de estos recursos. </w:t>
      </w:r>
      <w:r w:rsidR="00261003" w:rsidRPr="00E66386">
        <w:rPr>
          <w:rFonts w:asciiTheme="majorHAnsi" w:hAnsiTheme="majorHAnsi"/>
          <w:bCs/>
          <w:sz w:val="20"/>
          <w:szCs w:val="20"/>
          <w:lang w:val="es-CO"/>
        </w:rPr>
        <w:t xml:space="preserve">Plantea </w:t>
      </w:r>
      <w:r w:rsidR="005C310B" w:rsidRPr="00E66386">
        <w:rPr>
          <w:rFonts w:asciiTheme="majorHAnsi" w:hAnsiTheme="majorHAnsi"/>
          <w:bCs/>
          <w:sz w:val="20"/>
          <w:szCs w:val="20"/>
          <w:lang w:val="es-CO"/>
        </w:rPr>
        <w:t>que,</w:t>
      </w:r>
      <w:r w:rsidR="00261003" w:rsidRPr="00E66386">
        <w:rPr>
          <w:rFonts w:asciiTheme="majorHAnsi" w:hAnsiTheme="majorHAnsi"/>
          <w:bCs/>
          <w:sz w:val="20"/>
          <w:szCs w:val="20"/>
          <w:lang w:val="es-CO"/>
        </w:rPr>
        <w:t xml:space="preserve"> d</w:t>
      </w:r>
      <w:r w:rsidR="00F302AD" w:rsidRPr="00E66386">
        <w:rPr>
          <w:rFonts w:asciiTheme="majorHAnsi" w:hAnsiTheme="majorHAnsi"/>
          <w:bCs/>
          <w:sz w:val="20"/>
          <w:szCs w:val="20"/>
          <w:lang w:val="es-CO"/>
        </w:rPr>
        <w:t>ado el carácter complementario del S</w:t>
      </w:r>
      <w:r w:rsidR="00261003" w:rsidRPr="00E66386">
        <w:rPr>
          <w:rFonts w:asciiTheme="majorHAnsi" w:hAnsiTheme="majorHAnsi"/>
          <w:bCs/>
          <w:sz w:val="20"/>
          <w:szCs w:val="20"/>
          <w:lang w:val="es-CO"/>
        </w:rPr>
        <w:t xml:space="preserve">istema </w:t>
      </w:r>
      <w:r w:rsidR="00F302AD" w:rsidRPr="00E66386">
        <w:rPr>
          <w:rFonts w:asciiTheme="majorHAnsi" w:hAnsiTheme="majorHAnsi"/>
          <w:bCs/>
          <w:sz w:val="20"/>
          <w:szCs w:val="20"/>
          <w:lang w:val="es-CO"/>
        </w:rPr>
        <w:t>I</w:t>
      </w:r>
      <w:r w:rsidR="00261003" w:rsidRPr="00E66386">
        <w:rPr>
          <w:rFonts w:asciiTheme="majorHAnsi" w:hAnsiTheme="majorHAnsi"/>
          <w:bCs/>
          <w:sz w:val="20"/>
          <w:szCs w:val="20"/>
          <w:lang w:val="es-CO"/>
        </w:rPr>
        <w:t>nteramericana consistente en</w:t>
      </w:r>
      <w:r w:rsidR="00F302AD" w:rsidRPr="00E66386">
        <w:rPr>
          <w:rFonts w:asciiTheme="majorHAnsi" w:hAnsiTheme="majorHAnsi"/>
          <w:bCs/>
          <w:sz w:val="20"/>
          <w:szCs w:val="20"/>
          <w:lang w:val="es-CO"/>
        </w:rPr>
        <w:t xml:space="preserve"> coadyu</w:t>
      </w:r>
      <w:r w:rsidR="00A42D51" w:rsidRPr="00E66386">
        <w:rPr>
          <w:rFonts w:asciiTheme="majorHAnsi" w:hAnsiTheme="majorHAnsi"/>
          <w:bCs/>
          <w:sz w:val="20"/>
          <w:szCs w:val="20"/>
          <w:lang w:val="es-CO"/>
        </w:rPr>
        <w:t>va</w:t>
      </w:r>
      <w:r w:rsidR="00261003" w:rsidRPr="00E66386">
        <w:rPr>
          <w:rFonts w:asciiTheme="majorHAnsi" w:hAnsiTheme="majorHAnsi"/>
          <w:bCs/>
          <w:sz w:val="20"/>
          <w:szCs w:val="20"/>
          <w:lang w:val="es-CO"/>
        </w:rPr>
        <w:t>r</w:t>
      </w:r>
      <w:r w:rsidR="00A42D51" w:rsidRPr="00E66386">
        <w:rPr>
          <w:rFonts w:asciiTheme="majorHAnsi" w:hAnsiTheme="majorHAnsi"/>
          <w:bCs/>
          <w:sz w:val="20"/>
          <w:szCs w:val="20"/>
          <w:lang w:val="es-CO"/>
        </w:rPr>
        <w:t xml:space="preserve"> a</w:t>
      </w:r>
      <w:r w:rsidR="0093439B" w:rsidRPr="00E66386">
        <w:rPr>
          <w:rFonts w:asciiTheme="majorHAnsi" w:hAnsiTheme="majorHAnsi"/>
          <w:bCs/>
          <w:sz w:val="20"/>
          <w:szCs w:val="20"/>
          <w:lang w:val="es-CO"/>
        </w:rPr>
        <w:t xml:space="preserve"> </w:t>
      </w:r>
      <w:r w:rsidR="00A42D51" w:rsidRPr="00E66386">
        <w:rPr>
          <w:rFonts w:asciiTheme="majorHAnsi" w:hAnsiTheme="majorHAnsi"/>
          <w:bCs/>
          <w:sz w:val="20"/>
          <w:szCs w:val="20"/>
          <w:lang w:val="es-CO"/>
        </w:rPr>
        <w:t>l</w:t>
      </w:r>
      <w:r w:rsidR="0093439B" w:rsidRPr="00E66386">
        <w:rPr>
          <w:rFonts w:asciiTheme="majorHAnsi" w:hAnsiTheme="majorHAnsi"/>
          <w:bCs/>
          <w:sz w:val="20"/>
          <w:szCs w:val="20"/>
          <w:lang w:val="es-CO"/>
        </w:rPr>
        <w:t>os Estados en su ámbito interno de protección,</w:t>
      </w:r>
      <w:r w:rsidR="00A42D51" w:rsidRPr="00E66386">
        <w:rPr>
          <w:rFonts w:asciiTheme="majorHAnsi" w:hAnsiTheme="majorHAnsi"/>
          <w:bCs/>
          <w:sz w:val="20"/>
          <w:szCs w:val="20"/>
          <w:lang w:val="es-CO"/>
        </w:rPr>
        <w:t xml:space="preserve"> su actuar se ve limitado por la observancia de las obligaciones asumidas por los Estados.</w:t>
      </w:r>
      <w:r w:rsidR="004D52A7" w:rsidRPr="00E66386">
        <w:rPr>
          <w:rFonts w:asciiTheme="majorHAnsi" w:hAnsiTheme="majorHAnsi"/>
          <w:bCs/>
          <w:sz w:val="20"/>
          <w:szCs w:val="20"/>
          <w:lang w:val="es-CO"/>
        </w:rPr>
        <w:t xml:space="preserve"> </w:t>
      </w:r>
      <w:r w:rsidR="009F4E4B" w:rsidRPr="00E66386">
        <w:rPr>
          <w:rFonts w:asciiTheme="majorHAnsi" w:hAnsiTheme="majorHAnsi"/>
          <w:bCs/>
          <w:sz w:val="20"/>
          <w:szCs w:val="20"/>
          <w:lang w:val="es-CO"/>
        </w:rPr>
        <w:t>Bajo esa tesitura, asevera que e</w:t>
      </w:r>
      <w:r w:rsidR="004D52A7" w:rsidRPr="00E66386">
        <w:rPr>
          <w:rFonts w:asciiTheme="majorHAnsi" w:hAnsiTheme="majorHAnsi"/>
          <w:bCs/>
          <w:sz w:val="20"/>
          <w:szCs w:val="20"/>
          <w:lang w:val="es-CO"/>
        </w:rPr>
        <w:t xml:space="preserve">n el presente caso </w:t>
      </w:r>
      <w:r w:rsidR="00770CDB" w:rsidRPr="00E66386">
        <w:rPr>
          <w:rFonts w:asciiTheme="majorHAnsi" w:hAnsiTheme="majorHAnsi"/>
          <w:bCs/>
          <w:sz w:val="20"/>
          <w:szCs w:val="20"/>
          <w:lang w:val="es-CO"/>
        </w:rPr>
        <w:t xml:space="preserve">el proceso penal continúa </w:t>
      </w:r>
      <w:r w:rsidR="009D6E3F" w:rsidRPr="00E66386">
        <w:rPr>
          <w:rFonts w:asciiTheme="majorHAnsi" w:hAnsiTheme="majorHAnsi"/>
          <w:bCs/>
          <w:sz w:val="20"/>
          <w:szCs w:val="20"/>
          <w:lang w:val="es-CO"/>
        </w:rPr>
        <w:t xml:space="preserve">en curso y se encuentra </w:t>
      </w:r>
      <w:r w:rsidR="00770CDB" w:rsidRPr="00E66386">
        <w:rPr>
          <w:rFonts w:asciiTheme="majorHAnsi" w:hAnsiTheme="majorHAnsi"/>
          <w:bCs/>
          <w:sz w:val="20"/>
          <w:szCs w:val="20"/>
          <w:lang w:val="es-CO"/>
        </w:rPr>
        <w:t>dentro del plazo razonable</w:t>
      </w:r>
      <w:r w:rsidR="006A5B15" w:rsidRPr="00E66386">
        <w:rPr>
          <w:rFonts w:asciiTheme="majorHAnsi" w:hAnsiTheme="majorHAnsi"/>
          <w:bCs/>
          <w:sz w:val="20"/>
          <w:szCs w:val="20"/>
          <w:lang w:val="es-CO"/>
        </w:rPr>
        <w:t xml:space="preserve">. </w:t>
      </w:r>
      <w:r w:rsidR="00E440E5" w:rsidRPr="00E66386">
        <w:rPr>
          <w:rFonts w:asciiTheme="majorHAnsi" w:hAnsiTheme="majorHAnsi"/>
          <w:bCs/>
          <w:sz w:val="20"/>
          <w:szCs w:val="20"/>
          <w:lang w:val="es-CO"/>
        </w:rPr>
        <w:t xml:space="preserve">Para sustentar esta posición, </w:t>
      </w:r>
      <w:r w:rsidR="006A5B15" w:rsidRPr="00E66386">
        <w:rPr>
          <w:rFonts w:asciiTheme="majorHAnsi" w:hAnsiTheme="majorHAnsi"/>
          <w:bCs/>
          <w:sz w:val="20"/>
          <w:szCs w:val="20"/>
          <w:lang w:val="es-CO"/>
        </w:rPr>
        <w:t xml:space="preserve">Guatemala </w:t>
      </w:r>
      <w:r w:rsidR="00AD162C" w:rsidRPr="00E66386">
        <w:rPr>
          <w:rFonts w:asciiTheme="majorHAnsi" w:hAnsiTheme="majorHAnsi"/>
          <w:bCs/>
          <w:sz w:val="20"/>
          <w:szCs w:val="20"/>
          <w:lang w:val="es-CO"/>
        </w:rPr>
        <w:t xml:space="preserve">cita </w:t>
      </w:r>
      <w:r w:rsidR="00971048" w:rsidRPr="00E66386">
        <w:rPr>
          <w:rFonts w:asciiTheme="majorHAnsi" w:hAnsiTheme="majorHAnsi"/>
          <w:bCs/>
          <w:sz w:val="20"/>
          <w:szCs w:val="20"/>
          <w:lang w:val="es-CO"/>
        </w:rPr>
        <w:t>los cuatro criterios para la evaluación de la razonabilidad del plazo, a saber: i) la complejidad del asunto; ii) la actividad procesal</w:t>
      </w:r>
      <w:r w:rsidR="002D42E7" w:rsidRPr="00E66386">
        <w:rPr>
          <w:rFonts w:asciiTheme="majorHAnsi" w:hAnsiTheme="majorHAnsi"/>
          <w:bCs/>
          <w:sz w:val="20"/>
          <w:szCs w:val="20"/>
          <w:lang w:val="es-CO"/>
        </w:rPr>
        <w:t xml:space="preserve"> de las personas interesadas; iii) la conducta de las autoridades judiciales; y iv) la afectación generada por la duración del procedimiento </w:t>
      </w:r>
      <w:r w:rsidR="00CC603F" w:rsidRPr="00E66386">
        <w:rPr>
          <w:rFonts w:asciiTheme="majorHAnsi" w:hAnsiTheme="majorHAnsi"/>
          <w:bCs/>
          <w:sz w:val="20"/>
          <w:szCs w:val="20"/>
          <w:lang w:val="es-CO"/>
        </w:rPr>
        <w:t>en</w:t>
      </w:r>
      <w:r w:rsidR="00ED7EB6" w:rsidRPr="00E66386">
        <w:rPr>
          <w:rFonts w:asciiTheme="majorHAnsi" w:hAnsiTheme="majorHAnsi"/>
          <w:bCs/>
          <w:sz w:val="20"/>
          <w:szCs w:val="20"/>
          <w:lang w:val="es-CO"/>
        </w:rPr>
        <w:t xml:space="preserve"> </w:t>
      </w:r>
      <w:r w:rsidR="00CC603F" w:rsidRPr="00E66386">
        <w:rPr>
          <w:rFonts w:asciiTheme="majorHAnsi" w:hAnsiTheme="majorHAnsi"/>
          <w:bCs/>
          <w:sz w:val="20"/>
          <w:szCs w:val="20"/>
          <w:lang w:val="es-CO"/>
        </w:rPr>
        <w:t>las víctimas</w:t>
      </w:r>
      <w:r w:rsidR="00ED7EB6" w:rsidRPr="00E66386">
        <w:rPr>
          <w:rFonts w:asciiTheme="majorHAnsi" w:hAnsiTheme="majorHAnsi"/>
          <w:bCs/>
          <w:sz w:val="20"/>
          <w:szCs w:val="20"/>
          <w:lang w:val="es-CO"/>
        </w:rPr>
        <w:t>.</w:t>
      </w:r>
    </w:p>
    <w:p w14:paraId="37D855A3" w14:textId="5DEE1CC3" w:rsidR="006E7057" w:rsidRPr="00E66386" w:rsidRDefault="00A82622"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 xml:space="preserve">Con respecto al primer criterio, el Estado </w:t>
      </w:r>
      <w:r w:rsidR="00CC603F" w:rsidRPr="00E66386">
        <w:rPr>
          <w:rFonts w:asciiTheme="majorHAnsi" w:hAnsiTheme="majorHAnsi"/>
          <w:bCs/>
          <w:sz w:val="20"/>
          <w:szCs w:val="20"/>
          <w:lang w:val="es-CO"/>
        </w:rPr>
        <w:t xml:space="preserve">enfatiza que el proceso penal por genocidio es una situación de dimensiones particularmente excepcionales, no sólo por la cantidad de personas que resultaron afectadas, sino </w:t>
      </w:r>
      <w:r w:rsidR="007370E7" w:rsidRPr="00E66386">
        <w:rPr>
          <w:rFonts w:asciiTheme="majorHAnsi" w:hAnsiTheme="majorHAnsi"/>
          <w:bCs/>
          <w:sz w:val="20"/>
          <w:szCs w:val="20"/>
          <w:lang w:val="es-CO"/>
        </w:rPr>
        <w:t>también por los antecedentes nacionales e internacionales de juzgamiento de estos delitos, la abundante prueba aportada, las circunstancias de contexto, y el periodo de tiempo transcurrido entre la fecha en que ocurrieron los hechos y la fecha de juzgamiento.</w:t>
      </w:r>
      <w:r w:rsidR="00B422AB" w:rsidRPr="00E66386">
        <w:rPr>
          <w:rFonts w:asciiTheme="majorHAnsi" w:hAnsiTheme="majorHAnsi"/>
          <w:bCs/>
          <w:sz w:val="20"/>
          <w:szCs w:val="20"/>
          <w:lang w:val="es-CO"/>
        </w:rPr>
        <w:t xml:space="preserve"> Todo ello aunado a que es el primer caso en el país en el que se juzga a un exjefe de gobierno por </w:t>
      </w:r>
      <w:r w:rsidR="00E310F8" w:rsidRPr="00E66386">
        <w:rPr>
          <w:rFonts w:asciiTheme="majorHAnsi" w:hAnsiTheme="majorHAnsi"/>
          <w:bCs/>
          <w:sz w:val="20"/>
          <w:szCs w:val="20"/>
          <w:lang w:val="es-CO"/>
        </w:rPr>
        <w:t xml:space="preserve">el crimen de genocidio y delitos contra los deberes de la </w:t>
      </w:r>
      <w:r w:rsidR="003239C7" w:rsidRPr="00E66386">
        <w:rPr>
          <w:rFonts w:asciiTheme="majorHAnsi" w:hAnsiTheme="majorHAnsi"/>
          <w:bCs/>
          <w:sz w:val="20"/>
          <w:szCs w:val="20"/>
          <w:lang w:val="es-CO"/>
        </w:rPr>
        <w:t>humanidad</w:t>
      </w:r>
      <w:r w:rsidR="00E310F8" w:rsidRPr="00E66386">
        <w:rPr>
          <w:rFonts w:asciiTheme="majorHAnsi" w:hAnsiTheme="majorHAnsi"/>
          <w:bCs/>
          <w:sz w:val="20"/>
          <w:szCs w:val="20"/>
          <w:lang w:val="es-CO"/>
        </w:rPr>
        <w:t>.</w:t>
      </w:r>
      <w:r w:rsidR="0007633A" w:rsidRPr="00E66386">
        <w:rPr>
          <w:rFonts w:asciiTheme="majorHAnsi" w:hAnsiTheme="majorHAnsi"/>
          <w:bCs/>
          <w:sz w:val="20"/>
          <w:szCs w:val="20"/>
          <w:lang w:val="es-CO"/>
        </w:rPr>
        <w:t xml:space="preserve"> Asimismo, en el estudio de la complejidad del asunto, el Estado señala que de</w:t>
      </w:r>
      <w:r w:rsidR="00BC4D7F" w:rsidRPr="00E66386">
        <w:rPr>
          <w:rFonts w:asciiTheme="majorHAnsi" w:hAnsiTheme="majorHAnsi"/>
          <w:bCs/>
          <w:sz w:val="20"/>
          <w:szCs w:val="20"/>
          <w:lang w:val="es-CO"/>
        </w:rPr>
        <w:t>be valorarse la extensión de la investigación, la cantidad de pruebas, la pluralidad de sujetos procesales y de víctimas, el tiempo transcurrido</w:t>
      </w:r>
      <w:r w:rsidR="00D37080" w:rsidRPr="00E66386">
        <w:rPr>
          <w:rFonts w:asciiTheme="majorHAnsi" w:hAnsiTheme="majorHAnsi"/>
          <w:bCs/>
          <w:sz w:val="20"/>
          <w:szCs w:val="20"/>
          <w:lang w:val="es-CO"/>
        </w:rPr>
        <w:t xml:space="preserve"> desde la alegada violación</w:t>
      </w:r>
      <w:r w:rsidR="00BC4D7F" w:rsidRPr="00E66386">
        <w:rPr>
          <w:rFonts w:asciiTheme="majorHAnsi" w:hAnsiTheme="majorHAnsi"/>
          <w:bCs/>
          <w:sz w:val="20"/>
          <w:szCs w:val="20"/>
          <w:lang w:val="es-CO"/>
        </w:rPr>
        <w:t>,</w:t>
      </w:r>
      <w:r w:rsidR="00D37080" w:rsidRPr="00E66386">
        <w:rPr>
          <w:rFonts w:asciiTheme="majorHAnsi" w:hAnsiTheme="majorHAnsi"/>
          <w:bCs/>
          <w:sz w:val="20"/>
          <w:szCs w:val="20"/>
          <w:lang w:val="es-CO"/>
        </w:rPr>
        <w:t xml:space="preserve"> el contexto, las características de los recursos internos y si el asunto es de gran relevancia.</w:t>
      </w:r>
    </w:p>
    <w:p w14:paraId="7E0073FE" w14:textId="5F3274BF" w:rsidR="00941BF5" w:rsidRPr="00E66386" w:rsidRDefault="00941BF5"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Con relación al segundo criterio, la actividad procesal de l</w:t>
      </w:r>
      <w:r w:rsidR="00762D7D" w:rsidRPr="00E66386">
        <w:rPr>
          <w:rFonts w:asciiTheme="majorHAnsi" w:hAnsiTheme="majorHAnsi"/>
          <w:bCs/>
          <w:sz w:val="20"/>
          <w:szCs w:val="20"/>
          <w:lang w:val="es-CO"/>
        </w:rPr>
        <w:t>o</w:t>
      </w:r>
      <w:r w:rsidRPr="00E66386">
        <w:rPr>
          <w:rFonts w:asciiTheme="majorHAnsi" w:hAnsiTheme="majorHAnsi"/>
          <w:bCs/>
          <w:sz w:val="20"/>
          <w:szCs w:val="20"/>
          <w:lang w:val="es-CO"/>
        </w:rPr>
        <w:t>s interesa</w:t>
      </w:r>
      <w:r w:rsidR="00762D7D" w:rsidRPr="00E66386">
        <w:rPr>
          <w:rFonts w:asciiTheme="majorHAnsi" w:hAnsiTheme="majorHAnsi"/>
          <w:bCs/>
          <w:sz w:val="20"/>
          <w:szCs w:val="20"/>
          <w:lang w:val="es-CO"/>
        </w:rPr>
        <w:t>do</w:t>
      </w:r>
      <w:r w:rsidRPr="00E66386">
        <w:rPr>
          <w:rFonts w:asciiTheme="majorHAnsi" w:hAnsiTheme="majorHAnsi"/>
          <w:bCs/>
          <w:sz w:val="20"/>
          <w:szCs w:val="20"/>
          <w:lang w:val="es-CO"/>
        </w:rPr>
        <w:t xml:space="preserve">s, </w:t>
      </w:r>
      <w:r w:rsidR="007B6924" w:rsidRPr="00E66386">
        <w:rPr>
          <w:rFonts w:asciiTheme="majorHAnsi" w:hAnsiTheme="majorHAnsi"/>
          <w:bCs/>
          <w:sz w:val="20"/>
          <w:szCs w:val="20"/>
          <w:lang w:val="es-CO"/>
        </w:rPr>
        <w:t xml:space="preserve">el Estado expone que, en efecto, la participación de las presuntas víctimas ha sido de gran relevancia para </w:t>
      </w:r>
      <w:r w:rsidR="00473327" w:rsidRPr="00E66386">
        <w:rPr>
          <w:rFonts w:asciiTheme="majorHAnsi" w:hAnsiTheme="majorHAnsi"/>
          <w:bCs/>
          <w:sz w:val="20"/>
          <w:szCs w:val="20"/>
          <w:lang w:val="es-CO"/>
        </w:rPr>
        <w:t xml:space="preserve">que las autoridades </w:t>
      </w:r>
      <w:r w:rsidR="007B6924" w:rsidRPr="00E66386">
        <w:rPr>
          <w:rFonts w:asciiTheme="majorHAnsi" w:hAnsiTheme="majorHAnsi"/>
          <w:bCs/>
          <w:sz w:val="20"/>
          <w:szCs w:val="20"/>
          <w:lang w:val="es-CO"/>
        </w:rPr>
        <w:t>determin</w:t>
      </w:r>
      <w:r w:rsidR="00473327" w:rsidRPr="00E66386">
        <w:rPr>
          <w:rFonts w:asciiTheme="majorHAnsi" w:hAnsiTheme="majorHAnsi"/>
          <w:bCs/>
          <w:sz w:val="20"/>
          <w:szCs w:val="20"/>
          <w:lang w:val="es-CO"/>
        </w:rPr>
        <w:t>en</w:t>
      </w:r>
      <w:r w:rsidR="007B6924" w:rsidRPr="00E66386">
        <w:rPr>
          <w:rFonts w:asciiTheme="majorHAnsi" w:hAnsiTheme="majorHAnsi"/>
          <w:bCs/>
          <w:sz w:val="20"/>
          <w:szCs w:val="20"/>
          <w:lang w:val="es-CO"/>
        </w:rPr>
        <w:t xml:space="preserve"> la</w:t>
      </w:r>
      <w:r w:rsidR="00473327" w:rsidRPr="00E66386">
        <w:rPr>
          <w:rFonts w:asciiTheme="majorHAnsi" w:hAnsiTheme="majorHAnsi"/>
          <w:bCs/>
          <w:sz w:val="20"/>
          <w:szCs w:val="20"/>
          <w:lang w:val="es-CO"/>
        </w:rPr>
        <w:t xml:space="preserve"> responsabilidad de los perpetradores. En </w:t>
      </w:r>
      <w:r w:rsidR="00521BCF" w:rsidRPr="00E66386">
        <w:rPr>
          <w:rFonts w:asciiTheme="majorHAnsi" w:hAnsiTheme="majorHAnsi"/>
          <w:bCs/>
          <w:sz w:val="20"/>
          <w:szCs w:val="20"/>
          <w:lang w:val="es-CO"/>
        </w:rPr>
        <w:t xml:space="preserve">cuanto al tercer </w:t>
      </w:r>
      <w:r w:rsidR="004C41D1" w:rsidRPr="00E66386">
        <w:rPr>
          <w:rFonts w:asciiTheme="majorHAnsi" w:hAnsiTheme="majorHAnsi"/>
          <w:bCs/>
          <w:sz w:val="20"/>
          <w:szCs w:val="20"/>
          <w:lang w:val="es-CO"/>
        </w:rPr>
        <w:t>criterio</w:t>
      </w:r>
      <w:r w:rsidR="00125AF1" w:rsidRPr="00E66386">
        <w:rPr>
          <w:rFonts w:asciiTheme="majorHAnsi" w:hAnsiTheme="majorHAnsi"/>
          <w:bCs/>
          <w:sz w:val="20"/>
          <w:szCs w:val="20"/>
          <w:lang w:val="es-CO"/>
        </w:rPr>
        <w:t xml:space="preserve"> relativo a</w:t>
      </w:r>
      <w:r w:rsidR="00521BCF" w:rsidRPr="00E66386">
        <w:rPr>
          <w:rFonts w:asciiTheme="majorHAnsi" w:hAnsiTheme="majorHAnsi"/>
          <w:bCs/>
          <w:sz w:val="20"/>
          <w:szCs w:val="20"/>
          <w:lang w:val="es-CO"/>
        </w:rPr>
        <w:t xml:space="preserve"> la conducta de</w:t>
      </w:r>
      <w:r w:rsidR="004C41D1" w:rsidRPr="00E66386">
        <w:rPr>
          <w:rFonts w:asciiTheme="majorHAnsi" w:hAnsiTheme="majorHAnsi"/>
          <w:bCs/>
          <w:sz w:val="20"/>
          <w:szCs w:val="20"/>
          <w:lang w:val="es-CO"/>
        </w:rPr>
        <w:t xml:space="preserve"> </w:t>
      </w:r>
      <w:r w:rsidR="00521BCF" w:rsidRPr="00E66386">
        <w:rPr>
          <w:rFonts w:asciiTheme="majorHAnsi" w:hAnsiTheme="majorHAnsi"/>
          <w:bCs/>
          <w:sz w:val="20"/>
          <w:szCs w:val="20"/>
          <w:lang w:val="es-CO"/>
        </w:rPr>
        <w:t xml:space="preserve">las autoridades judiciales, el Estado considera que </w:t>
      </w:r>
      <w:r w:rsidR="009C5136" w:rsidRPr="00E66386">
        <w:rPr>
          <w:rFonts w:asciiTheme="majorHAnsi" w:hAnsiTheme="majorHAnsi"/>
          <w:bCs/>
          <w:sz w:val="20"/>
          <w:szCs w:val="20"/>
          <w:lang w:val="es-CO"/>
        </w:rPr>
        <w:t xml:space="preserve">los tribunales nacionales no pueden vulnerar </w:t>
      </w:r>
      <w:r w:rsidR="001742AC" w:rsidRPr="00E66386">
        <w:rPr>
          <w:rFonts w:asciiTheme="majorHAnsi" w:hAnsiTheme="majorHAnsi"/>
          <w:bCs/>
          <w:sz w:val="20"/>
          <w:szCs w:val="20"/>
          <w:lang w:val="es-CO"/>
        </w:rPr>
        <w:t xml:space="preserve">los </w:t>
      </w:r>
      <w:r w:rsidR="009C5136" w:rsidRPr="00E66386">
        <w:rPr>
          <w:rFonts w:asciiTheme="majorHAnsi" w:hAnsiTheme="majorHAnsi"/>
          <w:bCs/>
          <w:sz w:val="20"/>
          <w:szCs w:val="20"/>
          <w:lang w:val="es-CO"/>
        </w:rPr>
        <w:t>derechos de los procesados</w:t>
      </w:r>
      <w:r w:rsidR="004D429E" w:rsidRPr="00E66386">
        <w:rPr>
          <w:rFonts w:asciiTheme="majorHAnsi" w:hAnsiTheme="majorHAnsi"/>
          <w:bCs/>
          <w:sz w:val="20"/>
          <w:szCs w:val="20"/>
          <w:lang w:val="es-CO"/>
        </w:rPr>
        <w:t>, como el derecho de defensa, para resolver el proceso más rápidamente. Solicita que la Comisión tome en consideración los razonamientos y fundamentos esgrimidos por la Corte de Constitucionalidad para decretar la nulidad de la sentencia de 2013.</w:t>
      </w:r>
      <w:r w:rsidR="00845200" w:rsidRPr="00E66386">
        <w:rPr>
          <w:rFonts w:asciiTheme="majorHAnsi" w:hAnsiTheme="majorHAnsi"/>
          <w:bCs/>
          <w:sz w:val="20"/>
          <w:szCs w:val="20"/>
          <w:lang w:val="es-CO"/>
        </w:rPr>
        <w:t xml:space="preserve"> Por último, con respecto al cuarto criterio </w:t>
      </w:r>
      <w:r w:rsidR="00D05247" w:rsidRPr="00E66386">
        <w:rPr>
          <w:rFonts w:asciiTheme="majorHAnsi" w:hAnsiTheme="majorHAnsi"/>
          <w:bCs/>
          <w:sz w:val="20"/>
          <w:szCs w:val="20"/>
          <w:lang w:val="es-CO"/>
        </w:rPr>
        <w:t>citado por el propio Estado, el relativo a la</w:t>
      </w:r>
      <w:r w:rsidR="00845200" w:rsidRPr="00E66386">
        <w:rPr>
          <w:rFonts w:asciiTheme="majorHAnsi" w:hAnsiTheme="majorHAnsi"/>
          <w:bCs/>
          <w:sz w:val="20"/>
          <w:szCs w:val="20"/>
          <w:lang w:val="es-CO"/>
        </w:rPr>
        <w:t xml:space="preserve"> afectación a las presuntas víctimas, Guatemala arguye que </w:t>
      </w:r>
      <w:r w:rsidR="005E6FDD" w:rsidRPr="00E66386">
        <w:rPr>
          <w:rFonts w:asciiTheme="majorHAnsi" w:hAnsiTheme="majorHAnsi"/>
          <w:bCs/>
          <w:sz w:val="20"/>
          <w:szCs w:val="20"/>
          <w:lang w:val="es-CO"/>
        </w:rPr>
        <w:t>no es necesario evaluar</w:t>
      </w:r>
      <w:r w:rsidR="00D05247" w:rsidRPr="00E66386">
        <w:rPr>
          <w:rFonts w:asciiTheme="majorHAnsi" w:hAnsiTheme="majorHAnsi"/>
          <w:bCs/>
          <w:sz w:val="20"/>
          <w:szCs w:val="20"/>
          <w:lang w:val="es-CO"/>
        </w:rPr>
        <w:t>lo</w:t>
      </w:r>
      <w:r w:rsidR="005E6FDD" w:rsidRPr="00E66386">
        <w:rPr>
          <w:rFonts w:asciiTheme="majorHAnsi" w:hAnsiTheme="majorHAnsi"/>
          <w:bCs/>
          <w:sz w:val="20"/>
          <w:szCs w:val="20"/>
          <w:lang w:val="es-CO"/>
        </w:rPr>
        <w:t xml:space="preserve"> </w:t>
      </w:r>
      <w:r w:rsidR="00D05247" w:rsidRPr="00E66386">
        <w:rPr>
          <w:rFonts w:asciiTheme="majorHAnsi" w:hAnsiTheme="majorHAnsi"/>
          <w:bCs/>
          <w:sz w:val="20"/>
          <w:szCs w:val="20"/>
          <w:lang w:val="es-CO"/>
        </w:rPr>
        <w:t>porque</w:t>
      </w:r>
      <w:r w:rsidR="005E6FDD" w:rsidRPr="00E66386">
        <w:rPr>
          <w:rFonts w:asciiTheme="majorHAnsi" w:hAnsiTheme="majorHAnsi"/>
          <w:bCs/>
          <w:sz w:val="20"/>
          <w:szCs w:val="20"/>
          <w:lang w:val="es-CO"/>
        </w:rPr>
        <w:t xml:space="preserve"> no es necesario que confluya para que se produzca la razonabilidad del plazo.</w:t>
      </w:r>
      <w:r w:rsidR="005B57CD" w:rsidRPr="00E66386">
        <w:rPr>
          <w:rFonts w:asciiTheme="majorHAnsi" w:hAnsiTheme="majorHAnsi"/>
          <w:bCs/>
          <w:sz w:val="20"/>
          <w:szCs w:val="20"/>
          <w:lang w:val="es-CO"/>
        </w:rPr>
        <w:t xml:space="preserve"> Por lo anterior, el Estado solicita a la Comisión que declare la inadmisibilidad de la presente petición por falta de agotamiento de los recursos internos.</w:t>
      </w:r>
    </w:p>
    <w:p w14:paraId="705908C3" w14:textId="723CB27F" w:rsidR="005B57CD" w:rsidRPr="00E66386" w:rsidRDefault="00C2129C" w:rsidP="00AC5137">
      <w:pPr>
        <w:pStyle w:val="ListParagraph"/>
        <w:numPr>
          <w:ilvl w:val="0"/>
          <w:numId w:val="60"/>
        </w:numPr>
        <w:spacing w:before="240" w:after="240"/>
        <w:ind w:left="0" w:firstLine="720"/>
        <w:jc w:val="both"/>
        <w:rPr>
          <w:rFonts w:asciiTheme="majorHAnsi" w:hAnsiTheme="majorHAnsi"/>
          <w:bCs/>
          <w:sz w:val="20"/>
          <w:szCs w:val="20"/>
          <w:lang w:val="es-CO"/>
        </w:rPr>
      </w:pPr>
      <w:r w:rsidRPr="00E66386">
        <w:rPr>
          <w:rFonts w:asciiTheme="majorHAnsi" w:hAnsiTheme="majorHAnsi"/>
          <w:bCs/>
          <w:sz w:val="20"/>
          <w:szCs w:val="20"/>
          <w:lang w:val="es-CO"/>
        </w:rPr>
        <w:t>Por último, de manera preliminar, el Estado también presenta o</w:t>
      </w:r>
      <w:r w:rsidR="00300E12" w:rsidRPr="00E66386">
        <w:rPr>
          <w:rFonts w:asciiTheme="majorHAnsi" w:hAnsiTheme="majorHAnsi"/>
          <w:bCs/>
          <w:sz w:val="20"/>
          <w:szCs w:val="20"/>
          <w:lang w:val="es-CO"/>
        </w:rPr>
        <w:t xml:space="preserve">bservaciones sobre el fondo </w:t>
      </w:r>
      <w:r w:rsidR="003B4F36" w:rsidRPr="00E66386">
        <w:rPr>
          <w:rFonts w:asciiTheme="majorHAnsi" w:hAnsiTheme="majorHAnsi"/>
          <w:bCs/>
          <w:sz w:val="20"/>
          <w:szCs w:val="20"/>
          <w:lang w:val="es-CO"/>
        </w:rPr>
        <w:t xml:space="preserve">de las violaciones alegadas, </w:t>
      </w:r>
      <w:r w:rsidR="005C310B" w:rsidRPr="00E66386">
        <w:rPr>
          <w:rFonts w:asciiTheme="majorHAnsi" w:hAnsiTheme="majorHAnsi"/>
          <w:bCs/>
          <w:sz w:val="20"/>
          <w:szCs w:val="20"/>
          <w:lang w:val="es-CO"/>
        </w:rPr>
        <w:t>que,</w:t>
      </w:r>
      <w:r w:rsidR="003B4F36" w:rsidRPr="00E66386">
        <w:rPr>
          <w:rFonts w:asciiTheme="majorHAnsi" w:hAnsiTheme="majorHAnsi"/>
          <w:bCs/>
          <w:sz w:val="20"/>
          <w:szCs w:val="20"/>
          <w:lang w:val="es-CO"/>
        </w:rPr>
        <w:t xml:space="preserve"> e</w:t>
      </w:r>
      <w:r w:rsidR="002961C7" w:rsidRPr="00E66386">
        <w:rPr>
          <w:rFonts w:asciiTheme="majorHAnsi" w:hAnsiTheme="majorHAnsi"/>
          <w:bCs/>
          <w:sz w:val="20"/>
          <w:szCs w:val="20"/>
          <w:lang w:val="es-CO"/>
        </w:rPr>
        <w:t>n</w:t>
      </w:r>
      <w:r w:rsidR="003B4F36" w:rsidRPr="00E66386">
        <w:rPr>
          <w:rFonts w:asciiTheme="majorHAnsi" w:hAnsiTheme="majorHAnsi"/>
          <w:bCs/>
          <w:sz w:val="20"/>
          <w:szCs w:val="20"/>
          <w:lang w:val="es-CO"/>
        </w:rPr>
        <w:t xml:space="preserve"> su sentir,</w:t>
      </w:r>
      <w:r w:rsidR="00300E12" w:rsidRPr="00E66386">
        <w:rPr>
          <w:rFonts w:asciiTheme="majorHAnsi" w:hAnsiTheme="majorHAnsi"/>
          <w:bCs/>
          <w:sz w:val="20"/>
          <w:szCs w:val="20"/>
          <w:lang w:val="es-CO"/>
        </w:rPr>
        <w:t xml:space="preserve"> confirman la improcedencia de la petición</w:t>
      </w:r>
      <w:r w:rsidR="003B4F36" w:rsidRPr="00E66386">
        <w:rPr>
          <w:rFonts w:asciiTheme="majorHAnsi" w:hAnsiTheme="majorHAnsi"/>
          <w:bCs/>
          <w:sz w:val="20"/>
          <w:szCs w:val="20"/>
          <w:lang w:val="es-CO"/>
        </w:rPr>
        <w:t xml:space="preserve"> por falta de caracterización de los hechos como posibles violaciones a la Convención Americana. Entre ellas, </w:t>
      </w:r>
      <w:r w:rsidR="00421F55" w:rsidRPr="00E66386">
        <w:rPr>
          <w:rFonts w:asciiTheme="majorHAnsi" w:hAnsiTheme="majorHAnsi"/>
          <w:bCs/>
          <w:sz w:val="20"/>
          <w:szCs w:val="20"/>
          <w:lang w:val="es-CO"/>
        </w:rPr>
        <w:t xml:space="preserve">el Estado </w:t>
      </w:r>
      <w:r w:rsidR="003B4F36" w:rsidRPr="00E66386">
        <w:rPr>
          <w:rFonts w:asciiTheme="majorHAnsi" w:hAnsiTheme="majorHAnsi"/>
          <w:bCs/>
          <w:sz w:val="20"/>
          <w:szCs w:val="20"/>
          <w:lang w:val="es-CO"/>
        </w:rPr>
        <w:t xml:space="preserve">reitera que las autoridades </w:t>
      </w:r>
      <w:r w:rsidR="00BE101A" w:rsidRPr="00E66386">
        <w:rPr>
          <w:rFonts w:asciiTheme="majorHAnsi" w:hAnsiTheme="majorHAnsi"/>
          <w:bCs/>
          <w:sz w:val="20"/>
          <w:szCs w:val="20"/>
          <w:lang w:val="es-CO"/>
        </w:rPr>
        <w:t>conduj</w:t>
      </w:r>
      <w:r w:rsidR="003B4F36" w:rsidRPr="00E66386">
        <w:rPr>
          <w:rFonts w:asciiTheme="majorHAnsi" w:hAnsiTheme="majorHAnsi"/>
          <w:bCs/>
          <w:sz w:val="20"/>
          <w:szCs w:val="20"/>
          <w:lang w:val="es-CO"/>
        </w:rPr>
        <w:t>er</w:t>
      </w:r>
      <w:r w:rsidR="00BE101A" w:rsidRPr="00E66386">
        <w:rPr>
          <w:rFonts w:asciiTheme="majorHAnsi" w:hAnsiTheme="majorHAnsi"/>
          <w:bCs/>
          <w:sz w:val="20"/>
          <w:szCs w:val="20"/>
          <w:lang w:val="es-CO"/>
        </w:rPr>
        <w:t>o</w:t>
      </w:r>
      <w:r w:rsidR="003B4F36" w:rsidRPr="00E66386">
        <w:rPr>
          <w:rFonts w:asciiTheme="majorHAnsi" w:hAnsiTheme="majorHAnsi"/>
          <w:bCs/>
          <w:sz w:val="20"/>
          <w:szCs w:val="20"/>
          <w:lang w:val="es-CO"/>
        </w:rPr>
        <w:t>n</w:t>
      </w:r>
      <w:r w:rsidR="00BE101A" w:rsidRPr="00E66386">
        <w:rPr>
          <w:rFonts w:asciiTheme="majorHAnsi" w:hAnsiTheme="majorHAnsi"/>
          <w:bCs/>
          <w:sz w:val="20"/>
          <w:szCs w:val="20"/>
          <w:lang w:val="es-CO"/>
        </w:rPr>
        <w:t xml:space="preserve"> investigaciones, juzgamiento y sanción </w:t>
      </w:r>
      <w:r w:rsidR="009E6F5D" w:rsidRPr="00E66386">
        <w:rPr>
          <w:rFonts w:asciiTheme="majorHAnsi" w:hAnsiTheme="majorHAnsi"/>
          <w:bCs/>
          <w:sz w:val="20"/>
          <w:szCs w:val="20"/>
          <w:lang w:val="es-CO"/>
        </w:rPr>
        <w:t>por los acontecimientos ocurridos</w:t>
      </w:r>
      <w:r w:rsidR="006D3D63" w:rsidRPr="00E66386">
        <w:rPr>
          <w:rFonts w:asciiTheme="majorHAnsi" w:hAnsiTheme="majorHAnsi"/>
          <w:bCs/>
          <w:sz w:val="20"/>
          <w:szCs w:val="20"/>
          <w:lang w:val="es-CO"/>
        </w:rPr>
        <w:t xml:space="preserve"> y reitera que,</w:t>
      </w:r>
      <w:r w:rsidR="00476D35" w:rsidRPr="00E66386">
        <w:rPr>
          <w:rFonts w:asciiTheme="majorHAnsi" w:hAnsiTheme="majorHAnsi"/>
          <w:bCs/>
          <w:sz w:val="20"/>
          <w:szCs w:val="20"/>
          <w:lang w:val="es-CO"/>
        </w:rPr>
        <w:t xml:space="preserve"> </w:t>
      </w:r>
      <w:r w:rsidR="006D3D63" w:rsidRPr="00E66386">
        <w:rPr>
          <w:rFonts w:asciiTheme="majorHAnsi" w:hAnsiTheme="majorHAnsi"/>
          <w:bCs/>
          <w:sz w:val="20"/>
          <w:szCs w:val="20"/>
          <w:lang w:val="es-CO"/>
        </w:rPr>
        <w:t>a</w:t>
      </w:r>
      <w:r w:rsidR="00476D35" w:rsidRPr="00E66386">
        <w:rPr>
          <w:rFonts w:asciiTheme="majorHAnsi" w:hAnsiTheme="majorHAnsi"/>
          <w:bCs/>
          <w:sz w:val="20"/>
          <w:szCs w:val="20"/>
          <w:lang w:val="es-CO"/>
        </w:rPr>
        <w:t xml:space="preserve"> nivel nacional se produjo una sentencia que dio respuesta a los requerimientos de verdad que demandaban las víctimas.</w:t>
      </w:r>
    </w:p>
    <w:p w14:paraId="7E54C511" w14:textId="77777777" w:rsidR="00B30FFC" w:rsidRDefault="00B30FFC" w:rsidP="002D5172">
      <w:pPr>
        <w:pStyle w:val="ListParagraph"/>
        <w:spacing w:before="240" w:after="240"/>
        <w:jc w:val="both"/>
        <w:rPr>
          <w:rFonts w:asciiTheme="majorHAnsi" w:hAnsiTheme="majorHAnsi"/>
          <w:b/>
          <w:bCs/>
          <w:sz w:val="20"/>
          <w:szCs w:val="20"/>
          <w:lang w:val="es-ES"/>
        </w:rPr>
      </w:pPr>
    </w:p>
    <w:p w14:paraId="51F68C92" w14:textId="6BBE4B1F" w:rsidR="003239B8" w:rsidRPr="00E66386" w:rsidRDefault="003239B8" w:rsidP="002D5172">
      <w:pPr>
        <w:pStyle w:val="ListParagraph"/>
        <w:spacing w:before="240" w:after="240"/>
        <w:jc w:val="both"/>
        <w:rPr>
          <w:rFonts w:asciiTheme="majorHAnsi" w:hAnsiTheme="majorHAnsi"/>
          <w:sz w:val="20"/>
          <w:szCs w:val="20"/>
          <w:lang w:val="es-UY"/>
        </w:rPr>
      </w:pPr>
      <w:r w:rsidRPr="00E66386">
        <w:rPr>
          <w:rFonts w:asciiTheme="majorHAnsi" w:hAnsiTheme="majorHAnsi"/>
          <w:b/>
          <w:bCs/>
          <w:sz w:val="20"/>
          <w:szCs w:val="20"/>
          <w:lang w:val="es-ES"/>
        </w:rPr>
        <w:lastRenderedPageBreak/>
        <w:t>VI.</w:t>
      </w:r>
      <w:r w:rsidRPr="00E66386">
        <w:rPr>
          <w:rFonts w:asciiTheme="majorHAnsi" w:hAnsiTheme="majorHAnsi"/>
          <w:b/>
          <w:bCs/>
          <w:sz w:val="20"/>
          <w:szCs w:val="20"/>
          <w:lang w:val="es-ES"/>
        </w:rPr>
        <w:tab/>
      </w:r>
      <w:r w:rsidR="004A6A54" w:rsidRPr="00E66386">
        <w:rPr>
          <w:rFonts w:asciiTheme="majorHAnsi" w:hAnsiTheme="majorHAnsi"/>
          <w:b/>
          <w:bCs/>
          <w:color w:val="000000" w:themeColor="text1"/>
          <w:sz w:val="20"/>
          <w:szCs w:val="20"/>
          <w:lang w:val="es-ES_tradnl"/>
        </w:rPr>
        <w:t xml:space="preserve">ANÁLISIS </w:t>
      </w:r>
      <w:r w:rsidR="004A6A54" w:rsidRPr="00E66386">
        <w:rPr>
          <w:rFonts w:asciiTheme="majorHAnsi" w:hAnsiTheme="majorHAnsi"/>
          <w:b/>
          <w:bCs/>
          <w:sz w:val="20"/>
          <w:szCs w:val="20"/>
          <w:lang w:val="es-ES_tradnl"/>
        </w:rPr>
        <w:t xml:space="preserve">DE </w:t>
      </w:r>
      <w:r w:rsidR="00C21FEF" w:rsidRPr="00E66386">
        <w:rPr>
          <w:rFonts w:asciiTheme="majorHAnsi" w:hAnsiTheme="majorHAnsi"/>
          <w:b/>
          <w:sz w:val="20"/>
          <w:szCs w:val="20"/>
          <w:lang w:val="es-ES"/>
        </w:rPr>
        <w:t>AGOTAMIENTO DE LOS RECURSOS INTERNOS Y PLAZO DE PRESENTACIÓN</w:t>
      </w:r>
      <w:r w:rsidR="00C21FEF" w:rsidRPr="00E66386">
        <w:rPr>
          <w:rFonts w:asciiTheme="majorHAnsi" w:hAnsiTheme="majorHAnsi"/>
          <w:b/>
          <w:bCs/>
          <w:sz w:val="20"/>
          <w:szCs w:val="20"/>
          <w:lang w:val="es-ES"/>
        </w:rPr>
        <w:t xml:space="preserve"> </w:t>
      </w:r>
    </w:p>
    <w:p w14:paraId="7A7BA3C3" w14:textId="501BAD47" w:rsidR="006C0ECF" w:rsidRPr="00E66386" w:rsidRDefault="00075DE7" w:rsidP="008A77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UY"/>
        </w:rPr>
        <w:t xml:space="preserve">La Comisión observa que </w:t>
      </w:r>
      <w:r w:rsidR="001220D7" w:rsidRPr="00E66386">
        <w:rPr>
          <w:rFonts w:asciiTheme="majorHAnsi" w:hAnsiTheme="majorHAnsi"/>
          <w:sz w:val="20"/>
          <w:szCs w:val="20"/>
          <w:lang w:val="es-UY"/>
        </w:rPr>
        <w:t xml:space="preserve">las organizaciones peticionarias </w:t>
      </w:r>
      <w:r w:rsidR="001220D7" w:rsidRPr="00E66386">
        <w:rPr>
          <w:rFonts w:asciiTheme="majorHAnsi" w:hAnsiTheme="majorHAnsi"/>
          <w:sz w:val="20"/>
          <w:szCs w:val="20"/>
          <w:lang w:val="es-ES"/>
        </w:rPr>
        <w:t xml:space="preserve">aducen que existe un retardo injustificado en la resolución de los </w:t>
      </w:r>
      <w:r w:rsidR="00E53AA5" w:rsidRPr="00E66386">
        <w:rPr>
          <w:rFonts w:asciiTheme="majorHAnsi" w:hAnsiTheme="majorHAnsi"/>
          <w:sz w:val="20"/>
          <w:szCs w:val="20"/>
          <w:lang w:val="es-ES"/>
        </w:rPr>
        <w:t xml:space="preserve">procesos penales seguidos por los crímenes de genocidio y contra </w:t>
      </w:r>
      <w:r w:rsidR="00351C96" w:rsidRPr="00E66386">
        <w:rPr>
          <w:rFonts w:asciiTheme="majorHAnsi" w:hAnsiTheme="majorHAnsi"/>
          <w:sz w:val="20"/>
          <w:szCs w:val="20"/>
          <w:lang w:val="es-ES"/>
        </w:rPr>
        <w:t>los deberes de humanidad</w:t>
      </w:r>
      <w:r w:rsidR="00ED5E10" w:rsidRPr="00E66386">
        <w:rPr>
          <w:rFonts w:asciiTheme="majorHAnsi" w:hAnsiTheme="majorHAnsi"/>
          <w:sz w:val="20"/>
          <w:szCs w:val="20"/>
          <w:lang w:val="es-ES"/>
        </w:rPr>
        <w:t xml:space="preserve">. </w:t>
      </w:r>
      <w:r w:rsidR="001220D7" w:rsidRPr="00E66386">
        <w:rPr>
          <w:rFonts w:asciiTheme="majorHAnsi" w:hAnsiTheme="majorHAnsi"/>
          <w:sz w:val="20"/>
          <w:szCs w:val="20"/>
          <w:lang w:val="es-ES"/>
        </w:rPr>
        <w:t xml:space="preserve">El Estado controvierte </w:t>
      </w:r>
      <w:r w:rsidR="007A6009" w:rsidRPr="00E66386">
        <w:rPr>
          <w:rFonts w:asciiTheme="majorHAnsi" w:hAnsiTheme="majorHAnsi"/>
          <w:sz w:val="20"/>
          <w:szCs w:val="20"/>
          <w:lang w:val="es-ES"/>
        </w:rPr>
        <w:t xml:space="preserve">este alegato y plantea que los peticionarios no han agotado los recursos internos, pues </w:t>
      </w:r>
      <w:r w:rsidR="001374E4" w:rsidRPr="00E66386">
        <w:rPr>
          <w:rFonts w:asciiTheme="majorHAnsi" w:hAnsiTheme="majorHAnsi"/>
          <w:sz w:val="20"/>
          <w:szCs w:val="20"/>
          <w:lang w:val="es-ES"/>
        </w:rPr>
        <w:t xml:space="preserve">considera que </w:t>
      </w:r>
      <w:r w:rsidR="007A6009" w:rsidRPr="00E66386">
        <w:rPr>
          <w:rFonts w:asciiTheme="majorHAnsi" w:hAnsiTheme="majorHAnsi"/>
          <w:sz w:val="20"/>
          <w:szCs w:val="20"/>
          <w:lang w:val="es-ES"/>
        </w:rPr>
        <w:t>se encuentran dentro del plazo razonable para su resolución debido a la complejidad del a</w:t>
      </w:r>
      <w:r w:rsidR="002D5504" w:rsidRPr="00E66386">
        <w:rPr>
          <w:rFonts w:asciiTheme="majorHAnsi" w:hAnsiTheme="majorHAnsi"/>
          <w:sz w:val="20"/>
          <w:szCs w:val="20"/>
          <w:lang w:val="es-ES"/>
        </w:rPr>
        <w:t>s</w:t>
      </w:r>
      <w:r w:rsidR="007A6009" w:rsidRPr="00E66386">
        <w:rPr>
          <w:rFonts w:asciiTheme="majorHAnsi" w:hAnsiTheme="majorHAnsi"/>
          <w:sz w:val="20"/>
          <w:szCs w:val="20"/>
          <w:lang w:val="es-ES"/>
        </w:rPr>
        <w:t>unto</w:t>
      </w:r>
      <w:r w:rsidR="00035DD3" w:rsidRPr="00E66386">
        <w:rPr>
          <w:rFonts w:asciiTheme="majorHAnsi" w:hAnsiTheme="majorHAnsi"/>
          <w:sz w:val="20"/>
          <w:szCs w:val="20"/>
          <w:lang w:val="es-ES"/>
        </w:rPr>
        <w:t xml:space="preserve"> y en atención a los recursos presentados por la defensa de los procesados</w:t>
      </w:r>
      <w:r w:rsidR="007A6009" w:rsidRPr="00E66386">
        <w:rPr>
          <w:rFonts w:asciiTheme="majorHAnsi" w:hAnsiTheme="majorHAnsi"/>
          <w:sz w:val="20"/>
          <w:szCs w:val="20"/>
          <w:lang w:val="es-ES"/>
        </w:rPr>
        <w:t>.</w:t>
      </w:r>
    </w:p>
    <w:p w14:paraId="30DED250" w14:textId="77777777" w:rsidR="00376AB1" w:rsidRPr="00E66386" w:rsidRDefault="00D35276" w:rsidP="00376A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La CIDH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E66386">
        <w:rPr>
          <w:rFonts w:asciiTheme="majorHAnsi" w:hAnsiTheme="majorHAnsi"/>
          <w:sz w:val="20"/>
          <w:szCs w:val="20"/>
          <w:vertAlign w:val="superscript"/>
          <w:lang w:val="es-ES"/>
        </w:rPr>
        <w:footnoteReference w:id="14"/>
      </w:r>
      <w:r w:rsidRPr="00E66386">
        <w:rPr>
          <w:rFonts w:asciiTheme="majorHAnsi" w:hAnsiTheme="majorHAnsi"/>
          <w:sz w:val="20"/>
          <w:szCs w:val="20"/>
          <w:lang w:val="es-ES"/>
        </w:rPr>
        <w:t>.</w:t>
      </w:r>
      <w:r w:rsidR="00B32886" w:rsidRPr="00E66386">
        <w:rPr>
          <w:rFonts w:asciiTheme="majorHAnsi" w:hAnsiTheme="majorHAnsi"/>
          <w:sz w:val="20"/>
          <w:szCs w:val="20"/>
          <w:lang w:val="es-ES"/>
        </w:rPr>
        <w:t xml:space="preserve"> </w:t>
      </w:r>
      <w:r w:rsidR="006A3F65" w:rsidRPr="00E66386">
        <w:rPr>
          <w:rFonts w:asciiTheme="majorHAnsi" w:hAnsiTheme="majorHAnsi"/>
          <w:sz w:val="20"/>
          <w:szCs w:val="20"/>
          <w:lang w:val="es-ES"/>
        </w:rPr>
        <w:t>E</w:t>
      </w:r>
      <w:r w:rsidR="0009552F" w:rsidRPr="00E66386">
        <w:rPr>
          <w:rFonts w:asciiTheme="majorHAnsi" w:hAnsiTheme="majorHAnsi"/>
          <w:sz w:val="20"/>
          <w:szCs w:val="20"/>
          <w:lang w:val="es-ES"/>
        </w:rPr>
        <w:t>n cuanto a</w:t>
      </w:r>
      <w:r w:rsidR="006431EC" w:rsidRPr="00E66386">
        <w:rPr>
          <w:rFonts w:asciiTheme="majorHAnsi" w:hAnsiTheme="majorHAnsi"/>
          <w:sz w:val="20"/>
          <w:szCs w:val="20"/>
          <w:lang w:val="es-ES"/>
        </w:rPr>
        <w:t xml:space="preserve"> la controversia </w:t>
      </w:r>
      <w:r w:rsidR="00893827" w:rsidRPr="00E66386">
        <w:rPr>
          <w:rFonts w:asciiTheme="majorHAnsi" w:hAnsiTheme="majorHAnsi"/>
          <w:sz w:val="20"/>
          <w:szCs w:val="20"/>
          <w:lang w:val="es-ES"/>
        </w:rPr>
        <w:t xml:space="preserve">acerca de </w:t>
      </w:r>
      <w:r w:rsidR="006431EC" w:rsidRPr="00E66386">
        <w:rPr>
          <w:rFonts w:asciiTheme="majorHAnsi" w:hAnsiTheme="majorHAnsi"/>
          <w:sz w:val="20"/>
          <w:szCs w:val="20"/>
          <w:lang w:val="es-ES"/>
        </w:rPr>
        <w:t xml:space="preserve">si la duración del proceso penal ha comportado un </w:t>
      </w:r>
      <w:r w:rsidR="00585794" w:rsidRPr="00E66386">
        <w:rPr>
          <w:rFonts w:asciiTheme="majorHAnsi" w:hAnsiTheme="majorHAnsi"/>
          <w:sz w:val="20"/>
          <w:szCs w:val="20"/>
          <w:lang w:val="es-ES"/>
        </w:rPr>
        <w:t xml:space="preserve">retardo injustificado en </w:t>
      </w:r>
      <w:r w:rsidR="006431EC" w:rsidRPr="00E66386">
        <w:rPr>
          <w:rFonts w:asciiTheme="majorHAnsi" w:hAnsiTheme="majorHAnsi"/>
          <w:sz w:val="20"/>
          <w:szCs w:val="20"/>
          <w:lang w:val="es-ES"/>
        </w:rPr>
        <w:t xml:space="preserve">los términos del artículo 46.1.c) de la Convención, </w:t>
      </w:r>
      <w:r w:rsidR="008711EE" w:rsidRPr="00E66386">
        <w:rPr>
          <w:rFonts w:asciiTheme="majorHAnsi" w:hAnsiTheme="majorHAnsi"/>
          <w:sz w:val="20"/>
          <w:szCs w:val="20"/>
          <w:lang w:val="es-ES"/>
        </w:rPr>
        <w:t>l</w:t>
      </w:r>
      <w:r w:rsidR="00B70277" w:rsidRPr="00E66386">
        <w:rPr>
          <w:rFonts w:asciiTheme="majorHAnsi" w:hAnsiTheme="majorHAnsi"/>
          <w:sz w:val="20"/>
          <w:szCs w:val="20"/>
          <w:lang w:val="es-ES"/>
        </w:rPr>
        <w:t>a C</w:t>
      </w:r>
      <w:r w:rsidR="00616146" w:rsidRPr="00E66386">
        <w:rPr>
          <w:rFonts w:asciiTheme="majorHAnsi" w:hAnsiTheme="majorHAnsi"/>
          <w:sz w:val="20"/>
          <w:szCs w:val="20"/>
          <w:lang w:val="es-ES"/>
        </w:rPr>
        <w:t xml:space="preserve">omisión </w:t>
      </w:r>
      <w:r w:rsidR="00585E8A" w:rsidRPr="00E66386">
        <w:rPr>
          <w:rFonts w:asciiTheme="majorHAnsi" w:hAnsiTheme="majorHAnsi"/>
          <w:sz w:val="20"/>
          <w:szCs w:val="20"/>
          <w:lang w:val="es-ES"/>
        </w:rPr>
        <w:t xml:space="preserve">reitera que </w:t>
      </w:r>
      <w:r w:rsidR="00570A3B" w:rsidRPr="00E66386">
        <w:rPr>
          <w:rFonts w:asciiTheme="majorHAnsi" w:hAnsiTheme="majorHAnsi"/>
          <w:sz w:val="20"/>
          <w:szCs w:val="20"/>
          <w:lang w:val="es-CO"/>
        </w:rPr>
        <w:t xml:space="preserve">el artículo 46.2 de la Convención Americana, por su naturaleza y objeto, es una norma con contenido autónomo </w:t>
      </w:r>
      <w:r w:rsidR="00570A3B" w:rsidRPr="00E66386">
        <w:rPr>
          <w:rFonts w:asciiTheme="majorHAnsi" w:hAnsiTheme="majorHAnsi"/>
          <w:i/>
          <w:iCs/>
          <w:sz w:val="20"/>
          <w:szCs w:val="20"/>
          <w:lang w:val="es-CO"/>
        </w:rPr>
        <w:t>vis a vis</w:t>
      </w:r>
      <w:r w:rsidR="00570A3B" w:rsidRPr="00E66386">
        <w:rPr>
          <w:rFonts w:asciiTheme="majorHAnsi" w:hAnsiTheme="majorHAnsi"/>
          <w:sz w:val="20"/>
          <w:szCs w:val="20"/>
          <w:lang w:val="es-CO"/>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00585E8A" w:rsidRPr="00E66386">
        <w:rPr>
          <w:rStyle w:val="FootnoteReference"/>
          <w:rFonts w:asciiTheme="majorHAnsi" w:hAnsiTheme="majorHAnsi"/>
          <w:sz w:val="20"/>
          <w:szCs w:val="20"/>
          <w:lang w:val="es-CO"/>
        </w:rPr>
        <w:footnoteReference w:id="15"/>
      </w:r>
      <w:r w:rsidR="00570A3B" w:rsidRPr="00E66386">
        <w:rPr>
          <w:rFonts w:asciiTheme="majorHAnsi" w:hAnsiTheme="majorHAnsi"/>
          <w:sz w:val="20"/>
          <w:szCs w:val="20"/>
          <w:lang w:val="es-CO"/>
        </w:rPr>
        <w:t>.</w:t>
      </w:r>
    </w:p>
    <w:p w14:paraId="23F8161C" w14:textId="27F303A0" w:rsidR="0064147C" w:rsidRPr="00E66386" w:rsidRDefault="0064147C" w:rsidP="00376AB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_tradnl"/>
        </w:rPr>
        <w:t xml:space="preserve">La CIDH también ha subrayado que no existen disposiciones convencionales o reglamentarias que regulen de modo específico el lapso de tiempo que constituye </w:t>
      </w:r>
      <w:r w:rsidR="002961C7" w:rsidRPr="00E66386">
        <w:rPr>
          <w:rFonts w:asciiTheme="majorHAnsi" w:hAnsiTheme="majorHAnsi"/>
          <w:sz w:val="20"/>
          <w:szCs w:val="20"/>
          <w:lang w:val="es-ES_tradnl"/>
        </w:rPr>
        <w:t xml:space="preserve">un </w:t>
      </w:r>
      <w:r w:rsidRPr="00E66386">
        <w:rPr>
          <w:rFonts w:asciiTheme="majorHAnsi" w:hAnsiTheme="majorHAnsi"/>
          <w:sz w:val="20"/>
          <w:szCs w:val="20"/>
          <w:lang w:val="es-ES_tradnl"/>
        </w:rPr>
        <w:t>retardo injustificado, por lo cual la Comisión evalúa caso por caso para determinar si se configura dicho retardo</w:t>
      </w:r>
      <w:r w:rsidRPr="00E66386">
        <w:rPr>
          <w:rStyle w:val="FootnoteReference"/>
          <w:rFonts w:asciiTheme="majorHAnsi" w:hAnsiTheme="majorHAnsi"/>
          <w:sz w:val="20"/>
          <w:szCs w:val="20"/>
          <w:lang w:val="es-ES_tradnl"/>
        </w:rPr>
        <w:footnoteReference w:id="16"/>
      </w:r>
      <w:r w:rsidRPr="00E66386">
        <w:rPr>
          <w:rFonts w:asciiTheme="majorHAnsi" w:hAnsiTheme="majorHAnsi"/>
          <w:sz w:val="20"/>
          <w:szCs w:val="20"/>
          <w:lang w:val="es-ES_tradnl"/>
        </w:rPr>
        <w:t xml:space="preserve">. En esta línea, </w:t>
      </w:r>
      <w:r w:rsidRPr="00E66386">
        <w:rPr>
          <w:rFonts w:asciiTheme="majorHAnsi" w:hAnsiTheme="majorHAnsi"/>
          <w:sz w:val="20"/>
          <w:szCs w:val="20"/>
          <w:lang w:val="es-ES"/>
        </w:rPr>
        <w:t>la Corte Interamericana ha establecido como principio rector del análisis del eventual retardo injustificado como excepción a la regla del agotamiento de los recursos internos, que “</w:t>
      </w:r>
      <w:r w:rsidRPr="00E66386">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E66386">
        <w:rPr>
          <w:rFonts w:asciiTheme="majorHAnsi" w:hAnsiTheme="majorHAnsi"/>
          <w:sz w:val="20"/>
          <w:szCs w:val="20"/>
          <w:lang w:val="es-ES"/>
        </w:rPr>
        <w:t>”</w:t>
      </w:r>
      <w:r w:rsidRPr="00E66386">
        <w:rPr>
          <w:rStyle w:val="FootnoteReference"/>
          <w:rFonts w:asciiTheme="majorHAnsi" w:hAnsiTheme="majorHAnsi"/>
          <w:sz w:val="20"/>
          <w:szCs w:val="20"/>
          <w:lang w:val="es-ES"/>
        </w:rPr>
        <w:footnoteReference w:id="17"/>
      </w:r>
      <w:r w:rsidRPr="00E66386">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78BEF704" w14:textId="301C1720" w:rsidR="002D5504" w:rsidRPr="00E66386" w:rsidRDefault="00F4771D" w:rsidP="0094478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A este respecto, l</w:t>
      </w:r>
      <w:r w:rsidR="005D52C3" w:rsidRPr="00E66386">
        <w:rPr>
          <w:rFonts w:asciiTheme="majorHAnsi" w:hAnsiTheme="majorHAnsi"/>
          <w:sz w:val="20"/>
          <w:szCs w:val="20"/>
          <w:lang w:val="es-ES"/>
        </w:rPr>
        <w:t xml:space="preserve">a Comisión </w:t>
      </w:r>
      <w:r w:rsidRPr="00E66386">
        <w:rPr>
          <w:rFonts w:asciiTheme="majorHAnsi" w:hAnsiTheme="majorHAnsi"/>
          <w:sz w:val="20"/>
          <w:szCs w:val="20"/>
          <w:lang w:val="es-ES"/>
        </w:rPr>
        <w:t>advierte que e</w:t>
      </w:r>
      <w:r w:rsidR="001314A5" w:rsidRPr="00E66386">
        <w:rPr>
          <w:rFonts w:asciiTheme="majorHAnsi" w:hAnsiTheme="majorHAnsi"/>
          <w:sz w:val="20"/>
          <w:szCs w:val="20"/>
          <w:lang w:val="es-ES"/>
        </w:rPr>
        <w:t xml:space="preserve">l Estado </w:t>
      </w:r>
      <w:r w:rsidR="00764A9A" w:rsidRPr="00E66386">
        <w:rPr>
          <w:rFonts w:asciiTheme="majorHAnsi" w:hAnsiTheme="majorHAnsi"/>
          <w:sz w:val="20"/>
          <w:szCs w:val="20"/>
          <w:lang w:val="es-ES"/>
        </w:rPr>
        <w:t xml:space="preserve">guatemalteco </w:t>
      </w:r>
      <w:r w:rsidR="001314A5" w:rsidRPr="00E66386">
        <w:rPr>
          <w:rFonts w:asciiTheme="majorHAnsi" w:hAnsiTheme="majorHAnsi"/>
          <w:sz w:val="20"/>
          <w:szCs w:val="20"/>
          <w:lang w:val="es-ES"/>
        </w:rPr>
        <w:t>plantea dos hipótesis contradictorias</w:t>
      </w:r>
      <w:r w:rsidR="00B976E0" w:rsidRPr="00E66386">
        <w:rPr>
          <w:rFonts w:asciiTheme="majorHAnsi" w:hAnsiTheme="majorHAnsi"/>
          <w:sz w:val="20"/>
          <w:szCs w:val="20"/>
          <w:lang w:val="es-ES"/>
        </w:rPr>
        <w:t xml:space="preserve"> sobre el agotamiento de los recursos, ya que, por un lado, estima que </w:t>
      </w:r>
      <w:r w:rsidR="001314A5" w:rsidRPr="00E66386">
        <w:rPr>
          <w:rFonts w:asciiTheme="majorHAnsi" w:hAnsiTheme="majorHAnsi"/>
          <w:sz w:val="20"/>
          <w:szCs w:val="20"/>
          <w:lang w:val="es-ES"/>
        </w:rPr>
        <w:t xml:space="preserve">dio respuesta a las </w:t>
      </w:r>
      <w:r w:rsidR="00B976E0" w:rsidRPr="00E66386">
        <w:rPr>
          <w:rFonts w:asciiTheme="majorHAnsi" w:hAnsiTheme="majorHAnsi"/>
          <w:sz w:val="20"/>
          <w:szCs w:val="20"/>
          <w:lang w:val="es-ES"/>
        </w:rPr>
        <w:t xml:space="preserve">presuntas </w:t>
      </w:r>
      <w:r w:rsidR="001314A5" w:rsidRPr="00E66386">
        <w:rPr>
          <w:rFonts w:asciiTheme="majorHAnsi" w:hAnsiTheme="majorHAnsi"/>
          <w:sz w:val="20"/>
          <w:szCs w:val="20"/>
          <w:lang w:val="es-ES"/>
        </w:rPr>
        <w:t>víctimas</w:t>
      </w:r>
      <w:r w:rsidR="00B976E0" w:rsidRPr="00E66386">
        <w:rPr>
          <w:rFonts w:asciiTheme="majorHAnsi" w:hAnsiTheme="majorHAnsi"/>
          <w:sz w:val="20"/>
          <w:szCs w:val="20"/>
          <w:lang w:val="es-ES"/>
        </w:rPr>
        <w:t xml:space="preserve"> a través de las sentencias proferidas en 2013 y 2018;</w:t>
      </w:r>
      <w:r w:rsidR="001314A5" w:rsidRPr="00E66386">
        <w:rPr>
          <w:rFonts w:asciiTheme="majorHAnsi" w:hAnsiTheme="majorHAnsi"/>
          <w:sz w:val="20"/>
          <w:szCs w:val="20"/>
          <w:lang w:val="es-ES"/>
        </w:rPr>
        <w:t xml:space="preserve"> </w:t>
      </w:r>
      <w:r w:rsidR="00D27759" w:rsidRPr="00E66386">
        <w:rPr>
          <w:rFonts w:asciiTheme="majorHAnsi" w:hAnsiTheme="majorHAnsi"/>
          <w:sz w:val="20"/>
          <w:szCs w:val="20"/>
          <w:lang w:val="es-ES"/>
        </w:rPr>
        <w:t>y</w:t>
      </w:r>
      <w:r w:rsidR="001314A5" w:rsidRPr="00E66386">
        <w:rPr>
          <w:rFonts w:asciiTheme="majorHAnsi" w:hAnsiTheme="majorHAnsi"/>
          <w:sz w:val="20"/>
          <w:szCs w:val="20"/>
          <w:lang w:val="es-ES"/>
        </w:rPr>
        <w:t xml:space="preserve"> </w:t>
      </w:r>
      <w:r w:rsidR="002B063C" w:rsidRPr="00E66386">
        <w:rPr>
          <w:rFonts w:asciiTheme="majorHAnsi" w:hAnsiTheme="majorHAnsi"/>
          <w:sz w:val="20"/>
          <w:szCs w:val="20"/>
          <w:lang w:val="es-ES"/>
        </w:rPr>
        <w:t>por otro</w:t>
      </w:r>
      <w:r w:rsidR="00764A9A" w:rsidRPr="00E66386">
        <w:rPr>
          <w:rFonts w:asciiTheme="majorHAnsi" w:hAnsiTheme="majorHAnsi"/>
          <w:sz w:val="20"/>
          <w:szCs w:val="20"/>
          <w:lang w:val="es-ES"/>
        </w:rPr>
        <w:t>,</w:t>
      </w:r>
      <w:r w:rsidR="002B063C" w:rsidRPr="00E66386">
        <w:rPr>
          <w:rFonts w:asciiTheme="majorHAnsi" w:hAnsiTheme="majorHAnsi"/>
          <w:sz w:val="20"/>
          <w:szCs w:val="20"/>
          <w:lang w:val="es-ES"/>
        </w:rPr>
        <w:t xml:space="preserve"> alega que </w:t>
      </w:r>
      <w:r w:rsidR="00A42EDE" w:rsidRPr="00E66386">
        <w:rPr>
          <w:rFonts w:asciiTheme="majorHAnsi" w:hAnsiTheme="majorHAnsi"/>
          <w:sz w:val="20"/>
          <w:szCs w:val="20"/>
          <w:lang w:val="es-ES"/>
        </w:rPr>
        <w:t xml:space="preserve">la parte peticionaria </w:t>
      </w:r>
      <w:r w:rsidR="002B063C" w:rsidRPr="00E66386">
        <w:rPr>
          <w:rFonts w:asciiTheme="majorHAnsi" w:hAnsiTheme="majorHAnsi"/>
          <w:sz w:val="20"/>
          <w:szCs w:val="20"/>
          <w:lang w:val="es-ES"/>
        </w:rPr>
        <w:t xml:space="preserve">no </w:t>
      </w:r>
      <w:r w:rsidR="001314A5" w:rsidRPr="00E66386">
        <w:rPr>
          <w:rFonts w:asciiTheme="majorHAnsi" w:hAnsiTheme="majorHAnsi"/>
          <w:sz w:val="20"/>
          <w:szCs w:val="20"/>
          <w:lang w:val="es-ES"/>
        </w:rPr>
        <w:t>ha agotado los recursos internos</w:t>
      </w:r>
      <w:r w:rsidR="002B063C" w:rsidRPr="00E66386">
        <w:rPr>
          <w:rFonts w:asciiTheme="majorHAnsi" w:hAnsiTheme="majorHAnsi"/>
          <w:sz w:val="20"/>
          <w:szCs w:val="20"/>
          <w:lang w:val="es-ES"/>
        </w:rPr>
        <w:t xml:space="preserve"> </w:t>
      </w:r>
      <w:r w:rsidR="00253826" w:rsidRPr="00E66386">
        <w:rPr>
          <w:rFonts w:asciiTheme="majorHAnsi" w:hAnsiTheme="majorHAnsi"/>
          <w:sz w:val="20"/>
          <w:szCs w:val="20"/>
          <w:lang w:val="es-ES"/>
        </w:rPr>
        <w:t>por</w:t>
      </w:r>
      <w:r w:rsidR="002B063C" w:rsidRPr="00E66386">
        <w:rPr>
          <w:rFonts w:asciiTheme="majorHAnsi" w:hAnsiTheme="majorHAnsi"/>
          <w:sz w:val="20"/>
          <w:szCs w:val="20"/>
          <w:lang w:val="es-ES"/>
        </w:rPr>
        <w:t>que existen otros procesos e investigaciones en curso</w:t>
      </w:r>
      <w:r w:rsidR="001314A5" w:rsidRPr="00E66386">
        <w:rPr>
          <w:rFonts w:asciiTheme="majorHAnsi" w:hAnsiTheme="majorHAnsi"/>
          <w:sz w:val="20"/>
          <w:szCs w:val="20"/>
          <w:lang w:val="es-ES"/>
        </w:rPr>
        <w:t>.</w:t>
      </w:r>
      <w:r w:rsidR="002E6220" w:rsidRPr="00E66386">
        <w:rPr>
          <w:rFonts w:asciiTheme="majorHAnsi" w:hAnsiTheme="majorHAnsi"/>
          <w:sz w:val="20"/>
          <w:szCs w:val="20"/>
          <w:lang w:val="es-ES"/>
        </w:rPr>
        <w:t xml:space="preserve"> </w:t>
      </w:r>
      <w:r w:rsidR="00125571" w:rsidRPr="00E66386">
        <w:rPr>
          <w:rFonts w:asciiTheme="majorHAnsi" w:hAnsiTheme="majorHAnsi"/>
          <w:sz w:val="20"/>
          <w:szCs w:val="20"/>
          <w:lang w:val="es-ES"/>
        </w:rPr>
        <w:t>L</w:t>
      </w:r>
      <w:r w:rsidR="002E6220" w:rsidRPr="00E66386">
        <w:rPr>
          <w:rFonts w:asciiTheme="majorHAnsi" w:hAnsiTheme="majorHAnsi"/>
          <w:sz w:val="20"/>
          <w:szCs w:val="20"/>
          <w:lang w:val="es-ES"/>
        </w:rPr>
        <w:t xml:space="preserve">a </w:t>
      </w:r>
      <w:r w:rsidR="00620461" w:rsidRPr="00E66386">
        <w:rPr>
          <w:rFonts w:asciiTheme="majorHAnsi" w:hAnsiTheme="majorHAnsi"/>
          <w:sz w:val="20"/>
          <w:szCs w:val="20"/>
          <w:lang w:val="es-ES"/>
        </w:rPr>
        <w:t xml:space="preserve">última información con la que cuenta la </w:t>
      </w:r>
      <w:r w:rsidR="002E6220" w:rsidRPr="00E66386">
        <w:rPr>
          <w:rFonts w:asciiTheme="majorHAnsi" w:hAnsiTheme="majorHAnsi"/>
          <w:sz w:val="20"/>
          <w:szCs w:val="20"/>
          <w:lang w:val="es-ES"/>
        </w:rPr>
        <w:t xml:space="preserve">CIDH </w:t>
      </w:r>
      <w:r w:rsidR="00620461" w:rsidRPr="00E66386">
        <w:rPr>
          <w:rFonts w:asciiTheme="majorHAnsi" w:hAnsiTheme="majorHAnsi"/>
          <w:sz w:val="20"/>
          <w:szCs w:val="20"/>
          <w:lang w:val="es-ES"/>
        </w:rPr>
        <w:t xml:space="preserve">sobre el citado juicio </w:t>
      </w:r>
      <w:r w:rsidR="003F5B2D" w:rsidRPr="00E66386">
        <w:rPr>
          <w:rFonts w:asciiTheme="majorHAnsi" w:hAnsiTheme="majorHAnsi"/>
          <w:sz w:val="20"/>
          <w:szCs w:val="20"/>
          <w:lang w:val="es-ES"/>
        </w:rPr>
        <w:t xml:space="preserve">seguido contra los señores Ríos Montt </w:t>
      </w:r>
      <w:r w:rsidR="0032222D" w:rsidRPr="00E66386">
        <w:rPr>
          <w:rFonts w:asciiTheme="majorHAnsi" w:hAnsiTheme="majorHAnsi"/>
          <w:sz w:val="20"/>
          <w:szCs w:val="20"/>
          <w:lang w:val="es-ES"/>
        </w:rPr>
        <w:t xml:space="preserve">y </w:t>
      </w:r>
      <w:r w:rsidR="0032222D" w:rsidRPr="00E66386">
        <w:rPr>
          <w:rFonts w:asciiTheme="majorHAnsi" w:hAnsiTheme="majorHAnsi"/>
          <w:bCs/>
          <w:sz w:val="20"/>
          <w:szCs w:val="20"/>
          <w:lang w:val="es-CO"/>
        </w:rPr>
        <w:t xml:space="preserve">Rodríguez Sánchez </w:t>
      </w:r>
      <w:r w:rsidR="007E0E81" w:rsidRPr="00E66386">
        <w:rPr>
          <w:rFonts w:asciiTheme="majorHAnsi" w:hAnsiTheme="majorHAnsi"/>
          <w:bCs/>
          <w:sz w:val="20"/>
          <w:szCs w:val="20"/>
          <w:lang w:val="es-CO"/>
        </w:rPr>
        <w:t xml:space="preserve">es que </w:t>
      </w:r>
      <w:r w:rsidR="0032222D" w:rsidRPr="00E66386">
        <w:rPr>
          <w:rFonts w:asciiTheme="majorHAnsi" w:hAnsiTheme="majorHAnsi"/>
          <w:bCs/>
          <w:sz w:val="20"/>
          <w:szCs w:val="20"/>
          <w:lang w:val="es-CO"/>
        </w:rPr>
        <w:t>éste se encuentra pendiente de fallo del recurso de casación interpuesto por el Ministerio Público.</w:t>
      </w:r>
      <w:r w:rsidR="0032222D" w:rsidRPr="00E66386">
        <w:rPr>
          <w:rFonts w:asciiTheme="majorHAnsi" w:hAnsiTheme="majorHAnsi"/>
          <w:sz w:val="20"/>
          <w:szCs w:val="20"/>
          <w:lang w:val="es-ES"/>
        </w:rPr>
        <w:t xml:space="preserve"> </w:t>
      </w:r>
      <w:r w:rsidR="00CC58B0" w:rsidRPr="00E66386">
        <w:rPr>
          <w:rFonts w:asciiTheme="majorHAnsi" w:hAnsiTheme="majorHAnsi"/>
          <w:sz w:val="20"/>
          <w:szCs w:val="20"/>
          <w:lang w:val="es-ES"/>
        </w:rPr>
        <w:t xml:space="preserve">Por ello, la Comisión no puede </w:t>
      </w:r>
      <w:r w:rsidR="007E0E81" w:rsidRPr="00E66386">
        <w:rPr>
          <w:rFonts w:asciiTheme="majorHAnsi" w:hAnsiTheme="majorHAnsi"/>
          <w:sz w:val="20"/>
          <w:szCs w:val="20"/>
          <w:lang w:val="es-ES"/>
        </w:rPr>
        <w:t>dar por agotado dicho proceso penal.</w:t>
      </w:r>
      <w:r w:rsidR="005E674C" w:rsidRPr="00E66386">
        <w:rPr>
          <w:rFonts w:asciiTheme="majorHAnsi" w:hAnsiTheme="majorHAnsi"/>
          <w:sz w:val="20"/>
          <w:szCs w:val="20"/>
          <w:lang w:val="es-ES"/>
        </w:rPr>
        <w:t xml:space="preserve"> </w:t>
      </w:r>
      <w:r w:rsidR="00D94E62" w:rsidRPr="00E66386">
        <w:rPr>
          <w:rFonts w:asciiTheme="majorHAnsi" w:hAnsiTheme="majorHAnsi"/>
          <w:sz w:val="20"/>
          <w:szCs w:val="20"/>
          <w:lang w:val="es-ES"/>
        </w:rPr>
        <w:t xml:space="preserve">Ahora bien, </w:t>
      </w:r>
      <w:r w:rsidR="00616146" w:rsidRPr="00E66386">
        <w:rPr>
          <w:rFonts w:asciiTheme="majorHAnsi" w:hAnsiTheme="majorHAnsi"/>
          <w:sz w:val="20"/>
          <w:szCs w:val="20"/>
          <w:lang w:val="es-ES"/>
        </w:rPr>
        <w:t>el Estado atribuye la demora en la resolución de los procesos</w:t>
      </w:r>
      <w:r w:rsidR="003628AB" w:rsidRPr="00E66386">
        <w:rPr>
          <w:rFonts w:asciiTheme="majorHAnsi" w:hAnsiTheme="majorHAnsi"/>
          <w:sz w:val="20"/>
          <w:szCs w:val="20"/>
          <w:lang w:val="es-ES"/>
        </w:rPr>
        <w:t xml:space="preserve"> penales</w:t>
      </w:r>
      <w:r w:rsidR="00616146" w:rsidRPr="00E66386">
        <w:rPr>
          <w:rFonts w:asciiTheme="majorHAnsi" w:hAnsiTheme="majorHAnsi"/>
          <w:sz w:val="20"/>
          <w:szCs w:val="20"/>
          <w:lang w:val="es-ES"/>
        </w:rPr>
        <w:t xml:space="preserve"> a la complejidad </w:t>
      </w:r>
      <w:r w:rsidR="008D3121" w:rsidRPr="00E66386">
        <w:rPr>
          <w:rFonts w:asciiTheme="majorHAnsi" w:hAnsiTheme="majorHAnsi"/>
          <w:sz w:val="20"/>
          <w:szCs w:val="20"/>
          <w:lang w:val="es-ES"/>
        </w:rPr>
        <w:t xml:space="preserve">del </w:t>
      </w:r>
      <w:r w:rsidR="000811EC" w:rsidRPr="00E66386">
        <w:rPr>
          <w:rFonts w:asciiTheme="majorHAnsi" w:hAnsiTheme="majorHAnsi"/>
          <w:sz w:val="20"/>
          <w:szCs w:val="20"/>
          <w:lang w:val="es-ES"/>
        </w:rPr>
        <w:t xml:space="preserve">caso </w:t>
      </w:r>
      <w:r w:rsidR="008D3121" w:rsidRPr="00E66386">
        <w:rPr>
          <w:rFonts w:asciiTheme="majorHAnsi" w:hAnsiTheme="majorHAnsi"/>
          <w:sz w:val="20"/>
          <w:szCs w:val="20"/>
          <w:lang w:val="es-ES"/>
        </w:rPr>
        <w:t>y a los recursos presentados por los acusados</w:t>
      </w:r>
      <w:r w:rsidR="001D1F5C" w:rsidRPr="00E66386">
        <w:rPr>
          <w:rFonts w:asciiTheme="majorHAnsi" w:hAnsiTheme="majorHAnsi"/>
          <w:sz w:val="20"/>
          <w:szCs w:val="20"/>
          <w:lang w:val="es-ES"/>
        </w:rPr>
        <w:t>.</w:t>
      </w:r>
      <w:r w:rsidR="008D3121" w:rsidRPr="00E66386">
        <w:rPr>
          <w:rFonts w:asciiTheme="majorHAnsi" w:hAnsiTheme="majorHAnsi"/>
          <w:sz w:val="20"/>
          <w:szCs w:val="20"/>
          <w:lang w:val="es-ES"/>
        </w:rPr>
        <w:t xml:space="preserve"> </w:t>
      </w:r>
      <w:r w:rsidR="001D1F5C" w:rsidRPr="00E66386">
        <w:rPr>
          <w:rFonts w:asciiTheme="majorHAnsi" w:hAnsiTheme="majorHAnsi"/>
          <w:sz w:val="20"/>
          <w:szCs w:val="20"/>
          <w:lang w:val="es-ES"/>
        </w:rPr>
        <w:t>S</w:t>
      </w:r>
      <w:r w:rsidR="00F265C6" w:rsidRPr="00E66386">
        <w:rPr>
          <w:rFonts w:asciiTheme="majorHAnsi" w:hAnsiTheme="majorHAnsi"/>
          <w:sz w:val="20"/>
          <w:szCs w:val="20"/>
          <w:lang w:val="es-ES"/>
        </w:rPr>
        <w:t xml:space="preserve">in embargo, </w:t>
      </w:r>
      <w:r w:rsidR="00332753" w:rsidRPr="00E66386">
        <w:rPr>
          <w:rFonts w:asciiTheme="majorHAnsi" w:hAnsiTheme="majorHAnsi"/>
          <w:sz w:val="20"/>
          <w:szCs w:val="20"/>
          <w:lang w:val="es-ES"/>
        </w:rPr>
        <w:t>lo cierto es que el presente caso ha sido ampliamente documentado, tanto por la CEH como por el Ministerio Público y los tribunales internos</w:t>
      </w:r>
      <w:r w:rsidR="004A6692" w:rsidRPr="00E66386">
        <w:rPr>
          <w:rFonts w:asciiTheme="majorHAnsi" w:hAnsiTheme="majorHAnsi"/>
          <w:sz w:val="20"/>
          <w:szCs w:val="20"/>
          <w:lang w:val="es-ES"/>
        </w:rPr>
        <w:t xml:space="preserve">, tanto así que </w:t>
      </w:r>
      <w:r w:rsidR="00AC3828" w:rsidRPr="00E66386">
        <w:rPr>
          <w:rFonts w:asciiTheme="majorHAnsi" w:hAnsiTheme="majorHAnsi"/>
          <w:sz w:val="20"/>
          <w:szCs w:val="20"/>
          <w:lang w:val="es-ES"/>
        </w:rPr>
        <w:t>para</w:t>
      </w:r>
      <w:r w:rsidR="00AF1F2B" w:rsidRPr="00E66386">
        <w:rPr>
          <w:rFonts w:asciiTheme="majorHAnsi" w:hAnsiTheme="majorHAnsi"/>
          <w:sz w:val="20"/>
          <w:szCs w:val="20"/>
          <w:lang w:val="es-ES"/>
        </w:rPr>
        <w:t xml:space="preserve"> </w:t>
      </w:r>
      <w:r w:rsidR="004A6692" w:rsidRPr="00E66386">
        <w:rPr>
          <w:rFonts w:asciiTheme="majorHAnsi" w:hAnsiTheme="majorHAnsi"/>
          <w:sz w:val="20"/>
          <w:szCs w:val="20"/>
          <w:lang w:val="es-ES"/>
        </w:rPr>
        <w:t xml:space="preserve">el </w:t>
      </w:r>
      <w:r w:rsidR="00AF1F2B" w:rsidRPr="00E66386">
        <w:rPr>
          <w:rFonts w:asciiTheme="majorHAnsi" w:hAnsiTheme="majorHAnsi"/>
          <w:sz w:val="20"/>
          <w:szCs w:val="20"/>
          <w:lang w:val="es-ES"/>
        </w:rPr>
        <w:t xml:space="preserve">2013 el Tribunal de Mayor Riesgo A consideró </w:t>
      </w:r>
      <w:r w:rsidR="004B0384" w:rsidRPr="00E66386">
        <w:rPr>
          <w:rFonts w:asciiTheme="majorHAnsi" w:hAnsiTheme="majorHAnsi"/>
          <w:sz w:val="20"/>
          <w:szCs w:val="20"/>
          <w:lang w:val="es-ES"/>
        </w:rPr>
        <w:t xml:space="preserve">que las pruebas recabadas eran suficientes para emitir la única sentencia condenatoria que se ha proferido en </w:t>
      </w:r>
      <w:r w:rsidR="0064147C" w:rsidRPr="00E66386">
        <w:rPr>
          <w:rFonts w:asciiTheme="majorHAnsi" w:hAnsiTheme="majorHAnsi"/>
          <w:sz w:val="20"/>
          <w:szCs w:val="20"/>
          <w:lang w:val="es-ES"/>
        </w:rPr>
        <w:t>cuarenta</w:t>
      </w:r>
      <w:r w:rsidR="004B0384" w:rsidRPr="00E66386">
        <w:rPr>
          <w:rFonts w:asciiTheme="majorHAnsi" w:hAnsiTheme="majorHAnsi"/>
          <w:sz w:val="20"/>
          <w:szCs w:val="20"/>
          <w:lang w:val="es-ES"/>
        </w:rPr>
        <w:t xml:space="preserve"> años.</w:t>
      </w:r>
    </w:p>
    <w:p w14:paraId="0F7365F3" w14:textId="1F10162E" w:rsidR="00DB3983" w:rsidRPr="00E66386" w:rsidRDefault="00C35CF8" w:rsidP="008A77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En esa medida</w:t>
      </w:r>
      <w:r w:rsidR="00075DF2" w:rsidRPr="00E66386">
        <w:rPr>
          <w:rFonts w:asciiTheme="majorHAnsi" w:hAnsiTheme="majorHAnsi"/>
          <w:sz w:val="20"/>
          <w:szCs w:val="20"/>
          <w:lang w:val="es-ES"/>
        </w:rPr>
        <w:t xml:space="preserve">, la Comisión </w:t>
      </w:r>
      <w:r w:rsidR="00A7089C" w:rsidRPr="00E66386">
        <w:rPr>
          <w:rFonts w:asciiTheme="majorHAnsi" w:hAnsiTheme="majorHAnsi"/>
          <w:sz w:val="20"/>
          <w:szCs w:val="20"/>
          <w:lang w:val="es-ES"/>
        </w:rPr>
        <w:t xml:space="preserve">enfatiza que el Estado </w:t>
      </w:r>
      <w:r w:rsidR="005A0206" w:rsidRPr="00E66386">
        <w:rPr>
          <w:rFonts w:asciiTheme="majorHAnsi" w:hAnsiTheme="majorHAnsi"/>
          <w:sz w:val="20"/>
          <w:szCs w:val="20"/>
          <w:lang w:val="es-ES"/>
        </w:rPr>
        <w:t xml:space="preserve">no debe escudarse en </w:t>
      </w:r>
      <w:r w:rsidR="005269A9" w:rsidRPr="00E66386">
        <w:rPr>
          <w:rFonts w:asciiTheme="majorHAnsi" w:hAnsiTheme="majorHAnsi"/>
          <w:sz w:val="20"/>
          <w:szCs w:val="20"/>
          <w:lang w:val="es-ES"/>
        </w:rPr>
        <w:t>la observancia de</w:t>
      </w:r>
      <w:r w:rsidR="00A86358" w:rsidRPr="00E66386">
        <w:rPr>
          <w:rFonts w:asciiTheme="majorHAnsi" w:hAnsiTheme="majorHAnsi"/>
          <w:sz w:val="20"/>
          <w:szCs w:val="20"/>
          <w:lang w:val="es-ES"/>
        </w:rPr>
        <w:t xml:space="preserve">l debido proceso </w:t>
      </w:r>
      <w:r w:rsidR="00E82ED1" w:rsidRPr="00E66386">
        <w:rPr>
          <w:rFonts w:asciiTheme="majorHAnsi" w:hAnsiTheme="majorHAnsi"/>
          <w:sz w:val="20"/>
          <w:szCs w:val="20"/>
          <w:lang w:val="es-ES"/>
        </w:rPr>
        <w:t xml:space="preserve">ante el abuso en el ejercicio de recursos </w:t>
      </w:r>
      <w:r w:rsidR="00492FE9" w:rsidRPr="00E66386">
        <w:rPr>
          <w:rFonts w:asciiTheme="majorHAnsi" w:hAnsiTheme="majorHAnsi"/>
          <w:sz w:val="20"/>
          <w:szCs w:val="20"/>
          <w:lang w:val="es-ES"/>
        </w:rPr>
        <w:t xml:space="preserve">temerarios </w:t>
      </w:r>
      <w:r w:rsidR="00E82ED1" w:rsidRPr="00E66386">
        <w:rPr>
          <w:rFonts w:asciiTheme="majorHAnsi" w:hAnsiTheme="majorHAnsi"/>
          <w:sz w:val="20"/>
          <w:szCs w:val="20"/>
          <w:lang w:val="es-ES"/>
        </w:rPr>
        <w:t xml:space="preserve">tendientes a entorpecer el </w:t>
      </w:r>
      <w:r w:rsidR="00492FE9" w:rsidRPr="00E66386">
        <w:rPr>
          <w:rFonts w:asciiTheme="majorHAnsi" w:hAnsiTheme="majorHAnsi"/>
          <w:sz w:val="20"/>
          <w:szCs w:val="20"/>
          <w:lang w:val="es-ES"/>
        </w:rPr>
        <w:t>normal desarrollo de</w:t>
      </w:r>
      <w:r w:rsidR="000F382D" w:rsidRPr="00E66386">
        <w:rPr>
          <w:rFonts w:asciiTheme="majorHAnsi" w:hAnsiTheme="majorHAnsi"/>
          <w:sz w:val="20"/>
          <w:szCs w:val="20"/>
          <w:lang w:val="es-ES"/>
        </w:rPr>
        <w:t>l proceso judicial</w:t>
      </w:r>
      <w:r w:rsidR="00E00D5C" w:rsidRPr="00E66386">
        <w:rPr>
          <w:rFonts w:asciiTheme="majorHAnsi" w:hAnsiTheme="majorHAnsi"/>
          <w:sz w:val="20"/>
          <w:szCs w:val="20"/>
          <w:lang w:val="es-ES"/>
        </w:rPr>
        <w:t>,</w:t>
      </w:r>
      <w:r w:rsidR="007E4154" w:rsidRPr="00E66386">
        <w:rPr>
          <w:rFonts w:asciiTheme="majorHAnsi" w:hAnsiTheme="majorHAnsi"/>
          <w:sz w:val="20"/>
          <w:szCs w:val="20"/>
          <w:lang w:val="es-ES"/>
        </w:rPr>
        <w:t xml:space="preserve"> </w:t>
      </w:r>
      <w:r w:rsidR="00E00D5C" w:rsidRPr="00E66386">
        <w:rPr>
          <w:rFonts w:asciiTheme="majorHAnsi" w:hAnsiTheme="majorHAnsi"/>
          <w:sz w:val="20"/>
          <w:szCs w:val="20"/>
          <w:lang w:val="es-ES"/>
        </w:rPr>
        <w:t>m</w:t>
      </w:r>
      <w:r w:rsidR="007E4154" w:rsidRPr="00E66386">
        <w:rPr>
          <w:rFonts w:asciiTheme="majorHAnsi" w:hAnsiTheme="majorHAnsi"/>
          <w:sz w:val="20"/>
          <w:szCs w:val="20"/>
          <w:lang w:val="es-ES"/>
        </w:rPr>
        <w:t xml:space="preserve">áxime </w:t>
      </w:r>
      <w:r w:rsidR="006A3002" w:rsidRPr="00E66386">
        <w:rPr>
          <w:rFonts w:asciiTheme="majorHAnsi" w:hAnsiTheme="majorHAnsi"/>
          <w:sz w:val="20"/>
          <w:szCs w:val="20"/>
          <w:lang w:val="es-ES"/>
        </w:rPr>
        <w:t>si se tiene en cuenta que</w:t>
      </w:r>
      <w:r w:rsidR="007E4154" w:rsidRPr="00E66386">
        <w:rPr>
          <w:rFonts w:asciiTheme="majorHAnsi" w:hAnsiTheme="majorHAnsi"/>
          <w:sz w:val="20"/>
          <w:szCs w:val="20"/>
          <w:lang w:val="es-ES"/>
        </w:rPr>
        <w:t xml:space="preserve"> el plazo razonable es una garantía </w:t>
      </w:r>
      <w:r w:rsidR="00A86ED6" w:rsidRPr="00E66386">
        <w:rPr>
          <w:rFonts w:asciiTheme="majorHAnsi" w:hAnsiTheme="majorHAnsi"/>
          <w:sz w:val="20"/>
          <w:szCs w:val="20"/>
          <w:lang w:val="es-ES"/>
        </w:rPr>
        <w:t xml:space="preserve">judicial </w:t>
      </w:r>
      <w:r w:rsidR="003836AB" w:rsidRPr="00E66386">
        <w:rPr>
          <w:rFonts w:asciiTheme="majorHAnsi" w:hAnsiTheme="majorHAnsi"/>
          <w:sz w:val="20"/>
          <w:szCs w:val="20"/>
          <w:lang w:val="es-ES"/>
        </w:rPr>
        <w:t xml:space="preserve">consagrada tanto </w:t>
      </w:r>
      <w:r w:rsidR="00077A24" w:rsidRPr="00E66386">
        <w:rPr>
          <w:rFonts w:asciiTheme="majorHAnsi" w:hAnsiTheme="majorHAnsi"/>
          <w:sz w:val="20"/>
          <w:szCs w:val="20"/>
          <w:lang w:val="es-ES"/>
        </w:rPr>
        <w:t xml:space="preserve">a favor de </w:t>
      </w:r>
      <w:r w:rsidR="003836AB" w:rsidRPr="00E66386">
        <w:rPr>
          <w:rFonts w:asciiTheme="majorHAnsi" w:hAnsiTheme="majorHAnsi"/>
          <w:sz w:val="20"/>
          <w:szCs w:val="20"/>
          <w:lang w:val="es-ES"/>
        </w:rPr>
        <w:t xml:space="preserve">las personas procesadas como </w:t>
      </w:r>
      <w:r w:rsidR="00077A24" w:rsidRPr="00E66386">
        <w:rPr>
          <w:rFonts w:asciiTheme="majorHAnsi" w:hAnsiTheme="majorHAnsi"/>
          <w:sz w:val="20"/>
          <w:szCs w:val="20"/>
          <w:lang w:val="es-ES"/>
        </w:rPr>
        <w:t xml:space="preserve">de </w:t>
      </w:r>
      <w:r w:rsidR="003836AB" w:rsidRPr="00E66386">
        <w:rPr>
          <w:rFonts w:asciiTheme="majorHAnsi" w:hAnsiTheme="majorHAnsi"/>
          <w:sz w:val="20"/>
          <w:szCs w:val="20"/>
          <w:lang w:val="es-ES"/>
        </w:rPr>
        <w:t>quienes participan en calidad de víctimas.</w:t>
      </w:r>
      <w:r w:rsidR="005173F2" w:rsidRPr="00E66386">
        <w:rPr>
          <w:rFonts w:asciiTheme="majorHAnsi" w:hAnsiTheme="majorHAnsi"/>
          <w:sz w:val="20"/>
          <w:szCs w:val="20"/>
          <w:lang w:val="es-ES"/>
        </w:rPr>
        <w:t xml:space="preserve"> </w:t>
      </w:r>
      <w:r w:rsidR="00BE5A13" w:rsidRPr="00E66386">
        <w:rPr>
          <w:rFonts w:asciiTheme="majorHAnsi" w:hAnsiTheme="majorHAnsi"/>
          <w:sz w:val="20"/>
          <w:szCs w:val="20"/>
          <w:lang w:val="es-ES"/>
        </w:rPr>
        <w:t xml:space="preserve">La </w:t>
      </w:r>
      <w:r w:rsidR="00BE5A13" w:rsidRPr="00E66386">
        <w:rPr>
          <w:rFonts w:asciiTheme="majorHAnsi" w:hAnsiTheme="majorHAnsi"/>
          <w:sz w:val="20"/>
          <w:szCs w:val="20"/>
          <w:lang w:val="es-ES"/>
        </w:rPr>
        <w:lastRenderedPageBreak/>
        <w:t xml:space="preserve">CIDH toma nota de los argumentos de la parte peticionaria, según los cuales, </w:t>
      </w:r>
      <w:r w:rsidR="004F5622" w:rsidRPr="00E66386">
        <w:rPr>
          <w:rFonts w:asciiTheme="majorHAnsi" w:hAnsiTheme="majorHAnsi"/>
          <w:sz w:val="20"/>
          <w:szCs w:val="20"/>
          <w:lang w:val="es-ES"/>
        </w:rPr>
        <w:t>el Estado toleró la dilación injustificada del juicio contra el señor Ríos Montt</w:t>
      </w:r>
      <w:r w:rsidR="00BA7F8B" w:rsidRPr="00E66386">
        <w:rPr>
          <w:rFonts w:asciiTheme="majorHAnsi" w:hAnsiTheme="majorHAnsi"/>
          <w:sz w:val="20"/>
          <w:szCs w:val="20"/>
          <w:lang w:val="es-ES"/>
        </w:rPr>
        <w:t xml:space="preserve"> por medio de </w:t>
      </w:r>
      <w:r w:rsidR="00A11CE0" w:rsidRPr="00E66386">
        <w:rPr>
          <w:rFonts w:asciiTheme="majorHAnsi" w:hAnsiTheme="majorHAnsi"/>
          <w:sz w:val="20"/>
          <w:szCs w:val="20"/>
          <w:lang w:val="es-ES"/>
        </w:rPr>
        <w:t xml:space="preserve">recursos de amparo y acciones de inconstitucionalidad. De particular </w:t>
      </w:r>
      <w:r w:rsidR="009B0C1D" w:rsidRPr="00E66386">
        <w:rPr>
          <w:rFonts w:asciiTheme="majorHAnsi" w:hAnsiTheme="majorHAnsi"/>
          <w:sz w:val="20"/>
          <w:szCs w:val="20"/>
          <w:lang w:val="es-ES"/>
        </w:rPr>
        <w:t xml:space="preserve">gravedad </w:t>
      </w:r>
      <w:r w:rsidR="004066EF" w:rsidRPr="00E66386">
        <w:rPr>
          <w:rFonts w:asciiTheme="majorHAnsi" w:hAnsiTheme="majorHAnsi"/>
          <w:sz w:val="20"/>
          <w:szCs w:val="20"/>
          <w:lang w:val="es-ES"/>
        </w:rPr>
        <w:t>observ</w:t>
      </w:r>
      <w:r w:rsidR="00AF69ED" w:rsidRPr="00E66386">
        <w:rPr>
          <w:rFonts w:asciiTheme="majorHAnsi" w:hAnsiTheme="majorHAnsi"/>
          <w:sz w:val="20"/>
          <w:szCs w:val="20"/>
          <w:lang w:val="es-ES"/>
        </w:rPr>
        <w:t>a la decisión de anulación de la única sentencia condenatoria contra quien fue sindicado de ser el máximo responsable de</w:t>
      </w:r>
      <w:r w:rsidR="000B2F63" w:rsidRPr="00E66386">
        <w:rPr>
          <w:rFonts w:asciiTheme="majorHAnsi" w:hAnsiTheme="majorHAnsi"/>
          <w:sz w:val="20"/>
          <w:szCs w:val="20"/>
          <w:lang w:val="es-ES"/>
        </w:rPr>
        <w:t xml:space="preserve"> los sucesos denunciados.</w:t>
      </w:r>
      <w:r w:rsidR="00501D1D" w:rsidRPr="00E66386">
        <w:rPr>
          <w:rFonts w:asciiTheme="majorHAnsi" w:hAnsiTheme="majorHAnsi"/>
          <w:sz w:val="20"/>
          <w:szCs w:val="20"/>
          <w:lang w:val="es-ES"/>
        </w:rPr>
        <w:t xml:space="preserve"> A este respecto, </w:t>
      </w:r>
      <w:r w:rsidR="0093599A" w:rsidRPr="00E66386">
        <w:rPr>
          <w:rFonts w:asciiTheme="majorHAnsi" w:hAnsiTheme="majorHAnsi"/>
          <w:sz w:val="20"/>
          <w:szCs w:val="20"/>
          <w:lang w:val="es-ES"/>
        </w:rPr>
        <w:t xml:space="preserve">la CIDH recuerda que </w:t>
      </w:r>
      <w:r w:rsidR="00E65DF1" w:rsidRPr="00E66386">
        <w:rPr>
          <w:rFonts w:asciiTheme="majorHAnsi" w:hAnsiTheme="majorHAnsi"/>
          <w:sz w:val="20"/>
          <w:szCs w:val="20"/>
          <w:lang w:val="es-ES"/>
        </w:rPr>
        <w:t>la jurisprudencia del Sistema Interamericano ha establecido</w:t>
      </w:r>
      <w:r w:rsidR="00AB65A7" w:rsidRPr="00E66386">
        <w:rPr>
          <w:rFonts w:asciiTheme="majorHAnsi" w:hAnsiTheme="majorHAnsi"/>
          <w:sz w:val="20"/>
          <w:szCs w:val="20"/>
          <w:lang w:val="es-ES"/>
        </w:rPr>
        <w:t xml:space="preserve"> que</w:t>
      </w:r>
      <w:r w:rsidR="00E65DF1" w:rsidRPr="00E66386">
        <w:rPr>
          <w:rFonts w:asciiTheme="majorHAnsi" w:hAnsiTheme="majorHAnsi"/>
          <w:sz w:val="20"/>
          <w:szCs w:val="20"/>
          <w:lang w:val="es-ES"/>
        </w:rPr>
        <w:t>:</w:t>
      </w:r>
    </w:p>
    <w:p w14:paraId="399F4110" w14:textId="6043E790" w:rsidR="00E65DF1" w:rsidRPr="00E66386" w:rsidRDefault="00A31D16" w:rsidP="008C05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
        </w:rPr>
      </w:pPr>
      <w:r w:rsidRPr="00E66386">
        <w:rPr>
          <w:rFonts w:asciiTheme="majorHAnsi" w:hAnsiTheme="majorHAnsi"/>
          <w:sz w:val="20"/>
          <w:szCs w:val="20"/>
          <w:lang w:val="es-ES"/>
        </w:rPr>
        <w:t xml:space="preserve">[…] los jueces como rectores del proceso tienen </w:t>
      </w:r>
      <w:r w:rsidR="002200D9" w:rsidRPr="00E66386">
        <w:rPr>
          <w:rFonts w:asciiTheme="majorHAnsi" w:hAnsiTheme="majorHAnsi"/>
          <w:sz w:val="20"/>
          <w:szCs w:val="20"/>
          <w:lang w:val="es-ES"/>
        </w:rPr>
        <w:t>el deber de dirigir y encausar el procedimiento judicial con el fin de no sacrificar la justicia y el debido proceso legal en pro del formalismo y la impunidad. De este modo, si las autoridades permiten y toleran el uso de esta manera de los recursos judiciales, los transforman en un medio para que los que cometen un ilícito penal dilaten y entorpezcan el proceso judicial</w:t>
      </w:r>
      <w:r w:rsidRPr="00E66386">
        <w:rPr>
          <w:rStyle w:val="FootnoteReference"/>
          <w:rFonts w:asciiTheme="majorHAnsi" w:hAnsiTheme="majorHAnsi"/>
          <w:sz w:val="20"/>
          <w:szCs w:val="20"/>
          <w:lang w:val="es-ES"/>
        </w:rPr>
        <w:footnoteReference w:id="18"/>
      </w:r>
      <w:r w:rsidR="00D74AE6" w:rsidRPr="00E66386">
        <w:rPr>
          <w:rFonts w:asciiTheme="majorHAnsi" w:hAnsiTheme="majorHAnsi"/>
          <w:sz w:val="20"/>
          <w:szCs w:val="20"/>
          <w:lang w:val="es-ES"/>
        </w:rPr>
        <w:t>.</w:t>
      </w:r>
    </w:p>
    <w:p w14:paraId="22D3364D" w14:textId="77777777" w:rsidR="00C00ED0" w:rsidRPr="00E66386" w:rsidRDefault="00D0401E" w:rsidP="008A77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A ello se suma</w:t>
      </w:r>
      <w:r w:rsidR="000307F5" w:rsidRPr="00E66386">
        <w:rPr>
          <w:rFonts w:asciiTheme="majorHAnsi" w:hAnsiTheme="majorHAnsi"/>
          <w:sz w:val="20"/>
          <w:szCs w:val="20"/>
          <w:lang w:val="es-ES"/>
        </w:rPr>
        <w:t xml:space="preserve"> (i)</w:t>
      </w:r>
      <w:r w:rsidRPr="00E66386">
        <w:rPr>
          <w:rFonts w:asciiTheme="majorHAnsi" w:hAnsiTheme="majorHAnsi"/>
          <w:sz w:val="20"/>
          <w:szCs w:val="20"/>
          <w:lang w:val="es-ES"/>
        </w:rPr>
        <w:t xml:space="preserve"> </w:t>
      </w:r>
      <w:r w:rsidR="00291148" w:rsidRPr="00E66386">
        <w:rPr>
          <w:rFonts w:asciiTheme="majorHAnsi" w:hAnsiTheme="majorHAnsi"/>
          <w:sz w:val="20"/>
          <w:szCs w:val="20"/>
          <w:lang w:val="es-ES"/>
        </w:rPr>
        <w:t xml:space="preserve">la demora </w:t>
      </w:r>
      <w:r w:rsidR="00632BCD" w:rsidRPr="00E66386">
        <w:rPr>
          <w:rFonts w:asciiTheme="majorHAnsi" w:hAnsiTheme="majorHAnsi"/>
          <w:sz w:val="20"/>
          <w:szCs w:val="20"/>
          <w:lang w:val="es-ES"/>
        </w:rPr>
        <w:t xml:space="preserve">de tres años </w:t>
      </w:r>
      <w:r w:rsidR="00291148" w:rsidRPr="00E66386">
        <w:rPr>
          <w:rFonts w:asciiTheme="majorHAnsi" w:hAnsiTheme="majorHAnsi"/>
          <w:sz w:val="20"/>
          <w:szCs w:val="20"/>
          <w:lang w:val="es-ES"/>
        </w:rPr>
        <w:t xml:space="preserve">en la desclasificación y entrega de los documentos contentivos de las operaciones militares implementadas en la región </w:t>
      </w:r>
      <w:r w:rsidR="00C51C64" w:rsidRPr="00E66386">
        <w:rPr>
          <w:rFonts w:asciiTheme="majorHAnsi" w:hAnsiTheme="majorHAnsi"/>
          <w:sz w:val="20"/>
          <w:szCs w:val="20"/>
          <w:lang w:val="es-ES"/>
        </w:rPr>
        <w:t>Ixil</w:t>
      </w:r>
      <w:r w:rsidR="00BD00DA" w:rsidRPr="00E66386">
        <w:rPr>
          <w:rFonts w:asciiTheme="majorHAnsi" w:hAnsiTheme="majorHAnsi"/>
          <w:sz w:val="20"/>
          <w:szCs w:val="20"/>
          <w:lang w:val="es-ES"/>
        </w:rPr>
        <w:t>; (ii)</w:t>
      </w:r>
      <w:r w:rsidR="00291148" w:rsidRPr="00E66386">
        <w:rPr>
          <w:rFonts w:asciiTheme="majorHAnsi" w:hAnsiTheme="majorHAnsi"/>
          <w:sz w:val="20"/>
          <w:szCs w:val="20"/>
          <w:lang w:val="es-ES"/>
        </w:rPr>
        <w:t xml:space="preserve"> </w:t>
      </w:r>
      <w:r w:rsidR="00EA4A2B" w:rsidRPr="00E66386">
        <w:rPr>
          <w:rFonts w:asciiTheme="majorHAnsi" w:hAnsiTheme="majorHAnsi"/>
          <w:sz w:val="20"/>
          <w:szCs w:val="20"/>
          <w:lang w:val="es-ES"/>
        </w:rPr>
        <w:t xml:space="preserve">la inacción del </w:t>
      </w:r>
      <w:r w:rsidR="009A12F5" w:rsidRPr="00E66386">
        <w:rPr>
          <w:rFonts w:asciiTheme="majorHAnsi" w:hAnsiTheme="majorHAnsi"/>
          <w:sz w:val="20"/>
          <w:szCs w:val="20"/>
          <w:lang w:val="es-ES"/>
        </w:rPr>
        <w:t>Ministerio Público durant</w:t>
      </w:r>
      <w:r w:rsidR="002C195A" w:rsidRPr="00E66386">
        <w:rPr>
          <w:rFonts w:asciiTheme="majorHAnsi" w:hAnsiTheme="majorHAnsi"/>
          <w:sz w:val="20"/>
          <w:szCs w:val="20"/>
          <w:lang w:val="es-ES"/>
        </w:rPr>
        <w:t xml:space="preserve">e </w:t>
      </w:r>
      <w:r w:rsidR="001A7787" w:rsidRPr="00E66386">
        <w:rPr>
          <w:rFonts w:asciiTheme="majorHAnsi" w:hAnsiTheme="majorHAnsi"/>
          <w:sz w:val="20"/>
          <w:szCs w:val="20"/>
          <w:lang w:val="es-ES"/>
        </w:rPr>
        <w:t>dieciséis años</w:t>
      </w:r>
      <w:r w:rsidR="008D3843" w:rsidRPr="00E66386">
        <w:rPr>
          <w:rFonts w:asciiTheme="majorHAnsi" w:hAnsiTheme="majorHAnsi"/>
          <w:sz w:val="20"/>
          <w:szCs w:val="20"/>
          <w:lang w:val="es-ES"/>
        </w:rPr>
        <w:t xml:space="preserve"> </w:t>
      </w:r>
      <w:r w:rsidR="00615483" w:rsidRPr="00E66386">
        <w:rPr>
          <w:rFonts w:asciiTheme="majorHAnsi" w:hAnsiTheme="majorHAnsi"/>
          <w:sz w:val="20"/>
          <w:szCs w:val="20"/>
          <w:lang w:val="es-ES"/>
        </w:rPr>
        <w:t xml:space="preserve">para iniciar la investigación </w:t>
      </w:r>
      <w:r w:rsidR="00615483" w:rsidRPr="00E66386">
        <w:rPr>
          <w:rFonts w:asciiTheme="majorHAnsi" w:hAnsiTheme="majorHAnsi"/>
          <w:i/>
          <w:iCs/>
          <w:sz w:val="20"/>
          <w:szCs w:val="20"/>
          <w:lang w:val="es-ES"/>
        </w:rPr>
        <w:t>ex officio</w:t>
      </w:r>
      <w:r w:rsidR="00615483" w:rsidRPr="00E66386">
        <w:rPr>
          <w:rFonts w:asciiTheme="majorHAnsi" w:hAnsiTheme="majorHAnsi"/>
          <w:sz w:val="20"/>
          <w:szCs w:val="20"/>
          <w:lang w:val="es-ES"/>
        </w:rPr>
        <w:t xml:space="preserve"> </w:t>
      </w:r>
      <w:r w:rsidR="00EA4A2B" w:rsidRPr="00E66386">
        <w:rPr>
          <w:rFonts w:asciiTheme="majorHAnsi" w:hAnsiTheme="majorHAnsi"/>
          <w:sz w:val="20"/>
          <w:szCs w:val="20"/>
          <w:lang w:val="es-ES"/>
        </w:rPr>
        <w:t>previo a las denuncias presentadas en 1999</w:t>
      </w:r>
      <w:r w:rsidR="008D3843" w:rsidRPr="00E66386">
        <w:rPr>
          <w:rFonts w:asciiTheme="majorHAnsi" w:hAnsiTheme="majorHAnsi"/>
          <w:sz w:val="20"/>
          <w:szCs w:val="20"/>
          <w:lang w:val="es-ES"/>
        </w:rPr>
        <w:t xml:space="preserve"> por las personas sobrevivientes</w:t>
      </w:r>
      <w:r w:rsidR="00BD00DA" w:rsidRPr="00E66386">
        <w:rPr>
          <w:rFonts w:asciiTheme="majorHAnsi" w:hAnsiTheme="majorHAnsi"/>
          <w:sz w:val="20"/>
          <w:szCs w:val="20"/>
          <w:lang w:val="es-ES"/>
        </w:rPr>
        <w:t xml:space="preserve">; </w:t>
      </w:r>
      <w:r w:rsidR="0080349E" w:rsidRPr="00E66386">
        <w:rPr>
          <w:rFonts w:asciiTheme="majorHAnsi" w:hAnsiTheme="majorHAnsi"/>
          <w:sz w:val="20"/>
          <w:szCs w:val="20"/>
          <w:lang w:val="es-CO"/>
        </w:rPr>
        <w:t>(i</w:t>
      </w:r>
      <w:r w:rsidR="008A14DF" w:rsidRPr="00E66386">
        <w:rPr>
          <w:rFonts w:asciiTheme="majorHAnsi" w:hAnsiTheme="majorHAnsi"/>
          <w:sz w:val="20"/>
          <w:szCs w:val="20"/>
          <w:lang w:val="es-CO"/>
        </w:rPr>
        <w:t>ii</w:t>
      </w:r>
      <w:r w:rsidR="0080349E" w:rsidRPr="00E66386">
        <w:rPr>
          <w:rFonts w:asciiTheme="majorHAnsi" w:hAnsiTheme="majorHAnsi"/>
          <w:sz w:val="20"/>
          <w:szCs w:val="20"/>
          <w:lang w:val="es-CO"/>
        </w:rPr>
        <w:t>) el proceso inició en el 2001 con la querella y transcurridos 21 años no se ha dictado sentencia definitiva y (i</w:t>
      </w:r>
      <w:r w:rsidR="008A14DF" w:rsidRPr="00E66386">
        <w:rPr>
          <w:rFonts w:asciiTheme="majorHAnsi" w:hAnsiTheme="majorHAnsi"/>
          <w:sz w:val="20"/>
          <w:szCs w:val="20"/>
          <w:lang w:val="es-CO"/>
        </w:rPr>
        <w:t>v</w:t>
      </w:r>
      <w:r w:rsidR="0080349E" w:rsidRPr="00E66386">
        <w:rPr>
          <w:rFonts w:asciiTheme="majorHAnsi" w:hAnsiTheme="majorHAnsi"/>
          <w:sz w:val="20"/>
          <w:szCs w:val="20"/>
          <w:lang w:val="es-CO"/>
        </w:rPr>
        <w:t>) el hecho de que habiendo transcurrido tres años desde que Luis Enrique Mendoza García fue vinculado al proceso, en noviembre de 2019, aún se encuentra a la espera de que se formalice la acusación en su contra</w:t>
      </w:r>
      <w:r w:rsidR="008A14DF" w:rsidRPr="00E66386">
        <w:rPr>
          <w:rFonts w:asciiTheme="majorHAnsi" w:hAnsiTheme="majorHAnsi"/>
          <w:sz w:val="20"/>
          <w:szCs w:val="20"/>
          <w:lang w:val="es-CO"/>
        </w:rPr>
        <w:t>;</w:t>
      </w:r>
      <w:r w:rsidR="0080349E" w:rsidRPr="00E66386">
        <w:rPr>
          <w:rFonts w:asciiTheme="majorHAnsi" w:hAnsiTheme="majorHAnsi"/>
          <w:sz w:val="20"/>
          <w:szCs w:val="20"/>
          <w:lang w:val="es-CO"/>
        </w:rPr>
        <w:t xml:space="preserve"> </w:t>
      </w:r>
      <w:r w:rsidR="008A14DF" w:rsidRPr="00E66386">
        <w:rPr>
          <w:rFonts w:asciiTheme="majorHAnsi" w:hAnsiTheme="majorHAnsi"/>
          <w:sz w:val="20"/>
          <w:szCs w:val="20"/>
          <w:lang w:val="es-CO"/>
        </w:rPr>
        <w:t xml:space="preserve">y </w:t>
      </w:r>
      <w:r w:rsidR="00BD00DA" w:rsidRPr="00E66386">
        <w:rPr>
          <w:rFonts w:asciiTheme="majorHAnsi" w:hAnsiTheme="majorHAnsi"/>
          <w:sz w:val="20"/>
          <w:szCs w:val="20"/>
          <w:lang w:val="es-ES"/>
        </w:rPr>
        <w:t>(</w:t>
      </w:r>
      <w:r w:rsidR="008A14DF" w:rsidRPr="00E66386">
        <w:rPr>
          <w:rFonts w:asciiTheme="majorHAnsi" w:hAnsiTheme="majorHAnsi"/>
          <w:sz w:val="20"/>
          <w:szCs w:val="20"/>
          <w:lang w:val="es-ES"/>
        </w:rPr>
        <w:t>v</w:t>
      </w:r>
      <w:r w:rsidR="00BD00DA" w:rsidRPr="00E66386">
        <w:rPr>
          <w:rFonts w:asciiTheme="majorHAnsi" w:hAnsiTheme="majorHAnsi"/>
          <w:sz w:val="20"/>
          <w:szCs w:val="20"/>
          <w:lang w:val="es-ES"/>
        </w:rPr>
        <w:t>)</w:t>
      </w:r>
      <w:r w:rsidR="008D3843" w:rsidRPr="00E66386">
        <w:rPr>
          <w:rFonts w:asciiTheme="majorHAnsi" w:hAnsiTheme="majorHAnsi"/>
          <w:sz w:val="20"/>
          <w:szCs w:val="20"/>
          <w:lang w:val="es-ES"/>
        </w:rPr>
        <w:t xml:space="preserve"> </w:t>
      </w:r>
      <w:r w:rsidR="006A64A8" w:rsidRPr="00E66386">
        <w:rPr>
          <w:rFonts w:asciiTheme="majorHAnsi" w:hAnsiTheme="majorHAnsi"/>
          <w:sz w:val="20"/>
          <w:szCs w:val="20"/>
          <w:lang w:val="es-ES"/>
        </w:rPr>
        <w:t xml:space="preserve">la duración de </w:t>
      </w:r>
      <w:r w:rsidR="00657188" w:rsidRPr="00E66386">
        <w:rPr>
          <w:rFonts w:asciiTheme="majorHAnsi" w:hAnsiTheme="majorHAnsi"/>
          <w:sz w:val="20"/>
          <w:szCs w:val="20"/>
          <w:lang w:val="es-ES"/>
        </w:rPr>
        <w:t xml:space="preserve">cinco años </w:t>
      </w:r>
      <w:r w:rsidR="00E118D0" w:rsidRPr="00E66386">
        <w:rPr>
          <w:rFonts w:asciiTheme="majorHAnsi" w:hAnsiTheme="majorHAnsi"/>
          <w:sz w:val="20"/>
          <w:szCs w:val="20"/>
          <w:lang w:val="es-ES"/>
        </w:rPr>
        <w:t>para la realización d</w:t>
      </w:r>
      <w:r w:rsidR="00657188" w:rsidRPr="00E66386">
        <w:rPr>
          <w:rFonts w:asciiTheme="majorHAnsi" w:hAnsiTheme="majorHAnsi"/>
          <w:sz w:val="20"/>
          <w:szCs w:val="20"/>
          <w:lang w:val="es-ES"/>
        </w:rPr>
        <w:t>el segundo juicio</w:t>
      </w:r>
      <w:r w:rsidR="00E118D0" w:rsidRPr="00E66386">
        <w:rPr>
          <w:rFonts w:asciiTheme="majorHAnsi" w:hAnsiTheme="majorHAnsi"/>
          <w:sz w:val="20"/>
          <w:szCs w:val="20"/>
          <w:lang w:val="es-ES"/>
        </w:rPr>
        <w:t xml:space="preserve"> desde 2013 a 2018</w:t>
      </w:r>
      <w:r w:rsidR="002F485C" w:rsidRPr="00E66386">
        <w:rPr>
          <w:rFonts w:asciiTheme="majorHAnsi" w:hAnsiTheme="majorHAnsi"/>
          <w:sz w:val="20"/>
          <w:szCs w:val="20"/>
          <w:lang w:val="es-ES"/>
        </w:rPr>
        <w:t xml:space="preserve">, periodo </w:t>
      </w:r>
      <w:r w:rsidR="006D7967" w:rsidRPr="00E66386">
        <w:rPr>
          <w:rFonts w:asciiTheme="majorHAnsi" w:hAnsiTheme="majorHAnsi"/>
          <w:sz w:val="20"/>
          <w:szCs w:val="20"/>
          <w:lang w:val="es-ES"/>
        </w:rPr>
        <w:t>durante</w:t>
      </w:r>
      <w:r w:rsidR="002F485C" w:rsidRPr="00E66386">
        <w:rPr>
          <w:rFonts w:asciiTheme="majorHAnsi" w:hAnsiTheme="majorHAnsi"/>
          <w:sz w:val="20"/>
          <w:szCs w:val="20"/>
          <w:lang w:val="es-ES"/>
        </w:rPr>
        <w:t xml:space="preserve"> el cual falleció el </w:t>
      </w:r>
      <w:r w:rsidR="002B2916" w:rsidRPr="00E66386">
        <w:rPr>
          <w:rFonts w:asciiTheme="majorHAnsi" w:hAnsiTheme="majorHAnsi"/>
          <w:sz w:val="20"/>
          <w:szCs w:val="20"/>
          <w:lang w:val="es-ES"/>
        </w:rPr>
        <w:t xml:space="preserve">principal </w:t>
      </w:r>
      <w:r w:rsidR="002F485C" w:rsidRPr="00E66386">
        <w:rPr>
          <w:rFonts w:asciiTheme="majorHAnsi" w:hAnsiTheme="majorHAnsi"/>
          <w:sz w:val="20"/>
          <w:szCs w:val="20"/>
          <w:lang w:val="es-ES"/>
        </w:rPr>
        <w:t>acusado</w:t>
      </w:r>
      <w:r w:rsidR="006D7967" w:rsidRPr="00E66386">
        <w:rPr>
          <w:rFonts w:asciiTheme="majorHAnsi" w:hAnsiTheme="majorHAnsi"/>
          <w:sz w:val="20"/>
          <w:szCs w:val="20"/>
          <w:lang w:val="es-ES"/>
        </w:rPr>
        <w:t>,</w:t>
      </w:r>
      <w:r w:rsidR="00156906" w:rsidRPr="00E66386">
        <w:rPr>
          <w:rFonts w:asciiTheme="majorHAnsi" w:hAnsiTheme="majorHAnsi"/>
          <w:sz w:val="20"/>
          <w:szCs w:val="20"/>
          <w:lang w:val="es-ES"/>
        </w:rPr>
        <w:t xml:space="preserve"> el señor</w:t>
      </w:r>
      <w:r w:rsidR="002F485C" w:rsidRPr="00E66386">
        <w:rPr>
          <w:rFonts w:asciiTheme="majorHAnsi" w:hAnsiTheme="majorHAnsi"/>
          <w:sz w:val="20"/>
          <w:szCs w:val="20"/>
          <w:lang w:val="es-ES"/>
        </w:rPr>
        <w:t xml:space="preserve"> José Efraín Ríos Montt. </w:t>
      </w:r>
      <w:r w:rsidR="0002516E" w:rsidRPr="00E66386">
        <w:rPr>
          <w:rFonts w:asciiTheme="majorHAnsi" w:hAnsiTheme="majorHAnsi"/>
          <w:sz w:val="20"/>
          <w:szCs w:val="20"/>
          <w:lang w:val="es-ES"/>
        </w:rPr>
        <w:t xml:space="preserve">Para la Comisión, es evidente que existe un retardo injustificado en la investigación y juzgamiento de este caso a nivel interno </w:t>
      </w:r>
      <w:r w:rsidR="002D4E86" w:rsidRPr="00E66386">
        <w:rPr>
          <w:rFonts w:asciiTheme="majorHAnsi" w:hAnsiTheme="majorHAnsi"/>
          <w:sz w:val="20"/>
          <w:szCs w:val="20"/>
          <w:lang w:val="es-ES"/>
        </w:rPr>
        <w:t xml:space="preserve">imputable al Estado de Guatemala, </w:t>
      </w:r>
      <w:r w:rsidR="00F645B6" w:rsidRPr="00E66386">
        <w:rPr>
          <w:rFonts w:asciiTheme="majorHAnsi" w:hAnsiTheme="majorHAnsi"/>
          <w:sz w:val="20"/>
          <w:szCs w:val="20"/>
          <w:lang w:val="es-ES"/>
        </w:rPr>
        <w:t xml:space="preserve">de tal </w:t>
      </w:r>
      <w:r w:rsidR="00535F8D" w:rsidRPr="00E66386">
        <w:rPr>
          <w:rFonts w:asciiTheme="majorHAnsi" w:hAnsiTheme="majorHAnsi"/>
          <w:sz w:val="20"/>
          <w:szCs w:val="20"/>
          <w:lang w:val="es-ES"/>
        </w:rPr>
        <w:t>naturaleza</w:t>
      </w:r>
      <w:r w:rsidR="00F645B6" w:rsidRPr="00E66386">
        <w:rPr>
          <w:rFonts w:asciiTheme="majorHAnsi" w:hAnsiTheme="majorHAnsi"/>
          <w:sz w:val="20"/>
          <w:szCs w:val="20"/>
          <w:lang w:val="es-ES"/>
        </w:rPr>
        <w:t xml:space="preserve"> que ha implicado, además, </w:t>
      </w:r>
      <w:r w:rsidR="00535F8D" w:rsidRPr="00E66386">
        <w:rPr>
          <w:rFonts w:asciiTheme="majorHAnsi" w:hAnsiTheme="majorHAnsi"/>
          <w:sz w:val="20"/>
          <w:szCs w:val="20"/>
          <w:lang w:val="es-ES"/>
        </w:rPr>
        <w:t xml:space="preserve">el fallecimiento </w:t>
      </w:r>
      <w:r w:rsidR="002961C7" w:rsidRPr="00E66386">
        <w:rPr>
          <w:rFonts w:asciiTheme="majorHAnsi" w:hAnsiTheme="majorHAnsi"/>
          <w:sz w:val="20"/>
          <w:szCs w:val="20"/>
          <w:lang w:val="es-ES"/>
        </w:rPr>
        <w:t>de</w:t>
      </w:r>
      <w:r w:rsidR="00F645B6" w:rsidRPr="00E66386">
        <w:rPr>
          <w:rFonts w:asciiTheme="majorHAnsi" w:hAnsiTheme="majorHAnsi"/>
          <w:sz w:val="20"/>
          <w:szCs w:val="20"/>
          <w:lang w:val="es-ES"/>
        </w:rPr>
        <w:t xml:space="preserve"> </w:t>
      </w:r>
      <w:r w:rsidR="00535F8D" w:rsidRPr="00E66386">
        <w:rPr>
          <w:rFonts w:asciiTheme="majorHAnsi" w:hAnsiTheme="majorHAnsi"/>
          <w:sz w:val="20"/>
          <w:szCs w:val="20"/>
          <w:lang w:val="es-ES"/>
        </w:rPr>
        <w:t xml:space="preserve">tres de los seis sindicados y </w:t>
      </w:r>
      <w:r w:rsidR="00181C9B" w:rsidRPr="00E66386">
        <w:rPr>
          <w:rFonts w:asciiTheme="majorHAnsi" w:hAnsiTheme="majorHAnsi"/>
          <w:sz w:val="20"/>
          <w:szCs w:val="20"/>
          <w:lang w:val="es-ES"/>
        </w:rPr>
        <w:t xml:space="preserve">de </w:t>
      </w:r>
      <w:r w:rsidR="00535F8D" w:rsidRPr="00E66386">
        <w:rPr>
          <w:rFonts w:asciiTheme="majorHAnsi" w:hAnsiTheme="majorHAnsi"/>
          <w:sz w:val="20"/>
          <w:szCs w:val="20"/>
          <w:lang w:val="es-ES"/>
        </w:rPr>
        <w:t xml:space="preserve">varias de las personas reconocidas como víctimas </w:t>
      </w:r>
      <w:r w:rsidR="00F645B6" w:rsidRPr="00E66386">
        <w:rPr>
          <w:rFonts w:asciiTheme="majorHAnsi" w:hAnsiTheme="majorHAnsi"/>
          <w:sz w:val="20"/>
          <w:szCs w:val="20"/>
          <w:lang w:val="es-ES"/>
        </w:rPr>
        <w:t>en el transcurso del proceso</w:t>
      </w:r>
      <w:r w:rsidR="00C27245" w:rsidRPr="00E66386">
        <w:rPr>
          <w:rFonts w:asciiTheme="majorHAnsi" w:hAnsiTheme="majorHAnsi"/>
          <w:sz w:val="20"/>
          <w:szCs w:val="20"/>
          <w:lang w:val="es-ES"/>
        </w:rPr>
        <w:t>.</w:t>
      </w:r>
    </w:p>
    <w:p w14:paraId="323FB50D" w14:textId="3D6B18C3" w:rsidR="00D0401E" w:rsidRPr="00E66386" w:rsidRDefault="00764A9A" w:rsidP="00953E5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Es decir, considerando como un todo los procesos internos relativos a la investigación y sanción de las atrocidades cometidas contra el Pueblo Ixil, y sin llegar a un análisis más profundo sobre el fondo, se puede observar con claridad que luego de más de dos décadas estos aún no han llegado a una conclusión clara y se mantienen en curso</w:t>
      </w:r>
      <w:r w:rsidR="007B15CD" w:rsidRPr="00E66386">
        <w:rPr>
          <w:rFonts w:asciiTheme="majorHAnsi" w:hAnsiTheme="majorHAnsi"/>
          <w:sz w:val="20"/>
          <w:szCs w:val="20"/>
          <w:lang w:val="es-ES"/>
        </w:rPr>
        <w:t>, siendo evidente el gran número de maniobras dilatorias articuladas por los perpetradores que continuamente han frustrado las justas expectativas de verdad, justicia y reparación de las víctimas.</w:t>
      </w:r>
      <w:r w:rsidR="00C00ED0" w:rsidRPr="00E66386">
        <w:rPr>
          <w:rFonts w:asciiTheme="majorHAnsi" w:hAnsiTheme="majorHAnsi"/>
          <w:sz w:val="20"/>
          <w:szCs w:val="20"/>
          <w:lang w:val="es-ES"/>
        </w:rPr>
        <w:t xml:space="preserve"> </w:t>
      </w:r>
      <w:r w:rsidR="00E50839" w:rsidRPr="00E66386">
        <w:rPr>
          <w:rFonts w:asciiTheme="majorHAnsi" w:hAnsiTheme="majorHAnsi"/>
          <w:sz w:val="20"/>
          <w:szCs w:val="20"/>
          <w:lang w:val="es-ES"/>
        </w:rPr>
        <w:t>En consecuencia, la Comisión estima aplicable la excepción al agotamiento de los recursos internos prevista en el artículo 46.2.c) de la Convención Americana.</w:t>
      </w:r>
    </w:p>
    <w:p w14:paraId="7BA6633D" w14:textId="1F696AC9" w:rsidR="00E50839" w:rsidRPr="00E66386" w:rsidRDefault="000C1716" w:rsidP="008A77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eastAsia="Arial Unicode MS" w:hAnsiTheme="majorHAnsi" w:cs="Calibri"/>
          <w:sz w:val="20"/>
          <w:szCs w:val="20"/>
          <w:lang w:val="es-ES"/>
        </w:rPr>
        <w:t xml:space="preserve">Asimismo, la Comisión concluye que la petición </w:t>
      </w:r>
      <w:r w:rsidR="00111C2E" w:rsidRPr="00E66386">
        <w:rPr>
          <w:rFonts w:asciiTheme="majorHAnsi" w:eastAsia="Arial Unicode MS" w:hAnsiTheme="majorHAnsi" w:cs="Calibri"/>
          <w:sz w:val="20"/>
          <w:szCs w:val="20"/>
          <w:lang w:val="es-ES"/>
        </w:rPr>
        <w:t xml:space="preserve">fue </w:t>
      </w:r>
      <w:r w:rsidRPr="00E66386">
        <w:rPr>
          <w:rFonts w:asciiTheme="majorHAnsi" w:eastAsia="Arial Unicode MS" w:hAnsiTheme="majorHAnsi" w:cs="Calibri"/>
          <w:sz w:val="20"/>
          <w:szCs w:val="20"/>
          <w:lang w:val="es-ES"/>
        </w:rPr>
        <w:t>presentad</w:t>
      </w:r>
      <w:r w:rsidR="00111C2E" w:rsidRPr="00E66386">
        <w:rPr>
          <w:rFonts w:asciiTheme="majorHAnsi" w:eastAsia="Arial Unicode MS" w:hAnsiTheme="majorHAnsi" w:cs="Calibri"/>
          <w:sz w:val="20"/>
          <w:szCs w:val="20"/>
          <w:lang w:val="es-ES"/>
        </w:rPr>
        <w:t>a</w:t>
      </w:r>
      <w:r w:rsidRPr="00E66386">
        <w:rPr>
          <w:rFonts w:asciiTheme="majorHAnsi" w:eastAsia="Arial Unicode MS" w:hAnsiTheme="majorHAnsi" w:cs="Calibri"/>
          <w:sz w:val="20"/>
          <w:szCs w:val="20"/>
          <w:lang w:val="es-ES"/>
        </w:rPr>
        <w:t xml:space="preserve"> dentro de un plazo razonable con fundamento en el artículo 32.2 de su Reglamento. Ello, dado que, si bien los hechos han tenido lugar desde 1982 y la petición fue recibida el 6 de noviembre de 2013,</w:t>
      </w:r>
      <w:r w:rsidR="009D442B" w:rsidRPr="00E66386">
        <w:rPr>
          <w:rFonts w:asciiTheme="majorHAnsi" w:eastAsia="Arial Unicode MS" w:hAnsiTheme="majorHAnsi" w:cs="Calibri"/>
          <w:sz w:val="20"/>
          <w:szCs w:val="20"/>
          <w:lang w:val="es-ES"/>
        </w:rPr>
        <w:t xml:space="preserve"> </w:t>
      </w:r>
      <w:r w:rsidR="00DC6E73" w:rsidRPr="00E66386">
        <w:rPr>
          <w:rFonts w:asciiTheme="majorHAnsi" w:eastAsia="Arial Unicode MS" w:hAnsiTheme="majorHAnsi" w:cs="Calibri"/>
          <w:sz w:val="20"/>
          <w:szCs w:val="20"/>
          <w:lang w:val="es-ES"/>
        </w:rPr>
        <w:t>esto se debe</w:t>
      </w:r>
      <w:r w:rsidR="009004EA" w:rsidRPr="00E66386">
        <w:rPr>
          <w:rFonts w:asciiTheme="majorHAnsi" w:eastAsia="Arial Unicode MS" w:hAnsiTheme="majorHAnsi" w:cs="Calibri"/>
          <w:sz w:val="20"/>
          <w:szCs w:val="20"/>
          <w:lang w:val="es-ES"/>
        </w:rPr>
        <w:t xml:space="preserve"> a que habían transcurrido </w:t>
      </w:r>
      <w:r w:rsidR="009D442B" w:rsidRPr="00E66386">
        <w:rPr>
          <w:rFonts w:asciiTheme="majorHAnsi" w:eastAsia="Arial Unicode MS" w:hAnsiTheme="majorHAnsi" w:cs="Calibri"/>
          <w:sz w:val="20"/>
          <w:szCs w:val="20"/>
          <w:lang w:val="es-ES"/>
        </w:rPr>
        <w:t>menos de seis meses después de la anulación del primer juicio ocurrida el 20 de mayo de 2013.</w:t>
      </w:r>
      <w:r w:rsidRPr="00E66386">
        <w:rPr>
          <w:rFonts w:asciiTheme="majorHAnsi" w:eastAsia="Arial Unicode MS" w:hAnsiTheme="majorHAnsi" w:cs="Calibri"/>
          <w:sz w:val="20"/>
          <w:szCs w:val="20"/>
          <w:lang w:val="es-ES"/>
        </w:rPr>
        <w:t xml:space="preserve"> </w:t>
      </w:r>
      <w:r w:rsidR="009D442B" w:rsidRPr="00E66386">
        <w:rPr>
          <w:rFonts w:asciiTheme="majorHAnsi" w:eastAsia="Arial Unicode MS" w:hAnsiTheme="majorHAnsi" w:cs="Calibri"/>
          <w:sz w:val="20"/>
          <w:szCs w:val="20"/>
          <w:lang w:val="es-ES"/>
        </w:rPr>
        <w:t xml:space="preserve">Y </w:t>
      </w:r>
      <w:r w:rsidRPr="00E66386">
        <w:rPr>
          <w:rFonts w:asciiTheme="majorHAnsi" w:eastAsia="Arial Unicode MS" w:hAnsiTheme="majorHAnsi" w:cs="Calibri"/>
          <w:sz w:val="20"/>
          <w:szCs w:val="20"/>
          <w:lang w:val="es-ES"/>
        </w:rPr>
        <w:t xml:space="preserve">sus efectos, como </w:t>
      </w:r>
      <w:r w:rsidR="005921A2" w:rsidRPr="00E66386">
        <w:rPr>
          <w:rFonts w:asciiTheme="majorHAnsi" w:eastAsia="Arial Unicode MS" w:hAnsiTheme="majorHAnsi" w:cs="Calibri"/>
          <w:sz w:val="20"/>
          <w:szCs w:val="20"/>
          <w:lang w:val="es-ES"/>
        </w:rPr>
        <w:t>la alegada impunidad en la que se encuentran los hechos</w:t>
      </w:r>
      <w:r w:rsidRPr="00E66386">
        <w:rPr>
          <w:rFonts w:asciiTheme="majorHAnsi" w:eastAsia="Arial Unicode MS" w:hAnsiTheme="majorHAnsi" w:cs="Calibri"/>
          <w:sz w:val="20"/>
          <w:szCs w:val="20"/>
          <w:lang w:val="es-ES"/>
        </w:rPr>
        <w:t>, se extenderían hasta el presente. Por lo tanto, en vista del contexto y las características de los hechos incluidos en el presente informe, la Comisión considera que la petición fue presentada dentro de un plazo razonable y da por satisfecho el requisito de admisibilidad referente al plazo de presentación.</w:t>
      </w:r>
    </w:p>
    <w:p w14:paraId="673598AF" w14:textId="77777777" w:rsidR="003239B8" w:rsidRPr="00E66386" w:rsidRDefault="003239B8" w:rsidP="003239B8">
      <w:pPr>
        <w:pStyle w:val="ListParagraph"/>
        <w:spacing w:before="240" w:after="240"/>
        <w:jc w:val="both"/>
        <w:rPr>
          <w:rFonts w:asciiTheme="majorHAnsi" w:hAnsiTheme="majorHAnsi"/>
          <w:b/>
          <w:sz w:val="20"/>
          <w:szCs w:val="20"/>
          <w:lang w:val="es-ES"/>
        </w:rPr>
      </w:pPr>
      <w:r w:rsidRPr="00E66386">
        <w:rPr>
          <w:rFonts w:asciiTheme="majorHAnsi" w:hAnsiTheme="majorHAnsi"/>
          <w:b/>
          <w:bCs/>
          <w:sz w:val="20"/>
          <w:szCs w:val="20"/>
          <w:lang w:val="es-ES"/>
        </w:rPr>
        <w:t>VII.</w:t>
      </w:r>
      <w:r w:rsidRPr="00E66386">
        <w:rPr>
          <w:rFonts w:asciiTheme="majorHAnsi" w:hAnsiTheme="majorHAnsi"/>
          <w:b/>
          <w:bCs/>
          <w:sz w:val="20"/>
          <w:szCs w:val="20"/>
          <w:lang w:val="es-ES"/>
        </w:rPr>
        <w:tab/>
      </w:r>
      <w:r w:rsidR="004A6A54" w:rsidRPr="00E66386">
        <w:rPr>
          <w:rFonts w:asciiTheme="majorHAnsi" w:hAnsiTheme="majorHAnsi"/>
          <w:b/>
          <w:bCs/>
          <w:sz w:val="20"/>
          <w:szCs w:val="20"/>
          <w:lang w:val="es-ES_tradnl"/>
        </w:rPr>
        <w:t xml:space="preserve">ANÁLISIS DE </w:t>
      </w:r>
      <w:r w:rsidR="00C21FEF" w:rsidRPr="00E66386">
        <w:rPr>
          <w:rFonts w:asciiTheme="majorHAnsi" w:hAnsiTheme="majorHAnsi"/>
          <w:b/>
          <w:bCs/>
          <w:sz w:val="20"/>
          <w:szCs w:val="20"/>
          <w:lang w:val="es-ES"/>
        </w:rPr>
        <w:t xml:space="preserve">CARACTERIZACIÓN </w:t>
      </w:r>
      <w:r w:rsidR="00C21FEF" w:rsidRPr="00E66386">
        <w:rPr>
          <w:rFonts w:asciiTheme="majorHAnsi" w:hAnsiTheme="majorHAnsi"/>
          <w:b/>
          <w:bCs/>
          <w:sz w:val="20"/>
          <w:szCs w:val="20"/>
          <w:lang w:val="es-UY"/>
        </w:rPr>
        <w:t>DE LOS HECHOS ALEGADOS</w:t>
      </w:r>
    </w:p>
    <w:p w14:paraId="2DFEDEBC" w14:textId="77777777" w:rsidR="00095F72" w:rsidRPr="00E66386" w:rsidRDefault="008C5E2D" w:rsidP="007F75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La presente petición inclu</w:t>
      </w:r>
      <w:r w:rsidR="004B421C" w:rsidRPr="00E66386">
        <w:rPr>
          <w:rFonts w:asciiTheme="majorHAnsi" w:hAnsiTheme="majorHAnsi"/>
          <w:sz w:val="20"/>
          <w:szCs w:val="20"/>
          <w:lang w:val="es-ES"/>
        </w:rPr>
        <w:t>ye alegaciones con respecto a</w:t>
      </w:r>
      <w:r w:rsidR="00767CE7" w:rsidRPr="00E66386">
        <w:rPr>
          <w:rFonts w:asciiTheme="majorHAnsi" w:hAnsiTheme="majorHAnsi"/>
          <w:sz w:val="20"/>
          <w:szCs w:val="20"/>
          <w:lang w:val="es-ES"/>
        </w:rPr>
        <w:t xml:space="preserve"> </w:t>
      </w:r>
      <w:r w:rsidR="003E05B9" w:rsidRPr="00E66386">
        <w:rPr>
          <w:rFonts w:asciiTheme="majorHAnsi" w:hAnsiTheme="majorHAnsi"/>
          <w:sz w:val="20"/>
          <w:szCs w:val="20"/>
          <w:lang w:val="es-ES"/>
        </w:rPr>
        <w:t xml:space="preserve">graves violaciones de derechos humanos </w:t>
      </w:r>
      <w:r w:rsidR="009309F7" w:rsidRPr="00E66386">
        <w:rPr>
          <w:rFonts w:asciiTheme="majorHAnsi" w:hAnsiTheme="majorHAnsi"/>
          <w:sz w:val="20"/>
          <w:szCs w:val="20"/>
          <w:lang w:val="es-ES"/>
        </w:rPr>
        <w:t xml:space="preserve">catalogadas </w:t>
      </w:r>
      <w:r w:rsidR="00767CE7" w:rsidRPr="00E66386">
        <w:rPr>
          <w:rFonts w:asciiTheme="majorHAnsi" w:hAnsiTheme="majorHAnsi"/>
          <w:sz w:val="20"/>
          <w:szCs w:val="20"/>
          <w:lang w:val="es-ES"/>
        </w:rPr>
        <w:t xml:space="preserve">como genocidio </w:t>
      </w:r>
      <w:r w:rsidR="009309F7" w:rsidRPr="00E66386">
        <w:rPr>
          <w:rFonts w:asciiTheme="majorHAnsi" w:hAnsiTheme="majorHAnsi"/>
          <w:sz w:val="20"/>
          <w:szCs w:val="20"/>
          <w:lang w:val="es-ES"/>
        </w:rPr>
        <w:t>a nivel interno, y la impunidad que rodearía estos hechos.</w:t>
      </w:r>
      <w:r w:rsidR="00E0677D" w:rsidRPr="00E66386">
        <w:rPr>
          <w:rFonts w:asciiTheme="majorHAnsi" w:hAnsiTheme="majorHAnsi"/>
          <w:sz w:val="20"/>
          <w:szCs w:val="20"/>
          <w:lang w:val="es-ES"/>
        </w:rPr>
        <w:t xml:space="preserve"> El Estado, por su parte, replica que los hechos contenidos en la petición no caracterizan violaciones a los derechos invocados, y </w:t>
      </w:r>
      <w:r w:rsidR="00E0003F" w:rsidRPr="00E66386">
        <w:rPr>
          <w:rFonts w:asciiTheme="majorHAnsi" w:hAnsiTheme="majorHAnsi"/>
          <w:sz w:val="20"/>
          <w:szCs w:val="20"/>
          <w:lang w:val="es-ES"/>
        </w:rPr>
        <w:t>sostiene que los peticionarios pretenden que la CIDH reemplace a los tribunales nacionales en la revisión de los fallos de responsabilidad penal adoptados a nivel interno.</w:t>
      </w:r>
    </w:p>
    <w:p w14:paraId="01514A34" w14:textId="625C8CDA" w:rsidR="00AF56C9" w:rsidRPr="00E66386" w:rsidRDefault="004A730F" w:rsidP="00095F7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La Comisión reitera que, a los efectos de la admisibilidad, </w:t>
      </w:r>
      <w:r w:rsidR="00095F72" w:rsidRPr="00E66386">
        <w:rPr>
          <w:rFonts w:asciiTheme="majorHAnsi" w:hAnsiTheme="majorHAnsi"/>
          <w:sz w:val="20"/>
          <w:szCs w:val="20"/>
          <w:lang w:val="es-ES"/>
        </w:rPr>
        <w:t>é</w:t>
      </w:r>
      <w:r w:rsidRPr="00E66386">
        <w:rPr>
          <w:rFonts w:asciiTheme="majorHAnsi" w:hAnsiTheme="majorHAnsi"/>
          <w:sz w:val="20"/>
          <w:szCs w:val="20"/>
          <w:lang w:val="es-ES"/>
        </w:rPr>
        <w:t xml:space="preserve">sta debe decidir si los hechos alegados pueden caracterizar una violación de derechos, según lo estipulado en el artículo 47(b) de la Convención Americana, o si la petición es </w:t>
      </w:r>
      <w:r w:rsidR="00095F72" w:rsidRPr="00E66386">
        <w:rPr>
          <w:rFonts w:asciiTheme="majorHAnsi" w:hAnsiTheme="majorHAnsi"/>
          <w:sz w:val="20"/>
          <w:szCs w:val="20"/>
          <w:lang w:val="es-ES"/>
        </w:rPr>
        <w:t>‘</w:t>
      </w:r>
      <w:r w:rsidRPr="00E66386">
        <w:rPr>
          <w:rFonts w:asciiTheme="majorHAnsi" w:hAnsiTheme="majorHAnsi"/>
          <w:sz w:val="20"/>
          <w:szCs w:val="20"/>
          <w:lang w:val="es-ES"/>
        </w:rPr>
        <w:t xml:space="preserve">manifiestamente infundada’ o es ‘evidente su total improcedencia’, </w:t>
      </w:r>
      <w:r w:rsidRPr="00E66386">
        <w:rPr>
          <w:rFonts w:asciiTheme="majorHAnsi" w:hAnsiTheme="majorHAnsi"/>
          <w:sz w:val="20"/>
          <w:szCs w:val="20"/>
          <w:lang w:val="es-ES"/>
        </w:rPr>
        <w:lastRenderedPageBreak/>
        <w:t xml:space="preserve">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E66386">
        <w:rPr>
          <w:rFonts w:asciiTheme="majorHAnsi" w:hAnsiTheme="majorHAnsi"/>
          <w:i/>
          <w:iCs/>
          <w:sz w:val="20"/>
          <w:szCs w:val="20"/>
          <w:lang w:val="es-ES"/>
        </w:rPr>
        <w:t>prima facie</w:t>
      </w:r>
      <w:r w:rsidRPr="00E66386">
        <w:rPr>
          <w:rFonts w:asciiTheme="majorHAnsi" w:hAnsiTheme="majorHAnsi"/>
          <w:sz w:val="20"/>
          <w:szCs w:val="20"/>
          <w:lang w:val="es-ES"/>
        </w:rPr>
        <w:t xml:space="preserve"> violaciones a la Convención Americana</w:t>
      </w:r>
      <w:r w:rsidR="00EB2B14" w:rsidRPr="00E66386">
        <w:rPr>
          <w:rStyle w:val="FootnoteReference"/>
          <w:rFonts w:asciiTheme="majorHAnsi" w:hAnsiTheme="majorHAnsi"/>
          <w:sz w:val="20"/>
          <w:szCs w:val="20"/>
          <w:lang w:val="es-ES"/>
        </w:rPr>
        <w:footnoteReference w:id="19"/>
      </w:r>
      <w:r w:rsidRPr="00E66386">
        <w:rPr>
          <w:rFonts w:asciiTheme="majorHAnsi" w:hAnsiTheme="majorHAnsi"/>
          <w:sz w:val="20"/>
          <w:szCs w:val="20"/>
          <w:lang w:val="es-ES"/>
        </w:rPr>
        <w:t>.</w:t>
      </w:r>
      <w:r w:rsidR="00F93D38" w:rsidRPr="00E66386">
        <w:rPr>
          <w:rFonts w:asciiTheme="majorHAnsi" w:hAnsiTheme="majorHAnsi"/>
          <w:sz w:val="20"/>
          <w:szCs w:val="20"/>
          <w:lang w:val="es-ES"/>
        </w:rPr>
        <w:t xml:space="preserve"> </w:t>
      </w:r>
      <w:r w:rsidR="00F93D38" w:rsidRPr="00E66386">
        <w:rPr>
          <w:rFonts w:asciiTheme="majorHAnsi" w:hAnsiTheme="majorHAnsi"/>
          <w:sz w:val="20"/>
          <w:szCs w:val="20"/>
          <w:lang w:val="es-CO"/>
        </w:rPr>
        <w:t>Esta determinación sobre la caracterización de violaciones de la Convención Americana constituye un análisis primario, que no implica prejuzgar sobre el fondo del asunto</w:t>
      </w:r>
      <w:r w:rsidR="002D41A2" w:rsidRPr="00E66386">
        <w:rPr>
          <w:rStyle w:val="FootnoteReference"/>
          <w:rFonts w:asciiTheme="majorHAnsi" w:hAnsiTheme="majorHAnsi"/>
          <w:sz w:val="20"/>
          <w:szCs w:val="20"/>
          <w:lang w:val="es-CO"/>
        </w:rPr>
        <w:footnoteReference w:id="20"/>
      </w:r>
      <w:r w:rsidR="002D41A2" w:rsidRPr="00E66386">
        <w:rPr>
          <w:rFonts w:asciiTheme="majorHAnsi" w:hAnsiTheme="majorHAnsi"/>
          <w:sz w:val="20"/>
          <w:szCs w:val="20"/>
          <w:lang w:val="es-CO"/>
        </w:rPr>
        <w:t>.</w:t>
      </w:r>
    </w:p>
    <w:p w14:paraId="4A7AE089" w14:textId="5E339390" w:rsidR="00361481" w:rsidRPr="00E66386" w:rsidRDefault="00383682" w:rsidP="00EF290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Así, la Comisión </w:t>
      </w:r>
      <w:r w:rsidR="0017111D" w:rsidRPr="00E66386">
        <w:rPr>
          <w:rFonts w:asciiTheme="majorHAnsi" w:hAnsiTheme="majorHAnsi"/>
          <w:sz w:val="20"/>
          <w:szCs w:val="20"/>
          <w:lang w:val="es-ES"/>
        </w:rPr>
        <w:t>toma en consideración la definición de genocidio plasmada en l</w:t>
      </w:r>
      <w:r w:rsidR="00943143" w:rsidRPr="00E66386">
        <w:rPr>
          <w:rFonts w:asciiTheme="majorHAnsi" w:hAnsiTheme="majorHAnsi"/>
          <w:sz w:val="20"/>
          <w:szCs w:val="20"/>
          <w:lang w:val="es-ES"/>
        </w:rPr>
        <w:t xml:space="preserve">a Convención </w:t>
      </w:r>
      <w:r w:rsidR="006C3A93" w:rsidRPr="00E66386">
        <w:rPr>
          <w:rFonts w:asciiTheme="majorHAnsi" w:hAnsiTheme="majorHAnsi"/>
          <w:sz w:val="20"/>
          <w:szCs w:val="20"/>
          <w:lang w:val="es-ES"/>
        </w:rPr>
        <w:t>para la Prevención y la Sanción del Delito de Genocidio</w:t>
      </w:r>
      <w:r w:rsidR="002A76BF" w:rsidRPr="00E66386">
        <w:rPr>
          <w:rFonts w:asciiTheme="majorHAnsi" w:hAnsiTheme="majorHAnsi"/>
          <w:sz w:val="20"/>
          <w:szCs w:val="20"/>
          <w:lang w:val="es-ES"/>
        </w:rPr>
        <w:t xml:space="preserve"> </w:t>
      </w:r>
      <w:r w:rsidR="00AA3592" w:rsidRPr="00E66386">
        <w:rPr>
          <w:rFonts w:asciiTheme="majorHAnsi" w:hAnsiTheme="majorHAnsi"/>
          <w:sz w:val="20"/>
          <w:szCs w:val="20"/>
          <w:lang w:val="es-ES"/>
        </w:rPr>
        <w:t xml:space="preserve">adoptada por </w:t>
      </w:r>
      <w:r w:rsidR="00333BF2" w:rsidRPr="00E66386">
        <w:rPr>
          <w:rFonts w:asciiTheme="majorHAnsi" w:hAnsiTheme="majorHAnsi"/>
          <w:sz w:val="20"/>
          <w:szCs w:val="20"/>
          <w:lang w:val="es-ES"/>
        </w:rPr>
        <w:t xml:space="preserve">la Asamblea General </w:t>
      </w:r>
      <w:r w:rsidR="002A76BF" w:rsidRPr="00E66386">
        <w:rPr>
          <w:rFonts w:asciiTheme="majorHAnsi" w:hAnsiTheme="majorHAnsi"/>
          <w:sz w:val="20"/>
          <w:szCs w:val="20"/>
          <w:lang w:val="es-ES"/>
        </w:rPr>
        <w:t>de Naciones Unidas</w:t>
      </w:r>
      <w:r w:rsidR="00333BF2" w:rsidRPr="00E66386">
        <w:rPr>
          <w:rFonts w:asciiTheme="majorHAnsi" w:hAnsiTheme="majorHAnsi"/>
          <w:sz w:val="20"/>
          <w:szCs w:val="20"/>
          <w:lang w:val="es-ES"/>
        </w:rPr>
        <w:t xml:space="preserve"> en 1948</w:t>
      </w:r>
      <w:r w:rsidR="0017111D" w:rsidRPr="00E66386">
        <w:rPr>
          <w:rFonts w:asciiTheme="majorHAnsi" w:hAnsiTheme="majorHAnsi"/>
          <w:sz w:val="20"/>
          <w:szCs w:val="20"/>
          <w:lang w:val="es-ES"/>
        </w:rPr>
        <w:t>,</w:t>
      </w:r>
      <w:r w:rsidR="006F3339" w:rsidRPr="00E66386">
        <w:rPr>
          <w:rFonts w:asciiTheme="majorHAnsi" w:hAnsiTheme="majorHAnsi"/>
          <w:sz w:val="20"/>
          <w:szCs w:val="20"/>
          <w:lang w:val="es-ES"/>
        </w:rPr>
        <w:t xml:space="preserve"> en los siguientes términos:</w:t>
      </w:r>
    </w:p>
    <w:p w14:paraId="41D66753" w14:textId="77777777" w:rsidR="00361481" w:rsidRPr="00E66386" w:rsidRDefault="006F3339" w:rsidP="0036148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CO"/>
        </w:rPr>
      </w:pPr>
      <w:r w:rsidRPr="00E66386">
        <w:rPr>
          <w:rFonts w:asciiTheme="majorHAnsi" w:hAnsiTheme="majorHAnsi"/>
          <w:sz w:val="20"/>
          <w:szCs w:val="20"/>
          <w:lang w:val="es-CO"/>
        </w:rPr>
        <w:t xml:space="preserve">En la presente Convención, se entiende por genocidio cualquiera de los actos mencionados a continuación, </w:t>
      </w:r>
      <w:r w:rsidR="00361481" w:rsidRPr="00E66386">
        <w:rPr>
          <w:rFonts w:asciiTheme="majorHAnsi" w:hAnsiTheme="majorHAnsi"/>
          <w:sz w:val="20"/>
          <w:szCs w:val="20"/>
          <w:lang w:val="es-CO"/>
        </w:rPr>
        <w:t>perpetrados</w:t>
      </w:r>
      <w:r w:rsidRPr="00E66386">
        <w:rPr>
          <w:rFonts w:asciiTheme="majorHAnsi" w:hAnsiTheme="majorHAnsi"/>
          <w:sz w:val="20"/>
          <w:szCs w:val="20"/>
          <w:lang w:val="es-CO"/>
        </w:rPr>
        <w:t xml:space="preserve"> con la intención de destruir, total o parcialmente, a un grupo nacional, étnico, racial o religioso, como tal:</w:t>
      </w:r>
    </w:p>
    <w:p w14:paraId="670FC9ED" w14:textId="77777777" w:rsidR="00296216" w:rsidRPr="00E66386" w:rsidRDefault="006F3339" w:rsidP="002962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CO"/>
        </w:rPr>
      </w:pPr>
      <w:r w:rsidRPr="00E66386">
        <w:rPr>
          <w:rFonts w:asciiTheme="majorHAnsi" w:hAnsiTheme="majorHAnsi"/>
          <w:sz w:val="20"/>
          <w:szCs w:val="20"/>
          <w:lang w:val="es-CO"/>
        </w:rPr>
        <w:t>a) Matanza de miembros del grupo;</w:t>
      </w:r>
    </w:p>
    <w:p w14:paraId="24FAF234" w14:textId="77777777" w:rsidR="00296216" w:rsidRPr="00E66386" w:rsidRDefault="006F3339" w:rsidP="002962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CO"/>
        </w:rPr>
      </w:pPr>
      <w:r w:rsidRPr="00E66386">
        <w:rPr>
          <w:rFonts w:asciiTheme="majorHAnsi" w:hAnsiTheme="majorHAnsi"/>
          <w:sz w:val="20"/>
          <w:szCs w:val="20"/>
          <w:lang w:val="es-CO"/>
        </w:rPr>
        <w:t>b) Lesión grave a la integridad física o mental de los miembros del grupo;</w:t>
      </w:r>
    </w:p>
    <w:p w14:paraId="7E4C1203" w14:textId="77777777" w:rsidR="00296216" w:rsidRPr="00E66386" w:rsidRDefault="006F3339" w:rsidP="002962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CO"/>
        </w:rPr>
      </w:pPr>
      <w:r w:rsidRPr="00E66386">
        <w:rPr>
          <w:rFonts w:asciiTheme="majorHAnsi" w:hAnsiTheme="majorHAnsi"/>
          <w:sz w:val="20"/>
          <w:szCs w:val="20"/>
          <w:lang w:val="es-CO"/>
        </w:rPr>
        <w:t>c) Sometimiento intencional del grupo a condiciones de existencia que hayan de acarrear su destrucción física, total o parcial;</w:t>
      </w:r>
    </w:p>
    <w:p w14:paraId="6CA9E137" w14:textId="77777777" w:rsidR="00296216" w:rsidRPr="00E66386" w:rsidRDefault="006F3339" w:rsidP="002962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sz w:val="20"/>
          <w:szCs w:val="20"/>
          <w:lang w:val="es-CO"/>
        </w:rPr>
      </w:pPr>
      <w:r w:rsidRPr="00E66386">
        <w:rPr>
          <w:rFonts w:asciiTheme="majorHAnsi" w:hAnsiTheme="majorHAnsi"/>
          <w:sz w:val="20"/>
          <w:szCs w:val="20"/>
          <w:lang w:val="es-CO"/>
        </w:rPr>
        <w:t>d) Medidas destinadas a impedir los nacimientos en el seno del grupo;</w:t>
      </w:r>
    </w:p>
    <w:p w14:paraId="618D84AD" w14:textId="5C9BD255" w:rsidR="006F3339" w:rsidRPr="00E66386" w:rsidRDefault="006F3339" w:rsidP="002962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
        </w:rPr>
      </w:pPr>
      <w:r w:rsidRPr="00E66386">
        <w:rPr>
          <w:rFonts w:asciiTheme="majorHAnsi" w:hAnsiTheme="majorHAnsi"/>
          <w:sz w:val="20"/>
          <w:szCs w:val="20"/>
          <w:lang w:val="es-CO"/>
        </w:rPr>
        <w:t>e) Traslado por fuerza de niños del grupo a otro grupo</w:t>
      </w:r>
      <w:r w:rsidR="00C31536" w:rsidRPr="00E66386">
        <w:rPr>
          <w:rStyle w:val="FootnoteReference"/>
          <w:rFonts w:asciiTheme="majorHAnsi" w:hAnsiTheme="majorHAnsi"/>
          <w:sz w:val="20"/>
          <w:szCs w:val="20"/>
          <w:lang w:val="es-CO"/>
        </w:rPr>
        <w:footnoteReference w:id="21"/>
      </w:r>
      <w:r w:rsidRPr="00E66386">
        <w:rPr>
          <w:rFonts w:asciiTheme="majorHAnsi" w:hAnsiTheme="majorHAnsi"/>
          <w:sz w:val="20"/>
          <w:szCs w:val="20"/>
          <w:lang w:val="es-CO"/>
        </w:rPr>
        <w:t>.</w:t>
      </w:r>
    </w:p>
    <w:p w14:paraId="32007448" w14:textId="327644D5" w:rsidR="00283749" w:rsidRPr="00E66386" w:rsidRDefault="006E27E0" w:rsidP="00EF290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La prohibición contra el genocidio </w:t>
      </w:r>
      <w:r w:rsidR="009A7862" w:rsidRPr="00E66386">
        <w:rPr>
          <w:rFonts w:asciiTheme="majorHAnsi" w:hAnsiTheme="majorHAnsi"/>
          <w:sz w:val="20"/>
          <w:szCs w:val="20"/>
          <w:lang w:val="es-ES"/>
        </w:rPr>
        <w:t xml:space="preserve">ha adoptado el carácter de norma </w:t>
      </w:r>
      <w:r w:rsidR="00155DB1" w:rsidRPr="00E66386">
        <w:rPr>
          <w:rFonts w:asciiTheme="majorHAnsi" w:hAnsiTheme="majorHAnsi"/>
          <w:sz w:val="20"/>
          <w:szCs w:val="20"/>
          <w:lang w:val="es-ES"/>
        </w:rPr>
        <w:t xml:space="preserve">imperativa </w:t>
      </w:r>
      <w:r w:rsidR="009A7862" w:rsidRPr="00E66386">
        <w:rPr>
          <w:rFonts w:asciiTheme="majorHAnsi" w:hAnsiTheme="majorHAnsi"/>
          <w:sz w:val="20"/>
          <w:szCs w:val="20"/>
          <w:lang w:val="es-ES"/>
        </w:rPr>
        <w:t xml:space="preserve">de </w:t>
      </w:r>
      <w:r w:rsidR="00155DB1" w:rsidRPr="00E66386">
        <w:rPr>
          <w:rFonts w:asciiTheme="majorHAnsi" w:hAnsiTheme="majorHAnsi"/>
          <w:sz w:val="20"/>
          <w:szCs w:val="20"/>
          <w:lang w:val="es-ES"/>
        </w:rPr>
        <w:t xml:space="preserve">derecho internacional, es decir, de </w:t>
      </w:r>
      <w:r w:rsidR="009A7862" w:rsidRPr="00E66386">
        <w:rPr>
          <w:rFonts w:asciiTheme="majorHAnsi" w:hAnsiTheme="majorHAnsi"/>
          <w:i/>
          <w:iCs/>
          <w:sz w:val="20"/>
          <w:szCs w:val="20"/>
          <w:lang w:val="es-ES"/>
        </w:rPr>
        <w:t>ius cogens</w:t>
      </w:r>
      <w:r w:rsidR="00CF69F3" w:rsidRPr="00E66386">
        <w:rPr>
          <w:rStyle w:val="FootnoteReference"/>
          <w:rFonts w:asciiTheme="majorHAnsi" w:hAnsiTheme="majorHAnsi"/>
          <w:sz w:val="20"/>
          <w:szCs w:val="20"/>
          <w:lang w:val="es-ES"/>
        </w:rPr>
        <w:footnoteReference w:id="22"/>
      </w:r>
      <w:r w:rsidR="00155DB1" w:rsidRPr="00E66386">
        <w:rPr>
          <w:rFonts w:asciiTheme="majorHAnsi" w:hAnsiTheme="majorHAnsi"/>
          <w:sz w:val="20"/>
          <w:szCs w:val="20"/>
          <w:lang w:val="es-ES"/>
        </w:rPr>
        <w:t>.</w:t>
      </w:r>
      <w:r w:rsidR="00DA642B" w:rsidRPr="00E66386">
        <w:rPr>
          <w:rFonts w:asciiTheme="majorHAnsi" w:hAnsiTheme="majorHAnsi"/>
          <w:sz w:val="20"/>
          <w:szCs w:val="20"/>
          <w:lang w:val="es-ES"/>
        </w:rPr>
        <w:t xml:space="preserve"> </w:t>
      </w:r>
      <w:r w:rsidR="0085787C" w:rsidRPr="00E66386">
        <w:rPr>
          <w:rFonts w:asciiTheme="majorHAnsi" w:hAnsiTheme="majorHAnsi"/>
          <w:sz w:val="20"/>
          <w:szCs w:val="20"/>
          <w:lang w:val="es-ES"/>
        </w:rPr>
        <w:t xml:space="preserve">Además, el artículo XI de la Declaración Americana </w:t>
      </w:r>
      <w:r w:rsidR="00737F18" w:rsidRPr="00E66386">
        <w:rPr>
          <w:rFonts w:asciiTheme="majorHAnsi" w:hAnsiTheme="majorHAnsi"/>
          <w:sz w:val="20"/>
          <w:szCs w:val="20"/>
          <w:lang w:val="es-ES"/>
        </w:rPr>
        <w:t xml:space="preserve">sobre los Derechos de los Pueblos </w:t>
      </w:r>
      <w:r w:rsidR="00487831" w:rsidRPr="00E66386">
        <w:rPr>
          <w:rFonts w:asciiTheme="majorHAnsi" w:hAnsiTheme="majorHAnsi"/>
          <w:sz w:val="20"/>
          <w:szCs w:val="20"/>
          <w:lang w:val="es-ES"/>
        </w:rPr>
        <w:t>I</w:t>
      </w:r>
      <w:r w:rsidR="00737F18" w:rsidRPr="00E66386">
        <w:rPr>
          <w:rFonts w:asciiTheme="majorHAnsi" w:hAnsiTheme="majorHAnsi"/>
          <w:sz w:val="20"/>
          <w:szCs w:val="20"/>
          <w:lang w:val="es-ES"/>
        </w:rPr>
        <w:t>ndígenas consagra el derecho a la protección contra el genocidio, conforme a la cual, “[l]</w:t>
      </w:r>
      <w:r w:rsidR="00737F18" w:rsidRPr="00E66386">
        <w:rPr>
          <w:rFonts w:asciiTheme="majorHAnsi" w:hAnsiTheme="majorHAnsi"/>
          <w:sz w:val="20"/>
          <w:szCs w:val="20"/>
          <w:lang w:val="es-CO"/>
        </w:rPr>
        <w:t>os pueblos indígenas tienen derecho a no ser objeto de forma alguna de genocidio o intento de exterminio”</w:t>
      </w:r>
      <w:r w:rsidR="00892C40" w:rsidRPr="00E66386">
        <w:rPr>
          <w:rStyle w:val="FootnoteReference"/>
          <w:rFonts w:asciiTheme="majorHAnsi" w:hAnsiTheme="majorHAnsi"/>
          <w:sz w:val="20"/>
          <w:szCs w:val="20"/>
          <w:lang w:val="es-CO"/>
        </w:rPr>
        <w:footnoteReference w:id="23"/>
      </w:r>
      <w:r w:rsidR="00737F18" w:rsidRPr="00E66386">
        <w:rPr>
          <w:rFonts w:asciiTheme="majorHAnsi" w:hAnsiTheme="majorHAnsi"/>
          <w:sz w:val="20"/>
          <w:szCs w:val="20"/>
          <w:lang w:val="es-CO"/>
        </w:rPr>
        <w:t>.</w:t>
      </w:r>
      <w:r w:rsidR="00737F18" w:rsidRPr="00E66386">
        <w:rPr>
          <w:rFonts w:asciiTheme="majorHAnsi" w:hAnsiTheme="majorHAnsi"/>
          <w:sz w:val="20"/>
          <w:szCs w:val="20"/>
          <w:lang w:val="es-ES"/>
        </w:rPr>
        <w:t xml:space="preserve"> </w:t>
      </w:r>
      <w:r w:rsidR="00D40097" w:rsidRPr="00E66386">
        <w:rPr>
          <w:rFonts w:asciiTheme="majorHAnsi" w:hAnsiTheme="majorHAnsi"/>
          <w:sz w:val="20"/>
          <w:szCs w:val="20"/>
          <w:lang w:val="es-ES"/>
        </w:rPr>
        <w:t xml:space="preserve">Las alegaciones de la parte peticionaria aluden a la comisión de este crimen internacional en perjuicio del pueblo </w:t>
      </w:r>
      <w:r w:rsidR="00C51C64" w:rsidRPr="00E66386">
        <w:rPr>
          <w:rFonts w:asciiTheme="majorHAnsi" w:hAnsiTheme="majorHAnsi"/>
          <w:sz w:val="20"/>
          <w:szCs w:val="20"/>
          <w:lang w:val="es-ES"/>
        </w:rPr>
        <w:t>Ixil</w:t>
      </w:r>
      <w:r w:rsidR="004F72DD" w:rsidRPr="00E66386">
        <w:rPr>
          <w:rFonts w:asciiTheme="majorHAnsi" w:hAnsiTheme="majorHAnsi"/>
          <w:sz w:val="20"/>
          <w:szCs w:val="20"/>
          <w:lang w:val="es-ES"/>
        </w:rPr>
        <w:t xml:space="preserve"> por los actos cometidos por integrantes del ejército </w:t>
      </w:r>
      <w:r w:rsidR="00713E84" w:rsidRPr="00E66386">
        <w:rPr>
          <w:rFonts w:asciiTheme="majorHAnsi" w:hAnsiTheme="majorHAnsi"/>
          <w:sz w:val="20"/>
          <w:szCs w:val="20"/>
          <w:lang w:val="es-ES"/>
        </w:rPr>
        <w:t>guatemalteco</w:t>
      </w:r>
      <w:r w:rsidR="004F72DD" w:rsidRPr="00E66386">
        <w:rPr>
          <w:rFonts w:asciiTheme="majorHAnsi" w:hAnsiTheme="majorHAnsi"/>
          <w:sz w:val="20"/>
          <w:szCs w:val="20"/>
          <w:lang w:val="es-ES"/>
        </w:rPr>
        <w:t xml:space="preserve"> entre </w:t>
      </w:r>
      <w:r w:rsidR="00713E84" w:rsidRPr="00E66386">
        <w:rPr>
          <w:rFonts w:asciiTheme="majorHAnsi" w:hAnsiTheme="majorHAnsi"/>
          <w:sz w:val="20"/>
          <w:szCs w:val="20"/>
          <w:lang w:val="es-ES"/>
        </w:rPr>
        <w:t>1982 y 1983 al mando de José Efraín Ríos Montt</w:t>
      </w:r>
      <w:r w:rsidR="006751D8" w:rsidRPr="00E66386">
        <w:rPr>
          <w:rFonts w:asciiTheme="majorHAnsi" w:hAnsiTheme="majorHAnsi"/>
          <w:sz w:val="20"/>
          <w:szCs w:val="20"/>
          <w:lang w:val="es-ES"/>
        </w:rPr>
        <w:t xml:space="preserve">. </w:t>
      </w:r>
      <w:r w:rsidR="001A4803" w:rsidRPr="00E66386">
        <w:rPr>
          <w:rFonts w:asciiTheme="majorHAnsi" w:hAnsiTheme="majorHAnsi"/>
          <w:sz w:val="20"/>
          <w:szCs w:val="20"/>
          <w:lang w:val="es-ES"/>
        </w:rPr>
        <w:t>Por su parte, e</w:t>
      </w:r>
      <w:r w:rsidR="006751D8" w:rsidRPr="00E66386">
        <w:rPr>
          <w:rFonts w:asciiTheme="majorHAnsi" w:hAnsiTheme="majorHAnsi"/>
          <w:sz w:val="20"/>
          <w:szCs w:val="20"/>
          <w:lang w:val="es-ES"/>
        </w:rPr>
        <w:t>l Estado controvierte la denominación</w:t>
      </w:r>
      <w:r w:rsidR="00713E84" w:rsidRPr="00E66386">
        <w:rPr>
          <w:rFonts w:asciiTheme="majorHAnsi" w:hAnsiTheme="majorHAnsi"/>
          <w:sz w:val="20"/>
          <w:szCs w:val="20"/>
          <w:lang w:val="es-ES"/>
        </w:rPr>
        <w:t xml:space="preserve"> de estos hechos como de “genocidio </w:t>
      </w:r>
      <w:r w:rsidR="00C51C64" w:rsidRPr="00E66386">
        <w:rPr>
          <w:rFonts w:asciiTheme="majorHAnsi" w:hAnsiTheme="majorHAnsi"/>
          <w:sz w:val="20"/>
          <w:szCs w:val="20"/>
          <w:lang w:val="es-ES"/>
        </w:rPr>
        <w:t>Ixil</w:t>
      </w:r>
      <w:r w:rsidR="00713E84" w:rsidRPr="00E66386">
        <w:rPr>
          <w:rFonts w:asciiTheme="majorHAnsi" w:hAnsiTheme="majorHAnsi"/>
          <w:sz w:val="20"/>
          <w:szCs w:val="20"/>
          <w:lang w:val="es-ES"/>
        </w:rPr>
        <w:t xml:space="preserve">” por considerar que se trata de una </w:t>
      </w:r>
      <w:r w:rsidR="00514243" w:rsidRPr="00E66386">
        <w:rPr>
          <w:rFonts w:asciiTheme="majorHAnsi" w:hAnsiTheme="majorHAnsi"/>
          <w:sz w:val="20"/>
          <w:szCs w:val="20"/>
          <w:lang w:val="es-ES"/>
        </w:rPr>
        <w:t xml:space="preserve">“manifestación política de la que el Estado no participa”. </w:t>
      </w:r>
      <w:r w:rsidR="001B06B8" w:rsidRPr="00E66386">
        <w:rPr>
          <w:rFonts w:asciiTheme="majorHAnsi" w:hAnsiTheme="majorHAnsi"/>
          <w:sz w:val="20"/>
          <w:szCs w:val="20"/>
          <w:lang w:val="es-ES"/>
        </w:rPr>
        <w:t xml:space="preserve">La Comisión </w:t>
      </w:r>
      <w:r w:rsidR="007B26A9" w:rsidRPr="00E66386">
        <w:rPr>
          <w:rFonts w:asciiTheme="majorHAnsi" w:hAnsiTheme="majorHAnsi"/>
          <w:sz w:val="20"/>
          <w:szCs w:val="20"/>
          <w:lang w:val="es-ES"/>
        </w:rPr>
        <w:t xml:space="preserve">considera </w:t>
      </w:r>
      <w:r w:rsidR="00545F71" w:rsidRPr="00E66386">
        <w:rPr>
          <w:rFonts w:asciiTheme="majorHAnsi" w:hAnsiTheme="majorHAnsi"/>
          <w:sz w:val="20"/>
          <w:szCs w:val="20"/>
          <w:lang w:val="es-ES"/>
        </w:rPr>
        <w:t xml:space="preserve">que caracterizar los hechos denunciados como un </w:t>
      </w:r>
      <w:r w:rsidR="007B26A9" w:rsidRPr="00E66386">
        <w:rPr>
          <w:rFonts w:asciiTheme="majorHAnsi" w:hAnsiTheme="majorHAnsi"/>
          <w:sz w:val="20"/>
          <w:szCs w:val="20"/>
          <w:lang w:val="es-ES"/>
        </w:rPr>
        <w:t>genocidio</w:t>
      </w:r>
      <w:r w:rsidR="00545F71" w:rsidRPr="00E66386">
        <w:rPr>
          <w:rFonts w:asciiTheme="majorHAnsi" w:hAnsiTheme="majorHAnsi"/>
          <w:sz w:val="20"/>
          <w:szCs w:val="20"/>
          <w:lang w:val="es-ES"/>
        </w:rPr>
        <w:t xml:space="preserve"> o no hacerlo</w:t>
      </w:r>
      <w:r w:rsidR="007B26A9" w:rsidRPr="00E66386">
        <w:rPr>
          <w:rFonts w:asciiTheme="majorHAnsi" w:hAnsiTheme="majorHAnsi"/>
          <w:sz w:val="20"/>
          <w:szCs w:val="20"/>
          <w:lang w:val="es-ES"/>
        </w:rPr>
        <w:t xml:space="preserve">, </w:t>
      </w:r>
      <w:r w:rsidR="000B7E21" w:rsidRPr="00E66386">
        <w:rPr>
          <w:rFonts w:asciiTheme="majorHAnsi" w:hAnsiTheme="majorHAnsi"/>
          <w:sz w:val="20"/>
          <w:szCs w:val="20"/>
          <w:lang w:val="es-ES"/>
        </w:rPr>
        <w:t>forma parte del análisis jurídico</w:t>
      </w:r>
      <w:r w:rsidR="00FE2EBD" w:rsidRPr="00E66386">
        <w:rPr>
          <w:rFonts w:asciiTheme="majorHAnsi" w:hAnsiTheme="majorHAnsi"/>
          <w:sz w:val="20"/>
          <w:szCs w:val="20"/>
          <w:lang w:val="es-ES"/>
        </w:rPr>
        <w:t>,</w:t>
      </w:r>
      <w:r w:rsidR="000B7E21" w:rsidRPr="00E66386">
        <w:rPr>
          <w:rFonts w:asciiTheme="majorHAnsi" w:hAnsiTheme="majorHAnsi"/>
          <w:sz w:val="20"/>
          <w:szCs w:val="20"/>
          <w:lang w:val="es-ES"/>
        </w:rPr>
        <w:t xml:space="preserve"> a la luz de la normativa internacional y de los derechos protegidos en la Convención Americana, que corresponde dilucidar en la etapa de fondo. </w:t>
      </w:r>
      <w:r w:rsidR="00243C96" w:rsidRPr="00E66386">
        <w:rPr>
          <w:rFonts w:asciiTheme="majorHAnsi" w:hAnsiTheme="majorHAnsi"/>
          <w:sz w:val="20"/>
          <w:szCs w:val="20"/>
          <w:lang w:val="es-ES"/>
        </w:rPr>
        <w:t>Sin embargo</w:t>
      </w:r>
      <w:r w:rsidR="000B7E21" w:rsidRPr="00E66386">
        <w:rPr>
          <w:rFonts w:asciiTheme="majorHAnsi" w:hAnsiTheme="majorHAnsi"/>
          <w:sz w:val="20"/>
          <w:szCs w:val="20"/>
          <w:lang w:val="es-ES"/>
        </w:rPr>
        <w:t xml:space="preserve">, </w:t>
      </w:r>
      <w:r w:rsidR="00187D96" w:rsidRPr="00E66386">
        <w:rPr>
          <w:rFonts w:asciiTheme="majorHAnsi" w:hAnsiTheme="majorHAnsi"/>
          <w:sz w:val="20"/>
          <w:szCs w:val="20"/>
          <w:lang w:val="es-ES"/>
        </w:rPr>
        <w:t>recalca que, de corroborarse las</w:t>
      </w:r>
      <w:r w:rsidR="004C3C04" w:rsidRPr="00E66386">
        <w:rPr>
          <w:rFonts w:asciiTheme="majorHAnsi" w:hAnsiTheme="majorHAnsi"/>
          <w:sz w:val="20"/>
          <w:szCs w:val="20"/>
          <w:lang w:val="es-ES"/>
        </w:rPr>
        <w:t xml:space="preserve"> alegaciones de los peticionarios,</w:t>
      </w:r>
      <w:r w:rsidR="00187D96" w:rsidRPr="00E66386">
        <w:rPr>
          <w:rFonts w:asciiTheme="majorHAnsi" w:hAnsiTheme="majorHAnsi"/>
          <w:sz w:val="20"/>
          <w:szCs w:val="20"/>
          <w:lang w:val="es-ES"/>
        </w:rPr>
        <w:t xml:space="preserve"> la magnitud de los hechos denunciados</w:t>
      </w:r>
      <w:r w:rsidR="00096E40" w:rsidRPr="00E66386">
        <w:rPr>
          <w:rFonts w:asciiTheme="majorHAnsi" w:hAnsiTheme="majorHAnsi"/>
          <w:sz w:val="20"/>
          <w:szCs w:val="20"/>
          <w:lang w:val="es-ES"/>
        </w:rPr>
        <w:t xml:space="preserve"> comportaría </w:t>
      </w:r>
      <w:r w:rsidR="009973D9" w:rsidRPr="00E66386">
        <w:rPr>
          <w:rFonts w:asciiTheme="majorHAnsi" w:hAnsiTheme="majorHAnsi"/>
          <w:sz w:val="20"/>
          <w:szCs w:val="20"/>
          <w:lang w:val="es-ES"/>
        </w:rPr>
        <w:t xml:space="preserve">una grave violación de los derechos invocados, de la misma naturaleza </w:t>
      </w:r>
      <w:r w:rsidR="00AF66EC" w:rsidRPr="00E66386">
        <w:rPr>
          <w:rFonts w:asciiTheme="majorHAnsi" w:hAnsiTheme="majorHAnsi"/>
          <w:sz w:val="20"/>
          <w:szCs w:val="20"/>
          <w:lang w:val="es-ES"/>
        </w:rPr>
        <w:t>qu</w:t>
      </w:r>
      <w:r w:rsidR="003C04D0" w:rsidRPr="00E66386">
        <w:rPr>
          <w:rFonts w:asciiTheme="majorHAnsi" w:hAnsiTheme="majorHAnsi"/>
          <w:sz w:val="20"/>
          <w:szCs w:val="20"/>
          <w:lang w:val="es-ES"/>
        </w:rPr>
        <w:t xml:space="preserve">e </w:t>
      </w:r>
      <w:r w:rsidR="00F1082C" w:rsidRPr="00E66386">
        <w:rPr>
          <w:rFonts w:asciiTheme="majorHAnsi" w:hAnsiTheme="majorHAnsi"/>
          <w:sz w:val="20"/>
          <w:szCs w:val="20"/>
          <w:lang w:val="es-ES"/>
        </w:rPr>
        <w:t xml:space="preserve">las atrocidades </w:t>
      </w:r>
      <w:r w:rsidR="00525CBD" w:rsidRPr="00E66386">
        <w:rPr>
          <w:rFonts w:asciiTheme="majorHAnsi" w:hAnsiTheme="majorHAnsi"/>
          <w:sz w:val="20"/>
          <w:szCs w:val="20"/>
          <w:lang w:val="es-ES"/>
        </w:rPr>
        <w:t xml:space="preserve">a partir </w:t>
      </w:r>
      <w:r w:rsidR="00F1082C" w:rsidRPr="00E66386">
        <w:rPr>
          <w:rFonts w:asciiTheme="majorHAnsi" w:hAnsiTheme="majorHAnsi"/>
          <w:sz w:val="20"/>
          <w:szCs w:val="20"/>
          <w:lang w:val="es-ES"/>
        </w:rPr>
        <w:t xml:space="preserve">de las </w:t>
      </w:r>
      <w:r w:rsidR="00525CBD" w:rsidRPr="00E66386">
        <w:rPr>
          <w:rFonts w:asciiTheme="majorHAnsi" w:hAnsiTheme="majorHAnsi"/>
          <w:sz w:val="20"/>
          <w:szCs w:val="20"/>
          <w:lang w:val="es-ES"/>
        </w:rPr>
        <w:t xml:space="preserve">cuales </w:t>
      </w:r>
      <w:r w:rsidR="00F1082C" w:rsidRPr="00E66386">
        <w:rPr>
          <w:rFonts w:asciiTheme="majorHAnsi" w:hAnsiTheme="majorHAnsi"/>
          <w:sz w:val="20"/>
          <w:szCs w:val="20"/>
          <w:lang w:val="es-ES"/>
        </w:rPr>
        <w:t>se erigi</w:t>
      </w:r>
      <w:r w:rsidR="008C4E7F" w:rsidRPr="00E66386">
        <w:rPr>
          <w:rFonts w:asciiTheme="majorHAnsi" w:hAnsiTheme="majorHAnsi"/>
          <w:sz w:val="20"/>
          <w:szCs w:val="20"/>
          <w:lang w:val="es-ES"/>
        </w:rPr>
        <w:t>eron</w:t>
      </w:r>
      <w:r w:rsidR="00F1082C" w:rsidRPr="00E66386">
        <w:rPr>
          <w:rFonts w:asciiTheme="majorHAnsi" w:hAnsiTheme="majorHAnsi"/>
          <w:sz w:val="20"/>
          <w:szCs w:val="20"/>
          <w:lang w:val="es-ES"/>
        </w:rPr>
        <w:t xml:space="preserve"> el derecho internacional y l</w:t>
      </w:r>
      <w:r w:rsidR="0074318D" w:rsidRPr="00E66386">
        <w:rPr>
          <w:rFonts w:asciiTheme="majorHAnsi" w:hAnsiTheme="majorHAnsi"/>
          <w:sz w:val="20"/>
          <w:szCs w:val="20"/>
          <w:lang w:val="es-ES"/>
        </w:rPr>
        <w:t>os</w:t>
      </w:r>
      <w:r w:rsidR="00F1082C" w:rsidRPr="00E66386">
        <w:rPr>
          <w:rFonts w:asciiTheme="majorHAnsi" w:hAnsiTheme="majorHAnsi"/>
          <w:sz w:val="20"/>
          <w:szCs w:val="20"/>
          <w:lang w:val="es-ES"/>
        </w:rPr>
        <w:t xml:space="preserve"> </w:t>
      </w:r>
      <w:r w:rsidR="0090395E" w:rsidRPr="00E66386">
        <w:rPr>
          <w:rFonts w:asciiTheme="majorHAnsi" w:hAnsiTheme="majorHAnsi"/>
          <w:sz w:val="20"/>
          <w:szCs w:val="20"/>
          <w:lang w:val="es-ES"/>
        </w:rPr>
        <w:t>sistema</w:t>
      </w:r>
      <w:r w:rsidR="0074318D" w:rsidRPr="00E66386">
        <w:rPr>
          <w:rFonts w:asciiTheme="majorHAnsi" w:hAnsiTheme="majorHAnsi"/>
          <w:sz w:val="20"/>
          <w:szCs w:val="20"/>
          <w:lang w:val="es-ES"/>
        </w:rPr>
        <w:t>s</w:t>
      </w:r>
      <w:r w:rsidR="0090395E" w:rsidRPr="00E66386">
        <w:rPr>
          <w:rFonts w:asciiTheme="majorHAnsi" w:hAnsiTheme="majorHAnsi"/>
          <w:sz w:val="20"/>
          <w:szCs w:val="20"/>
          <w:lang w:val="es-ES"/>
        </w:rPr>
        <w:t xml:space="preserve"> internacional</w:t>
      </w:r>
      <w:r w:rsidR="0074318D" w:rsidRPr="00E66386">
        <w:rPr>
          <w:rFonts w:asciiTheme="majorHAnsi" w:hAnsiTheme="majorHAnsi"/>
          <w:sz w:val="20"/>
          <w:szCs w:val="20"/>
          <w:lang w:val="es-ES"/>
        </w:rPr>
        <w:t>es</w:t>
      </w:r>
      <w:r w:rsidR="0090395E" w:rsidRPr="00E66386">
        <w:rPr>
          <w:rFonts w:asciiTheme="majorHAnsi" w:hAnsiTheme="majorHAnsi"/>
          <w:sz w:val="20"/>
          <w:szCs w:val="20"/>
          <w:lang w:val="es-ES"/>
        </w:rPr>
        <w:t xml:space="preserve"> </w:t>
      </w:r>
      <w:r w:rsidR="00F1082C" w:rsidRPr="00E66386">
        <w:rPr>
          <w:rFonts w:asciiTheme="majorHAnsi" w:hAnsiTheme="majorHAnsi"/>
          <w:sz w:val="20"/>
          <w:szCs w:val="20"/>
          <w:lang w:val="es-ES"/>
        </w:rPr>
        <w:t>de protección de derechos humanos</w:t>
      </w:r>
      <w:r w:rsidR="00AC167C" w:rsidRPr="00E66386">
        <w:rPr>
          <w:rFonts w:asciiTheme="majorHAnsi" w:hAnsiTheme="majorHAnsi"/>
          <w:sz w:val="20"/>
          <w:szCs w:val="20"/>
          <w:lang w:val="es-ES"/>
        </w:rPr>
        <w:t>.</w:t>
      </w:r>
    </w:p>
    <w:p w14:paraId="41201B8A" w14:textId="5324CA2B" w:rsidR="00C8051E" w:rsidRPr="00E66386" w:rsidRDefault="00A56C27" w:rsidP="00EF290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En esa línea, </w:t>
      </w:r>
      <w:r w:rsidR="00516F7D" w:rsidRPr="00E66386">
        <w:rPr>
          <w:rFonts w:asciiTheme="majorHAnsi" w:hAnsiTheme="majorHAnsi"/>
          <w:sz w:val="20"/>
          <w:szCs w:val="20"/>
          <w:lang w:val="es-ES"/>
        </w:rPr>
        <w:t xml:space="preserve">la posible </w:t>
      </w:r>
      <w:r w:rsidR="00545F71" w:rsidRPr="00E66386">
        <w:rPr>
          <w:rFonts w:asciiTheme="majorHAnsi" w:hAnsiTheme="majorHAnsi"/>
          <w:sz w:val="20"/>
          <w:szCs w:val="20"/>
          <w:lang w:val="es-ES"/>
        </w:rPr>
        <w:t xml:space="preserve">caracterización de los hechos como </w:t>
      </w:r>
      <w:r w:rsidR="00516F7D" w:rsidRPr="00E66386">
        <w:rPr>
          <w:rFonts w:asciiTheme="majorHAnsi" w:hAnsiTheme="majorHAnsi"/>
          <w:sz w:val="20"/>
          <w:szCs w:val="20"/>
          <w:lang w:val="es-ES"/>
        </w:rPr>
        <w:t xml:space="preserve">  un genocidio étnico implicaría una </w:t>
      </w:r>
      <w:r w:rsidR="00A973AF" w:rsidRPr="00E66386">
        <w:rPr>
          <w:rFonts w:asciiTheme="majorHAnsi" w:hAnsiTheme="majorHAnsi"/>
          <w:sz w:val="20"/>
          <w:szCs w:val="20"/>
          <w:lang w:val="es-ES"/>
        </w:rPr>
        <w:t>violación de</w:t>
      </w:r>
      <w:r w:rsidR="00027C1D" w:rsidRPr="00E66386">
        <w:rPr>
          <w:rFonts w:asciiTheme="majorHAnsi" w:hAnsiTheme="majorHAnsi"/>
          <w:sz w:val="20"/>
          <w:szCs w:val="20"/>
          <w:lang w:val="es-ES"/>
        </w:rPr>
        <w:t xml:space="preserve"> </w:t>
      </w:r>
      <w:r w:rsidR="00A973AF" w:rsidRPr="00E66386">
        <w:rPr>
          <w:rFonts w:asciiTheme="majorHAnsi" w:hAnsiTheme="majorHAnsi"/>
          <w:sz w:val="20"/>
          <w:szCs w:val="20"/>
          <w:lang w:val="es-ES"/>
        </w:rPr>
        <w:t>l</w:t>
      </w:r>
      <w:r w:rsidR="00027C1D" w:rsidRPr="00E66386">
        <w:rPr>
          <w:rFonts w:asciiTheme="majorHAnsi" w:hAnsiTheme="majorHAnsi"/>
          <w:sz w:val="20"/>
          <w:szCs w:val="20"/>
          <w:lang w:val="es-ES"/>
        </w:rPr>
        <w:t xml:space="preserve">os derechos a la vida (artículo 4), </w:t>
      </w:r>
      <w:r w:rsidR="00A973AF" w:rsidRPr="00E66386">
        <w:rPr>
          <w:rFonts w:asciiTheme="majorHAnsi" w:hAnsiTheme="majorHAnsi"/>
          <w:sz w:val="20"/>
          <w:szCs w:val="20"/>
          <w:lang w:val="es-ES"/>
        </w:rPr>
        <w:t xml:space="preserve">a la </w:t>
      </w:r>
      <w:r w:rsidR="00027C1D" w:rsidRPr="00E66386">
        <w:rPr>
          <w:rFonts w:asciiTheme="majorHAnsi" w:hAnsiTheme="majorHAnsi"/>
          <w:sz w:val="20"/>
          <w:szCs w:val="20"/>
          <w:lang w:val="es-ES"/>
        </w:rPr>
        <w:t xml:space="preserve">integridad física, (artículo 5), </w:t>
      </w:r>
      <w:r w:rsidR="00CF3292" w:rsidRPr="00E66386">
        <w:rPr>
          <w:rFonts w:asciiTheme="majorHAnsi" w:hAnsiTheme="majorHAnsi"/>
          <w:sz w:val="20"/>
          <w:szCs w:val="20"/>
          <w:lang w:val="es-ES"/>
        </w:rPr>
        <w:t xml:space="preserve">a la libertad y seguridad </w:t>
      </w:r>
      <w:r w:rsidR="00CF3292" w:rsidRPr="00E66386">
        <w:rPr>
          <w:rFonts w:asciiTheme="majorHAnsi" w:hAnsiTheme="majorHAnsi"/>
          <w:sz w:val="20"/>
          <w:szCs w:val="20"/>
          <w:lang w:val="es-ES"/>
        </w:rPr>
        <w:lastRenderedPageBreak/>
        <w:t xml:space="preserve">personal (artículo 7), </w:t>
      </w:r>
      <w:r w:rsidR="00880FEE" w:rsidRPr="00E66386">
        <w:rPr>
          <w:rFonts w:asciiTheme="majorHAnsi" w:hAnsiTheme="majorHAnsi"/>
          <w:sz w:val="20"/>
          <w:szCs w:val="20"/>
          <w:lang w:val="es-ES"/>
        </w:rPr>
        <w:t>a la vida privada (artículo 11),</w:t>
      </w:r>
      <w:r w:rsidR="003F4B3B" w:rsidRPr="00E66386">
        <w:rPr>
          <w:rFonts w:asciiTheme="majorHAnsi" w:hAnsiTheme="majorHAnsi"/>
          <w:sz w:val="20"/>
          <w:szCs w:val="20"/>
          <w:lang w:val="es-ES"/>
        </w:rPr>
        <w:t xml:space="preserve"> a</w:t>
      </w:r>
      <w:r w:rsidR="008B159B" w:rsidRPr="00E66386">
        <w:rPr>
          <w:rFonts w:asciiTheme="majorHAnsi" w:hAnsiTheme="majorHAnsi"/>
          <w:sz w:val="20"/>
          <w:szCs w:val="20"/>
          <w:lang w:val="es-ES"/>
        </w:rPr>
        <w:t xml:space="preserve"> la</w:t>
      </w:r>
      <w:r w:rsidR="00880FEE" w:rsidRPr="00E66386">
        <w:rPr>
          <w:rFonts w:asciiTheme="majorHAnsi" w:hAnsiTheme="majorHAnsi"/>
          <w:sz w:val="20"/>
          <w:szCs w:val="20"/>
          <w:lang w:val="es-ES"/>
        </w:rPr>
        <w:t xml:space="preserve"> </w:t>
      </w:r>
      <w:r w:rsidR="00016EB3" w:rsidRPr="00E66386">
        <w:rPr>
          <w:rFonts w:asciiTheme="majorHAnsi" w:hAnsiTheme="majorHAnsi"/>
          <w:sz w:val="20"/>
          <w:szCs w:val="20"/>
          <w:lang w:val="es-ES"/>
        </w:rPr>
        <w:t xml:space="preserve">libertad de conciencia y religión (artículo 12), </w:t>
      </w:r>
      <w:r w:rsidR="006A1068" w:rsidRPr="00E66386">
        <w:rPr>
          <w:rFonts w:asciiTheme="majorHAnsi" w:hAnsiTheme="majorHAnsi"/>
          <w:sz w:val="20"/>
          <w:szCs w:val="20"/>
          <w:lang w:val="es-ES"/>
        </w:rPr>
        <w:t xml:space="preserve">a </w:t>
      </w:r>
      <w:r w:rsidR="00880FEE" w:rsidRPr="00E66386">
        <w:rPr>
          <w:rFonts w:asciiTheme="majorHAnsi" w:hAnsiTheme="majorHAnsi"/>
          <w:sz w:val="20"/>
          <w:szCs w:val="20"/>
          <w:lang w:val="es-ES"/>
        </w:rPr>
        <w:t xml:space="preserve">los derechos de los niños (artículo 19), </w:t>
      </w:r>
      <w:r w:rsidR="006A1068" w:rsidRPr="00E66386">
        <w:rPr>
          <w:rFonts w:asciiTheme="majorHAnsi" w:hAnsiTheme="majorHAnsi"/>
          <w:sz w:val="20"/>
          <w:szCs w:val="20"/>
          <w:lang w:val="es-ES"/>
        </w:rPr>
        <w:t xml:space="preserve">a la </w:t>
      </w:r>
      <w:r w:rsidR="00880FEE" w:rsidRPr="00E66386">
        <w:rPr>
          <w:rFonts w:asciiTheme="majorHAnsi" w:hAnsiTheme="majorHAnsi"/>
          <w:sz w:val="20"/>
          <w:szCs w:val="20"/>
          <w:lang w:val="es-ES"/>
        </w:rPr>
        <w:t xml:space="preserve">libertad de circulación y residencia (artículo 22) </w:t>
      </w:r>
      <w:r w:rsidR="006A1068" w:rsidRPr="00E66386">
        <w:rPr>
          <w:rFonts w:asciiTheme="majorHAnsi" w:hAnsiTheme="majorHAnsi"/>
          <w:sz w:val="20"/>
          <w:szCs w:val="20"/>
          <w:lang w:val="es-ES"/>
        </w:rPr>
        <w:t>y a la</w:t>
      </w:r>
      <w:r w:rsidR="00880FEE" w:rsidRPr="00E66386">
        <w:rPr>
          <w:rFonts w:asciiTheme="majorHAnsi" w:hAnsiTheme="majorHAnsi"/>
          <w:sz w:val="20"/>
          <w:szCs w:val="20"/>
          <w:lang w:val="es-ES"/>
        </w:rPr>
        <w:t xml:space="preserve"> </w:t>
      </w:r>
      <w:r w:rsidR="00A973AF" w:rsidRPr="00E66386">
        <w:rPr>
          <w:rFonts w:asciiTheme="majorHAnsi" w:hAnsiTheme="majorHAnsi"/>
          <w:sz w:val="20"/>
          <w:szCs w:val="20"/>
          <w:lang w:val="es-ES"/>
        </w:rPr>
        <w:t>igualdad (artículo 24 de la Convención Americana)</w:t>
      </w:r>
      <w:r w:rsidR="00880FEE" w:rsidRPr="00E66386">
        <w:rPr>
          <w:rFonts w:asciiTheme="majorHAnsi" w:hAnsiTheme="majorHAnsi"/>
          <w:sz w:val="20"/>
          <w:szCs w:val="20"/>
          <w:lang w:val="es-ES"/>
        </w:rPr>
        <w:t>.</w:t>
      </w:r>
      <w:r w:rsidR="00E474F4" w:rsidRPr="00E66386">
        <w:rPr>
          <w:rFonts w:asciiTheme="majorHAnsi" w:hAnsiTheme="majorHAnsi"/>
          <w:sz w:val="20"/>
          <w:szCs w:val="20"/>
          <w:lang w:val="es-ES"/>
        </w:rPr>
        <w:t xml:space="preserve"> </w:t>
      </w:r>
      <w:r w:rsidR="00CD436E" w:rsidRPr="00E66386">
        <w:rPr>
          <w:rFonts w:asciiTheme="majorHAnsi" w:hAnsiTheme="majorHAnsi"/>
          <w:sz w:val="20"/>
          <w:szCs w:val="20"/>
          <w:lang w:val="es-ES"/>
        </w:rPr>
        <w:t>En este sentido, la Comisión observa los alegatos planteados por los peticionarios en su conjunto no resultan manifiestamente infundados, y</w:t>
      </w:r>
      <w:r w:rsidR="00573058" w:rsidRPr="00E66386">
        <w:rPr>
          <w:rFonts w:asciiTheme="majorHAnsi" w:hAnsiTheme="majorHAnsi"/>
          <w:sz w:val="20"/>
          <w:szCs w:val="20"/>
          <w:lang w:val="es-ES"/>
        </w:rPr>
        <w:t xml:space="preserve">, en </w:t>
      </w:r>
      <w:r w:rsidR="00746C04" w:rsidRPr="00E66386">
        <w:rPr>
          <w:rFonts w:asciiTheme="majorHAnsi" w:hAnsiTheme="majorHAnsi"/>
          <w:sz w:val="20"/>
          <w:szCs w:val="20"/>
          <w:lang w:val="es-ES"/>
        </w:rPr>
        <w:t>gran medida,</w:t>
      </w:r>
      <w:r w:rsidR="00CD436E" w:rsidRPr="00E66386">
        <w:rPr>
          <w:rFonts w:asciiTheme="majorHAnsi" w:hAnsiTheme="majorHAnsi"/>
          <w:sz w:val="20"/>
          <w:szCs w:val="20"/>
          <w:lang w:val="es-ES"/>
        </w:rPr>
        <w:t xml:space="preserve"> se re</w:t>
      </w:r>
      <w:r w:rsidR="000A3368" w:rsidRPr="00E66386">
        <w:rPr>
          <w:rFonts w:asciiTheme="majorHAnsi" w:hAnsiTheme="majorHAnsi"/>
          <w:sz w:val="20"/>
          <w:szCs w:val="20"/>
          <w:lang w:val="es-ES"/>
        </w:rPr>
        <w:t>laciona</w:t>
      </w:r>
      <w:r w:rsidR="00CD436E" w:rsidRPr="00E66386">
        <w:rPr>
          <w:rFonts w:asciiTheme="majorHAnsi" w:hAnsiTheme="majorHAnsi"/>
          <w:sz w:val="20"/>
          <w:szCs w:val="20"/>
          <w:lang w:val="es-ES"/>
        </w:rPr>
        <w:t xml:space="preserve">n </w:t>
      </w:r>
      <w:r w:rsidR="000A3368" w:rsidRPr="00E66386">
        <w:rPr>
          <w:rFonts w:asciiTheme="majorHAnsi" w:hAnsiTheme="majorHAnsi"/>
          <w:sz w:val="20"/>
          <w:szCs w:val="20"/>
          <w:lang w:val="es-ES"/>
        </w:rPr>
        <w:t xml:space="preserve">con </w:t>
      </w:r>
      <w:r w:rsidR="00CD436E" w:rsidRPr="00E66386">
        <w:rPr>
          <w:rFonts w:asciiTheme="majorHAnsi" w:hAnsiTheme="majorHAnsi"/>
          <w:sz w:val="20"/>
          <w:szCs w:val="20"/>
          <w:lang w:val="es-ES"/>
        </w:rPr>
        <w:t>hechos ya conocidos en la jurisprudencia de los órganos del Sistema Interamerican</w:t>
      </w:r>
      <w:r w:rsidR="000A3368" w:rsidRPr="00E66386">
        <w:rPr>
          <w:rFonts w:asciiTheme="majorHAnsi" w:hAnsiTheme="majorHAnsi"/>
          <w:sz w:val="20"/>
          <w:szCs w:val="20"/>
          <w:lang w:val="es-ES"/>
        </w:rPr>
        <w:t>o</w:t>
      </w:r>
      <w:r w:rsidR="00A57AA9" w:rsidRPr="00E66386">
        <w:rPr>
          <w:rStyle w:val="FootnoteReference"/>
          <w:rFonts w:asciiTheme="majorHAnsi" w:hAnsiTheme="majorHAnsi"/>
          <w:sz w:val="20"/>
          <w:szCs w:val="20"/>
          <w:lang w:val="es-ES"/>
        </w:rPr>
        <w:footnoteReference w:id="24"/>
      </w:r>
      <w:r w:rsidR="00CD436E" w:rsidRPr="00E66386">
        <w:rPr>
          <w:rFonts w:asciiTheme="majorHAnsi" w:hAnsiTheme="majorHAnsi"/>
          <w:sz w:val="20"/>
          <w:szCs w:val="20"/>
          <w:lang w:val="es-ES"/>
        </w:rPr>
        <w:t xml:space="preserve">. </w:t>
      </w:r>
      <w:r w:rsidR="00A57AA9" w:rsidRPr="00E66386">
        <w:rPr>
          <w:rFonts w:asciiTheme="majorHAnsi" w:hAnsiTheme="majorHAnsi"/>
          <w:sz w:val="20"/>
          <w:szCs w:val="20"/>
          <w:lang w:val="es-ES"/>
        </w:rPr>
        <w:t>En particular, la</w:t>
      </w:r>
      <w:r w:rsidR="00736587" w:rsidRPr="00E66386">
        <w:rPr>
          <w:rFonts w:asciiTheme="majorHAnsi" w:hAnsiTheme="majorHAnsi"/>
          <w:sz w:val="20"/>
          <w:szCs w:val="20"/>
          <w:lang w:val="es-ES"/>
        </w:rPr>
        <w:t xml:space="preserve"> Corte Interamericana</w:t>
      </w:r>
      <w:r w:rsidR="0094759A" w:rsidRPr="00E66386">
        <w:rPr>
          <w:rFonts w:asciiTheme="majorHAnsi" w:hAnsiTheme="majorHAnsi"/>
          <w:sz w:val="20"/>
          <w:szCs w:val="20"/>
          <w:lang w:val="es-ES"/>
        </w:rPr>
        <w:t xml:space="preserve"> ha reconocido</w:t>
      </w:r>
      <w:r w:rsidR="00736587" w:rsidRPr="00E66386">
        <w:rPr>
          <w:rFonts w:asciiTheme="majorHAnsi" w:hAnsiTheme="majorHAnsi"/>
          <w:sz w:val="20"/>
          <w:szCs w:val="20"/>
          <w:lang w:val="es-ES"/>
        </w:rPr>
        <w:t xml:space="preserve"> </w:t>
      </w:r>
      <w:r w:rsidR="00C150E3" w:rsidRPr="00E66386">
        <w:rPr>
          <w:rFonts w:asciiTheme="majorHAnsi" w:hAnsiTheme="majorHAnsi"/>
          <w:sz w:val="20"/>
          <w:szCs w:val="20"/>
          <w:lang w:val="es-CO"/>
        </w:rPr>
        <w:t>que</w:t>
      </w:r>
      <w:r w:rsidR="00353CED" w:rsidRPr="00E66386">
        <w:rPr>
          <w:rFonts w:asciiTheme="majorHAnsi" w:hAnsiTheme="majorHAnsi"/>
          <w:sz w:val="20"/>
          <w:szCs w:val="20"/>
          <w:lang w:val="es-CO"/>
        </w:rPr>
        <w:t>, en el marco del conflicto armado interno de Guatemala,</w:t>
      </w:r>
      <w:r w:rsidR="00C150E3" w:rsidRPr="00E66386">
        <w:rPr>
          <w:rFonts w:asciiTheme="majorHAnsi" w:hAnsiTheme="majorHAnsi"/>
          <w:sz w:val="20"/>
          <w:szCs w:val="20"/>
          <w:lang w:val="es-CO"/>
        </w:rPr>
        <w:t xml:space="preserve"> el pueblo maya fue el grupo étnico más afectado por violaciones de derechos humanos, y la violencia dirigida contra é</w:t>
      </w:r>
      <w:r w:rsidR="00904B28" w:rsidRPr="00E66386">
        <w:rPr>
          <w:rFonts w:asciiTheme="majorHAnsi" w:hAnsiTheme="majorHAnsi"/>
          <w:sz w:val="20"/>
          <w:szCs w:val="20"/>
          <w:lang w:val="es-CO"/>
        </w:rPr>
        <w:t>ste</w:t>
      </w:r>
      <w:r w:rsidR="00C150E3" w:rsidRPr="00E66386">
        <w:rPr>
          <w:rFonts w:asciiTheme="majorHAnsi" w:hAnsiTheme="majorHAnsi"/>
          <w:sz w:val="20"/>
          <w:szCs w:val="20"/>
          <w:lang w:val="es-CO"/>
        </w:rPr>
        <w:t xml:space="preserve"> estuvo relacionada con concepciones discriminatorias </w:t>
      </w:r>
      <w:r w:rsidR="00C515EE" w:rsidRPr="00E66386">
        <w:rPr>
          <w:rFonts w:asciiTheme="majorHAnsi" w:hAnsiTheme="majorHAnsi"/>
          <w:sz w:val="20"/>
          <w:szCs w:val="20"/>
          <w:lang w:val="es-CO"/>
        </w:rPr>
        <w:t xml:space="preserve">en perjuicio de </w:t>
      </w:r>
      <w:r w:rsidR="00C150E3" w:rsidRPr="00E66386">
        <w:rPr>
          <w:rFonts w:asciiTheme="majorHAnsi" w:hAnsiTheme="majorHAnsi"/>
          <w:sz w:val="20"/>
          <w:szCs w:val="20"/>
          <w:lang w:val="es-CO"/>
        </w:rPr>
        <w:t>personas indígenas</w:t>
      </w:r>
      <w:r w:rsidR="00C150E3" w:rsidRPr="00E66386">
        <w:rPr>
          <w:rStyle w:val="FootnoteReference"/>
          <w:rFonts w:asciiTheme="majorHAnsi" w:hAnsiTheme="majorHAnsi"/>
          <w:sz w:val="20"/>
          <w:szCs w:val="20"/>
          <w:lang w:val="es-CO"/>
        </w:rPr>
        <w:footnoteReference w:id="25"/>
      </w:r>
      <w:r w:rsidR="00C150E3" w:rsidRPr="00E66386">
        <w:rPr>
          <w:rFonts w:asciiTheme="majorHAnsi" w:hAnsiTheme="majorHAnsi"/>
          <w:sz w:val="20"/>
          <w:szCs w:val="20"/>
          <w:lang w:val="es-CO"/>
        </w:rPr>
        <w:t>.</w:t>
      </w:r>
      <w:r w:rsidR="00904B28" w:rsidRPr="00E66386">
        <w:rPr>
          <w:rFonts w:asciiTheme="majorHAnsi" w:hAnsiTheme="majorHAnsi"/>
          <w:sz w:val="20"/>
          <w:szCs w:val="20"/>
          <w:lang w:val="es-CO"/>
        </w:rPr>
        <w:t xml:space="preserve"> </w:t>
      </w:r>
      <w:r w:rsidR="00A36335" w:rsidRPr="00E66386">
        <w:rPr>
          <w:rFonts w:asciiTheme="majorHAnsi" w:hAnsiTheme="majorHAnsi"/>
          <w:sz w:val="20"/>
          <w:szCs w:val="20"/>
          <w:lang w:val="es-CO"/>
        </w:rPr>
        <w:t xml:space="preserve">En efecto, la </w:t>
      </w:r>
      <w:r w:rsidR="00AB099B" w:rsidRPr="00E66386">
        <w:rPr>
          <w:rFonts w:asciiTheme="majorHAnsi" w:hAnsiTheme="majorHAnsi"/>
          <w:sz w:val="20"/>
          <w:szCs w:val="20"/>
          <w:lang w:val="es-CO"/>
        </w:rPr>
        <w:t xml:space="preserve">Comisión entiende que la </w:t>
      </w:r>
      <w:r w:rsidR="00A36335" w:rsidRPr="00E66386">
        <w:rPr>
          <w:rFonts w:asciiTheme="majorHAnsi" w:hAnsiTheme="majorHAnsi"/>
          <w:sz w:val="20"/>
          <w:szCs w:val="20"/>
          <w:lang w:val="es-CO"/>
        </w:rPr>
        <w:t xml:space="preserve">violencia contra </w:t>
      </w:r>
      <w:r w:rsidR="00AB099B" w:rsidRPr="00E66386">
        <w:rPr>
          <w:rFonts w:asciiTheme="majorHAnsi" w:hAnsiTheme="majorHAnsi"/>
          <w:sz w:val="20"/>
          <w:szCs w:val="20"/>
          <w:lang w:val="es-CO"/>
        </w:rPr>
        <w:t xml:space="preserve">los pueblos indígenas </w:t>
      </w:r>
      <w:r w:rsidR="00A36335" w:rsidRPr="00E66386">
        <w:rPr>
          <w:rFonts w:asciiTheme="majorHAnsi" w:hAnsiTheme="majorHAnsi"/>
          <w:sz w:val="20"/>
          <w:szCs w:val="20"/>
          <w:lang w:val="es-CO"/>
        </w:rPr>
        <w:t>puede constituir una forma extrema de discriminación</w:t>
      </w:r>
      <w:r w:rsidR="00EA3A3D" w:rsidRPr="00E66386">
        <w:rPr>
          <w:rFonts w:asciiTheme="majorHAnsi" w:hAnsiTheme="majorHAnsi"/>
          <w:sz w:val="20"/>
          <w:szCs w:val="20"/>
          <w:lang w:val="es-CO"/>
        </w:rPr>
        <w:t>,</w:t>
      </w:r>
      <w:r w:rsidR="00A36335" w:rsidRPr="00E66386">
        <w:rPr>
          <w:rFonts w:asciiTheme="majorHAnsi" w:hAnsiTheme="majorHAnsi"/>
          <w:sz w:val="20"/>
          <w:szCs w:val="20"/>
          <w:lang w:val="es-CO"/>
        </w:rPr>
        <w:t xml:space="preserve"> </w:t>
      </w:r>
      <w:r w:rsidR="00EA3A3D" w:rsidRPr="00E66386">
        <w:rPr>
          <w:rFonts w:asciiTheme="majorHAnsi" w:hAnsiTheme="majorHAnsi"/>
          <w:sz w:val="20"/>
          <w:szCs w:val="20"/>
          <w:lang w:val="es-CO"/>
        </w:rPr>
        <w:t>por</w:t>
      </w:r>
      <w:r w:rsidR="002134AC" w:rsidRPr="00E66386">
        <w:rPr>
          <w:rFonts w:asciiTheme="majorHAnsi" w:hAnsiTheme="majorHAnsi"/>
          <w:sz w:val="20"/>
          <w:szCs w:val="20"/>
          <w:lang w:val="es-CO"/>
        </w:rPr>
        <w:t xml:space="preserve"> </w:t>
      </w:r>
      <w:r w:rsidR="00EA3A3D" w:rsidRPr="00E66386">
        <w:rPr>
          <w:rFonts w:asciiTheme="majorHAnsi" w:hAnsiTheme="majorHAnsi"/>
          <w:sz w:val="20"/>
          <w:szCs w:val="20"/>
          <w:lang w:val="es-CO"/>
        </w:rPr>
        <w:t xml:space="preserve">consiguiente, </w:t>
      </w:r>
      <w:r w:rsidR="00AF3728" w:rsidRPr="00E66386">
        <w:rPr>
          <w:rFonts w:asciiTheme="majorHAnsi" w:hAnsiTheme="majorHAnsi"/>
          <w:sz w:val="20"/>
          <w:szCs w:val="20"/>
          <w:lang w:val="es-CO"/>
        </w:rPr>
        <w:t xml:space="preserve">admitirá el artículo 24 (igualdad ante la ley) para </w:t>
      </w:r>
      <w:r w:rsidR="00B952DC" w:rsidRPr="00E66386">
        <w:rPr>
          <w:rFonts w:asciiTheme="majorHAnsi" w:hAnsiTheme="majorHAnsi"/>
          <w:sz w:val="20"/>
          <w:szCs w:val="20"/>
          <w:lang w:val="es-CO"/>
        </w:rPr>
        <w:t xml:space="preserve">el </w:t>
      </w:r>
      <w:r w:rsidR="00AF3728" w:rsidRPr="00E66386">
        <w:rPr>
          <w:rFonts w:asciiTheme="majorHAnsi" w:hAnsiTheme="majorHAnsi"/>
          <w:sz w:val="20"/>
          <w:szCs w:val="20"/>
          <w:lang w:val="es-CO"/>
        </w:rPr>
        <w:t xml:space="preserve">estudio de su posible violación en el análisis de fondo, </w:t>
      </w:r>
      <w:r w:rsidR="00CD7745" w:rsidRPr="00E66386">
        <w:rPr>
          <w:rFonts w:asciiTheme="majorHAnsi" w:hAnsiTheme="majorHAnsi"/>
          <w:sz w:val="20"/>
          <w:szCs w:val="20"/>
          <w:lang w:val="es-CO"/>
        </w:rPr>
        <w:t xml:space="preserve">en particular, porque </w:t>
      </w:r>
      <w:r w:rsidR="006C58E9" w:rsidRPr="00E66386">
        <w:rPr>
          <w:rFonts w:asciiTheme="majorHAnsi" w:hAnsiTheme="majorHAnsi"/>
          <w:sz w:val="20"/>
          <w:szCs w:val="20"/>
          <w:lang w:val="es-CO"/>
        </w:rPr>
        <w:t>el crimen de genocidio comporta la intención específica de destrucción física y cultural de un grupo por</w:t>
      </w:r>
      <w:r w:rsidR="008969A7" w:rsidRPr="00E66386">
        <w:rPr>
          <w:rFonts w:asciiTheme="majorHAnsi" w:hAnsiTheme="majorHAnsi"/>
          <w:sz w:val="20"/>
          <w:szCs w:val="20"/>
          <w:lang w:val="es-CO"/>
        </w:rPr>
        <w:t xml:space="preserve"> </w:t>
      </w:r>
      <w:r w:rsidR="00D16A96" w:rsidRPr="00E66386">
        <w:rPr>
          <w:rFonts w:asciiTheme="majorHAnsi" w:hAnsiTheme="majorHAnsi"/>
          <w:sz w:val="20"/>
          <w:szCs w:val="20"/>
          <w:lang w:val="es-CO"/>
        </w:rPr>
        <w:t>motivo</w:t>
      </w:r>
      <w:r w:rsidR="008969A7" w:rsidRPr="00E66386">
        <w:rPr>
          <w:rFonts w:asciiTheme="majorHAnsi" w:hAnsiTheme="majorHAnsi"/>
          <w:sz w:val="20"/>
          <w:szCs w:val="20"/>
          <w:lang w:val="es-CO"/>
        </w:rPr>
        <w:t>s étnic</w:t>
      </w:r>
      <w:r w:rsidR="00D16A96" w:rsidRPr="00E66386">
        <w:rPr>
          <w:rFonts w:asciiTheme="majorHAnsi" w:hAnsiTheme="majorHAnsi"/>
          <w:sz w:val="20"/>
          <w:szCs w:val="20"/>
          <w:lang w:val="es-CO"/>
        </w:rPr>
        <w:t>o</w:t>
      </w:r>
      <w:r w:rsidR="008969A7" w:rsidRPr="00E66386">
        <w:rPr>
          <w:rFonts w:asciiTheme="majorHAnsi" w:hAnsiTheme="majorHAnsi"/>
          <w:sz w:val="20"/>
          <w:szCs w:val="20"/>
          <w:lang w:val="es-CO"/>
        </w:rPr>
        <w:t xml:space="preserve">s, </w:t>
      </w:r>
      <w:r w:rsidR="00F3751A" w:rsidRPr="00E66386">
        <w:rPr>
          <w:rFonts w:asciiTheme="majorHAnsi" w:hAnsiTheme="majorHAnsi"/>
          <w:sz w:val="20"/>
          <w:szCs w:val="20"/>
          <w:lang w:val="es-CO"/>
        </w:rPr>
        <w:t xml:space="preserve">raciales, </w:t>
      </w:r>
      <w:r w:rsidR="008969A7" w:rsidRPr="00E66386">
        <w:rPr>
          <w:rFonts w:asciiTheme="majorHAnsi" w:hAnsiTheme="majorHAnsi"/>
          <w:sz w:val="20"/>
          <w:szCs w:val="20"/>
          <w:lang w:val="es-CO"/>
        </w:rPr>
        <w:t xml:space="preserve">nacionales, </w:t>
      </w:r>
      <w:r w:rsidR="00F3751A" w:rsidRPr="00E66386">
        <w:rPr>
          <w:rFonts w:asciiTheme="majorHAnsi" w:hAnsiTheme="majorHAnsi"/>
          <w:sz w:val="20"/>
          <w:szCs w:val="20"/>
          <w:lang w:val="es-CO"/>
        </w:rPr>
        <w:t xml:space="preserve">o </w:t>
      </w:r>
      <w:r w:rsidR="008969A7" w:rsidRPr="00E66386">
        <w:rPr>
          <w:rFonts w:asciiTheme="majorHAnsi" w:hAnsiTheme="majorHAnsi"/>
          <w:sz w:val="20"/>
          <w:szCs w:val="20"/>
          <w:lang w:val="es-CO"/>
        </w:rPr>
        <w:t>religios</w:t>
      </w:r>
      <w:r w:rsidR="00F3751A" w:rsidRPr="00E66386">
        <w:rPr>
          <w:rFonts w:asciiTheme="majorHAnsi" w:hAnsiTheme="majorHAnsi"/>
          <w:sz w:val="20"/>
          <w:szCs w:val="20"/>
          <w:lang w:val="es-CO"/>
        </w:rPr>
        <w:t>o</w:t>
      </w:r>
      <w:r w:rsidR="00D16A96" w:rsidRPr="00E66386">
        <w:rPr>
          <w:rFonts w:asciiTheme="majorHAnsi" w:hAnsiTheme="majorHAnsi"/>
          <w:sz w:val="20"/>
          <w:szCs w:val="20"/>
          <w:lang w:val="es-CO"/>
        </w:rPr>
        <w:t>s</w:t>
      </w:r>
      <w:r w:rsidR="00F3751A" w:rsidRPr="00E66386">
        <w:rPr>
          <w:rFonts w:asciiTheme="majorHAnsi" w:hAnsiTheme="majorHAnsi"/>
          <w:sz w:val="20"/>
          <w:szCs w:val="20"/>
          <w:lang w:val="es-CO"/>
        </w:rPr>
        <w:t>.</w:t>
      </w:r>
      <w:r w:rsidR="00CF2297" w:rsidRPr="00E66386">
        <w:rPr>
          <w:rFonts w:asciiTheme="majorHAnsi" w:hAnsiTheme="majorHAnsi"/>
          <w:sz w:val="20"/>
          <w:szCs w:val="20"/>
          <w:lang w:val="es-CO"/>
        </w:rPr>
        <w:t xml:space="preserve"> </w:t>
      </w:r>
    </w:p>
    <w:p w14:paraId="07F92C87" w14:textId="447BA0A1" w:rsidR="0023483A" w:rsidRPr="00E66386" w:rsidRDefault="0012601F" w:rsidP="00485C2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Por otro lado, e</w:t>
      </w:r>
      <w:r w:rsidR="004A61BC" w:rsidRPr="00E66386">
        <w:rPr>
          <w:rFonts w:asciiTheme="majorHAnsi" w:hAnsiTheme="majorHAnsi"/>
          <w:sz w:val="20"/>
          <w:szCs w:val="20"/>
          <w:lang w:val="es-ES"/>
        </w:rPr>
        <w:t>l Estado de Guatemala aduce que las violaciones alegadas han sido subsanadas a nivel interno a través de hechos o procesos sobrevinientes que han garantizado el derecho de las presuntas víctimas a conocer la verdad de lo sucedido</w:t>
      </w:r>
      <w:r w:rsidR="00A964F5" w:rsidRPr="00E66386">
        <w:rPr>
          <w:rFonts w:asciiTheme="majorHAnsi" w:hAnsiTheme="majorHAnsi"/>
          <w:sz w:val="20"/>
          <w:szCs w:val="20"/>
          <w:lang w:val="es-ES"/>
        </w:rPr>
        <w:t xml:space="preserve">, </w:t>
      </w:r>
      <w:r w:rsidR="00E36884" w:rsidRPr="00E66386">
        <w:rPr>
          <w:rFonts w:asciiTheme="majorHAnsi" w:hAnsiTheme="majorHAnsi"/>
          <w:sz w:val="20"/>
          <w:szCs w:val="20"/>
          <w:lang w:val="es-ES"/>
        </w:rPr>
        <w:t xml:space="preserve">y ha cumplido con su deber de </w:t>
      </w:r>
      <w:r w:rsidR="00A964F5" w:rsidRPr="00E66386">
        <w:rPr>
          <w:rFonts w:asciiTheme="majorHAnsi" w:hAnsiTheme="majorHAnsi"/>
          <w:sz w:val="20"/>
          <w:szCs w:val="20"/>
          <w:lang w:val="es-ES"/>
        </w:rPr>
        <w:t>sanci</w:t>
      </w:r>
      <w:r w:rsidR="00E36884" w:rsidRPr="00E66386">
        <w:rPr>
          <w:rFonts w:asciiTheme="majorHAnsi" w:hAnsiTheme="majorHAnsi"/>
          <w:sz w:val="20"/>
          <w:szCs w:val="20"/>
          <w:lang w:val="es-ES"/>
        </w:rPr>
        <w:t>onar</w:t>
      </w:r>
      <w:r w:rsidR="00A964F5" w:rsidRPr="00E66386">
        <w:rPr>
          <w:rFonts w:asciiTheme="majorHAnsi" w:hAnsiTheme="majorHAnsi"/>
          <w:sz w:val="20"/>
          <w:szCs w:val="20"/>
          <w:lang w:val="es-ES"/>
        </w:rPr>
        <w:t xml:space="preserve"> a los máximos responsables. </w:t>
      </w:r>
      <w:r w:rsidR="008C3605" w:rsidRPr="00E66386">
        <w:rPr>
          <w:rFonts w:asciiTheme="majorHAnsi" w:hAnsiTheme="majorHAnsi"/>
          <w:sz w:val="20"/>
          <w:szCs w:val="20"/>
          <w:lang w:val="es-ES"/>
        </w:rPr>
        <w:t>No, obstante, l</w:t>
      </w:r>
      <w:r w:rsidR="00A964F5" w:rsidRPr="00E66386">
        <w:rPr>
          <w:rFonts w:asciiTheme="majorHAnsi" w:hAnsiTheme="majorHAnsi"/>
          <w:sz w:val="20"/>
          <w:szCs w:val="20"/>
          <w:lang w:val="es-ES"/>
        </w:rPr>
        <w:t xml:space="preserve">a Comisión nota que lejos de </w:t>
      </w:r>
      <w:r w:rsidR="001B3E0D" w:rsidRPr="00E66386">
        <w:rPr>
          <w:rFonts w:asciiTheme="majorHAnsi" w:hAnsiTheme="majorHAnsi"/>
          <w:sz w:val="20"/>
          <w:szCs w:val="20"/>
          <w:lang w:val="es-ES"/>
        </w:rPr>
        <w:t xml:space="preserve">convertirse en </w:t>
      </w:r>
      <w:r w:rsidR="00A964F5" w:rsidRPr="00E66386">
        <w:rPr>
          <w:rFonts w:asciiTheme="majorHAnsi" w:hAnsiTheme="majorHAnsi"/>
          <w:sz w:val="20"/>
          <w:szCs w:val="20"/>
          <w:lang w:val="es-ES"/>
        </w:rPr>
        <w:t>un escenario de reparación de las violaciones denunciadas, l</w:t>
      </w:r>
      <w:r w:rsidR="000D7EDC" w:rsidRPr="00E66386">
        <w:rPr>
          <w:rFonts w:asciiTheme="majorHAnsi" w:hAnsiTheme="majorHAnsi"/>
          <w:sz w:val="20"/>
          <w:szCs w:val="20"/>
          <w:lang w:val="es-ES"/>
        </w:rPr>
        <w:t>a</w:t>
      </w:r>
      <w:r w:rsidR="00EF6C89" w:rsidRPr="00E66386">
        <w:rPr>
          <w:rFonts w:asciiTheme="majorHAnsi" w:hAnsiTheme="majorHAnsi"/>
          <w:sz w:val="20"/>
          <w:szCs w:val="20"/>
          <w:lang w:val="es-ES"/>
        </w:rPr>
        <w:t xml:space="preserve">s </w:t>
      </w:r>
      <w:r w:rsidR="000D7EDC" w:rsidRPr="00E66386">
        <w:rPr>
          <w:rFonts w:asciiTheme="majorHAnsi" w:hAnsiTheme="majorHAnsi"/>
          <w:sz w:val="20"/>
          <w:szCs w:val="20"/>
          <w:lang w:val="es-ES"/>
        </w:rPr>
        <w:t xml:space="preserve">personas </w:t>
      </w:r>
      <w:r w:rsidR="001B3E0D" w:rsidRPr="00E66386">
        <w:rPr>
          <w:rFonts w:asciiTheme="majorHAnsi" w:hAnsiTheme="majorHAnsi"/>
          <w:sz w:val="20"/>
          <w:szCs w:val="20"/>
          <w:lang w:val="es-ES"/>
        </w:rPr>
        <w:t xml:space="preserve">que han participado en </w:t>
      </w:r>
      <w:r w:rsidR="00EF6C89" w:rsidRPr="00E66386">
        <w:rPr>
          <w:rFonts w:asciiTheme="majorHAnsi" w:hAnsiTheme="majorHAnsi"/>
          <w:sz w:val="20"/>
          <w:szCs w:val="20"/>
          <w:lang w:val="es-ES"/>
        </w:rPr>
        <w:t>l</w:t>
      </w:r>
      <w:r w:rsidR="001E6E68" w:rsidRPr="00E66386">
        <w:rPr>
          <w:rFonts w:asciiTheme="majorHAnsi" w:hAnsiTheme="majorHAnsi"/>
          <w:sz w:val="20"/>
          <w:szCs w:val="20"/>
          <w:lang w:val="es-ES"/>
        </w:rPr>
        <w:t>os</w:t>
      </w:r>
      <w:r w:rsidR="00EF6C89" w:rsidRPr="00E66386">
        <w:rPr>
          <w:rFonts w:asciiTheme="majorHAnsi" w:hAnsiTheme="majorHAnsi"/>
          <w:sz w:val="20"/>
          <w:szCs w:val="20"/>
          <w:lang w:val="es-ES"/>
        </w:rPr>
        <w:t xml:space="preserve"> juicio</w:t>
      </w:r>
      <w:r w:rsidR="001E6E68" w:rsidRPr="00E66386">
        <w:rPr>
          <w:rFonts w:asciiTheme="majorHAnsi" w:hAnsiTheme="majorHAnsi"/>
          <w:sz w:val="20"/>
          <w:szCs w:val="20"/>
          <w:lang w:val="es-ES"/>
        </w:rPr>
        <w:t>s celebrados a nivel interno</w:t>
      </w:r>
      <w:r w:rsidR="00EF6C89" w:rsidRPr="00E66386">
        <w:rPr>
          <w:rFonts w:asciiTheme="majorHAnsi" w:hAnsiTheme="majorHAnsi"/>
          <w:sz w:val="20"/>
          <w:szCs w:val="20"/>
          <w:lang w:val="es-ES"/>
        </w:rPr>
        <w:t xml:space="preserve"> manifiestan que </w:t>
      </w:r>
      <w:r w:rsidR="001B3E0D" w:rsidRPr="00E66386">
        <w:rPr>
          <w:rFonts w:asciiTheme="majorHAnsi" w:hAnsiTheme="majorHAnsi"/>
          <w:sz w:val="20"/>
          <w:szCs w:val="20"/>
          <w:lang w:val="es-ES"/>
        </w:rPr>
        <w:t>ést</w:t>
      </w:r>
      <w:r w:rsidR="00EF1D41" w:rsidRPr="00E66386">
        <w:rPr>
          <w:rFonts w:asciiTheme="majorHAnsi" w:hAnsiTheme="majorHAnsi"/>
          <w:sz w:val="20"/>
          <w:szCs w:val="20"/>
          <w:lang w:val="es-ES"/>
        </w:rPr>
        <w:t>os</w:t>
      </w:r>
      <w:r w:rsidR="001B3E0D" w:rsidRPr="00E66386">
        <w:rPr>
          <w:rFonts w:asciiTheme="majorHAnsi" w:hAnsiTheme="majorHAnsi"/>
          <w:sz w:val="20"/>
          <w:szCs w:val="20"/>
          <w:lang w:val="es-ES"/>
        </w:rPr>
        <w:t xml:space="preserve"> </w:t>
      </w:r>
      <w:r w:rsidR="00ED2DE4" w:rsidRPr="00E66386">
        <w:rPr>
          <w:rFonts w:asciiTheme="majorHAnsi" w:hAnsiTheme="majorHAnsi"/>
          <w:sz w:val="20"/>
          <w:szCs w:val="20"/>
          <w:lang w:val="es-ES"/>
        </w:rPr>
        <w:t xml:space="preserve">se </w:t>
      </w:r>
      <w:r w:rsidR="00EF6C89" w:rsidRPr="00E66386">
        <w:rPr>
          <w:rFonts w:asciiTheme="majorHAnsi" w:hAnsiTheme="majorHAnsi"/>
          <w:sz w:val="20"/>
          <w:szCs w:val="20"/>
          <w:lang w:val="es-ES"/>
        </w:rPr>
        <w:t>ha</w:t>
      </w:r>
      <w:r w:rsidR="00EF1D41" w:rsidRPr="00E66386">
        <w:rPr>
          <w:rFonts w:asciiTheme="majorHAnsi" w:hAnsiTheme="majorHAnsi"/>
          <w:sz w:val="20"/>
          <w:szCs w:val="20"/>
          <w:lang w:val="es-ES"/>
        </w:rPr>
        <w:t>n</w:t>
      </w:r>
      <w:r w:rsidR="00EF6C89" w:rsidRPr="00E66386">
        <w:rPr>
          <w:rFonts w:asciiTheme="majorHAnsi" w:hAnsiTheme="majorHAnsi"/>
          <w:sz w:val="20"/>
          <w:szCs w:val="20"/>
          <w:lang w:val="es-ES"/>
        </w:rPr>
        <w:t xml:space="preserve"> </w:t>
      </w:r>
      <w:r w:rsidR="00ED2DE4" w:rsidRPr="00E66386">
        <w:rPr>
          <w:rFonts w:asciiTheme="majorHAnsi" w:hAnsiTheme="majorHAnsi"/>
          <w:sz w:val="20"/>
          <w:szCs w:val="20"/>
          <w:lang w:val="es-ES"/>
        </w:rPr>
        <w:t>torn</w:t>
      </w:r>
      <w:r w:rsidR="00437A5F" w:rsidRPr="00E66386">
        <w:rPr>
          <w:rFonts w:asciiTheme="majorHAnsi" w:hAnsiTheme="majorHAnsi"/>
          <w:sz w:val="20"/>
          <w:szCs w:val="20"/>
          <w:lang w:val="es-ES"/>
        </w:rPr>
        <w:t>a</w:t>
      </w:r>
      <w:r w:rsidR="00EF6C89" w:rsidRPr="00E66386">
        <w:rPr>
          <w:rFonts w:asciiTheme="majorHAnsi" w:hAnsiTheme="majorHAnsi"/>
          <w:sz w:val="20"/>
          <w:szCs w:val="20"/>
          <w:lang w:val="es-ES"/>
        </w:rPr>
        <w:t xml:space="preserve">do </w:t>
      </w:r>
      <w:r w:rsidR="00ED2DE4" w:rsidRPr="00E66386">
        <w:rPr>
          <w:rFonts w:asciiTheme="majorHAnsi" w:hAnsiTheme="majorHAnsi"/>
          <w:sz w:val="20"/>
          <w:szCs w:val="20"/>
          <w:lang w:val="es-ES"/>
        </w:rPr>
        <w:t xml:space="preserve">en </w:t>
      </w:r>
      <w:r w:rsidR="00EF6C89" w:rsidRPr="00E66386">
        <w:rPr>
          <w:rFonts w:asciiTheme="majorHAnsi" w:hAnsiTheme="majorHAnsi"/>
          <w:sz w:val="20"/>
          <w:szCs w:val="20"/>
          <w:lang w:val="es-ES"/>
        </w:rPr>
        <w:t xml:space="preserve">un espacio de revictimización, que tendría el efecto de generar nuevas violaciones </w:t>
      </w:r>
      <w:r w:rsidR="00AE7DAA" w:rsidRPr="00E66386">
        <w:rPr>
          <w:rFonts w:asciiTheme="majorHAnsi" w:hAnsiTheme="majorHAnsi"/>
          <w:sz w:val="20"/>
          <w:szCs w:val="20"/>
          <w:lang w:val="es-ES"/>
        </w:rPr>
        <w:t xml:space="preserve">a </w:t>
      </w:r>
      <w:r w:rsidR="00EF6C89" w:rsidRPr="00E66386">
        <w:rPr>
          <w:rFonts w:asciiTheme="majorHAnsi" w:hAnsiTheme="majorHAnsi"/>
          <w:sz w:val="20"/>
          <w:szCs w:val="20"/>
          <w:lang w:val="es-ES"/>
        </w:rPr>
        <w:t>sus derechos humanos.</w:t>
      </w:r>
      <w:r w:rsidR="006F3AC5" w:rsidRPr="00E66386">
        <w:rPr>
          <w:rFonts w:asciiTheme="majorHAnsi" w:hAnsiTheme="majorHAnsi"/>
          <w:sz w:val="20"/>
          <w:szCs w:val="20"/>
          <w:lang w:val="es-ES"/>
        </w:rPr>
        <w:t xml:space="preserve"> En particular, alegan la violación de su derecho a la integridad personal (artículo 5), al acceso a la información y documentos de operaciones militares (artículo 13), y </w:t>
      </w:r>
      <w:r w:rsidR="00167DC8" w:rsidRPr="00E66386">
        <w:rPr>
          <w:rFonts w:asciiTheme="majorHAnsi" w:hAnsiTheme="majorHAnsi"/>
          <w:sz w:val="20"/>
          <w:szCs w:val="20"/>
          <w:lang w:val="es-ES"/>
        </w:rPr>
        <w:t xml:space="preserve">su </w:t>
      </w:r>
      <w:r w:rsidR="006F3AC5" w:rsidRPr="00E66386">
        <w:rPr>
          <w:rFonts w:asciiTheme="majorHAnsi" w:hAnsiTheme="majorHAnsi"/>
          <w:sz w:val="20"/>
          <w:szCs w:val="20"/>
          <w:lang w:val="es-ES"/>
        </w:rPr>
        <w:t>derecho de acceso a la justicia (artículos 8 y 25 de la Convención).</w:t>
      </w:r>
      <w:r w:rsidR="004F6FD8" w:rsidRPr="00E66386">
        <w:rPr>
          <w:rFonts w:asciiTheme="majorHAnsi" w:hAnsiTheme="majorHAnsi"/>
          <w:sz w:val="20"/>
          <w:szCs w:val="20"/>
          <w:lang w:val="es-ES"/>
        </w:rPr>
        <w:t xml:space="preserve"> </w:t>
      </w:r>
      <w:r w:rsidR="000C29E0" w:rsidRPr="00E66386">
        <w:rPr>
          <w:rFonts w:asciiTheme="majorHAnsi" w:hAnsiTheme="majorHAnsi"/>
          <w:sz w:val="20"/>
          <w:szCs w:val="20"/>
          <w:lang w:val="es-ES"/>
        </w:rPr>
        <w:t>La CIDH recuerda que</w:t>
      </w:r>
      <w:r w:rsidR="00B03118" w:rsidRPr="00E66386">
        <w:rPr>
          <w:rFonts w:asciiTheme="majorHAnsi" w:hAnsiTheme="majorHAnsi"/>
          <w:sz w:val="20"/>
          <w:szCs w:val="20"/>
          <w:lang w:val="es-CO"/>
        </w:rPr>
        <w:t xml:space="preserve"> la Corte Interamericana ha encontrado la existencia de patrones de impunidad </w:t>
      </w:r>
      <w:r w:rsidR="000C29E0" w:rsidRPr="00E66386">
        <w:rPr>
          <w:rFonts w:asciiTheme="majorHAnsi" w:hAnsiTheme="majorHAnsi"/>
          <w:sz w:val="20"/>
          <w:szCs w:val="20"/>
          <w:lang w:val="es-CO"/>
        </w:rPr>
        <w:t xml:space="preserve">en </w:t>
      </w:r>
      <w:r w:rsidR="004F6FD8" w:rsidRPr="00E66386">
        <w:rPr>
          <w:rFonts w:asciiTheme="majorHAnsi" w:hAnsiTheme="majorHAnsi"/>
          <w:sz w:val="20"/>
          <w:szCs w:val="20"/>
          <w:lang w:val="es-CO"/>
        </w:rPr>
        <w:t>hechos ocurridos en el marco del conflicto armado en Guatemala</w:t>
      </w:r>
      <w:r w:rsidR="00DE6BFB" w:rsidRPr="00E66386">
        <w:rPr>
          <w:rFonts w:asciiTheme="majorHAnsi" w:hAnsiTheme="majorHAnsi"/>
          <w:sz w:val="20"/>
          <w:szCs w:val="20"/>
          <w:lang w:val="es-CO"/>
        </w:rPr>
        <w:t>,</w:t>
      </w:r>
      <w:r w:rsidR="004F6FD8" w:rsidRPr="00E66386">
        <w:rPr>
          <w:rFonts w:asciiTheme="majorHAnsi" w:hAnsiTheme="majorHAnsi"/>
          <w:sz w:val="20"/>
          <w:szCs w:val="20"/>
          <w:lang w:val="es-CO"/>
        </w:rPr>
        <w:t xml:space="preserve"> </w:t>
      </w:r>
      <w:r w:rsidR="00B03118" w:rsidRPr="00E66386">
        <w:rPr>
          <w:rFonts w:asciiTheme="majorHAnsi" w:hAnsiTheme="majorHAnsi"/>
          <w:sz w:val="20"/>
          <w:szCs w:val="20"/>
          <w:lang w:val="es-CO"/>
        </w:rPr>
        <w:t xml:space="preserve">en </w:t>
      </w:r>
      <w:r w:rsidR="00DE6BFB" w:rsidRPr="00E66386">
        <w:rPr>
          <w:rFonts w:asciiTheme="majorHAnsi" w:hAnsiTheme="majorHAnsi"/>
          <w:sz w:val="20"/>
          <w:szCs w:val="20"/>
          <w:lang w:val="es-CO"/>
        </w:rPr>
        <w:t>particular, por la falta de</w:t>
      </w:r>
      <w:r w:rsidR="00B03118" w:rsidRPr="00E66386">
        <w:rPr>
          <w:rFonts w:asciiTheme="majorHAnsi" w:hAnsiTheme="majorHAnsi"/>
          <w:sz w:val="20"/>
          <w:szCs w:val="20"/>
          <w:lang w:val="es-CO"/>
        </w:rPr>
        <w:t xml:space="preserve"> investigación y sanción de violaciones de derechos humanos cometidas por agentes estatales</w:t>
      </w:r>
      <w:r w:rsidR="0017694F" w:rsidRPr="00E66386">
        <w:rPr>
          <w:rStyle w:val="FootnoteReference"/>
          <w:rFonts w:asciiTheme="majorHAnsi" w:hAnsiTheme="majorHAnsi"/>
          <w:sz w:val="20"/>
          <w:szCs w:val="20"/>
          <w:lang w:val="es-CO"/>
        </w:rPr>
        <w:footnoteReference w:id="26"/>
      </w:r>
      <w:r w:rsidR="00144056" w:rsidRPr="00E66386">
        <w:rPr>
          <w:rFonts w:asciiTheme="majorHAnsi" w:hAnsiTheme="majorHAnsi"/>
          <w:sz w:val="20"/>
          <w:szCs w:val="20"/>
          <w:lang w:val="es-CO"/>
        </w:rPr>
        <w:t>.</w:t>
      </w:r>
    </w:p>
    <w:p w14:paraId="55CE074B" w14:textId="0CC547E7" w:rsidR="00E4703E" w:rsidRPr="00E66386" w:rsidRDefault="003B6551" w:rsidP="00485C2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CO"/>
        </w:rPr>
        <w:t>La Comisión observa que e</w:t>
      </w:r>
      <w:r w:rsidR="00E4703E" w:rsidRPr="00E66386">
        <w:rPr>
          <w:rFonts w:asciiTheme="majorHAnsi" w:hAnsiTheme="majorHAnsi"/>
          <w:sz w:val="20"/>
          <w:szCs w:val="20"/>
          <w:lang w:val="es-CO"/>
        </w:rPr>
        <w:t>l Estado arguye que</w:t>
      </w:r>
      <w:r w:rsidRPr="00E66386">
        <w:rPr>
          <w:rFonts w:asciiTheme="majorHAnsi" w:hAnsiTheme="majorHAnsi"/>
          <w:sz w:val="20"/>
          <w:szCs w:val="20"/>
          <w:lang w:val="es-CO"/>
        </w:rPr>
        <w:t xml:space="preserve"> la presente petición pretende hacer uso de la CIDH en tanto tribunal de cuarta instancia a fin de que revise los fallos proferidos en el proceso penal interno.</w:t>
      </w:r>
      <w:r w:rsidR="000476E5" w:rsidRPr="00E66386">
        <w:rPr>
          <w:rFonts w:asciiTheme="majorHAnsi" w:hAnsiTheme="majorHAnsi"/>
          <w:sz w:val="20"/>
          <w:szCs w:val="20"/>
          <w:lang w:val="es-CO"/>
        </w:rPr>
        <w:t xml:space="preserve"> </w:t>
      </w:r>
      <w:r w:rsidR="00F624F3" w:rsidRPr="00E66386">
        <w:rPr>
          <w:rFonts w:asciiTheme="majorHAnsi" w:hAnsiTheme="majorHAnsi"/>
          <w:sz w:val="20"/>
          <w:szCs w:val="20"/>
          <w:lang w:val="es-CO"/>
        </w:rPr>
        <w:t xml:space="preserve">Sobre el particular, la CIDH recuerda que, </w:t>
      </w:r>
      <w:r w:rsidR="000476E5" w:rsidRPr="00E66386">
        <w:rPr>
          <w:rFonts w:asciiTheme="majorHAnsi" w:hAnsiTheme="majorHAnsi"/>
          <w:sz w:val="20"/>
          <w:szCs w:val="20"/>
          <w:lang w:val="es-CO"/>
        </w:rPr>
        <w:t xml:space="preserve">para que proceda </w:t>
      </w:r>
      <w:r w:rsidR="00F624F3" w:rsidRPr="00E66386">
        <w:rPr>
          <w:rFonts w:asciiTheme="majorHAnsi" w:hAnsiTheme="majorHAnsi"/>
          <w:sz w:val="20"/>
          <w:szCs w:val="20"/>
          <w:lang w:val="es-CO"/>
        </w:rPr>
        <w:t>l</w:t>
      </w:r>
      <w:r w:rsidR="000476E5" w:rsidRPr="00E66386">
        <w:rPr>
          <w:rFonts w:asciiTheme="majorHAnsi" w:hAnsiTheme="majorHAnsi"/>
          <w:sz w:val="20"/>
          <w:szCs w:val="20"/>
          <w:lang w:val="es-CO"/>
        </w:rPr>
        <w:t>a excepción de</w:t>
      </w:r>
      <w:r w:rsidR="00F624F3" w:rsidRPr="00E66386">
        <w:rPr>
          <w:rFonts w:asciiTheme="majorHAnsi" w:hAnsiTheme="majorHAnsi"/>
          <w:sz w:val="20"/>
          <w:szCs w:val="20"/>
          <w:lang w:val="es-CO"/>
        </w:rPr>
        <w:t>nominada de</w:t>
      </w:r>
      <w:r w:rsidR="000476E5" w:rsidRPr="00E66386">
        <w:rPr>
          <w:rFonts w:asciiTheme="majorHAnsi" w:hAnsiTheme="majorHAnsi"/>
          <w:sz w:val="20"/>
          <w:szCs w:val="20"/>
          <w:lang w:val="es-CO"/>
        </w:rPr>
        <w:t xml:space="preserve"> </w:t>
      </w:r>
      <w:r w:rsidR="00F624F3" w:rsidRPr="00E66386">
        <w:rPr>
          <w:rFonts w:asciiTheme="majorHAnsi" w:hAnsiTheme="majorHAnsi"/>
          <w:sz w:val="20"/>
          <w:szCs w:val="20"/>
          <w:lang w:val="es-CO"/>
        </w:rPr>
        <w:t>‘</w:t>
      </w:r>
      <w:r w:rsidR="000476E5" w:rsidRPr="00E66386">
        <w:rPr>
          <w:rFonts w:asciiTheme="majorHAnsi" w:hAnsiTheme="majorHAnsi"/>
          <w:sz w:val="20"/>
          <w:szCs w:val="20"/>
          <w:lang w:val="es-CO"/>
        </w:rPr>
        <w:t>cuarta instancia</w:t>
      </w:r>
      <w:r w:rsidR="00F624F3" w:rsidRPr="00E66386">
        <w:rPr>
          <w:rFonts w:asciiTheme="majorHAnsi" w:hAnsiTheme="majorHAnsi"/>
          <w:sz w:val="20"/>
          <w:szCs w:val="20"/>
          <w:lang w:val="es-CO"/>
        </w:rPr>
        <w:t>’</w:t>
      </w:r>
      <w:r w:rsidR="000476E5" w:rsidRPr="00E66386">
        <w:rPr>
          <w:rFonts w:asciiTheme="majorHAnsi" w:hAnsiTheme="majorHAnsi"/>
          <w:sz w:val="20"/>
          <w:szCs w:val="20"/>
          <w:lang w:val="es-CO"/>
        </w:rPr>
        <w:t xml:space="preserve"> sería necesario que </w:t>
      </w:r>
      <w:r w:rsidR="00F624F3" w:rsidRPr="00E66386">
        <w:rPr>
          <w:rFonts w:asciiTheme="majorHAnsi" w:hAnsiTheme="majorHAnsi"/>
          <w:sz w:val="20"/>
          <w:szCs w:val="20"/>
          <w:lang w:val="es-CO"/>
        </w:rPr>
        <w:t xml:space="preserve">la parte peticionaria </w:t>
      </w:r>
      <w:r w:rsidR="000476E5" w:rsidRPr="00E66386">
        <w:rPr>
          <w:rFonts w:asciiTheme="majorHAnsi" w:hAnsiTheme="majorHAnsi"/>
          <w:sz w:val="20"/>
          <w:szCs w:val="20"/>
          <w:lang w:val="es-CO"/>
        </w:rPr>
        <w:t>busque que se revise el fallo de un</w:t>
      </w:r>
      <w:r w:rsidR="00F624F3" w:rsidRPr="00E66386">
        <w:rPr>
          <w:rFonts w:asciiTheme="majorHAnsi" w:hAnsiTheme="majorHAnsi"/>
          <w:sz w:val="20"/>
          <w:szCs w:val="20"/>
          <w:lang w:val="es-CO"/>
        </w:rPr>
        <w:t xml:space="preserve"> </w:t>
      </w:r>
      <w:r w:rsidR="000476E5" w:rsidRPr="00E66386">
        <w:rPr>
          <w:rFonts w:asciiTheme="majorHAnsi" w:hAnsiTheme="majorHAnsi"/>
          <w:sz w:val="20"/>
          <w:szCs w:val="20"/>
          <w:lang w:val="es-CO"/>
        </w:rPr>
        <w:t>tribunal interno en virtud de su incorrecta apreciación de la prueba, los hechos o el derecho interno, sin que, a la vez, alegue que tal fallo incurrió en una violación de tratados internacionales</w:t>
      </w:r>
      <w:r w:rsidR="00C9464B" w:rsidRPr="00E66386">
        <w:rPr>
          <w:rFonts w:asciiTheme="majorHAnsi" w:hAnsiTheme="majorHAnsi"/>
          <w:sz w:val="20"/>
          <w:szCs w:val="20"/>
          <w:lang w:val="es-CO"/>
        </w:rPr>
        <w:t xml:space="preserve"> sobre derechos humanos</w:t>
      </w:r>
      <w:r w:rsidR="00F624F3" w:rsidRPr="00E66386">
        <w:rPr>
          <w:rStyle w:val="FootnoteReference"/>
          <w:rFonts w:asciiTheme="majorHAnsi" w:hAnsiTheme="majorHAnsi"/>
          <w:sz w:val="20"/>
          <w:szCs w:val="20"/>
          <w:lang w:val="es-CO"/>
        </w:rPr>
        <w:footnoteReference w:id="27"/>
      </w:r>
      <w:r w:rsidR="00F624F3" w:rsidRPr="00E66386">
        <w:rPr>
          <w:rFonts w:asciiTheme="majorHAnsi" w:hAnsiTheme="majorHAnsi"/>
          <w:sz w:val="20"/>
          <w:szCs w:val="20"/>
          <w:lang w:val="es-CO"/>
        </w:rPr>
        <w:t>.</w:t>
      </w:r>
      <w:r w:rsidR="000476E5" w:rsidRPr="00E66386">
        <w:rPr>
          <w:rFonts w:asciiTheme="majorHAnsi" w:hAnsiTheme="majorHAnsi"/>
          <w:sz w:val="20"/>
          <w:szCs w:val="20"/>
          <w:lang w:val="es-CO"/>
        </w:rPr>
        <w:t xml:space="preserve"> </w:t>
      </w:r>
      <w:r w:rsidR="00F624F3" w:rsidRPr="00E66386">
        <w:rPr>
          <w:rFonts w:asciiTheme="majorHAnsi" w:hAnsiTheme="majorHAnsi"/>
          <w:sz w:val="20"/>
          <w:szCs w:val="20"/>
          <w:lang w:val="es-CO"/>
        </w:rPr>
        <w:t xml:space="preserve">Sin embargo, en el caso concreto, la </w:t>
      </w:r>
      <w:r w:rsidR="000476E5" w:rsidRPr="00E66386">
        <w:rPr>
          <w:rFonts w:asciiTheme="majorHAnsi" w:hAnsiTheme="majorHAnsi"/>
          <w:sz w:val="20"/>
          <w:szCs w:val="20"/>
          <w:lang w:val="es-CO"/>
        </w:rPr>
        <w:lastRenderedPageBreak/>
        <w:t xml:space="preserve">representación de las presuntas víctimas </w:t>
      </w:r>
      <w:r w:rsidR="00C9464B" w:rsidRPr="00E66386">
        <w:rPr>
          <w:rFonts w:asciiTheme="majorHAnsi" w:hAnsiTheme="majorHAnsi"/>
          <w:sz w:val="20"/>
          <w:szCs w:val="20"/>
          <w:lang w:val="es-CO"/>
        </w:rPr>
        <w:t xml:space="preserve">alega la existencia de </w:t>
      </w:r>
      <w:r w:rsidR="005D0F19" w:rsidRPr="00E66386">
        <w:rPr>
          <w:rFonts w:asciiTheme="majorHAnsi" w:hAnsiTheme="majorHAnsi"/>
          <w:sz w:val="20"/>
          <w:szCs w:val="20"/>
          <w:lang w:val="es-CO"/>
        </w:rPr>
        <w:t>un sistema de impunidad estructural en Guatemala</w:t>
      </w:r>
      <w:r w:rsidR="003E50B3" w:rsidRPr="00E66386">
        <w:rPr>
          <w:rFonts w:asciiTheme="majorHAnsi" w:hAnsiTheme="majorHAnsi"/>
          <w:sz w:val="20"/>
          <w:szCs w:val="20"/>
          <w:lang w:val="es-CO"/>
        </w:rPr>
        <w:t xml:space="preserve">, en particular, en lo relacionado con el denominado ‘genocidio Ixil’. </w:t>
      </w:r>
      <w:r w:rsidR="000476E5" w:rsidRPr="00E66386">
        <w:rPr>
          <w:rFonts w:asciiTheme="majorHAnsi" w:hAnsiTheme="majorHAnsi"/>
          <w:sz w:val="20"/>
          <w:szCs w:val="20"/>
          <w:lang w:val="es-CO"/>
        </w:rPr>
        <w:t xml:space="preserve">Por </w:t>
      </w:r>
      <w:r w:rsidR="00EE61DB" w:rsidRPr="00E66386">
        <w:rPr>
          <w:rFonts w:asciiTheme="majorHAnsi" w:hAnsiTheme="majorHAnsi"/>
          <w:sz w:val="20"/>
          <w:szCs w:val="20"/>
          <w:lang w:val="es-CO"/>
        </w:rPr>
        <w:t>el</w:t>
      </w:r>
      <w:r w:rsidR="000476E5" w:rsidRPr="00E66386">
        <w:rPr>
          <w:rFonts w:asciiTheme="majorHAnsi" w:hAnsiTheme="majorHAnsi"/>
          <w:sz w:val="20"/>
          <w:szCs w:val="20"/>
          <w:lang w:val="es-CO"/>
        </w:rPr>
        <w:t>lo, la existencia o no de violac</w:t>
      </w:r>
      <w:r w:rsidR="005E0A3C" w:rsidRPr="00E66386">
        <w:rPr>
          <w:rFonts w:asciiTheme="majorHAnsi" w:hAnsiTheme="majorHAnsi"/>
          <w:sz w:val="20"/>
          <w:szCs w:val="20"/>
          <w:lang w:val="es-CO"/>
        </w:rPr>
        <w:t>iones</w:t>
      </w:r>
      <w:r w:rsidR="000476E5" w:rsidRPr="00E66386">
        <w:rPr>
          <w:rFonts w:asciiTheme="majorHAnsi" w:hAnsiTheme="majorHAnsi"/>
          <w:sz w:val="20"/>
          <w:szCs w:val="20"/>
          <w:lang w:val="es-CO"/>
        </w:rPr>
        <w:t xml:space="preserve"> a la C</w:t>
      </w:r>
      <w:r w:rsidR="00EE61DB" w:rsidRPr="00E66386">
        <w:rPr>
          <w:rFonts w:asciiTheme="majorHAnsi" w:hAnsiTheme="majorHAnsi"/>
          <w:sz w:val="20"/>
          <w:szCs w:val="20"/>
          <w:lang w:val="es-CO"/>
        </w:rPr>
        <w:t>onvención Americana</w:t>
      </w:r>
      <w:r w:rsidR="005E0A3C" w:rsidRPr="00E66386">
        <w:rPr>
          <w:rFonts w:asciiTheme="majorHAnsi" w:hAnsiTheme="majorHAnsi"/>
          <w:sz w:val="20"/>
          <w:szCs w:val="20"/>
          <w:lang w:val="es-CO"/>
        </w:rPr>
        <w:t xml:space="preserve"> en el marco del proceso penal</w:t>
      </w:r>
      <w:r w:rsidR="000476E5" w:rsidRPr="00E66386">
        <w:rPr>
          <w:rFonts w:asciiTheme="majorHAnsi" w:hAnsiTheme="majorHAnsi"/>
          <w:sz w:val="20"/>
          <w:szCs w:val="20"/>
          <w:lang w:val="es-CO"/>
        </w:rPr>
        <w:t>, es un asunto para estudiar en la etapa de fondo</w:t>
      </w:r>
      <w:r w:rsidR="003067F2" w:rsidRPr="00E66386">
        <w:rPr>
          <w:rStyle w:val="FootnoteReference"/>
          <w:rFonts w:asciiTheme="majorHAnsi" w:hAnsiTheme="majorHAnsi"/>
          <w:sz w:val="20"/>
          <w:szCs w:val="20"/>
          <w:lang w:val="es-CO"/>
        </w:rPr>
        <w:footnoteReference w:id="28"/>
      </w:r>
      <w:r w:rsidR="000476E5" w:rsidRPr="00E66386">
        <w:rPr>
          <w:rFonts w:asciiTheme="majorHAnsi" w:hAnsiTheme="majorHAnsi"/>
          <w:sz w:val="20"/>
          <w:szCs w:val="20"/>
          <w:lang w:val="es-CO"/>
        </w:rPr>
        <w:t>.</w:t>
      </w:r>
    </w:p>
    <w:p w14:paraId="48B3E7E5" w14:textId="0E943DEF" w:rsidR="001270B4" w:rsidRPr="00E66386" w:rsidRDefault="001270B4" w:rsidP="00EF290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A su vez, la parte peticionaria </w:t>
      </w:r>
      <w:r w:rsidR="005E0009" w:rsidRPr="00E66386">
        <w:rPr>
          <w:rFonts w:asciiTheme="majorHAnsi" w:hAnsiTheme="majorHAnsi"/>
          <w:sz w:val="20"/>
          <w:szCs w:val="20"/>
          <w:lang w:val="es-ES"/>
        </w:rPr>
        <w:t xml:space="preserve">denuncia la violación </w:t>
      </w:r>
      <w:r w:rsidR="00243C96" w:rsidRPr="00E66386">
        <w:rPr>
          <w:rFonts w:asciiTheme="majorHAnsi" w:hAnsiTheme="majorHAnsi"/>
          <w:sz w:val="20"/>
          <w:szCs w:val="20"/>
          <w:lang w:val="es-ES"/>
        </w:rPr>
        <w:t xml:space="preserve">de los </w:t>
      </w:r>
      <w:r w:rsidR="005E0009" w:rsidRPr="00E66386">
        <w:rPr>
          <w:rFonts w:asciiTheme="majorHAnsi" w:hAnsiTheme="majorHAnsi"/>
          <w:sz w:val="20"/>
          <w:szCs w:val="20"/>
          <w:lang w:val="es-ES"/>
        </w:rPr>
        <w:t xml:space="preserve">artículos 1, 6 y 8 de la Convención contra la </w:t>
      </w:r>
      <w:r w:rsidR="003F7223" w:rsidRPr="00E66386">
        <w:rPr>
          <w:rFonts w:asciiTheme="majorHAnsi" w:hAnsiTheme="majorHAnsi"/>
          <w:sz w:val="20"/>
          <w:szCs w:val="20"/>
          <w:lang w:val="es-ES"/>
        </w:rPr>
        <w:t>Tortura, del</w:t>
      </w:r>
      <w:r w:rsidR="005E0009" w:rsidRPr="00E66386">
        <w:rPr>
          <w:rFonts w:asciiTheme="majorHAnsi" w:hAnsiTheme="majorHAnsi"/>
          <w:sz w:val="20"/>
          <w:szCs w:val="20"/>
          <w:lang w:val="es-ES"/>
        </w:rPr>
        <w:t xml:space="preserve"> artículo I.b) de la Convención Interamericana sobre Desaparición Forzada de Personas; y </w:t>
      </w:r>
      <w:r w:rsidR="00292CFD" w:rsidRPr="00E66386">
        <w:rPr>
          <w:rFonts w:asciiTheme="majorHAnsi" w:hAnsiTheme="majorHAnsi"/>
          <w:sz w:val="20"/>
          <w:szCs w:val="20"/>
          <w:lang w:val="es-ES"/>
        </w:rPr>
        <w:t xml:space="preserve">del </w:t>
      </w:r>
      <w:r w:rsidR="005E0009" w:rsidRPr="00E66386">
        <w:rPr>
          <w:rFonts w:asciiTheme="majorHAnsi" w:hAnsiTheme="majorHAnsi"/>
          <w:sz w:val="20"/>
          <w:szCs w:val="20"/>
          <w:lang w:val="es-ES"/>
        </w:rPr>
        <w:t>artículo 7 de la Convención de Belém do Pará</w:t>
      </w:r>
      <w:r w:rsidR="00243C96" w:rsidRPr="00E66386">
        <w:rPr>
          <w:rFonts w:asciiTheme="majorHAnsi" w:hAnsiTheme="majorHAnsi"/>
          <w:sz w:val="20"/>
          <w:szCs w:val="20"/>
          <w:lang w:val="es-ES"/>
        </w:rPr>
        <w:t>.</w:t>
      </w:r>
      <w:r w:rsidR="00292CFD" w:rsidRPr="00E66386">
        <w:rPr>
          <w:rFonts w:asciiTheme="majorHAnsi" w:hAnsiTheme="majorHAnsi"/>
          <w:sz w:val="20"/>
          <w:szCs w:val="20"/>
          <w:lang w:val="es-ES"/>
        </w:rPr>
        <w:t xml:space="preserve"> </w:t>
      </w:r>
      <w:r w:rsidR="00520858" w:rsidRPr="00E66386">
        <w:rPr>
          <w:rFonts w:asciiTheme="majorHAnsi" w:hAnsiTheme="majorHAnsi"/>
          <w:sz w:val="20"/>
          <w:szCs w:val="20"/>
          <w:lang w:val="es-CO"/>
        </w:rPr>
        <w:t>A</w:t>
      </w:r>
      <w:r w:rsidR="009724FB" w:rsidRPr="00E66386">
        <w:rPr>
          <w:rFonts w:asciiTheme="majorHAnsi" w:hAnsiTheme="majorHAnsi"/>
          <w:sz w:val="20"/>
          <w:szCs w:val="20"/>
          <w:lang w:val="es-CO"/>
        </w:rPr>
        <w:t xml:space="preserve"> este respecto</w:t>
      </w:r>
      <w:r w:rsidR="00520858" w:rsidRPr="00E66386">
        <w:rPr>
          <w:rFonts w:asciiTheme="majorHAnsi" w:hAnsiTheme="majorHAnsi"/>
          <w:sz w:val="20"/>
          <w:szCs w:val="20"/>
          <w:lang w:val="es-CO"/>
        </w:rPr>
        <w:t xml:space="preserve">, la Comisión Interamericana </w:t>
      </w:r>
      <w:r w:rsidR="009724FB" w:rsidRPr="00E66386">
        <w:rPr>
          <w:rFonts w:asciiTheme="majorHAnsi" w:hAnsiTheme="majorHAnsi"/>
          <w:sz w:val="20"/>
          <w:szCs w:val="20"/>
          <w:lang w:val="es-CO"/>
        </w:rPr>
        <w:t>re</w:t>
      </w:r>
      <w:r w:rsidR="00840F4C" w:rsidRPr="00E66386">
        <w:rPr>
          <w:rFonts w:asciiTheme="majorHAnsi" w:hAnsiTheme="majorHAnsi"/>
          <w:sz w:val="20"/>
          <w:szCs w:val="20"/>
          <w:lang w:val="es-CO"/>
        </w:rPr>
        <w:t>iter</w:t>
      </w:r>
      <w:r w:rsidR="009724FB" w:rsidRPr="00E66386">
        <w:rPr>
          <w:rFonts w:asciiTheme="majorHAnsi" w:hAnsiTheme="majorHAnsi"/>
          <w:sz w:val="20"/>
          <w:szCs w:val="20"/>
          <w:lang w:val="es-CO"/>
        </w:rPr>
        <w:t xml:space="preserve">a que </w:t>
      </w:r>
      <w:r w:rsidR="00520858" w:rsidRPr="00E66386">
        <w:rPr>
          <w:rFonts w:asciiTheme="majorHAnsi" w:hAnsiTheme="majorHAnsi"/>
          <w:sz w:val="20"/>
          <w:szCs w:val="20"/>
          <w:lang w:val="es-CO"/>
        </w:rPr>
        <w:t xml:space="preserve">es competente </w:t>
      </w:r>
      <w:r w:rsidR="004F1B18" w:rsidRPr="00E66386">
        <w:rPr>
          <w:rFonts w:asciiTheme="majorHAnsi" w:hAnsiTheme="majorHAnsi"/>
          <w:sz w:val="20"/>
          <w:szCs w:val="20"/>
          <w:lang w:val="es-CO"/>
        </w:rPr>
        <w:t>para analizar la posible violación de los artículos previstos en dichos instrumentos, a</w:t>
      </w:r>
      <w:r w:rsidR="005D04B2" w:rsidRPr="00E66386">
        <w:rPr>
          <w:rFonts w:asciiTheme="majorHAnsi" w:hAnsiTheme="majorHAnsi"/>
          <w:sz w:val="20"/>
          <w:szCs w:val="20"/>
          <w:lang w:val="es-CO"/>
        </w:rPr>
        <w:t xml:space="preserve"> pesar de su ratificación </w:t>
      </w:r>
      <w:r w:rsidR="004F1B18" w:rsidRPr="00E66386">
        <w:rPr>
          <w:rFonts w:asciiTheme="majorHAnsi" w:hAnsiTheme="majorHAnsi"/>
          <w:sz w:val="20"/>
          <w:szCs w:val="20"/>
          <w:lang w:val="es-CO"/>
        </w:rPr>
        <w:t xml:space="preserve">por el Estado fue realizada </w:t>
      </w:r>
      <w:r w:rsidR="005D04B2" w:rsidRPr="00E66386">
        <w:rPr>
          <w:rFonts w:asciiTheme="majorHAnsi" w:hAnsiTheme="majorHAnsi"/>
          <w:sz w:val="20"/>
          <w:szCs w:val="20"/>
          <w:lang w:val="es-CO"/>
        </w:rPr>
        <w:t>en fecha posterior a l</w:t>
      </w:r>
      <w:r w:rsidR="00447AEE" w:rsidRPr="00E66386">
        <w:rPr>
          <w:rFonts w:asciiTheme="majorHAnsi" w:hAnsiTheme="majorHAnsi"/>
          <w:sz w:val="20"/>
          <w:szCs w:val="20"/>
          <w:lang w:val="es-CO"/>
        </w:rPr>
        <w:t>os hechos</w:t>
      </w:r>
      <w:r w:rsidR="005D04B2" w:rsidRPr="00E66386">
        <w:rPr>
          <w:rFonts w:asciiTheme="majorHAnsi" w:hAnsiTheme="majorHAnsi"/>
          <w:sz w:val="20"/>
          <w:szCs w:val="20"/>
          <w:lang w:val="es-CO"/>
        </w:rPr>
        <w:t xml:space="preserve">, </w:t>
      </w:r>
      <w:r w:rsidR="00447AEE" w:rsidRPr="00E66386">
        <w:rPr>
          <w:rFonts w:asciiTheme="majorHAnsi" w:hAnsiTheme="majorHAnsi"/>
          <w:sz w:val="20"/>
          <w:szCs w:val="20"/>
          <w:lang w:val="es-CO"/>
        </w:rPr>
        <w:t xml:space="preserve">en la medida en que </w:t>
      </w:r>
      <w:r w:rsidR="006116F1" w:rsidRPr="00E66386">
        <w:rPr>
          <w:rFonts w:asciiTheme="majorHAnsi" w:hAnsiTheme="majorHAnsi"/>
          <w:sz w:val="20"/>
          <w:szCs w:val="20"/>
          <w:lang w:val="es-CO"/>
        </w:rPr>
        <w:t xml:space="preserve">haya existido </w:t>
      </w:r>
      <w:r w:rsidR="005D04B2" w:rsidRPr="00E66386">
        <w:rPr>
          <w:rFonts w:asciiTheme="majorHAnsi" w:hAnsiTheme="majorHAnsi"/>
          <w:sz w:val="20"/>
          <w:szCs w:val="20"/>
          <w:lang w:val="es-CO"/>
        </w:rPr>
        <w:t>la ocurrencia de violaciones relacionadas con la falta de investigación de los hechos de tortura</w:t>
      </w:r>
      <w:r w:rsidR="006116F1" w:rsidRPr="00E66386">
        <w:rPr>
          <w:rFonts w:asciiTheme="majorHAnsi" w:hAnsiTheme="majorHAnsi"/>
          <w:sz w:val="20"/>
          <w:szCs w:val="20"/>
          <w:lang w:val="es-CO"/>
        </w:rPr>
        <w:t>, desaparición forzada y violencia contra la mujer;</w:t>
      </w:r>
      <w:r w:rsidR="005D04B2" w:rsidRPr="00E66386">
        <w:rPr>
          <w:rFonts w:asciiTheme="majorHAnsi" w:hAnsiTheme="majorHAnsi"/>
          <w:sz w:val="20"/>
          <w:szCs w:val="20"/>
          <w:lang w:val="es-CO"/>
        </w:rPr>
        <w:t xml:space="preserve"> y los efectos causados por la impunidad a la luz de</w:t>
      </w:r>
      <w:r w:rsidR="00EB3E9F" w:rsidRPr="00E66386">
        <w:rPr>
          <w:rFonts w:asciiTheme="majorHAnsi" w:hAnsiTheme="majorHAnsi"/>
          <w:sz w:val="20"/>
          <w:szCs w:val="20"/>
          <w:lang w:val="es-CO"/>
        </w:rPr>
        <w:t xml:space="preserve"> cada</w:t>
      </w:r>
      <w:r w:rsidR="005D04B2" w:rsidRPr="00E66386">
        <w:rPr>
          <w:rFonts w:asciiTheme="majorHAnsi" w:hAnsiTheme="majorHAnsi"/>
          <w:sz w:val="20"/>
          <w:szCs w:val="20"/>
          <w:lang w:val="es-CO"/>
        </w:rPr>
        <w:t xml:space="preserve"> tratado</w:t>
      </w:r>
      <w:r w:rsidR="00D94C8B" w:rsidRPr="00E66386">
        <w:rPr>
          <w:rStyle w:val="FootnoteReference"/>
          <w:rFonts w:asciiTheme="majorHAnsi" w:hAnsiTheme="majorHAnsi"/>
          <w:sz w:val="20"/>
          <w:szCs w:val="20"/>
          <w:lang w:val="es-CO"/>
        </w:rPr>
        <w:footnoteReference w:id="29"/>
      </w:r>
      <w:r w:rsidR="005D04B2" w:rsidRPr="00E66386">
        <w:rPr>
          <w:rFonts w:asciiTheme="majorHAnsi" w:hAnsiTheme="majorHAnsi"/>
          <w:sz w:val="20"/>
          <w:szCs w:val="20"/>
          <w:lang w:val="es-CO"/>
        </w:rPr>
        <w:t>.</w:t>
      </w:r>
      <w:r w:rsidR="00766DC2" w:rsidRPr="00E66386">
        <w:rPr>
          <w:rFonts w:asciiTheme="majorHAnsi" w:hAnsiTheme="majorHAnsi"/>
          <w:sz w:val="20"/>
          <w:szCs w:val="20"/>
          <w:lang w:val="es-CO"/>
        </w:rPr>
        <w:t xml:space="preserve"> En el presente caso, la Comisión considera que la ausencia de resoluciones judiciales definitivas en el proceso penal y de sanción a los responsables de los hechos denunciados como actos de tortura y violencia de género podrían caracterizar una violación continua a estos tratados, cuyos efectos se extienden hasta el presente. </w:t>
      </w:r>
      <w:r w:rsidR="005D04B2" w:rsidRPr="00E66386">
        <w:rPr>
          <w:rFonts w:asciiTheme="majorHAnsi" w:hAnsiTheme="majorHAnsi"/>
          <w:sz w:val="20"/>
          <w:szCs w:val="20"/>
          <w:lang w:val="es-CO"/>
        </w:rPr>
        <w:t>En e</w:t>
      </w:r>
      <w:r w:rsidR="00D94C8B" w:rsidRPr="00E66386">
        <w:rPr>
          <w:rFonts w:asciiTheme="majorHAnsi" w:hAnsiTheme="majorHAnsi"/>
          <w:sz w:val="20"/>
          <w:szCs w:val="20"/>
          <w:lang w:val="es-CO"/>
        </w:rPr>
        <w:t>ste</w:t>
      </w:r>
      <w:r w:rsidR="005D04B2" w:rsidRPr="00E66386">
        <w:rPr>
          <w:rFonts w:asciiTheme="majorHAnsi" w:hAnsiTheme="majorHAnsi"/>
          <w:sz w:val="20"/>
          <w:szCs w:val="20"/>
          <w:lang w:val="es-CO"/>
        </w:rPr>
        <w:t xml:space="preserve"> contexto, tanto la Comisión como la Corte Interamericana </w:t>
      </w:r>
      <w:r w:rsidR="00BA24BD" w:rsidRPr="00E66386">
        <w:rPr>
          <w:rFonts w:asciiTheme="majorHAnsi" w:hAnsiTheme="majorHAnsi"/>
          <w:sz w:val="20"/>
          <w:szCs w:val="20"/>
          <w:lang w:val="es-CO"/>
        </w:rPr>
        <w:t xml:space="preserve">han </w:t>
      </w:r>
      <w:r w:rsidR="005D04B2" w:rsidRPr="00E66386">
        <w:rPr>
          <w:rFonts w:asciiTheme="majorHAnsi" w:hAnsiTheme="majorHAnsi"/>
          <w:sz w:val="20"/>
          <w:szCs w:val="20"/>
          <w:lang w:val="es-CO"/>
        </w:rPr>
        <w:t>declara</w:t>
      </w:r>
      <w:r w:rsidR="00BA24BD" w:rsidRPr="00E66386">
        <w:rPr>
          <w:rFonts w:asciiTheme="majorHAnsi" w:hAnsiTheme="majorHAnsi"/>
          <w:sz w:val="20"/>
          <w:szCs w:val="20"/>
          <w:lang w:val="es-CO"/>
        </w:rPr>
        <w:t>do</w:t>
      </w:r>
      <w:r w:rsidR="007A10F9" w:rsidRPr="00E66386">
        <w:rPr>
          <w:rFonts w:asciiTheme="majorHAnsi" w:hAnsiTheme="majorHAnsi"/>
          <w:sz w:val="20"/>
          <w:szCs w:val="20"/>
          <w:lang w:val="es-CO"/>
        </w:rPr>
        <w:t>,</w:t>
      </w:r>
      <w:r w:rsidR="005D04B2" w:rsidRPr="00E66386">
        <w:rPr>
          <w:rFonts w:asciiTheme="majorHAnsi" w:hAnsiTheme="majorHAnsi"/>
          <w:sz w:val="20"/>
          <w:szCs w:val="20"/>
          <w:lang w:val="es-CO"/>
        </w:rPr>
        <w:t xml:space="preserve"> en casos </w:t>
      </w:r>
      <w:r w:rsidR="00825B9E" w:rsidRPr="00E66386">
        <w:rPr>
          <w:rFonts w:asciiTheme="majorHAnsi" w:hAnsiTheme="majorHAnsi"/>
          <w:sz w:val="20"/>
          <w:szCs w:val="20"/>
          <w:lang w:val="es-CO"/>
        </w:rPr>
        <w:t>similares</w:t>
      </w:r>
      <w:r w:rsidR="005D04B2" w:rsidRPr="00E66386">
        <w:rPr>
          <w:rFonts w:asciiTheme="majorHAnsi" w:hAnsiTheme="majorHAnsi"/>
          <w:sz w:val="20"/>
          <w:szCs w:val="20"/>
          <w:lang w:val="es-CO"/>
        </w:rPr>
        <w:t xml:space="preserve">, que </w:t>
      </w:r>
      <w:r w:rsidR="00825B9E" w:rsidRPr="00E66386">
        <w:rPr>
          <w:rFonts w:asciiTheme="majorHAnsi" w:hAnsiTheme="majorHAnsi"/>
          <w:sz w:val="20"/>
          <w:szCs w:val="20"/>
          <w:lang w:val="es-CO"/>
        </w:rPr>
        <w:t xml:space="preserve">estos tratados incorporan </w:t>
      </w:r>
      <w:r w:rsidR="005D04B2" w:rsidRPr="00E66386">
        <w:rPr>
          <w:rFonts w:asciiTheme="majorHAnsi" w:hAnsiTheme="majorHAnsi"/>
          <w:sz w:val="20"/>
          <w:szCs w:val="20"/>
          <w:lang w:val="es-CO"/>
        </w:rPr>
        <w:t xml:space="preserve">una cláusula general de competencia aceptada por los Estados </w:t>
      </w:r>
      <w:r w:rsidR="00825B9E" w:rsidRPr="00E66386">
        <w:rPr>
          <w:rFonts w:asciiTheme="majorHAnsi" w:hAnsiTheme="majorHAnsi"/>
          <w:sz w:val="20"/>
          <w:szCs w:val="20"/>
          <w:lang w:val="es-CO"/>
        </w:rPr>
        <w:t>a</w:t>
      </w:r>
      <w:r w:rsidR="005D04B2" w:rsidRPr="00E66386">
        <w:rPr>
          <w:rFonts w:asciiTheme="majorHAnsi" w:hAnsiTheme="majorHAnsi"/>
          <w:sz w:val="20"/>
          <w:szCs w:val="20"/>
          <w:lang w:val="es-CO"/>
        </w:rPr>
        <w:t xml:space="preserve">l momento de ratificar o adherir </w:t>
      </w:r>
      <w:r w:rsidR="00A0379C" w:rsidRPr="00E66386">
        <w:rPr>
          <w:rFonts w:asciiTheme="majorHAnsi" w:hAnsiTheme="majorHAnsi"/>
          <w:sz w:val="20"/>
          <w:szCs w:val="20"/>
          <w:lang w:val="es-CO"/>
        </w:rPr>
        <w:t xml:space="preserve">cada </w:t>
      </w:r>
      <w:r w:rsidR="005D04B2" w:rsidRPr="00E66386">
        <w:rPr>
          <w:rFonts w:asciiTheme="majorHAnsi" w:hAnsiTheme="majorHAnsi"/>
          <w:sz w:val="20"/>
          <w:szCs w:val="20"/>
          <w:lang w:val="es-CO"/>
        </w:rPr>
        <w:t>instrumento</w:t>
      </w:r>
      <w:r w:rsidR="00D86E69" w:rsidRPr="00E66386">
        <w:rPr>
          <w:rStyle w:val="FootnoteReference"/>
          <w:rFonts w:asciiTheme="majorHAnsi" w:hAnsiTheme="majorHAnsi"/>
          <w:sz w:val="20"/>
          <w:szCs w:val="20"/>
          <w:lang w:val="es-CO"/>
        </w:rPr>
        <w:footnoteReference w:id="30"/>
      </w:r>
      <w:r w:rsidR="005D04B2" w:rsidRPr="00E66386">
        <w:rPr>
          <w:rFonts w:asciiTheme="majorHAnsi" w:hAnsiTheme="majorHAnsi"/>
          <w:sz w:val="20"/>
          <w:szCs w:val="20"/>
          <w:lang w:val="es-CO"/>
        </w:rPr>
        <w:t>.</w:t>
      </w:r>
      <w:r w:rsidR="00453413" w:rsidRPr="00E66386">
        <w:rPr>
          <w:rFonts w:asciiTheme="majorHAnsi" w:hAnsiTheme="majorHAnsi"/>
          <w:sz w:val="20"/>
          <w:szCs w:val="20"/>
          <w:lang w:val="es-CO"/>
        </w:rPr>
        <w:t xml:space="preserve"> </w:t>
      </w:r>
      <w:r w:rsidR="00825B9E" w:rsidRPr="00E66386">
        <w:rPr>
          <w:rFonts w:asciiTheme="majorHAnsi" w:hAnsiTheme="majorHAnsi"/>
          <w:sz w:val="20"/>
          <w:szCs w:val="20"/>
          <w:lang w:val="es-CO"/>
        </w:rPr>
        <w:t xml:space="preserve">Asimismo, </w:t>
      </w:r>
      <w:r w:rsidR="00453413" w:rsidRPr="00E66386">
        <w:rPr>
          <w:rFonts w:asciiTheme="majorHAnsi" w:hAnsiTheme="majorHAnsi"/>
          <w:sz w:val="20"/>
          <w:szCs w:val="20"/>
          <w:lang w:val="es-CO"/>
        </w:rPr>
        <w:t>bajo la Convención Interamericana sobre Desaparición Forzada de Personas, los hechos alegados configura</w:t>
      </w:r>
      <w:r w:rsidR="00C930C9" w:rsidRPr="00E66386">
        <w:rPr>
          <w:rFonts w:asciiTheme="majorHAnsi" w:hAnsiTheme="majorHAnsi"/>
          <w:sz w:val="20"/>
          <w:szCs w:val="20"/>
          <w:lang w:val="es-CO"/>
        </w:rPr>
        <w:t>ría</w:t>
      </w:r>
      <w:r w:rsidR="00453413" w:rsidRPr="00E66386">
        <w:rPr>
          <w:rFonts w:asciiTheme="majorHAnsi" w:hAnsiTheme="majorHAnsi"/>
          <w:sz w:val="20"/>
          <w:szCs w:val="20"/>
          <w:lang w:val="es-CO"/>
        </w:rPr>
        <w:t>n una situación de continuidad que subsiste hasta la fecha del presente informe como la falta de determinación del paradero de la presunta víctima, y de la identificación y sanción de los supuestos responsables de dichos hechos</w:t>
      </w:r>
      <w:r w:rsidR="00453413" w:rsidRPr="00E66386">
        <w:rPr>
          <w:rStyle w:val="FootnoteReference"/>
          <w:rFonts w:asciiTheme="majorHAnsi" w:hAnsiTheme="majorHAnsi"/>
          <w:sz w:val="20"/>
          <w:szCs w:val="20"/>
        </w:rPr>
        <w:footnoteReference w:id="31"/>
      </w:r>
      <w:r w:rsidR="00453413" w:rsidRPr="00E66386">
        <w:rPr>
          <w:rFonts w:asciiTheme="majorHAnsi" w:hAnsiTheme="majorHAnsi"/>
          <w:sz w:val="20"/>
          <w:szCs w:val="20"/>
          <w:lang w:val="es-CO"/>
        </w:rPr>
        <w:t>.</w:t>
      </w:r>
    </w:p>
    <w:p w14:paraId="5467256C" w14:textId="77777777" w:rsidR="00895A52" w:rsidRPr="00E66386" w:rsidRDefault="009D0609" w:rsidP="00B344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Adicionalmente, la Comisión también estima pertinente admitir para su análisis en la etapa de fondo el artículo 6 de la Convención </w:t>
      </w:r>
      <w:r w:rsidRPr="00E66386">
        <w:rPr>
          <w:rFonts w:asciiTheme="majorHAnsi" w:hAnsiTheme="majorHAnsi"/>
          <w:bCs/>
          <w:sz w:val="20"/>
          <w:szCs w:val="20"/>
          <w:lang w:val="es-CO"/>
        </w:rPr>
        <w:t>(prohibición de la esclavitud y servidumbre) en relación con los hechos alegados de reclutamiento forzado de hombres, adolescentes y niños en las PAC. Ello bajo un enfoque étnico relacionado con los estándares en materia de trabajo forzoso y pueblos indígenas</w:t>
      </w:r>
      <w:r w:rsidRPr="00E66386">
        <w:rPr>
          <w:rStyle w:val="FootnoteReference"/>
          <w:rFonts w:asciiTheme="majorHAnsi" w:hAnsiTheme="majorHAnsi"/>
          <w:bCs/>
          <w:sz w:val="20"/>
          <w:szCs w:val="20"/>
          <w:lang w:val="es-CO"/>
        </w:rPr>
        <w:footnoteReference w:id="32"/>
      </w:r>
      <w:r w:rsidRPr="00E66386">
        <w:rPr>
          <w:rFonts w:asciiTheme="majorHAnsi" w:hAnsiTheme="majorHAnsi"/>
          <w:bCs/>
          <w:sz w:val="20"/>
          <w:szCs w:val="20"/>
          <w:lang w:val="es-CO"/>
        </w:rPr>
        <w:t>. A</w:t>
      </w:r>
      <w:r w:rsidR="004B4BAA" w:rsidRPr="00E66386">
        <w:rPr>
          <w:rFonts w:asciiTheme="majorHAnsi" w:hAnsiTheme="majorHAnsi"/>
          <w:bCs/>
          <w:sz w:val="20"/>
          <w:szCs w:val="20"/>
          <w:lang w:val="es-CO"/>
        </w:rPr>
        <w:t>simismo</w:t>
      </w:r>
      <w:r w:rsidRPr="00E66386">
        <w:rPr>
          <w:rFonts w:asciiTheme="majorHAnsi" w:hAnsiTheme="majorHAnsi"/>
          <w:bCs/>
          <w:sz w:val="20"/>
          <w:szCs w:val="20"/>
          <w:lang w:val="es-CO"/>
        </w:rPr>
        <w:t>, l</w:t>
      </w:r>
      <w:r w:rsidR="007F617B" w:rsidRPr="00E66386">
        <w:rPr>
          <w:rFonts w:asciiTheme="majorHAnsi" w:hAnsiTheme="majorHAnsi"/>
          <w:sz w:val="20"/>
          <w:szCs w:val="20"/>
          <w:lang w:val="es-CO"/>
        </w:rPr>
        <w:t>a C</w:t>
      </w:r>
      <w:r w:rsidRPr="00E66386">
        <w:rPr>
          <w:rFonts w:asciiTheme="majorHAnsi" w:hAnsiTheme="majorHAnsi"/>
          <w:sz w:val="20"/>
          <w:szCs w:val="20"/>
          <w:lang w:val="es-CO"/>
        </w:rPr>
        <w:t xml:space="preserve">IDH </w:t>
      </w:r>
      <w:r w:rsidR="004B4BAA" w:rsidRPr="00E66386">
        <w:rPr>
          <w:rFonts w:asciiTheme="majorHAnsi" w:hAnsiTheme="majorHAnsi"/>
          <w:sz w:val="20"/>
          <w:szCs w:val="20"/>
          <w:lang w:val="es-CO"/>
        </w:rPr>
        <w:t xml:space="preserve">tendrá en cuenta </w:t>
      </w:r>
      <w:r w:rsidR="00F20023" w:rsidRPr="00E66386">
        <w:rPr>
          <w:rFonts w:asciiTheme="majorHAnsi" w:hAnsiTheme="majorHAnsi"/>
          <w:sz w:val="20"/>
          <w:szCs w:val="20"/>
          <w:lang w:val="es-CO"/>
        </w:rPr>
        <w:t>el</w:t>
      </w:r>
      <w:r w:rsidRPr="00E66386">
        <w:rPr>
          <w:rFonts w:asciiTheme="majorHAnsi" w:hAnsiTheme="majorHAnsi"/>
          <w:sz w:val="20"/>
          <w:szCs w:val="20"/>
          <w:lang w:val="es-CO"/>
        </w:rPr>
        <w:t xml:space="preserve"> enfoque </w:t>
      </w:r>
      <w:r w:rsidR="004B4BAA" w:rsidRPr="00E66386">
        <w:rPr>
          <w:rFonts w:asciiTheme="majorHAnsi" w:hAnsiTheme="majorHAnsi"/>
          <w:sz w:val="20"/>
          <w:szCs w:val="20"/>
          <w:lang w:val="es-CO"/>
        </w:rPr>
        <w:t xml:space="preserve">interseccional </w:t>
      </w:r>
      <w:r w:rsidR="00791518" w:rsidRPr="00E66386">
        <w:rPr>
          <w:rFonts w:asciiTheme="majorHAnsi" w:hAnsiTheme="majorHAnsi"/>
          <w:sz w:val="20"/>
          <w:szCs w:val="20"/>
          <w:lang w:val="es-CO"/>
        </w:rPr>
        <w:t xml:space="preserve">en el análisis de </w:t>
      </w:r>
      <w:r w:rsidR="003213A3" w:rsidRPr="00E66386">
        <w:rPr>
          <w:rFonts w:asciiTheme="majorHAnsi" w:hAnsiTheme="majorHAnsi"/>
          <w:sz w:val="20"/>
          <w:szCs w:val="20"/>
          <w:lang w:val="es-CO"/>
        </w:rPr>
        <w:t xml:space="preserve">las violaciones de derechos </w:t>
      </w:r>
      <w:r w:rsidR="00D22ECC" w:rsidRPr="00E66386">
        <w:rPr>
          <w:rFonts w:asciiTheme="majorHAnsi" w:hAnsiTheme="majorHAnsi"/>
          <w:sz w:val="20"/>
          <w:szCs w:val="20"/>
          <w:lang w:val="es-CO"/>
        </w:rPr>
        <w:t xml:space="preserve">humanos </w:t>
      </w:r>
      <w:r w:rsidR="00120B08" w:rsidRPr="00E66386">
        <w:rPr>
          <w:rFonts w:asciiTheme="majorHAnsi" w:hAnsiTheme="majorHAnsi"/>
          <w:sz w:val="20"/>
          <w:szCs w:val="20"/>
          <w:lang w:val="es-CO"/>
        </w:rPr>
        <w:t xml:space="preserve">dirigidas </w:t>
      </w:r>
      <w:r w:rsidR="00BC1B6D" w:rsidRPr="00E66386">
        <w:rPr>
          <w:rFonts w:asciiTheme="majorHAnsi" w:hAnsiTheme="majorHAnsi"/>
          <w:sz w:val="20"/>
          <w:szCs w:val="20"/>
          <w:lang w:val="es-CO"/>
        </w:rPr>
        <w:t>contra mujeres y niños</w:t>
      </w:r>
      <w:r w:rsidR="00F95EFF" w:rsidRPr="00E66386">
        <w:rPr>
          <w:rFonts w:asciiTheme="majorHAnsi" w:hAnsiTheme="majorHAnsi"/>
          <w:sz w:val="20"/>
          <w:szCs w:val="20"/>
          <w:lang w:val="es-CO"/>
        </w:rPr>
        <w:t xml:space="preserve"> en razón del género y la edad, </w:t>
      </w:r>
      <w:r w:rsidR="00791518" w:rsidRPr="00E66386">
        <w:rPr>
          <w:rFonts w:asciiTheme="majorHAnsi" w:hAnsiTheme="majorHAnsi"/>
          <w:sz w:val="20"/>
          <w:szCs w:val="20"/>
          <w:lang w:val="es-CO"/>
        </w:rPr>
        <w:t xml:space="preserve">tales </w:t>
      </w:r>
      <w:r w:rsidR="00F95EFF" w:rsidRPr="00E66386">
        <w:rPr>
          <w:rFonts w:asciiTheme="majorHAnsi" w:hAnsiTheme="majorHAnsi"/>
          <w:sz w:val="20"/>
          <w:szCs w:val="20"/>
          <w:lang w:val="es-CO"/>
        </w:rPr>
        <w:t>como la violencia sexual</w:t>
      </w:r>
      <w:r w:rsidR="009F296E" w:rsidRPr="00E66386">
        <w:rPr>
          <w:rFonts w:asciiTheme="majorHAnsi" w:hAnsiTheme="majorHAnsi"/>
          <w:sz w:val="20"/>
          <w:szCs w:val="20"/>
          <w:lang w:val="es-CO"/>
        </w:rPr>
        <w:t xml:space="preserve"> de las mujeres</w:t>
      </w:r>
      <w:r w:rsidR="00736AAE" w:rsidRPr="00E66386">
        <w:rPr>
          <w:rFonts w:asciiTheme="majorHAnsi" w:hAnsiTheme="majorHAnsi"/>
          <w:sz w:val="20"/>
          <w:szCs w:val="20"/>
          <w:lang w:val="es-CO"/>
        </w:rPr>
        <w:t>, y el maltrato</w:t>
      </w:r>
      <w:r w:rsidR="00F95EFF" w:rsidRPr="00E66386">
        <w:rPr>
          <w:rFonts w:asciiTheme="majorHAnsi" w:hAnsiTheme="majorHAnsi"/>
          <w:sz w:val="20"/>
          <w:szCs w:val="20"/>
          <w:lang w:val="es-CO"/>
        </w:rPr>
        <w:t xml:space="preserve"> y la abducción</w:t>
      </w:r>
      <w:r w:rsidR="00736AAE" w:rsidRPr="00E66386">
        <w:rPr>
          <w:rFonts w:asciiTheme="majorHAnsi" w:hAnsiTheme="majorHAnsi"/>
          <w:sz w:val="20"/>
          <w:szCs w:val="20"/>
          <w:lang w:val="es-CO"/>
        </w:rPr>
        <w:t xml:space="preserve"> ilegal de niños, niñas y adolescentes</w:t>
      </w:r>
      <w:r w:rsidR="003213A3" w:rsidRPr="00E66386">
        <w:rPr>
          <w:rFonts w:asciiTheme="majorHAnsi" w:hAnsiTheme="majorHAnsi"/>
          <w:sz w:val="20"/>
          <w:szCs w:val="20"/>
          <w:lang w:val="es-CO"/>
        </w:rPr>
        <w:t>.</w:t>
      </w:r>
      <w:r w:rsidR="00D7043B" w:rsidRPr="00E66386">
        <w:rPr>
          <w:rFonts w:asciiTheme="majorHAnsi" w:hAnsiTheme="majorHAnsi"/>
          <w:sz w:val="20"/>
          <w:szCs w:val="20"/>
          <w:lang w:val="es-CO"/>
        </w:rPr>
        <w:t xml:space="preserve"> </w:t>
      </w:r>
      <w:r w:rsidR="008C61B9" w:rsidRPr="00E66386">
        <w:rPr>
          <w:rFonts w:asciiTheme="majorHAnsi" w:hAnsiTheme="majorHAnsi"/>
          <w:sz w:val="20"/>
          <w:szCs w:val="20"/>
          <w:lang w:val="es-CO"/>
        </w:rPr>
        <w:t xml:space="preserve">Sobre la primera, la </w:t>
      </w:r>
      <w:r w:rsidR="005026A5" w:rsidRPr="00E66386">
        <w:rPr>
          <w:rFonts w:asciiTheme="majorHAnsi" w:hAnsiTheme="majorHAnsi"/>
          <w:sz w:val="20"/>
          <w:szCs w:val="20"/>
          <w:lang w:val="es-CO"/>
        </w:rPr>
        <w:t>Corte Interamericana ha establecido que la violación sexual constituye una forma paradigmática de violencia contra las mujeres</w:t>
      </w:r>
      <w:r w:rsidR="009F2007" w:rsidRPr="00E66386">
        <w:rPr>
          <w:rStyle w:val="FootnoteReference"/>
          <w:rFonts w:asciiTheme="majorHAnsi" w:hAnsiTheme="majorHAnsi"/>
          <w:sz w:val="20"/>
          <w:szCs w:val="20"/>
          <w:lang w:val="es-CO"/>
        </w:rPr>
        <w:footnoteReference w:id="33"/>
      </w:r>
      <w:r w:rsidR="006C43CF" w:rsidRPr="00E66386">
        <w:rPr>
          <w:rFonts w:asciiTheme="majorHAnsi" w:hAnsiTheme="majorHAnsi"/>
          <w:sz w:val="20"/>
          <w:szCs w:val="20"/>
          <w:lang w:val="es-CO"/>
        </w:rPr>
        <w:t xml:space="preserve">, que puede configurar </w:t>
      </w:r>
      <w:r w:rsidR="00A60D3E" w:rsidRPr="00E66386">
        <w:rPr>
          <w:rFonts w:asciiTheme="majorHAnsi" w:hAnsiTheme="majorHAnsi"/>
          <w:sz w:val="20"/>
          <w:szCs w:val="20"/>
          <w:lang w:val="es-CO"/>
        </w:rPr>
        <w:t xml:space="preserve">una forma de </w:t>
      </w:r>
      <w:r w:rsidR="006C43CF" w:rsidRPr="00E66386">
        <w:rPr>
          <w:rFonts w:asciiTheme="majorHAnsi" w:hAnsiTheme="majorHAnsi"/>
          <w:sz w:val="20"/>
          <w:szCs w:val="20"/>
          <w:lang w:val="es-CO"/>
        </w:rPr>
        <w:t>tortura</w:t>
      </w:r>
      <w:r w:rsidR="00FA562D" w:rsidRPr="00E66386">
        <w:rPr>
          <w:rStyle w:val="FootnoteReference"/>
          <w:rFonts w:asciiTheme="majorHAnsi" w:hAnsiTheme="majorHAnsi"/>
          <w:sz w:val="20"/>
          <w:szCs w:val="20"/>
          <w:lang w:val="es-CO"/>
        </w:rPr>
        <w:footnoteReference w:id="34"/>
      </w:r>
      <w:r w:rsidR="006C43CF" w:rsidRPr="00E66386">
        <w:rPr>
          <w:rFonts w:asciiTheme="majorHAnsi" w:hAnsiTheme="majorHAnsi"/>
          <w:sz w:val="20"/>
          <w:szCs w:val="20"/>
          <w:lang w:val="es-CO"/>
        </w:rPr>
        <w:t>.</w:t>
      </w:r>
      <w:r w:rsidR="001733B8" w:rsidRPr="00E66386">
        <w:rPr>
          <w:rFonts w:asciiTheme="majorHAnsi" w:hAnsiTheme="majorHAnsi"/>
          <w:sz w:val="20"/>
          <w:szCs w:val="20"/>
          <w:lang w:val="es-CO"/>
        </w:rPr>
        <w:t xml:space="preserve"> Sobre el segundo aspecto,</w:t>
      </w:r>
      <w:r w:rsidR="009A78FC" w:rsidRPr="00E66386">
        <w:rPr>
          <w:rFonts w:asciiTheme="majorHAnsi" w:hAnsiTheme="majorHAnsi"/>
          <w:sz w:val="20"/>
          <w:szCs w:val="20"/>
          <w:lang w:val="es-CO"/>
        </w:rPr>
        <w:t xml:space="preserve"> </w:t>
      </w:r>
      <w:r w:rsidR="000B5FC0" w:rsidRPr="00E66386">
        <w:rPr>
          <w:rFonts w:asciiTheme="majorHAnsi" w:hAnsiTheme="majorHAnsi"/>
          <w:sz w:val="20"/>
          <w:szCs w:val="20"/>
          <w:lang w:val="es-CO"/>
        </w:rPr>
        <w:t xml:space="preserve">ha determinado que </w:t>
      </w:r>
      <w:r w:rsidR="0010395E" w:rsidRPr="00E66386">
        <w:rPr>
          <w:rFonts w:asciiTheme="majorHAnsi" w:hAnsiTheme="majorHAnsi"/>
          <w:sz w:val="20"/>
          <w:szCs w:val="20"/>
          <w:lang w:val="es-CO"/>
        </w:rPr>
        <w:t xml:space="preserve">los niños, niñas y adolescentes </w:t>
      </w:r>
      <w:r w:rsidR="009A78FC" w:rsidRPr="00E66386">
        <w:rPr>
          <w:rFonts w:asciiTheme="majorHAnsi" w:hAnsiTheme="majorHAnsi"/>
          <w:sz w:val="20"/>
          <w:szCs w:val="20"/>
          <w:lang w:val="es-CO"/>
        </w:rPr>
        <w:t>t</w:t>
      </w:r>
      <w:r w:rsidR="0010395E" w:rsidRPr="00E66386">
        <w:rPr>
          <w:rFonts w:asciiTheme="majorHAnsi" w:hAnsiTheme="majorHAnsi"/>
          <w:sz w:val="20"/>
          <w:szCs w:val="20"/>
          <w:lang w:val="es-CO"/>
        </w:rPr>
        <w:t xml:space="preserve">ienen </w:t>
      </w:r>
      <w:r w:rsidR="009A78FC" w:rsidRPr="00E66386">
        <w:rPr>
          <w:rFonts w:asciiTheme="majorHAnsi" w:hAnsiTheme="majorHAnsi"/>
          <w:sz w:val="20"/>
          <w:szCs w:val="20"/>
          <w:lang w:val="es-CO"/>
        </w:rPr>
        <w:t xml:space="preserve">derecho a </w:t>
      </w:r>
      <w:r w:rsidR="0010395E" w:rsidRPr="00E66386">
        <w:rPr>
          <w:rFonts w:asciiTheme="majorHAnsi" w:hAnsiTheme="majorHAnsi"/>
          <w:sz w:val="20"/>
          <w:szCs w:val="20"/>
          <w:lang w:val="es-CO"/>
        </w:rPr>
        <w:t xml:space="preserve">la adopción de </w:t>
      </w:r>
      <w:r w:rsidR="009A78FC" w:rsidRPr="00E66386">
        <w:rPr>
          <w:rFonts w:asciiTheme="majorHAnsi" w:hAnsiTheme="majorHAnsi"/>
          <w:sz w:val="20"/>
          <w:szCs w:val="20"/>
          <w:lang w:val="es-CO"/>
        </w:rPr>
        <w:t xml:space="preserve">medidas especiales de protección </w:t>
      </w:r>
      <w:r w:rsidR="00BD19F3" w:rsidRPr="00E66386">
        <w:rPr>
          <w:rFonts w:asciiTheme="majorHAnsi" w:hAnsiTheme="majorHAnsi"/>
          <w:sz w:val="20"/>
          <w:szCs w:val="20"/>
          <w:lang w:val="es-CO"/>
        </w:rPr>
        <w:t>en virtud de</w:t>
      </w:r>
      <w:r w:rsidR="009A78FC" w:rsidRPr="00E66386">
        <w:rPr>
          <w:rFonts w:asciiTheme="majorHAnsi" w:hAnsiTheme="majorHAnsi"/>
          <w:sz w:val="20"/>
          <w:szCs w:val="20"/>
          <w:lang w:val="es-CO"/>
        </w:rPr>
        <w:t>l artículo 19 de la Convención,</w:t>
      </w:r>
      <w:r w:rsidR="00511BCC" w:rsidRPr="00E66386">
        <w:rPr>
          <w:rFonts w:asciiTheme="majorHAnsi" w:hAnsiTheme="majorHAnsi"/>
          <w:sz w:val="20"/>
          <w:szCs w:val="20"/>
          <w:lang w:val="es-CO"/>
        </w:rPr>
        <w:t xml:space="preserve"> </w:t>
      </w:r>
      <w:r w:rsidR="00BD19F3" w:rsidRPr="00E66386">
        <w:rPr>
          <w:rFonts w:asciiTheme="majorHAnsi" w:hAnsiTheme="majorHAnsi"/>
          <w:sz w:val="20"/>
          <w:szCs w:val="20"/>
          <w:lang w:val="es-CO"/>
        </w:rPr>
        <w:t xml:space="preserve">y </w:t>
      </w:r>
      <w:r w:rsidR="00274C70" w:rsidRPr="00E66386">
        <w:rPr>
          <w:rFonts w:asciiTheme="majorHAnsi" w:hAnsiTheme="majorHAnsi"/>
          <w:sz w:val="20"/>
          <w:szCs w:val="20"/>
          <w:lang w:val="es-CO"/>
        </w:rPr>
        <w:t>su</w:t>
      </w:r>
      <w:r w:rsidR="00BD19F3" w:rsidRPr="00E66386">
        <w:rPr>
          <w:rFonts w:asciiTheme="majorHAnsi" w:hAnsiTheme="majorHAnsi"/>
          <w:sz w:val="20"/>
          <w:szCs w:val="20"/>
          <w:lang w:val="es-CO"/>
        </w:rPr>
        <w:t xml:space="preserve"> sustracción </w:t>
      </w:r>
      <w:r w:rsidR="00274C70" w:rsidRPr="00E66386">
        <w:rPr>
          <w:rFonts w:asciiTheme="majorHAnsi" w:hAnsiTheme="majorHAnsi"/>
          <w:sz w:val="20"/>
          <w:szCs w:val="20"/>
          <w:lang w:val="es-CO"/>
        </w:rPr>
        <w:t xml:space="preserve">ilegal caracteriza una violación de los artículos </w:t>
      </w:r>
      <w:r w:rsidR="009A78FC" w:rsidRPr="00E66386">
        <w:rPr>
          <w:rFonts w:asciiTheme="majorHAnsi" w:hAnsiTheme="majorHAnsi"/>
          <w:sz w:val="20"/>
          <w:szCs w:val="20"/>
          <w:lang w:val="es-CO"/>
        </w:rPr>
        <w:t>3</w:t>
      </w:r>
      <w:r w:rsidR="00274C70" w:rsidRPr="00E66386">
        <w:rPr>
          <w:rFonts w:asciiTheme="majorHAnsi" w:hAnsiTheme="majorHAnsi"/>
          <w:sz w:val="20"/>
          <w:szCs w:val="20"/>
          <w:lang w:val="es-CO"/>
        </w:rPr>
        <w:t xml:space="preserve"> (personalidad jurídica)</w:t>
      </w:r>
      <w:r w:rsidR="009A78FC" w:rsidRPr="00E66386">
        <w:rPr>
          <w:rFonts w:asciiTheme="majorHAnsi" w:hAnsiTheme="majorHAnsi"/>
          <w:sz w:val="20"/>
          <w:szCs w:val="20"/>
          <w:lang w:val="es-CO"/>
        </w:rPr>
        <w:t xml:space="preserve">, </w:t>
      </w:r>
      <w:r w:rsidR="00D57D17" w:rsidRPr="00E66386">
        <w:rPr>
          <w:rFonts w:asciiTheme="majorHAnsi" w:hAnsiTheme="majorHAnsi"/>
          <w:bCs/>
          <w:sz w:val="20"/>
          <w:szCs w:val="20"/>
          <w:lang w:val="es-CO"/>
        </w:rPr>
        <w:t xml:space="preserve">17 (protección a la familia), </w:t>
      </w:r>
      <w:r w:rsidR="009A78FC" w:rsidRPr="00E66386">
        <w:rPr>
          <w:rFonts w:asciiTheme="majorHAnsi" w:hAnsiTheme="majorHAnsi"/>
          <w:sz w:val="20"/>
          <w:szCs w:val="20"/>
          <w:lang w:val="es-CO"/>
        </w:rPr>
        <w:t>18</w:t>
      </w:r>
      <w:r w:rsidR="00F204CE" w:rsidRPr="00E66386">
        <w:rPr>
          <w:rFonts w:asciiTheme="majorHAnsi" w:hAnsiTheme="majorHAnsi"/>
          <w:sz w:val="20"/>
          <w:szCs w:val="20"/>
          <w:lang w:val="es-CO"/>
        </w:rPr>
        <w:t xml:space="preserve"> (nombre)</w:t>
      </w:r>
      <w:r w:rsidR="009A78FC" w:rsidRPr="00E66386">
        <w:rPr>
          <w:rFonts w:asciiTheme="majorHAnsi" w:hAnsiTheme="majorHAnsi"/>
          <w:sz w:val="20"/>
          <w:szCs w:val="20"/>
          <w:lang w:val="es-CO"/>
        </w:rPr>
        <w:t xml:space="preserve"> y 20</w:t>
      </w:r>
      <w:r w:rsidR="00F35157" w:rsidRPr="00E66386">
        <w:rPr>
          <w:rFonts w:asciiTheme="majorHAnsi" w:hAnsiTheme="majorHAnsi"/>
          <w:sz w:val="20"/>
          <w:szCs w:val="20"/>
          <w:lang w:val="es-CO"/>
        </w:rPr>
        <w:t xml:space="preserve"> (nacionalidad)</w:t>
      </w:r>
      <w:r w:rsidR="009A78FC" w:rsidRPr="00E66386">
        <w:rPr>
          <w:rFonts w:asciiTheme="majorHAnsi" w:hAnsiTheme="majorHAnsi"/>
          <w:sz w:val="20"/>
          <w:szCs w:val="20"/>
          <w:lang w:val="es-CO"/>
        </w:rPr>
        <w:t xml:space="preserve"> de la Convención </w:t>
      </w:r>
      <w:r w:rsidR="00F35157" w:rsidRPr="00E66386">
        <w:rPr>
          <w:rFonts w:asciiTheme="majorHAnsi" w:hAnsiTheme="majorHAnsi"/>
          <w:sz w:val="20"/>
          <w:szCs w:val="20"/>
          <w:lang w:val="es-CO"/>
        </w:rPr>
        <w:t>Americana, que interpretados a</w:t>
      </w:r>
      <w:r w:rsidR="009A78FC" w:rsidRPr="00E66386">
        <w:rPr>
          <w:rFonts w:asciiTheme="majorHAnsi" w:hAnsiTheme="majorHAnsi"/>
          <w:sz w:val="20"/>
          <w:szCs w:val="20"/>
          <w:lang w:val="es-CO"/>
        </w:rPr>
        <w:t xml:space="preserve"> la luz del </w:t>
      </w:r>
      <w:r w:rsidR="009A78FC" w:rsidRPr="00E66386">
        <w:rPr>
          <w:rFonts w:asciiTheme="majorHAnsi" w:hAnsiTheme="majorHAnsi"/>
          <w:i/>
          <w:iCs/>
          <w:sz w:val="20"/>
          <w:szCs w:val="20"/>
          <w:lang w:val="es-CO"/>
        </w:rPr>
        <w:t>corpus juris</w:t>
      </w:r>
      <w:r w:rsidR="009A78FC" w:rsidRPr="00E66386">
        <w:rPr>
          <w:rFonts w:asciiTheme="majorHAnsi" w:hAnsiTheme="majorHAnsi"/>
          <w:sz w:val="20"/>
          <w:szCs w:val="20"/>
          <w:lang w:val="es-CO"/>
        </w:rPr>
        <w:t xml:space="preserve"> de los derechos de la niñez</w:t>
      </w:r>
      <w:r w:rsidR="00F23410" w:rsidRPr="00E66386">
        <w:rPr>
          <w:rFonts w:asciiTheme="majorHAnsi" w:hAnsiTheme="majorHAnsi"/>
          <w:sz w:val="20"/>
          <w:szCs w:val="20"/>
          <w:lang w:val="es-CO"/>
        </w:rPr>
        <w:t xml:space="preserve"> protegen el derecho a la identidad</w:t>
      </w:r>
      <w:r w:rsidR="00524477" w:rsidRPr="00E66386">
        <w:rPr>
          <w:rStyle w:val="FootnoteReference"/>
          <w:rFonts w:asciiTheme="majorHAnsi" w:hAnsiTheme="majorHAnsi"/>
          <w:sz w:val="20"/>
          <w:szCs w:val="20"/>
          <w:lang w:val="es-CO"/>
        </w:rPr>
        <w:footnoteReference w:id="35"/>
      </w:r>
      <w:r w:rsidR="009A78FC" w:rsidRPr="00E66386">
        <w:rPr>
          <w:rFonts w:asciiTheme="majorHAnsi" w:hAnsiTheme="majorHAnsi"/>
          <w:sz w:val="20"/>
          <w:szCs w:val="20"/>
          <w:lang w:val="es-CO"/>
        </w:rPr>
        <w:t>.</w:t>
      </w:r>
    </w:p>
    <w:p w14:paraId="663066E4" w14:textId="2E913C10" w:rsidR="00B34409" w:rsidRPr="00E66386" w:rsidRDefault="00895A52" w:rsidP="00612EC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 xml:space="preserve">En relación con la alegada violación </w:t>
      </w:r>
      <w:r w:rsidR="00CE3DE9" w:rsidRPr="00E66386">
        <w:rPr>
          <w:rFonts w:asciiTheme="majorHAnsi" w:hAnsiTheme="majorHAnsi"/>
          <w:sz w:val="20"/>
          <w:szCs w:val="20"/>
          <w:lang w:val="es-ES"/>
        </w:rPr>
        <w:t>de los derechos</w:t>
      </w:r>
      <w:r w:rsidRPr="00E66386">
        <w:rPr>
          <w:rFonts w:asciiTheme="majorHAnsi" w:hAnsiTheme="majorHAnsi"/>
          <w:sz w:val="20"/>
          <w:szCs w:val="20"/>
          <w:lang w:val="es-ES"/>
        </w:rPr>
        <w:t xml:space="preserve"> a la integridad personal</w:t>
      </w:r>
      <w:r w:rsidR="00CE3DE9" w:rsidRPr="00E66386">
        <w:rPr>
          <w:rFonts w:asciiTheme="majorHAnsi" w:hAnsiTheme="majorHAnsi"/>
          <w:sz w:val="20"/>
          <w:szCs w:val="20"/>
          <w:lang w:val="es-ES"/>
        </w:rPr>
        <w:t xml:space="preserve"> (artículo 5)</w:t>
      </w:r>
      <w:r w:rsidRPr="00E66386">
        <w:rPr>
          <w:rFonts w:asciiTheme="majorHAnsi" w:hAnsiTheme="majorHAnsi"/>
          <w:sz w:val="20"/>
          <w:szCs w:val="20"/>
          <w:lang w:val="es-ES"/>
        </w:rPr>
        <w:t xml:space="preserve"> y al acceso a la información y </w:t>
      </w:r>
      <w:r w:rsidR="00AF287A" w:rsidRPr="00E66386">
        <w:rPr>
          <w:rFonts w:asciiTheme="majorHAnsi" w:hAnsiTheme="majorHAnsi"/>
          <w:sz w:val="20"/>
          <w:szCs w:val="20"/>
          <w:lang w:val="es-ES"/>
        </w:rPr>
        <w:t>desclasificación de los archivos militares</w:t>
      </w:r>
      <w:r w:rsidR="00CE3DE9" w:rsidRPr="00E66386">
        <w:rPr>
          <w:rFonts w:asciiTheme="majorHAnsi" w:hAnsiTheme="majorHAnsi"/>
          <w:sz w:val="20"/>
          <w:szCs w:val="20"/>
          <w:lang w:val="es-ES"/>
        </w:rPr>
        <w:t xml:space="preserve"> (</w:t>
      </w:r>
      <w:r w:rsidR="00D474E6" w:rsidRPr="00E66386">
        <w:rPr>
          <w:rFonts w:asciiTheme="majorHAnsi" w:hAnsiTheme="majorHAnsi"/>
          <w:sz w:val="20"/>
          <w:szCs w:val="20"/>
          <w:lang w:val="es-ES"/>
        </w:rPr>
        <w:t>artículo 13)</w:t>
      </w:r>
      <w:r w:rsidR="00AF287A" w:rsidRPr="00E66386">
        <w:rPr>
          <w:rFonts w:asciiTheme="majorHAnsi" w:hAnsiTheme="majorHAnsi"/>
          <w:sz w:val="20"/>
          <w:szCs w:val="20"/>
          <w:lang w:val="es-ES"/>
        </w:rPr>
        <w:t xml:space="preserve">, la Comisión advierte que la parte peticionaria </w:t>
      </w:r>
      <w:r w:rsidR="00CE3DE9" w:rsidRPr="00E66386">
        <w:rPr>
          <w:rFonts w:asciiTheme="majorHAnsi" w:hAnsiTheme="majorHAnsi"/>
          <w:sz w:val="20"/>
          <w:szCs w:val="20"/>
          <w:lang w:val="es-ES"/>
        </w:rPr>
        <w:t xml:space="preserve">realizó las solicitudes de desclasificación de dichos documentos dentro del proceso penal </w:t>
      </w:r>
      <w:r w:rsidR="00CE3DE9" w:rsidRPr="00E66386">
        <w:rPr>
          <w:rFonts w:asciiTheme="majorHAnsi" w:hAnsiTheme="majorHAnsi"/>
          <w:sz w:val="20"/>
          <w:szCs w:val="20"/>
          <w:lang w:val="es-ES"/>
        </w:rPr>
        <w:lastRenderedPageBreak/>
        <w:t>por genocidio. Entre los recursos ejercidos</w:t>
      </w:r>
      <w:r w:rsidR="00D474E6" w:rsidRPr="00E66386">
        <w:rPr>
          <w:rFonts w:asciiTheme="majorHAnsi" w:hAnsiTheme="majorHAnsi"/>
          <w:sz w:val="20"/>
          <w:szCs w:val="20"/>
          <w:lang w:val="es-ES"/>
        </w:rPr>
        <w:t xml:space="preserve"> dentro y fuera de dicho proceso, se encuentra</w:t>
      </w:r>
      <w:r w:rsidR="00E953BA" w:rsidRPr="00E66386">
        <w:rPr>
          <w:rFonts w:asciiTheme="majorHAnsi" w:hAnsiTheme="majorHAnsi"/>
          <w:sz w:val="20"/>
          <w:szCs w:val="20"/>
          <w:lang w:val="es-ES"/>
        </w:rPr>
        <w:t xml:space="preserve"> la oposición a varias acciones de amparo propuestas por los defensores, en un litigio que habría durado cinco años.</w:t>
      </w:r>
      <w:r w:rsidR="009D6690" w:rsidRPr="00E66386">
        <w:rPr>
          <w:rFonts w:asciiTheme="majorHAnsi" w:hAnsiTheme="majorHAnsi"/>
          <w:sz w:val="20"/>
          <w:szCs w:val="20"/>
          <w:lang w:val="es-ES"/>
        </w:rPr>
        <w:t xml:space="preserve"> Por ello, la CIDH considera que corresponde analizar su alegada violación en la etapa de fondo.</w:t>
      </w:r>
      <w:r w:rsidR="00AF287A" w:rsidRPr="00E66386">
        <w:rPr>
          <w:rFonts w:asciiTheme="majorHAnsi" w:hAnsiTheme="majorHAnsi"/>
          <w:sz w:val="20"/>
          <w:szCs w:val="20"/>
          <w:lang w:val="es-ES"/>
        </w:rPr>
        <w:t xml:space="preserve"> </w:t>
      </w:r>
      <w:r w:rsidR="00042ACB" w:rsidRPr="00E66386">
        <w:rPr>
          <w:rFonts w:asciiTheme="majorHAnsi" w:hAnsiTheme="majorHAnsi"/>
          <w:sz w:val="20"/>
          <w:szCs w:val="20"/>
          <w:lang w:val="es-CO"/>
        </w:rPr>
        <w:t xml:space="preserve">Asimismo, </w:t>
      </w:r>
      <w:r w:rsidR="009D6690" w:rsidRPr="00E66386">
        <w:rPr>
          <w:rFonts w:asciiTheme="majorHAnsi" w:hAnsiTheme="majorHAnsi"/>
          <w:sz w:val="20"/>
          <w:szCs w:val="20"/>
          <w:lang w:val="es-CO"/>
        </w:rPr>
        <w:t xml:space="preserve">en cuanto a los hechos </w:t>
      </w:r>
      <w:r w:rsidR="00936CE1" w:rsidRPr="00E66386">
        <w:rPr>
          <w:rFonts w:asciiTheme="majorHAnsi" w:hAnsiTheme="majorHAnsi"/>
          <w:sz w:val="20"/>
          <w:szCs w:val="20"/>
          <w:lang w:val="es-CO"/>
        </w:rPr>
        <w:t>denunciado por</w:t>
      </w:r>
      <w:r w:rsidR="00042ACB" w:rsidRPr="00E66386">
        <w:rPr>
          <w:rFonts w:asciiTheme="majorHAnsi" w:hAnsiTheme="majorHAnsi"/>
          <w:sz w:val="20"/>
          <w:szCs w:val="20"/>
          <w:lang w:val="es-CO"/>
        </w:rPr>
        <w:t xml:space="preserve"> desplazamiento </w:t>
      </w:r>
      <w:r w:rsidR="00131B96" w:rsidRPr="00E66386">
        <w:rPr>
          <w:rFonts w:asciiTheme="majorHAnsi" w:hAnsiTheme="majorHAnsi"/>
          <w:sz w:val="20"/>
          <w:szCs w:val="20"/>
          <w:lang w:val="es-CO"/>
        </w:rPr>
        <w:t>intern</w:t>
      </w:r>
      <w:r w:rsidR="00042ACB" w:rsidRPr="00E66386">
        <w:rPr>
          <w:rFonts w:asciiTheme="majorHAnsi" w:hAnsiTheme="majorHAnsi"/>
          <w:sz w:val="20"/>
          <w:szCs w:val="20"/>
          <w:lang w:val="es-CO"/>
        </w:rPr>
        <w:t>o</w:t>
      </w:r>
      <w:r w:rsidR="00131B96" w:rsidRPr="00E66386">
        <w:rPr>
          <w:rFonts w:asciiTheme="majorHAnsi" w:hAnsiTheme="majorHAnsi"/>
          <w:sz w:val="20"/>
          <w:szCs w:val="20"/>
          <w:lang w:val="es-CO"/>
        </w:rPr>
        <w:t xml:space="preserve">, la CIDH tiene </w:t>
      </w:r>
      <w:r w:rsidR="00131B96" w:rsidRPr="00E66386">
        <w:rPr>
          <w:rFonts w:asciiTheme="majorHAnsi" w:hAnsiTheme="majorHAnsi"/>
          <w:sz w:val="20"/>
          <w:szCs w:val="20"/>
          <w:lang w:val="es-VE"/>
        </w:rPr>
        <w:t xml:space="preserve">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w:t>
      </w:r>
      <w:r w:rsidR="003409B2" w:rsidRPr="00E66386">
        <w:rPr>
          <w:rFonts w:asciiTheme="majorHAnsi" w:hAnsiTheme="majorHAnsi"/>
          <w:sz w:val="20"/>
          <w:szCs w:val="20"/>
          <w:lang w:val="es-VE"/>
        </w:rPr>
        <w:t>Así,</w:t>
      </w:r>
      <w:r w:rsidR="00131B96" w:rsidRPr="00E66386">
        <w:rPr>
          <w:rFonts w:asciiTheme="majorHAnsi" w:hAnsiTheme="majorHAnsi"/>
          <w:sz w:val="20"/>
          <w:szCs w:val="20"/>
          <w:lang w:val="es-VE"/>
        </w:rPr>
        <w:t xml:space="preserve"> la Comisión considera que los alegatos relativos a este fenómeno podrían caracterizar posibles violaciones de los artículos 5 (integridad personal), 22 (</w:t>
      </w:r>
      <w:r w:rsidR="00131B96" w:rsidRPr="00E66386">
        <w:rPr>
          <w:rFonts w:asciiTheme="majorHAnsi" w:hAnsiTheme="majorHAnsi"/>
          <w:sz w:val="20"/>
          <w:szCs w:val="20"/>
          <w:lang w:val="es-ES_tradnl"/>
        </w:rPr>
        <w:t>circulación y residencia)</w:t>
      </w:r>
      <w:r w:rsidR="00131B96" w:rsidRPr="00E66386">
        <w:rPr>
          <w:rFonts w:asciiTheme="majorHAnsi" w:hAnsiTheme="majorHAnsi"/>
          <w:sz w:val="20"/>
          <w:szCs w:val="20"/>
          <w:lang w:val="es-VE"/>
        </w:rPr>
        <w:t xml:space="preserve"> y 26 (derechos económicos, sociales y culturales) de la Convención Americana de manera conjunta e interconectada</w:t>
      </w:r>
      <w:r w:rsidR="00131B96" w:rsidRPr="00E66386">
        <w:rPr>
          <w:rFonts w:asciiTheme="majorHAnsi" w:hAnsiTheme="majorHAnsi"/>
          <w:sz w:val="20"/>
          <w:szCs w:val="20"/>
          <w:vertAlign w:val="superscript"/>
          <w:lang w:val="es-ES_tradnl"/>
        </w:rPr>
        <w:footnoteReference w:id="36"/>
      </w:r>
      <w:r w:rsidR="00131B96" w:rsidRPr="00E66386">
        <w:rPr>
          <w:rFonts w:asciiTheme="majorHAnsi" w:hAnsiTheme="majorHAnsi"/>
          <w:sz w:val="20"/>
          <w:szCs w:val="20"/>
          <w:lang w:val="es-VE"/>
        </w:rPr>
        <w:t>.</w:t>
      </w:r>
    </w:p>
    <w:p w14:paraId="7DDFADB9" w14:textId="14B4483A" w:rsidR="001A520D" w:rsidRPr="00E66386" w:rsidRDefault="008C5E2D" w:rsidP="00DB398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66386">
        <w:rPr>
          <w:rFonts w:asciiTheme="majorHAnsi" w:hAnsiTheme="majorHAnsi"/>
          <w:sz w:val="20"/>
          <w:szCs w:val="20"/>
          <w:lang w:val="es-ES"/>
        </w:rPr>
        <w:t>En aten</w:t>
      </w:r>
      <w:r w:rsidR="00C25ADB" w:rsidRPr="00E66386">
        <w:rPr>
          <w:rFonts w:asciiTheme="majorHAnsi" w:hAnsiTheme="majorHAnsi"/>
          <w:sz w:val="20"/>
          <w:szCs w:val="20"/>
          <w:lang w:val="es-ES"/>
        </w:rPr>
        <w:t xml:space="preserve">ción a estas consideraciones y </w:t>
      </w:r>
      <w:r w:rsidRPr="00E66386">
        <w:rPr>
          <w:rFonts w:asciiTheme="majorHAnsi" w:hAnsiTheme="majorHAnsi"/>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E66386">
        <w:rPr>
          <w:rFonts w:asciiTheme="majorHAnsi" w:hAnsiTheme="majorHAnsi"/>
          <w:sz w:val="20"/>
          <w:szCs w:val="20"/>
          <w:lang w:val="es-ES"/>
        </w:rPr>
        <w:t>;</w:t>
      </w:r>
      <w:r w:rsidRPr="00E66386">
        <w:rPr>
          <w:rFonts w:asciiTheme="majorHAnsi" w:hAnsiTheme="majorHAnsi"/>
          <w:sz w:val="20"/>
          <w:szCs w:val="20"/>
          <w:lang w:val="es-ES"/>
        </w:rPr>
        <w:t xml:space="preserve"> pues los hechos alegados, de corroborarse como ciertos</w:t>
      </w:r>
      <w:r w:rsidR="00394073" w:rsidRPr="00E66386">
        <w:rPr>
          <w:rFonts w:asciiTheme="majorHAnsi" w:hAnsiTheme="majorHAnsi"/>
          <w:sz w:val="20"/>
          <w:szCs w:val="20"/>
          <w:lang w:val="es-ES"/>
        </w:rPr>
        <w:t>,</w:t>
      </w:r>
      <w:r w:rsidRPr="00E66386">
        <w:rPr>
          <w:rFonts w:asciiTheme="majorHAnsi" w:hAnsiTheme="majorHAnsi"/>
          <w:sz w:val="20"/>
          <w:szCs w:val="20"/>
          <w:lang w:val="es-ES"/>
        </w:rPr>
        <w:t xml:space="preserve"> podrían caracteri</w:t>
      </w:r>
      <w:r w:rsidR="004B421C" w:rsidRPr="00E66386">
        <w:rPr>
          <w:rFonts w:asciiTheme="majorHAnsi" w:hAnsiTheme="majorHAnsi"/>
          <w:sz w:val="20"/>
          <w:szCs w:val="20"/>
          <w:lang w:val="es-ES"/>
        </w:rPr>
        <w:t>zar violaciones a los artículos</w:t>
      </w:r>
      <w:r w:rsidR="00CE4377" w:rsidRPr="00E66386">
        <w:rPr>
          <w:rFonts w:asciiTheme="majorHAnsi" w:hAnsiTheme="majorHAnsi"/>
          <w:sz w:val="20"/>
          <w:szCs w:val="20"/>
          <w:lang w:val="es-ES"/>
        </w:rPr>
        <w:t xml:space="preserve"> </w:t>
      </w:r>
      <w:r w:rsidR="00965ED8" w:rsidRPr="00E66386">
        <w:rPr>
          <w:rFonts w:asciiTheme="majorHAnsi" w:hAnsiTheme="majorHAnsi"/>
          <w:bCs/>
          <w:sz w:val="20"/>
          <w:szCs w:val="20"/>
          <w:lang w:val="es-CO"/>
        </w:rPr>
        <w:t>3 (personalidad jurídica), 4 (vida), 5 (integridad personal),</w:t>
      </w:r>
      <w:r w:rsidR="00A67174" w:rsidRPr="00E66386">
        <w:rPr>
          <w:rFonts w:asciiTheme="majorHAnsi" w:hAnsiTheme="majorHAnsi"/>
          <w:bCs/>
          <w:sz w:val="20"/>
          <w:szCs w:val="20"/>
          <w:lang w:val="es-CO"/>
        </w:rPr>
        <w:t xml:space="preserve"> 6 (prohibición de la esclavitud y servidumbre)</w:t>
      </w:r>
      <w:r w:rsidR="00053FE5" w:rsidRPr="00E66386">
        <w:rPr>
          <w:rFonts w:asciiTheme="majorHAnsi" w:hAnsiTheme="majorHAnsi"/>
          <w:bCs/>
          <w:sz w:val="20"/>
          <w:szCs w:val="20"/>
          <w:lang w:val="es-CO"/>
        </w:rPr>
        <w:t>,</w:t>
      </w:r>
      <w:r w:rsidR="00965ED8" w:rsidRPr="00E66386">
        <w:rPr>
          <w:rFonts w:asciiTheme="majorHAnsi" w:hAnsiTheme="majorHAnsi"/>
          <w:bCs/>
          <w:sz w:val="20"/>
          <w:szCs w:val="20"/>
          <w:lang w:val="es-CO"/>
        </w:rPr>
        <w:t xml:space="preserve"> 7 (libertad personal), 8 (garantías judiciales), 11 (protección de la honra y la dignidad), </w:t>
      </w:r>
      <w:r w:rsidR="00200EAB" w:rsidRPr="00E66386">
        <w:rPr>
          <w:rFonts w:asciiTheme="majorHAnsi" w:hAnsiTheme="majorHAnsi"/>
          <w:bCs/>
          <w:sz w:val="20"/>
          <w:szCs w:val="20"/>
          <w:lang w:val="es-CO"/>
        </w:rPr>
        <w:t>12 (libertad de conciencia y religión)</w:t>
      </w:r>
      <w:r w:rsidR="006A1E41" w:rsidRPr="00E66386">
        <w:rPr>
          <w:rFonts w:asciiTheme="majorHAnsi" w:hAnsiTheme="majorHAnsi"/>
          <w:bCs/>
          <w:sz w:val="20"/>
          <w:szCs w:val="20"/>
          <w:lang w:val="es-CO"/>
        </w:rPr>
        <w:t>,</w:t>
      </w:r>
      <w:r w:rsidR="00200EAB" w:rsidRPr="00E66386">
        <w:rPr>
          <w:rFonts w:asciiTheme="majorHAnsi" w:hAnsiTheme="majorHAnsi"/>
          <w:bCs/>
          <w:sz w:val="20"/>
          <w:szCs w:val="20"/>
          <w:lang w:val="es-CO"/>
        </w:rPr>
        <w:t xml:space="preserve"> </w:t>
      </w:r>
      <w:r w:rsidR="00965ED8" w:rsidRPr="00E66386">
        <w:rPr>
          <w:rFonts w:asciiTheme="majorHAnsi" w:hAnsiTheme="majorHAnsi"/>
          <w:bCs/>
          <w:sz w:val="20"/>
          <w:szCs w:val="20"/>
          <w:lang w:val="es-CO"/>
        </w:rPr>
        <w:t xml:space="preserve">13 (libertad de pensamiento y de expresión), </w:t>
      </w:r>
      <w:r w:rsidR="00D57D17" w:rsidRPr="00E66386">
        <w:rPr>
          <w:rFonts w:asciiTheme="majorHAnsi" w:hAnsiTheme="majorHAnsi"/>
          <w:bCs/>
          <w:sz w:val="20"/>
          <w:szCs w:val="20"/>
          <w:lang w:val="es-CO"/>
        </w:rPr>
        <w:t xml:space="preserve">17 (protección a la familia), </w:t>
      </w:r>
      <w:r w:rsidR="00965ED8" w:rsidRPr="00E66386">
        <w:rPr>
          <w:rFonts w:asciiTheme="majorHAnsi" w:hAnsiTheme="majorHAnsi"/>
          <w:bCs/>
          <w:sz w:val="20"/>
          <w:szCs w:val="20"/>
          <w:lang w:val="es-CO"/>
        </w:rPr>
        <w:t>18 (nombre), 19 (derechos de los niños), 21 (propiedad privada), 22 (circulación y residencia)</w:t>
      </w:r>
      <w:r w:rsidR="008E08C2" w:rsidRPr="00E66386">
        <w:rPr>
          <w:rFonts w:asciiTheme="majorHAnsi" w:hAnsiTheme="majorHAnsi"/>
          <w:bCs/>
          <w:sz w:val="20"/>
          <w:szCs w:val="20"/>
          <w:lang w:val="es-CO"/>
        </w:rPr>
        <w:t>, 24 (igualdad ante la ley)</w:t>
      </w:r>
      <w:r w:rsidR="00965ED8" w:rsidRPr="00E66386">
        <w:rPr>
          <w:rFonts w:asciiTheme="majorHAnsi" w:hAnsiTheme="majorHAnsi"/>
          <w:bCs/>
          <w:sz w:val="20"/>
          <w:szCs w:val="20"/>
          <w:lang w:val="es-CO"/>
        </w:rPr>
        <w:t xml:space="preserve"> y 25 (protección judicial) en relación con los artículos 1.1 (obligación de respetar los derechos) y 2 (deber de adoptar disposiciones de derecho interno) de la Convención Americana; artículos 1, 6 y 8 de la Convención contra la Tortura; el artículo I.b) de la Convención Interamericana sobre Desaparición Forzada de Personas; y artículo 7 de la Convención de Belém do Pará,</w:t>
      </w:r>
      <w:r w:rsidR="00394073" w:rsidRPr="00E66386">
        <w:rPr>
          <w:rFonts w:asciiTheme="majorHAnsi" w:hAnsiTheme="majorHAnsi"/>
          <w:sz w:val="20"/>
          <w:szCs w:val="20"/>
          <w:lang w:val="es-ES"/>
        </w:rPr>
        <w:t xml:space="preserve"> en perjuicio de las </w:t>
      </w:r>
      <w:r w:rsidR="00CE4377" w:rsidRPr="00E66386">
        <w:rPr>
          <w:rFonts w:asciiTheme="majorHAnsi" w:hAnsiTheme="majorHAnsi"/>
          <w:sz w:val="20"/>
          <w:szCs w:val="20"/>
          <w:lang w:val="es-ES"/>
        </w:rPr>
        <w:t xml:space="preserve">comunidades indígenas del pueblo maya </w:t>
      </w:r>
      <w:r w:rsidR="00C51C64" w:rsidRPr="00E66386">
        <w:rPr>
          <w:rFonts w:asciiTheme="majorHAnsi" w:hAnsiTheme="majorHAnsi"/>
          <w:sz w:val="20"/>
          <w:szCs w:val="20"/>
          <w:lang w:val="es-ES"/>
        </w:rPr>
        <w:t>Ixil</w:t>
      </w:r>
      <w:r w:rsidR="00CE4377" w:rsidRPr="00E66386">
        <w:rPr>
          <w:rFonts w:asciiTheme="majorHAnsi" w:hAnsiTheme="majorHAnsi"/>
          <w:sz w:val="20"/>
          <w:szCs w:val="20"/>
          <w:lang w:val="es-ES"/>
        </w:rPr>
        <w:t xml:space="preserve"> </w:t>
      </w:r>
      <w:r w:rsidR="00394073" w:rsidRPr="00E66386">
        <w:rPr>
          <w:rFonts w:asciiTheme="majorHAnsi" w:hAnsiTheme="majorHAnsi"/>
          <w:sz w:val="20"/>
          <w:szCs w:val="20"/>
          <w:lang w:val="es-US"/>
        </w:rPr>
        <w:t>en los términos del presente informe</w:t>
      </w:r>
      <w:r w:rsidR="00394073" w:rsidRPr="00E66386">
        <w:rPr>
          <w:rFonts w:asciiTheme="majorHAnsi" w:hAnsiTheme="majorHAnsi"/>
          <w:sz w:val="20"/>
          <w:szCs w:val="20"/>
          <w:lang w:val="es-ES"/>
        </w:rPr>
        <w:t xml:space="preserve">. </w:t>
      </w:r>
      <w:r w:rsidR="004B421C" w:rsidRPr="00E66386">
        <w:rPr>
          <w:rFonts w:asciiTheme="majorHAnsi" w:hAnsiTheme="majorHAnsi"/>
          <w:sz w:val="20"/>
          <w:szCs w:val="20"/>
          <w:lang w:val="es-ES"/>
        </w:rPr>
        <w:t xml:space="preserve"> </w:t>
      </w:r>
    </w:p>
    <w:p w14:paraId="445BF42E" w14:textId="77777777" w:rsidR="003239B8" w:rsidRPr="00E66386" w:rsidRDefault="003239B8" w:rsidP="003239B8">
      <w:pPr>
        <w:pStyle w:val="ListParagraph"/>
        <w:spacing w:before="240" w:after="240"/>
        <w:jc w:val="both"/>
        <w:rPr>
          <w:rFonts w:asciiTheme="majorHAnsi" w:hAnsiTheme="majorHAnsi"/>
          <w:b/>
          <w:bCs/>
          <w:sz w:val="20"/>
          <w:szCs w:val="20"/>
          <w:lang w:val="es-ES"/>
        </w:rPr>
      </w:pPr>
      <w:r w:rsidRPr="00E66386">
        <w:rPr>
          <w:rFonts w:asciiTheme="majorHAnsi" w:hAnsiTheme="majorHAnsi"/>
          <w:b/>
          <w:bCs/>
          <w:sz w:val="20"/>
          <w:szCs w:val="20"/>
          <w:lang w:val="es-ES"/>
        </w:rPr>
        <w:t xml:space="preserve">VIII. </w:t>
      </w:r>
      <w:r w:rsidRPr="00E66386">
        <w:rPr>
          <w:rFonts w:asciiTheme="majorHAnsi" w:hAnsiTheme="majorHAnsi"/>
          <w:b/>
          <w:bCs/>
          <w:sz w:val="20"/>
          <w:szCs w:val="20"/>
          <w:lang w:val="es-ES"/>
        </w:rPr>
        <w:tab/>
        <w:t>DECISIÓN</w:t>
      </w:r>
    </w:p>
    <w:p w14:paraId="547DFF8E" w14:textId="510B6312" w:rsidR="000419AD" w:rsidRPr="00E6638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66386">
        <w:rPr>
          <w:rFonts w:asciiTheme="majorHAnsi" w:hAnsiTheme="majorHAnsi"/>
          <w:sz w:val="20"/>
          <w:szCs w:val="20"/>
          <w:lang w:val="es-ES"/>
        </w:rPr>
        <w:t>Declarar admisible la presente petición en relación con</w:t>
      </w:r>
      <w:r w:rsidR="001D7F96" w:rsidRPr="00E66386">
        <w:rPr>
          <w:rFonts w:asciiTheme="majorHAnsi" w:hAnsiTheme="majorHAnsi"/>
          <w:sz w:val="20"/>
          <w:szCs w:val="20"/>
          <w:lang w:val="es-ES"/>
        </w:rPr>
        <w:t xml:space="preserve"> </w:t>
      </w:r>
      <w:r w:rsidR="00200EAB" w:rsidRPr="00E66386">
        <w:rPr>
          <w:rFonts w:asciiTheme="majorHAnsi" w:hAnsiTheme="majorHAnsi"/>
          <w:sz w:val="20"/>
          <w:szCs w:val="20"/>
          <w:lang w:val="es-ES"/>
        </w:rPr>
        <w:t>los artículos 3, 4, 5,</w:t>
      </w:r>
      <w:r w:rsidR="00A764BB" w:rsidRPr="00E66386">
        <w:rPr>
          <w:rFonts w:asciiTheme="majorHAnsi" w:hAnsiTheme="majorHAnsi"/>
          <w:sz w:val="20"/>
          <w:szCs w:val="20"/>
          <w:lang w:val="es-ES"/>
        </w:rPr>
        <w:t xml:space="preserve"> 6,</w:t>
      </w:r>
      <w:r w:rsidR="00200EAB" w:rsidRPr="00E66386">
        <w:rPr>
          <w:rFonts w:asciiTheme="majorHAnsi" w:hAnsiTheme="majorHAnsi"/>
          <w:sz w:val="20"/>
          <w:szCs w:val="20"/>
          <w:lang w:val="es-ES"/>
        </w:rPr>
        <w:t xml:space="preserve"> 7, 8, 11, 12</w:t>
      </w:r>
      <w:r w:rsidR="00A764BB" w:rsidRPr="00E66386">
        <w:rPr>
          <w:rFonts w:asciiTheme="majorHAnsi" w:hAnsiTheme="majorHAnsi"/>
          <w:sz w:val="20"/>
          <w:szCs w:val="20"/>
          <w:lang w:val="es-ES"/>
        </w:rPr>
        <w:t xml:space="preserve">, 13, </w:t>
      </w:r>
      <w:r w:rsidR="00D57D17" w:rsidRPr="00E66386">
        <w:rPr>
          <w:rFonts w:asciiTheme="majorHAnsi" w:hAnsiTheme="majorHAnsi"/>
          <w:sz w:val="20"/>
          <w:szCs w:val="20"/>
          <w:lang w:val="es-ES"/>
        </w:rPr>
        <w:t xml:space="preserve">17, </w:t>
      </w:r>
      <w:r w:rsidR="00A764BB" w:rsidRPr="00E66386">
        <w:rPr>
          <w:rFonts w:asciiTheme="majorHAnsi" w:hAnsiTheme="majorHAnsi"/>
          <w:sz w:val="20"/>
          <w:szCs w:val="20"/>
          <w:lang w:val="es-ES"/>
        </w:rPr>
        <w:t>18, 19, 21, 22</w:t>
      </w:r>
      <w:r w:rsidR="008E08C2" w:rsidRPr="00E66386">
        <w:rPr>
          <w:rFonts w:asciiTheme="majorHAnsi" w:hAnsiTheme="majorHAnsi"/>
          <w:sz w:val="20"/>
          <w:szCs w:val="20"/>
          <w:lang w:val="es-ES"/>
        </w:rPr>
        <w:t>, 24</w:t>
      </w:r>
      <w:r w:rsidR="005F2858" w:rsidRPr="00E66386">
        <w:rPr>
          <w:rFonts w:asciiTheme="majorHAnsi" w:hAnsiTheme="majorHAnsi"/>
          <w:sz w:val="20"/>
          <w:szCs w:val="20"/>
          <w:lang w:val="es-ES"/>
        </w:rPr>
        <w:t>,</w:t>
      </w:r>
      <w:r w:rsidR="00A764BB" w:rsidRPr="00E66386">
        <w:rPr>
          <w:rFonts w:asciiTheme="majorHAnsi" w:hAnsiTheme="majorHAnsi"/>
          <w:sz w:val="20"/>
          <w:szCs w:val="20"/>
          <w:lang w:val="es-ES"/>
        </w:rPr>
        <w:t xml:space="preserve"> 25 </w:t>
      </w:r>
      <w:r w:rsidR="005F2858" w:rsidRPr="00E66386">
        <w:rPr>
          <w:rFonts w:asciiTheme="majorHAnsi" w:hAnsiTheme="majorHAnsi"/>
          <w:sz w:val="20"/>
          <w:szCs w:val="20"/>
          <w:lang w:val="es-ES"/>
        </w:rPr>
        <w:t xml:space="preserve">y 26 </w:t>
      </w:r>
      <w:r w:rsidR="00A764BB" w:rsidRPr="00E66386">
        <w:rPr>
          <w:rFonts w:asciiTheme="majorHAnsi" w:hAnsiTheme="majorHAnsi"/>
          <w:sz w:val="20"/>
          <w:szCs w:val="20"/>
          <w:lang w:val="es-ES"/>
        </w:rPr>
        <w:t>de la Convención Americana en relación con los artículos 1.1 y 2 del mismo instrumento</w:t>
      </w:r>
      <w:r w:rsidR="00A758AA" w:rsidRPr="00E66386">
        <w:rPr>
          <w:rFonts w:asciiTheme="majorHAnsi" w:hAnsiTheme="majorHAnsi"/>
          <w:sz w:val="20"/>
          <w:szCs w:val="20"/>
          <w:lang w:val="es-ES"/>
        </w:rPr>
        <w:t>;</w:t>
      </w:r>
      <w:r w:rsidR="007B76D3" w:rsidRPr="00E66386">
        <w:rPr>
          <w:rFonts w:asciiTheme="majorHAnsi" w:hAnsiTheme="majorHAnsi"/>
          <w:sz w:val="20"/>
          <w:szCs w:val="20"/>
          <w:lang w:val="es-ES"/>
        </w:rPr>
        <w:t xml:space="preserve"> </w:t>
      </w:r>
    </w:p>
    <w:p w14:paraId="22B7AE16" w14:textId="357CAAE5" w:rsidR="00A764BB" w:rsidRPr="00E66386" w:rsidRDefault="00A764BB"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66386">
        <w:rPr>
          <w:rFonts w:asciiTheme="majorHAnsi" w:hAnsiTheme="majorHAnsi"/>
          <w:sz w:val="20"/>
          <w:szCs w:val="20"/>
          <w:lang w:val="es-ES"/>
        </w:rPr>
        <w:t xml:space="preserve">Declarar admisible la presente petición en relación con los artículos </w:t>
      </w:r>
      <w:r w:rsidRPr="00E66386">
        <w:rPr>
          <w:rFonts w:asciiTheme="majorHAnsi" w:hAnsiTheme="majorHAnsi"/>
          <w:bCs/>
          <w:sz w:val="20"/>
          <w:szCs w:val="20"/>
          <w:lang w:val="es-CO"/>
        </w:rPr>
        <w:t>artículos 1, 6 y 8 de la Convención contra la Tortura; el artículo I.b) de la Convención Interamericana sobre Desaparición Forzada de Personas; y artículo 7 de la Convención de Belém do Pará</w:t>
      </w:r>
      <w:r w:rsidR="00367B3F" w:rsidRPr="00E66386">
        <w:rPr>
          <w:rFonts w:asciiTheme="majorHAnsi" w:hAnsiTheme="majorHAnsi"/>
          <w:bCs/>
          <w:sz w:val="20"/>
          <w:szCs w:val="20"/>
          <w:lang w:val="es-CO"/>
        </w:rPr>
        <w:t>s</w:t>
      </w:r>
      <w:r w:rsidR="0091527D">
        <w:rPr>
          <w:rFonts w:asciiTheme="majorHAnsi" w:hAnsiTheme="majorHAnsi"/>
          <w:bCs/>
          <w:sz w:val="20"/>
          <w:szCs w:val="20"/>
          <w:lang w:val="es-CO"/>
        </w:rPr>
        <w:t>, y;</w:t>
      </w:r>
    </w:p>
    <w:p w14:paraId="00C1D3B7" w14:textId="2BD8B321"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6638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DB17931" w14:textId="430D7150" w:rsidR="00B30FFC" w:rsidRPr="00D80E4A" w:rsidRDefault="00774402" w:rsidP="00D80E4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17 días del mes de noviembre de 2022.  (Firmado): Julissa Mantilla Falcón, Presidenta; Esmeralda E. Arosemena Bernal de Troitiño, Joel Hernández y Carlos Bernal Pulido, </w:t>
      </w:r>
      <w:r w:rsidR="00D80E4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B30FFC" w:rsidRPr="00D80E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D2BF" w14:textId="77777777" w:rsidR="00C33A00" w:rsidRDefault="00C33A00">
      <w:r>
        <w:separator/>
      </w:r>
    </w:p>
  </w:endnote>
  <w:endnote w:type="continuationSeparator" w:id="0">
    <w:p w14:paraId="362AFD70" w14:textId="77777777" w:rsidR="00C33A00" w:rsidRDefault="00C3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9A28" w14:textId="77777777" w:rsidR="00C33A00" w:rsidRPr="000F35ED" w:rsidRDefault="00C33A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B1776D" w14:textId="77777777" w:rsidR="00C33A00" w:rsidRPr="000F35ED" w:rsidRDefault="00C33A00" w:rsidP="000F35ED">
      <w:pPr>
        <w:rPr>
          <w:rFonts w:asciiTheme="majorHAnsi" w:hAnsiTheme="majorHAnsi"/>
          <w:sz w:val="16"/>
          <w:szCs w:val="16"/>
        </w:rPr>
      </w:pPr>
      <w:r w:rsidRPr="000F35ED">
        <w:rPr>
          <w:rFonts w:asciiTheme="majorHAnsi" w:hAnsiTheme="majorHAnsi"/>
          <w:sz w:val="16"/>
          <w:szCs w:val="16"/>
        </w:rPr>
        <w:separator/>
      </w:r>
    </w:p>
    <w:p w14:paraId="383F6A96" w14:textId="77777777" w:rsidR="00C33A00" w:rsidRPr="000F35ED" w:rsidRDefault="00C33A0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50A298" w14:textId="77777777" w:rsidR="00C33A00" w:rsidRPr="000F35ED" w:rsidRDefault="00C33A0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44B46491" w:rsidR="004A6A54" w:rsidRPr="00687351" w:rsidRDefault="004A6A54" w:rsidP="00687351">
      <w:pPr>
        <w:pStyle w:val="FootnoteText"/>
        <w:ind w:firstLine="720"/>
        <w:jc w:val="both"/>
        <w:rPr>
          <w:rFonts w:asciiTheme="majorHAnsi" w:hAnsiTheme="majorHAnsi"/>
          <w:sz w:val="16"/>
          <w:szCs w:val="16"/>
          <w:lang w:val="es-ES"/>
        </w:rPr>
      </w:pPr>
      <w:r w:rsidRPr="00687351">
        <w:rPr>
          <w:rStyle w:val="FootnoteReference"/>
          <w:rFonts w:asciiTheme="majorHAnsi" w:hAnsiTheme="majorHAnsi"/>
          <w:sz w:val="16"/>
          <w:szCs w:val="16"/>
        </w:rPr>
        <w:footnoteRef/>
      </w:r>
      <w:r w:rsidRPr="00687351">
        <w:rPr>
          <w:rFonts w:asciiTheme="majorHAnsi" w:hAnsiTheme="majorHAnsi"/>
          <w:sz w:val="16"/>
          <w:szCs w:val="16"/>
          <w:lang w:val="es-ES"/>
        </w:rPr>
        <w:t xml:space="preserve"> Conforme a lo dispuesto en el artículo 17.2.a del Reglamento de la Comisión, el Comisionado </w:t>
      </w:r>
      <w:r w:rsidR="008760D7" w:rsidRPr="00687351">
        <w:rPr>
          <w:rFonts w:asciiTheme="majorHAnsi" w:hAnsiTheme="majorHAnsi"/>
          <w:sz w:val="16"/>
          <w:szCs w:val="16"/>
          <w:lang w:val="es-ES"/>
        </w:rPr>
        <w:t xml:space="preserve">Edgar </w:t>
      </w:r>
      <w:r w:rsidR="00A14AED" w:rsidRPr="00687351">
        <w:rPr>
          <w:rFonts w:asciiTheme="majorHAnsi" w:hAnsiTheme="majorHAnsi"/>
          <w:sz w:val="16"/>
          <w:szCs w:val="16"/>
          <w:lang w:val="es-ES"/>
        </w:rPr>
        <w:t>Stuardo Ralón</w:t>
      </w:r>
      <w:r w:rsidR="008760D7" w:rsidRPr="00687351">
        <w:rPr>
          <w:rFonts w:asciiTheme="majorHAnsi" w:hAnsiTheme="majorHAnsi"/>
          <w:sz w:val="16"/>
          <w:szCs w:val="16"/>
          <w:lang w:val="es-ES"/>
        </w:rPr>
        <w:t xml:space="preserve"> Orellana</w:t>
      </w:r>
      <w:r w:rsidRPr="00687351">
        <w:rPr>
          <w:rFonts w:asciiTheme="majorHAnsi" w:hAnsiTheme="majorHAnsi"/>
          <w:sz w:val="16"/>
          <w:szCs w:val="16"/>
          <w:lang w:val="es-ES"/>
        </w:rPr>
        <w:t xml:space="preserve">, de nacionalidad </w:t>
      </w:r>
      <w:r w:rsidR="00A14AED" w:rsidRPr="00687351">
        <w:rPr>
          <w:rFonts w:asciiTheme="majorHAnsi" w:hAnsiTheme="majorHAnsi"/>
          <w:sz w:val="16"/>
          <w:szCs w:val="16"/>
          <w:lang w:val="es-ES"/>
        </w:rPr>
        <w:t>guatemalteca</w:t>
      </w:r>
      <w:r w:rsidRPr="00687351">
        <w:rPr>
          <w:rFonts w:asciiTheme="majorHAnsi" w:hAnsiTheme="majorHAnsi"/>
          <w:sz w:val="16"/>
          <w:szCs w:val="16"/>
          <w:lang w:val="es-ES"/>
        </w:rPr>
        <w:t>, no participó en el debate ni en la decisión del presente asunto.</w:t>
      </w:r>
    </w:p>
  </w:footnote>
  <w:footnote w:id="3">
    <w:p w14:paraId="7A805224" w14:textId="5B675F3A" w:rsidR="002C7818" w:rsidRPr="00687351" w:rsidRDefault="002C7818"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En adelante “la Convención Americana” o “la Convención”.</w:t>
      </w:r>
    </w:p>
  </w:footnote>
  <w:footnote w:id="4">
    <w:p w14:paraId="44706B0C" w14:textId="1EAB0803" w:rsidR="00855DBA" w:rsidRPr="00687351" w:rsidRDefault="00855DBA"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En adelante “Convención contra la Tortura”.</w:t>
      </w:r>
    </w:p>
  </w:footnote>
  <w:footnote w:id="5">
    <w:p w14:paraId="68F07AB8" w14:textId="70A79EB5" w:rsidR="00E52B1D" w:rsidRPr="00687351" w:rsidRDefault="00E52B1D"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En adelante “Convención </w:t>
      </w:r>
      <w:r w:rsidR="0052476B" w:rsidRPr="00687351">
        <w:rPr>
          <w:rFonts w:asciiTheme="majorHAnsi" w:hAnsiTheme="majorHAnsi"/>
          <w:sz w:val="16"/>
          <w:szCs w:val="16"/>
          <w:lang w:val="es-CO"/>
        </w:rPr>
        <w:t>de Belém do Pará</w:t>
      </w:r>
      <w:r w:rsidRPr="00687351">
        <w:rPr>
          <w:rFonts w:asciiTheme="majorHAnsi" w:hAnsiTheme="majorHAnsi"/>
          <w:sz w:val="16"/>
          <w:szCs w:val="16"/>
          <w:lang w:val="es-CO"/>
        </w:rPr>
        <w:t>”.</w:t>
      </w:r>
    </w:p>
  </w:footnote>
  <w:footnote w:id="6">
    <w:p w14:paraId="6075F332" w14:textId="16F94D1A" w:rsidR="00FE057E" w:rsidRPr="00687351" w:rsidRDefault="008E3BFE" w:rsidP="00687351">
      <w:pPr>
        <w:pStyle w:val="FootnoteText"/>
        <w:ind w:firstLine="720"/>
        <w:jc w:val="both"/>
        <w:rPr>
          <w:rFonts w:asciiTheme="majorHAnsi" w:hAnsiTheme="majorHAnsi"/>
          <w:sz w:val="16"/>
          <w:szCs w:val="16"/>
          <w:lang w:val="es-ES"/>
        </w:rPr>
      </w:pPr>
      <w:r w:rsidRPr="00687351">
        <w:rPr>
          <w:rStyle w:val="FootnoteReference"/>
          <w:rFonts w:asciiTheme="majorHAnsi" w:hAnsiTheme="majorHAnsi"/>
          <w:sz w:val="16"/>
          <w:szCs w:val="16"/>
        </w:rPr>
        <w:footnoteRef/>
      </w:r>
      <w:r w:rsidRPr="00687351">
        <w:rPr>
          <w:rFonts w:asciiTheme="majorHAnsi" w:hAnsiTheme="majorHAnsi"/>
          <w:sz w:val="16"/>
          <w:szCs w:val="16"/>
          <w:lang w:val="es-ES"/>
        </w:rPr>
        <w:t xml:space="preserve"> Las observaciones de cada parte fueron debidamente trasladadas a la parte contraria.</w:t>
      </w:r>
    </w:p>
  </w:footnote>
  <w:footnote w:id="7">
    <w:p w14:paraId="18075669" w14:textId="45899DEE" w:rsidR="0041430B" w:rsidRPr="00687351" w:rsidRDefault="0041430B"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A815EE" w:rsidRPr="00687351">
        <w:rPr>
          <w:rFonts w:asciiTheme="majorHAnsi" w:hAnsiTheme="majorHAnsi"/>
          <w:sz w:val="16"/>
          <w:szCs w:val="16"/>
          <w:lang w:val="es-CO"/>
        </w:rPr>
        <w:t xml:space="preserve">Citando CEH, </w:t>
      </w:r>
      <w:r w:rsidR="00016BE2" w:rsidRPr="00687351">
        <w:rPr>
          <w:rFonts w:asciiTheme="majorHAnsi" w:hAnsiTheme="majorHAnsi"/>
          <w:sz w:val="16"/>
          <w:szCs w:val="16"/>
          <w:lang w:val="es-CO"/>
        </w:rPr>
        <w:t>“</w:t>
      </w:r>
      <w:r w:rsidR="00A815EE" w:rsidRPr="00687351">
        <w:rPr>
          <w:rFonts w:asciiTheme="majorHAnsi" w:hAnsiTheme="majorHAnsi"/>
          <w:i/>
          <w:iCs/>
          <w:sz w:val="16"/>
          <w:szCs w:val="16"/>
          <w:lang w:val="es-CO"/>
        </w:rPr>
        <w:t>Guatemala, Memoria del Silencio</w:t>
      </w:r>
      <w:r w:rsidR="00016BE2" w:rsidRPr="00687351">
        <w:rPr>
          <w:rFonts w:asciiTheme="majorHAnsi" w:hAnsiTheme="majorHAnsi"/>
          <w:i/>
          <w:iCs/>
          <w:sz w:val="16"/>
          <w:szCs w:val="16"/>
          <w:lang w:val="es-CO"/>
        </w:rPr>
        <w:t>”</w:t>
      </w:r>
      <w:r w:rsidR="00A815EE" w:rsidRPr="00687351">
        <w:rPr>
          <w:rFonts w:asciiTheme="majorHAnsi" w:hAnsiTheme="majorHAnsi"/>
          <w:sz w:val="16"/>
          <w:szCs w:val="16"/>
          <w:lang w:val="es-CO"/>
        </w:rPr>
        <w:t xml:space="preserve">, UNOPS, </w:t>
      </w:r>
      <w:r w:rsidR="00FE4453" w:rsidRPr="00687351">
        <w:rPr>
          <w:rFonts w:asciiTheme="majorHAnsi" w:hAnsiTheme="majorHAnsi"/>
          <w:sz w:val="16"/>
          <w:szCs w:val="16"/>
          <w:lang w:val="es-CO"/>
        </w:rPr>
        <w:t xml:space="preserve">1999, </w:t>
      </w:r>
      <w:r w:rsidR="00A815EE" w:rsidRPr="00687351">
        <w:rPr>
          <w:rFonts w:asciiTheme="majorHAnsi" w:hAnsiTheme="majorHAnsi"/>
          <w:sz w:val="16"/>
          <w:szCs w:val="16"/>
          <w:lang w:val="es-CO"/>
        </w:rPr>
        <w:t xml:space="preserve">Conclusiones párrs. </w:t>
      </w:r>
      <w:r w:rsidR="00016BE2" w:rsidRPr="00687351">
        <w:rPr>
          <w:rFonts w:asciiTheme="majorHAnsi" w:hAnsiTheme="majorHAnsi"/>
          <w:sz w:val="16"/>
          <w:szCs w:val="16"/>
          <w:lang w:val="es-CO"/>
        </w:rPr>
        <w:t>108 a 122.</w:t>
      </w:r>
    </w:p>
  </w:footnote>
  <w:footnote w:id="8">
    <w:p w14:paraId="71E07581" w14:textId="77777777" w:rsidR="00F1604A" w:rsidRPr="00687351" w:rsidRDefault="00602E0D" w:rsidP="00687351">
      <w:pPr>
        <w:pStyle w:val="FootnoteText"/>
        <w:ind w:firstLine="720"/>
        <w:jc w:val="both"/>
        <w:rPr>
          <w:rFonts w:asciiTheme="majorHAnsi" w:hAnsiTheme="majorHAnsi"/>
          <w:i/>
          <w:iCs/>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El artículo 37</w:t>
      </w:r>
      <w:r w:rsidR="0093560B" w:rsidRPr="00687351">
        <w:rPr>
          <w:rFonts w:asciiTheme="majorHAnsi" w:hAnsiTheme="majorHAnsi"/>
          <w:sz w:val="16"/>
          <w:szCs w:val="16"/>
          <w:lang w:val="es-CO"/>
        </w:rPr>
        <w:t>6</w:t>
      </w:r>
      <w:r w:rsidRPr="00687351">
        <w:rPr>
          <w:rFonts w:asciiTheme="majorHAnsi" w:hAnsiTheme="majorHAnsi"/>
          <w:sz w:val="16"/>
          <w:szCs w:val="16"/>
          <w:lang w:val="es-CO"/>
        </w:rPr>
        <w:t xml:space="preserve"> del Código Penal de Guatemala establece: </w:t>
      </w:r>
      <w:r w:rsidR="00F1604A" w:rsidRPr="00687351">
        <w:rPr>
          <w:rFonts w:asciiTheme="majorHAnsi" w:hAnsiTheme="majorHAnsi"/>
          <w:sz w:val="16"/>
          <w:szCs w:val="16"/>
          <w:lang w:val="es-CO"/>
        </w:rPr>
        <w:t>“</w:t>
      </w:r>
      <w:r w:rsidR="0093560B" w:rsidRPr="00687351">
        <w:rPr>
          <w:rFonts w:asciiTheme="majorHAnsi" w:hAnsiTheme="majorHAnsi"/>
          <w:i/>
          <w:iCs/>
          <w:sz w:val="16"/>
          <w:szCs w:val="16"/>
          <w:lang w:val="es-CO"/>
        </w:rPr>
        <w:t>Comete delito de genocidio quien, con el propósito de destruir total o parcialmente un grupo nacional, étnico o religioso, efectuare cualquiera de los siguientes hechos:</w:t>
      </w:r>
    </w:p>
    <w:p w14:paraId="72F11802" w14:textId="78BA97C7" w:rsidR="00F1604A" w:rsidRPr="00687351" w:rsidRDefault="0093560B" w:rsidP="00687351">
      <w:pPr>
        <w:pStyle w:val="FootnoteText"/>
        <w:ind w:firstLine="720"/>
        <w:jc w:val="both"/>
        <w:rPr>
          <w:rFonts w:asciiTheme="majorHAnsi" w:hAnsiTheme="majorHAnsi"/>
          <w:i/>
          <w:iCs/>
          <w:sz w:val="16"/>
          <w:szCs w:val="16"/>
          <w:lang w:val="es-CO"/>
        </w:rPr>
      </w:pPr>
      <w:r w:rsidRPr="00687351">
        <w:rPr>
          <w:rFonts w:asciiTheme="majorHAnsi" w:hAnsiTheme="majorHAnsi"/>
          <w:i/>
          <w:iCs/>
          <w:sz w:val="16"/>
          <w:szCs w:val="16"/>
          <w:lang w:val="es-CO"/>
        </w:rPr>
        <w:t>1</w:t>
      </w:r>
      <w:r w:rsidR="007B531C" w:rsidRPr="00687351">
        <w:rPr>
          <w:rFonts w:asciiTheme="majorHAnsi" w:hAnsiTheme="majorHAnsi"/>
          <w:i/>
          <w:iCs/>
          <w:sz w:val="16"/>
          <w:szCs w:val="16"/>
          <w:lang w:val="es-CO"/>
        </w:rPr>
        <w:t>°</w:t>
      </w:r>
      <w:r w:rsidRPr="00687351">
        <w:rPr>
          <w:rFonts w:asciiTheme="majorHAnsi" w:hAnsiTheme="majorHAnsi"/>
          <w:i/>
          <w:iCs/>
          <w:sz w:val="16"/>
          <w:szCs w:val="16"/>
          <w:lang w:val="es-CO"/>
        </w:rPr>
        <w:t>. Muerte de miembros del grupo.</w:t>
      </w:r>
    </w:p>
    <w:p w14:paraId="525A3BD3" w14:textId="77777777" w:rsidR="00F1604A" w:rsidRPr="00687351" w:rsidRDefault="0093560B" w:rsidP="00687351">
      <w:pPr>
        <w:pStyle w:val="FootnoteText"/>
        <w:ind w:firstLine="720"/>
        <w:jc w:val="both"/>
        <w:rPr>
          <w:rFonts w:asciiTheme="majorHAnsi" w:hAnsiTheme="majorHAnsi"/>
          <w:i/>
          <w:iCs/>
          <w:sz w:val="16"/>
          <w:szCs w:val="16"/>
          <w:lang w:val="es-CO"/>
        </w:rPr>
      </w:pPr>
      <w:r w:rsidRPr="00687351">
        <w:rPr>
          <w:rFonts w:asciiTheme="majorHAnsi" w:hAnsiTheme="majorHAnsi"/>
          <w:i/>
          <w:iCs/>
          <w:sz w:val="16"/>
          <w:szCs w:val="16"/>
          <w:lang w:val="es-CO"/>
        </w:rPr>
        <w:t>2° Lesión que afecte gravemente la integridad física o mental de miembros del grupo.</w:t>
      </w:r>
    </w:p>
    <w:p w14:paraId="3CAD2ADF" w14:textId="088C58B4" w:rsidR="00F1604A" w:rsidRPr="00687351" w:rsidRDefault="0093560B" w:rsidP="00687351">
      <w:pPr>
        <w:pStyle w:val="FootnoteText"/>
        <w:ind w:left="720"/>
        <w:jc w:val="both"/>
        <w:rPr>
          <w:rFonts w:asciiTheme="majorHAnsi" w:hAnsiTheme="majorHAnsi"/>
          <w:i/>
          <w:iCs/>
          <w:sz w:val="16"/>
          <w:szCs w:val="16"/>
          <w:lang w:val="es-CO"/>
        </w:rPr>
      </w:pPr>
      <w:r w:rsidRPr="00687351">
        <w:rPr>
          <w:rFonts w:asciiTheme="majorHAnsi" w:hAnsiTheme="majorHAnsi"/>
          <w:i/>
          <w:iCs/>
          <w:sz w:val="16"/>
          <w:szCs w:val="16"/>
          <w:lang w:val="es-CO"/>
        </w:rPr>
        <w:t>3°. Sometimiento del grupo o de miembros del mismo, a condiciones de existencia que pueda producir su destrucción física, total o parcial.</w:t>
      </w:r>
    </w:p>
    <w:p w14:paraId="74EAA94E" w14:textId="08B36006" w:rsidR="00F1604A" w:rsidRPr="00687351" w:rsidRDefault="0093560B" w:rsidP="00687351">
      <w:pPr>
        <w:pStyle w:val="FootnoteText"/>
        <w:ind w:firstLine="720"/>
        <w:jc w:val="both"/>
        <w:rPr>
          <w:rFonts w:asciiTheme="majorHAnsi" w:hAnsiTheme="majorHAnsi"/>
          <w:i/>
          <w:iCs/>
          <w:sz w:val="16"/>
          <w:szCs w:val="16"/>
          <w:lang w:val="es-CO"/>
        </w:rPr>
      </w:pPr>
      <w:r w:rsidRPr="00687351">
        <w:rPr>
          <w:rFonts w:asciiTheme="majorHAnsi" w:hAnsiTheme="majorHAnsi"/>
          <w:i/>
          <w:iCs/>
          <w:sz w:val="16"/>
          <w:szCs w:val="16"/>
          <w:lang w:val="es-CO"/>
        </w:rPr>
        <w:t>4</w:t>
      </w:r>
      <w:r w:rsidR="007B531C" w:rsidRPr="00687351">
        <w:rPr>
          <w:rFonts w:asciiTheme="majorHAnsi" w:hAnsiTheme="majorHAnsi"/>
          <w:i/>
          <w:iCs/>
          <w:sz w:val="16"/>
          <w:szCs w:val="16"/>
          <w:lang w:val="es-CO"/>
        </w:rPr>
        <w:t>°</w:t>
      </w:r>
      <w:r w:rsidRPr="00687351">
        <w:rPr>
          <w:rFonts w:asciiTheme="majorHAnsi" w:hAnsiTheme="majorHAnsi"/>
          <w:i/>
          <w:iCs/>
          <w:sz w:val="16"/>
          <w:szCs w:val="16"/>
          <w:lang w:val="es-CO"/>
        </w:rPr>
        <w:t>. Desplazamiento compulsivo de niños o adultos del grupo, a otro grupo.</w:t>
      </w:r>
    </w:p>
    <w:p w14:paraId="7C7944D3" w14:textId="57AB0662" w:rsidR="00602E0D" w:rsidRPr="00687351" w:rsidRDefault="0093560B" w:rsidP="00687351">
      <w:pPr>
        <w:pStyle w:val="FootnoteText"/>
        <w:ind w:firstLine="720"/>
        <w:jc w:val="both"/>
        <w:rPr>
          <w:rFonts w:asciiTheme="majorHAnsi" w:hAnsiTheme="majorHAnsi"/>
          <w:sz w:val="16"/>
          <w:szCs w:val="16"/>
          <w:lang w:val="es-CO"/>
        </w:rPr>
      </w:pPr>
      <w:r w:rsidRPr="00687351">
        <w:rPr>
          <w:rFonts w:asciiTheme="majorHAnsi" w:hAnsiTheme="majorHAnsi"/>
          <w:i/>
          <w:iCs/>
          <w:sz w:val="16"/>
          <w:szCs w:val="16"/>
          <w:lang w:val="es-CO"/>
        </w:rPr>
        <w:t>5</w:t>
      </w:r>
      <w:r w:rsidR="007B531C" w:rsidRPr="00687351">
        <w:rPr>
          <w:rFonts w:asciiTheme="majorHAnsi" w:hAnsiTheme="majorHAnsi"/>
          <w:i/>
          <w:iCs/>
          <w:sz w:val="16"/>
          <w:szCs w:val="16"/>
          <w:lang w:val="es-CO"/>
        </w:rPr>
        <w:t>°</w:t>
      </w:r>
      <w:r w:rsidRPr="00687351">
        <w:rPr>
          <w:rFonts w:asciiTheme="majorHAnsi" w:hAnsiTheme="majorHAnsi"/>
          <w:i/>
          <w:iCs/>
          <w:sz w:val="16"/>
          <w:szCs w:val="16"/>
          <w:lang w:val="es-CO"/>
        </w:rPr>
        <w:t>. Medidas destinadas a esterilizar a miembros del grupo o de cualquiera otra manera impedir su reproducción.</w:t>
      </w:r>
      <w:r w:rsidR="000E5A29" w:rsidRPr="00687351">
        <w:rPr>
          <w:rFonts w:asciiTheme="majorHAnsi" w:hAnsiTheme="majorHAnsi"/>
          <w:sz w:val="16"/>
          <w:szCs w:val="16"/>
          <w:lang w:val="es-CO"/>
        </w:rPr>
        <w:t xml:space="preserve"> </w:t>
      </w:r>
      <w:r w:rsidRPr="00687351">
        <w:rPr>
          <w:rFonts w:asciiTheme="majorHAnsi" w:hAnsiTheme="majorHAnsi"/>
          <w:sz w:val="16"/>
          <w:szCs w:val="16"/>
          <w:lang w:val="es-CO"/>
        </w:rPr>
        <w:t>[…]”</w:t>
      </w:r>
    </w:p>
  </w:footnote>
  <w:footnote w:id="9">
    <w:p w14:paraId="2C7BD2A5" w14:textId="2BA23147" w:rsidR="006F3A68" w:rsidRPr="00687351" w:rsidRDefault="006F3A68"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C629FB" w:rsidRPr="00687351">
        <w:rPr>
          <w:rFonts w:asciiTheme="majorHAnsi" w:hAnsiTheme="majorHAnsi"/>
          <w:sz w:val="16"/>
          <w:szCs w:val="16"/>
          <w:lang w:val="es-CO"/>
        </w:rPr>
        <w:t xml:space="preserve">El artículo 378 del Código Penal de Guatemala establece: </w:t>
      </w:r>
      <w:r w:rsidR="00D433D0" w:rsidRPr="00687351">
        <w:rPr>
          <w:rFonts w:asciiTheme="majorHAnsi" w:hAnsiTheme="majorHAnsi"/>
          <w:sz w:val="16"/>
          <w:szCs w:val="16"/>
          <w:lang w:val="es-CO"/>
        </w:rPr>
        <w:t>“</w:t>
      </w:r>
      <w:r w:rsidR="00D433D0" w:rsidRPr="00687351">
        <w:rPr>
          <w:rFonts w:asciiTheme="majorHAnsi" w:hAnsiTheme="majorHAnsi"/>
          <w:i/>
          <w:iCs/>
          <w:sz w:val="16"/>
          <w:szCs w:val="16"/>
          <w:lang w:val="es-CO"/>
        </w:rPr>
        <w:t>Delitos contra los deberes de humanidad. Quien violare o infringiere deberes humanitarios, leyes o convenios con respecto a prisioneros o rehenes de guerra, heridos durante acciones bélicas, o que cometiere cualquier acto inhumano contra población civil, o contra hospitales o lugares destinados a heridos, será sancionado con prisión de veinte a treinta años.</w:t>
      </w:r>
      <w:r w:rsidR="00D433D0" w:rsidRPr="00687351">
        <w:rPr>
          <w:rFonts w:asciiTheme="majorHAnsi" w:hAnsiTheme="majorHAnsi"/>
          <w:sz w:val="16"/>
          <w:szCs w:val="16"/>
          <w:lang w:val="es-CO"/>
        </w:rPr>
        <w:t>”</w:t>
      </w:r>
    </w:p>
  </w:footnote>
  <w:footnote w:id="10">
    <w:p w14:paraId="05729806" w14:textId="6E748A87" w:rsidR="00503901" w:rsidRPr="00687351" w:rsidRDefault="00503901"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BF20A6" w:rsidRPr="00687351">
        <w:rPr>
          <w:rFonts w:asciiTheme="majorHAnsi" w:hAnsiTheme="majorHAnsi"/>
          <w:sz w:val="16"/>
          <w:szCs w:val="16"/>
          <w:lang w:val="es-CO"/>
        </w:rPr>
        <w:t>Informe del Relator Especial sobre la independencia de los magistrados y abogados, A/HRC/11/41/Add.3</w:t>
      </w:r>
      <w:r w:rsidR="00556C27" w:rsidRPr="00687351">
        <w:rPr>
          <w:rFonts w:asciiTheme="majorHAnsi" w:hAnsiTheme="majorHAnsi"/>
          <w:sz w:val="16"/>
          <w:szCs w:val="16"/>
          <w:lang w:val="es-CO"/>
        </w:rPr>
        <w:t>,</w:t>
      </w:r>
      <w:r w:rsidR="00BF20A6" w:rsidRPr="00687351">
        <w:rPr>
          <w:rFonts w:asciiTheme="majorHAnsi" w:hAnsiTheme="majorHAnsi"/>
          <w:sz w:val="16"/>
          <w:szCs w:val="16"/>
          <w:lang w:val="es-CO"/>
        </w:rPr>
        <w:t xml:space="preserve"> 1 de octubre de 2009, párr. 105, disponible en: </w:t>
      </w:r>
      <w:hyperlink r:id="rId1" w:history="1">
        <w:r w:rsidR="00601B54" w:rsidRPr="004960B7">
          <w:rPr>
            <w:rStyle w:val="Hyperlink"/>
            <w:rFonts w:asciiTheme="majorHAnsi" w:hAnsiTheme="majorHAnsi"/>
            <w:sz w:val="16"/>
            <w:szCs w:val="16"/>
            <w:lang w:val="es-CO"/>
          </w:rPr>
          <w:t>https://www2.ohchr.org/english/bodies/hrcouncil/docs/11session/A.HRC.11.41.Add.3_sp.pdf</w:t>
        </w:r>
      </w:hyperlink>
    </w:p>
  </w:footnote>
  <w:footnote w:id="11">
    <w:p w14:paraId="0E21C1AE" w14:textId="681B06A6" w:rsidR="00E90004" w:rsidRPr="00687351" w:rsidRDefault="00E90004"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Los peticionarios explican que el </w:t>
      </w:r>
      <w:r w:rsidR="001F50C1" w:rsidRPr="00687351">
        <w:rPr>
          <w:rFonts w:asciiTheme="majorHAnsi" w:hAnsiTheme="majorHAnsi"/>
          <w:sz w:val="16"/>
          <w:szCs w:val="16"/>
          <w:lang w:val="es-CO"/>
        </w:rPr>
        <w:t xml:space="preserve">juzgado </w:t>
      </w:r>
      <w:r w:rsidR="00390695" w:rsidRPr="00687351">
        <w:rPr>
          <w:rFonts w:asciiTheme="majorHAnsi" w:hAnsiTheme="majorHAnsi"/>
          <w:sz w:val="16"/>
          <w:szCs w:val="16"/>
          <w:lang w:val="es-CO"/>
        </w:rPr>
        <w:t xml:space="preserve">que </w:t>
      </w:r>
      <w:r w:rsidR="001F50C1" w:rsidRPr="00687351">
        <w:rPr>
          <w:rFonts w:asciiTheme="majorHAnsi" w:hAnsiTheme="majorHAnsi"/>
          <w:sz w:val="16"/>
          <w:szCs w:val="16"/>
          <w:lang w:val="es-CO"/>
        </w:rPr>
        <w:t>fall</w:t>
      </w:r>
      <w:r w:rsidR="00390695" w:rsidRPr="00687351">
        <w:rPr>
          <w:rFonts w:asciiTheme="majorHAnsi" w:hAnsiTheme="majorHAnsi"/>
          <w:sz w:val="16"/>
          <w:szCs w:val="16"/>
          <w:lang w:val="es-CO"/>
        </w:rPr>
        <w:t>ó</w:t>
      </w:r>
      <w:r w:rsidR="001F50C1" w:rsidRPr="00687351">
        <w:rPr>
          <w:rFonts w:asciiTheme="majorHAnsi" w:hAnsiTheme="majorHAnsi"/>
          <w:sz w:val="16"/>
          <w:szCs w:val="16"/>
          <w:lang w:val="es-CO"/>
        </w:rPr>
        <w:t xml:space="preserve"> de fondo del amparo pr</w:t>
      </w:r>
      <w:r w:rsidR="004E6D3E" w:rsidRPr="00687351">
        <w:rPr>
          <w:rFonts w:asciiTheme="majorHAnsi" w:hAnsiTheme="majorHAnsi"/>
          <w:sz w:val="16"/>
          <w:szCs w:val="16"/>
          <w:lang w:val="es-CO"/>
        </w:rPr>
        <w:t>esentad</w:t>
      </w:r>
      <w:r w:rsidR="001F50C1" w:rsidRPr="00687351">
        <w:rPr>
          <w:rFonts w:asciiTheme="majorHAnsi" w:hAnsiTheme="majorHAnsi"/>
          <w:sz w:val="16"/>
          <w:szCs w:val="16"/>
          <w:lang w:val="es-CO"/>
        </w:rPr>
        <w:t xml:space="preserve">o contra el rechazo de </w:t>
      </w:r>
      <w:r w:rsidR="004E6D3E" w:rsidRPr="00687351">
        <w:rPr>
          <w:rFonts w:asciiTheme="majorHAnsi" w:hAnsiTheme="majorHAnsi"/>
          <w:sz w:val="16"/>
          <w:szCs w:val="16"/>
          <w:lang w:val="es-CO"/>
        </w:rPr>
        <w:t>pruebas</w:t>
      </w:r>
      <w:r w:rsidR="001F50C1" w:rsidRPr="00687351">
        <w:rPr>
          <w:rFonts w:asciiTheme="majorHAnsi" w:hAnsiTheme="majorHAnsi"/>
          <w:sz w:val="16"/>
          <w:szCs w:val="16"/>
          <w:lang w:val="es-CO"/>
        </w:rPr>
        <w:t xml:space="preserve"> ordenó </w:t>
      </w:r>
      <w:r w:rsidR="00390695" w:rsidRPr="00687351">
        <w:rPr>
          <w:rFonts w:asciiTheme="majorHAnsi" w:hAnsiTheme="majorHAnsi"/>
          <w:sz w:val="16"/>
          <w:szCs w:val="16"/>
          <w:lang w:val="es-CO"/>
        </w:rPr>
        <w:t xml:space="preserve">al Tribunal A que devolviera </w:t>
      </w:r>
      <w:r w:rsidRPr="00687351">
        <w:rPr>
          <w:rFonts w:asciiTheme="majorHAnsi" w:hAnsiTheme="majorHAnsi"/>
          <w:sz w:val="16"/>
          <w:szCs w:val="16"/>
          <w:lang w:val="es-CO"/>
        </w:rPr>
        <w:t>la actuación a la audiencia de pruebas. El Tribunal negó la suspensión de</w:t>
      </w:r>
      <w:r w:rsidR="005D68BD" w:rsidRPr="00687351">
        <w:rPr>
          <w:rFonts w:asciiTheme="majorHAnsi" w:hAnsiTheme="majorHAnsi"/>
          <w:sz w:val="16"/>
          <w:szCs w:val="16"/>
          <w:lang w:val="es-CO"/>
        </w:rPr>
        <w:t>l</w:t>
      </w:r>
      <w:r w:rsidRPr="00687351">
        <w:rPr>
          <w:rFonts w:asciiTheme="majorHAnsi" w:hAnsiTheme="majorHAnsi"/>
          <w:sz w:val="16"/>
          <w:szCs w:val="16"/>
          <w:lang w:val="es-CO"/>
        </w:rPr>
        <w:t xml:space="preserve"> juicio, </w:t>
      </w:r>
      <w:r w:rsidR="005D68BD" w:rsidRPr="00687351">
        <w:rPr>
          <w:rFonts w:asciiTheme="majorHAnsi" w:hAnsiTheme="majorHAnsi"/>
          <w:sz w:val="16"/>
          <w:szCs w:val="16"/>
          <w:lang w:val="es-CO"/>
        </w:rPr>
        <w:t xml:space="preserve">con fundamento en </w:t>
      </w:r>
      <w:r w:rsidRPr="00687351">
        <w:rPr>
          <w:rFonts w:asciiTheme="majorHAnsi" w:hAnsiTheme="majorHAnsi"/>
          <w:sz w:val="16"/>
          <w:szCs w:val="16"/>
          <w:lang w:val="es-CO"/>
        </w:rPr>
        <w:t>que no era posible retrotraer el proceso para revivir las etapas probatorias fenecidas, y resaltó que ya se había dado cumplimiento al fallo de la Corte de Constitucionalidad</w:t>
      </w:r>
      <w:r w:rsidR="005D68BD" w:rsidRPr="00687351">
        <w:rPr>
          <w:rFonts w:asciiTheme="majorHAnsi" w:hAnsiTheme="majorHAnsi"/>
          <w:sz w:val="16"/>
          <w:szCs w:val="16"/>
          <w:lang w:val="es-CO"/>
        </w:rPr>
        <w:t xml:space="preserve"> en amparo provisional de aceptar todas las pruebas propuestas por la defensa</w:t>
      </w:r>
      <w:r w:rsidR="00C20FE6" w:rsidRPr="00687351">
        <w:rPr>
          <w:rFonts w:asciiTheme="majorHAnsi" w:hAnsiTheme="majorHAnsi"/>
          <w:sz w:val="16"/>
          <w:szCs w:val="16"/>
          <w:lang w:val="es-CO"/>
        </w:rPr>
        <w:t>.</w:t>
      </w:r>
    </w:p>
  </w:footnote>
  <w:footnote w:id="12">
    <w:p w14:paraId="6D71CF68" w14:textId="77777777" w:rsidR="00AD6AE2" w:rsidRPr="00AD4705" w:rsidRDefault="00AD6AE2" w:rsidP="00AD6AE2">
      <w:pPr>
        <w:pStyle w:val="FootnoteText"/>
        <w:ind w:firstLine="720"/>
        <w:jc w:val="both"/>
        <w:rPr>
          <w:rFonts w:asciiTheme="majorHAnsi" w:hAnsiTheme="majorHAnsi"/>
          <w:lang w:val="es-CO"/>
        </w:rPr>
      </w:pPr>
      <w:r w:rsidRPr="00AD4705">
        <w:rPr>
          <w:rStyle w:val="FootnoteReference"/>
          <w:rFonts w:asciiTheme="majorHAnsi" w:hAnsiTheme="majorHAnsi"/>
          <w:sz w:val="16"/>
          <w:szCs w:val="16"/>
        </w:rPr>
        <w:footnoteRef/>
      </w:r>
      <w:r w:rsidRPr="00AD4705">
        <w:rPr>
          <w:rFonts w:asciiTheme="majorHAnsi" w:hAnsiTheme="majorHAnsi"/>
          <w:sz w:val="16"/>
          <w:szCs w:val="16"/>
          <w:lang w:val="es-CO"/>
        </w:rPr>
        <w:t xml:space="preserve"> </w:t>
      </w:r>
      <w:r w:rsidRPr="00AD4705">
        <w:rPr>
          <w:rFonts w:asciiTheme="majorHAnsi" w:hAnsiTheme="majorHAnsi"/>
          <w:i/>
          <w:iCs/>
          <w:sz w:val="16"/>
          <w:szCs w:val="16"/>
          <w:lang w:val="es-CO"/>
        </w:rPr>
        <w:t>L</w:t>
      </w:r>
      <w:r>
        <w:rPr>
          <w:rFonts w:asciiTheme="majorHAnsi" w:hAnsiTheme="majorHAnsi"/>
          <w:i/>
          <w:iCs/>
          <w:sz w:val="16"/>
          <w:szCs w:val="16"/>
          <w:lang w:val="es-CO"/>
        </w:rPr>
        <w:t>as</w:t>
      </w:r>
      <w:r w:rsidRPr="00AD4705">
        <w:rPr>
          <w:rFonts w:asciiTheme="majorHAnsi" w:hAnsiTheme="majorHAnsi"/>
          <w:i/>
          <w:iCs/>
          <w:sz w:val="16"/>
          <w:szCs w:val="16"/>
          <w:lang w:val="es-CO"/>
        </w:rPr>
        <w:t xml:space="preserve"> </w:t>
      </w:r>
      <w:r>
        <w:rPr>
          <w:rFonts w:asciiTheme="majorHAnsi" w:hAnsiTheme="majorHAnsi"/>
          <w:i/>
          <w:iCs/>
          <w:sz w:val="16"/>
          <w:szCs w:val="16"/>
          <w:lang w:val="es-CO"/>
        </w:rPr>
        <w:t>R</w:t>
      </w:r>
      <w:r w:rsidRPr="00AD4705">
        <w:rPr>
          <w:rFonts w:asciiTheme="majorHAnsi" w:hAnsiTheme="majorHAnsi"/>
          <w:i/>
          <w:iCs/>
          <w:sz w:val="16"/>
          <w:szCs w:val="16"/>
          <w:lang w:val="es-CO"/>
        </w:rPr>
        <w:t xml:space="preserve">eparaciones para </w:t>
      </w:r>
      <w:r>
        <w:rPr>
          <w:rFonts w:asciiTheme="majorHAnsi" w:hAnsiTheme="majorHAnsi"/>
          <w:i/>
          <w:iCs/>
          <w:sz w:val="16"/>
          <w:szCs w:val="16"/>
          <w:lang w:val="es-CO"/>
        </w:rPr>
        <w:t>Ví</w:t>
      </w:r>
      <w:r w:rsidRPr="00AD4705">
        <w:rPr>
          <w:rFonts w:asciiTheme="majorHAnsi" w:hAnsiTheme="majorHAnsi"/>
          <w:i/>
          <w:iCs/>
          <w:sz w:val="16"/>
          <w:szCs w:val="16"/>
          <w:lang w:val="es-CO"/>
        </w:rPr>
        <w:t xml:space="preserve">ctimas del </w:t>
      </w:r>
      <w:r>
        <w:rPr>
          <w:rFonts w:asciiTheme="majorHAnsi" w:hAnsiTheme="majorHAnsi"/>
          <w:i/>
          <w:iCs/>
          <w:sz w:val="16"/>
          <w:szCs w:val="16"/>
          <w:lang w:val="es-CO"/>
        </w:rPr>
        <w:t>C</w:t>
      </w:r>
      <w:r w:rsidRPr="00AD4705">
        <w:rPr>
          <w:rFonts w:asciiTheme="majorHAnsi" w:hAnsiTheme="majorHAnsi"/>
          <w:i/>
          <w:iCs/>
          <w:sz w:val="16"/>
          <w:szCs w:val="16"/>
          <w:lang w:val="es-CO"/>
        </w:rPr>
        <w:t xml:space="preserve">onflicto </w:t>
      </w:r>
      <w:r>
        <w:rPr>
          <w:rFonts w:asciiTheme="majorHAnsi" w:hAnsiTheme="majorHAnsi"/>
          <w:i/>
          <w:iCs/>
          <w:sz w:val="16"/>
          <w:szCs w:val="16"/>
          <w:lang w:val="es-CO"/>
        </w:rPr>
        <w:t>A</w:t>
      </w:r>
      <w:r w:rsidRPr="00AD4705">
        <w:rPr>
          <w:rFonts w:asciiTheme="majorHAnsi" w:hAnsiTheme="majorHAnsi"/>
          <w:i/>
          <w:iCs/>
          <w:sz w:val="16"/>
          <w:szCs w:val="16"/>
          <w:lang w:val="es-CO"/>
        </w:rPr>
        <w:t xml:space="preserve">rmado en </w:t>
      </w:r>
      <w:r>
        <w:rPr>
          <w:rFonts w:asciiTheme="majorHAnsi" w:hAnsiTheme="majorHAnsi"/>
          <w:i/>
          <w:iCs/>
          <w:sz w:val="16"/>
          <w:szCs w:val="16"/>
          <w:lang w:val="es-CO"/>
        </w:rPr>
        <w:t>G</w:t>
      </w:r>
      <w:r w:rsidRPr="00AD4705">
        <w:rPr>
          <w:rFonts w:asciiTheme="majorHAnsi" w:hAnsiTheme="majorHAnsi"/>
          <w:i/>
          <w:iCs/>
          <w:sz w:val="16"/>
          <w:szCs w:val="16"/>
          <w:lang w:val="es-CO"/>
        </w:rPr>
        <w:t>uatemala: Una promesa por cumplir</w:t>
      </w:r>
      <w:r>
        <w:rPr>
          <w:rFonts w:asciiTheme="majorHAnsi" w:hAnsiTheme="majorHAnsi"/>
          <w:sz w:val="16"/>
          <w:szCs w:val="16"/>
          <w:lang w:val="es-CO"/>
        </w:rPr>
        <w:t xml:space="preserve">, Reparations, Responsibility &amp; Victimhood in Transitional Societies, agosto de 2019. Disponible en: </w:t>
      </w:r>
      <w:hyperlink r:id="rId2" w:history="1">
        <w:r w:rsidRPr="00775CFF">
          <w:rPr>
            <w:rStyle w:val="Hyperlink"/>
            <w:rFonts w:asciiTheme="majorHAnsi" w:hAnsiTheme="majorHAnsi"/>
            <w:sz w:val="16"/>
            <w:szCs w:val="16"/>
            <w:lang w:val="es-CO"/>
          </w:rPr>
          <w:t>https://reparations.qub.ac.uk/assets/uploads/Guatemalan-Report-ESP-LR-1.pdf</w:t>
        </w:r>
      </w:hyperlink>
    </w:p>
  </w:footnote>
  <w:footnote w:id="13">
    <w:p w14:paraId="00328567" w14:textId="5B5E39AE" w:rsidR="00A24212" w:rsidRPr="00687351" w:rsidRDefault="00A24212"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5E2D01" w:rsidRPr="00687351">
        <w:rPr>
          <w:rFonts w:asciiTheme="majorHAnsi" w:hAnsiTheme="majorHAnsi"/>
          <w:sz w:val="16"/>
          <w:szCs w:val="16"/>
          <w:lang w:val="es-CO"/>
        </w:rPr>
        <w:t>Corte de Constitucionalidad. Comuni</w:t>
      </w:r>
      <w:r w:rsidR="00991671" w:rsidRPr="00687351">
        <w:rPr>
          <w:rFonts w:asciiTheme="majorHAnsi" w:hAnsiTheme="majorHAnsi"/>
          <w:sz w:val="16"/>
          <w:szCs w:val="16"/>
          <w:lang w:val="es-CO"/>
        </w:rPr>
        <w:t>ca</w:t>
      </w:r>
      <w:r w:rsidR="005E2D01" w:rsidRPr="00687351">
        <w:rPr>
          <w:rFonts w:asciiTheme="majorHAnsi" w:hAnsiTheme="majorHAnsi"/>
          <w:sz w:val="16"/>
          <w:szCs w:val="16"/>
          <w:lang w:val="es-CO"/>
        </w:rPr>
        <w:t>d</w:t>
      </w:r>
      <w:r w:rsidR="009A08CF" w:rsidRPr="00687351">
        <w:rPr>
          <w:rFonts w:asciiTheme="majorHAnsi" w:hAnsiTheme="majorHAnsi"/>
          <w:sz w:val="16"/>
          <w:szCs w:val="16"/>
          <w:lang w:val="es-CO"/>
        </w:rPr>
        <w:t>o</w:t>
      </w:r>
      <w:r w:rsidR="005E2D01" w:rsidRPr="00687351">
        <w:rPr>
          <w:rFonts w:asciiTheme="majorHAnsi" w:hAnsiTheme="majorHAnsi"/>
          <w:sz w:val="16"/>
          <w:szCs w:val="16"/>
          <w:lang w:val="es-CO"/>
        </w:rPr>
        <w:t xml:space="preserve"> de Prensa no. 5 de 2021</w:t>
      </w:r>
      <w:r w:rsidR="005B0A37" w:rsidRPr="00687351">
        <w:rPr>
          <w:rFonts w:asciiTheme="majorHAnsi" w:hAnsiTheme="majorHAnsi"/>
          <w:sz w:val="16"/>
          <w:szCs w:val="16"/>
          <w:lang w:val="es-CO"/>
        </w:rPr>
        <w:t>, expediente no. 1214-2019</w:t>
      </w:r>
      <w:r w:rsidR="00FC50E0" w:rsidRPr="00687351">
        <w:rPr>
          <w:rFonts w:asciiTheme="majorHAnsi" w:hAnsiTheme="majorHAnsi"/>
          <w:sz w:val="16"/>
          <w:szCs w:val="16"/>
          <w:lang w:val="es-CO"/>
        </w:rPr>
        <w:t>, 9 de febrero de 2021</w:t>
      </w:r>
      <w:r w:rsidR="005B0A37" w:rsidRPr="00687351">
        <w:rPr>
          <w:rFonts w:asciiTheme="majorHAnsi" w:hAnsiTheme="majorHAnsi"/>
          <w:sz w:val="16"/>
          <w:szCs w:val="16"/>
          <w:lang w:val="es-CO"/>
        </w:rPr>
        <w:t xml:space="preserve">. Disponible en: </w:t>
      </w:r>
      <w:hyperlink r:id="rId3" w:history="1">
        <w:r w:rsidR="00BB7132" w:rsidRPr="004960B7">
          <w:rPr>
            <w:rStyle w:val="Hyperlink"/>
            <w:rFonts w:asciiTheme="majorHAnsi" w:hAnsiTheme="majorHAnsi"/>
            <w:sz w:val="16"/>
            <w:szCs w:val="16"/>
            <w:lang w:val="es-CO"/>
          </w:rPr>
          <w:t>https://cc.gob.gt/cc-migra/pdf/COM-2021/COM-05-2021.pdf</w:t>
        </w:r>
      </w:hyperlink>
    </w:p>
  </w:footnote>
  <w:footnote w:id="14">
    <w:p w14:paraId="7FF75371" w14:textId="77777777" w:rsidR="00D35276" w:rsidRPr="00687351" w:rsidRDefault="00D35276"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CIDH, Informe No. 131/21. Petición 784-10. Admisibilidad. Wilson Mario Taborda Cardona y familia. Colombia. 13 de mayo de 2021, párr. 12.</w:t>
      </w:r>
    </w:p>
  </w:footnote>
  <w:footnote w:id="15">
    <w:p w14:paraId="7D3F9F96" w14:textId="3A9EC962" w:rsidR="00585E8A" w:rsidRPr="0064147C" w:rsidRDefault="00585E8A" w:rsidP="00644DAF">
      <w:pPr>
        <w:pStyle w:val="FootnoteText"/>
        <w:ind w:firstLine="720"/>
        <w:jc w:val="both"/>
        <w:rPr>
          <w:rFonts w:asciiTheme="majorHAnsi" w:hAnsiTheme="majorHAnsi"/>
          <w:lang w:val="es-US"/>
        </w:rPr>
      </w:pPr>
      <w:r w:rsidRPr="00585E8A">
        <w:rPr>
          <w:rStyle w:val="FootnoteReference"/>
          <w:rFonts w:asciiTheme="majorHAnsi" w:hAnsiTheme="majorHAnsi"/>
          <w:sz w:val="16"/>
          <w:szCs w:val="16"/>
        </w:rPr>
        <w:footnoteRef/>
      </w:r>
      <w:r w:rsidRPr="00CF6807">
        <w:rPr>
          <w:rFonts w:asciiTheme="majorHAnsi" w:hAnsiTheme="majorHAnsi"/>
          <w:sz w:val="16"/>
          <w:szCs w:val="16"/>
          <w:lang w:val="es-CO"/>
        </w:rPr>
        <w:t xml:space="preserve"> </w:t>
      </w:r>
      <w:r w:rsidR="00CF6807" w:rsidRPr="00CF6807">
        <w:rPr>
          <w:rFonts w:asciiTheme="majorHAnsi" w:hAnsiTheme="majorHAnsi"/>
          <w:sz w:val="16"/>
          <w:szCs w:val="16"/>
          <w:lang w:val="es-CO"/>
        </w:rPr>
        <w:t xml:space="preserve"> CIDH, Informe No. 57/17. Petición 406-04. Admisibilidad. Washington David Espino</w:t>
      </w:r>
      <w:r w:rsidR="00CF6807">
        <w:rPr>
          <w:rFonts w:asciiTheme="majorHAnsi" w:hAnsiTheme="majorHAnsi"/>
          <w:sz w:val="16"/>
          <w:szCs w:val="16"/>
          <w:lang w:val="es-CO"/>
        </w:rPr>
        <w:t xml:space="preserve"> </w:t>
      </w:r>
      <w:r w:rsidR="00CF6807" w:rsidRPr="00CF6807">
        <w:rPr>
          <w:rFonts w:asciiTheme="majorHAnsi" w:hAnsiTheme="majorHAnsi"/>
          <w:sz w:val="16"/>
          <w:szCs w:val="16"/>
          <w:lang w:val="es-CO"/>
        </w:rPr>
        <w:t>Muñoz. República Dominicana. 5 de junio de 2017</w:t>
      </w:r>
      <w:r w:rsidR="00CF6807">
        <w:rPr>
          <w:rFonts w:asciiTheme="majorHAnsi" w:hAnsiTheme="majorHAnsi"/>
          <w:sz w:val="16"/>
          <w:szCs w:val="16"/>
          <w:lang w:val="es-CO"/>
        </w:rPr>
        <w:t>, párr. 28</w:t>
      </w:r>
      <w:r w:rsidR="00644DAF">
        <w:rPr>
          <w:rFonts w:asciiTheme="majorHAnsi" w:hAnsiTheme="majorHAnsi"/>
          <w:sz w:val="16"/>
          <w:szCs w:val="16"/>
          <w:lang w:val="es-CO"/>
        </w:rPr>
        <w:t xml:space="preserve">; </w:t>
      </w:r>
      <w:r w:rsidR="00644DAF" w:rsidRPr="00644DAF">
        <w:rPr>
          <w:rFonts w:asciiTheme="majorHAnsi" w:hAnsiTheme="majorHAnsi"/>
          <w:sz w:val="16"/>
          <w:szCs w:val="16"/>
          <w:lang w:val="es-CO"/>
        </w:rPr>
        <w:t xml:space="preserve">CIDH, Informe No. 11/16. Petición 362-09. Admisibilidad. </w:t>
      </w:r>
      <w:r w:rsidR="00644DAF" w:rsidRPr="0064147C">
        <w:rPr>
          <w:rFonts w:asciiTheme="majorHAnsi" w:hAnsiTheme="majorHAnsi"/>
          <w:sz w:val="16"/>
          <w:szCs w:val="16"/>
          <w:lang w:val="es-CO"/>
        </w:rPr>
        <w:t xml:space="preserve">Luiza Melinho. Brasil. 14 de abril de 2016, párr. </w:t>
      </w:r>
      <w:r w:rsidR="00644DAF" w:rsidRPr="0064147C">
        <w:rPr>
          <w:rFonts w:asciiTheme="majorHAnsi" w:hAnsiTheme="majorHAnsi"/>
          <w:sz w:val="16"/>
          <w:szCs w:val="16"/>
          <w:lang w:val="es-US"/>
        </w:rPr>
        <w:t>41.</w:t>
      </w:r>
    </w:p>
  </w:footnote>
  <w:footnote w:id="16">
    <w:p w14:paraId="4259A876" w14:textId="77777777" w:rsidR="0064147C" w:rsidRPr="003857A5" w:rsidRDefault="0064147C" w:rsidP="00723B5D">
      <w:pPr>
        <w:pStyle w:val="FootnoteText"/>
        <w:ind w:firstLine="720"/>
        <w:jc w:val="both"/>
        <w:rPr>
          <w:rFonts w:asciiTheme="majorHAnsi" w:hAnsiTheme="majorHAnsi"/>
          <w:sz w:val="16"/>
          <w:szCs w:val="16"/>
          <w:lang w:val="es-MX"/>
        </w:rPr>
      </w:pPr>
      <w:r w:rsidRPr="003857A5">
        <w:rPr>
          <w:rStyle w:val="FootnoteReference"/>
          <w:rFonts w:asciiTheme="majorHAnsi" w:hAnsiTheme="majorHAnsi"/>
          <w:sz w:val="16"/>
          <w:szCs w:val="16"/>
        </w:rPr>
        <w:footnoteRef/>
      </w:r>
      <w:r w:rsidRPr="003857A5">
        <w:rPr>
          <w:rFonts w:asciiTheme="majorHAnsi" w:hAnsiTheme="majorHAnsi"/>
          <w:sz w:val="16"/>
          <w:szCs w:val="16"/>
          <w:lang w:val="es-MX"/>
        </w:rPr>
        <w:t xml:space="preserve"> </w:t>
      </w:r>
      <w:r w:rsidRPr="003857A5">
        <w:rPr>
          <w:rFonts w:asciiTheme="majorHAnsi" w:hAnsiTheme="majorHAnsi"/>
          <w:sz w:val="16"/>
          <w:szCs w:val="16"/>
          <w:lang w:val="es-ES"/>
        </w:rPr>
        <w:t>CIDH, Informe N° 14/08, Petición 652-04. Admisibilidad. Hugo Humberto Ruíz Fuentes. Guatemala. 5 de marzo de 2008, párr. 68.</w:t>
      </w:r>
    </w:p>
  </w:footnote>
  <w:footnote w:id="17">
    <w:p w14:paraId="04A07FED" w14:textId="1270BCF6" w:rsidR="0064147C" w:rsidRPr="00453637" w:rsidRDefault="0064147C" w:rsidP="00723B5D">
      <w:pPr>
        <w:pStyle w:val="FootnoteText"/>
        <w:ind w:firstLine="720"/>
        <w:jc w:val="both"/>
        <w:rPr>
          <w:rFonts w:ascii="Cambria" w:hAnsi="Cambria"/>
          <w:sz w:val="16"/>
          <w:szCs w:val="16"/>
          <w:lang w:val="es-ES"/>
        </w:rPr>
      </w:pPr>
      <w:r w:rsidRPr="003857A5">
        <w:rPr>
          <w:rStyle w:val="FootnoteReference"/>
          <w:rFonts w:asciiTheme="majorHAnsi" w:hAnsiTheme="majorHAnsi"/>
          <w:sz w:val="16"/>
          <w:szCs w:val="16"/>
        </w:rPr>
        <w:footnoteRef/>
      </w:r>
      <w:r w:rsidRPr="003857A5">
        <w:rPr>
          <w:rFonts w:asciiTheme="majorHAnsi" w:hAnsiTheme="majorHAnsi"/>
          <w:sz w:val="16"/>
          <w:szCs w:val="16"/>
          <w:lang w:val="es-SV"/>
        </w:rPr>
        <w:t xml:space="preserve"> </w:t>
      </w:r>
      <w:r w:rsidRPr="003857A5">
        <w:rPr>
          <w:rFonts w:asciiTheme="majorHAnsi" w:hAnsiTheme="majorHAnsi"/>
          <w:sz w:val="16"/>
          <w:szCs w:val="16"/>
          <w:lang w:val="es-ES"/>
        </w:rPr>
        <w:t>Co</w:t>
      </w:r>
      <w:r w:rsidRPr="00453637">
        <w:rPr>
          <w:rFonts w:ascii="Cambria" w:hAnsi="Cambria"/>
          <w:sz w:val="16"/>
          <w:szCs w:val="16"/>
          <w:lang w:val="es-ES"/>
        </w:rPr>
        <w:t>rte IDH</w:t>
      </w:r>
      <w:r w:rsidR="00723B5D">
        <w:rPr>
          <w:rFonts w:ascii="Cambria" w:hAnsi="Cambria"/>
          <w:sz w:val="16"/>
          <w:szCs w:val="16"/>
          <w:lang w:val="es-ES"/>
        </w:rPr>
        <w:t>.</w:t>
      </w:r>
      <w:r w:rsidRPr="00453637">
        <w:rPr>
          <w:rFonts w:ascii="Cambria" w:hAnsi="Cambria"/>
          <w:sz w:val="16"/>
          <w:szCs w:val="16"/>
          <w:lang w:val="es-ES"/>
        </w:rPr>
        <w:t xml:space="preserve"> Velásquez Rodríguez vs Honduras, Excepciones preliminares, sentencia del 26 de junio de 1987, párr. 93</w:t>
      </w:r>
      <w:r w:rsidR="003857A5">
        <w:rPr>
          <w:rFonts w:ascii="Cambria" w:hAnsi="Cambria"/>
          <w:sz w:val="16"/>
          <w:szCs w:val="16"/>
          <w:lang w:val="es-ES"/>
        </w:rPr>
        <w:t>.</w:t>
      </w:r>
    </w:p>
  </w:footnote>
  <w:footnote w:id="18">
    <w:p w14:paraId="76AB8786" w14:textId="05166C5F" w:rsidR="00A31D16" w:rsidRPr="00A31D16" w:rsidRDefault="00A31D16" w:rsidP="00A31D16">
      <w:pPr>
        <w:pStyle w:val="FootnoteText"/>
        <w:ind w:firstLine="720"/>
        <w:jc w:val="both"/>
        <w:rPr>
          <w:rFonts w:asciiTheme="majorHAnsi" w:hAnsiTheme="majorHAnsi"/>
          <w:lang w:val="es-CO"/>
        </w:rPr>
      </w:pPr>
      <w:r w:rsidRPr="00A31D16">
        <w:rPr>
          <w:rStyle w:val="FootnoteReference"/>
          <w:rFonts w:asciiTheme="majorHAnsi" w:hAnsiTheme="majorHAnsi"/>
          <w:sz w:val="16"/>
          <w:szCs w:val="16"/>
        </w:rPr>
        <w:footnoteRef/>
      </w:r>
      <w:r w:rsidRPr="00A31D16">
        <w:rPr>
          <w:rFonts w:asciiTheme="majorHAnsi" w:hAnsiTheme="majorHAnsi"/>
          <w:sz w:val="16"/>
          <w:szCs w:val="16"/>
          <w:lang w:val="es-CO"/>
        </w:rPr>
        <w:t xml:space="preserve"> Corte IDH. Caso Myrna Mack Chang Vs. Guatemala. Fondo, Reparaciones y Costas. Sentencia de 25 de noviembre de 2003. Serie C No.</w:t>
      </w:r>
      <w:r>
        <w:rPr>
          <w:rFonts w:asciiTheme="majorHAnsi" w:hAnsiTheme="majorHAnsi"/>
          <w:sz w:val="16"/>
          <w:szCs w:val="16"/>
          <w:lang w:val="es-CO"/>
        </w:rPr>
        <w:t xml:space="preserve"> </w:t>
      </w:r>
      <w:r w:rsidRPr="00A31D16">
        <w:rPr>
          <w:rFonts w:asciiTheme="majorHAnsi" w:hAnsiTheme="majorHAnsi"/>
          <w:sz w:val="16"/>
          <w:szCs w:val="16"/>
          <w:lang w:val="es-CO"/>
        </w:rPr>
        <w:t>101</w:t>
      </w:r>
      <w:r>
        <w:rPr>
          <w:rFonts w:asciiTheme="majorHAnsi" w:hAnsiTheme="majorHAnsi"/>
          <w:sz w:val="16"/>
          <w:szCs w:val="16"/>
          <w:lang w:val="es-CO"/>
        </w:rPr>
        <w:t>, párr. 211.</w:t>
      </w:r>
    </w:p>
  </w:footnote>
  <w:footnote w:id="19">
    <w:p w14:paraId="13948168" w14:textId="515C4C8D" w:rsidR="00EB2B14" w:rsidRPr="00687351" w:rsidRDefault="00EB2B14"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4147C">
        <w:rPr>
          <w:rFonts w:asciiTheme="majorHAnsi" w:hAnsiTheme="majorHAnsi"/>
          <w:sz w:val="16"/>
          <w:szCs w:val="16"/>
          <w:lang w:val="es-US"/>
        </w:rPr>
        <w:t xml:space="preserve"> CIDH, Informe No. 348/21. </w:t>
      </w:r>
      <w:r w:rsidRPr="00687351">
        <w:rPr>
          <w:rFonts w:asciiTheme="majorHAnsi" w:hAnsiTheme="majorHAnsi"/>
          <w:sz w:val="16"/>
          <w:szCs w:val="16"/>
          <w:lang w:val="es-CO"/>
        </w:rPr>
        <w:t>Petición 461-14. Admisibilidad. Soren Ulises Avilés Ángeles y otros. Colombia. 11 de noviembre de 2021, párr. 20.</w:t>
      </w:r>
    </w:p>
  </w:footnote>
  <w:footnote w:id="20">
    <w:p w14:paraId="55256E33" w14:textId="29AB6634" w:rsidR="002D41A2" w:rsidRPr="00687351" w:rsidRDefault="002D41A2"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94645D" w:rsidRPr="00687351">
        <w:rPr>
          <w:rFonts w:asciiTheme="majorHAnsi" w:hAnsiTheme="majorHAnsi"/>
          <w:sz w:val="16"/>
          <w:szCs w:val="16"/>
          <w:lang w:val="es-CO"/>
        </w:rPr>
        <w:t>CIDH, Informe No. 115/22. Petición 165-13. Admisibilidad. Comunidad indígena Kofán de Santa Rosa del Guamuez y sus miembros. Colombia. 17 de mayo de 2022, párr. 29</w:t>
      </w:r>
      <w:r w:rsidR="00F56FFB" w:rsidRPr="00687351">
        <w:rPr>
          <w:rFonts w:asciiTheme="majorHAnsi" w:hAnsiTheme="majorHAnsi"/>
          <w:sz w:val="16"/>
          <w:szCs w:val="16"/>
          <w:lang w:val="es-CO"/>
        </w:rPr>
        <w:t>;</w:t>
      </w:r>
      <w:r w:rsidR="0094645D" w:rsidRPr="00687351">
        <w:rPr>
          <w:rFonts w:asciiTheme="majorHAnsi" w:hAnsiTheme="majorHAnsi"/>
          <w:sz w:val="16"/>
          <w:szCs w:val="16"/>
          <w:lang w:val="es-CO"/>
        </w:rPr>
        <w:t xml:space="preserve"> </w:t>
      </w:r>
      <w:r w:rsidR="00512FCF" w:rsidRPr="00687351">
        <w:rPr>
          <w:rFonts w:asciiTheme="majorHAnsi" w:hAnsiTheme="majorHAnsi"/>
          <w:sz w:val="16"/>
          <w:szCs w:val="16"/>
          <w:lang w:val="es-CO"/>
        </w:rPr>
        <w:t xml:space="preserve">CIDH, Informe No. 69/08, Petición 681-00. Admisibilidad. Guillermo Patricio Lynn. Argentina. 16 de octubre de 2008, párr. </w:t>
      </w:r>
      <w:r w:rsidR="00512FCF" w:rsidRPr="00687351">
        <w:rPr>
          <w:rFonts w:asciiTheme="majorHAnsi" w:hAnsiTheme="majorHAnsi"/>
          <w:sz w:val="16"/>
          <w:szCs w:val="16"/>
          <w:lang w:val="es-ES"/>
        </w:rPr>
        <w:t>48.</w:t>
      </w:r>
    </w:p>
  </w:footnote>
  <w:footnote w:id="21">
    <w:p w14:paraId="60E0DE18" w14:textId="2B253D98" w:rsidR="00C31536" w:rsidRPr="00687351" w:rsidRDefault="00C31536"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043CD5" w:rsidRPr="00687351">
        <w:rPr>
          <w:rFonts w:asciiTheme="majorHAnsi" w:hAnsiTheme="majorHAnsi"/>
          <w:sz w:val="16"/>
          <w:szCs w:val="16"/>
          <w:lang w:val="es-CO"/>
        </w:rPr>
        <w:t xml:space="preserve">Artículo II de la </w:t>
      </w:r>
      <w:r w:rsidR="00027AD3" w:rsidRPr="00687351">
        <w:rPr>
          <w:rFonts w:asciiTheme="majorHAnsi" w:hAnsiTheme="majorHAnsi"/>
          <w:sz w:val="16"/>
          <w:szCs w:val="16"/>
          <w:lang w:val="es-CO"/>
        </w:rPr>
        <w:t>Convención para la Prevención y la Sanción del Delito de Genocidio</w:t>
      </w:r>
      <w:r w:rsidR="008506FD" w:rsidRPr="00687351">
        <w:rPr>
          <w:rFonts w:asciiTheme="majorHAnsi" w:hAnsiTheme="majorHAnsi"/>
          <w:sz w:val="16"/>
          <w:szCs w:val="16"/>
          <w:lang w:val="es-CO"/>
        </w:rPr>
        <w:t xml:space="preserve">, </w:t>
      </w:r>
      <w:r w:rsidR="00907D5A" w:rsidRPr="00687351">
        <w:rPr>
          <w:rFonts w:asciiTheme="majorHAnsi" w:hAnsiTheme="majorHAnsi"/>
          <w:sz w:val="16"/>
          <w:szCs w:val="16"/>
          <w:lang w:val="es-CO"/>
        </w:rPr>
        <w:t>Resolución 260 A (III) de la Asamblea General de Naciones Unidas, 9 de diciembre de 1948.</w:t>
      </w:r>
    </w:p>
  </w:footnote>
  <w:footnote w:id="22">
    <w:p w14:paraId="029E2D5C" w14:textId="1E00CCA9" w:rsidR="00CF69F3" w:rsidRPr="00687351" w:rsidRDefault="00CF69F3"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817C98" w:rsidRPr="00687351">
        <w:rPr>
          <w:rFonts w:asciiTheme="majorHAnsi" w:hAnsiTheme="majorHAnsi"/>
          <w:sz w:val="16"/>
          <w:szCs w:val="16"/>
          <w:lang w:val="es-CO"/>
        </w:rPr>
        <w:t>Corte Internacional de Justicia</w:t>
      </w:r>
      <w:r w:rsidR="00E43EC7" w:rsidRPr="00687351">
        <w:rPr>
          <w:rFonts w:asciiTheme="majorHAnsi" w:hAnsiTheme="majorHAnsi"/>
          <w:sz w:val="16"/>
          <w:szCs w:val="16"/>
          <w:lang w:val="es-CO"/>
        </w:rPr>
        <w:t>,</w:t>
      </w:r>
      <w:r w:rsidR="00A32470" w:rsidRPr="00687351">
        <w:rPr>
          <w:rFonts w:asciiTheme="majorHAnsi" w:hAnsiTheme="majorHAnsi"/>
          <w:sz w:val="16"/>
          <w:szCs w:val="16"/>
          <w:lang w:val="es-CO"/>
        </w:rPr>
        <w:t xml:space="preserve"> Activi</w:t>
      </w:r>
      <w:r w:rsidR="00E43EC7" w:rsidRPr="00687351">
        <w:rPr>
          <w:rFonts w:asciiTheme="majorHAnsi" w:hAnsiTheme="majorHAnsi"/>
          <w:sz w:val="16"/>
          <w:szCs w:val="16"/>
          <w:lang w:val="es-CO"/>
        </w:rPr>
        <w:t xml:space="preserve">dades Armadas en el Territorio del Congo </w:t>
      </w:r>
      <w:r w:rsidR="00A32470" w:rsidRPr="00687351">
        <w:rPr>
          <w:rFonts w:asciiTheme="majorHAnsi" w:hAnsiTheme="majorHAnsi"/>
          <w:sz w:val="16"/>
          <w:szCs w:val="16"/>
          <w:lang w:val="es-CO"/>
        </w:rPr>
        <w:t>(</w:t>
      </w:r>
      <w:r w:rsidR="00E43EC7" w:rsidRPr="00687351">
        <w:rPr>
          <w:rFonts w:asciiTheme="majorHAnsi" w:hAnsiTheme="majorHAnsi"/>
          <w:sz w:val="16"/>
          <w:szCs w:val="16"/>
          <w:lang w:val="es-CO"/>
        </w:rPr>
        <w:t xml:space="preserve">República </w:t>
      </w:r>
      <w:r w:rsidR="00A32470" w:rsidRPr="00687351">
        <w:rPr>
          <w:rFonts w:asciiTheme="majorHAnsi" w:hAnsiTheme="majorHAnsi"/>
          <w:sz w:val="16"/>
          <w:szCs w:val="16"/>
          <w:lang w:val="es-CO"/>
        </w:rPr>
        <w:t>Democr</w:t>
      </w:r>
      <w:r w:rsidR="00E43EC7" w:rsidRPr="00687351">
        <w:rPr>
          <w:rFonts w:asciiTheme="majorHAnsi" w:hAnsiTheme="majorHAnsi"/>
          <w:sz w:val="16"/>
          <w:szCs w:val="16"/>
          <w:lang w:val="es-CO"/>
        </w:rPr>
        <w:t>á</w:t>
      </w:r>
      <w:r w:rsidR="00A32470" w:rsidRPr="00687351">
        <w:rPr>
          <w:rFonts w:asciiTheme="majorHAnsi" w:hAnsiTheme="majorHAnsi"/>
          <w:sz w:val="16"/>
          <w:szCs w:val="16"/>
          <w:lang w:val="es-CO"/>
        </w:rPr>
        <w:t>tic</w:t>
      </w:r>
      <w:r w:rsidR="00E43EC7" w:rsidRPr="00687351">
        <w:rPr>
          <w:rFonts w:asciiTheme="majorHAnsi" w:hAnsiTheme="majorHAnsi"/>
          <w:sz w:val="16"/>
          <w:szCs w:val="16"/>
          <w:lang w:val="es-CO"/>
        </w:rPr>
        <w:t>a</w:t>
      </w:r>
      <w:r w:rsidR="00A32470" w:rsidRPr="00687351">
        <w:rPr>
          <w:rFonts w:asciiTheme="majorHAnsi" w:hAnsiTheme="majorHAnsi"/>
          <w:sz w:val="16"/>
          <w:szCs w:val="16"/>
          <w:lang w:val="es-CO"/>
        </w:rPr>
        <w:t xml:space="preserve"> </w:t>
      </w:r>
      <w:r w:rsidR="00E43EC7" w:rsidRPr="00687351">
        <w:rPr>
          <w:rFonts w:asciiTheme="majorHAnsi" w:hAnsiTheme="majorHAnsi"/>
          <w:sz w:val="16"/>
          <w:szCs w:val="16"/>
          <w:lang w:val="es-CO"/>
        </w:rPr>
        <w:t xml:space="preserve">del </w:t>
      </w:r>
      <w:r w:rsidR="00A32470" w:rsidRPr="00687351">
        <w:rPr>
          <w:rFonts w:asciiTheme="majorHAnsi" w:hAnsiTheme="majorHAnsi"/>
          <w:sz w:val="16"/>
          <w:szCs w:val="16"/>
          <w:lang w:val="es-CO"/>
        </w:rPr>
        <w:t xml:space="preserve">Congo </w:t>
      </w:r>
      <w:r w:rsidR="00AA570E">
        <w:rPr>
          <w:rFonts w:asciiTheme="majorHAnsi" w:hAnsiTheme="majorHAnsi"/>
          <w:sz w:val="16"/>
          <w:szCs w:val="16"/>
          <w:lang w:val="es-CO"/>
        </w:rPr>
        <w:t>vs.</w:t>
      </w:r>
      <w:r w:rsidR="00A32470" w:rsidRPr="00687351">
        <w:rPr>
          <w:rFonts w:asciiTheme="majorHAnsi" w:hAnsiTheme="majorHAnsi"/>
          <w:sz w:val="16"/>
          <w:szCs w:val="16"/>
          <w:lang w:val="es-CO"/>
        </w:rPr>
        <w:t xml:space="preserve"> R</w:t>
      </w:r>
      <w:r w:rsidR="00E43EC7" w:rsidRPr="00687351">
        <w:rPr>
          <w:rFonts w:asciiTheme="majorHAnsi" w:hAnsiTheme="majorHAnsi"/>
          <w:sz w:val="16"/>
          <w:szCs w:val="16"/>
          <w:lang w:val="es-CO"/>
        </w:rPr>
        <w:t>u</w:t>
      </w:r>
      <w:r w:rsidR="00A32470" w:rsidRPr="00687351">
        <w:rPr>
          <w:rFonts w:asciiTheme="majorHAnsi" w:hAnsiTheme="majorHAnsi"/>
          <w:sz w:val="16"/>
          <w:szCs w:val="16"/>
          <w:lang w:val="es-CO"/>
        </w:rPr>
        <w:t>anda)</w:t>
      </w:r>
      <w:r w:rsidR="00E43EC7" w:rsidRPr="00687351">
        <w:rPr>
          <w:rFonts w:asciiTheme="majorHAnsi" w:hAnsiTheme="majorHAnsi"/>
          <w:sz w:val="16"/>
          <w:szCs w:val="16"/>
          <w:lang w:val="es-CO"/>
        </w:rPr>
        <w:t xml:space="preserve"> Sentencia de 3 febrero de 2006</w:t>
      </w:r>
      <w:r w:rsidR="00A51C04" w:rsidRPr="00687351">
        <w:rPr>
          <w:rFonts w:asciiTheme="majorHAnsi" w:hAnsiTheme="majorHAnsi"/>
          <w:sz w:val="16"/>
          <w:szCs w:val="16"/>
          <w:lang w:val="es-CO"/>
        </w:rPr>
        <w:t xml:space="preserve">, párr. </w:t>
      </w:r>
      <w:r w:rsidR="00E70952" w:rsidRPr="00687351">
        <w:rPr>
          <w:rFonts w:asciiTheme="majorHAnsi" w:hAnsiTheme="majorHAnsi"/>
          <w:sz w:val="16"/>
          <w:szCs w:val="16"/>
          <w:lang w:val="es-CO"/>
        </w:rPr>
        <w:t>64</w:t>
      </w:r>
      <w:r w:rsidR="00E43EC7" w:rsidRPr="00687351">
        <w:rPr>
          <w:rFonts w:asciiTheme="majorHAnsi" w:hAnsiTheme="majorHAnsi"/>
          <w:sz w:val="16"/>
          <w:szCs w:val="16"/>
          <w:lang w:val="es-CO"/>
        </w:rPr>
        <w:t xml:space="preserve">; </w:t>
      </w:r>
      <w:r w:rsidR="00817C98" w:rsidRPr="00687351">
        <w:rPr>
          <w:rFonts w:asciiTheme="majorHAnsi" w:hAnsiTheme="majorHAnsi"/>
          <w:sz w:val="16"/>
          <w:szCs w:val="16"/>
          <w:lang w:val="es-CO"/>
        </w:rPr>
        <w:t>Aplica</w:t>
      </w:r>
      <w:r w:rsidR="002562ED" w:rsidRPr="00687351">
        <w:rPr>
          <w:rFonts w:asciiTheme="majorHAnsi" w:hAnsiTheme="majorHAnsi"/>
          <w:sz w:val="16"/>
          <w:szCs w:val="16"/>
          <w:lang w:val="es-CO"/>
        </w:rPr>
        <w:t>c</w:t>
      </w:r>
      <w:r w:rsidR="00817C98" w:rsidRPr="00687351">
        <w:rPr>
          <w:rFonts w:asciiTheme="majorHAnsi" w:hAnsiTheme="majorHAnsi"/>
          <w:sz w:val="16"/>
          <w:szCs w:val="16"/>
          <w:lang w:val="es-CO"/>
        </w:rPr>
        <w:t>i</w:t>
      </w:r>
      <w:r w:rsidR="002562ED" w:rsidRPr="00687351">
        <w:rPr>
          <w:rFonts w:asciiTheme="majorHAnsi" w:hAnsiTheme="majorHAnsi"/>
          <w:sz w:val="16"/>
          <w:szCs w:val="16"/>
          <w:lang w:val="es-CO"/>
        </w:rPr>
        <w:t>ó</w:t>
      </w:r>
      <w:r w:rsidR="00817C98" w:rsidRPr="00687351">
        <w:rPr>
          <w:rFonts w:asciiTheme="majorHAnsi" w:hAnsiTheme="majorHAnsi"/>
          <w:sz w:val="16"/>
          <w:szCs w:val="16"/>
          <w:lang w:val="es-CO"/>
        </w:rPr>
        <w:t xml:space="preserve">n </w:t>
      </w:r>
      <w:r w:rsidR="002562ED" w:rsidRPr="00687351">
        <w:rPr>
          <w:rFonts w:asciiTheme="majorHAnsi" w:hAnsiTheme="majorHAnsi"/>
          <w:sz w:val="16"/>
          <w:szCs w:val="16"/>
          <w:lang w:val="es-CO"/>
        </w:rPr>
        <w:t xml:space="preserve">de la </w:t>
      </w:r>
      <w:r w:rsidR="00817C98" w:rsidRPr="00687351">
        <w:rPr>
          <w:rFonts w:asciiTheme="majorHAnsi" w:hAnsiTheme="majorHAnsi"/>
          <w:sz w:val="16"/>
          <w:szCs w:val="16"/>
          <w:lang w:val="es-CO"/>
        </w:rPr>
        <w:t>Conven</w:t>
      </w:r>
      <w:r w:rsidR="002562ED" w:rsidRPr="00687351">
        <w:rPr>
          <w:rFonts w:asciiTheme="majorHAnsi" w:hAnsiTheme="majorHAnsi"/>
          <w:sz w:val="16"/>
          <w:szCs w:val="16"/>
          <w:lang w:val="es-CO"/>
        </w:rPr>
        <w:t>ció</w:t>
      </w:r>
      <w:r w:rsidR="00817C98" w:rsidRPr="00687351">
        <w:rPr>
          <w:rFonts w:asciiTheme="majorHAnsi" w:hAnsiTheme="majorHAnsi"/>
          <w:sz w:val="16"/>
          <w:szCs w:val="16"/>
          <w:lang w:val="es-CO"/>
        </w:rPr>
        <w:t xml:space="preserve">n </w:t>
      </w:r>
      <w:r w:rsidR="002562ED" w:rsidRPr="00687351">
        <w:rPr>
          <w:rFonts w:asciiTheme="majorHAnsi" w:hAnsiTheme="majorHAnsi"/>
          <w:sz w:val="16"/>
          <w:szCs w:val="16"/>
          <w:lang w:val="es-CO"/>
        </w:rPr>
        <w:t xml:space="preserve">para la </w:t>
      </w:r>
      <w:r w:rsidR="00817C98" w:rsidRPr="00687351">
        <w:rPr>
          <w:rFonts w:asciiTheme="majorHAnsi" w:hAnsiTheme="majorHAnsi"/>
          <w:sz w:val="16"/>
          <w:szCs w:val="16"/>
          <w:lang w:val="es-CO"/>
        </w:rPr>
        <w:t>Preven</w:t>
      </w:r>
      <w:r w:rsidR="002562ED" w:rsidRPr="00687351">
        <w:rPr>
          <w:rFonts w:asciiTheme="majorHAnsi" w:hAnsiTheme="majorHAnsi"/>
          <w:sz w:val="16"/>
          <w:szCs w:val="16"/>
          <w:lang w:val="es-CO"/>
        </w:rPr>
        <w:t>ció</w:t>
      </w:r>
      <w:r w:rsidR="00817C98" w:rsidRPr="00687351">
        <w:rPr>
          <w:rFonts w:asciiTheme="majorHAnsi" w:hAnsiTheme="majorHAnsi"/>
          <w:sz w:val="16"/>
          <w:szCs w:val="16"/>
          <w:lang w:val="es-CO"/>
        </w:rPr>
        <w:t xml:space="preserve">n </w:t>
      </w:r>
      <w:r w:rsidR="002562ED" w:rsidRPr="00687351">
        <w:rPr>
          <w:rFonts w:asciiTheme="majorHAnsi" w:hAnsiTheme="majorHAnsi"/>
          <w:sz w:val="16"/>
          <w:szCs w:val="16"/>
          <w:lang w:val="es-CO"/>
        </w:rPr>
        <w:t xml:space="preserve">y Sanción del Delito de </w:t>
      </w:r>
      <w:r w:rsidR="00817C98" w:rsidRPr="00687351">
        <w:rPr>
          <w:rFonts w:asciiTheme="majorHAnsi" w:hAnsiTheme="majorHAnsi"/>
          <w:sz w:val="16"/>
          <w:szCs w:val="16"/>
          <w:lang w:val="es-CO"/>
        </w:rPr>
        <w:t>Genocid</w:t>
      </w:r>
      <w:r w:rsidR="002562ED" w:rsidRPr="00687351">
        <w:rPr>
          <w:rFonts w:asciiTheme="majorHAnsi" w:hAnsiTheme="majorHAnsi"/>
          <w:sz w:val="16"/>
          <w:szCs w:val="16"/>
          <w:lang w:val="es-CO"/>
        </w:rPr>
        <w:t>io</w:t>
      </w:r>
      <w:r w:rsidR="00817C98" w:rsidRPr="00687351">
        <w:rPr>
          <w:rFonts w:asciiTheme="majorHAnsi" w:hAnsiTheme="majorHAnsi"/>
          <w:sz w:val="16"/>
          <w:szCs w:val="16"/>
          <w:lang w:val="es-CO"/>
        </w:rPr>
        <w:t xml:space="preserve"> (Bosnia </w:t>
      </w:r>
      <w:r w:rsidR="002562ED" w:rsidRPr="00687351">
        <w:rPr>
          <w:rFonts w:asciiTheme="majorHAnsi" w:hAnsiTheme="majorHAnsi"/>
          <w:sz w:val="16"/>
          <w:szCs w:val="16"/>
          <w:lang w:val="es-CO"/>
        </w:rPr>
        <w:t xml:space="preserve">y </w:t>
      </w:r>
      <w:r w:rsidR="00817C98" w:rsidRPr="00687351">
        <w:rPr>
          <w:rFonts w:asciiTheme="majorHAnsi" w:hAnsiTheme="majorHAnsi"/>
          <w:sz w:val="16"/>
          <w:szCs w:val="16"/>
          <w:lang w:val="es-CO"/>
        </w:rPr>
        <w:t xml:space="preserve">Herzegovina </w:t>
      </w:r>
      <w:r w:rsidR="00AA570E">
        <w:rPr>
          <w:rFonts w:asciiTheme="majorHAnsi" w:hAnsiTheme="majorHAnsi"/>
          <w:sz w:val="16"/>
          <w:szCs w:val="16"/>
          <w:lang w:val="es-CO"/>
        </w:rPr>
        <w:t>vs.</w:t>
      </w:r>
      <w:r w:rsidR="00817C98" w:rsidRPr="00687351">
        <w:rPr>
          <w:rFonts w:asciiTheme="majorHAnsi" w:hAnsiTheme="majorHAnsi"/>
          <w:sz w:val="16"/>
          <w:szCs w:val="16"/>
          <w:lang w:val="es-CO"/>
        </w:rPr>
        <w:t xml:space="preserve"> Serbia </w:t>
      </w:r>
      <w:r w:rsidR="002562ED" w:rsidRPr="00687351">
        <w:rPr>
          <w:rFonts w:asciiTheme="majorHAnsi" w:hAnsiTheme="majorHAnsi"/>
          <w:sz w:val="16"/>
          <w:szCs w:val="16"/>
          <w:lang w:val="es-CO"/>
        </w:rPr>
        <w:t xml:space="preserve">y </w:t>
      </w:r>
      <w:r w:rsidR="00817C98" w:rsidRPr="00687351">
        <w:rPr>
          <w:rFonts w:asciiTheme="majorHAnsi" w:hAnsiTheme="majorHAnsi"/>
          <w:sz w:val="16"/>
          <w:szCs w:val="16"/>
          <w:lang w:val="es-CO"/>
        </w:rPr>
        <w:t xml:space="preserve">Montenegro), </w:t>
      </w:r>
      <w:r w:rsidR="002562ED" w:rsidRPr="00687351">
        <w:rPr>
          <w:rFonts w:asciiTheme="majorHAnsi" w:hAnsiTheme="majorHAnsi"/>
          <w:sz w:val="16"/>
          <w:szCs w:val="16"/>
          <w:lang w:val="es-CO"/>
        </w:rPr>
        <w:t>Sentencia</w:t>
      </w:r>
      <w:r w:rsidR="00A32470" w:rsidRPr="00687351">
        <w:rPr>
          <w:rFonts w:asciiTheme="majorHAnsi" w:hAnsiTheme="majorHAnsi"/>
          <w:sz w:val="16"/>
          <w:szCs w:val="16"/>
          <w:lang w:val="es-CO"/>
        </w:rPr>
        <w:t xml:space="preserve"> de 26 de febrero de</w:t>
      </w:r>
      <w:r w:rsidR="00817C98" w:rsidRPr="00687351">
        <w:rPr>
          <w:rFonts w:asciiTheme="majorHAnsi" w:hAnsiTheme="majorHAnsi"/>
          <w:sz w:val="16"/>
          <w:szCs w:val="16"/>
          <w:lang w:val="es-CO"/>
        </w:rPr>
        <w:t xml:space="preserve"> 2007, p</w:t>
      </w:r>
      <w:r w:rsidR="002562ED" w:rsidRPr="00687351">
        <w:rPr>
          <w:rFonts w:asciiTheme="majorHAnsi" w:hAnsiTheme="majorHAnsi"/>
          <w:sz w:val="16"/>
          <w:szCs w:val="16"/>
          <w:lang w:val="es-CO"/>
        </w:rPr>
        <w:t>árrs</w:t>
      </w:r>
      <w:r w:rsidR="00817C98" w:rsidRPr="00687351">
        <w:rPr>
          <w:rFonts w:asciiTheme="majorHAnsi" w:hAnsiTheme="majorHAnsi"/>
          <w:sz w:val="16"/>
          <w:szCs w:val="16"/>
          <w:lang w:val="es-CO"/>
        </w:rPr>
        <w:t>. 1</w:t>
      </w:r>
      <w:r w:rsidR="002562ED" w:rsidRPr="00687351">
        <w:rPr>
          <w:rFonts w:asciiTheme="majorHAnsi" w:hAnsiTheme="majorHAnsi"/>
          <w:sz w:val="16"/>
          <w:szCs w:val="16"/>
          <w:lang w:val="es-CO"/>
        </w:rPr>
        <w:t>61-162</w:t>
      </w:r>
      <w:r w:rsidR="00817C98" w:rsidRPr="00687351">
        <w:rPr>
          <w:rFonts w:asciiTheme="majorHAnsi" w:hAnsiTheme="majorHAnsi"/>
          <w:sz w:val="16"/>
          <w:szCs w:val="16"/>
          <w:lang w:val="es-CO"/>
        </w:rPr>
        <w:t xml:space="preserve">; </w:t>
      </w:r>
      <w:r w:rsidR="00E43EC7" w:rsidRPr="00687351">
        <w:rPr>
          <w:rFonts w:asciiTheme="majorHAnsi" w:hAnsiTheme="majorHAnsi"/>
          <w:sz w:val="16"/>
          <w:szCs w:val="16"/>
          <w:lang w:val="es-CO"/>
        </w:rPr>
        <w:t xml:space="preserve">y Aplicación de la Convención para la Prevención y Sanción del Delito de Genocidio </w:t>
      </w:r>
      <w:r w:rsidR="00817C98" w:rsidRPr="00687351">
        <w:rPr>
          <w:rFonts w:asciiTheme="majorHAnsi" w:hAnsiTheme="majorHAnsi"/>
          <w:sz w:val="16"/>
          <w:szCs w:val="16"/>
          <w:lang w:val="es-CO"/>
        </w:rPr>
        <w:t xml:space="preserve">(Croatia </w:t>
      </w:r>
      <w:r w:rsidR="00AA570E">
        <w:rPr>
          <w:rFonts w:asciiTheme="majorHAnsi" w:hAnsiTheme="majorHAnsi"/>
          <w:sz w:val="16"/>
          <w:szCs w:val="16"/>
          <w:lang w:val="es-CO"/>
        </w:rPr>
        <w:t>vs.</w:t>
      </w:r>
      <w:r w:rsidR="00817C98" w:rsidRPr="00687351">
        <w:rPr>
          <w:rFonts w:asciiTheme="majorHAnsi" w:hAnsiTheme="majorHAnsi"/>
          <w:sz w:val="16"/>
          <w:szCs w:val="16"/>
          <w:lang w:val="es-CO"/>
        </w:rPr>
        <w:t xml:space="preserve"> Serbia), </w:t>
      </w:r>
      <w:r w:rsidR="00E43EC7" w:rsidRPr="00687351">
        <w:rPr>
          <w:rFonts w:asciiTheme="majorHAnsi" w:hAnsiTheme="majorHAnsi"/>
          <w:sz w:val="16"/>
          <w:szCs w:val="16"/>
          <w:lang w:val="es-CO"/>
        </w:rPr>
        <w:t xml:space="preserve">Sentencia de </w:t>
      </w:r>
      <w:r w:rsidR="007B0039" w:rsidRPr="00687351">
        <w:rPr>
          <w:rFonts w:asciiTheme="majorHAnsi" w:hAnsiTheme="majorHAnsi"/>
          <w:sz w:val="16"/>
          <w:szCs w:val="16"/>
          <w:lang w:val="es-CO"/>
        </w:rPr>
        <w:t xml:space="preserve">3 de febrero de </w:t>
      </w:r>
      <w:r w:rsidR="00817C98" w:rsidRPr="00687351">
        <w:rPr>
          <w:rFonts w:asciiTheme="majorHAnsi" w:hAnsiTheme="majorHAnsi"/>
          <w:sz w:val="16"/>
          <w:szCs w:val="16"/>
          <w:lang w:val="es-CO"/>
        </w:rPr>
        <w:t>2015, p</w:t>
      </w:r>
      <w:r w:rsidR="009E79C8" w:rsidRPr="00687351">
        <w:rPr>
          <w:rFonts w:asciiTheme="majorHAnsi" w:hAnsiTheme="majorHAnsi"/>
          <w:sz w:val="16"/>
          <w:szCs w:val="16"/>
          <w:lang w:val="es-CO"/>
        </w:rPr>
        <w:t>á</w:t>
      </w:r>
      <w:r w:rsidR="00817C98" w:rsidRPr="00687351">
        <w:rPr>
          <w:rFonts w:asciiTheme="majorHAnsi" w:hAnsiTheme="majorHAnsi"/>
          <w:sz w:val="16"/>
          <w:szCs w:val="16"/>
          <w:lang w:val="es-CO"/>
        </w:rPr>
        <w:t>r</w:t>
      </w:r>
      <w:r w:rsidR="009E79C8" w:rsidRPr="00687351">
        <w:rPr>
          <w:rFonts w:asciiTheme="majorHAnsi" w:hAnsiTheme="majorHAnsi"/>
          <w:sz w:val="16"/>
          <w:szCs w:val="16"/>
          <w:lang w:val="es-CO"/>
        </w:rPr>
        <w:t>r</w:t>
      </w:r>
      <w:r w:rsidR="00817C98" w:rsidRPr="00687351">
        <w:rPr>
          <w:rFonts w:asciiTheme="majorHAnsi" w:hAnsiTheme="majorHAnsi"/>
          <w:sz w:val="16"/>
          <w:szCs w:val="16"/>
          <w:lang w:val="es-CO"/>
        </w:rPr>
        <w:t>. 87.</w:t>
      </w:r>
      <w:r w:rsidR="004B346F" w:rsidRPr="00687351">
        <w:rPr>
          <w:rFonts w:asciiTheme="majorHAnsi" w:hAnsiTheme="majorHAnsi"/>
          <w:sz w:val="16"/>
          <w:szCs w:val="16"/>
          <w:lang w:val="es-CO"/>
        </w:rPr>
        <w:t xml:space="preserve"> Véase también Comisión de Derecho Internacional, </w:t>
      </w:r>
      <w:r w:rsidR="00EF7880" w:rsidRPr="00687351">
        <w:rPr>
          <w:rFonts w:asciiTheme="majorHAnsi" w:hAnsiTheme="majorHAnsi"/>
          <w:sz w:val="16"/>
          <w:szCs w:val="16"/>
          <w:lang w:val="es-CO"/>
        </w:rPr>
        <w:t xml:space="preserve">Informe presentado a la Asamblea General de Naciones Unidas </w:t>
      </w:r>
      <w:r w:rsidR="00BA7698" w:rsidRPr="00687351">
        <w:rPr>
          <w:rFonts w:asciiTheme="majorHAnsi" w:hAnsiTheme="majorHAnsi"/>
          <w:sz w:val="16"/>
          <w:szCs w:val="16"/>
          <w:lang w:val="es-CO"/>
        </w:rPr>
        <w:t xml:space="preserve">de </w:t>
      </w:r>
      <w:r w:rsidR="00294B0F" w:rsidRPr="00687351">
        <w:rPr>
          <w:rFonts w:asciiTheme="majorHAnsi" w:hAnsiTheme="majorHAnsi"/>
          <w:sz w:val="16"/>
          <w:szCs w:val="16"/>
          <w:lang w:val="es-CO"/>
        </w:rPr>
        <w:t xml:space="preserve">su 71ª sesión, </w:t>
      </w:r>
      <w:r w:rsidR="00CC79A0" w:rsidRPr="00687351">
        <w:rPr>
          <w:rFonts w:asciiTheme="majorHAnsi" w:hAnsiTheme="majorHAnsi"/>
          <w:sz w:val="16"/>
          <w:szCs w:val="16"/>
          <w:lang w:val="es-CO"/>
        </w:rPr>
        <w:t xml:space="preserve">A/74/10, 10 de diciembre </w:t>
      </w:r>
      <w:r w:rsidR="00BF15E1" w:rsidRPr="00687351">
        <w:rPr>
          <w:rFonts w:asciiTheme="majorHAnsi" w:hAnsiTheme="majorHAnsi"/>
          <w:sz w:val="16"/>
          <w:szCs w:val="16"/>
          <w:lang w:val="es-CO"/>
        </w:rPr>
        <w:t xml:space="preserve">de 2019, </w:t>
      </w:r>
      <w:r w:rsidR="00CC79A0" w:rsidRPr="00687351">
        <w:rPr>
          <w:rFonts w:asciiTheme="majorHAnsi" w:hAnsiTheme="majorHAnsi"/>
          <w:sz w:val="16"/>
          <w:szCs w:val="16"/>
          <w:lang w:val="es-CO"/>
        </w:rPr>
        <w:t>pá</w:t>
      </w:r>
      <w:r w:rsidR="00155C28" w:rsidRPr="00687351">
        <w:rPr>
          <w:rFonts w:asciiTheme="majorHAnsi" w:hAnsiTheme="majorHAnsi"/>
          <w:sz w:val="16"/>
          <w:szCs w:val="16"/>
          <w:lang w:val="es-CO"/>
        </w:rPr>
        <w:t>g</w:t>
      </w:r>
      <w:r w:rsidR="00CC79A0" w:rsidRPr="00687351">
        <w:rPr>
          <w:rFonts w:asciiTheme="majorHAnsi" w:hAnsiTheme="majorHAnsi"/>
          <w:sz w:val="16"/>
          <w:szCs w:val="16"/>
          <w:lang w:val="es-CO"/>
        </w:rPr>
        <w:t xml:space="preserve">. </w:t>
      </w:r>
      <w:r w:rsidR="00155C28" w:rsidRPr="00687351">
        <w:rPr>
          <w:rFonts w:asciiTheme="majorHAnsi" w:hAnsiTheme="majorHAnsi"/>
          <w:sz w:val="16"/>
          <w:szCs w:val="16"/>
          <w:lang w:val="es-CO"/>
        </w:rPr>
        <w:t>151 y ss.</w:t>
      </w:r>
    </w:p>
  </w:footnote>
  <w:footnote w:id="23">
    <w:p w14:paraId="4C5C2FE2" w14:textId="6B1BA0BB" w:rsidR="00892C40" w:rsidRPr="00687351" w:rsidRDefault="00892C40"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487831" w:rsidRPr="00687351">
        <w:rPr>
          <w:rFonts w:asciiTheme="majorHAnsi" w:hAnsiTheme="majorHAnsi"/>
          <w:sz w:val="16"/>
          <w:szCs w:val="16"/>
          <w:lang w:val="es-CO"/>
        </w:rPr>
        <w:t xml:space="preserve">Artículo XI, Declaración Americana sobre los Derechos de los Pueblos Indígenas, </w:t>
      </w:r>
      <w:r w:rsidR="00EB7205" w:rsidRPr="00687351">
        <w:rPr>
          <w:rFonts w:asciiTheme="majorHAnsi" w:hAnsiTheme="majorHAnsi"/>
          <w:sz w:val="16"/>
          <w:szCs w:val="16"/>
          <w:lang w:val="es-CO"/>
        </w:rPr>
        <w:t>AG/RES. 2888 (XLVI-O/16), adoptada el 14 de junio de 2016 por la Asamblea General de la Organización de Estados Americanos.</w:t>
      </w:r>
    </w:p>
  </w:footnote>
  <w:footnote w:id="24">
    <w:p w14:paraId="2F014B1D" w14:textId="6F82D192" w:rsidR="00A57AA9" w:rsidRPr="00DB187D" w:rsidRDefault="00A57AA9" w:rsidP="00DB187D">
      <w:pPr>
        <w:pStyle w:val="FootnoteText"/>
        <w:ind w:firstLine="720"/>
        <w:jc w:val="both"/>
        <w:rPr>
          <w:rFonts w:asciiTheme="majorHAnsi" w:hAnsiTheme="majorHAnsi"/>
          <w:lang w:val="es-CO"/>
        </w:rPr>
      </w:pPr>
      <w:r w:rsidRPr="00DB187D">
        <w:rPr>
          <w:rStyle w:val="FootnoteReference"/>
          <w:rFonts w:asciiTheme="majorHAnsi" w:hAnsiTheme="majorHAnsi"/>
          <w:sz w:val="16"/>
          <w:szCs w:val="16"/>
        </w:rPr>
        <w:footnoteRef/>
      </w:r>
      <w:r w:rsidRPr="00DB187D">
        <w:rPr>
          <w:rFonts w:asciiTheme="majorHAnsi" w:hAnsiTheme="majorHAnsi"/>
          <w:sz w:val="16"/>
          <w:szCs w:val="16"/>
          <w:lang w:val="es-CO"/>
        </w:rPr>
        <w:t xml:space="preserve"> </w:t>
      </w:r>
      <w:r w:rsidR="00DB187D" w:rsidRPr="00DB187D">
        <w:rPr>
          <w:rFonts w:asciiTheme="majorHAnsi" w:hAnsiTheme="majorHAnsi"/>
          <w:sz w:val="16"/>
          <w:szCs w:val="16"/>
          <w:lang w:val="es-CO"/>
        </w:rPr>
        <w:t xml:space="preserve">Véase </w:t>
      </w:r>
      <w:r w:rsidR="00DB187D" w:rsidRPr="00111464">
        <w:rPr>
          <w:rFonts w:asciiTheme="majorHAnsi" w:hAnsiTheme="majorHAnsi"/>
          <w:sz w:val="16"/>
          <w:szCs w:val="16"/>
          <w:lang w:val="es-CO"/>
        </w:rPr>
        <w:t xml:space="preserve">Corte IDH. Caso Coc Max y otros (Masacre de Xamán) </w:t>
      </w:r>
      <w:r w:rsidR="00AA570E">
        <w:rPr>
          <w:rFonts w:asciiTheme="majorHAnsi" w:hAnsiTheme="majorHAnsi"/>
          <w:sz w:val="16"/>
          <w:szCs w:val="16"/>
          <w:lang w:val="es-CO"/>
        </w:rPr>
        <w:t>Vs.</w:t>
      </w:r>
      <w:r w:rsidR="00DB187D" w:rsidRPr="00111464">
        <w:rPr>
          <w:rFonts w:asciiTheme="majorHAnsi" w:hAnsiTheme="majorHAnsi"/>
          <w:sz w:val="16"/>
          <w:szCs w:val="16"/>
          <w:lang w:val="es-CO"/>
        </w:rPr>
        <w:t xml:space="preserve"> Guatemala. Fondo, Reparaciones y Costas. Sentencia de 22 de agosto de 2018. Serie C No. 356</w:t>
      </w:r>
      <w:r w:rsidR="00DB187D">
        <w:rPr>
          <w:rFonts w:asciiTheme="majorHAnsi" w:hAnsiTheme="majorHAnsi"/>
          <w:sz w:val="16"/>
          <w:szCs w:val="16"/>
          <w:lang w:val="es-CO"/>
        </w:rPr>
        <w:t xml:space="preserve">; </w:t>
      </w:r>
      <w:r w:rsidR="00DB187D" w:rsidRPr="00CC2E85">
        <w:rPr>
          <w:rFonts w:asciiTheme="majorHAnsi" w:hAnsiTheme="majorHAnsi"/>
          <w:sz w:val="16"/>
          <w:szCs w:val="16"/>
          <w:lang w:val="es-CO"/>
        </w:rPr>
        <w:t xml:space="preserve">Corte IDH. Caso Miembros de la Aldea Chichupac y comunidades vecinas del Municipio de Rabinal </w:t>
      </w:r>
      <w:r w:rsidR="00AA570E">
        <w:rPr>
          <w:rFonts w:asciiTheme="majorHAnsi" w:hAnsiTheme="majorHAnsi"/>
          <w:sz w:val="16"/>
          <w:szCs w:val="16"/>
          <w:lang w:val="es-CO"/>
        </w:rPr>
        <w:t>Vs.</w:t>
      </w:r>
      <w:r w:rsidR="00DB187D" w:rsidRPr="00CC2E85">
        <w:rPr>
          <w:rFonts w:asciiTheme="majorHAnsi" w:hAnsiTheme="majorHAnsi"/>
          <w:sz w:val="16"/>
          <w:szCs w:val="16"/>
          <w:lang w:val="es-CO"/>
        </w:rPr>
        <w:t xml:space="preserve"> Guatemala. Excepciones Preliminares, Fondo, Reparaciones y Costas. Sentencia de 30 de noviembre de 2016. Serie C No. 328</w:t>
      </w:r>
      <w:r w:rsidR="00DB187D">
        <w:rPr>
          <w:rFonts w:asciiTheme="majorHAnsi" w:hAnsiTheme="majorHAnsi"/>
          <w:sz w:val="16"/>
          <w:szCs w:val="16"/>
          <w:lang w:val="es-CO"/>
        </w:rPr>
        <w:t xml:space="preserve">; </w:t>
      </w:r>
      <w:r w:rsidR="00DB187D" w:rsidRPr="005B6387">
        <w:rPr>
          <w:rFonts w:asciiTheme="majorHAnsi" w:hAnsiTheme="majorHAnsi"/>
          <w:sz w:val="16"/>
          <w:szCs w:val="16"/>
          <w:lang w:val="es-CO"/>
        </w:rPr>
        <w:t xml:space="preserve">Corte IDH. Caso Masacres de Río Negro </w:t>
      </w:r>
      <w:r w:rsidR="00AA570E">
        <w:rPr>
          <w:rFonts w:asciiTheme="majorHAnsi" w:hAnsiTheme="majorHAnsi"/>
          <w:sz w:val="16"/>
          <w:szCs w:val="16"/>
          <w:lang w:val="es-CO"/>
        </w:rPr>
        <w:t>Vs.</w:t>
      </w:r>
      <w:r w:rsidR="00DB187D" w:rsidRPr="005B6387">
        <w:rPr>
          <w:rFonts w:asciiTheme="majorHAnsi" w:hAnsiTheme="majorHAnsi"/>
          <w:sz w:val="16"/>
          <w:szCs w:val="16"/>
          <w:lang w:val="es-CO"/>
        </w:rPr>
        <w:t xml:space="preserve"> Guatemala. Excepción Preliminar, Fondo, Reparaciones y Costas. Sentencia de 4 de septiembre de 2012. Serie C No. 250</w:t>
      </w:r>
      <w:r w:rsidR="00DB187D">
        <w:rPr>
          <w:rFonts w:asciiTheme="majorHAnsi" w:hAnsiTheme="majorHAnsi"/>
          <w:sz w:val="16"/>
          <w:szCs w:val="16"/>
          <w:lang w:val="es-CO"/>
        </w:rPr>
        <w:t xml:space="preserve">; </w:t>
      </w:r>
      <w:r w:rsidR="00DB187D" w:rsidRPr="00E76501">
        <w:rPr>
          <w:rFonts w:asciiTheme="majorHAnsi" w:hAnsiTheme="majorHAnsi"/>
          <w:sz w:val="16"/>
          <w:szCs w:val="16"/>
          <w:lang w:val="es-CO"/>
        </w:rPr>
        <w:t xml:space="preserve">Corte IDH. Caso de la Masacre de Las Dos Erres </w:t>
      </w:r>
      <w:r w:rsidR="00AA570E">
        <w:rPr>
          <w:rFonts w:asciiTheme="majorHAnsi" w:hAnsiTheme="majorHAnsi"/>
          <w:sz w:val="16"/>
          <w:szCs w:val="16"/>
          <w:lang w:val="es-CO"/>
        </w:rPr>
        <w:t>Vs.</w:t>
      </w:r>
      <w:r w:rsidR="00DB187D" w:rsidRPr="00E76501">
        <w:rPr>
          <w:rFonts w:asciiTheme="majorHAnsi" w:hAnsiTheme="majorHAnsi"/>
          <w:sz w:val="16"/>
          <w:szCs w:val="16"/>
          <w:lang w:val="es-CO"/>
        </w:rPr>
        <w:t xml:space="preserve"> Guatemala. Excepción Preliminar, Fondo, Reparaciones y Costas. Sentencia de 24 de noviembre de 2009. Serie C No. 211</w:t>
      </w:r>
      <w:r w:rsidR="00DB187D">
        <w:rPr>
          <w:rFonts w:asciiTheme="majorHAnsi" w:hAnsiTheme="majorHAnsi"/>
          <w:sz w:val="16"/>
          <w:szCs w:val="16"/>
          <w:lang w:val="es-CO"/>
        </w:rPr>
        <w:t xml:space="preserve">; y </w:t>
      </w:r>
      <w:r w:rsidR="00DB187D" w:rsidRPr="00F020A1">
        <w:rPr>
          <w:rFonts w:asciiTheme="majorHAnsi" w:hAnsiTheme="majorHAnsi"/>
          <w:sz w:val="16"/>
          <w:szCs w:val="16"/>
          <w:lang w:val="es-CO"/>
        </w:rPr>
        <w:t xml:space="preserve">Corte IDH. Caso Masacre Plan de Sánchez </w:t>
      </w:r>
      <w:r w:rsidR="00AA570E">
        <w:rPr>
          <w:rFonts w:asciiTheme="majorHAnsi" w:hAnsiTheme="majorHAnsi"/>
          <w:sz w:val="16"/>
          <w:szCs w:val="16"/>
          <w:lang w:val="es-CO"/>
        </w:rPr>
        <w:t>Vs.</w:t>
      </w:r>
      <w:r w:rsidR="00DB187D" w:rsidRPr="00F020A1">
        <w:rPr>
          <w:rFonts w:asciiTheme="majorHAnsi" w:hAnsiTheme="majorHAnsi"/>
          <w:sz w:val="16"/>
          <w:szCs w:val="16"/>
          <w:lang w:val="es-CO"/>
        </w:rPr>
        <w:t xml:space="preserve"> Guatemala. Fondo. Sentencia de 29 de abril de 2004. Serie C No. 105</w:t>
      </w:r>
      <w:r w:rsidR="00DB187D">
        <w:rPr>
          <w:rFonts w:asciiTheme="majorHAnsi" w:hAnsiTheme="majorHAnsi"/>
          <w:sz w:val="16"/>
          <w:szCs w:val="16"/>
          <w:lang w:val="es-CO"/>
        </w:rPr>
        <w:t>.</w:t>
      </w:r>
    </w:p>
  </w:footnote>
  <w:footnote w:id="25">
    <w:p w14:paraId="18B6734C" w14:textId="354D70B8" w:rsidR="00C150E3" w:rsidRPr="00687351" w:rsidRDefault="00C150E3"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w:t>
      </w:r>
      <w:r w:rsidR="00E40E93" w:rsidRPr="00687351">
        <w:rPr>
          <w:rFonts w:asciiTheme="majorHAnsi" w:hAnsiTheme="majorHAnsi"/>
          <w:sz w:val="16"/>
          <w:szCs w:val="16"/>
          <w:lang w:val="es-CO"/>
        </w:rPr>
        <w:t xml:space="preserve">Corte IDH. Caso Coc Max y otros (Masacre de Xamán) </w:t>
      </w:r>
      <w:r w:rsidR="00AA570E">
        <w:rPr>
          <w:rFonts w:asciiTheme="majorHAnsi" w:hAnsiTheme="majorHAnsi"/>
          <w:sz w:val="16"/>
          <w:szCs w:val="16"/>
          <w:lang w:val="es-CO"/>
        </w:rPr>
        <w:t>Vs.</w:t>
      </w:r>
      <w:r w:rsidR="00E40E93" w:rsidRPr="00687351">
        <w:rPr>
          <w:rFonts w:asciiTheme="majorHAnsi" w:hAnsiTheme="majorHAnsi"/>
          <w:sz w:val="16"/>
          <w:szCs w:val="16"/>
          <w:lang w:val="es-CO"/>
        </w:rPr>
        <w:t xml:space="preserve"> Guatemala. Fondo, Reparaciones y Costas. Sentencia de 22 de agosto de 2018. Serie C No. 356, párr. 119.</w:t>
      </w:r>
    </w:p>
  </w:footnote>
  <w:footnote w:id="26">
    <w:p w14:paraId="61AC04B8" w14:textId="0BF70B22" w:rsidR="0017694F" w:rsidRPr="0017694F" w:rsidRDefault="0017694F" w:rsidP="0017694F">
      <w:pPr>
        <w:pStyle w:val="FootnoteText"/>
        <w:ind w:firstLine="720"/>
        <w:jc w:val="both"/>
        <w:rPr>
          <w:rFonts w:asciiTheme="majorHAnsi" w:hAnsiTheme="majorHAnsi"/>
          <w:sz w:val="16"/>
          <w:szCs w:val="16"/>
          <w:lang w:val="es-CO"/>
        </w:rPr>
      </w:pPr>
      <w:r w:rsidRPr="0017694F">
        <w:rPr>
          <w:rStyle w:val="FootnoteReference"/>
          <w:rFonts w:asciiTheme="majorHAnsi" w:hAnsiTheme="majorHAnsi"/>
          <w:sz w:val="16"/>
          <w:szCs w:val="16"/>
        </w:rPr>
        <w:footnoteRef/>
      </w:r>
      <w:r w:rsidRPr="0017694F">
        <w:rPr>
          <w:rFonts w:asciiTheme="majorHAnsi" w:hAnsiTheme="majorHAnsi"/>
          <w:sz w:val="16"/>
          <w:szCs w:val="16"/>
          <w:lang w:val="es-CO"/>
        </w:rPr>
        <w:t xml:space="preserve"> </w:t>
      </w:r>
      <w:r w:rsidR="00345597">
        <w:rPr>
          <w:rFonts w:asciiTheme="majorHAnsi" w:hAnsiTheme="majorHAnsi"/>
          <w:sz w:val="16"/>
          <w:szCs w:val="16"/>
          <w:lang w:val="es-CO"/>
        </w:rPr>
        <w:t xml:space="preserve">Véase </w:t>
      </w:r>
      <w:r w:rsidRPr="0017694F">
        <w:rPr>
          <w:rFonts w:asciiTheme="majorHAnsi" w:hAnsiTheme="majorHAnsi"/>
          <w:sz w:val="16"/>
          <w:szCs w:val="16"/>
          <w:lang w:val="es-CO"/>
        </w:rPr>
        <w:t xml:space="preserve">Corte IDH. Caso Masacre de la Aldea Los Josefinos </w:t>
      </w:r>
      <w:r w:rsidR="00AA570E">
        <w:rPr>
          <w:rFonts w:asciiTheme="majorHAnsi" w:hAnsiTheme="majorHAnsi"/>
          <w:sz w:val="16"/>
          <w:szCs w:val="16"/>
          <w:lang w:val="es-CO"/>
        </w:rPr>
        <w:t>Vs.</w:t>
      </w:r>
      <w:r w:rsidRPr="0017694F">
        <w:rPr>
          <w:rFonts w:asciiTheme="majorHAnsi" w:hAnsiTheme="majorHAnsi"/>
          <w:sz w:val="16"/>
          <w:szCs w:val="16"/>
          <w:lang w:val="es-CO"/>
        </w:rPr>
        <w:t xml:space="preserve"> Guatemala. Excepción Preliminar, Fondo, Reparaciones y Costas. Sentencia de 3 de noviembre de 2021. Serie C No. 442</w:t>
      </w:r>
      <w:r>
        <w:rPr>
          <w:rFonts w:asciiTheme="majorHAnsi" w:hAnsiTheme="majorHAnsi"/>
          <w:sz w:val="16"/>
          <w:szCs w:val="16"/>
          <w:lang w:val="es-CO"/>
        </w:rPr>
        <w:t xml:space="preserve">; </w:t>
      </w:r>
      <w:r w:rsidR="00111464" w:rsidRPr="00111464">
        <w:rPr>
          <w:rFonts w:asciiTheme="majorHAnsi" w:hAnsiTheme="majorHAnsi"/>
          <w:sz w:val="16"/>
          <w:szCs w:val="16"/>
          <w:lang w:val="es-CO"/>
        </w:rPr>
        <w:t xml:space="preserve">Corte IDH. Caso Coc Max y otros (Masacre de Xamán) </w:t>
      </w:r>
      <w:r w:rsidR="00AA570E">
        <w:rPr>
          <w:rFonts w:asciiTheme="majorHAnsi" w:hAnsiTheme="majorHAnsi"/>
          <w:sz w:val="16"/>
          <w:szCs w:val="16"/>
          <w:lang w:val="es-CO"/>
        </w:rPr>
        <w:t>Vs.</w:t>
      </w:r>
      <w:r w:rsidR="00111464" w:rsidRPr="00111464">
        <w:rPr>
          <w:rFonts w:asciiTheme="majorHAnsi" w:hAnsiTheme="majorHAnsi"/>
          <w:sz w:val="16"/>
          <w:szCs w:val="16"/>
          <w:lang w:val="es-CO"/>
        </w:rPr>
        <w:t xml:space="preserve"> Guatemala. Fondo, Reparaciones y Costas. Sentencia de 22 de agosto de 2018. Serie C No. 356</w:t>
      </w:r>
      <w:r w:rsidR="00111464">
        <w:rPr>
          <w:rFonts w:asciiTheme="majorHAnsi" w:hAnsiTheme="majorHAnsi"/>
          <w:sz w:val="16"/>
          <w:szCs w:val="16"/>
          <w:lang w:val="es-CO"/>
        </w:rPr>
        <w:t>;</w:t>
      </w:r>
      <w:r w:rsidR="00B60A7B">
        <w:rPr>
          <w:rFonts w:asciiTheme="majorHAnsi" w:hAnsiTheme="majorHAnsi"/>
          <w:sz w:val="16"/>
          <w:szCs w:val="16"/>
          <w:lang w:val="es-CO"/>
        </w:rPr>
        <w:t xml:space="preserve"> </w:t>
      </w:r>
      <w:r w:rsidR="00CC2E85" w:rsidRPr="00CC2E85">
        <w:rPr>
          <w:rFonts w:asciiTheme="majorHAnsi" w:hAnsiTheme="majorHAnsi"/>
          <w:sz w:val="16"/>
          <w:szCs w:val="16"/>
          <w:lang w:val="es-CO"/>
        </w:rPr>
        <w:t xml:space="preserve">Corte IDH. Caso Miembros de la Aldea Chichupac y comunidades vecinas del Municipio de Rabinal </w:t>
      </w:r>
      <w:r w:rsidR="00AA570E">
        <w:rPr>
          <w:rFonts w:asciiTheme="majorHAnsi" w:hAnsiTheme="majorHAnsi"/>
          <w:sz w:val="16"/>
          <w:szCs w:val="16"/>
          <w:lang w:val="es-CO"/>
        </w:rPr>
        <w:t>Vs.</w:t>
      </w:r>
      <w:r w:rsidR="00CC2E85" w:rsidRPr="00CC2E85">
        <w:rPr>
          <w:rFonts w:asciiTheme="majorHAnsi" w:hAnsiTheme="majorHAnsi"/>
          <w:sz w:val="16"/>
          <w:szCs w:val="16"/>
          <w:lang w:val="es-CO"/>
        </w:rPr>
        <w:t xml:space="preserve"> Guatemala. Excepciones Preliminares, Fondo, Reparaciones y Costas. Sentencia de 30 de noviembre de 2016. Serie C No. 328</w:t>
      </w:r>
      <w:r w:rsidR="005B6387">
        <w:rPr>
          <w:rFonts w:asciiTheme="majorHAnsi" w:hAnsiTheme="majorHAnsi"/>
          <w:sz w:val="16"/>
          <w:szCs w:val="16"/>
          <w:lang w:val="es-CO"/>
        </w:rPr>
        <w:t xml:space="preserve">; </w:t>
      </w:r>
      <w:r w:rsidR="005B6387" w:rsidRPr="005B6387">
        <w:rPr>
          <w:rFonts w:asciiTheme="majorHAnsi" w:hAnsiTheme="majorHAnsi"/>
          <w:sz w:val="16"/>
          <w:szCs w:val="16"/>
          <w:lang w:val="es-CO"/>
        </w:rPr>
        <w:t xml:space="preserve">Corte IDH. Caso Masacres de Río Negro </w:t>
      </w:r>
      <w:r w:rsidR="00AA570E">
        <w:rPr>
          <w:rFonts w:asciiTheme="majorHAnsi" w:hAnsiTheme="majorHAnsi"/>
          <w:sz w:val="16"/>
          <w:szCs w:val="16"/>
          <w:lang w:val="es-CO"/>
        </w:rPr>
        <w:t>Vs.</w:t>
      </w:r>
      <w:r w:rsidR="005B6387" w:rsidRPr="005B6387">
        <w:rPr>
          <w:rFonts w:asciiTheme="majorHAnsi" w:hAnsiTheme="majorHAnsi"/>
          <w:sz w:val="16"/>
          <w:szCs w:val="16"/>
          <w:lang w:val="es-CO"/>
        </w:rPr>
        <w:t xml:space="preserve"> Guatemala. Excepción Preliminar, Fondo, Reparaciones y Costas. Sentencia de 4 de septiembre de 2012. Serie C No. 250</w:t>
      </w:r>
      <w:r w:rsidR="005B6387">
        <w:rPr>
          <w:rFonts w:asciiTheme="majorHAnsi" w:hAnsiTheme="majorHAnsi"/>
          <w:sz w:val="16"/>
          <w:szCs w:val="16"/>
          <w:lang w:val="es-CO"/>
        </w:rPr>
        <w:t xml:space="preserve">; </w:t>
      </w:r>
      <w:r w:rsidR="00EB0027" w:rsidRPr="00EB0027">
        <w:rPr>
          <w:rFonts w:asciiTheme="majorHAnsi" w:hAnsiTheme="majorHAnsi"/>
          <w:sz w:val="16"/>
          <w:szCs w:val="16"/>
          <w:lang w:val="es-CO"/>
        </w:rPr>
        <w:t xml:space="preserve">Corte IDH. Caso Chitay Nech y otros </w:t>
      </w:r>
      <w:r w:rsidR="00AA570E">
        <w:rPr>
          <w:rFonts w:asciiTheme="majorHAnsi" w:hAnsiTheme="majorHAnsi"/>
          <w:sz w:val="16"/>
          <w:szCs w:val="16"/>
          <w:lang w:val="es-CO"/>
        </w:rPr>
        <w:t>Vs.</w:t>
      </w:r>
      <w:r w:rsidR="00EB0027" w:rsidRPr="00EB0027">
        <w:rPr>
          <w:rFonts w:asciiTheme="majorHAnsi" w:hAnsiTheme="majorHAnsi"/>
          <w:sz w:val="16"/>
          <w:szCs w:val="16"/>
          <w:lang w:val="es-CO"/>
        </w:rPr>
        <w:t xml:space="preserve"> Guatemala. Excepciones Preliminares, Fondo, Reparaciones y Costas. Sentencia de 25 de mayo de 2010. Serie C No. 212</w:t>
      </w:r>
      <w:r w:rsidR="00EB0027">
        <w:rPr>
          <w:rFonts w:asciiTheme="majorHAnsi" w:hAnsiTheme="majorHAnsi"/>
          <w:sz w:val="16"/>
          <w:szCs w:val="16"/>
          <w:lang w:val="es-CO"/>
        </w:rPr>
        <w:t xml:space="preserve">; </w:t>
      </w:r>
      <w:r w:rsidR="00E76501" w:rsidRPr="00E76501">
        <w:rPr>
          <w:rFonts w:asciiTheme="majorHAnsi" w:hAnsiTheme="majorHAnsi"/>
          <w:sz w:val="16"/>
          <w:szCs w:val="16"/>
          <w:lang w:val="es-CO"/>
        </w:rPr>
        <w:t xml:space="preserve">Corte IDH. Caso de la Masacre de Las Dos Erres </w:t>
      </w:r>
      <w:r w:rsidR="00AA570E">
        <w:rPr>
          <w:rFonts w:asciiTheme="majorHAnsi" w:hAnsiTheme="majorHAnsi"/>
          <w:sz w:val="16"/>
          <w:szCs w:val="16"/>
          <w:lang w:val="es-CO"/>
        </w:rPr>
        <w:t>Vs.</w:t>
      </w:r>
      <w:r w:rsidR="00E76501" w:rsidRPr="00E76501">
        <w:rPr>
          <w:rFonts w:asciiTheme="majorHAnsi" w:hAnsiTheme="majorHAnsi"/>
          <w:sz w:val="16"/>
          <w:szCs w:val="16"/>
          <w:lang w:val="es-CO"/>
        </w:rPr>
        <w:t xml:space="preserve"> Guatemala. Excepción Preliminar, Fondo, Reparaciones y Costas. Sentencia de 24 de noviembre de 2009. Serie C No. 211</w:t>
      </w:r>
      <w:r w:rsidR="00E76501">
        <w:rPr>
          <w:rFonts w:asciiTheme="majorHAnsi" w:hAnsiTheme="majorHAnsi"/>
          <w:sz w:val="16"/>
          <w:szCs w:val="16"/>
          <w:lang w:val="es-CO"/>
        </w:rPr>
        <w:t xml:space="preserve">; </w:t>
      </w:r>
      <w:r w:rsidR="000C1DBD" w:rsidRPr="000C1DBD">
        <w:rPr>
          <w:rFonts w:asciiTheme="majorHAnsi" w:hAnsiTheme="majorHAnsi"/>
          <w:sz w:val="16"/>
          <w:szCs w:val="16"/>
          <w:lang w:val="es-CO"/>
        </w:rPr>
        <w:t xml:space="preserve">Corte IDH. Caso Tiu Tojín </w:t>
      </w:r>
      <w:r w:rsidR="00AA570E">
        <w:rPr>
          <w:rFonts w:asciiTheme="majorHAnsi" w:hAnsiTheme="majorHAnsi"/>
          <w:sz w:val="16"/>
          <w:szCs w:val="16"/>
          <w:lang w:val="es-CO"/>
        </w:rPr>
        <w:t>Vs.</w:t>
      </w:r>
      <w:r w:rsidR="000C1DBD" w:rsidRPr="000C1DBD">
        <w:rPr>
          <w:rFonts w:asciiTheme="majorHAnsi" w:hAnsiTheme="majorHAnsi"/>
          <w:sz w:val="16"/>
          <w:szCs w:val="16"/>
          <w:lang w:val="es-CO"/>
        </w:rPr>
        <w:t xml:space="preserve"> Guatemala. Fondo, Reparaciones y Costas. Sentencia de 26 de noviembre de 2008. Serie C No. 190</w:t>
      </w:r>
      <w:r w:rsidR="000C1DBD">
        <w:rPr>
          <w:rFonts w:asciiTheme="majorHAnsi" w:hAnsiTheme="majorHAnsi"/>
          <w:sz w:val="16"/>
          <w:szCs w:val="16"/>
          <w:lang w:val="es-CO"/>
        </w:rPr>
        <w:t xml:space="preserve">; </w:t>
      </w:r>
      <w:r w:rsidR="00A41ACC" w:rsidRPr="00A41ACC">
        <w:rPr>
          <w:rFonts w:asciiTheme="majorHAnsi" w:hAnsiTheme="majorHAnsi"/>
          <w:sz w:val="16"/>
          <w:szCs w:val="16"/>
          <w:lang w:val="es-CO"/>
        </w:rPr>
        <w:t xml:space="preserve">Corte IDH. Caso Molina Theissen </w:t>
      </w:r>
      <w:r w:rsidR="00AA570E">
        <w:rPr>
          <w:rFonts w:asciiTheme="majorHAnsi" w:hAnsiTheme="majorHAnsi"/>
          <w:sz w:val="16"/>
          <w:szCs w:val="16"/>
          <w:lang w:val="es-CO"/>
        </w:rPr>
        <w:t>Vs.</w:t>
      </w:r>
      <w:r w:rsidR="00A41ACC" w:rsidRPr="00A41ACC">
        <w:rPr>
          <w:rFonts w:asciiTheme="majorHAnsi" w:hAnsiTheme="majorHAnsi"/>
          <w:sz w:val="16"/>
          <w:szCs w:val="16"/>
          <w:lang w:val="es-CO"/>
        </w:rPr>
        <w:t xml:space="preserve"> Guatemala. Fondo. Sentencia de 4 de mayo de 2004. Serie C No. 106</w:t>
      </w:r>
      <w:r w:rsidR="00A41ACC">
        <w:rPr>
          <w:rFonts w:asciiTheme="majorHAnsi" w:hAnsiTheme="majorHAnsi"/>
          <w:sz w:val="16"/>
          <w:szCs w:val="16"/>
          <w:lang w:val="es-CO"/>
        </w:rPr>
        <w:t xml:space="preserve">; </w:t>
      </w:r>
      <w:r w:rsidR="00F020A1" w:rsidRPr="00F020A1">
        <w:rPr>
          <w:rFonts w:asciiTheme="majorHAnsi" w:hAnsiTheme="majorHAnsi"/>
          <w:sz w:val="16"/>
          <w:szCs w:val="16"/>
          <w:lang w:val="es-CO"/>
        </w:rPr>
        <w:t xml:space="preserve">Corte IDH. Caso Masacre Plan de Sánchez </w:t>
      </w:r>
      <w:r w:rsidR="00AA570E">
        <w:rPr>
          <w:rFonts w:asciiTheme="majorHAnsi" w:hAnsiTheme="majorHAnsi"/>
          <w:sz w:val="16"/>
          <w:szCs w:val="16"/>
          <w:lang w:val="es-CO"/>
        </w:rPr>
        <w:t>Vs.</w:t>
      </w:r>
      <w:r w:rsidR="00F020A1" w:rsidRPr="00F020A1">
        <w:rPr>
          <w:rFonts w:asciiTheme="majorHAnsi" w:hAnsiTheme="majorHAnsi"/>
          <w:sz w:val="16"/>
          <w:szCs w:val="16"/>
          <w:lang w:val="es-CO"/>
        </w:rPr>
        <w:t xml:space="preserve"> Guatemala. Fondo. Sentencia de 29 de abril de 2004. Serie C No. 105</w:t>
      </w:r>
      <w:r w:rsidR="00F020A1">
        <w:rPr>
          <w:rFonts w:asciiTheme="majorHAnsi" w:hAnsiTheme="majorHAnsi"/>
          <w:sz w:val="16"/>
          <w:szCs w:val="16"/>
          <w:lang w:val="es-CO"/>
        </w:rPr>
        <w:t xml:space="preserve">; </w:t>
      </w:r>
      <w:r w:rsidR="0044483F" w:rsidRPr="0044483F">
        <w:rPr>
          <w:rFonts w:asciiTheme="majorHAnsi" w:hAnsiTheme="majorHAnsi"/>
          <w:sz w:val="16"/>
          <w:szCs w:val="16"/>
          <w:lang w:val="es-CO"/>
        </w:rPr>
        <w:t xml:space="preserve">Corte IDH. Caso Maritza Urrutia </w:t>
      </w:r>
      <w:r w:rsidR="00AA570E">
        <w:rPr>
          <w:rFonts w:asciiTheme="majorHAnsi" w:hAnsiTheme="majorHAnsi"/>
          <w:sz w:val="16"/>
          <w:szCs w:val="16"/>
          <w:lang w:val="es-CO"/>
        </w:rPr>
        <w:t>Vs.</w:t>
      </w:r>
      <w:r w:rsidR="0044483F" w:rsidRPr="0044483F">
        <w:rPr>
          <w:rFonts w:asciiTheme="majorHAnsi" w:hAnsiTheme="majorHAnsi"/>
          <w:sz w:val="16"/>
          <w:szCs w:val="16"/>
          <w:lang w:val="es-CO"/>
        </w:rPr>
        <w:t xml:space="preserve"> Guatemala. Fondo, Reparaciones y Costas. Sentencia de 27 de noviembre de 2003. Serie C No. 103</w:t>
      </w:r>
      <w:r w:rsidR="0044483F">
        <w:rPr>
          <w:rFonts w:asciiTheme="majorHAnsi" w:hAnsiTheme="majorHAnsi"/>
          <w:sz w:val="16"/>
          <w:szCs w:val="16"/>
          <w:lang w:val="es-CO"/>
        </w:rPr>
        <w:t xml:space="preserve">; </w:t>
      </w:r>
      <w:r w:rsidR="00B572A5" w:rsidRPr="00B572A5">
        <w:rPr>
          <w:rFonts w:asciiTheme="majorHAnsi" w:hAnsiTheme="majorHAnsi"/>
          <w:sz w:val="16"/>
          <w:szCs w:val="16"/>
          <w:lang w:val="es-CO"/>
        </w:rPr>
        <w:t xml:space="preserve">Corte IDH. Caso Myrna Mack Chang </w:t>
      </w:r>
      <w:r w:rsidR="00AA570E">
        <w:rPr>
          <w:rFonts w:asciiTheme="majorHAnsi" w:hAnsiTheme="majorHAnsi"/>
          <w:sz w:val="16"/>
          <w:szCs w:val="16"/>
          <w:lang w:val="es-CO"/>
        </w:rPr>
        <w:t>Vs.</w:t>
      </w:r>
      <w:r w:rsidR="00B572A5" w:rsidRPr="00B572A5">
        <w:rPr>
          <w:rFonts w:asciiTheme="majorHAnsi" w:hAnsiTheme="majorHAnsi"/>
          <w:sz w:val="16"/>
          <w:szCs w:val="16"/>
          <w:lang w:val="es-CO"/>
        </w:rPr>
        <w:t xml:space="preserve"> Guatemala. Fondo, Reparaciones y Costas. Sentencia de 25 de noviembre de 2003. Serie C No. 101</w:t>
      </w:r>
      <w:r w:rsidR="00B572A5">
        <w:rPr>
          <w:rFonts w:asciiTheme="majorHAnsi" w:hAnsiTheme="majorHAnsi"/>
          <w:sz w:val="16"/>
          <w:szCs w:val="16"/>
          <w:lang w:val="es-CO"/>
        </w:rPr>
        <w:t xml:space="preserve">; </w:t>
      </w:r>
      <w:r w:rsidR="008234FC" w:rsidRPr="008234FC">
        <w:rPr>
          <w:rFonts w:asciiTheme="majorHAnsi" w:hAnsiTheme="majorHAnsi"/>
          <w:sz w:val="16"/>
          <w:szCs w:val="16"/>
          <w:lang w:val="es-CO"/>
        </w:rPr>
        <w:t xml:space="preserve">Corte IDH. Caso Bámaca Velásquez </w:t>
      </w:r>
      <w:r w:rsidR="00AA570E">
        <w:rPr>
          <w:rFonts w:asciiTheme="majorHAnsi" w:hAnsiTheme="majorHAnsi"/>
          <w:sz w:val="16"/>
          <w:szCs w:val="16"/>
          <w:lang w:val="es-CO"/>
        </w:rPr>
        <w:t>Vs.</w:t>
      </w:r>
      <w:r w:rsidR="008234FC" w:rsidRPr="008234FC">
        <w:rPr>
          <w:rFonts w:asciiTheme="majorHAnsi" w:hAnsiTheme="majorHAnsi"/>
          <w:sz w:val="16"/>
          <w:szCs w:val="16"/>
          <w:lang w:val="es-CO"/>
        </w:rPr>
        <w:t xml:space="preserve"> Guatemala. Fondo. Sentencia de 25 de noviembre de 2000. Serie C No. 70</w:t>
      </w:r>
      <w:r w:rsidR="008234FC">
        <w:rPr>
          <w:rFonts w:asciiTheme="majorHAnsi" w:hAnsiTheme="majorHAnsi"/>
          <w:sz w:val="16"/>
          <w:szCs w:val="16"/>
          <w:lang w:val="es-CO"/>
        </w:rPr>
        <w:t xml:space="preserve">; </w:t>
      </w:r>
      <w:r w:rsidR="00B60328" w:rsidRPr="00B60328">
        <w:rPr>
          <w:rFonts w:asciiTheme="majorHAnsi" w:hAnsiTheme="majorHAnsi"/>
          <w:sz w:val="16"/>
          <w:szCs w:val="16"/>
          <w:lang w:val="es-CO"/>
        </w:rPr>
        <w:t xml:space="preserve">Corte IDH. Caso de la “Panel Blanca” (Paniagua Morales y otros) </w:t>
      </w:r>
      <w:r w:rsidR="00AA570E">
        <w:rPr>
          <w:rFonts w:asciiTheme="majorHAnsi" w:hAnsiTheme="majorHAnsi"/>
          <w:sz w:val="16"/>
          <w:szCs w:val="16"/>
          <w:lang w:val="es-CO"/>
        </w:rPr>
        <w:t>Vs.</w:t>
      </w:r>
      <w:r w:rsidR="00B60328" w:rsidRPr="00B60328">
        <w:rPr>
          <w:rFonts w:asciiTheme="majorHAnsi" w:hAnsiTheme="majorHAnsi"/>
          <w:sz w:val="16"/>
          <w:szCs w:val="16"/>
          <w:lang w:val="es-CO"/>
        </w:rPr>
        <w:t xml:space="preserve"> Guatemala. Fondo. Sentencia de 8 de marzo de 1998. Serie C No. 37</w:t>
      </w:r>
      <w:r w:rsidR="00B60328">
        <w:rPr>
          <w:rFonts w:asciiTheme="majorHAnsi" w:hAnsiTheme="majorHAnsi"/>
          <w:sz w:val="16"/>
          <w:szCs w:val="16"/>
          <w:lang w:val="es-CO"/>
        </w:rPr>
        <w:t>;</w:t>
      </w:r>
      <w:r w:rsidR="008B08A7">
        <w:rPr>
          <w:rFonts w:asciiTheme="majorHAnsi" w:hAnsiTheme="majorHAnsi"/>
          <w:sz w:val="16"/>
          <w:szCs w:val="16"/>
          <w:lang w:val="es-CO"/>
        </w:rPr>
        <w:t xml:space="preserve"> </w:t>
      </w:r>
      <w:r w:rsidR="008B08A7" w:rsidRPr="008B08A7">
        <w:rPr>
          <w:rFonts w:asciiTheme="majorHAnsi" w:hAnsiTheme="majorHAnsi"/>
          <w:sz w:val="16"/>
          <w:szCs w:val="16"/>
          <w:lang w:val="es-CO"/>
        </w:rPr>
        <w:t xml:space="preserve">Corte IDH. Caso Blake </w:t>
      </w:r>
      <w:r w:rsidR="00AA570E">
        <w:rPr>
          <w:rFonts w:asciiTheme="majorHAnsi" w:hAnsiTheme="majorHAnsi"/>
          <w:sz w:val="16"/>
          <w:szCs w:val="16"/>
          <w:lang w:val="es-CO"/>
        </w:rPr>
        <w:t>Vs.</w:t>
      </w:r>
      <w:r w:rsidR="008B08A7" w:rsidRPr="008B08A7">
        <w:rPr>
          <w:rFonts w:asciiTheme="majorHAnsi" w:hAnsiTheme="majorHAnsi"/>
          <w:sz w:val="16"/>
          <w:szCs w:val="16"/>
          <w:lang w:val="es-CO"/>
        </w:rPr>
        <w:t xml:space="preserve"> Guatemala. Fondo. Sentencia de 24 de enero de 1998. Serie C No. 36</w:t>
      </w:r>
      <w:r w:rsidR="00167407">
        <w:rPr>
          <w:rFonts w:asciiTheme="majorHAnsi" w:hAnsiTheme="majorHAnsi"/>
          <w:sz w:val="16"/>
          <w:szCs w:val="16"/>
          <w:lang w:val="es-CO"/>
        </w:rPr>
        <w:t>;</w:t>
      </w:r>
      <w:r w:rsidR="00B60328">
        <w:rPr>
          <w:rFonts w:asciiTheme="majorHAnsi" w:hAnsiTheme="majorHAnsi"/>
          <w:sz w:val="16"/>
          <w:szCs w:val="16"/>
          <w:lang w:val="es-CO"/>
        </w:rPr>
        <w:t xml:space="preserve"> </w:t>
      </w:r>
      <w:r w:rsidR="008B08A7">
        <w:rPr>
          <w:rFonts w:asciiTheme="majorHAnsi" w:hAnsiTheme="majorHAnsi"/>
          <w:sz w:val="16"/>
          <w:szCs w:val="16"/>
          <w:lang w:val="es-CO"/>
        </w:rPr>
        <w:t xml:space="preserve">y </w:t>
      </w:r>
      <w:r w:rsidR="009952C4" w:rsidRPr="009952C4">
        <w:rPr>
          <w:rFonts w:asciiTheme="majorHAnsi" w:hAnsiTheme="majorHAnsi"/>
          <w:sz w:val="16"/>
          <w:szCs w:val="16"/>
          <w:lang w:val="es-CO"/>
        </w:rPr>
        <w:t xml:space="preserve">Corte IDH. Caso de los “Niños de la Calle” (Villagrán Morales y otros) </w:t>
      </w:r>
      <w:r w:rsidR="00AA570E">
        <w:rPr>
          <w:rFonts w:asciiTheme="majorHAnsi" w:hAnsiTheme="majorHAnsi"/>
          <w:sz w:val="16"/>
          <w:szCs w:val="16"/>
          <w:lang w:val="es-CO"/>
        </w:rPr>
        <w:t>Vs.</w:t>
      </w:r>
      <w:r w:rsidR="009952C4" w:rsidRPr="009952C4">
        <w:rPr>
          <w:rFonts w:asciiTheme="majorHAnsi" w:hAnsiTheme="majorHAnsi"/>
          <w:sz w:val="16"/>
          <w:szCs w:val="16"/>
          <w:lang w:val="es-CO"/>
        </w:rPr>
        <w:t xml:space="preserve"> Guatemala. Excepciones Preliminares. Sentencia de 11 de septiembre de 1997. Serie C No. 32</w:t>
      </w:r>
      <w:r w:rsidR="008B08A7">
        <w:rPr>
          <w:rFonts w:asciiTheme="majorHAnsi" w:hAnsiTheme="majorHAnsi"/>
          <w:sz w:val="16"/>
          <w:szCs w:val="16"/>
          <w:lang w:val="es-CO"/>
        </w:rPr>
        <w:t>.</w:t>
      </w:r>
    </w:p>
  </w:footnote>
  <w:footnote w:id="27">
    <w:p w14:paraId="4A3E41F6" w14:textId="27583A63" w:rsidR="00F624F3" w:rsidRPr="00ED1245" w:rsidRDefault="00F624F3" w:rsidP="00F624F3">
      <w:pPr>
        <w:pStyle w:val="FootnoteText"/>
        <w:ind w:firstLine="720"/>
        <w:jc w:val="both"/>
        <w:rPr>
          <w:rFonts w:asciiTheme="majorHAnsi" w:hAnsiTheme="majorHAnsi"/>
          <w:lang w:val="es-CO"/>
        </w:rPr>
      </w:pPr>
      <w:r w:rsidRPr="00F624F3">
        <w:rPr>
          <w:rStyle w:val="FootnoteReference"/>
          <w:rFonts w:asciiTheme="majorHAnsi" w:hAnsiTheme="majorHAnsi"/>
          <w:sz w:val="16"/>
          <w:szCs w:val="16"/>
        </w:rPr>
        <w:footnoteRef/>
      </w:r>
      <w:r w:rsidRPr="00ED1245">
        <w:rPr>
          <w:rFonts w:asciiTheme="majorHAnsi" w:hAnsiTheme="majorHAnsi"/>
          <w:sz w:val="16"/>
          <w:szCs w:val="16"/>
          <w:lang w:val="es-CO"/>
        </w:rPr>
        <w:t xml:space="preserve"> </w:t>
      </w:r>
      <w:r w:rsidR="00ED1245" w:rsidRPr="00ED1245">
        <w:rPr>
          <w:rFonts w:asciiTheme="majorHAnsi" w:hAnsiTheme="majorHAnsi"/>
          <w:sz w:val="16"/>
          <w:szCs w:val="16"/>
          <w:lang w:val="es-CO"/>
        </w:rPr>
        <w:t>Corte IDH. Caso Cabrera García y Montiel Flores Vs. México. Excepción Preliminar, Fondo, Reparaciones y Costas. Sentencia de 26 de noviembre de 2010. Serie C No. 220</w:t>
      </w:r>
      <w:r w:rsidR="00ED1245">
        <w:rPr>
          <w:rFonts w:asciiTheme="majorHAnsi" w:hAnsiTheme="majorHAnsi"/>
          <w:sz w:val="16"/>
          <w:szCs w:val="16"/>
          <w:lang w:val="es-CO"/>
        </w:rPr>
        <w:t>, párr. 18.</w:t>
      </w:r>
    </w:p>
  </w:footnote>
  <w:footnote w:id="28">
    <w:p w14:paraId="07642803" w14:textId="6D3393CF" w:rsidR="003067F2" w:rsidRPr="00A02E70" w:rsidRDefault="003067F2" w:rsidP="003067F2">
      <w:pPr>
        <w:pStyle w:val="FootnoteText"/>
        <w:ind w:firstLine="720"/>
        <w:jc w:val="both"/>
        <w:rPr>
          <w:rFonts w:asciiTheme="majorHAnsi" w:hAnsiTheme="majorHAnsi"/>
          <w:sz w:val="16"/>
          <w:szCs w:val="16"/>
          <w:lang w:val="es-CO"/>
        </w:rPr>
      </w:pPr>
      <w:r w:rsidRPr="003067F2">
        <w:rPr>
          <w:rStyle w:val="FootnoteReference"/>
          <w:rFonts w:asciiTheme="majorHAnsi" w:hAnsiTheme="majorHAnsi"/>
          <w:sz w:val="16"/>
          <w:szCs w:val="16"/>
        </w:rPr>
        <w:footnoteRef/>
      </w:r>
      <w:r w:rsidRPr="00A02E70">
        <w:rPr>
          <w:rFonts w:asciiTheme="majorHAnsi" w:hAnsiTheme="majorHAnsi"/>
          <w:sz w:val="16"/>
          <w:szCs w:val="16"/>
          <w:lang w:val="es-CO"/>
        </w:rPr>
        <w:t xml:space="preserve"> </w:t>
      </w:r>
      <w:r w:rsidR="00A02E70" w:rsidRPr="00A02E70">
        <w:rPr>
          <w:rFonts w:asciiTheme="majorHAnsi" w:hAnsiTheme="majorHAnsi"/>
          <w:i/>
          <w:iCs/>
          <w:sz w:val="16"/>
          <w:szCs w:val="16"/>
          <w:lang w:val="es-CO"/>
        </w:rPr>
        <w:t>Cfr.</w:t>
      </w:r>
      <w:r w:rsidR="00A02E70">
        <w:rPr>
          <w:rFonts w:asciiTheme="majorHAnsi" w:hAnsiTheme="majorHAnsi"/>
          <w:sz w:val="16"/>
          <w:szCs w:val="16"/>
          <w:lang w:val="es-CO"/>
        </w:rPr>
        <w:t xml:space="preserve"> </w:t>
      </w:r>
      <w:r w:rsidR="00A02E70" w:rsidRPr="00A02E70">
        <w:rPr>
          <w:rFonts w:asciiTheme="majorHAnsi" w:hAnsiTheme="majorHAnsi"/>
          <w:sz w:val="16"/>
          <w:szCs w:val="16"/>
          <w:lang w:val="es-CO"/>
        </w:rPr>
        <w:t>Corte IDH. Caso Valencia Hinojosa y otra Vs. Ecuador. Excepciones Preliminares, Fondo, Reparaciones y Costas. Sentencia de 29 de noviembre de 2016. Serie C No. 327</w:t>
      </w:r>
      <w:r w:rsidR="00A02E70">
        <w:rPr>
          <w:rFonts w:asciiTheme="majorHAnsi" w:hAnsiTheme="majorHAnsi"/>
          <w:sz w:val="16"/>
          <w:szCs w:val="16"/>
          <w:lang w:val="es-CO"/>
        </w:rPr>
        <w:t>, párr. 2.</w:t>
      </w:r>
    </w:p>
  </w:footnote>
  <w:footnote w:id="29">
    <w:p w14:paraId="28E22F5E" w14:textId="77777777" w:rsidR="00D94C8B" w:rsidRPr="00687351" w:rsidRDefault="00D94C8B"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CIDH, Informe No. 70/19. Petición 858-09. Admisibilidad. </w:t>
      </w:r>
      <w:r w:rsidRPr="00764A9A">
        <w:rPr>
          <w:rFonts w:asciiTheme="majorHAnsi" w:hAnsiTheme="majorHAnsi"/>
          <w:sz w:val="16"/>
          <w:szCs w:val="16"/>
          <w:lang w:val="pt-BR"/>
        </w:rPr>
        <w:t xml:space="preserve">Luiz José da Cunha “Crioulo” y familia. </w:t>
      </w:r>
      <w:r w:rsidRPr="00687351">
        <w:rPr>
          <w:rFonts w:asciiTheme="majorHAnsi" w:hAnsiTheme="majorHAnsi"/>
          <w:sz w:val="16"/>
          <w:szCs w:val="16"/>
          <w:lang w:val="es-CO"/>
        </w:rPr>
        <w:t>Brasil. 5 de mayo de 2019, párr. 12.</w:t>
      </w:r>
    </w:p>
  </w:footnote>
  <w:footnote w:id="30">
    <w:p w14:paraId="6602F580" w14:textId="6BA9843A" w:rsidR="00D86E69" w:rsidRPr="00687351" w:rsidRDefault="00D86E69"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CIDH, Informe No. 70/19. Petición 858-09. Admisibilidad. </w:t>
      </w:r>
      <w:r w:rsidRPr="00687351">
        <w:rPr>
          <w:rFonts w:asciiTheme="majorHAnsi" w:hAnsiTheme="majorHAnsi"/>
          <w:sz w:val="16"/>
          <w:szCs w:val="16"/>
          <w:lang w:val="pt-BR"/>
        </w:rPr>
        <w:t xml:space="preserve">Luiz José da Cunha “Crioulo” y familia. </w:t>
      </w:r>
      <w:r w:rsidRPr="00687351">
        <w:rPr>
          <w:rFonts w:asciiTheme="majorHAnsi" w:hAnsiTheme="majorHAnsi"/>
          <w:sz w:val="16"/>
          <w:szCs w:val="16"/>
          <w:lang w:val="es-CO"/>
        </w:rPr>
        <w:t>Brasil. 5 de mayo de 2019, párr. 12.</w:t>
      </w:r>
    </w:p>
  </w:footnote>
  <w:footnote w:id="31">
    <w:p w14:paraId="4F4540F3" w14:textId="77777777" w:rsidR="00453413" w:rsidRPr="00687351" w:rsidRDefault="00453413" w:rsidP="00687351">
      <w:pPr>
        <w:pStyle w:val="FootnoteText"/>
        <w:ind w:firstLine="720"/>
        <w:jc w:val="both"/>
        <w:rPr>
          <w:rFonts w:asciiTheme="majorHAnsi" w:hAnsiTheme="majorHAnsi"/>
          <w:sz w:val="16"/>
          <w:szCs w:val="16"/>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CIDH, Informe No. 65/05, Petición 777-01. Admisibilidad. Rosendo Radilla Pacheco. México. 12 de octubre de 2005, párr. </w:t>
      </w:r>
      <w:r w:rsidRPr="00687351">
        <w:rPr>
          <w:rFonts w:asciiTheme="majorHAnsi" w:hAnsiTheme="majorHAnsi"/>
          <w:sz w:val="16"/>
          <w:szCs w:val="16"/>
          <w:lang w:val="es-ES"/>
        </w:rPr>
        <w:t>16.</w:t>
      </w:r>
    </w:p>
  </w:footnote>
  <w:footnote w:id="32">
    <w:p w14:paraId="59F85649" w14:textId="77777777" w:rsidR="009D0609" w:rsidRPr="009727B0" w:rsidRDefault="009D0609" w:rsidP="009D0609">
      <w:pPr>
        <w:pStyle w:val="FootnoteText"/>
        <w:ind w:firstLine="720"/>
        <w:jc w:val="both"/>
        <w:rPr>
          <w:rFonts w:asciiTheme="majorHAnsi" w:hAnsiTheme="majorHAnsi"/>
          <w:lang w:val="es-CO"/>
        </w:rPr>
      </w:pPr>
      <w:r w:rsidRPr="00687351">
        <w:rPr>
          <w:rStyle w:val="FootnoteReference"/>
          <w:rFonts w:asciiTheme="majorHAnsi" w:hAnsiTheme="majorHAnsi"/>
          <w:sz w:val="16"/>
          <w:szCs w:val="16"/>
        </w:rPr>
        <w:footnoteRef/>
      </w:r>
      <w:r w:rsidRPr="00687351">
        <w:rPr>
          <w:rFonts w:asciiTheme="majorHAnsi" w:hAnsiTheme="majorHAnsi"/>
          <w:sz w:val="16"/>
          <w:szCs w:val="16"/>
          <w:lang w:val="es-CO"/>
        </w:rPr>
        <w:t xml:space="preserve"> Véase Foro Permanente para las Cuestiones Indígenas de la Organización Internacional del Trabajo. Informe temático </w:t>
      </w:r>
      <w:r w:rsidRPr="00687351">
        <w:rPr>
          <w:rFonts w:asciiTheme="majorHAnsi" w:hAnsiTheme="majorHAnsi"/>
          <w:i/>
          <w:iCs/>
          <w:sz w:val="16"/>
          <w:szCs w:val="16"/>
          <w:lang w:val="es-CO"/>
        </w:rPr>
        <w:t>El Trabajo Forzoso y los Pueblos Indígenas</w:t>
      </w:r>
      <w:r w:rsidRPr="00687351">
        <w:rPr>
          <w:rFonts w:asciiTheme="majorHAnsi" w:hAnsiTheme="majorHAnsi"/>
          <w:sz w:val="16"/>
          <w:szCs w:val="16"/>
          <w:lang w:val="es-CO"/>
        </w:rPr>
        <w:t>,</w:t>
      </w:r>
      <w:r>
        <w:rPr>
          <w:rFonts w:asciiTheme="majorHAnsi" w:hAnsiTheme="majorHAnsi"/>
          <w:sz w:val="16"/>
          <w:szCs w:val="16"/>
          <w:lang w:val="es-CO"/>
        </w:rPr>
        <w:t xml:space="preserve"> </w:t>
      </w:r>
      <w:r w:rsidRPr="009727B0">
        <w:rPr>
          <w:rFonts w:asciiTheme="majorHAnsi" w:hAnsiTheme="majorHAnsi"/>
          <w:sz w:val="16"/>
          <w:szCs w:val="16"/>
          <w:lang w:val="es-CO"/>
        </w:rPr>
        <w:t>E/C.19/2011/CRP.4</w:t>
      </w:r>
      <w:r>
        <w:rPr>
          <w:rFonts w:asciiTheme="majorHAnsi" w:hAnsiTheme="majorHAnsi"/>
          <w:sz w:val="16"/>
          <w:szCs w:val="16"/>
          <w:lang w:val="es-CO"/>
        </w:rPr>
        <w:t>, 5 de abril de 2011, párrs. 24 y ss.</w:t>
      </w:r>
    </w:p>
  </w:footnote>
  <w:footnote w:id="33">
    <w:p w14:paraId="5FE7E53F" w14:textId="54DF080B" w:rsidR="009F2007" w:rsidRPr="00B95202" w:rsidRDefault="009F2007" w:rsidP="00B95202">
      <w:pPr>
        <w:pStyle w:val="FootnoteText"/>
        <w:ind w:firstLine="720"/>
        <w:jc w:val="both"/>
        <w:rPr>
          <w:rFonts w:asciiTheme="majorHAnsi" w:hAnsiTheme="majorHAnsi"/>
          <w:lang w:val="es-CO"/>
        </w:rPr>
      </w:pPr>
      <w:r w:rsidRPr="009F2007">
        <w:rPr>
          <w:rStyle w:val="FootnoteReference"/>
          <w:rFonts w:asciiTheme="majorHAnsi" w:hAnsiTheme="majorHAnsi"/>
          <w:sz w:val="16"/>
          <w:szCs w:val="16"/>
        </w:rPr>
        <w:footnoteRef/>
      </w:r>
      <w:r w:rsidRPr="009F2007">
        <w:rPr>
          <w:rFonts w:asciiTheme="majorHAnsi" w:hAnsiTheme="majorHAnsi"/>
          <w:sz w:val="16"/>
          <w:szCs w:val="16"/>
          <w:lang w:val="es-CO"/>
        </w:rPr>
        <w:t xml:space="preserve"> Corte IDH. Caso Mujeres Víctimas de Tortura Sexual en Atenco </w:t>
      </w:r>
      <w:r w:rsidR="00AA570E">
        <w:rPr>
          <w:rFonts w:asciiTheme="majorHAnsi" w:hAnsiTheme="majorHAnsi"/>
          <w:sz w:val="16"/>
          <w:szCs w:val="16"/>
          <w:lang w:val="es-CO"/>
        </w:rPr>
        <w:t>Vs.</w:t>
      </w:r>
      <w:r w:rsidRPr="009F2007">
        <w:rPr>
          <w:rFonts w:asciiTheme="majorHAnsi" w:hAnsiTheme="majorHAnsi"/>
          <w:sz w:val="16"/>
          <w:szCs w:val="16"/>
          <w:lang w:val="es-CO"/>
        </w:rPr>
        <w:t xml:space="preserve"> México. Excepción Preliminar, Fondo, Reparaciones y Costas. Sentencia de 28 de noviembre de 2018. </w:t>
      </w:r>
      <w:r w:rsidRPr="00B95202">
        <w:rPr>
          <w:rFonts w:asciiTheme="majorHAnsi" w:hAnsiTheme="majorHAnsi"/>
          <w:sz w:val="16"/>
          <w:szCs w:val="16"/>
          <w:lang w:val="es-CO"/>
        </w:rPr>
        <w:t>Serie C No. 371, párr. 183</w:t>
      </w:r>
      <w:r w:rsidR="00B95202" w:rsidRPr="00B95202">
        <w:rPr>
          <w:rFonts w:asciiTheme="majorHAnsi" w:hAnsiTheme="majorHAnsi"/>
          <w:sz w:val="16"/>
          <w:szCs w:val="16"/>
          <w:lang w:val="es-CO"/>
        </w:rPr>
        <w:t xml:space="preserve">; </w:t>
      </w:r>
      <w:r w:rsidR="005D5B3C">
        <w:rPr>
          <w:rFonts w:asciiTheme="majorHAnsi" w:hAnsiTheme="majorHAnsi"/>
          <w:sz w:val="16"/>
          <w:szCs w:val="16"/>
          <w:lang w:val="es-CO"/>
        </w:rPr>
        <w:t xml:space="preserve">Corte IDH. </w:t>
      </w:r>
      <w:r w:rsidR="00B95202" w:rsidRPr="00B95202">
        <w:rPr>
          <w:rFonts w:asciiTheme="majorHAnsi" w:hAnsiTheme="majorHAnsi"/>
          <w:sz w:val="16"/>
          <w:szCs w:val="16"/>
          <w:lang w:val="es-CO"/>
        </w:rPr>
        <w:t xml:space="preserve">Caso López Soto y otros </w:t>
      </w:r>
      <w:r w:rsidR="00AA570E">
        <w:rPr>
          <w:rFonts w:asciiTheme="majorHAnsi" w:hAnsiTheme="majorHAnsi"/>
          <w:sz w:val="16"/>
          <w:szCs w:val="16"/>
          <w:lang w:val="es-CO"/>
        </w:rPr>
        <w:t>vs.</w:t>
      </w:r>
      <w:r w:rsidR="00B95202" w:rsidRPr="00B95202">
        <w:rPr>
          <w:rFonts w:asciiTheme="majorHAnsi" w:hAnsiTheme="majorHAnsi"/>
          <w:sz w:val="16"/>
          <w:szCs w:val="16"/>
          <w:lang w:val="es-CO"/>
        </w:rPr>
        <w:t xml:space="preserve"> Venezuela. Fondo, Reparaciones y Costas. Sentencia de 26 de septiembre de 2018. Serie C No. 362, párr. 187</w:t>
      </w:r>
      <w:r w:rsidR="00B95202">
        <w:rPr>
          <w:rFonts w:asciiTheme="majorHAnsi" w:hAnsiTheme="majorHAnsi"/>
          <w:sz w:val="16"/>
          <w:szCs w:val="16"/>
          <w:lang w:val="es-CO"/>
        </w:rPr>
        <w:t xml:space="preserve">; y </w:t>
      </w:r>
      <w:r w:rsidR="005D5B3C">
        <w:rPr>
          <w:rFonts w:asciiTheme="majorHAnsi" w:hAnsiTheme="majorHAnsi"/>
          <w:sz w:val="16"/>
          <w:szCs w:val="16"/>
          <w:lang w:val="es-CO"/>
        </w:rPr>
        <w:t xml:space="preserve">Corte IDH. </w:t>
      </w:r>
      <w:r w:rsidR="00B95202" w:rsidRPr="00B95202">
        <w:rPr>
          <w:rFonts w:asciiTheme="majorHAnsi" w:hAnsiTheme="majorHAnsi"/>
          <w:sz w:val="16"/>
          <w:szCs w:val="16"/>
          <w:lang w:val="es-CO"/>
        </w:rPr>
        <w:t xml:space="preserve">Caso Fernández Ortega y otros </w:t>
      </w:r>
      <w:r w:rsidR="00AA570E">
        <w:rPr>
          <w:rFonts w:asciiTheme="majorHAnsi" w:hAnsiTheme="majorHAnsi"/>
          <w:sz w:val="16"/>
          <w:szCs w:val="16"/>
          <w:lang w:val="es-CO"/>
        </w:rPr>
        <w:t>vs.</w:t>
      </w:r>
      <w:r w:rsidR="00B95202" w:rsidRPr="00B95202">
        <w:rPr>
          <w:rFonts w:asciiTheme="majorHAnsi" w:hAnsiTheme="majorHAnsi"/>
          <w:sz w:val="16"/>
          <w:szCs w:val="16"/>
          <w:lang w:val="es-CO"/>
        </w:rPr>
        <w:t xml:space="preserve"> México. Excepción Preliminar, Fondo, Reparaciones y Costas. Sentencia de 30 de</w:t>
      </w:r>
      <w:r w:rsidR="00B95202">
        <w:rPr>
          <w:rFonts w:asciiTheme="majorHAnsi" w:hAnsiTheme="majorHAnsi"/>
          <w:sz w:val="16"/>
          <w:szCs w:val="16"/>
          <w:lang w:val="es-CO"/>
        </w:rPr>
        <w:t xml:space="preserve"> </w:t>
      </w:r>
      <w:r w:rsidR="00B95202" w:rsidRPr="00B95202">
        <w:rPr>
          <w:rFonts w:asciiTheme="majorHAnsi" w:hAnsiTheme="majorHAnsi"/>
          <w:sz w:val="16"/>
          <w:szCs w:val="16"/>
          <w:lang w:val="es-CO"/>
        </w:rPr>
        <w:t>agosto de 2010. Serie C No. 215, párr. 119</w:t>
      </w:r>
      <w:r w:rsidR="00B95202">
        <w:rPr>
          <w:rFonts w:asciiTheme="majorHAnsi" w:hAnsiTheme="majorHAnsi"/>
          <w:sz w:val="16"/>
          <w:szCs w:val="16"/>
          <w:lang w:val="es-CO"/>
        </w:rPr>
        <w:t>.</w:t>
      </w:r>
    </w:p>
  </w:footnote>
  <w:footnote w:id="34">
    <w:p w14:paraId="5EF64C07" w14:textId="753D08FD" w:rsidR="00FA562D" w:rsidRPr="00184409" w:rsidRDefault="00FA562D" w:rsidP="00147C94">
      <w:pPr>
        <w:pStyle w:val="FootnoteText"/>
        <w:ind w:firstLine="720"/>
        <w:jc w:val="both"/>
        <w:rPr>
          <w:rFonts w:asciiTheme="majorHAnsi" w:hAnsiTheme="majorHAnsi"/>
          <w:lang w:val="es-ES"/>
        </w:rPr>
      </w:pPr>
      <w:r w:rsidRPr="00FA562D">
        <w:rPr>
          <w:rStyle w:val="FootnoteReference"/>
          <w:rFonts w:asciiTheme="majorHAnsi" w:hAnsiTheme="majorHAnsi"/>
          <w:sz w:val="16"/>
          <w:szCs w:val="16"/>
        </w:rPr>
        <w:footnoteRef/>
      </w:r>
      <w:r w:rsidRPr="00522626">
        <w:rPr>
          <w:rFonts w:asciiTheme="majorHAnsi" w:hAnsiTheme="majorHAnsi"/>
          <w:sz w:val="16"/>
          <w:szCs w:val="16"/>
          <w:lang w:val="es-CO"/>
        </w:rPr>
        <w:t xml:space="preserve"> </w:t>
      </w:r>
      <w:r w:rsidR="00522626" w:rsidRPr="00522626">
        <w:rPr>
          <w:rFonts w:asciiTheme="majorHAnsi" w:hAnsiTheme="majorHAnsi"/>
          <w:sz w:val="16"/>
          <w:szCs w:val="16"/>
          <w:lang w:val="es-CO"/>
        </w:rPr>
        <w:t xml:space="preserve">Corte IDH. Caso Bedoya Lima y otra </w:t>
      </w:r>
      <w:r w:rsidR="00AA570E">
        <w:rPr>
          <w:rFonts w:asciiTheme="majorHAnsi" w:hAnsiTheme="majorHAnsi"/>
          <w:sz w:val="16"/>
          <w:szCs w:val="16"/>
          <w:lang w:val="es-CO"/>
        </w:rPr>
        <w:t>vs.</w:t>
      </w:r>
      <w:r w:rsidR="00522626" w:rsidRPr="00522626">
        <w:rPr>
          <w:rFonts w:asciiTheme="majorHAnsi" w:hAnsiTheme="majorHAnsi"/>
          <w:sz w:val="16"/>
          <w:szCs w:val="16"/>
          <w:lang w:val="es-CO"/>
        </w:rPr>
        <w:t xml:space="preserve"> Colombia. Fondo, Reparaciones y Costas. </w:t>
      </w:r>
      <w:r w:rsidR="00522626" w:rsidRPr="00147C94">
        <w:rPr>
          <w:rFonts w:asciiTheme="majorHAnsi" w:hAnsiTheme="majorHAnsi"/>
          <w:sz w:val="16"/>
          <w:szCs w:val="16"/>
          <w:lang w:val="es-CO"/>
        </w:rPr>
        <w:t xml:space="preserve">Sentencia de 26 de agosto de 2021. Serie C No. 431, párr.  101; </w:t>
      </w:r>
      <w:r w:rsidR="00147C94" w:rsidRPr="00147C94">
        <w:rPr>
          <w:rFonts w:asciiTheme="majorHAnsi" w:hAnsiTheme="majorHAnsi"/>
          <w:sz w:val="16"/>
          <w:szCs w:val="16"/>
          <w:lang w:val="es-CO"/>
        </w:rPr>
        <w:t xml:space="preserve">Caso Azul Rojas Marín </w:t>
      </w:r>
      <w:r w:rsidR="00B539F1" w:rsidRPr="00B539F1">
        <w:rPr>
          <w:rFonts w:asciiTheme="majorHAnsi" w:hAnsiTheme="majorHAnsi"/>
          <w:sz w:val="16"/>
          <w:szCs w:val="16"/>
          <w:lang w:val="es-CO"/>
        </w:rPr>
        <w:t xml:space="preserve">y otra </w:t>
      </w:r>
      <w:r w:rsidR="00AA570E">
        <w:rPr>
          <w:rFonts w:asciiTheme="majorHAnsi" w:hAnsiTheme="majorHAnsi"/>
          <w:sz w:val="16"/>
          <w:szCs w:val="16"/>
          <w:lang w:val="es-CO"/>
        </w:rPr>
        <w:t>vs.</w:t>
      </w:r>
      <w:r w:rsidR="00B539F1" w:rsidRPr="00B539F1">
        <w:rPr>
          <w:rFonts w:asciiTheme="majorHAnsi" w:hAnsiTheme="majorHAnsi"/>
          <w:sz w:val="16"/>
          <w:szCs w:val="16"/>
          <w:lang w:val="es-CO"/>
        </w:rPr>
        <w:t xml:space="preserve"> Perú. Excepciones Preliminares, Fondo, Reparaciones y Costas. Sentencia de 12 de marzo de 2020. Serie C No. 402</w:t>
      </w:r>
      <w:r w:rsidR="00B539F1">
        <w:rPr>
          <w:rFonts w:asciiTheme="majorHAnsi" w:hAnsiTheme="majorHAnsi"/>
          <w:sz w:val="16"/>
          <w:szCs w:val="16"/>
          <w:lang w:val="es-CO"/>
        </w:rPr>
        <w:t xml:space="preserve">, </w:t>
      </w:r>
      <w:r w:rsidR="00147C94" w:rsidRPr="00147C94">
        <w:rPr>
          <w:rFonts w:asciiTheme="majorHAnsi" w:hAnsiTheme="majorHAnsi"/>
          <w:sz w:val="16"/>
          <w:szCs w:val="16"/>
          <w:lang w:val="es-CO"/>
        </w:rPr>
        <w:t xml:space="preserve">párr. </w:t>
      </w:r>
      <w:r w:rsidR="00147C94" w:rsidRPr="00B539F1">
        <w:rPr>
          <w:rFonts w:asciiTheme="majorHAnsi" w:hAnsiTheme="majorHAnsi"/>
          <w:sz w:val="16"/>
          <w:szCs w:val="16"/>
          <w:lang w:val="es-CO"/>
        </w:rPr>
        <w:t xml:space="preserve">160; y </w:t>
      </w:r>
      <w:r w:rsidR="00147C94" w:rsidRPr="00147C94">
        <w:rPr>
          <w:rFonts w:asciiTheme="majorHAnsi" w:hAnsiTheme="majorHAnsi"/>
          <w:sz w:val="16"/>
          <w:szCs w:val="16"/>
          <w:lang w:val="es-CO"/>
        </w:rPr>
        <w:t xml:space="preserve">Caso del Penal Miguel Castro Castro </w:t>
      </w:r>
      <w:r w:rsidR="00AA570E">
        <w:rPr>
          <w:rFonts w:asciiTheme="majorHAnsi" w:hAnsiTheme="majorHAnsi"/>
          <w:sz w:val="16"/>
          <w:szCs w:val="16"/>
          <w:lang w:val="es-CO"/>
        </w:rPr>
        <w:t>Vs.</w:t>
      </w:r>
      <w:r w:rsidR="00147C94" w:rsidRPr="00147C94">
        <w:rPr>
          <w:rFonts w:asciiTheme="majorHAnsi" w:hAnsiTheme="majorHAnsi"/>
          <w:sz w:val="16"/>
          <w:szCs w:val="16"/>
          <w:lang w:val="es-CO"/>
        </w:rPr>
        <w:t xml:space="preserve"> Perú</w:t>
      </w:r>
      <w:r w:rsidR="00A42E75">
        <w:rPr>
          <w:rFonts w:asciiTheme="majorHAnsi" w:hAnsiTheme="majorHAnsi"/>
          <w:sz w:val="16"/>
          <w:szCs w:val="16"/>
          <w:lang w:val="es-CO"/>
        </w:rPr>
        <w:t>.</w:t>
      </w:r>
      <w:r w:rsidR="00147C94" w:rsidRPr="00147C94">
        <w:rPr>
          <w:rFonts w:asciiTheme="majorHAnsi" w:hAnsiTheme="majorHAnsi"/>
          <w:sz w:val="16"/>
          <w:szCs w:val="16"/>
          <w:lang w:val="es-CO"/>
        </w:rPr>
        <w:t xml:space="preserve"> </w:t>
      </w:r>
      <w:r w:rsidR="00A42E75" w:rsidRPr="00A42E75">
        <w:rPr>
          <w:rFonts w:asciiTheme="majorHAnsi" w:hAnsiTheme="majorHAnsi"/>
          <w:sz w:val="16"/>
          <w:szCs w:val="16"/>
          <w:lang w:val="es-CO"/>
        </w:rPr>
        <w:t xml:space="preserve">Fondo, Reparaciones y Costas. Sentencia de 25 de noviembre de 2006. </w:t>
      </w:r>
      <w:r w:rsidR="00A42E75" w:rsidRPr="00184409">
        <w:rPr>
          <w:rFonts w:asciiTheme="majorHAnsi" w:hAnsiTheme="majorHAnsi"/>
          <w:sz w:val="16"/>
          <w:szCs w:val="16"/>
          <w:lang w:val="es-ES"/>
        </w:rPr>
        <w:t>Serie C No. 160</w:t>
      </w:r>
      <w:r w:rsidR="00147C94" w:rsidRPr="00184409">
        <w:rPr>
          <w:rFonts w:asciiTheme="majorHAnsi" w:hAnsiTheme="majorHAnsi"/>
          <w:sz w:val="16"/>
          <w:szCs w:val="16"/>
          <w:lang w:val="es-ES"/>
        </w:rPr>
        <w:t>, párr. 312.</w:t>
      </w:r>
    </w:p>
  </w:footnote>
  <w:footnote w:id="35">
    <w:p w14:paraId="730E5326" w14:textId="5A1F4948" w:rsidR="00524477" w:rsidRPr="00524477" w:rsidRDefault="00524477" w:rsidP="00524477">
      <w:pPr>
        <w:pStyle w:val="FootnoteText"/>
        <w:ind w:firstLine="720"/>
        <w:jc w:val="both"/>
        <w:rPr>
          <w:rFonts w:asciiTheme="majorHAnsi" w:hAnsiTheme="majorHAnsi"/>
          <w:lang w:val="es-CO"/>
        </w:rPr>
      </w:pPr>
      <w:r w:rsidRPr="00524477">
        <w:rPr>
          <w:rStyle w:val="FootnoteReference"/>
          <w:rFonts w:asciiTheme="majorHAnsi" w:hAnsiTheme="majorHAnsi"/>
          <w:sz w:val="16"/>
          <w:szCs w:val="16"/>
        </w:rPr>
        <w:footnoteRef/>
      </w:r>
      <w:r w:rsidRPr="00D80E4A">
        <w:rPr>
          <w:rFonts w:asciiTheme="majorHAnsi" w:hAnsiTheme="majorHAnsi"/>
          <w:sz w:val="16"/>
          <w:szCs w:val="16"/>
          <w:lang w:val="pt-BR"/>
        </w:rPr>
        <w:t xml:space="preserve"> </w:t>
      </w:r>
      <w:r w:rsidR="00C034A7" w:rsidRPr="00D80E4A">
        <w:rPr>
          <w:rFonts w:asciiTheme="majorHAnsi" w:hAnsiTheme="majorHAnsi"/>
          <w:sz w:val="16"/>
          <w:szCs w:val="16"/>
          <w:lang w:val="pt-BR"/>
        </w:rPr>
        <w:t xml:space="preserve">Corte IDH. Caso Gelman </w:t>
      </w:r>
      <w:r w:rsidR="00AD3F58" w:rsidRPr="00D80E4A">
        <w:rPr>
          <w:rFonts w:asciiTheme="majorHAnsi" w:hAnsiTheme="majorHAnsi"/>
          <w:sz w:val="16"/>
          <w:szCs w:val="16"/>
          <w:lang w:val="pt-BR"/>
        </w:rPr>
        <w:t>v</w:t>
      </w:r>
      <w:r w:rsidR="00C034A7" w:rsidRPr="00D80E4A">
        <w:rPr>
          <w:rFonts w:asciiTheme="majorHAnsi" w:hAnsiTheme="majorHAnsi"/>
          <w:sz w:val="16"/>
          <w:szCs w:val="16"/>
          <w:lang w:val="pt-BR"/>
        </w:rPr>
        <w:t xml:space="preserve">s. Uruguay. </w:t>
      </w:r>
      <w:r w:rsidR="00C034A7" w:rsidRPr="00C034A7">
        <w:rPr>
          <w:rFonts w:asciiTheme="majorHAnsi" w:hAnsiTheme="majorHAnsi"/>
          <w:sz w:val="16"/>
          <w:szCs w:val="16"/>
          <w:lang w:val="es-CO"/>
        </w:rPr>
        <w:t xml:space="preserve">Fondo y Reparaciones. Sentencia de 24 de febrero de 2011. </w:t>
      </w:r>
      <w:r w:rsidR="00C034A7" w:rsidRPr="00376AB1">
        <w:rPr>
          <w:rFonts w:asciiTheme="majorHAnsi" w:hAnsiTheme="majorHAnsi"/>
          <w:sz w:val="16"/>
          <w:szCs w:val="16"/>
          <w:lang w:val="es-US"/>
        </w:rPr>
        <w:t>Serie C No. 221, párr. 121 y ss.</w:t>
      </w:r>
    </w:p>
  </w:footnote>
  <w:footnote w:id="36">
    <w:p w14:paraId="2A6EB056" w14:textId="77777777" w:rsidR="00131B96" w:rsidRPr="00C2554E" w:rsidRDefault="00131B96" w:rsidP="00131B96">
      <w:pPr>
        <w:pStyle w:val="FootnoteText"/>
        <w:ind w:firstLine="720"/>
        <w:jc w:val="both"/>
        <w:rPr>
          <w:rFonts w:ascii="Cambria" w:hAnsi="Cambria"/>
          <w:color w:val="auto"/>
          <w:sz w:val="16"/>
          <w:szCs w:val="16"/>
          <w:lang w:val="es-ES"/>
        </w:rPr>
      </w:pPr>
      <w:r w:rsidRPr="00C2554E">
        <w:rPr>
          <w:rStyle w:val="FootnoteReference"/>
          <w:rFonts w:ascii="Cambria" w:hAnsi="Cambria"/>
          <w:color w:val="auto"/>
          <w:sz w:val="16"/>
          <w:szCs w:val="16"/>
        </w:rPr>
        <w:footnoteRef/>
      </w:r>
      <w:r w:rsidRPr="00C2554E">
        <w:rPr>
          <w:rFonts w:ascii="Cambria" w:hAnsi="Cambria"/>
          <w:color w:val="auto"/>
          <w:sz w:val="16"/>
          <w:szCs w:val="16"/>
          <w:lang w:val="es-ES"/>
        </w:rPr>
        <w:t xml:space="preserve"> CIDH, Informe No. 7/19. Petición 18-07. Admisibilidad. Masacre de Bocas de Aracataca. Colombia. 3 de febrero de 2019,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A65A8" w:rsidP="00A50FCF">
    <w:pPr>
      <w:pStyle w:val="Header"/>
      <w:tabs>
        <w:tab w:val="clear" w:pos="4320"/>
        <w:tab w:val="clear" w:pos="8640"/>
      </w:tabs>
      <w:jc w:val="center"/>
      <w:rPr>
        <w:sz w:val="22"/>
        <w:szCs w:val="22"/>
      </w:rPr>
    </w:pPr>
    <w:r>
      <w:rPr>
        <w:noProof/>
        <w:sz w:val="22"/>
        <w:szCs w:val="22"/>
        <w:bdr w:val="nil"/>
      </w:rPr>
      <w:pict w14:anchorId="3176057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6A20B18"/>
    <w:multiLevelType w:val="hybridMultilevel"/>
    <w:tmpl w:val="B742D7C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F54DF9"/>
    <w:multiLevelType w:val="hybridMultilevel"/>
    <w:tmpl w:val="B742D7C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C6155F"/>
    <w:multiLevelType w:val="hybridMultilevel"/>
    <w:tmpl w:val="B742D7CC"/>
    <w:lvl w:ilvl="0" w:tplc="551438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821D9B"/>
    <w:multiLevelType w:val="hybridMultilevel"/>
    <w:tmpl w:val="B742D7C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5D23FCC"/>
    <w:multiLevelType w:val="hybridMultilevel"/>
    <w:tmpl w:val="B742D7CC"/>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6CF43CF"/>
    <w:multiLevelType w:val="hybridMultilevel"/>
    <w:tmpl w:val="21FAB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3254499">
    <w:abstractNumId w:val="3"/>
  </w:num>
  <w:num w:numId="2" w16cid:durableId="422652567">
    <w:abstractNumId w:val="4"/>
  </w:num>
  <w:num w:numId="3" w16cid:durableId="1004625972">
    <w:abstractNumId w:val="58"/>
  </w:num>
  <w:num w:numId="4" w16cid:durableId="1043865595">
    <w:abstractNumId w:val="20"/>
  </w:num>
  <w:num w:numId="5" w16cid:durableId="1879050813">
    <w:abstractNumId w:val="50"/>
  </w:num>
  <w:num w:numId="6" w16cid:durableId="1405952978">
    <w:abstractNumId w:val="27"/>
  </w:num>
  <w:num w:numId="7" w16cid:durableId="1344209916">
    <w:abstractNumId w:val="6"/>
  </w:num>
  <w:num w:numId="8" w16cid:durableId="2017417897">
    <w:abstractNumId w:val="16"/>
  </w:num>
  <w:num w:numId="9" w16cid:durableId="53164518">
    <w:abstractNumId w:val="42"/>
  </w:num>
  <w:num w:numId="10" w16cid:durableId="1081559818">
    <w:abstractNumId w:val="0"/>
  </w:num>
  <w:num w:numId="11" w16cid:durableId="920065351">
    <w:abstractNumId w:val="37"/>
  </w:num>
  <w:num w:numId="12" w16cid:durableId="2065789574">
    <w:abstractNumId w:val="38"/>
  </w:num>
  <w:num w:numId="13" w16cid:durableId="1862358373">
    <w:abstractNumId w:val="45"/>
  </w:num>
  <w:num w:numId="14" w16cid:durableId="475950034">
    <w:abstractNumId w:val="1"/>
  </w:num>
  <w:num w:numId="15" w16cid:durableId="1729330989">
    <w:abstractNumId w:val="2"/>
  </w:num>
  <w:num w:numId="16" w16cid:durableId="153231718">
    <w:abstractNumId w:val="7"/>
  </w:num>
  <w:num w:numId="17" w16cid:durableId="1300262607">
    <w:abstractNumId w:val="8"/>
  </w:num>
  <w:num w:numId="18" w16cid:durableId="344744518">
    <w:abstractNumId w:val="9"/>
  </w:num>
  <w:num w:numId="19" w16cid:durableId="1012489576">
    <w:abstractNumId w:val="10"/>
  </w:num>
  <w:num w:numId="20" w16cid:durableId="449667958">
    <w:abstractNumId w:val="11"/>
  </w:num>
  <w:num w:numId="21" w16cid:durableId="1189635652">
    <w:abstractNumId w:val="12"/>
  </w:num>
  <w:num w:numId="22" w16cid:durableId="821772343">
    <w:abstractNumId w:val="13"/>
  </w:num>
  <w:num w:numId="23" w16cid:durableId="1815875085">
    <w:abstractNumId w:val="14"/>
  </w:num>
  <w:num w:numId="24" w16cid:durableId="2094273711">
    <w:abstractNumId w:val="15"/>
  </w:num>
  <w:num w:numId="25" w16cid:durableId="605579651">
    <w:abstractNumId w:val="17"/>
  </w:num>
  <w:num w:numId="26" w16cid:durableId="1975333185">
    <w:abstractNumId w:val="18"/>
  </w:num>
  <w:num w:numId="27" w16cid:durableId="2019192931">
    <w:abstractNumId w:val="21"/>
  </w:num>
  <w:num w:numId="28" w16cid:durableId="8214398">
    <w:abstractNumId w:val="22"/>
  </w:num>
  <w:num w:numId="29" w16cid:durableId="153498498">
    <w:abstractNumId w:val="23"/>
  </w:num>
  <w:num w:numId="30" w16cid:durableId="1316909418">
    <w:abstractNumId w:val="25"/>
  </w:num>
  <w:num w:numId="31" w16cid:durableId="1227909453">
    <w:abstractNumId w:val="28"/>
  </w:num>
  <w:num w:numId="32" w16cid:durableId="272174530">
    <w:abstractNumId w:val="29"/>
  </w:num>
  <w:num w:numId="33" w16cid:durableId="1003632837">
    <w:abstractNumId w:val="30"/>
  </w:num>
  <w:num w:numId="34" w16cid:durableId="1701469049">
    <w:abstractNumId w:val="31"/>
  </w:num>
  <w:num w:numId="35" w16cid:durableId="1722174108">
    <w:abstractNumId w:val="32"/>
  </w:num>
  <w:num w:numId="36" w16cid:durableId="1480340976">
    <w:abstractNumId w:val="33"/>
  </w:num>
  <w:num w:numId="37" w16cid:durableId="1032462357">
    <w:abstractNumId w:val="34"/>
  </w:num>
  <w:num w:numId="38" w16cid:durableId="1189445514">
    <w:abstractNumId w:val="35"/>
  </w:num>
  <w:num w:numId="39" w16cid:durableId="1690907635">
    <w:abstractNumId w:val="39"/>
  </w:num>
  <w:num w:numId="40" w16cid:durableId="327945834">
    <w:abstractNumId w:val="40"/>
  </w:num>
  <w:num w:numId="41" w16cid:durableId="338584635">
    <w:abstractNumId w:val="48"/>
  </w:num>
  <w:num w:numId="42" w16cid:durableId="1256744300">
    <w:abstractNumId w:val="51"/>
  </w:num>
  <w:num w:numId="43" w16cid:durableId="1858350533">
    <w:abstractNumId w:val="52"/>
  </w:num>
  <w:num w:numId="44" w16cid:durableId="17126522">
    <w:abstractNumId w:val="54"/>
  </w:num>
  <w:num w:numId="45" w16cid:durableId="187793011">
    <w:abstractNumId w:val="57"/>
  </w:num>
  <w:num w:numId="46" w16cid:durableId="1557619387">
    <w:abstractNumId w:val="59"/>
  </w:num>
  <w:num w:numId="47" w16cid:durableId="463889643">
    <w:abstractNumId w:val="60"/>
  </w:num>
  <w:num w:numId="48" w16cid:durableId="1327780326">
    <w:abstractNumId w:val="61"/>
  </w:num>
  <w:num w:numId="49" w16cid:durableId="29231808">
    <w:abstractNumId w:val="62"/>
  </w:num>
  <w:num w:numId="50" w16cid:durableId="831483062">
    <w:abstractNumId w:val="63"/>
  </w:num>
  <w:num w:numId="51" w16cid:durableId="22831760">
    <w:abstractNumId w:val="19"/>
  </w:num>
  <w:num w:numId="52" w16cid:durableId="1383478424">
    <w:abstractNumId w:val="41"/>
  </w:num>
  <w:num w:numId="53" w16cid:durableId="2134863371">
    <w:abstractNumId w:val="53"/>
  </w:num>
  <w:num w:numId="54" w16cid:durableId="1407461934">
    <w:abstractNumId w:val="47"/>
  </w:num>
  <w:num w:numId="55" w16cid:durableId="955866905">
    <w:abstractNumId w:val="44"/>
  </w:num>
  <w:num w:numId="56" w16cid:durableId="1804958258">
    <w:abstractNumId w:val="26"/>
  </w:num>
  <w:num w:numId="57" w16cid:durableId="1361274110">
    <w:abstractNumId w:val="24"/>
  </w:num>
  <w:num w:numId="58" w16cid:durableId="1458180994">
    <w:abstractNumId w:val="36"/>
  </w:num>
  <w:num w:numId="59" w16cid:durableId="48846504">
    <w:abstractNumId w:val="56"/>
  </w:num>
  <w:num w:numId="60" w16cid:durableId="932321297">
    <w:abstractNumId w:val="46"/>
  </w:num>
  <w:num w:numId="61" w16cid:durableId="2116898895">
    <w:abstractNumId w:val="49"/>
  </w:num>
  <w:num w:numId="62" w16cid:durableId="1262959266">
    <w:abstractNumId w:val="55"/>
  </w:num>
  <w:num w:numId="63" w16cid:durableId="2012638163">
    <w:abstractNumId w:val="43"/>
  </w:num>
  <w:num w:numId="64" w16cid:durableId="2051876255">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28"/>
    <w:rsid w:val="00000152"/>
    <w:rsid w:val="0000036F"/>
    <w:rsid w:val="00000CDA"/>
    <w:rsid w:val="00001C00"/>
    <w:rsid w:val="00002322"/>
    <w:rsid w:val="00003237"/>
    <w:rsid w:val="0000390D"/>
    <w:rsid w:val="00003E94"/>
    <w:rsid w:val="00005E21"/>
    <w:rsid w:val="000066C8"/>
    <w:rsid w:val="00006E1F"/>
    <w:rsid w:val="00006FE7"/>
    <w:rsid w:val="000070D7"/>
    <w:rsid w:val="0001273C"/>
    <w:rsid w:val="00012780"/>
    <w:rsid w:val="000143B4"/>
    <w:rsid w:val="000148C2"/>
    <w:rsid w:val="00014CF3"/>
    <w:rsid w:val="00016BE2"/>
    <w:rsid w:val="00016EB3"/>
    <w:rsid w:val="00016F5C"/>
    <w:rsid w:val="0001788C"/>
    <w:rsid w:val="00020B32"/>
    <w:rsid w:val="00021014"/>
    <w:rsid w:val="0002287D"/>
    <w:rsid w:val="000238FF"/>
    <w:rsid w:val="00023B5A"/>
    <w:rsid w:val="0002516E"/>
    <w:rsid w:val="000267D1"/>
    <w:rsid w:val="00027AD3"/>
    <w:rsid w:val="00027C1D"/>
    <w:rsid w:val="000307F5"/>
    <w:rsid w:val="000337EF"/>
    <w:rsid w:val="0003440C"/>
    <w:rsid w:val="000345E4"/>
    <w:rsid w:val="00035DD3"/>
    <w:rsid w:val="00040C3A"/>
    <w:rsid w:val="00041250"/>
    <w:rsid w:val="000419AD"/>
    <w:rsid w:val="00041DC3"/>
    <w:rsid w:val="00042ACB"/>
    <w:rsid w:val="0004309C"/>
    <w:rsid w:val="0004328B"/>
    <w:rsid w:val="000433C9"/>
    <w:rsid w:val="00043CD5"/>
    <w:rsid w:val="000442A2"/>
    <w:rsid w:val="000452F8"/>
    <w:rsid w:val="00045610"/>
    <w:rsid w:val="00046EFD"/>
    <w:rsid w:val="000476E5"/>
    <w:rsid w:val="00047762"/>
    <w:rsid w:val="00050F59"/>
    <w:rsid w:val="00051209"/>
    <w:rsid w:val="0005354B"/>
    <w:rsid w:val="00053FE5"/>
    <w:rsid w:val="00055071"/>
    <w:rsid w:val="00056381"/>
    <w:rsid w:val="00056454"/>
    <w:rsid w:val="00056DED"/>
    <w:rsid w:val="000612B2"/>
    <w:rsid w:val="000618C3"/>
    <w:rsid w:val="00061DA6"/>
    <w:rsid w:val="00062019"/>
    <w:rsid w:val="00062D95"/>
    <w:rsid w:val="0006351F"/>
    <w:rsid w:val="00067516"/>
    <w:rsid w:val="0006754A"/>
    <w:rsid w:val="00071174"/>
    <w:rsid w:val="000716C5"/>
    <w:rsid w:val="00072A02"/>
    <w:rsid w:val="00073003"/>
    <w:rsid w:val="00073B78"/>
    <w:rsid w:val="00075C55"/>
    <w:rsid w:val="00075DE7"/>
    <w:rsid w:val="00075DF2"/>
    <w:rsid w:val="00075E23"/>
    <w:rsid w:val="00075F42"/>
    <w:rsid w:val="0007633A"/>
    <w:rsid w:val="000764CD"/>
    <w:rsid w:val="00076D4C"/>
    <w:rsid w:val="00077A24"/>
    <w:rsid w:val="00077D84"/>
    <w:rsid w:val="000811EC"/>
    <w:rsid w:val="0008237A"/>
    <w:rsid w:val="00083E4D"/>
    <w:rsid w:val="00083EB3"/>
    <w:rsid w:val="0008435C"/>
    <w:rsid w:val="0008592C"/>
    <w:rsid w:val="00085A06"/>
    <w:rsid w:val="0008664A"/>
    <w:rsid w:val="00086E20"/>
    <w:rsid w:val="00086F15"/>
    <w:rsid w:val="00087439"/>
    <w:rsid w:val="00087ACF"/>
    <w:rsid w:val="00091B29"/>
    <w:rsid w:val="000930CC"/>
    <w:rsid w:val="0009344A"/>
    <w:rsid w:val="00093AB0"/>
    <w:rsid w:val="0009552F"/>
    <w:rsid w:val="00095AB4"/>
    <w:rsid w:val="00095F72"/>
    <w:rsid w:val="00096E40"/>
    <w:rsid w:val="000A089D"/>
    <w:rsid w:val="000A11B2"/>
    <w:rsid w:val="000A1EB2"/>
    <w:rsid w:val="000A2559"/>
    <w:rsid w:val="000A2C1C"/>
    <w:rsid w:val="000A3368"/>
    <w:rsid w:val="000A392E"/>
    <w:rsid w:val="000A464D"/>
    <w:rsid w:val="000A575F"/>
    <w:rsid w:val="000A74ED"/>
    <w:rsid w:val="000B15CA"/>
    <w:rsid w:val="000B1B70"/>
    <w:rsid w:val="000B2F63"/>
    <w:rsid w:val="000B3516"/>
    <w:rsid w:val="000B5FC0"/>
    <w:rsid w:val="000B7E21"/>
    <w:rsid w:val="000C164C"/>
    <w:rsid w:val="000C1716"/>
    <w:rsid w:val="000C1DBD"/>
    <w:rsid w:val="000C2314"/>
    <w:rsid w:val="000C25ED"/>
    <w:rsid w:val="000C29E0"/>
    <w:rsid w:val="000C4BA0"/>
    <w:rsid w:val="000C54B6"/>
    <w:rsid w:val="000D05CB"/>
    <w:rsid w:val="000D10DB"/>
    <w:rsid w:val="000D11E5"/>
    <w:rsid w:val="000D2039"/>
    <w:rsid w:val="000D2405"/>
    <w:rsid w:val="000D348C"/>
    <w:rsid w:val="000D4E9C"/>
    <w:rsid w:val="000D7EDC"/>
    <w:rsid w:val="000E0B57"/>
    <w:rsid w:val="000E1EAD"/>
    <w:rsid w:val="000E2D37"/>
    <w:rsid w:val="000E3520"/>
    <w:rsid w:val="000E3B7B"/>
    <w:rsid w:val="000E46EA"/>
    <w:rsid w:val="000E597D"/>
    <w:rsid w:val="000E5A29"/>
    <w:rsid w:val="000E5EB5"/>
    <w:rsid w:val="000F04F2"/>
    <w:rsid w:val="000F2073"/>
    <w:rsid w:val="000F2142"/>
    <w:rsid w:val="000F3421"/>
    <w:rsid w:val="000F35ED"/>
    <w:rsid w:val="000F382D"/>
    <w:rsid w:val="000F4CE5"/>
    <w:rsid w:val="000F514E"/>
    <w:rsid w:val="000F65ED"/>
    <w:rsid w:val="000F746E"/>
    <w:rsid w:val="001004FE"/>
    <w:rsid w:val="00102C4F"/>
    <w:rsid w:val="0010395E"/>
    <w:rsid w:val="001044DA"/>
    <w:rsid w:val="00106264"/>
    <w:rsid w:val="00107131"/>
    <w:rsid w:val="0010736F"/>
    <w:rsid w:val="00107E06"/>
    <w:rsid w:val="00111464"/>
    <w:rsid w:val="00111C2E"/>
    <w:rsid w:val="00113F73"/>
    <w:rsid w:val="00116067"/>
    <w:rsid w:val="0011656A"/>
    <w:rsid w:val="001170DB"/>
    <w:rsid w:val="00117663"/>
    <w:rsid w:val="00117AAC"/>
    <w:rsid w:val="00120026"/>
    <w:rsid w:val="00120B08"/>
    <w:rsid w:val="00121CC2"/>
    <w:rsid w:val="001220D7"/>
    <w:rsid w:val="00122C98"/>
    <w:rsid w:val="0012495B"/>
    <w:rsid w:val="00125571"/>
    <w:rsid w:val="00125A11"/>
    <w:rsid w:val="00125AF1"/>
    <w:rsid w:val="00125AF4"/>
    <w:rsid w:val="0012601F"/>
    <w:rsid w:val="001270B4"/>
    <w:rsid w:val="00127EB3"/>
    <w:rsid w:val="00131425"/>
    <w:rsid w:val="001314A5"/>
    <w:rsid w:val="00131B96"/>
    <w:rsid w:val="00132E8A"/>
    <w:rsid w:val="00133EE5"/>
    <w:rsid w:val="00134155"/>
    <w:rsid w:val="00134335"/>
    <w:rsid w:val="00136182"/>
    <w:rsid w:val="00136315"/>
    <w:rsid w:val="001374E4"/>
    <w:rsid w:val="00140027"/>
    <w:rsid w:val="00141631"/>
    <w:rsid w:val="00144056"/>
    <w:rsid w:val="00144494"/>
    <w:rsid w:val="00144EE6"/>
    <w:rsid w:val="0014505E"/>
    <w:rsid w:val="00145589"/>
    <w:rsid w:val="00147C94"/>
    <w:rsid w:val="00151578"/>
    <w:rsid w:val="00152047"/>
    <w:rsid w:val="00152867"/>
    <w:rsid w:val="00152CE8"/>
    <w:rsid w:val="00153368"/>
    <w:rsid w:val="001544CB"/>
    <w:rsid w:val="00155C28"/>
    <w:rsid w:val="00155DB1"/>
    <w:rsid w:val="00156906"/>
    <w:rsid w:val="00157E56"/>
    <w:rsid w:val="00157ED3"/>
    <w:rsid w:val="0016163E"/>
    <w:rsid w:val="00162D82"/>
    <w:rsid w:val="0016345D"/>
    <w:rsid w:val="00164488"/>
    <w:rsid w:val="001669FD"/>
    <w:rsid w:val="00167407"/>
    <w:rsid w:val="00167A34"/>
    <w:rsid w:val="00167DC8"/>
    <w:rsid w:val="0017081B"/>
    <w:rsid w:val="0017111D"/>
    <w:rsid w:val="00171235"/>
    <w:rsid w:val="001733B8"/>
    <w:rsid w:val="001742AC"/>
    <w:rsid w:val="0017491E"/>
    <w:rsid w:val="00175670"/>
    <w:rsid w:val="0017694F"/>
    <w:rsid w:val="00177A23"/>
    <w:rsid w:val="00180BF1"/>
    <w:rsid w:val="00180EAE"/>
    <w:rsid w:val="00181C9B"/>
    <w:rsid w:val="001827B2"/>
    <w:rsid w:val="00184409"/>
    <w:rsid w:val="00184EBA"/>
    <w:rsid w:val="00187D96"/>
    <w:rsid w:val="001906D2"/>
    <w:rsid w:val="00191477"/>
    <w:rsid w:val="001925E8"/>
    <w:rsid w:val="00193CA5"/>
    <w:rsid w:val="00195173"/>
    <w:rsid w:val="001A4803"/>
    <w:rsid w:val="001A4D9B"/>
    <w:rsid w:val="001A520A"/>
    <w:rsid w:val="001A520D"/>
    <w:rsid w:val="001A56DC"/>
    <w:rsid w:val="001A7787"/>
    <w:rsid w:val="001A7870"/>
    <w:rsid w:val="001B06B8"/>
    <w:rsid w:val="001B2D8F"/>
    <w:rsid w:val="001B31AF"/>
    <w:rsid w:val="001B32EA"/>
    <w:rsid w:val="001B356A"/>
    <w:rsid w:val="001B3A00"/>
    <w:rsid w:val="001B3E0D"/>
    <w:rsid w:val="001B478B"/>
    <w:rsid w:val="001B4FE9"/>
    <w:rsid w:val="001B681C"/>
    <w:rsid w:val="001C121F"/>
    <w:rsid w:val="001C1B41"/>
    <w:rsid w:val="001C2318"/>
    <w:rsid w:val="001C26C0"/>
    <w:rsid w:val="001C2B3E"/>
    <w:rsid w:val="001C3F52"/>
    <w:rsid w:val="001C4278"/>
    <w:rsid w:val="001C466A"/>
    <w:rsid w:val="001C6F9E"/>
    <w:rsid w:val="001C7296"/>
    <w:rsid w:val="001D0473"/>
    <w:rsid w:val="001D0ECE"/>
    <w:rsid w:val="001D1F5C"/>
    <w:rsid w:val="001D65EF"/>
    <w:rsid w:val="001D7B4D"/>
    <w:rsid w:val="001D7F96"/>
    <w:rsid w:val="001E0048"/>
    <w:rsid w:val="001E06D2"/>
    <w:rsid w:val="001E1496"/>
    <w:rsid w:val="001E49E7"/>
    <w:rsid w:val="001E54F5"/>
    <w:rsid w:val="001E6363"/>
    <w:rsid w:val="001E6A80"/>
    <w:rsid w:val="001E6E68"/>
    <w:rsid w:val="001E7F13"/>
    <w:rsid w:val="001F4A1E"/>
    <w:rsid w:val="001F50C1"/>
    <w:rsid w:val="001F533F"/>
    <w:rsid w:val="001F717D"/>
    <w:rsid w:val="001F7201"/>
    <w:rsid w:val="00200840"/>
    <w:rsid w:val="00200EAB"/>
    <w:rsid w:val="00200F13"/>
    <w:rsid w:val="00203CA4"/>
    <w:rsid w:val="00205F07"/>
    <w:rsid w:val="002076ED"/>
    <w:rsid w:val="0021005D"/>
    <w:rsid w:val="00211DDF"/>
    <w:rsid w:val="00212933"/>
    <w:rsid w:val="002134AC"/>
    <w:rsid w:val="00213BDA"/>
    <w:rsid w:val="002164DF"/>
    <w:rsid w:val="002168F0"/>
    <w:rsid w:val="00216B36"/>
    <w:rsid w:val="002170FA"/>
    <w:rsid w:val="0021783F"/>
    <w:rsid w:val="002200D9"/>
    <w:rsid w:val="00220C61"/>
    <w:rsid w:val="00221654"/>
    <w:rsid w:val="0022232A"/>
    <w:rsid w:val="0022337D"/>
    <w:rsid w:val="00223A29"/>
    <w:rsid w:val="002250A3"/>
    <w:rsid w:val="0022605D"/>
    <w:rsid w:val="0022798D"/>
    <w:rsid w:val="00232DB0"/>
    <w:rsid w:val="00233900"/>
    <w:rsid w:val="00233DB4"/>
    <w:rsid w:val="0023483A"/>
    <w:rsid w:val="00235217"/>
    <w:rsid w:val="00235828"/>
    <w:rsid w:val="002370C1"/>
    <w:rsid w:val="00240574"/>
    <w:rsid w:val="00240681"/>
    <w:rsid w:val="00241EE0"/>
    <w:rsid w:val="00243883"/>
    <w:rsid w:val="00243C96"/>
    <w:rsid w:val="00244644"/>
    <w:rsid w:val="00244F45"/>
    <w:rsid w:val="00245C5F"/>
    <w:rsid w:val="00246D1F"/>
    <w:rsid w:val="00247403"/>
    <w:rsid w:val="00247542"/>
    <w:rsid w:val="002479F8"/>
    <w:rsid w:val="00251D18"/>
    <w:rsid w:val="00252B07"/>
    <w:rsid w:val="002532DA"/>
    <w:rsid w:val="00253826"/>
    <w:rsid w:val="00253954"/>
    <w:rsid w:val="00254D24"/>
    <w:rsid w:val="002562ED"/>
    <w:rsid w:val="00261003"/>
    <w:rsid w:val="0026168D"/>
    <w:rsid w:val="00266B16"/>
    <w:rsid w:val="00266B61"/>
    <w:rsid w:val="0026712A"/>
    <w:rsid w:val="002704DB"/>
    <w:rsid w:val="0027147D"/>
    <w:rsid w:val="002726C3"/>
    <w:rsid w:val="002740FB"/>
    <w:rsid w:val="00274C70"/>
    <w:rsid w:val="00281E60"/>
    <w:rsid w:val="00282541"/>
    <w:rsid w:val="00282582"/>
    <w:rsid w:val="00283749"/>
    <w:rsid w:val="00291148"/>
    <w:rsid w:val="00292CFD"/>
    <w:rsid w:val="00293ED6"/>
    <w:rsid w:val="00294B0F"/>
    <w:rsid w:val="0029566C"/>
    <w:rsid w:val="002961C7"/>
    <w:rsid w:val="00296216"/>
    <w:rsid w:val="002A0025"/>
    <w:rsid w:val="002A0AAE"/>
    <w:rsid w:val="002A4F44"/>
    <w:rsid w:val="002A55F5"/>
    <w:rsid w:val="002A5820"/>
    <w:rsid w:val="002A5C54"/>
    <w:rsid w:val="002A76BF"/>
    <w:rsid w:val="002B063C"/>
    <w:rsid w:val="002B06C4"/>
    <w:rsid w:val="002B0FC3"/>
    <w:rsid w:val="002B2916"/>
    <w:rsid w:val="002B3ECE"/>
    <w:rsid w:val="002B432A"/>
    <w:rsid w:val="002B597E"/>
    <w:rsid w:val="002B6BCC"/>
    <w:rsid w:val="002C0C35"/>
    <w:rsid w:val="002C195A"/>
    <w:rsid w:val="002C41E7"/>
    <w:rsid w:val="002C478E"/>
    <w:rsid w:val="002C7818"/>
    <w:rsid w:val="002D1554"/>
    <w:rsid w:val="002D22CC"/>
    <w:rsid w:val="002D2B26"/>
    <w:rsid w:val="002D3E9C"/>
    <w:rsid w:val="002D41A2"/>
    <w:rsid w:val="002D426B"/>
    <w:rsid w:val="002D42E7"/>
    <w:rsid w:val="002D462F"/>
    <w:rsid w:val="002D4E81"/>
    <w:rsid w:val="002D4E86"/>
    <w:rsid w:val="002D5172"/>
    <w:rsid w:val="002D5504"/>
    <w:rsid w:val="002D6CE9"/>
    <w:rsid w:val="002D7EA2"/>
    <w:rsid w:val="002E187C"/>
    <w:rsid w:val="002E6220"/>
    <w:rsid w:val="002F0A70"/>
    <w:rsid w:val="002F0AAC"/>
    <w:rsid w:val="002F28F3"/>
    <w:rsid w:val="002F3244"/>
    <w:rsid w:val="002F32F2"/>
    <w:rsid w:val="002F485C"/>
    <w:rsid w:val="002F4906"/>
    <w:rsid w:val="002F63BB"/>
    <w:rsid w:val="002F729D"/>
    <w:rsid w:val="002F7811"/>
    <w:rsid w:val="00300E12"/>
    <w:rsid w:val="00301FC0"/>
    <w:rsid w:val="003020B1"/>
    <w:rsid w:val="00302733"/>
    <w:rsid w:val="00304496"/>
    <w:rsid w:val="00305754"/>
    <w:rsid w:val="00305835"/>
    <w:rsid w:val="00306405"/>
    <w:rsid w:val="003067F2"/>
    <w:rsid w:val="00306DA7"/>
    <w:rsid w:val="00306F33"/>
    <w:rsid w:val="0030726A"/>
    <w:rsid w:val="00307FFD"/>
    <w:rsid w:val="003106B3"/>
    <w:rsid w:val="0031159E"/>
    <w:rsid w:val="00312165"/>
    <w:rsid w:val="00313310"/>
    <w:rsid w:val="00314078"/>
    <w:rsid w:val="00314962"/>
    <w:rsid w:val="0031535D"/>
    <w:rsid w:val="0031796B"/>
    <w:rsid w:val="00317C60"/>
    <w:rsid w:val="003213A3"/>
    <w:rsid w:val="0032222D"/>
    <w:rsid w:val="003222ED"/>
    <w:rsid w:val="00322F41"/>
    <w:rsid w:val="00323893"/>
    <w:rsid w:val="003239B8"/>
    <w:rsid w:val="003239C7"/>
    <w:rsid w:val="00324E23"/>
    <w:rsid w:val="00325559"/>
    <w:rsid w:val="00325801"/>
    <w:rsid w:val="00326F78"/>
    <w:rsid w:val="0032797F"/>
    <w:rsid w:val="003279BD"/>
    <w:rsid w:val="00327CB3"/>
    <w:rsid w:val="0033169F"/>
    <w:rsid w:val="00331826"/>
    <w:rsid w:val="00332753"/>
    <w:rsid w:val="00332DAE"/>
    <w:rsid w:val="00332FD0"/>
    <w:rsid w:val="00333BF2"/>
    <w:rsid w:val="00334899"/>
    <w:rsid w:val="00334CEE"/>
    <w:rsid w:val="0033530B"/>
    <w:rsid w:val="00335FC8"/>
    <w:rsid w:val="003409B2"/>
    <w:rsid w:val="0034185E"/>
    <w:rsid w:val="0034338B"/>
    <w:rsid w:val="00344977"/>
    <w:rsid w:val="003449A6"/>
    <w:rsid w:val="00344D7A"/>
    <w:rsid w:val="00345597"/>
    <w:rsid w:val="00346869"/>
    <w:rsid w:val="00346C95"/>
    <w:rsid w:val="00350F7F"/>
    <w:rsid w:val="00351547"/>
    <w:rsid w:val="00351C96"/>
    <w:rsid w:val="003531A6"/>
    <w:rsid w:val="00353CED"/>
    <w:rsid w:val="0035539E"/>
    <w:rsid w:val="003559B1"/>
    <w:rsid w:val="00356185"/>
    <w:rsid w:val="00360380"/>
    <w:rsid w:val="00360D53"/>
    <w:rsid w:val="00361481"/>
    <w:rsid w:val="003628AB"/>
    <w:rsid w:val="00365153"/>
    <w:rsid w:val="0036553E"/>
    <w:rsid w:val="0036575F"/>
    <w:rsid w:val="003667EF"/>
    <w:rsid w:val="00366B8B"/>
    <w:rsid w:val="0036777B"/>
    <w:rsid w:val="00367B3F"/>
    <w:rsid w:val="0037104D"/>
    <w:rsid w:val="00371AF2"/>
    <w:rsid w:val="003725F4"/>
    <w:rsid w:val="003729EA"/>
    <w:rsid w:val="003738C1"/>
    <w:rsid w:val="00373B6A"/>
    <w:rsid w:val="0037496B"/>
    <w:rsid w:val="0037519E"/>
    <w:rsid w:val="00375D4E"/>
    <w:rsid w:val="00376AB1"/>
    <w:rsid w:val="00377C38"/>
    <w:rsid w:val="00380258"/>
    <w:rsid w:val="0038039F"/>
    <w:rsid w:val="00383682"/>
    <w:rsid w:val="003836AB"/>
    <w:rsid w:val="003854C5"/>
    <w:rsid w:val="003857A5"/>
    <w:rsid w:val="00386CF0"/>
    <w:rsid w:val="00390695"/>
    <w:rsid w:val="00391086"/>
    <w:rsid w:val="00391976"/>
    <w:rsid w:val="003938E6"/>
    <w:rsid w:val="00394073"/>
    <w:rsid w:val="00394286"/>
    <w:rsid w:val="00394323"/>
    <w:rsid w:val="00394A75"/>
    <w:rsid w:val="00394B36"/>
    <w:rsid w:val="003A00D0"/>
    <w:rsid w:val="003A0E89"/>
    <w:rsid w:val="003A10F3"/>
    <w:rsid w:val="003A1E89"/>
    <w:rsid w:val="003A20F7"/>
    <w:rsid w:val="003A3643"/>
    <w:rsid w:val="003A3D20"/>
    <w:rsid w:val="003A4B19"/>
    <w:rsid w:val="003A7E28"/>
    <w:rsid w:val="003B0110"/>
    <w:rsid w:val="003B4F36"/>
    <w:rsid w:val="003B59CE"/>
    <w:rsid w:val="003B5D0D"/>
    <w:rsid w:val="003B6551"/>
    <w:rsid w:val="003B70FB"/>
    <w:rsid w:val="003C04D0"/>
    <w:rsid w:val="003C1120"/>
    <w:rsid w:val="003C1A12"/>
    <w:rsid w:val="003C285B"/>
    <w:rsid w:val="003C3A7B"/>
    <w:rsid w:val="003C42FF"/>
    <w:rsid w:val="003C48AC"/>
    <w:rsid w:val="003C48B3"/>
    <w:rsid w:val="003C676B"/>
    <w:rsid w:val="003C7166"/>
    <w:rsid w:val="003C7574"/>
    <w:rsid w:val="003D0107"/>
    <w:rsid w:val="003D0EB3"/>
    <w:rsid w:val="003D3BC2"/>
    <w:rsid w:val="003D3DD5"/>
    <w:rsid w:val="003D471C"/>
    <w:rsid w:val="003E02FC"/>
    <w:rsid w:val="003E05B9"/>
    <w:rsid w:val="003E2AE8"/>
    <w:rsid w:val="003E3929"/>
    <w:rsid w:val="003E50B3"/>
    <w:rsid w:val="003E5132"/>
    <w:rsid w:val="003E6B6C"/>
    <w:rsid w:val="003E6CA1"/>
    <w:rsid w:val="003E7740"/>
    <w:rsid w:val="003E7F0E"/>
    <w:rsid w:val="003F0965"/>
    <w:rsid w:val="003F2170"/>
    <w:rsid w:val="003F32D1"/>
    <w:rsid w:val="003F4B3B"/>
    <w:rsid w:val="003F4E7A"/>
    <w:rsid w:val="003F5154"/>
    <w:rsid w:val="003F536A"/>
    <w:rsid w:val="003F5B2D"/>
    <w:rsid w:val="003F63DF"/>
    <w:rsid w:val="003F65C8"/>
    <w:rsid w:val="003F7223"/>
    <w:rsid w:val="00400041"/>
    <w:rsid w:val="00400D2B"/>
    <w:rsid w:val="004048D4"/>
    <w:rsid w:val="0040568D"/>
    <w:rsid w:val="00405F9C"/>
    <w:rsid w:val="004065A8"/>
    <w:rsid w:val="004066EF"/>
    <w:rsid w:val="00406C20"/>
    <w:rsid w:val="00410B20"/>
    <w:rsid w:val="00410ED8"/>
    <w:rsid w:val="00411B08"/>
    <w:rsid w:val="0041430B"/>
    <w:rsid w:val="0041435F"/>
    <w:rsid w:val="00414A53"/>
    <w:rsid w:val="004165C2"/>
    <w:rsid w:val="004167A3"/>
    <w:rsid w:val="00417347"/>
    <w:rsid w:val="00417C55"/>
    <w:rsid w:val="00420F42"/>
    <w:rsid w:val="00421F55"/>
    <w:rsid w:val="0042217C"/>
    <w:rsid w:val="004225EF"/>
    <w:rsid w:val="00422718"/>
    <w:rsid w:val="004229AA"/>
    <w:rsid w:val="00423266"/>
    <w:rsid w:val="00423C70"/>
    <w:rsid w:val="004241A0"/>
    <w:rsid w:val="00425CC4"/>
    <w:rsid w:val="004264F5"/>
    <w:rsid w:val="00430C06"/>
    <w:rsid w:val="00430CD7"/>
    <w:rsid w:val="00433310"/>
    <w:rsid w:val="00434F67"/>
    <w:rsid w:val="00435571"/>
    <w:rsid w:val="00435609"/>
    <w:rsid w:val="00437A5F"/>
    <w:rsid w:val="004401DE"/>
    <w:rsid w:val="00441ECB"/>
    <w:rsid w:val="00441F6D"/>
    <w:rsid w:val="00442216"/>
    <w:rsid w:val="004429B8"/>
    <w:rsid w:val="00443E62"/>
    <w:rsid w:val="00444533"/>
    <w:rsid w:val="0044483F"/>
    <w:rsid w:val="00445193"/>
    <w:rsid w:val="00445C1B"/>
    <w:rsid w:val="00447AEE"/>
    <w:rsid w:val="004502C0"/>
    <w:rsid w:val="00451371"/>
    <w:rsid w:val="00451D23"/>
    <w:rsid w:val="00452AAC"/>
    <w:rsid w:val="0045323C"/>
    <w:rsid w:val="00453413"/>
    <w:rsid w:val="00453E9B"/>
    <w:rsid w:val="00454541"/>
    <w:rsid w:val="00454CB7"/>
    <w:rsid w:val="004569B5"/>
    <w:rsid w:val="00461021"/>
    <w:rsid w:val="00462C1B"/>
    <w:rsid w:val="00463122"/>
    <w:rsid w:val="00463F28"/>
    <w:rsid w:val="00463FB4"/>
    <w:rsid w:val="00467797"/>
    <w:rsid w:val="00467B7E"/>
    <w:rsid w:val="00473327"/>
    <w:rsid w:val="00473BB4"/>
    <w:rsid w:val="0047449D"/>
    <w:rsid w:val="0047561E"/>
    <w:rsid w:val="00475628"/>
    <w:rsid w:val="00476D35"/>
    <w:rsid w:val="00477592"/>
    <w:rsid w:val="0048013A"/>
    <w:rsid w:val="00481558"/>
    <w:rsid w:val="00483D4C"/>
    <w:rsid w:val="004851CD"/>
    <w:rsid w:val="004860A3"/>
    <w:rsid w:val="00486F1C"/>
    <w:rsid w:val="00487831"/>
    <w:rsid w:val="00490903"/>
    <w:rsid w:val="00490DD0"/>
    <w:rsid w:val="00491075"/>
    <w:rsid w:val="00491D6D"/>
    <w:rsid w:val="00492FE9"/>
    <w:rsid w:val="0049419D"/>
    <w:rsid w:val="004942CE"/>
    <w:rsid w:val="004942F7"/>
    <w:rsid w:val="004A030E"/>
    <w:rsid w:val="004A057B"/>
    <w:rsid w:val="004A3B38"/>
    <w:rsid w:val="004A5756"/>
    <w:rsid w:val="004A61BC"/>
    <w:rsid w:val="004A6692"/>
    <w:rsid w:val="004A6A54"/>
    <w:rsid w:val="004A730F"/>
    <w:rsid w:val="004B0384"/>
    <w:rsid w:val="004B096C"/>
    <w:rsid w:val="004B0EF2"/>
    <w:rsid w:val="004B2AB1"/>
    <w:rsid w:val="004B346F"/>
    <w:rsid w:val="004B35D5"/>
    <w:rsid w:val="004B421C"/>
    <w:rsid w:val="004B4BAA"/>
    <w:rsid w:val="004B6BE0"/>
    <w:rsid w:val="004C20D2"/>
    <w:rsid w:val="004C2312"/>
    <w:rsid w:val="004C3C04"/>
    <w:rsid w:val="004C3E1F"/>
    <w:rsid w:val="004C406B"/>
    <w:rsid w:val="004C41D1"/>
    <w:rsid w:val="004C4B62"/>
    <w:rsid w:val="004C54C9"/>
    <w:rsid w:val="004C7E55"/>
    <w:rsid w:val="004D09E5"/>
    <w:rsid w:val="004D1956"/>
    <w:rsid w:val="004D1FE8"/>
    <w:rsid w:val="004D24C3"/>
    <w:rsid w:val="004D429E"/>
    <w:rsid w:val="004D46D6"/>
    <w:rsid w:val="004D4ABA"/>
    <w:rsid w:val="004D4DC1"/>
    <w:rsid w:val="004D52A7"/>
    <w:rsid w:val="004D6025"/>
    <w:rsid w:val="004D66A9"/>
    <w:rsid w:val="004D6C64"/>
    <w:rsid w:val="004D6D5C"/>
    <w:rsid w:val="004D6F1E"/>
    <w:rsid w:val="004D745D"/>
    <w:rsid w:val="004E2649"/>
    <w:rsid w:val="004E4B7C"/>
    <w:rsid w:val="004E4FB6"/>
    <w:rsid w:val="004E5318"/>
    <w:rsid w:val="004E57A9"/>
    <w:rsid w:val="004E6D3E"/>
    <w:rsid w:val="004E72EE"/>
    <w:rsid w:val="004F0422"/>
    <w:rsid w:val="004F0828"/>
    <w:rsid w:val="004F0F5F"/>
    <w:rsid w:val="004F1AAB"/>
    <w:rsid w:val="004F1B18"/>
    <w:rsid w:val="004F1EAC"/>
    <w:rsid w:val="004F38FD"/>
    <w:rsid w:val="004F39F7"/>
    <w:rsid w:val="004F4491"/>
    <w:rsid w:val="004F53DA"/>
    <w:rsid w:val="004F5622"/>
    <w:rsid w:val="004F626F"/>
    <w:rsid w:val="004F63A0"/>
    <w:rsid w:val="004F6FD8"/>
    <w:rsid w:val="004F72DD"/>
    <w:rsid w:val="004F7A90"/>
    <w:rsid w:val="00500099"/>
    <w:rsid w:val="00500D5B"/>
    <w:rsid w:val="00500E9B"/>
    <w:rsid w:val="00501399"/>
    <w:rsid w:val="00501D1D"/>
    <w:rsid w:val="00501E63"/>
    <w:rsid w:val="005026A5"/>
    <w:rsid w:val="00502CE8"/>
    <w:rsid w:val="00503901"/>
    <w:rsid w:val="005047ED"/>
    <w:rsid w:val="00504B6D"/>
    <w:rsid w:val="0050627A"/>
    <w:rsid w:val="0050633D"/>
    <w:rsid w:val="00507BC4"/>
    <w:rsid w:val="00510223"/>
    <w:rsid w:val="005114F8"/>
    <w:rsid w:val="00511BCC"/>
    <w:rsid w:val="005128E4"/>
    <w:rsid w:val="00512FCF"/>
    <w:rsid w:val="005133DB"/>
    <w:rsid w:val="00514243"/>
    <w:rsid w:val="00514504"/>
    <w:rsid w:val="0051667E"/>
    <w:rsid w:val="00516A21"/>
    <w:rsid w:val="00516AC9"/>
    <w:rsid w:val="00516F7D"/>
    <w:rsid w:val="005173F2"/>
    <w:rsid w:val="00520858"/>
    <w:rsid w:val="00521BCF"/>
    <w:rsid w:val="00521E1F"/>
    <w:rsid w:val="00522626"/>
    <w:rsid w:val="00522AC9"/>
    <w:rsid w:val="0052399E"/>
    <w:rsid w:val="00523A26"/>
    <w:rsid w:val="00524477"/>
    <w:rsid w:val="0052476B"/>
    <w:rsid w:val="00524C42"/>
    <w:rsid w:val="00525560"/>
    <w:rsid w:val="00525CBD"/>
    <w:rsid w:val="005269A9"/>
    <w:rsid w:val="00527D24"/>
    <w:rsid w:val="00531ACD"/>
    <w:rsid w:val="00532E3A"/>
    <w:rsid w:val="00533121"/>
    <w:rsid w:val="005332B0"/>
    <w:rsid w:val="00533537"/>
    <w:rsid w:val="00533ACA"/>
    <w:rsid w:val="00534B7A"/>
    <w:rsid w:val="00534E40"/>
    <w:rsid w:val="00535B29"/>
    <w:rsid w:val="00535F8D"/>
    <w:rsid w:val="00536686"/>
    <w:rsid w:val="00536C0D"/>
    <w:rsid w:val="00536D8F"/>
    <w:rsid w:val="005376B9"/>
    <w:rsid w:val="00542929"/>
    <w:rsid w:val="005438BF"/>
    <w:rsid w:val="005439A7"/>
    <w:rsid w:val="00544C49"/>
    <w:rsid w:val="00545DD6"/>
    <w:rsid w:val="00545F71"/>
    <w:rsid w:val="005462D7"/>
    <w:rsid w:val="005468AE"/>
    <w:rsid w:val="00546B39"/>
    <w:rsid w:val="00547075"/>
    <w:rsid w:val="00547797"/>
    <w:rsid w:val="005516A1"/>
    <w:rsid w:val="00552D3D"/>
    <w:rsid w:val="005545B7"/>
    <w:rsid w:val="005559EF"/>
    <w:rsid w:val="005562A7"/>
    <w:rsid w:val="00556C27"/>
    <w:rsid w:val="00556DF1"/>
    <w:rsid w:val="00556F52"/>
    <w:rsid w:val="00557AA4"/>
    <w:rsid w:val="0056006D"/>
    <w:rsid w:val="00563514"/>
    <w:rsid w:val="00563557"/>
    <w:rsid w:val="0056450D"/>
    <w:rsid w:val="00566EAF"/>
    <w:rsid w:val="00570A3B"/>
    <w:rsid w:val="00573058"/>
    <w:rsid w:val="00573442"/>
    <w:rsid w:val="005736E6"/>
    <w:rsid w:val="00573FE0"/>
    <w:rsid w:val="0057402A"/>
    <w:rsid w:val="00574A69"/>
    <w:rsid w:val="005755E4"/>
    <w:rsid w:val="00576F4C"/>
    <w:rsid w:val="005771D0"/>
    <w:rsid w:val="005812DE"/>
    <w:rsid w:val="00581C8A"/>
    <w:rsid w:val="00582D9C"/>
    <w:rsid w:val="00582FD2"/>
    <w:rsid w:val="00583FCE"/>
    <w:rsid w:val="005852F2"/>
    <w:rsid w:val="00585794"/>
    <w:rsid w:val="00585E73"/>
    <w:rsid w:val="00585E8A"/>
    <w:rsid w:val="0058797F"/>
    <w:rsid w:val="00587CE3"/>
    <w:rsid w:val="0059191A"/>
    <w:rsid w:val="005921A2"/>
    <w:rsid w:val="005921FF"/>
    <w:rsid w:val="00592992"/>
    <w:rsid w:val="005953C5"/>
    <w:rsid w:val="00595E63"/>
    <w:rsid w:val="00596850"/>
    <w:rsid w:val="005A0206"/>
    <w:rsid w:val="005A1069"/>
    <w:rsid w:val="005A1BBB"/>
    <w:rsid w:val="005A24ED"/>
    <w:rsid w:val="005A6D0E"/>
    <w:rsid w:val="005B0A37"/>
    <w:rsid w:val="005B378A"/>
    <w:rsid w:val="005B44C4"/>
    <w:rsid w:val="005B4BC4"/>
    <w:rsid w:val="005B4C4F"/>
    <w:rsid w:val="005B4E15"/>
    <w:rsid w:val="005B52B0"/>
    <w:rsid w:val="005B57CD"/>
    <w:rsid w:val="005B5924"/>
    <w:rsid w:val="005B6387"/>
    <w:rsid w:val="005B6806"/>
    <w:rsid w:val="005C1631"/>
    <w:rsid w:val="005C310B"/>
    <w:rsid w:val="005C3C6B"/>
    <w:rsid w:val="005C4225"/>
    <w:rsid w:val="005C5E8C"/>
    <w:rsid w:val="005C6B63"/>
    <w:rsid w:val="005C6E50"/>
    <w:rsid w:val="005D04B2"/>
    <w:rsid w:val="005D0C60"/>
    <w:rsid w:val="005D0F19"/>
    <w:rsid w:val="005D14C2"/>
    <w:rsid w:val="005D3901"/>
    <w:rsid w:val="005D444E"/>
    <w:rsid w:val="005D52C3"/>
    <w:rsid w:val="005D59B3"/>
    <w:rsid w:val="005D5B3C"/>
    <w:rsid w:val="005D5D1E"/>
    <w:rsid w:val="005D68BD"/>
    <w:rsid w:val="005D7996"/>
    <w:rsid w:val="005D7B3B"/>
    <w:rsid w:val="005E0009"/>
    <w:rsid w:val="005E0A3C"/>
    <w:rsid w:val="005E2532"/>
    <w:rsid w:val="005E2D01"/>
    <w:rsid w:val="005E393B"/>
    <w:rsid w:val="005E4B60"/>
    <w:rsid w:val="005E5778"/>
    <w:rsid w:val="005E6147"/>
    <w:rsid w:val="005E674C"/>
    <w:rsid w:val="005E6FDD"/>
    <w:rsid w:val="005F028F"/>
    <w:rsid w:val="005F0DAD"/>
    <w:rsid w:val="005F0F33"/>
    <w:rsid w:val="005F2858"/>
    <w:rsid w:val="005F290B"/>
    <w:rsid w:val="005F3AE4"/>
    <w:rsid w:val="005F3E02"/>
    <w:rsid w:val="005F4840"/>
    <w:rsid w:val="005F4C24"/>
    <w:rsid w:val="005F612D"/>
    <w:rsid w:val="005F6B0B"/>
    <w:rsid w:val="005F7510"/>
    <w:rsid w:val="005F75CA"/>
    <w:rsid w:val="005F789F"/>
    <w:rsid w:val="0060073F"/>
    <w:rsid w:val="00600A4A"/>
    <w:rsid w:val="00600DEB"/>
    <w:rsid w:val="00601020"/>
    <w:rsid w:val="00601B54"/>
    <w:rsid w:val="00602E0D"/>
    <w:rsid w:val="006033AE"/>
    <w:rsid w:val="006036E3"/>
    <w:rsid w:val="00606A5E"/>
    <w:rsid w:val="00607171"/>
    <w:rsid w:val="00607916"/>
    <w:rsid w:val="00610845"/>
    <w:rsid w:val="006116F1"/>
    <w:rsid w:val="006129F7"/>
    <w:rsid w:val="00615483"/>
    <w:rsid w:val="0061586A"/>
    <w:rsid w:val="0061594C"/>
    <w:rsid w:val="006159F0"/>
    <w:rsid w:val="00616146"/>
    <w:rsid w:val="006161F6"/>
    <w:rsid w:val="00617692"/>
    <w:rsid w:val="00620461"/>
    <w:rsid w:val="00621C11"/>
    <w:rsid w:val="00621EE2"/>
    <w:rsid w:val="00625797"/>
    <w:rsid w:val="00626BA7"/>
    <w:rsid w:val="00627C9F"/>
    <w:rsid w:val="006311E9"/>
    <w:rsid w:val="006316FC"/>
    <w:rsid w:val="00631EFC"/>
    <w:rsid w:val="00632354"/>
    <w:rsid w:val="00632BCD"/>
    <w:rsid w:val="00635421"/>
    <w:rsid w:val="0063543B"/>
    <w:rsid w:val="0063592E"/>
    <w:rsid w:val="00636AB7"/>
    <w:rsid w:val="0064048A"/>
    <w:rsid w:val="0064147C"/>
    <w:rsid w:val="006426BA"/>
    <w:rsid w:val="00642810"/>
    <w:rsid w:val="0064284C"/>
    <w:rsid w:val="006431EC"/>
    <w:rsid w:val="00644DAF"/>
    <w:rsid w:val="006451D7"/>
    <w:rsid w:val="006452FE"/>
    <w:rsid w:val="006469D6"/>
    <w:rsid w:val="00646EFA"/>
    <w:rsid w:val="00650147"/>
    <w:rsid w:val="006513BC"/>
    <w:rsid w:val="0065180E"/>
    <w:rsid w:val="00652333"/>
    <w:rsid w:val="0065441A"/>
    <w:rsid w:val="00654AEA"/>
    <w:rsid w:val="006563D7"/>
    <w:rsid w:val="00656978"/>
    <w:rsid w:val="00656A71"/>
    <w:rsid w:val="00657188"/>
    <w:rsid w:val="00657CA1"/>
    <w:rsid w:val="0066036D"/>
    <w:rsid w:val="00660DE7"/>
    <w:rsid w:val="00662103"/>
    <w:rsid w:val="00663627"/>
    <w:rsid w:val="00664E21"/>
    <w:rsid w:val="00665360"/>
    <w:rsid w:val="006666E6"/>
    <w:rsid w:val="00671A18"/>
    <w:rsid w:val="006751D8"/>
    <w:rsid w:val="00677A84"/>
    <w:rsid w:val="0068009E"/>
    <w:rsid w:val="006831D1"/>
    <w:rsid w:val="00685768"/>
    <w:rsid w:val="00687351"/>
    <w:rsid w:val="00687C56"/>
    <w:rsid w:val="0069021B"/>
    <w:rsid w:val="00692219"/>
    <w:rsid w:val="006925D6"/>
    <w:rsid w:val="00694754"/>
    <w:rsid w:val="0069612D"/>
    <w:rsid w:val="00696A98"/>
    <w:rsid w:val="006A1068"/>
    <w:rsid w:val="006A17D2"/>
    <w:rsid w:val="006A1AD3"/>
    <w:rsid w:val="006A1E41"/>
    <w:rsid w:val="006A3002"/>
    <w:rsid w:val="006A3644"/>
    <w:rsid w:val="006A3E08"/>
    <w:rsid w:val="006A3F65"/>
    <w:rsid w:val="006A5B15"/>
    <w:rsid w:val="006A64A8"/>
    <w:rsid w:val="006A6A1A"/>
    <w:rsid w:val="006A73E6"/>
    <w:rsid w:val="006B20DD"/>
    <w:rsid w:val="006B22E3"/>
    <w:rsid w:val="006B2702"/>
    <w:rsid w:val="006B2D5C"/>
    <w:rsid w:val="006B3A34"/>
    <w:rsid w:val="006B5697"/>
    <w:rsid w:val="006B67BD"/>
    <w:rsid w:val="006B6F84"/>
    <w:rsid w:val="006B79E0"/>
    <w:rsid w:val="006C0ECF"/>
    <w:rsid w:val="006C2F13"/>
    <w:rsid w:val="006C3A93"/>
    <w:rsid w:val="006C43CF"/>
    <w:rsid w:val="006C4EB1"/>
    <w:rsid w:val="006C525E"/>
    <w:rsid w:val="006C58E9"/>
    <w:rsid w:val="006C7358"/>
    <w:rsid w:val="006C7EC5"/>
    <w:rsid w:val="006D18A6"/>
    <w:rsid w:val="006D19B6"/>
    <w:rsid w:val="006D2D6D"/>
    <w:rsid w:val="006D3D63"/>
    <w:rsid w:val="006D5D04"/>
    <w:rsid w:val="006D71E8"/>
    <w:rsid w:val="006D7967"/>
    <w:rsid w:val="006E0166"/>
    <w:rsid w:val="006E27E0"/>
    <w:rsid w:val="006E287C"/>
    <w:rsid w:val="006E2FFB"/>
    <w:rsid w:val="006E37E4"/>
    <w:rsid w:val="006E3E7F"/>
    <w:rsid w:val="006E6843"/>
    <w:rsid w:val="006E6C5D"/>
    <w:rsid w:val="006E7057"/>
    <w:rsid w:val="006E7B34"/>
    <w:rsid w:val="006F11B6"/>
    <w:rsid w:val="006F182E"/>
    <w:rsid w:val="006F2A40"/>
    <w:rsid w:val="006F3339"/>
    <w:rsid w:val="006F3A68"/>
    <w:rsid w:val="006F3AC5"/>
    <w:rsid w:val="006F6982"/>
    <w:rsid w:val="006F7F92"/>
    <w:rsid w:val="00701709"/>
    <w:rsid w:val="00701996"/>
    <w:rsid w:val="00702B1C"/>
    <w:rsid w:val="00702D31"/>
    <w:rsid w:val="00702D82"/>
    <w:rsid w:val="00704529"/>
    <w:rsid w:val="00704E1B"/>
    <w:rsid w:val="0070697F"/>
    <w:rsid w:val="007078E7"/>
    <w:rsid w:val="00707E6F"/>
    <w:rsid w:val="007103C4"/>
    <w:rsid w:val="00710957"/>
    <w:rsid w:val="007125E1"/>
    <w:rsid w:val="00713E84"/>
    <w:rsid w:val="007171BC"/>
    <w:rsid w:val="00717E86"/>
    <w:rsid w:val="00720446"/>
    <w:rsid w:val="00720D9F"/>
    <w:rsid w:val="00721238"/>
    <w:rsid w:val="0072144F"/>
    <w:rsid w:val="0072199C"/>
    <w:rsid w:val="00721A6C"/>
    <w:rsid w:val="00722C9F"/>
    <w:rsid w:val="0072331C"/>
    <w:rsid w:val="007233BE"/>
    <w:rsid w:val="00723AF9"/>
    <w:rsid w:val="00723B5D"/>
    <w:rsid w:val="007245CB"/>
    <w:rsid w:val="007253B8"/>
    <w:rsid w:val="007257D1"/>
    <w:rsid w:val="00727040"/>
    <w:rsid w:val="0072795A"/>
    <w:rsid w:val="00732703"/>
    <w:rsid w:val="00732E5A"/>
    <w:rsid w:val="0073476A"/>
    <w:rsid w:val="00736587"/>
    <w:rsid w:val="00736AAE"/>
    <w:rsid w:val="007370E7"/>
    <w:rsid w:val="0073741F"/>
    <w:rsid w:val="00737F18"/>
    <w:rsid w:val="007406E3"/>
    <w:rsid w:val="007406EB"/>
    <w:rsid w:val="00742335"/>
    <w:rsid w:val="0074318D"/>
    <w:rsid w:val="007439DF"/>
    <w:rsid w:val="00743B48"/>
    <w:rsid w:val="007456ED"/>
    <w:rsid w:val="00746C04"/>
    <w:rsid w:val="00751FC5"/>
    <w:rsid w:val="00757D7E"/>
    <w:rsid w:val="00761599"/>
    <w:rsid w:val="0076205E"/>
    <w:rsid w:val="00762D7D"/>
    <w:rsid w:val="0076333E"/>
    <w:rsid w:val="00764A2C"/>
    <w:rsid w:val="00764A9A"/>
    <w:rsid w:val="0076643F"/>
    <w:rsid w:val="00766DC2"/>
    <w:rsid w:val="00766FDB"/>
    <w:rsid w:val="00767CE7"/>
    <w:rsid w:val="0077048C"/>
    <w:rsid w:val="00770CDB"/>
    <w:rsid w:val="007716C1"/>
    <w:rsid w:val="00774402"/>
    <w:rsid w:val="00774E05"/>
    <w:rsid w:val="00775023"/>
    <w:rsid w:val="007779C7"/>
    <w:rsid w:val="00777F63"/>
    <w:rsid w:val="0078364E"/>
    <w:rsid w:val="007842D6"/>
    <w:rsid w:val="00785034"/>
    <w:rsid w:val="00785CDA"/>
    <w:rsid w:val="00786F1A"/>
    <w:rsid w:val="00791518"/>
    <w:rsid w:val="00791935"/>
    <w:rsid w:val="00793C38"/>
    <w:rsid w:val="00794BB9"/>
    <w:rsid w:val="007A0156"/>
    <w:rsid w:val="007A10F9"/>
    <w:rsid w:val="007A244E"/>
    <w:rsid w:val="007A53B9"/>
    <w:rsid w:val="007A5817"/>
    <w:rsid w:val="007A5A21"/>
    <w:rsid w:val="007A6009"/>
    <w:rsid w:val="007B0039"/>
    <w:rsid w:val="007B05C4"/>
    <w:rsid w:val="007B103F"/>
    <w:rsid w:val="007B14BF"/>
    <w:rsid w:val="007B15CD"/>
    <w:rsid w:val="007B1D62"/>
    <w:rsid w:val="007B26A9"/>
    <w:rsid w:val="007B315B"/>
    <w:rsid w:val="007B31BE"/>
    <w:rsid w:val="007B4247"/>
    <w:rsid w:val="007B531C"/>
    <w:rsid w:val="007B5B48"/>
    <w:rsid w:val="007B60E9"/>
    <w:rsid w:val="007B6924"/>
    <w:rsid w:val="007B6CC3"/>
    <w:rsid w:val="007B76D3"/>
    <w:rsid w:val="007C0312"/>
    <w:rsid w:val="007C17C2"/>
    <w:rsid w:val="007C3334"/>
    <w:rsid w:val="007C41C0"/>
    <w:rsid w:val="007C443E"/>
    <w:rsid w:val="007C55AC"/>
    <w:rsid w:val="007C7387"/>
    <w:rsid w:val="007D160E"/>
    <w:rsid w:val="007D19CB"/>
    <w:rsid w:val="007D2287"/>
    <w:rsid w:val="007D2B98"/>
    <w:rsid w:val="007D3389"/>
    <w:rsid w:val="007E085C"/>
    <w:rsid w:val="007E0E81"/>
    <w:rsid w:val="007E21BC"/>
    <w:rsid w:val="007E2596"/>
    <w:rsid w:val="007E2955"/>
    <w:rsid w:val="007E4154"/>
    <w:rsid w:val="007E75C3"/>
    <w:rsid w:val="007E7C82"/>
    <w:rsid w:val="007E7D17"/>
    <w:rsid w:val="007F0FE2"/>
    <w:rsid w:val="007F2AA1"/>
    <w:rsid w:val="007F3158"/>
    <w:rsid w:val="007F427A"/>
    <w:rsid w:val="007F588D"/>
    <w:rsid w:val="007F617B"/>
    <w:rsid w:val="007F6646"/>
    <w:rsid w:val="007F6A77"/>
    <w:rsid w:val="007F7406"/>
    <w:rsid w:val="00800D3D"/>
    <w:rsid w:val="0080295E"/>
    <w:rsid w:val="0080349E"/>
    <w:rsid w:val="00803E56"/>
    <w:rsid w:val="00803F1C"/>
    <w:rsid w:val="00805808"/>
    <w:rsid w:val="0080600E"/>
    <w:rsid w:val="008100B2"/>
    <w:rsid w:val="00811427"/>
    <w:rsid w:val="00814688"/>
    <w:rsid w:val="0081592E"/>
    <w:rsid w:val="00817612"/>
    <w:rsid w:val="00817C98"/>
    <w:rsid w:val="00817E1B"/>
    <w:rsid w:val="00822BFA"/>
    <w:rsid w:val="008234FC"/>
    <w:rsid w:val="00823871"/>
    <w:rsid w:val="008259B9"/>
    <w:rsid w:val="00825B9E"/>
    <w:rsid w:val="0082721E"/>
    <w:rsid w:val="00830C95"/>
    <w:rsid w:val="008317AC"/>
    <w:rsid w:val="00831EA8"/>
    <w:rsid w:val="0083235D"/>
    <w:rsid w:val="008334DC"/>
    <w:rsid w:val="008338A4"/>
    <w:rsid w:val="00834D49"/>
    <w:rsid w:val="00835460"/>
    <w:rsid w:val="008361BF"/>
    <w:rsid w:val="00836C09"/>
    <w:rsid w:val="00836D54"/>
    <w:rsid w:val="008372DD"/>
    <w:rsid w:val="00837C45"/>
    <w:rsid w:val="00840357"/>
    <w:rsid w:val="008403CC"/>
    <w:rsid w:val="00840F4C"/>
    <w:rsid w:val="0084136F"/>
    <w:rsid w:val="008417E0"/>
    <w:rsid w:val="00841D53"/>
    <w:rsid w:val="008445D0"/>
    <w:rsid w:val="00844730"/>
    <w:rsid w:val="00845200"/>
    <w:rsid w:val="008457C2"/>
    <w:rsid w:val="00845E84"/>
    <w:rsid w:val="008506FD"/>
    <w:rsid w:val="00851453"/>
    <w:rsid w:val="008515D7"/>
    <w:rsid w:val="00852373"/>
    <w:rsid w:val="008523A0"/>
    <w:rsid w:val="00852C5F"/>
    <w:rsid w:val="0085318C"/>
    <w:rsid w:val="0085340B"/>
    <w:rsid w:val="00854858"/>
    <w:rsid w:val="00855DBA"/>
    <w:rsid w:val="00856191"/>
    <w:rsid w:val="008561A5"/>
    <w:rsid w:val="0085787C"/>
    <w:rsid w:val="00857A82"/>
    <w:rsid w:val="008607A3"/>
    <w:rsid w:val="00860F7B"/>
    <w:rsid w:val="00861595"/>
    <w:rsid w:val="008620E2"/>
    <w:rsid w:val="0086539F"/>
    <w:rsid w:val="00866180"/>
    <w:rsid w:val="008711EE"/>
    <w:rsid w:val="00873836"/>
    <w:rsid w:val="00874F15"/>
    <w:rsid w:val="00875E50"/>
    <w:rsid w:val="008760D7"/>
    <w:rsid w:val="0087641D"/>
    <w:rsid w:val="00877B37"/>
    <w:rsid w:val="00880FEE"/>
    <w:rsid w:val="0088134A"/>
    <w:rsid w:val="00881E7C"/>
    <w:rsid w:val="00882897"/>
    <w:rsid w:val="00885737"/>
    <w:rsid w:val="00885D9F"/>
    <w:rsid w:val="00890650"/>
    <w:rsid w:val="008909E1"/>
    <w:rsid w:val="0089140A"/>
    <w:rsid w:val="00892C40"/>
    <w:rsid w:val="00893827"/>
    <w:rsid w:val="008944DC"/>
    <w:rsid w:val="00894621"/>
    <w:rsid w:val="00894A32"/>
    <w:rsid w:val="00894ED5"/>
    <w:rsid w:val="0089534E"/>
    <w:rsid w:val="00895A52"/>
    <w:rsid w:val="00896244"/>
    <w:rsid w:val="008969A7"/>
    <w:rsid w:val="00897E12"/>
    <w:rsid w:val="008A11B1"/>
    <w:rsid w:val="008A14DF"/>
    <w:rsid w:val="008A1910"/>
    <w:rsid w:val="008A41B1"/>
    <w:rsid w:val="008A50B9"/>
    <w:rsid w:val="008A6C16"/>
    <w:rsid w:val="008A755D"/>
    <w:rsid w:val="008A77C1"/>
    <w:rsid w:val="008A7E0F"/>
    <w:rsid w:val="008B08A7"/>
    <w:rsid w:val="008B12F5"/>
    <w:rsid w:val="008B159B"/>
    <w:rsid w:val="008B37E2"/>
    <w:rsid w:val="008B3A0E"/>
    <w:rsid w:val="008B3A53"/>
    <w:rsid w:val="008B5EE3"/>
    <w:rsid w:val="008B67AE"/>
    <w:rsid w:val="008B7113"/>
    <w:rsid w:val="008C02D3"/>
    <w:rsid w:val="008C052A"/>
    <w:rsid w:val="008C249A"/>
    <w:rsid w:val="008C2B24"/>
    <w:rsid w:val="008C32EB"/>
    <w:rsid w:val="008C3605"/>
    <w:rsid w:val="008C4E7F"/>
    <w:rsid w:val="008C5884"/>
    <w:rsid w:val="008C5DD2"/>
    <w:rsid w:val="008C5E2D"/>
    <w:rsid w:val="008C61B9"/>
    <w:rsid w:val="008C63FA"/>
    <w:rsid w:val="008C6BBD"/>
    <w:rsid w:val="008D091D"/>
    <w:rsid w:val="008D0B3F"/>
    <w:rsid w:val="008D0F9C"/>
    <w:rsid w:val="008D1900"/>
    <w:rsid w:val="008D2C60"/>
    <w:rsid w:val="008D2DD6"/>
    <w:rsid w:val="008D3121"/>
    <w:rsid w:val="008D3843"/>
    <w:rsid w:val="008D768D"/>
    <w:rsid w:val="008E08C2"/>
    <w:rsid w:val="008E286D"/>
    <w:rsid w:val="008E2FE7"/>
    <w:rsid w:val="008E3759"/>
    <w:rsid w:val="008E3BFE"/>
    <w:rsid w:val="008E458D"/>
    <w:rsid w:val="008E4B65"/>
    <w:rsid w:val="008F0EC0"/>
    <w:rsid w:val="008F1053"/>
    <w:rsid w:val="008F1912"/>
    <w:rsid w:val="008F3662"/>
    <w:rsid w:val="008F41B8"/>
    <w:rsid w:val="008F432C"/>
    <w:rsid w:val="008F487C"/>
    <w:rsid w:val="008F48E5"/>
    <w:rsid w:val="008F4C3E"/>
    <w:rsid w:val="008F4C9E"/>
    <w:rsid w:val="008F6138"/>
    <w:rsid w:val="009004EA"/>
    <w:rsid w:val="00900A41"/>
    <w:rsid w:val="00902108"/>
    <w:rsid w:val="0090270B"/>
    <w:rsid w:val="0090395E"/>
    <w:rsid w:val="00903B91"/>
    <w:rsid w:val="009041DC"/>
    <w:rsid w:val="00904B28"/>
    <w:rsid w:val="00906951"/>
    <w:rsid w:val="00906AE3"/>
    <w:rsid w:val="00907A39"/>
    <w:rsid w:val="00907D5A"/>
    <w:rsid w:val="00911763"/>
    <w:rsid w:val="00911CC2"/>
    <w:rsid w:val="00911DAC"/>
    <w:rsid w:val="0091353C"/>
    <w:rsid w:val="00913727"/>
    <w:rsid w:val="00914955"/>
    <w:rsid w:val="0091527D"/>
    <w:rsid w:val="00917B5A"/>
    <w:rsid w:val="00920A58"/>
    <w:rsid w:val="00920A8C"/>
    <w:rsid w:val="00920BB5"/>
    <w:rsid w:val="00923168"/>
    <w:rsid w:val="00924972"/>
    <w:rsid w:val="00924E1E"/>
    <w:rsid w:val="009253DC"/>
    <w:rsid w:val="009256C5"/>
    <w:rsid w:val="009300A3"/>
    <w:rsid w:val="009309F7"/>
    <w:rsid w:val="009317C7"/>
    <w:rsid w:val="00931A96"/>
    <w:rsid w:val="0093411F"/>
    <w:rsid w:val="0093439B"/>
    <w:rsid w:val="00934A2C"/>
    <w:rsid w:val="0093560B"/>
    <w:rsid w:val="0093599A"/>
    <w:rsid w:val="00936CE1"/>
    <w:rsid w:val="00940372"/>
    <w:rsid w:val="00941BF5"/>
    <w:rsid w:val="00942229"/>
    <w:rsid w:val="00943143"/>
    <w:rsid w:val="00943976"/>
    <w:rsid w:val="00944809"/>
    <w:rsid w:val="00945F9F"/>
    <w:rsid w:val="0094645D"/>
    <w:rsid w:val="00946508"/>
    <w:rsid w:val="00946C00"/>
    <w:rsid w:val="0094759A"/>
    <w:rsid w:val="00950A4A"/>
    <w:rsid w:val="009566D6"/>
    <w:rsid w:val="0095683D"/>
    <w:rsid w:val="009578B8"/>
    <w:rsid w:val="00957EC1"/>
    <w:rsid w:val="0096035F"/>
    <w:rsid w:val="00960964"/>
    <w:rsid w:val="00960991"/>
    <w:rsid w:val="00964995"/>
    <w:rsid w:val="00965ED8"/>
    <w:rsid w:val="009661C6"/>
    <w:rsid w:val="0096706E"/>
    <w:rsid w:val="00967ABF"/>
    <w:rsid w:val="00971048"/>
    <w:rsid w:val="009724FB"/>
    <w:rsid w:val="009727B0"/>
    <w:rsid w:val="00974491"/>
    <w:rsid w:val="00975C4E"/>
    <w:rsid w:val="009811CC"/>
    <w:rsid w:val="00981F5D"/>
    <w:rsid w:val="00981FBA"/>
    <w:rsid w:val="00983014"/>
    <w:rsid w:val="00985047"/>
    <w:rsid w:val="00985339"/>
    <w:rsid w:val="0098537A"/>
    <w:rsid w:val="00985712"/>
    <w:rsid w:val="009904EE"/>
    <w:rsid w:val="009905CE"/>
    <w:rsid w:val="00991671"/>
    <w:rsid w:val="0099224C"/>
    <w:rsid w:val="00993D0E"/>
    <w:rsid w:val="00994934"/>
    <w:rsid w:val="009952C4"/>
    <w:rsid w:val="00995AF0"/>
    <w:rsid w:val="009964F2"/>
    <w:rsid w:val="00997127"/>
    <w:rsid w:val="009973D9"/>
    <w:rsid w:val="009973E7"/>
    <w:rsid w:val="00997BC5"/>
    <w:rsid w:val="009A08CF"/>
    <w:rsid w:val="009A12F5"/>
    <w:rsid w:val="009A1A6E"/>
    <w:rsid w:val="009A3124"/>
    <w:rsid w:val="009A4F41"/>
    <w:rsid w:val="009A56CE"/>
    <w:rsid w:val="009A7862"/>
    <w:rsid w:val="009A78FC"/>
    <w:rsid w:val="009B0086"/>
    <w:rsid w:val="009B0C1D"/>
    <w:rsid w:val="009B0FD9"/>
    <w:rsid w:val="009B16CC"/>
    <w:rsid w:val="009B381B"/>
    <w:rsid w:val="009B4F39"/>
    <w:rsid w:val="009B54AE"/>
    <w:rsid w:val="009B6D8B"/>
    <w:rsid w:val="009B6FCB"/>
    <w:rsid w:val="009B7919"/>
    <w:rsid w:val="009C0435"/>
    <w:rsid w:val="009C0687"/>
    <w:rsid w:val="009C0BD7"/>
    <w:rsid w:val="009C1662"/>
    <w:rsid w:val="009C3A62"/>
    <w:rsid w:val="009C5136"/>
    <w:rsid w:val="009C5824"/>
    <w:rsid w:val="009C5DB7"/>
    <w:rsid w:val="009C6902"/>
    <w:rsid w:val="009C7AB7"/>
    <w:rsid w:val="009D0058"/>
    <w:rsid w:val="009D0609"/>
    <w:rsid w:val="009D095D"/>
    <w:rsid w:val="009D0A0C"/>
    <w:rsid w:val="009D0DCC"/>
    <w:rsid w:val="009D1753"/>
    <w:rsid w:val="009D2AD0"/>
    <w:rsid w:val="009D442B"/>
    <w:rsid w:val="009D5C18"/>
    <w:rsid w:val="009D6690"/>
    <w:rsid w:val="009D67BB"/>
    <w:rsid w:val="009D6E3F"/>
    <w:rsid w:val="009D6F4B"/>
    <w:rsid w:val="009D7611"/>
    <w:rsid w:val="009E00B7"/>
    <w:rsid w:val="009E0B61"/>
    <w:rsid w:val="009E1066"/>
    <w:rsid w:val="009E150B"/>
    <w:rsid w:val="009E3D2D"/>
    <w:rsid w:val="009E4E04"/>
    <w:rsid w:val="009E53DE"/>
    <w:rsid w:val="009E602B"/>
    <w:rsid w:val="009E6F5D"/>
    <w:rsid w:val="009E6FBC"/>
    <w:rsid w:val="009E79C8"/>
    <w:rsid w:val="009F125D"/>
    <w:rsid w:val="009F198E"/>
    <w:rsid w:val="009F2007"/>
    <w:rsid w:val="009F296E"/>
    <w:rsid w:val="009F326C"/>
    <w:rsid w:val="009F4673"/>
    <w:rsid w:val="009F4E4B"/>
    <w:rsid w:val="009F645A"/>
    <w:rsid w:val="009F6544"/>
    <w:rsid w:val="009F7B49"/>
    <w:rsid w:val="00A02ACB"/>
    <w:rsid w:val="00A02E70"/>
    <w:rsid w:val="00A0379C"/>
    <w:rsid w:val="00A05032"/>
    <w:rsid w:val="00A068E2"/>
    <w:rsid w:val="00A07D35"/>
    <w:rsid w:val="00A10EF7"/>
    <w:rsid w:val="00A11212"/>
    <w:rsid w:val="00A11CE0"/>
    <w:rsid w:val="00A11E44"/>
    <w:rsid w:val="00A14AED"/>
    <w:rsid w:val="00A15562"/>
    <w:rsid w:val="00A15BFB"/>
    <w:rsid w:val="00A170A7"/>
    <w:rsid w:val="00A17486"/>
    <w:rsid w:val="00A17BEF"/>
    <w:rsid w:val="00A24212"/>
    <w:rsid w:val="00A24F31"/>
    <w:rsid w:val="00A253D3"/>
    <w:rsid w:val="00A269E3"/>
    <w:rsid w:val="00A300A1"/>
    <w:rsid w:val="00A30100"/>
    <w:rsid w:val="00A3024B"/>
    <w:rsid w:val="00A30783"/>
    <w:rsid w:val="00A30A55"/>
    <w:rsid w:val="00A31D16"/>
    <w:rsid w:val="00A32470"/>
    <w:rsid w:val="00A328B3"/>
    <w:rsid w:val="00A3402D"/>
    <w:rsid w:val="00A346A4"/>
    <w:rsid w:val="00A36335"/>
    <w:rsid w:val="00A40B43"/>
    <w:rsid w:val="00A410B1"/>
    <w:rsid w:val="00A41ACC"/>
    <w:rsid w:val="00A42D51"/>
    <w:rsid w:val="00A42E75"/>
    <w:rsid w:val="00A42EDE"/>
    <w:rsid w:val="00A437E1"/>
    <w:rsid w:val="00A439B5"/>
    <w:rsid w:val="00A44C25"/>
    <w:rsid w:val="00A4706D"/>
    <w:rsid w:val="00A476B4"/>
    <w:rsid w:val="00A4791E"/>
    <w:rsid w:val="00A47AD0"/>
    <w:rsid w:val="00A508FE"/>
    <w:rsid w:val="00A50FCF"/>
    <w:rsid w:val="00A5199F"/>
    <w:rsid w:val="00A51C04"/>
    <w:rsid w:val="00A51F17"/>
    <w:rsid w:val="00A52572"/>
    <w:rsid w:val="00A528D1"/>
    <w:rsid w:val="00A56C27"/>
    <w:rsid w:val="00A57AA9"/>
    <w:rsid w:val="00A57DCA"/>
    <w:rsid w:val="00A60D3E"/>
    <w:rsid w:val="00A60DC4"/>
    <w:rsid w:val="00A610CD"/>
    <w:rsid w:val="00A61EBA"/>
    <w:rsid w:val="00A62AA2"/>
    <w:rsid w:val="00A62B11"/>
    <w:rsid w:val="00A62B39"/>
    <w:rsid w:val="00A63E3E"/>
    <w:rsid w:val="00A6593B"/>
    <w:rsid w:val="00A66122"/>
    <w:rsid w:val="00A666A3"/>
    <w:rsid w:val="00A67174"/>
    <w:rsid w:val="00A674C9"/>
    <w:rsid w:val="00A67D63"/>
    <w:rsid w:val="00A7089C"/>
    <w:rsid w:val="00A72450"/>
    <w:rsid w:val="00A72760"/>
    <w:rsid w:val="00A731EA"/>
    <w:rsid w:val="00A74863"/>
    <w:rsid w:val="00A74CC0"/>
    <w:rsid w:val="00A758AA"/>
    <w:rsid w:val="00A764BB"/>
    <w:rsid w:val="00A766D8"/>
    <w:rsid w:val="00A8019A"/>
    <w:rsid w:val="00A80521"/>
    <w:rsid w:val="00A80F37"/>
    <w:rsid w:val="00A815EE"/>
    <w:rsid w:val="00A82622"/>
    <w:rsid w:val="00A82D99"/>
    <w:rsid w:val="00A82FF8"/>
    <w:rsid w:val="00A84E0E"/>
    <w:rsid w:val="00A861F0"/>
    <w:rsid w:val="00A8631F"/>
    <w:rsid w:val="00A86358"/>
    <w:rsid w:val="00A86ED6"/>
    <w:rsid w:val="00A91830"/>
    <w:rsid w:val="00A92C34"/>
    <w:rsid w:val="00A93975"/>
    <w:rsid w:val="00A93DC1"/>
    <w:rsid w:val="00A951C9"/>
    <w:rsid w:val="00A964F5"/>
    <w:rsid w:val="00A96AB9"/>
    <w:rsid w:val="00A97158"/>
    <w:rsid w:val="00A973AF"/>
    <w:rsid w:val="00AA09A2"/>
    <w:rsid w:val="00AA0AA7"/>
    <w:rsid w:val="00AA0D1B"/>
    <w:rsid w:val="00AA1C15"/>
    <w:rsid w:val="00AA2C04"/>
    <w:rsid w:val="00AA3592"/>
    <w:rsid w:val="00AA3F5E"/>
    <w:rsid w:val="00AA43E5"/>
    <w:rsid w:val="00AA550B"/>
    <w:rsid w:val="00AA570E"/>
    <w:rsid w:val="00AA5741"/>
    <w:rsid w:val="00AA7996"/>
    <w:rsid w:val="00AA7B4E"/>
    <w:rsid w:val="00AA7E67"/>
    <w:rsid w:val="00AB05E0"/>
    <w:rsid w:val="00AB099B"/>
    <w:rsid w:val="00AB1596"/>
    <w:rsid w:val="00AB1746"/>
    <w:rsid w:val="00AB2067"/>
    <w:rsid w:val="00AB2432"/>
    <w:rsid w:val="00AB3977"/>
    <w:rsid w:val="00AB3A15"/>
    <w:rsid w:val="00AB3C7A"/>
    <w:rsid w:val="00AB59BD"/>
    <w:rsid w:val="00AB5D17"/>
    <w:rsid w:val="00AB6530"/>
    <w:rsid w:val="00AB65A7"/>
    <w:rsid w:val="00AB791B"/>
    <w:rsid w:val="00AC167C"/>
    <w:rsid w:val="00AC19CB"/>
    <w:rsid w:val="00AC2FD3"/>
    <w:rsid w:val="00AC3376"/>
    <w:rsid w:val="00AC3828"/>
    <w:rsid w:val="00AD162C"/>
    <w:rsid w:val="00AD17D3"/>
    <w:rsid w:val="00AD2945"/>
    <w:rsid w:val="00AD2CCE"/>
    <w:rsid w:val="00AD3F58"/>
    <w:rsid w:val="00AD517D"/>
    <w:rsid w:val="00AD6AE2"/>
    <w:rsid w:val="00AD7F47"/>
    <w:rsid w:val="00AE28B4"/>
    <w:rsid w:val="00AE29EC"/>
    <w:rsid w:val="00AE4FD1"/>
    <w:rsid w:val="00AE5488"/>
    <w:rsid w:val="00AE5943"/>
    <w:rsid w:val="00AE60DE"/>
    <w:rsid w:val="00AE6F0A"/>
    <w:rsid w:val="00AE6F91"/>
    <w:rsid w:val="00AE7C12"/>
    <w:rsid w:val="00AE7DAA"/>
    <w:rsid w:val="00AF1AEE"/>
    <w:rsid w:val="00AF1F2B"/>
    <w:rsid w:val="00AF287A"/>
    <w:rsid w:val="00AF3728"/>
    <w:rsid w:val="00AF5571"/>
    <w:rsid w:val="00AF56C9"/>
    <w:rsid w:val="00AF66EC"/>
    <w:rsid w:val="00AF69ED"/>
    <w:rsid w:val="00AF736F"/>
    <w:rsid w:val="00B010FC"/>
    <w:rsid w:val="00B02D16"/>
    <w:rsid w:val="00B03118"/>
    <w:rsid w:val="00B04818"/>
    <w:rsid w:val="00B04C18"/>
    <w:rsid w:val="00B059A0"/>
    <w:rsid w:val="00B072F7"/>
    <w:rsid w:val="00B07341"/>
    <w:rsid w:val="00B11E27"/>
    <w:rsid w:val="00B1232B"/>
    <w:rsid w:val="00B12C9D"/>
    <w:rsid w:val="00B13107"/>
    <w:rsid w:val="00B13361"/>
    <w:rsid w:val="00B136FA"/>
    <w:rsid w:val="00B13DB2"/>
    <w:rsid w:val="00B14664"/>
    <w:rsid w:val="00B14A51"/>
    <w:rsid w:val="00B17E30"/>
    <w:rsid w:val="00B22C15"/>
    <w:rsid w:val="00B23A5B"/>
    <w:rsid w:val="00B2431B"/>
    <w:rsid w:val="00B24DD5"/>
    <w:rsid w:val="00B25B3A"/>
    <w:rsid w:val="00B30539"/>
    <w:rsid w:val="00B305FF"/>
    <w:rsid w:val="00B30FFC"/>
    <w:rsid w:val="00B314DB"/>
    <w:rsid w:val="00B318C9"/>
    <w:rsid w:val="00B32462"/>
    <w:rsid w:val="00B32886"/>
    <w:rsid w:val="00B32E78"/>
    <w:rsid w:val="00B333E7"/>
    <w:rsid w:val="00B34409"/>
    <w:rsid w:val="00B3589A"/>
    <w:rsid w:val="00B35EEE"/>
    <w:rsid w:val="00B361F2"/>
    <w:rsid w:val="00B3718B"/>
    <w:rsid w:val="00B3745F"/>
    <w:rsid w:val="00B3757B"/>
    <w:rsid w:val="00B422AB"/>
    <w:rsid w:val="00B4379E"/>
    <w:rsid w:val="00B44434"/>
    <w:rsid w:val="00B44CEE"/>
    <w:rsid w:val="00B4632A"/>
    <w:rsid w:val="00B5014A"/>
    <w:rsid w:val="00B50C3F"/>
    <w:rsid w:val="00B51B4B"/>
    <w:rsid w:val="00B5262C"/>
    <w:rsid w:val="00B530F1"/>
    <w:rsid w:val="00B530FF"/>
    <w:rsid w:val="00B539F1"/>
    <w:rsid w:val="00B572A5"/>
    <w:rsid w:val="00B575F8"/>
    <w:rsid w:val="00B60328"/>
    <w:rsid w:val="00B60A7B"/>
    <w:rsid w:val="00B66965"/>
    <w:rsid w:val="00B66D80"/>
    <w:rsid w:val="00B70277"/>
    <w:rsid w:val="00B7340E"/>
    <w:rsid w:val="00B7343B"/>
    <w:rsid w:val="00B74B55"/>
    <w:rsid w:val="00B76F1B"/>
    <w:rsid w:val="00B8024A"/>
    <w:rsid w:val="00B83DE1"/>
    <w:rsid w:val="00B86DF8"/>
    <w:rsid w:val="00B86EB5"/>
    <w:rsid w:val="00B87A9B"/>
    <w:rsid w:val="00B904F6"/>
    <w:rsid w:val="00B92076"/>
    <w:rsid w:val="00B93D7F"/>
    <w:rsid w:val="00B95202"/>
    <w:rsid w:val="00B952DC"/>
    <w:rsid w:val="00B95727"/>
    <w:rsid w:val="00B9574F"/>
    <w:rsid w:val="00B95CE5"/>
    <w:rsid w:val="00B967D9"/>
    <w:rsid w:val="00B976E0"/>
    <w:rsid w:val="00BA0D2F"/>
    <w:rsid w:val="00BA2327"/>
    <w:rsid w:val="00BA24BD"/>
    <w:rsid w:val="00BA276C"/>
    <w:rsid w:val="00BA28A6"/>
    <w:rsid w:val="00BA385D"/>
    <w:rsid w:val="00BA3B19"/>
    <w:rsid w:val="00BA65A8"/>
    <w:rsid w:val="00BA72BA"/>
    <w:rsid w:val="00BA7337"/>
    <w:rsid w:val="00BA7698"/>
    <w:rsid w:val="00BA76F6"/>
    <w:rsid w:val="00BA7F8B"/>
    <w:rsid w:val="00BB019D"/>
    <w:rsid w:val="00BB08CF"/>
    <w:rsid w:val="00BB1362"/>
    <w:rsid w:val="00BB2293"/>
    <w:rsid w:val="00BB306F"/>
    <w:rsid w:val="00BB3B8D"/>
    <w:rsid w:val="00BB3EA3"/>
    <w:rsid w:val="00BB7132"/>
    <w:rsid w:val="00BC1B6D"/>
    <w:rsid w:val="00BC4C82"/>
    <w:rsid w:val="00BC4D7F"/>
    <w:rsid w:val="00BC5E17"/>
    <w:rsid w:val="00BC63B3"/>
    <w:rsid w:val="00BC6D46"/>
    <w:rsid w:val="00BC6D6B"/>
    <w:rsid w:val="00BC7F70"/>
    <w:rsid w:val="00BD00DA"/>
    <w:rsid w:val="00BD0FF5"/>
    <w:rsid w:val="00BD19F3"/>
    <w:rsid w:val="00BD2DA4"/>
    <w:rsid w:val="00BD4B89"/>
    <w:rsid w:val="00BD54DB"/>
    <w:rsid w:val="00BD58CE"/>
    <w:rsid w:val="00BD5922"/>
    <w:rsid w:val="00BD5A53"/>
    <w:rsid w:val="00BD6648"/>
    <w:rsid w:val="00BE101A"/>
    <w:rsid w:val="00BE22D7"/>
    <w:rsid w:val="00BE25E9"/>
    <w:rsid w:val="00BE26FE"/>
    <w:rsid w:val="00BE3008"/>
    <w:rsid w:val="00BE3734"/>
    <w:rsid w:val="00BE5233"/>
    <w:rsid w:val="00BE5A13"/>
    <w:rsid w:val="00BE5E45"/>
    <w:rsid w:val="00BE757F"/>
    <w:rsid w:val="00BE7898"/>
    <w:rsid w:val="00BF02CB"/>
    <w:rsid w:val="00BF15E1"/>
    <w:rsid w:val="00BF20A6"/>
    <w:rsid w:val="00BF29D0"/>
    <w:rsid w:val="00BF4A99"/>
    <w:rsid w:val="00BF5118"/>
    <w:rsid w:val="00BF6FD8"/>
    <w:rsid w:val="00C00ED0"/>
    <w:rsid w:val="00C014D2"/>
    <w:rsid w:val="00C02A1D"/>
    <w:rsid w:val="00C034A7"/>
    <w:rsid w:val="00C03680"/>
    <w:rsid w:val="00C054DF"/>
    <w:rsid w:val="00C06B73"/>
    <w:rsid w:val="00C13094"/>
    <w:rsid w:val="00C150E3"/>
    <w:rsid w:val="00C15175"/>
    <w:rsid w:val="00C157A7"/>
    <w:rsid w:val="00C1643C"/>
    <w:rsid w:val="00C20FE6"/>
    <w:rsid w:val="00C2129C"/>
    <w:rsid w:val="00C21762"/>
    <w:rsid w:val="00C21FEF"/>
    <w:rsid w:val="00C23B3B"/>
    <w:rsid w:val="00C23BA4"/>
    <w:rsid w:val="00C24543"/>
    <w:rsid w:val="00C256A2"/>
    <w:rsid w:val="00C25ADB"/>
    <w:rsid w:val="00C2644F"/>
    <w:rsid w:val="00C2658C"/>
    <w:rsid w:val="00C266FA"/>
    <w:rsid w:val="00C27245"/>
    <w:rsid w:val="00C31536"/>
    <w:rsid w:val="00C32F0C"/>
    <w:rsid w:val="00C33A00"/>
    <w:rsid w:val="00C34223"/>
    <w:rsid w:val="00C342F5"/>
    <w:rsid w:val="00C34348"/>
    <w:rsid w:val="00C35CF8"/>
    <w:rsid w:val="00C37846"/>
    <w:rsid w:val="00C37EA7"/>
    <w:rsid w:val="00C40384"/>
    <w:rsid w:val="00C40BED"/>
    <w:rsid w:val="00C4205A"/>
    <w:rsid w:val="00C42413"/>
    <w:rsid w:val="00C445E2"/>
    <w:rsid w:val="00C44CB1"/>
    <w:rsid w:val="00C45CE7"/>
    <w:rsid w:val="00C50E71"/>
    <w:rsid w:val="00C514A3"/>
    <w:rsid w:val="00C51515"/>
    <w:rsid w:val="00C515EE"/>
    <w:rsid w:val="00C51C64"/>
    <w:rsid w:val="00C529CE"/>
    <w:rsid w:val="00C52C37"/>
    <w:rsid w:val="00C52E34"/>
    <w:rsid w:val="00C54453"/>
    <w:rsid w:val="00C5660B"/>
    <w:rsid w:val="00C56D3E"/>
    <w:rsid w:val="00C61DDC"/>
    <w:rsid w:val="00C629FB"/>
    <w:rsid w:val="00C62E83"/>
    <w:rsid w:val="00C62ECF"/>
    <w:rsid w:val="00C634B5"/>
    <w:rsid w:val="00C64240"/>
    <w:rsid w:val="00C650A0"/>
    <w:rsid w:val="00C655B7"/>
    <w:rsid w:val="00C6653D"/>
    <w:rsid w:val="00C66B72"/>
    <w:rsid w:val="00C70DF9"/>
    <w:rsid w:val="00C712F6"/>
    <w:rsid w:val="00C717D1"/>
    <w:rsid w:val="00C71842"/>
    <w:rsid w:val="00C71B37"/>
    <w:rsid w:val="00C72A2E"/>
    <w:rsid w:val="00C77EA0"/>
    <w:rsid w:val="00C8051E"/>
    <w:rsid w:val="00C82A32"/>
    <w:rsid w:val="00C82A5C"/>
    <w:rsid w:val="00C83F1A"/>
    <w:rsid w:val="00C862CB"/>
    <w:rsid w:val="00C86422"/>
    <w:rsid w:val="00C87AC4"/>
    <w:rsid w:val="00C91D7C"/>
    <w:rsid w:val="00C9217D"/>
    <w:rsid w:val="00C930C9"/>
    <w:rsid w:val="00C9464B"/>
    <w:rsid w:val="00C94CDF"/>
    <w:rsid w:val="00C94DAC"/>
    <w:rsid w:val="00C9567A"/>
    <w:rsid w:val="00C95FB0"/>
    <w:rsid w:val="00C97674"/>
    <w:rsid w:val="00CA0122"/>
    <w:rsid w:val="00CA058B"/>
    <w:rsid w:val="00CA0603"/>
    <w:rsid w:val="00CA11CD"/>
    <w:rsid w:val="00CA181F"/>
    <w:rsid w:val="00CA40BD"/>
    <w:rsid w:val="00CA425E"/>
    <w:rsid w:val="00CA533D"/>
    <w:rsid w:val="00CA68F9"/>
    <w:rsid w:val="00CA69CF"/>
    <w:rsid w:val="00CB1621"/>
    <w:rsid w:val="00CB212D"/>
    <w:rsid w:val="00CB2660"/>
    <w:rsid w:val="00CB2CBF"/>
    <w:rsid w:val="00CB4552"/>
    <w:rsid w:val="00CC0835"/>
    <w:rsid w:val="00CC1388"/>
    <w:rsid w:val="00CC1434"/>
    <w:rsid w:val="00CC22D2"/>
    <w:rsid w:val="00CC2E85"/>
    <w:rsid w:val="00CC58B0"/>
    <w:rsid w:val="00CC5E90"/>
    <w:rsid w:val="00CC603F"/>
    <w:rsid w:val="00CC79A0"/>
    <w:rsid w:val="00CD046C"/>
    <w:rsid w:val="00CD12C0"/>
    <w:rsid w:val="00CD32CA"/>
    <w:rsid w:val="00CD3D84"/>
    <w:rsid w:val="00CD4249"/>
    <w:rsid w:val="00CD436E"/>
    <w:rsid w:val="00CD5768"/>
    <w:rsid w:val="00CD7745"/>
    <w:rsid w:val="00CE0538"/>
    <w:rsid w:val="00CE076C"/>
    <w:rsid w:val="00CE0E21"/>
    <w:rsid w:val="00CE2498"/>
    <w:rsid w:val="00CE3DE9"/>
    <w:rsid w:val="00CE4377"/>
    <w:rsid w:val="00CE5199"/>
    <w:rsid w:val="00CE5A75"/>
    <w:rsid w:val="00CE66D5"/>
    <w:rsid w:val="00CF2297"/>
    <w:rsid w:val="00CF3292"/>
    <w:rsid w:val="00CF3E39"/>
    <w:rsid w:val="00CF5483"/>
    <w:rsid w:val="00CF637A"/>
    <w:rsid w:val="00CF6525"/>
    <w:rsid w:val="00CF6807"/>
    <w:rsid w:val="00CF69F3"/>
    <w:rsid w:val="00CF6B6E"/>
    <w:rsid w:val="00D03767"/>
    <w:rsid w:val="00D0401E"/>
    <w:rsid w:val="00D05247"/>
    <w:rsid w:val="00D059DE"/>
    <w:rsid w:val="00D05ABD"/>
    <w:rsid w:val="00D10C26"/>
    <w:rsid w:val="00D13F28"/>
    <w:rsid w:val="00D13FCE"/>
    <w:rsid w:val="00D15C44"/>
    <w:rsid w:val="00D16043"/>
    <w:rsid w:val="00D161D8"/>
    <w:rsid w:val="00D16A96"/>
    <w:rsid w:val="00D17425"/>
    <w:rsid w:val="00D17F23"/>
    <w:rsid w:val="00D20827"/>
    <w:rsid w:val="00D2084D"/>
    <w:rsid w:val="00D21D80"/>
    <w:rsid w:val="00D22ECC"/>
    <w:rsid w:val="00D24120"/>
    <w:rsid w:val="00D26689"/>
    <w:rsid w:val="00D27759"/>
    <w:rsid w:val="00D3044B"/>
    <w:rsid w:val="00D306D1"/>
    <w:rsid w:val="00D30800"/>
    <w:rsid w:val="00D30FD7"/>
    <w:rsid w:val="00D3212B"/>
    <w:rsid w:val="00D32473"/>
    <w:rsid w:val="00D32705"/>
    <w:rsid w:val="00D34153"/>
    <w:rsid w:val="00D34198"/>
    <w:rsid w:val="00D34786"/>
    <w:rsid w:val="00D35276"/>
    <w:rsid w:val="00D36550"/>
    <w:rsid w:val="00D37080"/>
    <w:rsid w:val="00D379D8"/>
    <w:rsid w:val="00D37BFC"/>
    <w:rsid w:val="00D40097"/>
    <w:rsid w:val="00D4017D"/>
    <w:rsid w:val="00D412B1"/>
    <w:rsid w:val="00D417C0"/>
    <w:rsid w:val="00D422FD"/>
    <w:rsid w:val="00D433D0"/>
    <w:rsid w:val="00D4514E"/>
    <w:rsid w:val="00D45609"/>
    <w:rsid w:val="00D4567B"/>
    <w:rsid w:val="00D474E6"/>
    <w:rsid w:val="00D47A8E"/>
    <w:rsid w:val="00D500BC"/>
    <w:rsid w:val="00D503DF"/>
    <w:rsid w:val="00D5183F"/>
    <w:rsid w:val="00D5221D"/>
    <w:rsid w:val="00D5257E"/>
    <w:rsid w:val="00D52D14"/>
    <w:rsid w:val="00D5313C"/>
    <w:rsid w:val="00D55032"/>
    <w:rsid w:val="00D55635"/>
    <w:rsid w:val="00D55A69"/>
    <w:rsid w:val="00D55EFD"/>
    <w:rsid w:val="00D57238"/>
    <w:rsid w:val="00D57D17"/>
    <w:rsid w:val="00D602F6"/>
    <w:rsid w:val="00D61A60"/>
    <w:rsid w:val="00D61B10"/>
    <w:rsid w:val="00D62ED7"/>
    <w:rsid w:val="00D63143"/>
    <w:rsid w:val="00D64247"/>
    <w:rsid w:val="00D66AB1"/>
    <w:rsid w:val="00D67349"/>
    <w:rsid w:val="00D7043B"/>
    <w:rsid w:val="00D70C11"/>
    <w:rsid w:val="00D712D3"/>
    <w:rsid w:val="00D71422"/>
    <w:rsid w:val="00D719D1"/>
    <w:rsid w:val="00D72DC6"/>
    <w:rsid w:val="00D73703"/>
    <w:rsid w:val="00D73AE8"/>
    <w:rsid w:val="00D74AE6"/>
    <w:rsid w:val="00D7558D"/>
    <w:rsid w:val="00D75E50"/>
    <w:rsid w:val="00D80E4A"/>
    <w:rsid w:val="00D81AC2"/>
    <w:rsid w:val="00D81D92"/>
    <w:rsid w:val="00D85778"/>
    <w:rsid w:val="00D86E69"/>
    <w:rsid w:val="00D86F51"/>
    <w:rsid w:val="00D876F9"/>
    <w:rsid w:val="00D878D6"/>
    <w:rsid w:val="00D90BF3"/>
    <w:rsid w:val="00D91093"/>
    <w:rsid w:val="00D93C90"/>
    <w:rsid w:val="00D93E6C"/>
    <w:rsid w:val="00D94261"/>
    <w:rsid w:val="00D948BE"/>
    <w:rsid w:val="00D948F1"/>
    <w:rsid w:val="00D94C8B"/>
    <w:rsid w:val="00D94E62"/>
    <w:rsid w:val="00D96265"/>
    <w:rsid w:val="00D9722F"/>
    <w:rsid w:val="00DA1B1A"/>
    <w:rsid w:val="00DA2051"/>
    <w:rsid w:val="00DA2F75"/>
    <w:rsid w:val="00DA313B"/>
    <w:rsid w:val="00DA31F1"/>
    <w:rsid w:val="00DA642B"/>
    <w:rsid w:val="00DA7B5F"/>
    <w:rsid w:val="00DB0506"/>
    <w:rsid w:val="00DB160D"/>
    <w:rsid w:val="00DB187D"/>
    <w:rsid w:val="00DB1A91"/>
    <w:rsid w:val="00DB22D9"/>
    <w:rsid w:val="00DB382E"/>
    <w:rsid w:val="00DB3983"/>
    <w:rsid w:val="00DB4F24"/>
    <w:rsid w:val="00DB587C"/>
    <w:rsid w:val="00DC11E7"/>
    <w:rsid w:val="00DC1AAC"/>
    <w:rsid w:val="00DC24E3"/>
    <w:rsid w:val="00DC3BB7"/>
    <w:rsid w:val="00DC421E"/>
    <w:rsid w:val="00DC49AA"/>
    <w:rsid w:val="00DC4F64"/>
    <w:rsid w:val="00DC62F3"/>
    <w:rsid w:val="00DC6E73"/>
    <w:rsid w:val="00DC7023"/>
    <w:rsid w:val="00DC769A"/>
    <w:rsid w:val="00DD088C"/>
    <w:rsid w:val="00DD19AB"/>
    <w:rsid w:val="00DD21C0"/>
    <w:rsid w:val="00DD329C"/>
    <w:rsid w:val="00DD3AA5"/>
    <w:rsid w:val="00DD3D86"/>
    <w:rsid w:val="00DD4AD2"/>
    <w:rsid w:val="00DD4D8C"/>
    <w:rsid w:val="00DD7776"/>
    <w:rsid w:val="00DE2862"/>
    <w:rsid w:val="00DE4E74"/>
    <w:rsid w:val="00DE6BFB"/>
    <w:rsid w:val="00DF02E4"/>
    <w:rsid w:val="00DF10DE"/>
    <w:rsid w:val="00DF1EC4"/>
    <w:rsid w:val="00DF4BD9"/>
    <w:rsid w:val="00DF739F"/>
    <w:rsid w:val="00E0003F"/>
    <w:rsid w:val="00E00D5C"/>
    <w:rsid w:val="00E01450"/>
    <w:rsid w:val="00E02224"/>
    <w:rsid w:val="00E0340B"/>
    <w:rsid w:val="00E037E9"/>
    <w:rsid w:val="00E04A90"/>
    <w:rsid w:val="00E04BCD"/>
    <w:rsid w:val="00E0551F"/>
    <w:rsid w:val="00E0659A"/>
    <w:rsid w:val="00E0677D"/>
    <w:rsid w:val="00E118D0"/>
    <w:rsid w:val="00E1349B"/>
    <w:rsid w:val="00E16A2D"/>
    <w:rsid w:val="00E17AA0"/>
    <w:rsid w:val="00E17AF4"/>
    <w:rsid w:val="00E2175D"/>
    <w:rsid w:val="00E219C7"/>
    <w:rsid w:val="00E22863"/>
    <w:rsid w:val="00E22A76"/>
    <w:rsid w:val="00E23118"/>
    <w:rsid w:val="00E236E8"/>
    <w:rsid w:val="00E302AE"/>
    <w:rsid w:val="00E310F8"/>
    <w:rsid w:val="00E32492"/>
    <w:rsid w:val="00E35170"/>
    <w:rsid w:val="00E35C88"/>
    <w:rsid w:val="00E36884"/>
    <w:rsid w:val="00E36F73"/>
    <w:rsid w:val="00E40473"/>
    <w:rsid w:val="00E40E93"/>
    <w:rsid w:val="00E4118C"/>
    <w:rsid w:val="00E411DF"/>
    <w:rsid w:val="00E42EDB"/>
    <w:rsid w:val="00E43157"/>
    <w:rsid w:val="00E43EC7"/>
    <w:rsid w:val="00E440E5"/>
    <w:rsid w:val="00E459B5"/>
    <w:rsid w:val="00E461CE"/>
    <w:rsid w:val="00E46861"/>
    <w:rsid w:val="00E4703E"/>
    <w:rsid w:val="00E47295"/>
    <w:rsid w:val="00E47368"/>
    <w:rsid w:val="00E474F4"/>
    <w:rsid w:val="00E50839"/>
    <w:rsid w:val="00E509A3"/>
    <w:rsid w:val="00E50AC2"/>
    <w:rsid w:val="00E51928"/>
    <w:rsid w:val="00E52B1D"/>
    <w:rsid w:val="00E53AA5"/>
    <w:rsid w:val="00E56DC1"/>
    <w:rsid w:val="00E56E62"/>
    <w:rsid w:val="00E573E4"/>
    <w:rsid w:val="00E60CD0"/>
    <w:rsid w:val="00E62829"/>
    <w:rsid w:val="00E630F5"/>
    <w:rsid w:val="00E643E5"/>
    <w:rsid w:val="00E64C3D"/>
    <w:rsid w:val="00E6539D"/>
    <w:rsid w:val="00E65669"/>
    <w:rsid w:val="00E65DF1"/>
    <w:rsid w:val="00E66386"/>
    <w:rsid w:val="00E7077F"/>
    <w:rsid w:val="00E70952"/>
    <w:rsid w:val="00E720CA"/>
    <w:rsid w:val="00E72459"/>
    <w:rsid w:val="00E7451F"/>
    <w:rsid w:val="00E74E37"/>
    <w:rsid w:val="00E75E50"/>
    <w:rsid w:val="00E76501"/>
    <w:rsid w:val="00E7702E"/>
    <w:rsid w:val="00E7725F"/>
    <w:rsid w:val="00E800E6"/>
    <w:rsid w:val="00E82894"/>
    <w:rsid w:val="00E82ED1"/>
    <w:rsid w:val="00E841FA"/>
    <w:rsid w:val="00E8433B"/>
    <w:rsid w:val="00E84EB5"/>
    <w:rsid w:val="00E85662"/>
    <w:rsid w:val="00E85CBB"/>
    <w:rsid w:val="00E8782A"/>
    <w:rsid w:val="00E8789F"/>
    <w:rsid w:val="00E87DE1"/>
    <w:rsid w:val="00E90004"/>
    <w:rsid w:val="00E92D4F"/>
    <w:rsid w:val="00E93F5D"/>
    <w:rsid w:val="00E953BA"/>
    <w:rsid w:val="00E95D2A"/>
    <w:rsid w:val="00E97B71"/>
    <w:rsid w:val="00EA1606"/>
    <w:rsid w:val="00EA16D7"/>
    <w:rsid w:val="00EA256D"/>
    <w:rsid w:val="00EA2897"/>
    <w:rsid w:val="00EA313D"/>
    <w:rsid w:val="00EA3A3D"/>
    <w:rsid w:val="00EA3D34"/>
    <w:rsid w:val="00EA4A2B"/>
    <w:rsid w:val="00EA4BBB"/>
    <w:rsid w:val="00EA4C13"/>
    <w:rsid w:val="00EB0027"/>
    <w:rsid w:val="00EB0207"/>
    <w:rsid w:val="00EB02CF"/>
    <w:rsid w:val="00EB0BED"/>
    <w:rsid w:val="00EB107E"/>
    <w:rsid w:val="00EB2B14"/>
    <w:rsid w:val="00EB2F6C"/>
    <w:rsid w:val="00EB3E9F"/>
    <w:rsid w:val="00EB454D"/>
    <w:rsid w:val="00EB4AD1"/>
    <w:rsid w:val="00EB7205"/>
    <w:rsid w:val="00EC1327"/>
    <w:rsid w:val="00EC32D1"/>
    <w:rsid w:val="00EC37EF"/>
    <w:rsid w:val="00EC42E9"/>
    <w:rsid w:val="00EC5623"/>
    <w:rsid w:val="00EC6E71"/>
    <w:rsid w:val="00EC6FBD"/>
    <w:rsid w:val="00ED1245"/>
    <w:rsid w:val="00ED2DE4"/>
    <w:rsid w:val="00ED547E"/>
    <w:rsid w:val="00ED549D"/>
    <w:rsid w:val="00ED5E10"/>
    <w:rsid w:val="00ED71CD"/>
    <w:rsid w:val="00ED76BE"/>
    <w:rsid w:val="00ED7B03"/>
    <w:rsid w:val="00ED7EB6"/>
    <w:rsid w:val="00EE00E9"/>
    <w:rsid w:val="00EE3197"/>
    <w:rsid w:val="00EE3797"/>
    <w:rsid w:val="00EE4289"/>
    <w:rsid w:val="00EE61DB"/>
    <w:rsid w:val="00EE7CED"/>
    <w:rsid w:val="00EF127C"/>
    <w:rsid w:val="00EF1AAA"/>
    <w:rsid w:val="00EF1D41"/>
    <w:rsid w:val="00EF239F"/>
    <w:rsid w:val="00EF4866"/>
    <w:rsid w:val="00EF619B"/>
    <w:rsid w:val="00EF68DD"/>
    <w:rsid w:val="00EF6C89"/>
    <w:rsid w:val="00EF71E4"/>
    <w:rsid w:val="00EF7256"/>
    <w:rsid w:val="00EF7880"/>
    <w:rsid w:val="00F004AA"/>
    <w:rsid w:val="00F00B55"/>
    <w:rsid w:val="00F00E35"/>
    <w:rsid w:val="00F01080"/>
    <w:rsid w:val="00F01F70"/>
    <w:rsid w:val="00F020A1"/>
    <w:rsid w:val="00F02AD1"/>
    <w:rsid w:val="00F0390E"/>
    <w:rsid w:val="00F047EB"/>
    <w:rsid w:val="00F04A18"/>
    <w:rsid w:val="00F05360"/>
    <w:rsid w:val="00F068B3"/>
    <w:rsid w:val="00F07941"/>
    <w:rsid w:val="00F1082C"/>
    <w:rsid w:val="00F10EF6"/>
    <w:rsid w:val="00F122D8"/>
    <w:rsid w:val="00F12D68"/>
    <w:rsid w:val="00F139DF"/>
    <w:rsid w:val="00F13EA9"/>
    <w:rsid w:val="00F14943"/>
    <w:rsid w:val="00F14A75"/>
    <w:rsid w:val="00F159BA"/>
    <w:rsid w:val="00F1604A"/>
    <w:rsid w:val="00F16330"/>
    <w:rsid w:val="00F165B2"/>
    <w:rsid w:val="00F20023"/>
    <w:rsid w:val="00F204CE"/>
    <w:rsid w:val="00F21AEE"/>
    <w:rsid w:val="00F23410"/>
    <w:rsid w:val="00F245C5"/>
    <w:rsid w:val="00F253CC"/>
    <w:rsid w:val="00F265C6"/>
    <w:rsid w:val="00F302AD"/>
    <w:rsid w:val="00F30437"/>
    <w:rsid w:val="00F30597"/>
    <w:rsid w:val="00F320D8"/>
    <w:rsid w:val="00F330C1"/>
    <w:rsid w:val="00F3320A"/>
    <w:rsid w:val="00F35157"/>
    <w:rsid w:val="00F35239"/>
    <w:rsid w:val="00F36187"/>
    <w:rsid w:val="00F37106"/>
    <w:rsid w:val="00F3751A"/>
    <w:rsid w:val="00F37AB2"/>
    <w:rsid w:val="00F37EF4"/>
    <w:rsid w:val="00F4147E"/>
    <w:rsid w:val="00F44E25"/>
    <w:rsid w:val="00F4532C"/>
    <w:rsid w:val="00F4771D"/>
    <w:rsid w:val="00F51524"/>
    <w:rsid w:val="00F519CF"/>
    <w:rsid w:val="00F52434"/>
    <w:rsid w:val="00F53FC2"/>
    <w:rsid w:val="00F545F6"/>
    <w:rsid w:val="00F54A1D"/>
    <w:rsid w:val="00F55683"/>
    <w:rsid w:val="00F55D02"/>
    <w:rsid w:val="00F56BA5"/>
    <w:rsid w:val="00F56ECB"/>
    <w:rsid w:val="00F56FFB"/>
    <w:rsid w:val="00F57755"/>
    <w:rsid w:val="00F60E22"/>
    <w:rsid w:val="00F614BC"/>
    <w:rsid w:val="00F624F3"/>
    <w:rsid w:val="00F62BAD"/>
    <w:rsid w:val="00F64123"/>
    <w:rsid w:val="00F645B6"/>
    <w:rsid w:val="00F669D0"/>
    <w:rsid w:val="00F66B1C"/>
    <w:rsid w:val="00F717E6"/>
    <w:rsid w:val="00F71868"/>
    <w:rsid w:val="00F7191F"/>
    <w:rsid w:val="00F72F45"/>
    <w:rsid w:val="00F77583"/>
    <w:rsid w:val="00F77B11"/>
    <w:rsid w:val="00F81395"/>
    <w:rsid w:val="00F81BB8"/>
    <w:rsid w:val="00F81FD9"/>
    <w:rsid w:val="00F84A68"/>
    <w:rsid w:val="00F862BA"/>
    <w:rsid w:val="00F87420"/>
    <w:rsid w:val="00F87DB8"/>
    <w:rsid w:val="00F90192"/>
    <w:rsid w:val="00F902B8"/>
    <w:rsid w:val="00F90C4D"/>
    <w:rsid w:val="00F90C64"/>
    <w:rsid w:val="00F917D1"/>
    <w:rsid w:val="00F9182C"/>
    <w:rsid w:val="00F92481"/>
    <w:rsid w:val="00F9270B"/>
    <w:rsid w:val="00F92B83"/>
    <w:rsid w:val="00F92EEA"/>
    <w:rsid w:val="00F93D38"/>
    <w:rsid w:val="00F94A31"/>
    <w:rsid w:val="00F95EFF"/>
    <w:rsid w:val="00F9653B"/>
    <w:rsid w:val="00F97D6B"/>
    <w:rsid w:val="00FA2C05"/>
    <w:rsid w:val="00FA369F"/>
    <w:rsid w:val="00FA3A1A"/>
    <w:rsid w:val="00FA4111"/>
    <w:rsid w:val="00FA4660"/>
    <w:rsid w:val="00FA562D"/>
    <w:rsid w:val="00FA6111"/>
    <w:rsid w:val="00FA62ED"/>
    <w:rsid w:val="00FA734C"/>
    <w:rsid w:val="00FB0D05"/>
    <w:rsid w:val="00FB1039"/>
    <w:rsid w:val="00FB3917"/>
    <w:rsid w:val="00FB4EAD"/>
    <w:rsid w:val="00FB5469"/>
    <w:rsid w:val="00FB549E"/>
    <w:rsid w:val="00FB583A"/>
    <w:rsid w:val="00FB62CF"/>
    <w:rsid w:val="00FC0B34"/>
    <w:rsid w:val="00FC1039"/>
    <w:rsid w:val="00FC190A"/>
    <w:rsid w:val="00FC3D9C"/>
    <w:rsid w:val="00FC44EE"/>
    <w:rsid w:val="00FC46FB"/>
    <w:rsid w:val="00FC47D6"/>
    <w:rsid w:val="00FC50E0"/>
    <w:rsid w:val="00FC5E5C"/>
    <w:rsid w:val="00FC65A6"/>
    <w:rsid w:val="00FC6FE3"/>
    <w:rsid w:val="00FD3288"/>
    <w:rsid w:val="00FD3C3B"/>
    <w:rsid w:val="00FD5B02"/>
    <w:rsid w:val="00FE057E"/>
    <w:rsid w:val="00FE0596"/>
    <w:rsid w:val="00FE07DD"/>
    <w:rsid w:val="00FE0EBB"/>
    <w:rsid w:val="00FE2EBD"/>
    <w:rsid w:val="00FE4453"/>
    <w:rsid w:val="00FE561A"/>
    <w:rsid w:val="00FE6B45"/>
    <w:rsid w:val="00FF55F3"/>
    <w:rsid w:val="00FF5851"/>
    <w:rsid w:val="00FF6334"/>
    <w:rsid w:val="00FF6AFC"/>
    <w:rsid w:val="00FF76C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6C27"/>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D3527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64147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styleId="Revision">
    <w:name w:val="Revision"/>
    <w:hidden/>
    <w:uiPriority w:val="99"/>
    <w:semiHidden/>
    <w:rsid w:val="004B2A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F35239"/>
    <w:rPr>
      <w:sz w:val="16"/>
      <w:szCs w:val="16"/>
    </w:rPr>
  </w:style>
  <w:style w:type="paragraph" w:styleId="CommentText">
    <w:name w:val="annotation text"/>
    <w:basedOn w:val="Normal"/>
    <w:link w:val="CommentTextChar"/>
    <w:uiPriority w:val="99"/>
    <w:unhideWhenUsed/>
    <w:rsid w:val="00F35239"/>
    <w:rPr>
      <w:sz w:val="20"/>
      <w:szCs w:val="20"/>
    </w:rPr>
  </w:style>
  <w:style w:type="character" w:customStyle="1" w:styleId="CommentTextChar">
    <w:name w:val="Comment Text Char"/>
    <w:basedOn w:val="DefaultParagraphFont"/>
    <w:link w:val="CommentText"/>
    <w:uiPriority w:val="99"/>
    <w:rsid w:val="00F35239"/>
    <w:rPr>
      <w:lang w:val="en-US" w:eastAsia="en-US"/>
    </w:rPr>
  </w:style>
  <w:style w:type="paragraph" w:styleId="CommentSubject">
    <w:name w:val="annotation subject"/>
    <w:basedOn w:val="CommentText"/>
    <w:next w:val="CommentText"/>
    <w:link w:val="CommentSubjectChar"/>
    <w:uiPriority w:val="99"/>
    <w:semiHidden/>
    <w:unhideWhenUsed/>
    <w:rsid w:val="00F35239"/>
    <w:rPr>
      <w:b/>
      <w:bCs/>
    </w:rPr>
  </w:style>
  <w:style w:type="character" w:customStyle="1" w:styleId="CommentSubjectChar">
    <w:name w:val="Comment Subject Char"/>
    <w:basedOn w:val="CommentTextChar"/>
    <w:link w:val="CommentSubject"/>
    <w:uiPriority w:val="99"/>
    <w:semiHidden/>
    <w:rsid w:val="00F35239"/>
    <w:rPr>
      <w:b/>
      <w:bCs/>
      <w:lang w:val="en-US" w:eastAsia="en-US"/>
    </w:rPr>
  </w:style>
  <w:style w:type="paragraph" w:customStyle="1" w:styleId="paragraph">
    <w:name w:val="paragraph"/>
    <w:basedOn w:val="Normal"/>
    <w:rsid w:val="00774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74402"/>
  </w:style>
  <w:style w:type="character" w:customStyle="1" w:styleId="eop">
    <w:name w:val="eop"/>
    <w:basedOn w:val="DefaultParagraphFont"/>
    <w:rsid w:val="0077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37641932">
      <w:bodyDiv w:val="1"/>
      <w:marLeft w:val="0"/>
      <w:marRight w:val="0"/>
      <w:marTop w:val="0"/>
      <w:marBottom w:val="0"/>
      <w:divBdr>
        <w:top w:val="none" w:sz="0" w:space="0" w:color="auto"/>
        <w:left w:val="none" w:sz="0" w:space="0" w:color="auto"/>
        <w:bottom w:val="none" w:sz="0" w:space="0" w:color="auto"/>
        <w:right w:val="none" w:sz="0" w:space="0" w:color="auto"/>
      </w:divBdr>
      <w:divsChild>
        <w:div w:id="1390768605">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779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c.gob.gt/cc-migra/pdf/COM-2021/COM-05-2021.pdf" TargetMode="External"/><Relationship Id="rId2" Type="http://schemas.openxmlformats.org/officeDocument/2006/relationships/hyperlink" Target="https://reparations.qub.ac.uk/assets/uploads/Guatemalan-Report-ESP-LR-1.pdf" TargetMode="External"/><Relationship Id="rId1" Type="http://schemas.openxmlformats.org/officeDocument/2006/relationships/hyperlink" Target="https://www2.ohchr.org/english/bodies/hrcouncil/docs/11session/A.HRC.11.41.Add.3_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87E75"/>
    <w:rsid w:val="00200821"/>
    <w:rsid w:val="00240D71"/>
    <w:rsid w:val="0025245B"/>
    <w:rsid w:val="002A3923"/>
    <w:rsid w:val="00394049"/>
    <w:rsid w:val="003B0C71"/>
    <w:rsid w:val="003B717F"/>
    <w:rsid w:val="004078B1"/>
    <w:rsid w:val="004B5BBB"/>
    <w:rsid w:val="004F2DF8"/>
    <w:rsid w:val="00517E2A"/>
    <w:rsid w:val="00526314"/>
    <w:rsid w:val="006D3128"/>
    <w:rsid w:val="006F24A1"/>
    <w:rsid w:val="00875B8A"/>
    <w:rsid w:val="008953BC"/>
    <w:rsid w:val="00944013"/>
    <w:rsid w:val="00993D18"/>
    <w:rsid w:val="009A261B"/>
    <w:rsid w:val="00AA2E17"/>
    <w:rsid w:val="00AC15A4"/>
    <w:rsid w:val="00B0336C"/>
    <w:rsid w:val="00B754DD"/>
    <w:rsid w:val="00B8302B"/>
    <w:rsid w:val="00D241E9"/>
    <w:rsid w:val="00D7750D"/>
    <w:rsid w:val="00E1430F"/>
    <w:rsid w:val="00E9621D"/>
    <w:rsid w:val="00EB0F83"/>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13696</Words>
  <Characters>78069</Characters>
  <Application>Microsoft Office Word</Application>
  <DocSecurity>0</DocSecurity>
  <Lines>650</Lines>
  <Paragraphs>183</Paragraphs>
  <ScaleCrop>false</ScaleCrop>
  <Company/>
  <LinksUpToDate>false</LinksUpToDate>
  <CharactersWithSpaces>91582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2023-02-03T14:42:00Z</dcterms:created>
  <dcterms:modified xsi:type="dcterms:W3CDTF">2023-02-03T14:42:00Z</dcterms:modified>
</cp:coreProperties>
</file>