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C025E1" w:rsidRDefault="00D306D1" w:rsidP="00627C9F">
      <w:pPr>
        <w:jc w:val="both"/>
        <w:rPr>
          <w:rFonts w:asciiTheme="majorHAnsi" w:hAnsiTheme="majorHAnsi" w:cs="Univers"/>
          <w:b/>
          <w:bCs/>
          <w:sz w:val="22"/>
          <w:szCs w:val="22"/>
          <w:lang w:val="es-419"/>
        </w:rPr>
      </w:pPr>
      <w:r w:rsidRPr="00C025E1">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0334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C025E1">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B27291" w:rsidRDefault="00B27291"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B27291" w:rsidRDefault="00B27291"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C025E1" w:rsidRDefault="00040C3A" w:rsidP="00040C3A">
      <w:pPr>
        <w:tabs>
          <w:tab w:val="center" w:pos="5400"/>
        </w:tabs>
        <w:suppressAutoHyphens/>
        <w:jc w:val="both"/>
        <w:rPr>
          <w:rFonts w:asciiTheme="majorHAnsi" w:hAnsiTheme="majorHAnsi"/>
          <w:sz w:val="22"/>
          <w:szCs w:val="22"/>
          <w:lang w:val="es-419"/>
        </w:rPr>
      </w:pPr>
    </w:p>
    <w:p w14:paraId="5A87E141" w14:textId="77777777" w:rsidR="00040C3A" w:rsidRPr="00C025E1" w:rsidRDefault="00040C3A" w:rsidP="00040C3A">
      <w:pPr>
        <w:tabs>
          <w:tab w:val="center" w:pos="5400"/>
        </w:tabs>
        <w:suppressAutoHyphens/>
        <w:jc w:val="both"/>
        <w:rPr>
          <w:rFonts w:asciiTheme="majorHAnsi" w:hAnsiTheme="majorHAnsi"/>
          <w:sz w:val="22"/>
          <w:szCs w:val="22"/>
          <w:lang w:val="es-419"/>
        </w:rPr>
      </w:pPr>
    </w:p>
    <w:p w14:paraId="29D95BCC" w14:textId="77777777" w:rsidR="005128E4" w:rsidRPr="00C025E1" w:rsidRDefault="005128E4" w:rsidP="00040C3A">
      <w:pPr>
        <w:tabs>
          <w:tab w:val="center" w:pos="5400"/>
        </w:tabs>
        <w:suppressAutoHyphens/>
        <w:rPr>
          <w:rFonts w:asciiTheme="majorHAnsi" w:hAnsiTheme="majorHAnsi"/>
          <w:sz w:val="22"/>
          <w:szCs w:val="22"/>
          <w:lang w:val="es-419"/>
        </w:rPr>
      </w:pPr>
    </w:p>
    <w:p w14:paraId="12A36B24" w14:textId="77777777" w:rsidR="005128E4" w:rsidRPr="00C025E1" w:rsidRDefault="005128E4" w:rsidP="00040C3A">
      <w:pPr>
        <w:tabs>
          <w:tab w:val="center" w:pos="5400"/>
        </w:tabs>
        <w:suppressAutoHyphens/>
        <w:rPr>
          <w:rFonts w:asciiTheme="majorHAnsi" w:hAnsiTheme="majorHAnsi"/>
          <w:sz w:val="22"/>
          <w:szCs w:val="22"/>
          <w:lang w:val="es-419"/>
        </w:rPr>
      </w:pPr>
    </w:p>
    <w:p w14:paraId="2252093D" w14:textId="77777777" w:rsidR="005128E4" w:rsidRPr="00C025E1" w:rsidRDefault="005128E4" w:rsidP="00040C3A">
      <w:pPr>
        <w:tabs>
          <w:tab w:val="center" w:pos="5400"/>
        </w:tabs>
        <w:suppressAutoHyphens/>
        <w:rPr>
          <w:rFonts w:asciiTheme="majorHAnsi" w:hAnsiTheme="majorHAnsi"/>
          <w:sz w:val="22"/>
          <w:szCs w:val="22"/>
          <w:lang w:val="es-419"/>
        </w:rPr>
      </w:pPr>
    </w:p>
    <w:p w14:paraId="403935BD" w14:textId="77777777" w:rsidR="00040C3A" w:rsidRPr="00C025E1" w:rsidRDefault="00040C3A" w:rsidP="005128E4">
      <w:pPr>
        <w:tabs>
          <w:tab w:val="center" w:pos="5400"/>
        </w:tabs>
        <w:suppressAutoHyphens/>
        <w:jc w:val="center"/>
        <w:rPr>
          <w:rFonts w:asciiTheme="majorHAnsi" w:hAnsiTheme="majorHAnsi"/>
          <w:sz w:val="22"/>
          <w:szCs w:val="22"/>
          <w:lang w:val="es-419"/>
        </w:rPr>
      </w:pPr>
    </w:p>
    <w:p w14:paraId="6DCF5F8F" w14:textId="77777777" w:rsidR="00040C3A" w:rsidRPr="00C025E1" w:rsidRDefault="00040C3A" w:rsidP="005128E4">
      <w:pPr>
        <w:tabs>
          <w:tab w:val="center" w:pos="5400"/>
        </w:tabs>
        <w:suppressAutoHyphens/>
        <w:jc w:val="center"/>
        <w:rPr>
          <w:rFonts w:asciiTheme="majorHAnsi" w:hAnsiTheme="majorHAnsi"/>
          <w:sz w:val="22"/>
          <w:szCs w:val="22"/>
          <w:lang w:val="es-419"/>
        </w:rPr>
      </w:pPr>
    </w:p>
    <w:p w14:paraId="4791F13A" w14:textId="77777777" w:rsidR="005B52B0" w:rsidRPr="00C025E1" w:rsidRDefault="005B52B0" w:rsidP="005128E4">
      <w:pPr>
        <w:tabs>
          <w:tab w:val="center" w:pos="5400"/>
        </w:tabs>
        <w:suppressAutoHyphens/>
        <w:jc w:val="center"/>
        <w:rPr>
          <w:rFonts w:asciiTheme="majorHAnsi" w:hAnsiTheme="majorHAnsi"/>
          <w:sz w:val="22"/>
          <w:szCs w:val="22"/>
          <w:lang w:val="es-419"/>
        </w:rPr>
      </w:pPr>
    </w:p>
    <w:p w14:paraId="44E016B6" w14:textId="77777777" w:rsidR="005B52B0" w:rsidRPr="00C025E1" w:rsidRDefault="005B52B0" w:rsidP="005128E4">
      <w:pPr>
        <w:tabs>
          <w:tab w:val="center" w:pos="5400"/>
        </w:tabs>
        <w:suppressAutoHyphens/>
        <w:jc w:val="center"/>
        <w:rPr>
          <w:rFonts w:asciiTheme="majorHAnsi" w:hAnsiTheme="majorHAnsi"/>
          <w:sz w:val="22"/>
          <w:szCs w:val="22"/>
          <w:lang w:val="es-419"/>
        </w:rPr>
      </w:pPr>
    </w:p>
    <w:p w14:paraId="63D41962" w14:textId="77777777" w:rsidR="005B52B0" w:rsidRPr="00C025E1" w:rsidRDefault="005B52B0" w:rsidP="005128E4">
      <w:pPr>
        <w:tabs>
          <w:tab w:val="center" w:pos="5400"/>
        </w:tabs>
        <w:suppressAutoHyphens/>
        <w:jc w:val="center"/>
        <w:rPr>
          <w:rFonts w:asciiTheme="majorHAnsi" w:hAnsiTheme="majorHAnsi"/>
          <w:sz w:val="22"/>
          <w:szCs w:val="22"/>
          <w:lang w:val="es-419"/>
        </w:rPr>
      </w:pPr>
    </w:p>
    <w:p w14:paraId="5ADEB990" w14:textId="77777777" w:rsidR="00040C3A" w:rsidRPr="00C025E1" w:rsidRDefault="00040C3A" w:rsidP="00040C3A">
      <w:pPr>
        <w:tabs>
          <w:tab w:val="center" w:pos="5400"/>
        </w:tabs>
        <w:suppressAutoHyphens/>
        <w:jc w:val="center"/>
        <w:rPr>
          <w:rFonts w:asciiTheme="majorHAnsi" w:hAnsiTheme="majorHAnsi"/>
          <w:sz w:val="22"/>
          <w:szCs w:val="22"/>
          <w:lang w:val="es-419"/>
        </w:rPr>
      </w:pPr>
    </w:p>
    <w:p w14:paraId="2D81B7E8" w14:textId="77777777" w:rsidR="00040C3A" w:rsidRPr="00C025E1" w:rsidRDefault="00040C3A" w:rsidP="00040C3A">
      <w:pPr>
        <w:tabs>
          <w:tab w:val="center" w:pos="5400"/>
        </w:tabs>
        <w:suppressAutoHyphens/>
        <w:jc w:val="center"/>
        <w:rPr>
          <w:rFonts w:asciiTheme="majorHAnsi" w:hAnsiTheme="majorHAnsi"/>
          <w:sz w:val="22"/>
          <w:szCs w:val="22"/>
          <w:lang w:val="es-419"/>
        </w:rPr>
      </w:pPr>
    </w:p>
    <w:p w14:paraId="64791D04" w14:textId="77777777" w:rsidR="00040C3A" w:rsidRPr="00C025E1" w:rsidRDefault="003D3BC2" w:rsidP="00040C3A">
      <w:pPr>
        <w:tabs>
          <w:tab w:val="center" w:pos="5400"/>
        </w:tabs>
        <w:suppressAutoHyphens/>
        <w:jc w:val="center"/>
        <w:rPr>
          <w:rFonts w:asciiTheme="majorHAnsi" w:hAnsiTheme="majorHAnsi"/>
          <w:sz w:val="22"/>
          <w:szCs w:val="22"/>
          <w:lang w:val="es-419"/>
        </w:rPr>
      </w:pPr>
      <w:r w:rsidRPr="00C025E1">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6DB89F5" w:rsidR="00B27291" w:rsidRPr="004E2649" w:rsidRDefault="00B2729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C5050">
                              <w:rPr>
                                <w:rFonts w:asciiTheme="majorHAnsi" w:hAnsiTheme="majorHAnsi" w:cs="Arial"/>
                                <w:b/>
                                <w:bCs/>
                                <w:color w:val="0D0D0D" w:themeColor="text1" w:themeTint="F2"/>
                                <w:sz w:val="36"/>
                                <w:szCs w:val="22"/>
                                <w:lang w:val="es-ES_tradnl"/>
                              </w:rPr>
                              <w:t>355</w:t>
                            </w:r>
                            <w:r>
                              <w:rPr>
                                <w:rFonts w:asciiTheme="majorHAnsi" w:hAnsiTheme="majorHAnsi" w:cs="Arial"/>
                                <w:b/>
                                <w:bCs/>
                                <w:color w:val="0D0D0D" w:themeColor="text1" w:themeTint="F2"/>
                                <w:sz w:val="36"/>
                                <w:szCs w:val="22"/>
                                <w:lang w:val="es-ES_tradnl"/>
                              </w:rPr>
                              <w:t>/2</w:t>
                            </w:r>
                            <w:r w:rsidR="00B06B04">
                              <w:rPr>
                                <w:rFonts w:asciiTheme="majorHAnsi" w:hAnsiTheme="majorHAnsi" w:cs="Arial"/>
                                <w:b/>
                                <w:bCs/>
                                <w:color w:val="0D0D0D" w:themeColor="text1" w:themeTint="F2"/>
                                <w:sz w:val="36"/>
                                <w:szCs w:val="22"/>
                                <w:lang w:val="es-ES_tradnl"/>
                              </w:rPr>
                              <w:t>2</w:t>
                            </w:r>
                          </w:p>
                          <w:p w14:paraId="09C54AB3" w14:textId="5C412E51" w:rsidR="00B27291" w:rsidRDefault="00B2729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19</w:t>
                            </w:r>
                            <w:r w:rsidR="00A80CB2">
                              <w:rPr>
                                <w:rFonts w:asciiTheme="majorHAnsi" w:hAnsiTheme="majorHAnsi" w:cs="Arial"/>
                                <w:b/>
                                <w:color w:val="0D0D0D" w:themeColor="text1" w:themeTint="F2"/>
                                <w:sz w:val="36"/>
                                <w:szCs w:val="22"/>
                                <w:lang w:val="es-ES_tradnl"/>
                              </w:rPr>
                              <w:t>18</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0CF6833" w14:textId="67DC4240" w:rsidR="00B27291" w:rsidRPr="0010736F" w:rsidRDefault="00B2729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B27291" w:rsidRPr="0010736F" w:rsidRDefault="00B27291"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2914E98" w:rsidR="00B27291" w:rsidRPr="0010736F" w:rsidRDefault="006C0AF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VECINOS DE LA </w:t>
                            </w:r>
                            <w:r w:rsidR="00B27291">
                              <w:rPr>
                                <w:rFonts w:asciiTheme="majorHAnsi" w:hAnsiTheme="majorHAnsi" w:cs="Arial"/>
                                <w:color w:val="0D0D0D" w:themeColor="text1" w:themeTint="F2"/>
                                <w:szCs w:val="22"/>
                                <w:lang w:val="es-ES_tradnl"/>
                              </w:rPr>
                              <w:t xml:space="preserve">ALDEA SESAJAL </w:t>
                            </w:r>
                          </w:p>
                          <w:bookmarkEnd w:id="0"/>
                          <w:p w14:paraId="35068D0D" w14:textId="43C0EC88" w:rsidR="00B27291" w:rsidRPr="0010736F" w:rsidRDefault="00B2729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575DFD52" w14:textId="77777777" w:rsidR="00B27291" w:rsidRPr="00AE5488" w:rsidRDefault="00B2729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6DB89F5" w:rsidR="00B27291" w:rsidRPr="004E2649" w:rsidRDefault="00B2729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C5050">
                        <w:rPr>
                          <w:rFonts w:asciiTheme="majorHAnsi" w:hAnsiTheme="majorHAnsi" w:cs="Arial"/>
                          <w:b/>
                          <w:bCs/>
                          <w:color w:val="0D0D0D" w:themeColor="text1" w:themeTint="F2"/>
                          <w:sz w:val="36"/>
                          <w:szCs w:val="22"/>
                          <w:lang w:val="es-ES_tradnl"/>
                        </w:rPr>
                        <w:t>355</w:t>
                      </w:r>
                      <w:r>
                        <w:rPr>
                          <w:rFonts w:asciiTheme="majorHAnsi" w:hAnsiTheme="majorHAnsi" w:cs="Arial"/>
                          <w:b/>
                          <w:bCs/>
                          <w:color w:val="0D0D0D" w:themeColor="text1" w:themeTint="F2"/>
                          <w:sz w:val="36"/>
                          <w:szCs w:val="22"/>
                          <w:lang w:val="es-ES_tradnl"/>
                        </w:rPr>
                        <w:t>/2</w:t>
                      </w:r>
                      <w:r w:rsidR="00B06B04">
                        <w:rPr>
                          <w:rFonts w:asciiTheme="majorHAnsi" w:hAnsiTheme="majorHAnsi" w:cs="Arial"/>
                          <w:b/>
                          <w:bCs/>
                          <w:color w:val="0D0D0D" w:themeColor="text1" w:themeTint="F2"/>
                          <w:sz w:val="36"/>
                          <w:szCs w:val="22"/>
                          <w:lang w:val="es-ES_tradnl"/>
                        </w:rPr>
                        <w:t>2</w:t>
                      </w:r>
                    </w:p>
                    <w:p w14:paraId="09C54AB3" w14:textId="5C412E51" w:rsidR="00B27291" w:rsidRDefault="00B2729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19</w:t>
                      </w:r>
                      <w:r w:rsidR="00A80CB2">
                        <w:rPr>
                          <w:rFonts w:asciiTheme="majorHAnsi" w:hAnsiTheme="majorHAnsi" w:cs="Arial"/>
                          <w:b/>
                          <w:color w:val="0D0D0D" w:themeColor="text1" w:themeTint="F2"/>
                          <w:sz w:val="36"/>
                          <w:szCs w:val="22"/>
                          <w:lang w:val="es-ES_tradnl"/>
                        </w:rPr>
                        <w:t>18</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0CF6833" w14:textId="67DC4240" w:rsidR="00B27291" w:rsidRPr="0010736F" w:rsidRDefault="00B2729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B27291" w:rsidRPr="0010736F" w:rsidRDefault="00B27291"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2914E98" w:rsidR="00B27291" w:rsidRPr="0010736F" w:rsidRDefault="006C0AF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VECINOS DE LA </w:t>
                      </w:r>
                      <w:r w:rsidR="00B27291">
                        <w:rPr>
                          <w:rFonts w:asciiTheme="majorHAnsi" w:hAnsiTheme="majorHAnsi" w:cs="Arial"/>
                          <w:color w:val="0D0D0D" w:themeColor="text1" w:themeTint="F2"/>
                          <w:szCs w:val="22"/>
                          <w:lang w:val="es-ES_tradnl"/>
                        </w:rPr>
                        <w:t xml:space="preserve">ALDEA SESAJAL </w:t>
                      </w:r>
                    </w:p>
                    <w:bookmarkEnd w:id="1"/>
                    <w:p w14:paraId="35068D0D" w14:textId="43C0EC88" w:rsidR="00B27291" w:rsidRPr="0010736F" w:rsidRDefault="00B2729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575DFD52" w14:textId="77777777" w:rsidR="00B27291" w:rsidRPr="00AE5488" w:rsidRDefault="00B27291" w:rsidP="007A5817">
                      <w:pPr>
                        <w:rPr>
                          <w:color w:val="0D0D0D" w:themeColor="text1" w:themeTint="F2"/>
                          <w:lang w:val="es-ES_tradnl"/>
                        </w:rPr>
                      </w:pPr>
                    </w:p>
                  </w:txbxContent>
                </v:textbox>
              </v:shape>
            </w:pict>
          </mc:Fallback>
        </mc:AlternateContent>
      </w:r>
      <w:r w:rsidR="004E2649" w:rsidRPr="00C025E1">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29C8D77" w:rsidR="00B27291" w:rsidRPr="004E2649" w:rsidRDefault="00B2729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C63D247" w:rsidR="00B27291" w:rsidRPr="004E2649" w:rsidRDefault="00B27291"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C5050">
                              <w:rPr>
                                <w:rFonts w:asciiTheme="minorHAnsi" w:hAnsiTheme="minorHAnsi"/>
                                <w:color w:val="FFFFFF" w:themeColor="background1"/>
                                <w:sz w:val="22"/>
                                <w:lang w:val="pt-BR"/>
                              </w:rPr>
                              <w:t>363</w:t>
                            </w:r>
                          </w:p>
                          <w:p w14:paraId="69373ED2" w14:textId="1C1569AD" w:rsidR="00B27291" w:rsidRPr="00CD03C9" w:rsidRDefault="004C5050" w:rsidP="007A5817">
                            <w:pPr>
                              <w:spacing w:line="276" w:lineRule="auto"/>
                              <w:jc w:val="right"/>
                              <w:rPr>
                                <w:rFonts w:asciiTheme="minorHAnsi" w:hAnsiTheme="minorHAnsi"/>
                                <w:color w:val="FFFFFF" w:themeColor="background1"/>
                                <w:sz w:val="22"/>
                                <w:lang w:val="pt-BR"/>
                              </w:rPr>
                            </w:pPr>
                            <w:r w:rsidRPr="00CD03C9">
                              <w:rPr>
                                <w:rFonts w:asciiTheme="minorHAnsi" w:hAnsiTheme="minorHAnsi"/>
                                <w:color w:val="FFFFFF" w:themeColor="background1"/>
                                <w:sz w:val="22"/>
                                <w:lang w:val="pt-BR"/>
                              </w:rPr>
                              <w:t>12 agosto</w:t>
                            </w:r>
                            <w:r w:rsidR="00B27291" w:rsidRPr="00CD03C9">
                              <w:rPr>
                                <w:rFonts w:asciiTheme="minorHAnsi" w:hAnsiTheme="minorHAnsi"/>
                                <w:color w:val="FFFFFF" w:themeColor="background1"/>
                                <w:sz w:val="22"/>
                                <w:lang w:val="pt-BR"/>
                              </w:rPr>
                              <w:t xml:space="preserve"> 202</w:t>
                            </w:r>
                            <w:r w:rsidR="00B06B04" w:rsidRPr="00CD03C9">
                              <w:rPr>
                                <w:rFonts w:asciiTheme="minorHAnsi" w:hAnsiTheme="minorHAnsi"/>
                                <w:color w:val="FFFFFF" w:themeColor="background1"/>
                                <w:sz w:val="22"/>
                                <w:lang w:val="pt-BR"/>
                              </w:rPr>
                              <w:t>2</w:t>
                            </w:r>
                          </w:p>
                          <w:p w14:paraId="0771DB5B" w14:textId="77777777" w:rsidR="00B27291" w:rsidRPr="00C25ADB" w:rsidRDefault="00B27291"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29C8D77" w:rsidR="00B27291" w:rsidRPr="004E2649" w:rsidRDefault="00B2729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C63D247" w:rsidR="00B27291" w:rsidRPr="004E2649" w:rsidRDefault="00B27291"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C5050">
                        <w:rPr>
                          <w:rFonts w:asciiTheme="minorHAnsi" w:hAnsiTheme="minorHAnsi"/>
                          <w:color w:val="FFFFFF" w:themeColor="background1"/>
                          <w:sz w:val="22"/>
                          <w:lang w:val="pt-BR"/>
                        </w:rPr>
                        <w:t>363</w:t>
                      </w:r>
                    </w:p>
                    <w:p w14:paraId="69373ED2" w14:textId="1C1569AD" w:rsidR="00B27291" w:rsidRPr="00CD03C9" w:rsidRDefault="004C5050" w:rsidP="007A5817">
                      <w:pPr>
                        <w:spacing w:line="276" w:lineRule="auto"/>
                        <w:jc w:val="right"/>
                        <w:rPr>
                          <w:rFonts w:asciiTheme="minorHAnsi" w:hAnsiTheme="minorHAnsi"/>
                          <w:color w:val="FFFFFF" w:themeColor="background1"/>
                          <w:sz w:val="22"/>
                          <w:lang w:val="pt-BR"/>
                        </w:rPr>
                      </w:pPr>
                      <w:r w:rsidRPr="00CD03C9">
                        <w:rPr>
                          <w:rFonts w:asciiTheme="minorHAnsi" w:hAnsiTheme="minorHAnsi"/>
                          <w:color w:val="FFFFFF" w:themeColor="background1"/>
                          <w:sz w:val="22"/>
                          <w:lang w:val="pt-BR"/>
                        </w:rPr>
                        <w:t>12 agosto</w:t>
                      </w:r>
                      <w:r w:rsidR="00B27291" w:rsidRPr="00CD03C9">
                        <w:rPr>
                          <w:rFonts w:asciiTheme="minorHAnsi" w:hAnsiTheme="minorHAnsi"/>
                          <w:color w:val="FFFFFF" w:themeColor="background1"/>
                          <w:sz w:val="22"/>
                          <w:lang w:val="pt-BR"/>
                        </w:rPr>
                        <w:t xml:space="preserve"> 202</w:t>
                      </w:r>
                      <w:r w:rsidR="00B06B04" w:rsidRPr="00CD03C9">
                        <w:rPr>
                          <w:rFonts w:asciiTheme="minorHAnsi" w:hAnsiTheme="minorHAnsi"/>
                          <w:color w:val="FFFFFF" w:themeColor="background1"/>
                          <w:sz w:val="22"/>
                          <w:lang w:val="pt-BR"/>
                        </w:rPr>
                        <w:t>2</w:t>
                      </w:r>
                    </w:p>
                    <w:p w14:paraId="0771DB5B" w14:textId="77777777" w:rsidR="00B27291" w:rsidRPr="00C25ADB" w:rsidRDefault="00B27291"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55B0536" w14:textId="77777777" w:rsidR="00040C3A" w:rsidRPr="00C025E1" w:rsidRDefault="00040C3A" w:rsidP="00040C3A">
      <w:pPr>
        <w:tabs>
          <w:tab w:val="center" w:pos="5400"/>
        </w:tabs>
        <w:suppressAutoHyphens/>
        <w:jc w:val="center"/>
        <w:rPr>
          <w:rFonts w:asciiTheme="majorHAnsi" w:hAnsiTheme="majorHAnsi"/>
          <w:sz w:val="22"/>
          <w:szCs w:val="22"/>
          <w:lang w:val="es-419"/>
        </w:rPr>
      </w:pPr>
    </w:p>
    <w:p w14:paraId="5FE3AB87" w14:textId="77777777" w:rsidR="00040C3A" w:rsidRPr="00C025E1" w:rsidRDefault="00040C3A" w:rsidP="00040C3A">
      <w:pPr>
        <w:tabs>
          <w:tab w:val="center" w:pos="5400"/>
        </w:tabs>
        <w:suppressAutoHyphens/>
        <w:jc w:val="center"/>
        <w:rPr>
          <w:rFonts w:asciiTheme="majorHAnsi" w:hAnsiTheme="majorHAnsi"/>
          <w:sz w:val="22"/>
          <w:szCs w:val="22"/>
          <w:lang w:val="es-419"/>
        </w:rPr>
      </w:pPr>
    </w:p>
    <w:p w14:paraId="3C383BC0" w14:textId="77777777" w:rsidR="00040C3A" w:rsidRPr="00C025E1" w:rsidRDefault="00040C3A" w:rsidP="00040C3A">
      <w:pPr>
        <w:tabs>
          <w:tab w:val="center" w:pos="5400"/>
        </w:tabs>
        <w:suppressAutoHyphens/>
        <w:jc w:val="center"/>
        <w:rPr>
          <w:rFonts w:asciiTheme="majorHAnsi" w:hAnsiTheme="majorHAnsi" w:cs="Arial"/>
          <w:sz w:val="22"/>
          <w:szCs w:val="22"/>
          <w:lang w:val="es-419"/>
        </w:rPr>
      </w:pPr>
    </w:p>
    <w:p w14:paraId="54590931" w14:textId="77777777" w:rsidR="00040C3A" w:rsidRPr="00C025E1" w:rsidRDefault="00040C3A" w:rsidP="00040C3A">
      <w:pPr>
        <w:tabs>
          <w:tab w:val="center" w:pos="5400"/>
        </w:tabs>
        <w:suppressAutoHyphens/>
        <w:jc w:val="center"/>
        <w:rPr>
          <w:rFonts w:asciiTheme="majorHAnsi" w:hAnsiTheme="majorHAnsi"/>
          <w:sz w:val="22"/>
          <w:szCs w:val="22"/>
          <w:lang w:val="es-419"/>
        </w:rPr>
      </w:pPr>
    </w:p>
    <w:p w14:paraId="76C291D6" w14:textId="77777777" w:rsidR="00040C3A" w:rsidRPr="00C025E1" w:rsidRDefault="00040C3A" w:rsidP="00040C3A">
      <w:pPr>
        <w:tabs>
          <w:tab w:val="center" w:pos="5400"/>
        </w:tabs>
        <w:suppressAutoHyphens/>
        <w:jc w:val="center"/>
        <w:rPr>
          <w:rFonts w:asciiTheme="majorHAnsi" w:hAnsiTheme="majorHAnsi"/>
          <w:sz w:val="22"/>
          <w:szCs w:val="22"/>
          <w:lang w:val="es-419"/>
        </w:rPr>
      </w:pPr>
    </w:p>
    <w:p w14:paraId="2161B44F" w14:textId="77777777" w:rsidR="00040C3A" w:rsidRPr="00C025E1" w:rsidRDefault="00040C3A" w:rsidP="00040C3A">
      <w:pPr>
        <w:tabs>
          <w:tab w:val="center" w:pos="5400"/>
        </w:tabs>
        <w:suppressAutoHyphens/>
        <w:jc w:val="center"/>
        <w:rPr>
          <w:rFonts w:asciiTheme="majorHAnsi" w:hAnsiTheme="majorHAnsi"/>
          <w:sz w:val="22"/>
          <w:szCs w:val="22"/>
          <w:lang w:val="es-419"/>
        </w:rPr>
      </w:pPr>
    </w:p>
    <w:p w14:paraId="3C4EEE07" w14:textId="77777777" w:rsidR="00040C3A" w:rsidRPr="00C025E1" w:rsidRDefault="00040C3A" w:rsidP="00040C3A">
      <w:pPr>
        <w:tabs>
          <w:tab w:val="center" w:pos="5400"/>
        </w:tabs>
        <w:suppressAutoHyphens/>
        <w:jc w:val="center"/>
        <w:rPr>
          <w:rFonts w:asciiTheme="majorHAnsi" w:hAnsiTheme="majorHAnsi"/>
          <w:sz w:val="22"/>
          <w:szCs w:val="22"/>
          <w:lang w:val="es-419"/>
        </w:rPr>
      </w:pPr>
    </w:p>
    <w:p w14:paraId="3B0E4647" w14:textId="77777777" w:rsidR="005128E4" w:rsidRPr="00C025E1" w:rsidRDefault="005128E4" w:rsidP="00040C3A">
      <w:pPr>
        <w:tabs>
          <w:tab w:val="center" w:pos="5400"/>
        </w:tabs>
        <w:suppressAutoHyphens/>
        <w:jc w:val="center"/>
        <w:rPr>
          <w:rFonts w:asciiTheme="majorHAnsi" w:hAnsiTheme="majorHAnsi"/>
          <w:sz w:val="22"/>
          <w:szCs w:val="22"/>
          <w:lang w:val="es-419"/>
        </w:rPr>
      </w:pPr>
    </w:p>
    <w:p w14:paraId="2DAAF36D" w14:textId="77777777" w:rsidR="00040C3A" w:rsidRPr="00C025E1" w:rsidRDefault="00040C3A" w:rsidP="00040C3A">
      <w:pPr>
        <w:tabs>
          <w:tab w:val="center" w:pos="5400"/>
        </w:tabs>
        <w:suppressAutoHyphens/>
        <w:jc w:val="center"/>
        <w:rPr>
          <w:rFonts w:asciiTheme="majorHAnsi" w:hAnsiTheme="majorHAnsi"/>
          <w:sz w:val="22"/>
          <w:szCs w:val="22"/>
          <w:lang w:val="es-419"/>
        </w:rPr>
      </w:pPr>
    </w:p>
    <w:p w14:paraId="12496A14" w14:textId="77777777" w:rsidR="005128E4" w:rsidRPr="00C025E1" w:rsidRDefault="005128E4" w:rsidP="00040C3A">
      <w:pPr>
        <w:tabs>
          <w:tab w:val="center" w:pos="5400"/>
        </w:tabs>
        <w:suppressAutoHyphens/>
        <w:jc w:val="center"/>
        <w:rPr>
          <w:rFonts w:asciiTheme="majorHAnsi" w:hAnsiTheme="majorHAnsi"/>
          <w:sz w:val="22"/>
          <w:szCs w:val="22"/>
          <w:lang w:val="es-419"/>
        </w:rPr>
      </w:pPr>
    </w:p>
    <w:p w14:paraId="25772DB3" w14:textId="77777777" w:rsidR="005128E4" w:rsidRPr="00C025E1" w:rsidRDefault="005128E4" w:rsidP="00040C3A">
      <w:pPr>
        <w:tabs>
          <w:tab w:val="center" w:pos="5400"/>
        </w:tabs>
        <w:suppressAutoHyphens/>
        <w:jc w:val="center"/>
        <w:rPr>
          <w:rFonts w:asciiTheme="majorHAnsi" w:hAnsiTheme="majorHAnsi"/>
          <w:sz w:val="22"/>
          <w:szCs w:val="22"/>
          <w:lang w:val="es-419"/>
        </w:rPr>
      </w:pPr>
    </w:p>
    <w:p w14:paraId="6820FADA" w14:textId="77777777" w:rsidR="005128E4" w:rsidRPr="00C025E1" w:rsidRDefault="005128E4" w:rsidP="00040C3A">
      <w:pPr>
        <w:tabs>
          <w:tab w:val="center" w:pos="5400"/>
        </w:tabs>
        <w:suppressAutoHyphens/>
        <w:jc w:val="center"/>
        <w:rPr>
          <w:rFonts w:asciiTheme="majorHAnsi" w:hAnsiTheme="majorHAnsi"/>
          <w:sz w:val="22"/>
          <w:szCs w:val="22"/>
          <w:lang w:val="es-419"/>
        </w:rPr>
      </w:pPr>
    </w:p>
    <w:p w14:paraId="54445A55" w14:textId="77777777" w:rsidR="00040C3A" w:rsidRPr="00C025E1" w:rsidRDefault="00040C3A" w:rsidP="00040C3A">
      <w:pPr>
        <w:tabs>
          <w:tab w:val="center" w:pos="5400"/>
        </w:tabs>
        <w:suppressAutoHyphens/>
        <w:jc w:val="center"/>
        <w:rPr>
          <w:rFonts w:asciiTheme="majorHAnsi" w:hAnsiTheme="majorHAnsi"/>
          <w:sz w:val="22"/>
          <w:szCs w:val="22"/>
          <w:lang w:val="es-419"/>
        </w:rPr>
      </w:pPr>
    </w:p>
    <w:p w14:paraId="5D4A4040" w14:textId="77777777" w:rsidR="00040C3A" w:rsidRPr="00C025E1" w:rsidRDefault="00040C3A" w:rsidP="00040C3A">
      <w:pPr>
        <w:tabs>
          <w:tab w:val="center" w:pos="5400"/>
        </w:tabs>
        <w:suppressAutoHyphens/>
        <w:jc w:val="center"/>
        <w:rPr>
          <w:rFonts w:asciiTheme="majorHAnsi" w:hAnsiTheme="majorHAnsi"/>
          <w:sz w:val="22"/>
          <w:szCs w:val="22"/>
          <w:lang w:val="es-419"/>
        </w:rPr>
      </w:pPr>
    </w:p>
    <w:p w14:paraId="048FBB22"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190ABFB3"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4C690048"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733CA438"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7874DEEB"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3698D0D6"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1F907823"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045D9AC1"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16068EE5"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14A4A430"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0B3B735F"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02C5C441"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7806A2B0"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319C392B"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514A0182" w14:textId="77777777" w:rsidR="00A50FCF" w:rsidRPr="00C025E1" w:rsidRDefault="0090270B" w:rsidP="00040C3A">
      <w:pPr>
        <w:tabs>
          <w:tab w:val="center" w:pos="5400"/>
        </w:tabs>
        <w:suppressAutoHyphens/>
        <w:jc w:val="center"/>
        <w:rPr>
          <w:rFonts w:asciiTheme="majorHAnsi" w:hAnsiTheme="majorHAnsi"/>
          <w:sz w:val="18"/>
          <w:szCs w:val="22"/>
          <w:lang w:val="es-419"/>
        </w:rPr>
      </w:pPr>
      <w:r w:rsidRPr="00C025E1">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B64D6C5" w:rsidR="00B27291" w:rsidRPr="00DA0CFE" w:rsidRDefault="00B27291" w:rsidP="00DD3D86">
                            <w:pPr>
                              <w:tabs>
                                <w:tab w:val="center" w:pos="5400"/>
                              </w:tabs>
                              <w:suppressAutoHyphens/>
                              <w:spacing w:before="60"/>
                              <w:rPr>
                                <w:rFonts w:asciiTheme="majorHAnsi" w:hAnsiTheme="majorHAnsi"/>
                                <w:color w:val="0D0D0D" w:themeColor="text1" w:themeTint="F2"/>
                                <w:sz w:val="18"/>
                                <w:szCs w:val="22"/>
                                <w:lang w:val="es-VE"/>
                              </w:rPr>
                            </w:pPr>
                            <w:r w:rsidRPr="00DA0CFE">
                              <w:rPr>
                                <w:rFonts w:asciiTheme="majorHAnsi" w:hAnsiTheme="majorHAnsi"/>
                                <w:color w:val="0D0D0D" w:themeColor="text1" w:themeTint="F2"/>
                                <w:sz w:val="18"/>
                                <w:szCs w:val="22"/>
                                <w:lang w:val="es-VE"/>
                              </w:rPr>
                              <w:t xml:space="preserve">Aprobado electrónicamente por la Comisión el </w:t>
                            </w:r>
                            <w:r w:rsidR="004C5050">
                              <w:rPr>
                                <w:rFonts w:asciiTheme="majorHAnsi" w:hAnsiTheme="majorHAnsi"/>
                                <w:color w:val="0D0D0D" w:themeColor="text1" w:themeTint="F2"/>
                                <w:sz w:val="18"/>
                                <w:szCs w:val="22"/>
                                <w:lang w:val="es-VE"/>
                              </w:rPr>
                              <w:t>12</w:t>
                            </w:r>
                            <w:r w:rsidRPr="00DA0CFE">
                              <w:rPr>
                                <w:rFonts w:asciiTheme="majorHAnsi" w:hAnsiTheme="majorHAnsi"/>
                                <w:color w:val="0D0D0D" w:themeColor="text1" w:themeTint="F2"/>
                                <w:sz w:val="18"/>
                                <w:szCs w:val="22"/>
                                <w:lang w:val="es-VE"/>
                              </w:rPr>
                              <w:t xml:space="preserve"> de </w:t>
                            </w:r>
                            <w:r w:rsidR="004C5050">
                              <w:rPr>
                                <w:rFonts w:asciiTheme="majorHAnsi" w:hAnsiTheme="majorHAnsi"/>
                                <w:color w:val="0D0D0D" w:themeColor="text1" w:themeTint="F2"/>
                                <w:sz w:val="18"/>
                                <w:szCs w:val="22"/>
                                <w:lang w:val="es-VE"/>
                              </w:rPr>
                              <w:t>agosto</w:t>
                            </w:r>
                            <w:r w:rsidRPr="00DA0CFE">
                              <w:rPr>
                                <w:rFonts w:asciiTheme="majorHAnsi" w:hAnsiTheme="majorHAnsi"/>
                                <w:color w:val="0D0D0D" w:themeColor="text1" w:themeTint="F2"/>
                                <w:sz w:val="18"/>
                                <w:szCs w:val="22"/>
                                <w:lang w:val="es-VE"/>
                              </w:rPr>
                              <w:t xml:space="preserve"> de 202</w:t>
                            </w:r>
                            <w:r w:rsidR="00B06B04" w:rsidRPr="00DA0CFE">
                              <w:rPr>
                                <w:rFonts w:asciiTheme="majorHAnsi" w:hAnsiTheme="majorHAnsi"/>
                                <w:color w:val="0D0D0D" w:themeColor="text1" w:themeTint="F2"/>
                                <w:sz w:val="18"/>
                                <w:szCs w:val="22"/>
                                <w:lang w:val="es-VE"/>
                              </w:rPr>
                              <w:t>2</w:t>
                            </w:r>
                            <w:r w:rsidR="004C5050">
                              <w:rPr>
                                <w:rFonts w:asciiTheme="majorHAnsi" w:hAnsiTheme="majorHAnsi"/>
                                <w:color w:val="0D0D0D" w:themeColor="text1" w:themeTint="F2"/>
                                <w:sz w:val="18"/>
                                <w:szCs w:val="22"/>
                                <w:lang w:val="es-VE"/>
                              </w:rPr>
                              <w:t>.</w:t>
                            </w:r>
                          </w:p>
                          <w:p w14:paraId="4BDF3581" w14:textId="77777777" w:rsidR="00B27291" w:rsidRPr="00DA0CFE" w:rsidRDefault="00B27291" w:rsidP="00247403">
                            <w:pPr>
                              <w:tabs>
                                <w:tab w:val="center" w:pos="5400"/>
                              </w:tabs>
                              <w:suppressAutoHyphens/>
                              <w:spacing w:before="60"/>
                              <w:rPr>
                                <w:rFonts w:asciiTheme="minorHAnsi" w:hAnsiTheme="minorHAnsi" w:cs="Univers"/>
                                <w:color w:val="0D0D0D" w:themeColor="text1" w:themeTint="F2"/>
                                <w:sz w:val="20"/>
                                <w:szCs w:val="20"/>
                                <w:lang w:val="es-VE"/>
                              </w:rPr>
                            </w:pPr>
                          </w:p>
                          <w:p w14:paraId="4D148488" w14:textId="77777777" w:rsidR="00B27291" w:rsidRPr="00167A34" w:rsidRDefault="00B2729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B64D6C5" w:rsidR="00B27291" w:rsidRPr="00DA0CFE" w:rsidRDefault="00B27291" w:rsidP="00DD3D86">
                      <w:pPr>
                        <w:tabs>
                          <w:tab w:val="center" w:pos="5400"/>
                        </w:tabs>
                        <w:suppressAutoHyphens/>
                        <w:spacing w:before="60"/>
                        <w:rPr>
                          <w:rFonts w:asciiTheme="majorHAnsi" w:hAnsiTheme="majorHAnsi"/>
                          <w:color w:val="0D0D0D" w:themeColor="text1" w:themeTint="F2"/>
                          <w:sz w:val="18"/>
                          <w:szCs w:val="22"/>
                          <w:lang w:val="es-VE"/>
                        </w:rPr>
                      </w:pPr>
                      <w:r w:rsidRPr="00DA0CFE">
                        <w:rPr>
                          <w:rFonts w:asciiTheme="majorHAnsi" w:hAnsiTheme="majorHAnsi"/>
                          <w:color w:val="0D0D0D" w:themeColor="text1" w:themeTint="F2"/>
                          <w:sz w:val="18"/>
                          <w:szCs w:val="22"/>
                          <w:lang w:val="es-VE"/>
                        </w:rPr>
                        <w:t xml:space="preserve">Aprobado electrónicamente por la Comisión el </w:t>
                      </w:r>
                      <w:r w:rsidR="004C5050">
                        <w:rPr>
                          <w:rFonts w:asciiTheme="majorHAnsi" w:hAnsiTheme="majorHAnsi"/>
                          <w:color w:val="0D0D0D" w:themeColor="text1" w:themeTint="F2"/>
                          <w:sz w:val="18"/>
                          <w:szCs w:val="22"/>
                          <w:lang w:val="es-VE"/>
                        </w:rPr>
                        <w:t>12</w:t>
                      </w:r>
                      <w:r w:rsidRPr="00DA0CFE">
                        <w:rPr>
                          <w:rFonts w:asciiTheme="majorHAnsi" w:hAnsiTheme="majorHAnsi"/>
                          <w:color w:val="0D0D0D" w:themeColor="text1" w:themeTint="F2"/>
                          <w:sz w:val="18"/>
                          <w:szCs w:val="22"/>
                          <w:lang w:val="es-VE"/>
                        </w:rPr>
                        <w:t xml:space="preserve"> de </w:t>
                      </w:r>
                      <w:r w:rsidR="004C5050">
                        <w:rPr>
                          <w:rFonts w:asciiTheme="majorHAnsi" w:hAnsiTheme="majorHAnsi"/>
                          <w:color w:val="0D0D0D" w:themeColor="text1" w:themeTint="F2"/>
                          <w:sz w:val="18"/>
                          <w:szCs w:val="22"/>
                          <w:lang w:val="es-VE"/>
                        </w:rPr>
                        <w:t>agosto</w:t>
                      </w:r>
                      <w:r w:rsidRPr="00DA0CFE">
                        <w:rPr>
                          <w:rFonts w:asciiTheme="majorHAnsi" w:hAnsiTheme="majorHAnsi"/>
                          <w:color w:val="0D0D0D" w:themeColor="text1" w:themeTint="F2"/>
                          <w:sz w:val="18"/>
                          <w:szCs w:val="22"/>
                          <w:lang w:val="es-VE"/>
                        </w:rPr>
                        <w:t xml:space="preserve"> de 202</w:t>
                      </w:r>
                      <w:r w:rsidR="00B06B04" w:rsidRPr="00DA0CFE">
                        <w:rPr>
                          <w:rFonts w:asciiTheme="majorHAnsi" w:hAnsiTheme="majorHAnsi"/>
                          <w:color w:val="0D0D0D" w:themeColor="text1" w:themeTint="F2"/>
                          <w:sz w:val="18"/>
                          <w:szCs w:val="22"/>
                          <w:lang w:val="es-VE"/>
                        </w:rPr>
                        <w:t>2</w:t>
                      </w:r>
                      <w:r w:rsidR="004C5050">
                        <w:rPr>
                          <w:rFonts w:asciiTheme="majorHAnsi" w:hAnsiTheme="majorHAnsi"/>
                          <w:color w:val="0D0D0D" w:themeColor="text1" w:themeTint="F2"/>
                          <w:sz w:val="18"/>
                          <w:szCs w:val="22"/>
                          <w:lang w:val="es-VE"/>
                        </w:rPr>
                        <w:t>.</w:t>
                      </w:r>
                    </w:p>
                    <w:p w14:paraId="4BDF3581" w14:textId="77777777" w:rsidR="00B27291" w:rsidRPr="00DA0CFE" w:rsidRDefault="00B27291" w:rsidP="00247403">
                      <w:pPr>
                        <w:tabs>
                          <w:tab w:val="center" w:pos="5400"/>
                        </w:tabs>
                        <w:suppressAutoHyphens/>
                        <w:spacing w:before="60"/>
                        <w:rPr>
                          <w:rFonts w:asciiTheme="minorHAnsi" w:hAnsiTheme="minorHAnsi" w:cs="Univers"/>
                          <w:color w:val="0D0D0D" w:themeColor="text1" w:themeTint="F2"/>
                          <w:sz w:val="20"/>
                          <w:szCs w:val="20"/>
                          <w:lang w:val="es-VE"/>
                        </w:rPr>
                      </w:pPr>
                    </w:p>
                    <w:p w14:paraId="4D148488" w14:textId="77777777" w:rsidR="00B27291" w:rsidRPr="00167A34" w:rsidRDefault="00B2729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7929D1FD"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5469D0BE"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7A79F059"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330672AE" w14:textId="77777777" w:rsidR="00A50FCF" w:rsidRPr="00C025E1" w:rsidRDefault="0090270B" w:rsidP="00040C3A">
      <w:pPr>
        <w:tabs>
          <w:tab w:val="center" w:pos="5400"/>
        </w:tabs>
        <w:suppressAutoHyphens/>
        <w:jc w:val="center"/>
        <w:rPr>
          <w:rFonts w:asciiTheme="majorHAnsi" w:hAnsiTheme="majorHAnsi"/>
          <w:sz w:val="18"/>
          <w:szCs w:val="22"/>
          <w:lang w:val="es-419"/>
        </w:rPr>
      </w:pPr>
      <w:r w:rsidRPr="00C025E1">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2F31C" w14:textId="77777777" w:rsidR="004C5050" w:rsidRDefault="00B27291" w:rsidP="00113F73">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 xml:space="preserve">Citar </w:t>
                            </w:r>
                            <w:r w:rsidRPr="00D94297">
                              <w:rPr>
                                <w:rFonts w:asciiTheme="majorHAnsi" w:hAnsiTheme="majorHAnsi"/>
                                <w:b/>
                                <w:color w:val="595959" w:themeColor="text1" w:themeTint="A6"/>
                                <w:sz w:val="18"/>
                                <w:szCs w:val="18"/>
                                <w:lang w:val="pt-BR"/>
                              </w:rPr>
                              <w:t>como:</w:t>
                            </w:r>
                            <w:r w:rsidRPr="00D94297">
                              <w:rPr>
                                <w:rFonts w:asciiTheme="majorHAnsi" w:hAnsiTheme="majorHAnsi"/>
                                <w:color w:val="595959" w:themeColor="text1" w:themeTint="A6"/>
                                <w:sz w:val="18"/>
                                <w:szCs w:val="18"/>
                                <w:lang w:val="pt-BR"/>
                              </w:rPr>
                              <w:t xml:space="preserve"> CIDH, Informe No. </w:t>
                            </w:r>
                            <w:r w:rsidR="004C5050" w:rsidRPr="004C5050">
                              <w:rPr>
                                <w:rFonts w:asciiTheme="majorHAnsi" w:hAnsiTheme="majorHAnsi"/>
                                <w:color w:val="595959" w:themeColor="text1" w:themeTint="A6"/>
                                <w:sz w:val="18"/>
                                <w:szCs w:val="18"/>
                                <w:lang w:val="pt-BR"/>
                              </w:rPr>
                              <w:t>355</w:t>
                            </w:r>
                            <w:r w:rsidRPr="004C5050">
                              <w:rPr>
                                <w:rFonts w:asciiTheme="majorHAnsi" w:hAnsiTheme="majorHAnsi"/>
                                <w:color w:val="595959" w:themeColor="text1" w:themeTint="A6"/>
                                <w:sz w:val="18"/>
                                <w:szCs w:val="18"/>
                                <w:lang w:val="pt-BR"/>
                              </w:rPr>
                              <w:t>/</w:t>
                            </w:r>
                            <w:r w:rsidR="004C5050" w:rsidRPr="004C5050">
                              <w:rPr>
                                <w:rFonts w:asciiTheme="majorHAnsi" w:hAnsiTheme="majorHAnsi"/>
                                <w:color w:val="595959" w:themeColor="text1" w:themeTint="A6"/>
                                <w:sz w:val="18"/>
                                <w:szCs w:val="18"/>
                                <w:lang w:val="pt-BR"/>
                              </w:rPr>
                              <w:t>22</w:t>
                            </w:r>
                            <w:r w:rsidRPr="004C5050">
                              <w:rPr>
                                <w:rFonts w:asciiTheme="majorHAnsi" w:hAnsiTheme="majorHAnsi"/>
                                <w:color w:val="595959" w:themeColor="text1" w:themeTint="A6"/>
                                <w:sz w:val="18"/>
                                <w:szCs w:val="18"/>
                                <w:lang w:val="pt-BR"/>
                              </w:rPr>
                              <w:t xml:space="preserve">. </w:t>
                            </w:r>
                            <w:r w:rsidRPr="00DA0CFE">
                              <w:rPr>
                                <w:rFonts w:asciiTheme="majorHAnsi" w:hAnsiTheme="majorHAnsi"/>
                                <w:color w:val="595959" w:themeColor="text1" w:themeTint="A6"/>
                                <w:sz w:val="18"/>
                                <w:szCs w:val="18"/>
                                <w:lang w:val="es-VE"/>
                              </w:rPr>
                              <w:t>Petición 1</w:t>
                            </w:r>
                            <w:r w:rsidR="00A80CB2" w:rsidRPr="00DA0CFE">
                              <w:rPr>
                                <w:rFonts w:asciiTheme="majorHAnsi" w:hAnsiTheme="majorHAnsi"/>
                                <w:color w:val="595959" w:themeColor="text1" w:themeTint="A6"/>
                                <w:sz w:val="18"/>
                                <w:szCs w:val="18"/>
                                <w:lang w:val="es-VE"/>
                              </w:rPr>
                              <w:t>918</w:t>
                            </w:r>
                            <w:r w:rsidRPr="00DA0CFE">
                              <w:rPr>
                                <w:rFonts w:asciiTheme="majorHAnsi" w:hAnsiTheme="majorHAnsi"/>
                                <w:color w:val="595959" w:themeColor="text1" w:themeTint="A6"/>
                                <w:sz w:val="18"/>
                                <w:szCs w:val="18"/>
                                <w:lang w:val="es-VE"/>
                              </w:rPr>
                              <w:t xml:space="preserve">-11. Admisibilidad. </w:t>
                            </w:r>
                          </w:p>
                          <w:p w14:paraId="0D1B22CF" w14:textId="75B0EE15" w:rsidR="00B27291" w:rsidRPr="007B05C4" w:rsidRDefault="00DA0CF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VE"/>
                              </w:rPr>
                              <w:t>Vecinos de la a</w:t>
                            </w:r>
                            <w:r w:rsidR="00B27291" w:rsidRPr="00DA0CFE">
                              <w:rPr>
                                <w:rFonts w:asciiTheme="majorHAnsi" w:hAnsiTheme="majorHAnsi"/>
                                <w:color w:val="595959" w:themeColor="text1" w:themeTint="A6"/>
                                <w:sz w:val="18"/>
                                <w:szCs w:val="18"/>
                                <w:lang w:val="es-VE"/>
                              </w:rPr>
                              <w:t xml:space="preserve">ldea Sesajal. Guatemala. </w:t>
                            </w:r>
                            <w:r w:rsidR="004C5050">
                              <w:rPr>
                                <w:rFonts w:asciiTheme="majorHAnsi" w:hAnsiTheme="majorHAnsi"/>
                                <w:color w:val="595959" w:themeColor="text1" w:themeTint="A6"/>
                                <w:sz w:val="18"/>
                                <w:szCs w:val="18"/>
                                <w:lang w:val="es-VE"/>
                              </w:rPr>
                              <w:t>12 de agosto de 2022</w:t>
                            </w:r>
                            <w:r w:rsidR="00B27291" w:rsidRPr="00DA0CFE">
                              <w:rPr>
                                <w:rFonts w:asciiTheme="majorHAnsi" w:hAnsiTheme="majorHAnsi"/>
                                <w:color w:val="595959" w:themeColor="text1" w:themeTint="A6"/>
                                <w:sz w:val="18"/>
                                <w:szCs w:val="18"/>
                                <w:lang w:val="es-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122F31C" w14:textId="77777777" w:rsidR="004C5050" w:rsidRDefault="00B27291" w:rsidP="00113F73">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 xml:space="preserve">Citar </w:t>
                      </w:r>
                      <w:r w:rsidRPr="00D94297">
                        <w:rPr>
                          <w:rFonts w:asciiTheme="majorHAnsi" w:hAnsiTheme="majorHAnsi"/>
                          <w:b/>
                          <w:color w:val="595959" w:themeColor="text1" w:themeTint="A6"/>
                          <w:sz w:val="18"/>
                          <w:szCs w:val="18"/>
                          <w:lang w:val="pt-BR"/>
                        </w:rPr>
                        <w:t>como:</w:t>
                      </w:r>
                      <w:r w:rsidRPr="00D94297">
                        <w:rPr>
                          <w:rFonts w:asciiTheme="majorHAnsi" w:hAnsiTheme="majorHAnsi"/>
                          <w:color w:val="595959" w:themeColor="text1" w:themeTint="A6"/>
                          <w:sz w:val="18"/>
                          <w:szCs w:val="18"/>
                          <w:lang w:val="pt-BR"/>
                        </w:rPr>
                        <w:t xml:space="preserve"> CIDH, Informe No. </w:t>
                      </w:r>
                      <w:r w:rsidR="004C5050" w:rsidRPr="004C5050">
                        <w:rPr>
                          <w:rFonts w:asciiTheme="majorHAnsi" w:hAnsiTheme="majorHAnsi"/>
                          <w:color w:val="595959" w:themeColor="text1" w:themeTint="A6"/>
                          <w:sz w:val="18"/>
                          <w:szCs w:val="18"/>
                          <w:lang w:val="pt-BR"/>
                        </w:rPr>
                        <w:t>355</w:t>
                      </w:r>
                      <w:r w:rsidRPr="004C5050">
                        <w:rPr>
                          <w:rFonts w:asciiTheme="majorHAnsi" w:hAnsiTheme="majorHAnsi"/>
                          <w:color w:val="595959" w:themeColor="text1" w:themeTint="A6"/>
                          <w:sz w:val="18"/>
                          <w:szCs w:val="18"/>
                          <w:lang w:val="pt-BR"/>
                        </w:rPr>
                        <w:t>/</w:t>
                      </w:r>
                      <w:r w:rsidR="004C5050" w:rsidRPr="004C5050">
                        <w:rPr>
                          <w:rFonts w:asciiTheme="majorHAnsi" w:hAnsiTheme="majorHAnsi"/>
                          <w:color w:val="595959" w:themeColor="text1" w:themeTint="A6"/>
                          <w:sz w:val="18"/>
                          <w:szCs w:val="18"/>
                          <w:lang w:val="pt-BR"/>
                        </w:rPr>
                        <w:t>22</w:t>
                      </w:r>
                      <w:r w:rsidRPr="004C5050">
                        <w:rPr>
                          <w:rFonts w:asciiTheme="majorHAnsi" w:hAnsiTheme="majorHAnsi"/>
                          <w:color w:val="595959" w:themeColor="text1" w:themeTint="A6"/>
                          <w:sz w:val="18"/>
                          <w:szCs w:val="18"/>
                          <w:lang w:val="pt-BR"/>
                        </w:rPr>
                        <w:t xml:space="preserve">. </w:t>
                      </w:r>
                      <w:r w:rsidRPr="00DA0CFE">
                        <w:rPr>
                          <w:rFonts w:asciiTheme="majorHAnsi" w:hAnsiTheme="majorHAnsi"/>
                          <w:color w:val="595959" w:themeColor="text1" w:themeTint="A6"/>
                          <w:sz w:val="18"/>
                          <w:szCs w:val="18"/>
                          <w:lang w:val="es-VE"/>
                        </w:rPr>
                        <w:t>Petición 1</w:t>
                      </w:r>
                      <w:r w:rsidR="00A80CB2" w:rsidRPr="00DA0CFE">
                        <w:rPr>
                          <w:rFonts w:asciiTheme="majorHAnsi" w:hAnsiTheme="majorHAnsi"/>
                          <w:color w:val="595959" w:themeColor="text1" w:themeTint="A6"/>
                          <w:sz w:val="18"/>
                          <w:szCs w:val="18"/>
                          <w:lang w:val="es-VE"/>
                        </w:rPr>
                        <w:t>918</w:t>
                      </w:r>
                      <w:r w:rsidRPr="00DA0CFE">
                        <w:rPr>
                          <w:rFonts w:asciiTheme="majorHAnsi" w:hAnsiTheme="majorHAnsi"/>
                          <w:color w:val="595959" w:themeColor="text1" w:themeTint="A6"/>
                          <w:sz w:val="18"/>
                          <w:szCs w:val="18"/>
                          <w:lang w:val="es-VE"/>
                        </w:rPr>
                        <w:t xml:space="preserve">-11. Admisibilidad. </w:t>
                      </w:r>
                    </w:p>
                    <w:p w14:paraId="0D1B22CF" w14:textId="75B0EE15" w:rsidR="00B27291" w:rsidRPr="007B05C4" w:rsidRDefault="00DA0CF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VE"/>
                        </w:rPr>
                        <w:t>Vecinos de la a</w:t>
                      </w:r>
                      <w:r w:rsidR="00B27291" w:rsidRPr="00DA0CFE">
                        <w:rPr>
                          <w:rFonts w:asciiTheme="majorHAnsi" w:hAnsiTheme="majorHAnsi"/>
                          <w:color w:val="595959" w:themeColor="text1" w:themeTint="A6"/>
                          <w:sz w:val="18"/>
                          <w:szCs w:val="18"/>
                          <w:lang w:val="es-VE"/>
                        </w:rPr>
                        <w:t xml:space="preserve">ldea Sesajal. Guatemala. </w:t>
                      </w:r>
                      <w:r w:rsidR="004C5050">
                        <w:rPr>
                          <w:rFonts w:asciiTheme="majorHAnsi" w:hAnsiTheme="majorHAnsi"/>
                          <w:color w:val="595959" w:themeColor="text1" w:themeTint="A6"/>
                          <w:sz w:val="18"/>
                          <w:szCs w:val="18"/>
                          <w:lang w:val="es-VE"/>
                        </w:rPr>
                        <w:t>12 de agosto de 2022</w:t>
                      </w:r>
                      <w:r w:rsidR="00B27291" w:rsidRPr="00DA0CFE">
                        <w:rPr>
                          <w:rFonts w:asciiTheme="majorHAnsi" w:hAnsiTheme="majorHAnsi"/>
                          <w:color w:val="595959" w:themeColor="text1" w:themeTint="A6"/>
                          <w:sz w:val="18"/>
                          <w:szCs w:val="18"/>
                          <w:lang w:val="es-VE"/>
                        </w:rPr>
                        <w:t>.</w:t>
                      </w:r>
                    </w:p>
                  </w:txbxContent>
                </v:textbox>
              </v:shape>
            </w:pict>
          </mc:Fallback>
        </mc:AlternateContent>
      </w:r>
    </w:p>
    <w:p w14:paraId="196A49DE" w14:textId="77777777" w:rsidR="00A50FCF" w:rsidRPr="00C025E1" w:rsidRDefault="00A50FCF" w:rsidP="00040C3A">
      <w:pPr>
        <w:tabs>
          <w:tab w:val="center" w:pos="5400"/>
        </w:tabs>
        <w:suppressAutoHyphens/>
        <w:jc w:val="center"/>
        <w:rPr>
          <w:rFonts w:asciiTheme="majorHAnsi" w:hAnsiTheme="majorHAnsi"/>
          <w:sz w:val="18"/>
          <w:szCs w:val="22"/>
          <w:lang w:val="es-419"/>
        </w:rPr>
      </w:pPr>
    </w:p>
    <w:p w14:paraId="1DA07629" w14:textId="77777777" w:rsidR="0090270B" w:rsidRPr="00C025E1" w:rsidRDefault="00D306D1" w:rsidP="005516A1">
      <w:pPr>
        <w:tabs>
          <w:tab w:val="center" w:pos="5400"/>
        </w:tabs>
        <w:suppressAutoHyphens/>
        <w:jc w:val="center"/>
        <w:rPr>
          <w:rFonts w:asciiTheme="majorHAnsi" w:hAnsiTheme="majorHAnsi"/>
          <w:b/>
          <w:sz w:val="20"/>
          <w:lang w:val="es-419"/>
        </w:rPr>
      </w:pPr>
      <w:r w:rsidRPr="00C025E1">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224A9BE" w:rsidR="00B27291" w:rsidRPr="00D72DC6" w:rsidRDefault="004C5050" w:rsidP="00F02AD1">
                            <w:pPr>
                              <w:rPr>
                                <w:color w:val="FFFFFF" w:themeColor="background1"/>
                                <w14:textFill>
                                  <w14:noFill/>
                                </w14:textFill>
                              </w:rPr>
                            </w:pPr>
                            <w:r>
                              <w:rPr>
                                <w:noProof/>
                                <w:color w:val="FFFFFF" w:themeColor="background1"/>
                              </w:rPr>
                              <w:drawing>
                                <wp:inline distT="0" distB="0" distL="0" distR="0" wp14:anchorId="4390B850" wp14:editId="21FBAA2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3224A9BE" w:rsidR="00B27291" w:rsidRPr="00D72DC6" w:rsidRDefault="004C5050" w:rsidP="00F02AD1">
                      <w:pPr>
                        <w:rPr>
                          <w:color w:val="FFFFFF" w:themeColor="background1"/>
                          <w14:textFill>
                            <w14:noFill/>
                          </w14:textFill>
                        </w:rPr>
                      </w:pPr>
                      <w:r>
                        <w:rPr>
                          <w:noProof/>
                          <w:color w:val="FFFFFF" w:themeColor="background1"/>
                        </w:rPr>
                        <w:drawing>
                          <wp:inline distT="0" distB="0" distL="0" distR="0" wp14:anchorId="4390B850" wp14:editId="21FBAA2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C025E1">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B27291" w:rsidRPr="004B7EB6" w:rsidRDefault="00B2729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B27291" w:rsidRPr="004B7EB6" w:rsidRDefault="00B2729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C025E1" w:rsidRDefault="004A6A54" w:rsidP="005516A1">
      <w:pPr>
        <w:tabs>
          <w:tab w:val="center" w:pos="5400"/>
        </w:tabs>
        <w:suppressAutoHyphens/>
        <w:jc w:val="center"/>
        <w:rPr>
          <w:rFonts w:asciiTheme="majorHAnsi" w:hAnsiTheme="majorHAnsi"/>
          <w:b/>
          <w:sz w:val="20"/>
          <w:lang w:val="es-419"/>
        </w:rPr>
        <w:sectPr w:rsidR="0070697F" w:rsidRPr="00C025E1"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C025E1">
        <w:rPr>
          <w:rFonts w:asciiTheme="majorHAnsi" w:hAnsiTheme="majorHAnsi"/>
          <w:b/>
          <w:sz w:val="20"/>
          <w:lang w:val="es-419"/>
        </w:rPr>
        <w:tab/>
      </w:r>
    </w:p>
    <w:p w14:paraId="376DDC8B" w14:textId="0F203076" w:rsidR="003239B8" w:rsidRPr="00C025E1" w:rsidRDefault="003239B8" w:rsidP="00282E08">
      <w:pPr>
        <w:pStyle w:val="ListParagraph"/>
        <w:numPr>
          <w:ilvl w:val="0"/>
          <w:numId w:val="58"/>
        </w:numPr>
        <w:spacing w:after="240"/>
        <w:jc w:val="both"/>
        <w:rPr>
          <w:rFonts w:asciiTheme="majorHAnsi" w:hAnsiTheme="majorHAnsi"/>
          <w:b/>
          <w:bCs/>
          <w:sz w:val="20"/>
          <w:szCs w:val="20"/>
          <w:lang w:val="es-419"/>
        </w:rPr>
      </w:pPr>
      <w:r w:rsidRPr="00C025E1">
        <w:rPr>
          <w:rFonts w:asciiTheme="majorHAnsi" w:hAnsiTheme="majorHAnsi"/>
          <w:b/>
          <w:bCs/>
          <w:sz w:val="20"/>
          <w:szCs w:val="20"/>
          <w:lang w:val="es-419"/>
        </w:rPr>
        <w:lastRenderedPageBreak/>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D03C9"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C025E1" w:rsidRDefault="003239B8" w:rsidP="00230C3B">
            <w:pPr>
              <w:jc w:val="center"/>
              <w:rPr>
                <w:rFonts w:ascii="Cambria" w:hAnsi="Cambria"/>
                <w:b/>
                <w:bCs/>
                <w:color w:val="FFFFFF" w:themeColor="background1"/>
                <w:sz w:val="20"/>
                <w:szCs w:val="20"/>
                <w:lang w:val="es-419"/>
              </w:rPr>
            </w:pPr>
            <w:r w:rsidRPr="00C025E1">
              <w:rPr>
                <w:rFonts w:ascii="Cambria" w:hAnsi="Cambria"/>
                <w:b/>
                <w:bCs/>
                <w:color w:val="FFFFFF" w:themeColor="background1"/>
                <w:sz w:val="20"/>
                <w:szCs w:val="20"/>
                <w:lang w:val="es-419"/>
              </w:rPr>
              <w:t>Parte peticionaria:</w:t>
            </w:r>
          </w:p>
        </w:tc>
        <w:tc>
          <w:tcPr>
            <w:tcW w:w="5760" w:type="dxa"/>
            <w:vAlign w:val="center"/>
          </w:tcPr>
          <w:p w14:paraId="3C5315D8" w14:textId="45AF9274" w:rsidR="003239B8" w:rsidRPr="00C025E1" w:rsidRDefault="00924B5F" w:rsidP="00230C3B">
            <w:pPr>
              <w:jc w:val="both"/>
              <w:rPr>
                <w:rFonts w:ascii="Cambria" w:hAnsi="Cambria"/>
                <w:bCs/>
                <w:sz w:val="20"/>
                <w:szCs w:val="20"/>
                <w:lang w:val="es-419"/>
              </w:rPr>
            </w:pPr>
            <w:r w:rsidRPr="00C025E1">
              <w:rPr>
                <w:rFonts w:ascii="Cambria" w:hAnsi="Cambria"/>
                <w:bCs/>
                <w:sz w:val="20"/>
                <w:szCs w:val="20"/>
                <w:lang w:val="es-419"/>
              </w:rPr>
              <w:t>Comité de Víctimas de</w:t>
            </w:r>
            <w:r w:rsidR="00A80CB2" w:rsidRPr="00C025E1">
              <w:rPr>
                <w:rFonts w:ascii="Cambria" w:hAnsi="Cambria"/>
                <w:bCs/>
                <w:sz w:val="20"/>
                <w:szCs w:val="20"/>
                <w:lang w:val="es-419"/>
              </w:rPr>
              <w:t xml:space="preserve"> la </w:t>
            </w:r>
            <w:r w:rsidR="006F0AD1" w:rsidRPr="00C025E1">
              <w:rPr>
                <w:rFonts w:ascii="Cambria" w:hAnsi="Cambria"/>
                <w:bCs/>
                <w:sz w:val="20"/>
                <w:szCs w:val="20"/>
                <w:lang w:val="es-419"/>
              </w:rPr>
              <w:t>a</w:t>
            </w:r>
            <w:r w:rsidR="00A80CB2" w:rsidRPr="00C025E1">
              <w:rPr>
                <w:rFonts w:ascii="Cambria" w:hAnsi="Cambria"/>
                <w:bCs/>
                <w:sz w:val="20"/>
                <w:szCs w:val="20"/>
                <w:lang w:val="es-419"/>
              </w:rPr>
              <w:t>ldea Sesajal</w:t>
            </w:r>
          </w:p>
        </w:tc>
      </w:tr>
      <w:tr w:rsidR="003239B8" w:rsidRPr="00CD03C9"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C025E1" w:rsidRDefault="00086661" w:rsidP="00230C3B">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7C07AF" w:rsidRPr="00C025E1">
                  <w:rPr>
                    <w:rFonts w:ascii="Cambria" w:hAnsi="Cambria"/>
                    <w:b/>
                    <w:bCs/>
                    <w:color w:val="FFFFFF" w:themeColor="background1"/>
                    <w:sz w:val="20"/>
                    <w:szCs w:val="20"/>
                    <w:lang w:val="es-419"/>
                  </w:rPr>
                  <w:t>Presunta víctima</w:t>
                </w:r>
              </w:sdtContent>
            </w:sdt>
            <w:r w:rsidR="003239B8" w:rsidRPr="00C025E1">
              <w:rPr>
                <w:rFonts w:ascii="Cambria" w:hAnsi="Cambria"/>
                <w:b/>
                <w:bCs/>
                <w:color w:val="FFFFFF" w:themeColor="background1"/>
                <w:sz w:val="20"/>
                <w:szCs w:val="20"/>
                <w:lang w:val="es-419"/>
              </w:rPr>
              <w:t>:</w:t>
            </w:r>
          </w:p>
        </w:tc>
        <w:tc>
          <w:tcPr>
            <w:tcW w:w="5760" w:type="dxa"/>
            <w:vAlign w:val="center"/>
          </w:tcPr>
          <w:p w14:paraId="4AEBF59E" w14:textId="791E3E34" w:rsidR="003239B8" w:rsidRPr="00C025E1" w:rsidRDefault="006C0AFA" w:rsidP="00230C3B">
            <w:pPr>
              <w:jc w:val="both"/>
              <w:rPr>
                <w:rFonts w:ascii="Cambria" w:hAnsi="Cambria"/>
                <w:bCs/>
                <w:sz w:val="20"/>
                <w:szCs w:val="20"/>
                <w:lang w:val="es-419"/>
              </w:rPr>
            </w:pPr>
            <w:r w:rsidRPr="00C025E1">
              <w:rPr>
                <w:rFonts w:ascii="Cambria" w:hAnsi="Cambria"/>
                <w:bCs/>
                <w:sz w:val="20"/>
                <w:szCs w:val="20"/>
                <w:lang w:val="es-419"/>
              </w:rPr>
              <w:t xml:space="preserve">Vecinos de la </w:t>
            </w:r>
            <w:r w:rsidR="006F0AD1" w:rsidRPr="00C025E1">
              <w:rPr>
                <w:rFonts w:ascii="Cambria" w:hAnsi="Cambria"/>
                <w:bCs/>
                <w:sz w:val="20"/>
                <w:szCs w:val="20"/>
                <w:lang w:val="es-419"/>
              </w:rPr>
              <w:t>a</w:t>
            </w:r>
            <w:r w:rsidR="00924B5F" w:rsidRPr="00C025E1">
              <w:rPr>
                <w:rFonts w:ascii="Cambria" w:hAnsi="Cambria"/>
                <w:bCs/>
                <w:sz w:val="20"/>
                <w:szCs w:val="20"/>
                <w:lang w:val="es-419"/>
              </w:rPr>
              <w:t>ldea Sesajal</w:t>
            </w:r>
            <w:r w:rsidR="003E26A5" w:rsidRPr="00C025E1">
              <w:rPr>
                <w:rStyle w:val="FootnoteReference"/>
                <w:rFonts w:ascii="Cambria" w:hAnsi="Cambria"/>
                <w:bCs/>
                <w:sz w:val="20"/>
                <w:szCs w:val="20"/>
                <w:lang w:val="es-419"/>
              </w:rPr>
              <w:footnoteReference w:id="2"/>
            </w:r>
          </w:p>
        </w:tc>
      </w:tr>
      <w:tr w:rsidR="003239B8" w:rsidRPr="00C025E1"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C025E1" w:rsidRDefault="003239B8" w:rsidP="00230C3B">
            <w:pPr>
              <w:jc w:val="center"/>
              <w:rPr>
                <w:rFonts w:ascii="Cambria" w:hAnsi="Cambria"/>
                <w:b/>
                <w:bCs/>
                <w:color w:val="FFFFFF" w:themeColor="background1"/>
                <w:sz w:val="20"/>
                <w:szCs w:val="20"/>
                <w:lang w:val="es-419"/>
              </w:rPr>
            </w:pPr>
            <w:r w:rsidRPr="00C025E1">
              <w:rPr>
                <w:rFonts w:ascii="Cambria" w:hAnsi="Cambria"/>
                <w:b/>
                <w:bCs/>
                <w:color w:val="FFFFFF" w:themeColor="background1"/>
                <w:sz w:val="20"/>
                <w:szCs w:val="20"/>
                <w:lang w:val="es-419"/>
              </w:rPr>
              <w:t>Estado denunciado:</w:t>
            </w:r>
          </w:p>
        </w:tc>
        <w:tc>
          <w:tcPr>
            <w:tcW w:w="5760" w:type="dxa"/>
            <w:vAlign w:val="center"/>
          </w:tcPr>
          <w:p w14:paraId="274C8A50" w14:textId="3D25956E" w:rsidR="003239B8" w:rsidRPr="00C025E1" w:rsidRDefault="005276D1" w:rsidP="00230C3B">
            <w:pPr>
              <w:jc w:val="both"/>
              <w:rPr>
                <w:rFonts w:ascii="Cambria" w:hAnsi="Cambria"/>
                <w:bCs/>
                <w:sz w:val="20"/>
                <w:szCs w:val="20"/>
                <w:lang w:val="es-419"/>
              </w:rPr>
            </w:pPr>
            <w:r w:rsidRPr="00C025E1">
              <w:rPr>
                <w:rFonts w:ascii="Cambria" w:hAnsi="Cambria"/>
                <w:bCs/>
                <w:sz w:val="20"/>
                <w:szCs w:val="20"/>
                <w:lang w:val="es-419"/>
              </w:rPr>
              <w:t>Guatemala</w:t>
            </w:r>
            <w:r w:rsidR="004A6A54" w:rsidRPr="00C025E1">
              <w:rPr>
                <w:rStyle w:val="FootnoteReference"/>
                <w:rFonts w:ascii="Cambria" w:hAnsi="Cambria"/>
                <w:bCs/>
                <w:sz w:val="20"/>
                <w:szCs w:val="20"/>
                <w:lang w:val="es-419"/>
              </w:rPr>
              <w:footnoteReference w:id="3"/>
            </w:r>
          </w:p>
        </w:tc>
      </w:tr>
      <w:tr w:rsidR="00223A29" w:rsidRPr="00CD03C9"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C025E1" w:rsidRDefault="001B3A00" w:rsidP="00E4118C">
            <w:pPr>
              <w:jc w:val="center"/>
              <w:rPr>
                <w:rFonts w:ascii="Cambria" w:hAnsi="Cambria"/>
                <w:b/>
                <w:bCs/>
                <w:color w:val="FFFFFF" w:themeColor="background1"/>
                <w:sz w:val="20"/>
                <w:szCs w:val="20"/>
                <w:lang w:val="es-419"/>
              </w:rPr>
            </w:pPr>
            <w:r w:rsidRPr="00C025E1">
              <w:rPr>
                <w:rFonts w:ascii="Cambria" w:hAnsi="Cambria"/>
                <w:b/>
                <w:bCs/>
                <w:color w:val="FFFFFF" w:themeColor="background1"/>
                <w:sz w:val="20"/>
                <w:szCs w:val="20"/>
                <w:lang w:val="es-419"/>
              </w:rPr>
              <w:t xml:space="preserve">Derechos </w:t>
            </w:r>
            <w:r w:rsidR="00E4118C" w:rsidRPr="00C025E1">
              <w:rPr>
                <w:rFonts w:ascii="Cambria" w:hAnsi="Cambria"/>
                <w:b/>
                <w:bCs/>
                <w:color w:val="FFFFFF" w:themeColor="background1"/>
                <w:sz w:val="20"/>
                <w:szCs w:val="20"/>
                <w:lang w:val="es-419"/>
              </w:rPr>
              <w:t>invocados</w:t>
            </w:r>
            <w:r w:rsidRPr="00C025E1">
              <w:rPr>
                <w:rFonts w:ascii="Cambria" w:hAnsi="Cambria"/>
                <w:b/>
                <w:bCs/>
                <w:color w:val="FFFFFF" w:themeColor="background1"/>
                <w:sz w:val="20"/>
                <w:szCs w:val="20"/>
                <w:lang w:val="es-419"/>
              </w:rPr>
              <w:t>:</w:t>
            </w:r>
          </w:p>
        </w:tc>
        <w:tc>
          <w:tcPr>
            <w:tcW w:w="5760" w:type="dxa"/>
            <w:vAlign w:val="center"/>
          </w:tcPr>
          <w:p w14:paraId="6DEE1EEB" w14:textId="72489E1D" w:rsidR="00223A29" w:rsidRPr="004C5050" w:rsidRDefault="00B304E5" w:rsidP="00230C3B">
            <w:pPr>
              <w:jc w:val="both"/>
              <w:rPr>
                <w:rFonts w:ascii="Cambria" w:hAnsi="Cambria"/>
                <w:bCs/>
                <w:sz w:val="19"/>
                <w:szCs w:val="19"/>
                <w:lang w:val="es-419"/>
              </w:rPr>
            </w:pPr>
            <w:r w:rsidRPr="004C5050">
              <w:rPr>
                <w:rFonts w:ascii="Cambria" w:hAnsi="Cambria"/>
                <w:bCs/>
                <w:sz w:val="19"/>
                <w:szCs w:val="19"/>
                <w:lang w:val="es-419"/>
              </w:rPr>
              <w:t>Artículos 4 (vida), 5 (integridad personal)</w:t>
            </w:r>
            <w:r w:rsidR="006F0DB4" w:rsidRPr="004C5050">
              <w:rPr>
                <w:rFonts w:ascii="Cambria" w:hAnsi="Cambria"/>
                <w:bCs/>
                <w:sz w:val="19"/>
                <w:szCs w:val="19"/>
                <w:lang w:val="es-419"/>
              </w:rPr>
              <w:t>, 8 (garantías judiciales), 11 (honra y dignidad), 17 (protección a la familia), 19 (derechos del niño), 21 (propiedad privada)</w:t>
            </w:r>
            <w:r w:rsidR="00B06B04" w:rsidRPr="004C5050">
              <w:rPr>
                <w:rFonts w:ascii="Cambria" w:hAnsi="Cambria"/>
                <w:bCs/>
                <w:sz w:val="19"/>
                <w:szCs w:val="19"/>
                <w:lang w:val="es-419"/>
              </w:rPr>
              <w:t xml:space="preserve"> y</w:t>
            </w:r>
            <w:r w:rsidR="006F0DB4" w:rsidRPr="004C5050">
              <w:rPr>
                <w:rFonts w:ascii="Cambria" w:hAnsi="Cambria"/>
                <w:bCs/>
                <w:sz w:val="19"/>
                <w:szCs w:val="19"/>
                <w:lang w:val="es-419"/>
              </w:rPr>
              <w:t xml:space="preserve"> 24 (igualdad ante la ley) de la Convención Americana sobre Derechos Humanos</w:t>
            </w:r>
            <w:r w:rsidR="006F0DB4" w:rsidRPr="004C5050">
              <w:rPr>
                <w:rStyle w:val="FootnoteReference"/>
                <w:rFonts w:ascii="Cambria" w:hAnsi="Cambria"/>
                <w:bCs/>
                <w:sz w:val="19"/>
                <w:szCs w:val="19"/>
                <w:lang w:val="es-419"/>
              </w:rPr>
              <w:footnoteReference w:id="4"/>
            </w:r>
            <w:r w:rsidR="00E60155" w:rsidRPr="004C5050">
              <w:rPr>
                <w:rFonts w:ascii="Cambria" w:hAnsi="Cambria"/>
                <w:bCs/>
                <w:sz w:val="19"/>
                <w:szCs w:val="19"/>
                <w:lang w:val="es-419"/>
              </w:rPr>
              <w:t>,</w:t>
            </w:r>
            <w:r w:rsidR="00B06B04" w:rsidRPr="004C5050">
              <w:rPr>
                <w:rFonts w:ascii="Cambria" w:hAnsi="Cambria"/>
                <w:bCs/>
                <w:sz w:val="19"/>
                <w:szCs w:val="19"/>
                <w:lang w:val="es-419"/>
              </w:rPr>
              <w:t xml:space="preserve"> en relación con su</w:t>
            </w:r>
            <w:r w:rsidR="00DA5EC8" w:rsidRPr="004C5050">
              <w:rPr>
                <w:rFonts w:ascii="Cambria" w:hAnsi="Cambria"/>
                <w:bCs/>
                <w:sz w:val="19"/>
                <w:szCs w:val="19"/>
                <w:lang w:val="es-419"/>
              </w:rPr>
              <w:t>s</w:t>
            </w:r>
            <w:r w:rsidR="00B06B04" w:rsidRPr="004C5050">
              <w:rPr>
                <w:rFonts w:ascii="Cambria" w:hAnsi="Cambria"/>
                <w:bCs/>
                <w:sz w:val="19"/>
                <w:szCs w:val="19"/>
                <w:lang w:val="es-419"/>
              </w:rPr>
              <w:t xml:space="preserve"> artículo</w:t>
            </w:r>
            <w:r w:rsidR="00DA5EC8" w:rsidRPr="004C5050">
              <w:rPr>
                <w:rFonts w:ascii="Cambria" w:hAnsi="Cambria"/>
                <w:bCs/>
                <w:sz w:val="19"/>
                <w:szCs w:val="19"/>
                <w:lang w:val="es-419"/>
              </w:rPr>
              <w:t>s</w:t>
            </w:r>
            <w:r w:rsidR="00B06B04" w:rsidRPr="004C5050">
              <w:rPr>
                <w:rFonts w:ascii="Cambria" w:hAnsi="Cambria"/>
                <w:bCs/>
                <w:sz w:val="19"/>
                <w:szCs w:val="19"/>
                <w:lang w:val="es-419"/>
              </w:rPr>
              <w:t xml:space="preserve"> 1.1 (</w:t>
            </w:r>
            <w:r w:rsidR="00DA5EC8" w:rsidRPr="004C5050">
              <w:rPr>
                <w:rFonts w:ascii="Cambria" w:hAnsi="Cambria"/>
                <w:bCs/>
                <w:sz w:val="19"/>
                <w:szCs w:val="19"/>
                <w:lang w:val="es-419"/>
              </w:rPr>
              <w:t>obligación de respetar los derechos</w:t>
            </w:r>
            <w:r w:rsidR="00B06B04" w:rsidRPr="004C5050">
              <w:rPr>
                <w:rFonts w:ascii="Cambria" w:hAnsi="Cambria"/>
                <w:bCs/>
                <w:sz w:val="19"/>
                <w:szCs w:val="19"/>
                <w:lang w:val="es-419"/>
              </w:rPr>
              <w:t>) y 2 (deber de adoptar disposiciones de derecho interno)</w:t>
            </w:r>
            <w:r w:rsidR="006F0DB4" w:rsidRPr="004C5050">
              <w:rPr>
                <w:rFonts w:ascii="Cambria" w:hAnsi="Cambria"/>
                <w:bCs/>
                <w:sz w:val="19"/>
                <w:szCs w:val="19"/>
                <w:lang w:val="es-419"/>
              </w:rPr>
              <w:t>; artículos 3,</w:t>
            </w:r>
            <w:r w:rsidR="00BA0352" w:rsidRPr="004C5050">
              <w:rPr>
                <w:rFonts w:ascii="Cambria" w:hAnsi="Cambria"/>
                <w:bCs/>
                <w:sz w:val="19"/>
                <w:szCs w:val="19"/>
                <w:lang w:val="es-419"/>
              </w:rPr>
              <w:t xml:space="preserve"> </w:t>
            </w:r>
            <w:r w:rsidR="006F0DB4" w:rsidRPr="004C5050">
              <w:rPr>
                <w:rFonts w:ascii="Cambria" w:hAnsi="Cambria"/>
                <w:bCs/>
                <w:sz w:val="19"/>
                <w:szCs w:val="19"/>
                <w:lang w:val="es-419"/>
              </w:rPr>
              <w:t>6,</w:t>
            </w:r>
            <w:r w:rsidR="00BA0352" w:rsidRPr="004C5050">
              <w:rPr>
                <w:rFonts w:ascii="Cambria" w:hAnsi="Cambria"/>
                <w:bCs/>
                <w:sz w:val="19"/>
                <w:szCs w:val="19"/>
                <w:lang w:val="es-419"/>
              </w:rPr>
              <w:t xml:space="preserve"> </w:t>
            </w:r>
            <w:r w:rsidR="006F0DB4" w:rsidRPr="004C5050">
              <w:rPr>
                <w:rFonts w:ascii="Cambria" w:hAnsi="Cambria"/>
                <w:bCs/>
                <w:sz w:val="19"/>
                <w:szCs w:val="19"/>
                <w:lang w:val="es-419"/>
              </w:rPr>
              <w:t>7,</w:t>
            </w:r>
            <w:r w:rsidR="00BA0352" w:rsidRPr="004C5050">
              <w:rPr>
                <w:rFonts w:ascii="Cambria" w:hAnsi="Cambria"/>
                <w:bCs/>
                <w:sz w:val="19"/>
                <w:szCs w:val="19"/>
                <w:lang w:val="es-419"/>
              </w:rPr>
              <w:t xml:space="preserve"> </w:t>
            </w:r>
            <w:r w:rsidR="006F0DB4" w:rsidRPr="004C5050">
              <w:rPr>
                <w:rFonts w:ascii="Cambria" w:hAnsi="Cambria"/>
                <w:bCs/>
                <w:sz w:val="19"/>
                <w:szCs w:val="19"/>
                <w:lang w:val="es-419"/>
              </w:rPr>
              <w:t>10,</w:t>
            </w:r>
            <w:r w:rsidR="00BA0352" w:rsidRPr="004C5050">
              <w:rPr>
                <w:rFonts w:ascii="Cambria" w:hAnsi="Cambria"/>
                <w:bCs/>
                <w:sz w:val="19"/>
                <w:szCs w:val="19"/>
                <w:lang w:val="es-419"/>
              </w:rPr>
              <w:t xml:space="preserve"> </w:t>
            </w:r>
            <w:r w:rsidR="006F0DB4" w:rsidRPr="004C5050">
              <w:rPr>
                <w:rFonts w:ascii="Cambria" w:hAnsi="Cambria"/>
                <w:bCs/>
                <w:sz w:val="19"/>
                <w:szCs w:val="19"/>
                <w:lang w:val="es-419"/>
              </w:rPr>
              <w:t>11,</w:t>
            </w:r>
            <w:r w:rsidR="00BA0352" w:rsidRPr="004C5050">
              <w:rPr>
                <w:rFonts w:ascii="Cambria" w:hAnsi="Cambria"/>
                <w:bCs/>
                <w:sz w:val="19"/>
                <w:szCs w:val="19"/>
                <w:lang w:val="es-419"/>
              </w:rPr>
              <w:t xml:space="preserve"> </w:t>
            </w:r>
            <w:r w:rsidR="006F0DB4" w:rsidRPr="004C5050">
              <w:rPr>
                <w:rFonts w:ascii="Cambria" w:hAnsi="Cambria"/>
                <w:bCs/>
                <w:sz w:val="19"/>
                <w:szCs w:val="19"/>
                <w:lang w:val="es-419"/>
              </w:rPr>
              <w:t>12,</w:t>
            </w:r>
            <w:r w:rsidR="00BA0352" w:rsidRPr="004C5050">
              <w:rPr>
                <w:rFonts w:ascii="Cambria" w:hAnsi="Cambria"/>
                <w:bCs/>
                <w:sz w:val="19"/>
                <w:szCs w:val="19"/>
                <w:lang w:val="es-419"/>
              </w:rPr>
              <w:t xml:space="preserve"> </w:t>
            </w:r>
            <w:r w:rsidR="006F0DB4" w:rsidRPr="004C5050">
              <w:rPr>
                <w:rFonts w:ascii="Cambria" w:hAnsi="Cambria"/>
                <w:bCs/>
                <w:sz w:val="19"/>
                <w:szCs w:val="19"/>
                <w:lang w:val="es-419"/>
              </w:rPr>
              <w:t>13,</w:t>
            </w:r>
            <w:r w:rsidR="00BA0352" w:rsidRPr="004C5050">
              <w:rPr>
                <w:rFonts w:ascii="Cambria" w:hAnsi="Cambria"/>
                <w:bCs/>
                <w:sz w:val="19"/>
                <w:szCs w:val="19"/>
                <w:lang w:val="es-419"/>
              </w:rPr>
              <w:t xml:space="preserve"> </w:t>
            </w:r>
            <w:r w:rsidR="006F0DB4" w:rsidRPr="004C5050">
              <w:rPr>
                <w:rFonts w:ascii="Cambria" w:hAnsi="Cambria"/>
                <w:bCs/>
                <w:sz w:val="19"/>
                <w:szCs w:val="19"/>
                <w:lang w:val="es-419"/>
              </w:rPr>
              <w:t>14,</w:t>
            </w:r>
            <w:r w:rsidR="00BA0352" w:rsidRPr="004C5050">
              <w:rPr>
                <w:rFonts w:ascii="Cambria" w:hAnsi="Cambria"/>
                <w:bCs/>
                <w:sz w:val="19"/>
                <w:szCs w:val="19"/>
                <w:lang w:val="es-419"/>
              </w:rPr>
              <w:t xml:space="preserve"> </w:t>
            </w:r>
            <w:r w:rsidR="006F0DB4" w:rsidRPr="004C5050">
              <w:rPr>
                <w:rFonts w:ascii="Cambria" w:hAnsi="Cambria"/>
                <w:bCs/>
                <w:sz w:val="19"/>
                <w:szCs w:val="19"/>
                <w:lang w:val="es-419"/>
              </w:rPr>
              <w:t>15,</w:t>
            </w:r>
            <w:r w:rsidR="00BA0352" w:rsidRPr="004C5050">
              <w:rPr>
                <w:rFonts w:ascii="Cambria" w:hAnsi="Cambria"/>
                <w:bCs/>
                <w:sz w:val="19"/>
                <w:szCs w:val="19"/>
                <w:lang w:val="es-419"/>
              </w:rPr>
              <w:t xml:space="preserve"> </w:t>
            </w:r>
            <w:r w:rsidR="006F0DB4" w:rsidRPr="004C5050">
              <w:rPr>
                <w:rFonts w:ascii="Cambria" w:hAnsi="Cambria"/>
                <w:bCs/>
                <w:sz w:val="19"/>
                <w:szCs w:val="19"/>
                <w:lang w:val="es-419"/>
              </w:rPr>
              <w:t>16,</w:t>
            </w:r>
            <w:r w:rsidR="00BA0352" w:rsidRPr="004C5050">
              <w:rPr>
                <w:rFonts w:ascii="Cambria" w:hAnsi="Cambria"/>
                <w:bCs/>
                <w:sz w:val="19"/>
                <w:szCs w:val="19"/>
                <w:lang w:val="es-419"/>
              </w:rPr>
              <w:t xml:space="preserve"> </w:t>
            </w:r>
            <w:r w:rsidR="006F0DB4" w:rsidRPr="004C5050">
              <w:rPr>
                <w:rFonts w:ascii="Cambria" w:hAnsi="Cambria"/>
                <w:bCs/>
                <w:sz w:val="19"/>
                <w:szCs w:val="19"/>
                <w:lang w:val="es-419"/>
              </w:rPr>
              <w:t>17</w:t>
            </w:r>
            <w:r w:rsidR="00BA0352" w:rsidRPr="004C5050">
              <w:rPr>
                <w:rFonts w:ascii="Cambria" w:hAnsi="Cambria"/>
                <w:bCs/>
                <w:sz w:val="19"/>
                <w:szCs w:val="19"/>
                <w:lang w:val="es-419"/>
              </w:rPr>
              <w:t xml:space="preserve"> y </w:t>
            </w:r>
            <w:r w:rsidR="006F0DB4" w:rsidRPr="004C5050">
              <w:rPr>
                <w:rFonts w:ascii="Cambria" w:hAnsi="Cambria"/>
                <w:bCs/>
                <w:sz w:val="19"/>
                <w:szCs w:val="19"/>
                <w:lang w:val="es-419"/>
              </w:rPr>
              <w:t xml:space="preserve">19 del Protocolo </w:t>
            </w:r>
            <w:r w:rsidR="00F069F8" w:rsidRPr="004C5050">
              <w:rPr>
                <w:rFonts w:ascii="Cambria" w:hAnsi="Cambria"/>
                <w:bCs/>
                <w:sz w:val="19"/>
                <w:szCs w:val="19"/>
                <w:lang w:val="es-419"/>
              </w:rPr>
              <w:t>Adicional a la Convención Americana en materia de Derechos Económicos, Sociales y Culturales</w:t>
            </w:r>
            <w:r w:rsidR="00282E08" w:rsidRPr="004C5050">
              <w:rPr>
                <w:rFonts w:ascii="Cambria" w:hAnsi="Cambria"/>
                <w:bCs/>
                <w:sz w:val="19"/>
                <w:szCs w:val="19"/>
                <w:lang w:val="es-419"/>
              </w:rPr>
              <w:t xml:space="preserve"> (“Protocolo de San Salvador”)</w:t>
            </w:r>
            <w:r w:rsidR="00F069F8" w:rsidRPr="004C5050">
              <w:rPr>
                <w:rFonts w:ascii="Cambria" w:hAnsi="Cambria"/>
                <w:bCs/>
                <w:sz w:val="19"/>
                <w:szCs w:val="19"/>
                <w:lang w:val="es-419"/>
              </w:rPr>
              <w:t>; y otros tratados internacionales</w:t>
            </w:r>
            <w:r w:rsidR="00F069F8" w:rsidRPr="004C5050">
              <w:rPr>
                <w:rStyle w:val="FootnoteReference"/>
                <w:rFonts w:ascii="Cambria" w:hAnsi="Cambria"/>
                <w:bCs/>
                <w:sz w:val="19"/>
                <w:szCs w:val="19"/>
                <w:lang w:val="es-419"/>
              </w:rPr>
              <w:footnoteReference w:id="5"/>
            </w:r>
          </w:p>
        </w:tc>
      </w:tr>
    </w:tbl>
    <w:p w14:paraId="20263696" w14:textId="1024402B" w:rsidR="003239B8" w:rsidRPr="00C025E1" w:rsidRDefault="003239B8" w:rsidP="00282E08">
      <w:pPr>
        <w:pStyle w:val="ListParagraph"/>
        <w:numPr>
          <w:ilvl w:val="0"/>
          <w:numId w:val="58"/>
        </w:numPr>
        <w:spacing w:before="240" w:after="240"/>
        <w:jc w:val="both"/>
        <w:rPr>
          <w:rFonts w:asciiTheme="majorHAnsi" w:hAnsiTheme="majorHAnsi"/>
          <w:b/>
          <w:bCs/>
          <w:sz w:val="20"/>
          <w:szCs w:val="20"/>
          <w:lang w:val="es-419"/>
        </w:rPr>
      </w:pPr>
      <w:r w:rsidRPr="00C025E1">
        <w:rPr>
          <w:rFonts w:asciiTheme="majorHAnsi" w:hAnsiTheme="majorHAnsi"/>
          <w:b/>
          <w:bCs/>
          <w:sz w:val="20"/>
          <w:szCs w:val="20"/>
          <w:lang w:val="es-419"/>
        </w:rPr>
        <w:t>TRÁMITE ANTE LA CIDH</w:t>
      </w:r>
      <w:r w:rsidR="008E3BFE" w:rsidRPr="00C025E1">
        <w:rPr>
          <w:rStyle w:val="FootnoteReference"/>
          <w:b/>
          <w:sz w:val="20"/>
          <w:szCs w:val="20"/>
          <w:lang w:val="es-4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025E1"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C025E1" w:rsidRDefault="004A6A54" w:rsidP="004A6A54">
            <w:pPr>
              <w:jc w:val="center"/>
              <w:rPr>
                <w:rFonts w:ascii="Cambria" w:hAnsi="Cambria"/>
                <w:b/>
                <w:bCs/>
                <w:color w:val="FFFFFF" w:themeColor="background1"/>
                <w:sz w:val="20"/>
                <w:szCs w:val="20"/>
                <w:lang w:val="es-419"/>
              </w:rPr>
            </w:pPr>
            <w:r w:rsidRPr="00C025E1">
              <w:rPr>
                <w:rFonts w:ascii="Cambria" w:hAnsi="Cambria"/>
                <w:b/>
                <w:bCs/>
                <w:color w:val="FFFFFF" w:themeColor="background1"/>
                <w:sz w:val="20"/>
                <w:szCs w:val="20"/>
                <w:lang w:val="es-419"/>
              </w:rPr>
              <w:t>P</w:t>
            </w:r>
            <w:r w:rsidR="004C2312" w:rsidRPr="00C025E1">
              <w:rPr>
                <w:rFonts w:ascii="Cambria" w:hAnsi="Cambria"/>
                <w:b/>
                <w:bCs/>
                <w:color w:val="FFFFFF" w:themeColor="background1"/>
                <w:sz w:val="20"/>
                <w:szCs w:val="20"/>
                <w:lang w:val="es-419"/>
              </w:rPr>
              <w:t>resentación de la petición:</w:t>
            </w:r>
          </w:p>
        </w:tc>
        <w:tc>
          <w:tcPr>
            <w:tcW w:w="5760" w:type="dxa"/>
            <w:vAlign w:val="center"/>
          </w:tcPr>
          <w:p w14:paraId="6E579153" w14:textId="2878E3D1" w:rsidR="004C2312" w:rsidRPr="00C025E1" w:rsidRDefault="005276D1" w:rsidP="00230C3B">
            <w:pPr>
              <w:jc w:val="both"/>
              <w:rPr>
                <w:rFonts w:ascii="Cambria" w:hAnsi="Cambria"/>
                <w:bCs/>
                <w:sz w:val="20"/>
                <w:szCs w:val="20"/>
                <w:lang w:val="es-419"/>
              </w:rPr>
            </w:pPr>
            <w:r w:rsidRPr="00C025E1">
              <w:rPr>
                <w:rFonts w:ascii="Cambria" w:hAnsi="Cambria"/>
                <w:bCs/>
                <w:sz w:val="20"/>
                <w:szCs w:val="20"/>
                <w:lang w:val="es-419"/>
              </w:rPr>
              <w:t>24 de octubre de 2011</w:t>
            </w:r>
          </w:p>
        </w:tc>
      </w:tr>
      <w:tr w:rsidR="00131425" w:rsidRPr="00C025E1"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C025E1" w:rsidRDefault="00131425" w:rsidP="004A6A54">
            <w:pPr>
              <w:jc w:val="center"/>
              <w:rPr>
                <w:rFonts w:ascii="Cambria" w:hAnsi="Cambria"/>
                <w:b/>
                <w:bCs/>
                <w:color w:val="FFFFFF" w:themeColor="background1"/>
                <w:sz w:val="20"/>
                <w:szCs w:val="20"/>
                <w:lang w:val="es-419"/>
              </w:rPr>
            </w:pPr>
            <w:r w:rsidRPr="00C025E1">
              <w:rPr>
                <w:rFonts w:ascii="Cambria" w:hAnsi="Cambria"/>
                <w:b/>
                <w:bCs/>
                <w:color w:val="FFFFFF" w:themeColor="background1"/>
                <w:sz w:val="20"/>
                <w:szCs w:val="20"/>
                <w:lang w:val="es-419"/>
              </w:rPr>
              <w:t>Información adicional recibida durante la etapa de estudio:</w:t>
            </w:r>
          </w:p>
        </w:tc>
        <w:tc>
          <w:tcPr>
            <w:tcW w:w="5760" w:type="dxa"/>
            <w:vAlign w:val="center"/>
          </w:tcPr>
          <w:p w14:paraId="30151270" w14:textId="383C5218" w:rsidR="00131425" w:rsidRPr="00C025E1" w:rsidRDefault="005276D1" w:rsidP="00230C3B">
            <w:pPr>
              <w:jc w:val="both"/>
              <w:rPr>
                <w:rFonts w:ascii="Cambria" w:hAnsi="Cambria"/>
                <w:bCs/>
                <w:sz w:val="20"/>
                <w:szCs w:val="20"/>
                <w:lang w:val="es-419"/>
              </w:rPr>
            </w:pPr>
            <w:r w:rsidRPr="00C025E1">
              <w:rPr>
                <w:rFonts w:ascii="Cambria" w:hAnsi="Cambria"/>
                <w:bCs/>
                <w:sz w:val="20"/>
                <w:szCs w:val="20"/>
                <w:lang w:val="es-419"/>
              </w:rPr>
              <w:t>2 de agosto de 2017</w:t>
            </w:r>
          </w:p>
        </w:tc>
      </w:tr>
      <w:tr w:rsidR="004C2312" w:rsidRPr="00C025E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C025E1" w:rsidRDefault="004A6A54" w:rsidP="004A6A54">
            <w:pPr>
              <w:jc w:val="center"/>
              <w:rPr>
                <w:rFonts w:ascii="Cambria" w:hAnsi="Cambria"/>
                <w:b/>
                <w:bCs/>
                <w:color w:val="FFFFFF" w:themeColor="background1"/>
                <w:sz w:val="20"/>
                <w:szCs w:val="20"/>
                <w:lang w:val="es-419"/>
              </w:rPr>
            </w:pPr>
            <w:r w:rsidRPr="00C025E1">
              <w:rPr>
                <w:rFonts w:ascii="Cambria" w:hAnsi="Cambria"/>
                <w:b/>
                <w:color w:val="FFFFFF" w:themeColor="background1"/>
                <w:sz w:val="20"/>
                <w:szCs w:val="20"/>
                <w:lang w:val="es-419"/>
              </w:rPr>
              <w:t>N</w:t>
            </w:r>
            <w:r w:rsidR="004C2312" w:rsidRPr="00C025E1">
              <w:rPr>
                <w:rFonts w:ascii="Cambria" w:hAnsi="Cambria"/>
                <w:b/>
                <w:color w:val="FFFFFF" w:themeColor="background1"/>
                <w:sz w:val="20"/>
                <w:szCs w:val="20"/>
                <w:lang w:val="es-419"/>
              </w:rPr>
              <w:t>otificación de la petición al Estado:</w:t>
            </w:r>
          </w:p>
        </w:tc>
        <w:tc>
          <w:tcPr>
            <w:tcW w:w="5760" w:type="dxa"/>
            <w:vAlign w:val="center"/>
          </w:tcPr>
          <w:p w14:paraId="1519DA6A" w14:textId="4C9BF632" w:rsidR="004C2312" w:rsidRPr="00C025E1" w:rsidRDefault="005276D1" w:rsidP="00230C3B">
            <w:pPr>
              <w:jc w:val="both"/>
              <w:rPr>
                <w:rFonts w:ascii="Cambria" w:hAnsi="Cambria"/>
                <w:bCs/>
                <w:sz w:val="20"/>
                <w:szCs w:val="20"/>
                <w:lang w:val="es-419"/>
              </w:rPr>
            </w:pPr>
            <w:r w:rsidRPr="00C025E1">
              <w:rPr>
                <w:rFonts w:ascii="Cambria" w:hAnsi="Cambria"/>
                <w:bCs/>
                <w:sz w:val="20"/>
                <w:szCs w:val="20"/>
                <w:lang w:val="es-419"/>
              </w:rPr>
              <w:t>8 de junio de 2018</w:t>
            </w:r>
          </w:p>
        </w:tc>
      </w:tr>
      <w:tr w:rsidR="004C2312" w:rsidRPr="00C025E1"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C025E1" w:rsidRDefault="004A6A54" w:rsidP="004A6A54">
            <w:pPr>
              <w:jc w:val="center"/>
              <w:rPr>
                <w:rFonts w:ascii="Cambria" w:hAnsi="Cambria"/>
                <w:b/>
                <w:bCs/>
                <w:color w:val="FFFFFF" w:themeColor="background1"/>
                <w:sz w:val="20"/>
                <w:szCs w:val="20"/>
                <w:lang w:val="es-419"/>
              </w:rPr>
            </w:pPr>
            <w:r w:rsidRPr="00C025E1">
              <w:rPr>
                <w:rFonts w:ascii="Cambria" w:hAnsi="Cambria"/>
                <w:b/>
                <w:color w:val="FFFFFF" w:themeColor="background1"/>
                <w:sz w:val="20"/>
                <w:szCs w:val="20"/>
                <w:lang w:val="es-419"/>
              </w:rPr>
              <w:t>P</w:t>
            </w:r>
            <w:r w:rsidR="004C2312" w:rsidRPr="00C025E1">
              <w:rPr>
                <w:rFonts w:ascii="Cambria" w:hAnsi="Cambria"/>
                <w:b/>
                <w:color w:val="FFFFFF" w:themeColor="background1"/>
                <w:sz w:val="20"/>
                <w:szCs w:val="20"/>
                <w:lang w:val="es-419"/>
              </w:rPr>
              <w:t>rimera respuesta del Estado:</w:t>
            </w:r>
          </w:p>
        </w:tc>
        <w:tc>
          <w:tcPr>
            <w:tcW w:w="5760" w:type="dxa"/>
            <w:vAlign w:val="center"/>
          </w:tcPr>
          <w:p w14:paraId="1972B99E" w14:textId="4E468F97" w:rsidR="004C2312" w:rsidRPr="00C025E1" w:rsidRDefault="005276D1" w:rsidP="00230C3B">
            <w:pPr>
              <w:jc w:val="both"/>
              <w:rPr>
                <w:rFonts w:ascii="Cambria" w:hAnsi="Cambria"/>
                <w:bCs/>
                <w:sz w:val="20"/>
                <w:szCs w:val="20"/>
                <w:lang w:val="es-419"/>
              </w:rPr>
            </w:pPr>
            <w:r w:rsidRPr="00C025E1">
              <w:rPr>
                <w:rFonts w:ascii="Cambria" w:hAnsi="Cambria"/>
                <w:bCs/>
                <w:sz w:val="20"/>
                <w:szCs w:val="20"/>
                <w:lang w:val="es-419"/>
              </w:rPr>
              <w:t>15 de agosto de 2018</w:t>
            </w:r>
          </w:p>
        </w:tc>
      </w:tr>
      <w:tr w:rsidR="00304677" w:rsidRPr="00CD03C9" w14:paraId="086D6E34" w14:textId="77777777" w:rsidTr="004A6A54">
        <w:tc>
          <w:tcPr>
            <w:tcW w:w="3600" w:type="dxa"/>
            <w:tcBorders>
              <w:top w:val="single" w:sz="6" w:space="0" w:color="auto"/>
              <w:bottom w:val="single" w:sz="6" w:space="0" w:color="auto"/>
            </w:tcBorders>
            <w:shd w:val="clear" w:color="auto" w:fill="386294"/>
            <w:vAlign w:val="center"/>
          </w:tcPr>
          <w:p w14:paraId="4D05AD83" w14:textId="3D46A26B" w:rsidR="00304677" w:rsidRPr="00C025E1" w:rsidRDefault="00A5689B" w:rsidP="004A6A54">
            <w:pPr>
              <w:jc w:val="center"/>
              <w:rPr>
                <w:rFonts w:ascii="Cambria" w:hAnsi="Cambria"/>
                <w:b/>
                <w:color w:val="FFFFFF" w:themeColor="background1"/>
                <w:sz w:val="20"/>
                <w:szCs w:val="20"/>
                <w:lang w:val="es-419"/>
              </w:rPr>
            </w:pPr>
            <w:r w:rsidRPr="00C025E1">
              <w:rPr>
                <w:rFonts w:ascii="Cambria" w:hAnsi="Cambria"/>
                <w:b/>
                <w:bCs/>
                <w:color w:val="FFFFFF" w:themeColor="background1"/>
                <w:sz w:val="20"/>
                <w:szCs w:val="20"/>
                <w:lang w:val="es-419"/>
              </w:rPr>
              <w:t>Observaciones adicionales de la parte peticionaria:</w:t>
            </w:r>
          </w:p>
        </w:tc>
        <w:tc>
          <w:tcPr>
            <w:tcW w:w="5760" w:type="dxa"/>
            <w:vAlign w:val="center"/>
          </w:tcPr>
          <w:p w14:paraId="6DDE68F5" w14:textId="39328B17" w:rsidR="00304677" w:rsidRPr="00C025E1" w:rsidRDefault="00A5689B" w:rsidP="00230C3B">
            <w:pPr>
              <w:jc w:val="both"/>
              <w:rPr>
                <w:rFonts w:ascii="Cambria" w:hAnsi="Cambria"/>
                <w:bCs/>
                <w:sz w:val="20"/>
                <w:szCs w:val="20"/>
                <w:lang w:val="es-419"/>
              </w:rPr>
            </w:pPr>
            <w:r w:rsidRPr="00C025E1">
              <w:rPr>
                <w:rFonts w:ascii="Cambria" w:hAnsi="Cambria"/>
                <w:bCs/>
                <w:sz w:val="20"/>
                <w:szCs w:val="20"/>
                <w:lang w:val="es-419"/>
              </w:rPr>
              <w:t>13 de enero y 19 de marzo de 2021</w:t>
            </w:r>
          </w:p>
        </w:tc>
      </w:tr>
      <w:tr w:rsidR="00304677" w:rsidRPr="00CD03C9" w14:paraId="7C88E68D" w14:textId="77777777" w:rsidTr="004A6A54">
        <w:tc>
          <w:tcPr>
            <w:tcW w:w="3600" w:type="dxa"/>
            <w:tcBorders>
              <w:top w:val="single" w:sz="6" w:space="0" w:color="auto"/>
              <w:bottom w:val="single" w:sz="6" w:space="0" w:color="auto"/>
            </w:tcBorders>
            <w:shd w:val="clear" w:color="auto" w:fill="386294"/>
            <w:vAlign w:val="center"/>
          </w:tcPr>
          <w:p w14:paraId="0908F534" w14:textId="4AED7456" w:rsidR="00304677" w:rsidRPr="00C025E1" w:rsidRDefault="00A5689B" w:rsidP="004A6A54">
            <w:pPr>
              <w:jc w:val="center"/>
              <w:rPr>
                <w:rFonts w:ascii="Cambria" w:hAnsi="Cambria"/>
                <w:b/>
                <w:color w:val="FFFFFF" w:themeColor="background1"/>
                <w:sz w:val="20"/>
                <w:szCs w:val="20"/>
                <w:lang w:val="es-419"/>
              </w:rPr>
            </w:pPr>
            <w:r w:rsidRPr="00C025E1">
              <w:rPr>
                <w:rFonts w:ascii="Cambria" w:hAnsi="Cambria"/>
                <w:b/>
                <w:bCs/>
                <w:color w:val="FFFFFF" w:themeColor="background1"/>
                <w:sz w:val="20"/>
                <w:szCs w:val="20"/>
                <w:lang w:val="es-419"/>
              </w:rPr>
              <w:t>Observaciones adicionales del Estado:</w:t>
            </w:r>
          </w:p>
        </w:tc>
        <w:tc>
          <w:tcPr>
            <w:tcW w:w="5760" w:type="dxa"/>
            <w:vAlign w:val="center"/>
          </w:tcPr>
          <w:p w14:paraId="37B381D7" w14:textId="3CFEDF7D" w:rsidR="00304677" w:rsidRPr="00C025E1" w:rsidRDefault="00304677" w:rsidP="00230C3B">
            <w:pPr>
              <w:jc w:val="both"/>
              <w:rPr>
                <w:rFonts w:ascii="Cambria" w:hAnsi="Cambria"/>
                <w:bCs/>
                <w:sz w:val="20"/>
                <w:szCs w:val="20"/>
                <w:lang w:val="es-419"/>
              </w:rPr>
            </w:pPr>
            <w:r w:rsidRPr="00C025E1">
              <w:rPr>
                <w:rFonts w:ascii="Cambria" w:hAnsi="Cambria"/>
                <w:bCs/>
                <w:sz w:val="20"/>
                <w:szCs w:val="20"/>
                <w:lang w:val="es-419"/>
              </w:rPr>
              <w:t xml:space="preserve">6 </w:t>
            </w:r>
            <w:r w:rsidR="00A5689B" w:rsidRPr="00C025E1">
              <w:rPr>
                <w:rFonts w:ascii="Cambria" w:hAnsi="Cambria"/>
                <w:bCs/>
                <w:sz w:val="20"/>
                <w:szCs w:val="20"/>
                <w:lang w:val="es-419"/>
              </w:rPr>
              <w:t xml:space="preserve">y 29 </w:t>
            </w:r>
            <w:r w:rsidRPr="00C025E1">
              <w:rPr>
                <w:rFonts w:ascii="Cambria" w:hAnsi="Cambria"/>
                <w:bCs/>
                <w:sz w:val="20"/>
                <w:szCs w:val="20"/>
                <w:lang w:val="es-419"/>
              </w:rPr>
              <w:t>de enero</w:t>
            </w:r>
            <w:r w:rsidR="00A5689B" w:rsidRPr="00C025E1">
              <w:rPr>
                <w:rFonts w:ascii="Cambria" w:hAnsi="Cambria"/>
                <w:bCs/>
                <w:sz w:val="20"/>
                <w:szCs w:val="20"/>
                <w:lang w:val="es-419"/>
              </w:rPr>
              <w:t xml:space="preserve"> y 2 de julio</w:t>
            </w:r>
            <w:r w:rsidRPr="00C025E1">
              <w:rPr>
                <w:rFonts w:ascii="Cambria" w:hAnsi="Cambria"/>
                <w:bCs/>
                <w:sz w:val="20"/>
                <w:szCs w:val="20"/>
                <w:lang w:val="es-419"/>
              </w:rPr>
              <w:t xml:space="preserve"> de 2021</w:t>
            </w:r>
          </w:p>
        </w:tc>
      </w:tr>
    </w:tbl>
    <w:p w14:paraId="21DAA666" w14:textId="40E6765D" w:rsidR="003239B8" w:rsidRPr="00C025E1" w:rsidRDefault="003239B8" w:rsidP="00282E08">
      <w:pPr>
        <w:pStyle w:val="ListParagraph"/>
        <w:numPr>
          <w:ilvl w:val="0"/>
          <w:numId w:val="58"/>
        </w:numPr>
        <w:spacing w:before="240" w:after="240"/>
        <w:ind w:left="0" w:firstLine="720"/>
        <w:jc w:val="both"/>
        <w:rPr>
          <w:rFonts w:asciiTheme="majorHAnsi" w:hAnsiTheme="majorHAnsi"/>
          <w:b/>
          <w:bCs/>
          <w:sz w:val="20"/>
          <w:szCs w:val="20"/>
          <w:lang w:val="es-419"/>
        </w:rPr>
      </w:pPr>
      <w:r w:rsidRPr="00C025E1">
        <w:rPr>
          <w:rFonts w:asciiTheme="majorHAnsi" w:hAnsiTheme="majorHAnsi"/>
          <w:b/>
          <w:bCs/>
          <w:sz w:val="20"/>
          <w:szCs w:val="20"/>
          <w:lang w:val="es-419"/>
        </w:rPr>
        <w:t>COMPETENCIA</w:t>
      </w:r>
      <w:r w:rsidR="00EE00E9" w:rsidRPr="00C025E1">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C025E1" w14:paraId="072532AD" w14:textId="77777777" w:rsidTr="00F07025">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C025E1" w:rsidRDefault="003239B8" w:rsidP="00230C3B">
            <w:pPr>
              <w:jc w:val="center"/>
              <w:rPr>
                <w:rFonts w:ascii="Cambria" w:hAnsi="Cambria"/>
                <w:b/>
                <w:bCs/>
                <w:i/>
                <w:color w:val="FFFFFF" w:themeColor="background1"/>
                <w:sz w:val="20"/>
                <w:szCs w:val="20"/>
                <w:lang w:val="es-419"/>
              </w:rPr>
            </w:pPr>
            <w:r w:rsidRPr="00C025E1">
              <w:rPr>
                <w:rFonts w:ascii="Cambria" w:hAnsi="Cambria"/>
                <w:b/>
                <w:bCs/>
                <w:color w:val="FFFFFF" w:themeColor="background1"/>
                <w:sz w:val="20"/>
                <w:szCs w:val="20"/>
                <w:lang w:val="es-419"/>
              </w:rPr>
              <w:t>Competencia</w:t>
            </w:r>
            <w:r w:rsidRPr="00C025E1">
              <w:rPr>
                <w:rFonts w:ascii="Cambria" w:hAnsi="Cambria"/>
                <w:b/>
                <w:bCs/>
                <w:i/>
                <w:color w:val="FFFFFF" w:themeColor="background1"/>
                <w:sz w:val="20"/>
                <w:szCs w:val="20"/>
                <w:lang w:val="es-419"/>
              </w:rPr>
              <w:t xml:space="preserve"> Ratione personae:</w:t>
            </w:r>
          </w:p>
        </w:tc>
        <w:tc>
          <w:tcPr>
            <w:tcW w:w="5776" w:type="dxa"/>
            <w:vAlign w:val="center"/>
          </w:tcPr>
          <w:p w14:paraId="7707F3E9" w14:textId="79EF0E05" w:rsidR="003239B8" w:rsidRPr="00C025E1" w:rsidRDefault="005276D1" w:rsidP="00230C3B">
            <w:pPr>
              <w:rPr>
                <w:rFonts w:ascii="Cambria" w:hAnsi="Cambria"/>
                <w:bCs/>
                <w:sz w:val="20"/>
                <w:szCs w:val="20"/>
                <w:lang w:val="es-419"/>
              </w:rPr>
            </w:pPr>
            <w:r w:rsidRPr="00C025E1">
              <w:rPr>
                <w:rFonts w:ascii="Cambria" w:hAnsi="Cambria"/>
                <w:bCs/>
                <w:sz w:val="20"/>
                <w:szCs w:val="20"/>
                <w:lang w:val="es-419"/>
              </w:rPr>
              <w:t>Sí</w:t>
            </w:r>
          </w:p>
        </w:tc>
      </w:tr>
      <w:tr w:rsidR="003239B8" w:rsidRPr="00C025E1" w14:paraId="4B8802DA" w14:textId="77777777" w:rsidTr="00F07025">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C025E1" w:rsidRDefault="003239B8" w:rsidP="00230C3B">
            <w:pPr>
              <w:jc w:val="center"/>
              <w:rPr>
                <w:rFonts w:ascii="Cambria" w:hAnsi="Cambria"/>
                <w:b/>
                <w:bCs/>
                <w:color w:val="FFFFFF" w:themeColor="background1"/>
                <w:sz w:val="20"/>
                <w:szCs w:val="20"/>
                <w:lang w:val="es-419"/>
              </w:rPr>
            </w:pPr>
            <w:r w:rsidRPr="00C025E1">
              <w:rPr>
                <w:rFonts w:ascii="Cambria" w:hAnsi="Cambria"/>
                <w:b/>
                <w:bCs/>
                <w:color w:val="FFFFFF" w:themeColor="background1"/>
                <w:sz w:val="20"/>
                <w:szCs w:val="20"/>
                <w:lang w:val="es-419"/>
              </w:rPr>
              <w:t>Competencia</w:t>
            </w:r>
            <w:r w:rsidRPr="00C025E1">
              <w:rPr>
                <w:rFonts w:ascii="Cambria" w:hAnsi="Cambria"/>
                <w:b/>
                <w:bCs/>
                <w:i/>
                <w:color w:val="FFFFFF" w:themeColor="background1"/>
                <w:sz w:val="20"/>
                <w:szCs w:val="20"/>
                <w:lang w:val="es-419"/>
              </w:rPr>
              <w:t xml:space="preserve"> Ratione loci</w:t>
            </w:r>
            <w:r w:rsidRPr="00C025E1">
              <w:rPr>
                <w:rFonts w:ascii="Cambria" w:hAnsi="Cambria"/>
                <w:b/>
                <w:bCs/>
                <w:color w:val="FFFFFF" w:themeColor="background1"/>
                <w:sz w:val="20"/>
                <w:szCs w:val="20"/>
                <w:lang w:val="es-419"/>
              </w:rPr>
              <w:t>:</w:t>
            </w:r>
          </w:p>
        </w:tc>
        <w:tc>
          <w:tcPr>
            <w:tcW w:w="5776" w:type="dxa"/>
            <w:vAlign w:val="center"/>
          </w:tcPr>
          <w:p w14:paraId="12C931CB" w14:textId="2709FEC1" w:rsidR="003239B8" w:rsidRPr="00C025E1" w:rsidRDefault="005276D1" w:rsidP="00230C3B">
            <w:pPr>
              <w:rPr>
                <w:rFonts w:ascii="Cambria" w:hAnsi="Cambria"/>
                <w:bCs/>
                <w:sz w:val="20"/>
                <w:szCs w:val="20"/>
                <w:lang w:val="es-419"/>
              </w:rPr>
            </w:pPr>
            <w:r w:rsidRPr="00C025E1">
              <w:rPr>
                <w:rFonts w:ascii="Cambria" w:hAnsi="Cambria"/>
                <w:bCs/>
                <w:sz w:val="20"/>
                <w:szCs w:val="20"/>
                <w:lang w:val="es-419"/>
              </w:rPr>
              <w:t>Sí</w:t>
            </w:r>
          </w:p>
        </w:tc>
      </w:tr>
      <w:tr w:rsidR="003239B8" w:rsidRPr="00C025E1" w14:paraId="4362FDF3" w14:textId="77777777" w:rsidTr="00F07025">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C025E1" w:rsidRDefault="003239B8" w:rsidP="00230C3B">
            <w:pPr>
              <w:jc w:val="center"/>
              <w:rPr>
                <w:rFonts w:ascii="Cambria" w:hAnsi="Cambria"/>
                <w:b/>
                <w:bCs/>
                <w:color w:val="FFFFFF" w:themeColor="background1"/>
                <w:sz w:val="20"/>
                <w:szCs w:val="20"/>
                <w:lang w:val="es-419"/>
              </w:rPr>
            </w:pPr>
            <w:r w:rsidRPr="00C025E1">
              <w:rPr>
                <w:rFonts w:ascii="Cambria" w:hAnsi="Cambria"/>
                <w:b/>
                <w:bCs/>
                <w:color w:val="FFFFFF" w:themeColor="background1"/>
                <w:sz w:val="20"/>
                <w:szCs w:val="20"/>
                <w:lang w:val="es-419"/>
              </w:rPr>
              <w:t>Competencia</w:t>
            </w:r>
            <w:r w:rsidRPr="00C025E1">
              <w:rPr>
                <w:rFonts w:ascii="Cambria" w:hAnsi="Cambria"/>
                <w:b/>
                <w:bCs/>
                <w:i/>
                <w:color w:val="FFFFFF" w:themeColor="background1"/>
                <w:sz w:val="20"/>
                <w:szCs w:val="20"/>
                <w:lang w:val="es-419"/>
              </w:rPr>
              <w:t xml:space="preserve"> Ratione temporis</w:t>
            </w:r>
            <w:r w:rsidRPr="00C025E1">
              <w:rPr>
                <w:rFonts w:ascii="Cambria" w:hAnsi="Cambria"/>
                <w:b/>
                <w:bCs/>
                <w:color w:val="FFFFFF" w:themeColor="background1"/>
                <w:sz w:val="20"/>
                <w:szCs w:val="20"/>
                <w:lang w:val="es-419"/>
              </w:rPr>
              <w:t>:</w:t>
            </w:r>
          </w:p>
        </w:tc>
        <w:tc>
          <w:tcPr>
            <w:tcW w:w="5776" w:type="dxa"/>
            <w:vAlign w:val="center"/>
          </w:tcPr>
          <w:p w14:paraId="6F8B059B" w14:textId="0F81B9F5" w:rsidR="003239B8" w:rsidRPr="00C025E1" w:rsidRDefault="005276D1" w:rsidP="00230C3B">
            <w:pPr>
              <w:rPr>
                <w:rFonts w:ascii="Cambria" w:hAnsi="Cambria"/>
                <w:bCs/>
                <w:sz w:val="20"/>
                <w:szCs w:val="20"/>
                <w:lang w:val="es-419"/>
              </w:rPr>
            </w:pPr>
            <w:r w:rsidRPr="00C025E1">
              <w:rPr>
                <w:rFonts w:ascii="Cambria" w:hAnsi="Cambria"/>
                <w:bCs/>
                <w:sz w:val="20"/>
                <w:szCs w:val="20"/>
                <w:lang w:val="es-419"/>
              </w:rPr>
              <w:t xml:space="preserve">Sí </w:t>
            </w:r>
          </w:p>
        </w:tc>
      </w:tr>
      <w:tr w:rsidR="003239B8" w:rsidRPr="00CD03C9" w14:paraId="30ABEC3E" w14:textId="77777777" w:rsidTr="00F07025">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C025E1" w:rsidRDefault="003239B8" w:rsidP="00230C3B">
            <w:pPr>
              <w:jc w:val="center"/>
              <w:rPr>
                <w:rFonts w:ascii="Cambria" w:hAnsi="Cambria"/>
                <w:b/>
                <w:bCs/>
                <w:color w:val="FFFFFF" w:themeColor="background1"/>
                <w:sz w:val="20"/>
                <w:szCs w:val="20"/>
                <w:lang w:val="es-419"/>
              </w:rPr>
            </w:pPr>
            <w:r w:rsidRPr="00C025E1">
              <w:rPr>
                <w:rFonts w:ascii="Cambria" w:hAnsi="Cambria"/>
                <w:b/>
                <w:bCs/>
                <w:color w:val="FFFFFF" w:themeColor="background1"/>
                <w:sz w:val="20"/>
                <w:szCs w:val="20"/>
                <w:lang w:val="es-419"/>
              </w:rPr>
              <w:t>Competencia</w:t>
            </w:r>
            <w:r w:rsidRPr="00C025E1">
              <w:rPr>
                <w:rFonts w:ascii="Cambria" w:hAnsi="Cambria"/>
                <w:b/>
                <w:bCs/>
                <w:i/>
                <w:color w:val="FFFFFF" w:themeColor="background1"/>
                <w:sz w:val="20"/>
                <w:szCs w:val="20"/>
                <w:lang w:val="es-419"/>
              </w:rPr>
              <w:t xml:space="preserve"> Ratione materia</w:t>
            </w:r>
            <w:r w:rsidR="00EE00E9" w:rsidRPr="00C025E1">
              <w:rPr>
                <w:rFonts w:ascii="Cambria" w:hAnsi="Cambria"/>
                <w:b/>
                <w:bCs/>
                <w:i/>
                <w:color w:val="FFFFFF" w:themeColor="background1"/>
                <w:sz w:val="20"/>
                <w:szCs w:val="20"/>
                <w:lang w:val="es-419"/>
              </w:rPr>
              <w:t>e</w:t>
            </w:r>
            <w:r w:rsidRPr="00C025E1">
              <w:rPr>
                <w:rFonts w:ascii="Cambria" w:hAnsi="Cambria"/>
                <w:b/>
                <w:bCs/>
                <w:color w:val="FFFFFF" w:themeColor="background1"/>
                <w:sz w:val="20"/>
                <w:szCs w:val="20"/>
                <w:lang w:val="es-419"/>
              </w:rPr>
              <w:t>:</w:t>
            </w:r>
          </w:p>
        </w:tc>
        <w:tc>
          <w:tcPr>
            <w:tcW w:w="5776" w:type="dxa"/>
            <w:vAlign w:val="center"/>
          </w:tcPr>
          <w:p w14:paraId="0C122F44" w14:textId="630C70EA" w:rsidR="003239B8" w:rsidRPr="00C025E1" w:rsidRDefault="005276D1" w:rsidP="00230C3B">
            <w:pPr>
              <w:jc w:val="both"/>
              <w:rPr>
                <w:rFonts w:ascii="Cambria" w:hAnsi="Cambria"/>
                <w:bCs/>
                <w:sz w:val="20"/>
                <w:szCs w:val="20"/>
                <w:lang w:val="es-419"/>
              </w:rPr>
            </w:pPr>
            <w:r w:rsidRPr="00C025E1">
              <w:rPr>
                <w:rFonts w:ascii="Cambria" w:hAnsi="Cambria"/>
                <w:bCs/>
                <w:sz w:val="20"/>
                <w:szCs w:val="20"/>
                <w:lang w:val="es-419"/>
              </w:rPr>
              <w:t>Sí, Convención Americana (depósito de instrumento de ratificación realizado el 25 de mayo de 1978)</w:t>
            </w:r>
          </w:p>
        </w:tc>
      </w:tr>
    </w:tbl>
    <w:p w14:paraId="4E92C444" w14:textId="5C14C6D8" w:rsidR="003239B8" w:rsidRPr="00C025E1" w:rsidRDefault="00EE00E9" w:rsidP="00282E08">
      <w:pPr>
        <w:pStyle w:val="ListParagraph"/>
        <w:numPr>
          <w:ilvl w:val="0"/>
          <w:numId w:val="58"/>
        </w:numPr>
        <w:spacing w:before="240" w:after="240"/>
        <w:ind w:left="0" w:firstLine="720"/>
        <w:jc w:val="both"/>
        <w:rPr>
          <w:rFonts w:asciiTheme="majorHAnsi" w:hAnsiTheme="majorHAnsi"/>
          <w:b/>
          <w:bCs/>
          <w:sz w:val="20"/>
          <w:szCs w:val="20"/>
          <w:lang w:val="es-419"/>
        </w:rPr>
      </w:pPr>
      <w:r w:rsidRPr="00C025E1">
        <w:rPr>
          <w:rFonts w:asciiTheme="majorHAnsi" w:hAnsiTheme="majorHAnsi"/>
          <w:b/>
          <w:bCs/>
          <w:sz w:val="20"/>
          <w:szCs w:val="20"/>
          <w:lang w:val="es-419"/>
        </w:rPr>
        <w:t>DUPLICACIÓN</w:t>
      </w:r>
      <w:r w:rsidRPr="00C025E1">
        <w:rPr>
          <w:rFonts w:asciiTheme="majorHAnsi" w:hAnsiTheme="majorHAnsi"/>
          <w:b/>
          <w:bCs/>
          <w:color w:val="FFFFFF" w:themeColor="background1"/>
          <w:sz w:val="20"/>
          <w:szCs w:val="20"/>
          <w:lang w:val="es-419"/>
        </w:rPr>
        <w:t xml:space="preserve"> </w:t>
      </w:r>
      <w:r w:rsidRPr="00C025E1">
        <w:rPr>
          <w:rFonts w:asciiTheme="majorHAnsi" w:hAnsiTheme="majorHAnsi"/>
          <w:b/>
          <w:bCs/>
          <w:sz w:val="20"/>
          <w:szCs w:val="20"/>
          <w:lang w:val="es-419"/>
        </w:rPr>
        <w:t>DE PROCEDIMIENTOS Y COSA JUZGADA</w:t>
      </w:r>
      <w:r w:rsidRPr="00C025E1">
        <w:rPr>
          <w:rFonts w:asciiTheme="majorHAnsi" w:hAnsiTheme="majorHAnsi"/>
          <w:b/>
          <w:bCs/>
          <w:i/>
          <w:sz w:val="20"/>
          <w:szCs w:val="20"/>
          <w:lang w:val="es-419"/>
        </w:rPr>
        <w:t xml:space="preserve"> </w:t>
      </w:r>
      <w:r w:rsidRPr="00C025E1">
        <w:rPr>
          <w:rFonts w:asciiTheme="majorHAnsi" w:hAnsiTheme="majorHAnsi"/>
          <w:b/>
          <w:bCs/>
          <w:sz w:val="20"/>
          <w:szCs w:val="20"/>
          <w:lang w:val="es-419"/>
        </w:rPr>
        <w:t>INTERNACIONAL</w:t>
      </w:r>
      <w:r w:rsidR="005D38F9" w:rsidRPr="00C025E1">
        <w:rPr>
          <w:rFonts w:asciiTheme="majorHAnsi" w:hAnsiTheme="majorHAnsi"/>
          <w:b/>
          <w:bCs/>
          <w:sz w:val="20"/>
          <w:szCs w:val="20"/>
          <w:lang w:val="es-419"/>
        </w:rPr>
        <w:t>,</w:t>
      </w:r>
      <w:r w:rsidR="003239B8" w:rsidRPr="00C025E1">
        <w:rPr>
          <w:rFonts w:asciiTheme="majorHAnsi" w:hAnsiTheme="majorHAnsi"/>
          <w:b/>
          <w:bCs/>
          <w:sz w:val="20"/>
          <w:szCs w:val="20"/>
          <w:lang w:val="es-419"/>
        </w:rPr>
        <w:t xml:space="preserve"> CARACTERIZACIÓN, </w:t>
      </w:r>
      <w:r w:rsidR="003239B8" w:rsidRPr="00C025E1">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C025E1" w14:paraId="1231C988" w14:textId="77777777" w:rsidTr="00644FA2">
        <w:trPr>
          <w:cantSplit/>
        </w:trPr>
        <w:tc>
          <w:tcPr>
            <w:tcW w:w="3564" w:type="dxa"/>
            <w:tcBorders>
              <w:top w:val="single" w:sz="4" w:space="0" w:color="auto"/>
              <w:bottom w:val="single" w:sz="6" w:space="0" w:color="auto"/>
            </w:tcBorders>
            <w:shd w:val="clear" w:color="auto" w:fill="386294"/>
            <w:vAlign w:val="center"/>
          </w:tcPr>
          <w:p w14:paraId="6F8031F4" w14:textId="77777777" w:rsidR="00EE00E9" w:rsidRPr="00C025E1" w:rsidRDefault="00EE00E9" w:rsidP="00230C3B">
            <w:pPr>
              <w:jc w:val="center"/>
              <w:rPr>
                <w:rFonts w:ascii="Cambria" w:hAnsi="Cambria"/>
                <w:b/>
                <w:bCs/>
                <w:color w:val="FFFFFF" w:themeColor="background1"/>
                <w:sz w:val="20"/>
                <w:szCs w:val="20"/>
                <w:lang w:val="es-419"/>
              </w:rPr>
            </w:pPr>
            <w:r w:rsidRPr="00C025E1">
              <w:rPr>
                <w:rFonts w:ascii="Cambria" w:hAnsi="Cambria"/>
                <w:b/>
                <w:bCs/>
                <w:color w:val="FFFFFF" w:themeColor="background1"/>
                <w:sz w:val="20"/>
                <w:szCs w:val="20"/>
                <w:lang w:val="es-419"/>
              </w:rPr>
              <w:t>Duplicación de procedimientos y cosa juzgada internacional:</w:t>
            </w:r>
          </w:p>
        </w:tc>
        <w:tc>
          <w:tcPr>
            <w:tcW w:w="5773" w:type="dxa"/>
            <w:vAlign w:val="center"/>
          </w:tcPr>
          <w:p w14:paraId="240941E6" w14:textId="7CED9218" w:rsidR="00EE00E9" w:rsidRPr="00C025E1" w:rsidRDefault="005276D1" w:rsidP="00230C3B">
            <w:pPr>
              <w:jc w:val="both"/>
              <w:rPr>
                <w:rFonts w:ascii="Cambria" w:hAnsi="Cambria"/>
                <w:bCs/>
                <w:sz w:val="20"/>
                <w:szCs w:val="20"/>
                <w:lang w:val="es-419"/>
              </w:rPr>
            </w:pPr>
            <w:r w:rsidRPr="00C025E1">
              <w:rPr>
                <w:rFonts w:ascii="Cambria" w:hAnsi="Cambria"/>
                <w:bCs/>
                <w:sz w:val="20"/>
                <w:szCs w:val="20"/>
                <w:lang w:val="es-419"/>
              </w:rPr>
              <w:t>No</w:t>
            </w:r>
          </w:p>
        </w:tc>
      </w:tr>
      <w:tr w:rsidR="003239B8" w:rsidRPr="00CD03C9" w14:paraId="15FAA7D1" w14:textId="77777777" w:rsidTr="00644FA2">
        <w:trPr>
          <w:cantSplit/>
        </w:trPr>
        <w:tc>
          <w:tcPr>
            <w:tcW w:w="3564" w:type="dxa"/>
            <w:tcBorders>
              <w:top w:val="single" w:sz="4" w:space="0" w:color="auto"/>
              <w:bottom w:val="single" w:sz="6" w:space="0" w:color="auto"/>
            </w:tcBorders>
            <w:shd w:val="clear" w:color="auto" w:fill="386294"/>
            <w:vAlign w:val="center"/>
          </w:tcPr>
          <w:p w14:paraId="1B0D29FF" w14:textId="77777777" w:rsidR="003239B8" w:rsidRPr="00C025E1" w:rsidRDefault="003239B8" w:rsidP="00230C3B">
            <w:pPr>
              <w:jc w:val="center"/>
              <w:rPr>
                <w:rFonts w:ascii="Cambria" w:hAnsi="Cambria"/>
                <w:b/>
                <w:bCs/>
                <w:i/>
                <w:color w:val="FFFFFF" w:themeColor="background1"/>
                <w:sz w:val="20"/>
                <w:szCs w:val="20"/>
                <w:lang w:val="es-419"/>
              </w:rPr>
            </w:pPr>
            <w:r w:rsidRPr="00C025E1">
              <w:rPr>
                <w:rFonts w:ascii="Cambria" w:hAnsi="Cambria"/>
                <w:b/>
                <w:bCs/>
                <w:color w:val="FFFFFF" w:themeColor="background1"/>
                <w:sz w:val="20"/>
                <w:szCs w:val="20"/>
                <w:lang w:val="es-419"/>
              </w:rPr>
              <w:t>Derechos declarados admisibles</w:t>
            </w:r>
            <w:r w:rsidRPr="00C025E1">
              <w:rPr>
                <w:rFonts w:ascii="Cambria" w:hAnsi="Cambria"/>
                <w:b/>
                <w:bCs/>
                <w:i/>
                <w:color w:val="FFFFFF" w:themeColor="background1"/>
                <w:sz w:val="20"/>
                <w:szCs w:val="20"/>
                <w:lang w:val="es-419"/>
              </w:rPr>
              <w:t>:</w:t>
            </w:r>
          </w:p>
        </w:tc>
        <w:tc>
          <w:tcPr>
            <w:tcW w:w="5773" w:type="dxa"/>
            <w:vAlign w:val="center"/>
          </w:tcPr>
          <w:p w14:paraId="6310C8F7" w14:textId="5FB68D9C" w:rsidR="003239B8" w:rsidRPr="00C025E1" w:rsidRDefault="00F07B54" w:rsidP="00230C3B">
            <w:pPr>
              <w:jc w:val="both"/>
              <w:rPr>
                <w:rFonts w:ascii="Cambria" w:hAnsi="Cambria"/>
                <w:bCs/>
                <w:sz w:val="20"/>
                <w:szCs w:val="20"/>
                <w:lang w:val="es-419"/>
              </w:rPr>
            </w:pPr>
            <w:r w:rsidRPr="00C025E1">
              <w:rPr>
                <w:rFonts w:ascii="Cambria" w:hAnsi="Cambria"/>
                <w:sz w:val="20"/>
                <w:szCs w:val="20"/>
                <w:lang w:val="es-419"/>
              </w:rPr>
              <w:t>Artículos 5 (integridad personal), 8 (garantías judiciales),</w:t>
            </w:r>
            <w:r w:rsidR="00D77004">
              <w:rPr>
                <w:rFonts w:ascii="Cambria" w:hAnsi="Cambria"/>
                <w:sz w:val="20"/>
                <w:szCs w:val="20"/>
                <w:lang w:val="es-419"/>
              </w:rPr>
              <w:t xml:space="preserve"> 24 (igualdad ante la ley)</w:t>
            </w:r>
            <w:r w:rsidRPr="00C025E1">
              <w:rPr>
                <w:rFonts w:ascii="Cambria" w:hAnsi="Cambria"/>
                <w:sz w:val="20"/>
                <w:szCs w:val="20"/>
                <w:lang w:val="es-419"/>
              </w:rPr>
              <w:t xml:space="preserve"> y 25 (protección judicial) de la Convención Americana</w:t>
            </w:r>
            <w:r w:rsidR="00D94297" w:rsidRPr="00C025E1">
              <w:rPr>
                <w:rFonts w:ascii="Cambria" w:hAnsi="Cambria"/>
                <w:sz w:val="20"/>
                <w:szCs w:val="20"/>
                <w:lang w:val="es-419"/>
              </w:rPr>
              <w:t>,</w:t>
            </w:r>
            <w:r w:rsidRPr="00C025E1">
              <w:rPr>
                <w:rFonts w:ascii="Cambria" w:hAnsi="Cambria"/>
                <w:sz w:val="20"/>
                <w:szCs w:val="20"/>
                <w:lang w:val="es-419"/>
              </w:rPr>
              <w:t xml:space="preserve"> en relación con sus artículos 1.1 (obligación de respetar los derechos) </w:t>
            </w:r>
            <w:r w:rsidRPr="00C025E1">
              <w:rPr>
                <w:rFonts w:ascii="Cambria" w:hAnsi="Cambria"/>
                <w:bCs/>
                <w:sz w:val="20"/>
                <w:szCs w:val="20"/>
                <w:lang w:val="es-419"/>
              </w:rPr>
              <w:t>y 2 (deber de adoptar disposiciones de derecho interno</w:t>
            </w:r>
            <w:r w:rsidR="00C025E1">
              <w:rPr>
                <w:rFonts w:ascii="Cambria" w:hAnsi="Cambria"/>
                <w:bCs/>
                <w:sz w:val="20"/>
                <w:szCs w:val="20"/>
                <w:lang w:val="es-419"/>
              </w:rPr>
              <w:t>)</w:t>
            </w:r>
          </w:p>
        </w:tc>
      </w:tr>
      <w:tr w:rsidR="003239B8" w:rsidRPr="00CD03C9" w14:paraId="4EFD141E" w14:textId="77777777" w:rsidTr="00644FA2">
        <w:trPr>
          <w:cantSplit/>
        </w:trPr>
        <w:tc>
          <w:tcPr>
            <w:tcW w:w="3564" w:type="dxa"/>
            <w:tcBorders>
              <w:top w:val="single" w:sz="6" w:space="0" w:color="auto"/>
              <w:bottom w:val="single" w:sz="6" w:space="0" w:color="auto"/>
            </w:tcBorders>
            <w:shd w:val="clear" w:color="auto" w:fill="386294"/>
            <w:vAlign w:val="center"/>
          </w:tcPr>
          <w:p w14:paraId="4C04A89C" w14:textId="77777777" w:rsidR="003239B8" w:rsidRPr="00C025E1" w:rsidRDefault="003239B8" w:rsidP="00230C3B">
            <w:pPr>
              <w:jc w:val="center"/>
              <w:rPr>
                <w:rFonts w:ascii="Cambria" w:hAnsi="Cambria"/>
                <w:b/>
                <w:bCs/>
                <w:color w:val="FFFFFF" w:themeColor="background1"/>
                <w:sz w:val="20"/>
                <w:szCs w:val="20"/>
                <w:lang w:val="es-419"/>
              </w:rPr>
            </w:pPr>
            <w:r w:rsidRPr="00C025E1">
              <w:rPr>
                <w:rFonts w:ascii="Cambria" w:hAnsi="Cambria"/>
                <w:b/>
                <w:bCs/>
                <w:color w:val="FFFFFF" w:themeColor="background1"/>
                <w:sz w:val="20"/>
                <w:szCs w:val="20"/>
                <w:lang w:val="es-419"/>
              </w:rPr>
              <w:t>Agotamiento de recursos internos</w:t>
            </w:r>
            <w:r w:rsidR="00EE00E9" w:rsidRPr="00C025E1">
              <w:rPr>
                <w:rFonts w:ascii="Cambria" w:hAnsi="Cambria"/>
                <w:b/>
                <w:bCs/>
                <w:color w:val="FFFFFF" w:themeColor="background1"/>
                <w:sz w:val="20"/>
                <w:szCs w:val="20"/>
                <w:lang w:val="es-419"/>
              </w:rPr>
              <w:t xml:space="preserve"> o procedencia de una excepción</w:t>
            </w:r>
            <w:r w:rsidRPr="00C025E1">
              <w:rPr>
                <w:rFonts w:ascii="Cambria" w:hAnsi="Cambria"/>
                <w:b/>
                <w:bCs/>
                <w:color w:val="FFFFFF" w:themeColor="background1"/>
                <w:sz w:val="20"/>
                <w:szCs w:val="20"/>
                <w:lang w:val="es-419"/>
              </w:rPr>
              <w:t>:</w:t>
            </w:r>
          </w:p>
        </w:tc>
        <w:tc>
          <w:tcPr>
            <w:tcW w:w="5773" w:type="dxa"/>
            <w:vAlign w:val="center"/>
          </w:tcPr>
          <w:p w14:paraId="69C53E8A" w14:textId="53A9DDF5" w:rsidR="003239B8" w:rsidRPr="00C025E1" w:rsidRDefault="005276D1" w:rsidP="00230C3B">
            <w:pPr>
              <w:rPr>
                <w:rFonts w:ascii="Cambria" w:hAnsi="Cambria"/>
                <w:bCs/>
                <w:sz w:val="20"/>
                <w:szCs w:val="20"/>
                <w:lang w:val="es-419"/>
              </w:rPr>
            </w:pPr>
            <w:r w:rsidRPr="00C025E1">
              <w:rPr>
                <w:rFonts w:ascii="Cambria" w:hAnsi="Cambria"/>
                <w:bCs/>
                <w:sz w:val="20"/>
                <w:szCs w:val="20"/>
                <w:lang w:val="es-419"/>
              </w:rPr>
              <w:t>Sí</w:t>
            </w:r>
            <w:r w:rsidR="006C0AFA" w:rsidRPr="00C025E1">
              <w:rPr>
                <w:rFonts w:ascii="Cambria" w:hAnsi="Cambria"/>
                <w:bCs/>
                <w:sz w:val="20"/>
                <w:szCs w:val="20"/>
                <w:lang w:val="es-419"/>
              </w:rPr>
              <w:t xml:space="preserve">, </w:t>
            </w:r>
            <w:r w:rsidR="00644FA2">
              <w:rPr>
                <w:rFonts w:ascii="Cambria" w:hAnsi="Cambria"/>
                <w:bCs/>
                <w:sz w:val="20"/>
                <w:szCs w:val="20"/>
                <w:lang w:val="es-419"/>
              </w:rPr>
              <w:t>aplica la excepción del artículo 46.2.a)</w:t>
            </w:r>
          </w:p>
        </w:tc>
      </w:tr>
      <w:tr w:rsidR="003239B8" w:rsidRPr="00CD03C9" w14:paraId="52B5BA17" w14:textId="77777777" w:rsidTr="00644FA2">
        <w:trPr>
          <w:cantSplit/>
        </w:trPr>
        <w:tc>
          <w:tcPr>
            <w:tcW w:w="3564" w:type="dxa"/>
            <w:tcBorders>
              <w:top w:val="single" w:sz="6" w:space="0" w:color="auto"/>
              <w:bottom w:val="single" w:sz="6" w:space="0" w:color="auto"/>
            </w:tcBorders>
            <w:shd w:val="clear" w:color="auto" w:fill="386294"/>
            <w:vAlign w:val="center"/>
          </w:tcPr>
          <w:p w14:paraId="5DF99086" w14:textId="77777777" w:rsidR="003239B8" w:rsidRPr="00C025E1" w:rsidRDefault="003239B8" w:rsidP="00230C3B">
            <w:pPr>
              <w:jc w:val="center"/>
              <w:rPr>
                <w:rFonts w:ascii="Cambria" w:hAnsi="Cambria"/>
                <w:b/>
                <w:bCs/>
                <w:color w:val="FFFFFF" w:themeColor="background1"/>
                <w:sz w:val="20"/>
                <w:szCs w:val="20"/>
                <w:lang w:val="es-419"/>
              </w:rPr>
            </w:pPr>
            <w:r w:rsidRPr="00C025E1">
              <w:rPr>
                <w:rFonts w:ascii="Cambria" w:hAnsi="Cambria"/>
                <w:b/>
                <w:bCs/>
                <w:color w:val="FFFFFF" w:themeColor="background1"/>
                <w:sz w:val="20"/>
                <w:szCs w:val="20"/>
                <w:lang w:val="es-419"/>
              </w:rPr>
              <w:t>Presentación dentro de plazo:</w:t>
            </w:r>
          </w:p>
        </w:tc>
        <w:tc>
          <w:tcPr>
            <w:tcW w:w="5773" w:type="dxa"/>
            <w:vAlign w:val="center"/>
          </w:tcPr>
          <w:p w14:paraId="4A2A4569" w14:textId="517B8A31" w:rsidR="003239B8" w:rsidRPr="00C025E1" w:rsidRDefault="00924B5F" w:rsidP="00230C3B">
            <w:pPr>
              <w:rPr>
                <w:rFonts w:ascii="Cambria" w:hAnsi="Cambria"/>
                <w:bCs/>
                <w:sz w:val="20"/>
                <w:szCs w:val="20"/>
                <w:lang w:val="es-419"/>
              </w:rPr>
            </w:pPr>
            <w:r w:rsidRPr="00C025E1">
              <w:rPr>
                <w:rFonts w:ascii="Cambria" w:hAnsi="Cambria"/>
                <w:bCs/>
                <w:sz w:val="20"/>
                <w:szCs w:val="20"/>
                <w:lang w:val="es-419"/>
              </w:rPr>
              <w:t>Sí</w:t>
            </w:r>
            <w:r w:rsidR="006C0AFA" w:rsidRPr="00C025E1">
              <w:rPr>
                <w:rFonts w:ascii="Cambria" w:hAnsi="Cambria"/>
                <w:bCs/>
                <w:sz w:val="20"/>
                <w:szCs w:val="20"/>
                <w:lang w:val="es-419"/>
              </w:rPr>
              <w:t>, en los términos de la Sección VI</w:t>
            </w:r>
          </w:p>
        </w:tc>
      </w:tr>
    </w:tbl>
    <w:p w14:paraId="18E6423B" w14:textId="58D527E5" w:rsidR="003239B8" w:rsidRDefault="00A5689B" w:rsidP="00282E08">
      <w:pPr>
        <w:pStyle w:val="ListParagraph"/>
        <w:numPr>
          <w:ilvl w:val="0"/>
          <w:numId w:val="58"/>
        </w:numPr>
        <w:spacing w:before="240" w:after="240"/>
        <w:jc w:val="both"/>
        <w:rPr>
          <w:rFonts w:asciiTheme="majorHAnsi" w:hAnsiTheme="majorHAnsi"/>
          <w:b/>
          <w:sz w:val="20"/>
          <w:szCs w:val="20"/>
          <w:lang w:val="es-ES_tradnl"/>
        </w:rPr>
      </w:pPr>
      <w:r w:rsidRPr="00006C2A">
        <w:rPr>
          <w:rFonts w:asciiTheme="majorHAnsi" w:hAnsiTheme="majorHAnsi"/>
          <w:b/>
          <w:sz w:val="20"/>
          <w:szCs w:val="20"/>
          <w:lang w:val="es-ES_tradnl"/>
        </w:rPr>
        <w:lastRenderedPageBreak/>
        <w:t>POSICION DE LAS PARTES</w:t>
      </w:r>
      <w:r w:rsidR="003239B8" w:rsidRPr="00006C2A">
        <w:rPr>
          <w:rFonts w:asciiTheme="majorHAnsi" w:hAnsiTheme="majorHAnsi"/>
          <w:b/>
          <w:sz w:val="20"/>
          <w:szCs w:val="20"/>
          <w:lang w:val="es-ES_tradnl"/>
        </w:rPr>
        <w:t xml:space="preserve"> </w:t>
      </w:r>
    </w:p>
    <w:p w14:paraId="046856DC" w14:textId="11785EFD" w:rsidR="00402C0B" w:rsidRPr="00402C0B" w:rsidRDefault="00402C0B" w:rsidP="00402C0B">
      <w:pPr>
        <w:spacing w:before="240" w:after="240"/>
        <w:ind w:left="720"/>
        <w:jc w:val="both"/>
        <w:rPr>
          <w:rFonts w:asciiTheme="majorHAnsi" w:hAnsiTheme="majorHAnsi"/>
          <w:bCs/>
          <w:i/>
          <w:iCs/>
          <w:sz w:val="20"/>
          <w:szCs w:val="20"/>
          <w:lang w:val="es-ES_tradnl"/>
        </w:rPr>
      </w:pPr>
      <w:r>
        <w:rPr>
          <w:rFonts w:asciiTheme="majorHAnsi" w:hAnsiTheme="majorHAnsi"/>
          <w:bCs/>
          <w:i/>
          <w:iCs/>
          <w:sz w:val="20"/>
          <w:szCs w:val="20"/>
          <w:lang w:val="es-ES_tradnl"/>
        </w:rPr>
        <w:t>Argumentos de los peticionarios</w:t>
      </w:r>
    </w:p>
    <w:p w14:paraId="03FB1C77" w14:textId="070C7A02" w:rsidR="00DE6BEE" w:rsidRPr="00006C2A" w:rsidRDefault="00282E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_tradnl"/>
        </w:rPr>
      </w:pPr>
      <w:r w:rsidRPr="00006C2A">
        <w:rPr>
          <w:rFonts w:asciiTheme="majorHAnsi" w:hAnsiTheme="majorHAnsi"/>
          <w:sz w:val="20"/>
          <w:szCs w:val="20"/>
          <w:lang w:val="es-ES_tradnl"/>
        </w:rPr>
        <w:t>Los peticionarios alegan</w:t>
      </w:r>
      <w:r w:rsidR="00F973AA" w:rsidRPr="00006C2A">
        <w:rPr>
          <w:rFonts w:asciiTheme="majorHAnsi" w:hAnsiTheme="majorHAnsi"/>
          <w:sz w:val="20"/>
          <w:szCs w:val="20"/>
          <w:lang w:val="es-ES_tradnl"/>
        </w:rPr>
        <w:t xml:space="preserve"> </w:t>
      </w:r>
      <w:r w:rsidR="007C07AF" w:rsidRPr="00006C2A">
        <w:rPr>
          <w:rFonts w:asciiTheme="majorHAnsi" w:hAnsiTheme="majorHAnsi"/>
          <w:sz w:val="20"/>
          <w:szCs w:val="20"/>
          <w:lang w:val="es-ES_tradnl"/>
        </w:rPr>
        <w:t>la falta de acceso a una efectiva investigación y reparación integral y colectiva a través del Programa Nacional de Resarcimiento (en adelante “PNR”), por los daños</w:t>
      </w:r>
      <w:r w:rsidR="007F7714" w:rsidRPr="00006C2A">
        <w:rPr>
          <w:rFonts w:asciiTheme="majorHAnsi" w:hAnsiTheme="majorHAnsi"/>
          <w:sz w:val="20"/>
          <w:szCs w:val="20"/>
          <w:lang w:val="es-ES_tradnl"/>
        </w:rPr>
        <w:t xml:space="preserve"> sufridos frente </w:t>
      </w:r>
      <w:r w:rsidR="00F973AA" w:rsidRPr="00006C2A">
        <w:rPr>
          <w:rFonts w:asciiTheme="majorHAnsi" w:hAnsiTheme="majorHAnsi"/>
          <w:sz w:val="20"/>
          <w:szCs w:val="20"/>
          <w:lang w:val="es-ES_tradnl"/>
        </w:rPr>
        <w:t xml:space="preserve">la ejecución extrajudicial, violencia sexual, agresiones y desplazamiento forzado </w:t>
      </w:r>
      <w:r w:rsidR="003C7757" w:rsidRPr="00006C2A">
        <w:rPr>
          <w:rFonts w:asciiTheme="majorHAnsi" w:hAnsiTheme="majorHAnsi"/>
          <w:sz w:val="20"/>
          <w:szCs w:val="20"/>
          <w:lang w:val="es-ES_tradnl"/>
        </w:rPr>
        <w:t>ocurridos</w:t>
      </w:r>
      <w:r w:rsidR="00FB59C5" w:rsidRPr="00006C2A">
        <w:rPr>
          <w:rFonts w:asciiTheme="majorHAnsi" w:hAnsiTheme="majorHAnsi"/>
          <w:sz w:val="20"/>
          <w:szCs w:val="20"/>
          <w:lang w:val="es-ES_tradnl"/>
        </w:rPr>
        <w:t xml:space="preserve"> </w:t>
      </w:r>
      <w:r w:rsidR="007F7714" w:rsidRPr="00006C2A">
        <w:rPr>
          <w:rFonts w:asciiTheme="majorHAnsi" w:hAnsiTheme="majorHAnsi"/>
          <w:sz w:val="20"/>
          <w:szCs w:val="20"/>
          <w:lang w:val="es-ES_tradnl"/>
        </w:rPr>
        <w:t>en perjuicio de los miembros de la aldea Sesajal</w:t>
      </w:r>
      <w:r w:rsidR="007D240D" w:rsidRPr="00006C2A">
        <w:rPr>
          <w:rFonts w:asciiTheme="majorHAnsi" w:hAnsiTheme="majorHAnsi"/>
          <w:sz w:val="20"/>
          <w:szCs w:val="20"/>
          <w:lang w:val="es-ES_tradnl"/>
        </w:rPr>
        <w:t xml:space="preserve"> </w:t>
      </w:r>
      <w:r w:rsidR="00E32917" w:rsidRPr="00006C2A">
        <w:rPr>
          <w:rFonts w:asciiTheme="majorHAnsi" w:hAnsiTheme="majorHAnsi"/>
          <w:sz w:val="20"/>
          <w:szCs w:val="20"/>
          <w:lang w:val="es-ES_tradnl"/>
        </w:rPr>
        <w:t>e</w:t>
      </w:r>
      <w:r w:rsidR="00DE6BEE" w:rsidRPr="00006C2A">
        <w:rPr>
          <w:rFonts w:asciiTheme="majorHAnsi" w:hAnsiTheme="majorHAnsi"/>
          <w:sz w:val="20"/>
          <w:szCs w:val="20"/>
          <w:lang w:val="es-ES_tradnl"/>
        </w:rPr>
        <w:t xml:space="preserve">l </w:t>
      </w:r>
      <w:r w:rsidR="00FB59C5" w:rsidRPr="00006C2A">
        <w:rPr>
          <w:rFonts w:asciiTheme="majorHAnsi" w:hAnsiTheme="majorHAnsi"/>
          <w:sz w:val="20"/>
          <w:szCs w:val="20"/>
          <w:lang w:val="es-ES_tradnl"/>
        </w:rPr>
        <w:t>25</w:t>
      </w:r>
      <w:r w:rsidR="00F973AA" w:rsidRPr="00006C2A">
        <w:rPr>
          <w:rFonts w:asciiTheme="majorHAnsi" w:hAnsiTheme="majorHAnsi"/>
          <w:sz w:val="20"/>
          <w:szCs w:val="20"/>
          <w:lang w:val="es-ES_tradnl"/>
        </w:rPr>
        <w:t xml:space="preserve"> </w:t>
      </w:r>
      <w:r w:rsidR="002A72C5" w:rsidRPr="00006C2A">
        <w:rPr>
          <w:rFonts w:asciiTheme="majorHAnsi" w:hAnsiTheme="majorHAnsi"/>
          <w:sz w:val="20"/>
          <w:szCs w:val="20"/>
          <w:lang w:val="es-ES_tradnl"/>
        </w:rPr>
        <w:t xml:space="preserve">y 26 </w:t>
      </w:r>
      <w:r w:rsidR="00FB59C5" w:rsidRPr="00006C2A">
        <w:rPr>
          <w:rFonts w:asciiTheme="majorHAnsi" w:hAnsiTheme="majorHAnsi"/>
          <w:sz w:val="20"/>
          <w:szCs w:val="20"/>
          <w:lang w:val="es-ES_tradnl"/>
        </w:rPr>
        <w:t>de enero de 1982</w:t>
      </w:r>
      <w:r w:rsidRPr="00006C2A">
        <w:rPr>
          <w:rFonts w:asciiTheme="majorHAnsi" w:hAnsiTheme="majorHAnsi"/>
          <w:sz w:val="20"/>
          <w:szCs w:val="20"/>
          <w:lang w:val="es-ES_tradnl"/>
        </w:rPr>
        <w:t>,</w:t>
      </w:r>
      <w:r w:rsidR="00002A90" w:rsidRPr="00006C2A">
        <w:rPr>
          <w:rFonts w:asciiTheme="majorHAnsi" w:hAnsiTheme="majorHAnsi"/>
          <w:sz w:val="20"/>
          <w:szCs w:val="20"/>
          <w:lang w:val="es-ES_tradnl"/>
        </w:rPr>
        <w:t xml:space="preserve"> en el marco del conflicto armado</w:t>
      </w:r>
      <w:r w:rsidR="00FB59C5" w:rsidRPr="00006C2A">
        <w:rPr>
          <w:rFonts w:asciiTheme="majorHAnsi" w:hAnsiTheme="majorHAnsi"/>
          <w:sz w:val="20"/>
          <w:szCs w:val="20"/>
          <w:lang w:val="es-ES_tradnl"/>
        </w:rPr>
        <w:t xml:space="preserve">. </w:t>
      </w:r>
      <w:r w:rsidR="00E32917" w:rsidRPr="00006C2A">
        <w:rPr>
          <w:rFonts w:asciiTheme="majorHAnsi" w:hAnsiTheme="majorHAnsi"/>
          <w:sz w:val="20"/>
          <w:szCs w:val="20"/>
          <w:lang w:val="es-ES_tradnl"/>
        </w:rPr>
        <w:t>L</w:t>
      </w:r>
      <w:r w:rsidR="00CA54F1" w:rsidRPr="00006C2A">
        <w:rPr>
          <w:rFonts w:asciiTheme="majorHAnsi" w:hAnsiTheme="majorHAnsi"/>
          <w:sz w:val="20"/>
          <w:szCs w:val="20"/>
          <w:lang w:val="es-ES_tradnl"/>
        </w:rPr>
        <w:t>os peticionarios</w:t>
      </w:r>
      <w:r w:rsidR="003D28A6" w:rsidRPr="00006C2A">
        <w:rPr>
          <w:rFonts w:asciiTheme="majorHAnsi" w:hAnsiTheme="majorHAnsi"/>
          <w:sz w:val="20"/>
          <w:szCs w:val="20"/>
          <w:lang w:val="es-ES_tradnl"/>
        </w:rPr>
        <w:t xml:space="preserve"> </w:t>
      </w:r>
      <w:r w:rsidR="00E32917" w:rsidRPr="00006C2A">
        <w:rPr>
          <w:rFonts w:asciiTheme="majorHAnsi" w:hAnsiTheme="majorHAnsi"/>
          <w:sz w:val="20"/>
          <w:szCs w:val="20"/>
          <w:lang w:val="es-ES_tradnl"/>
        </w:rPr>
        <w:t>alegan que estos hechos llevaron a la destrucción de su tejido comunitario como pueblo indígena</w:t>
      </w:r>
      <w:r w:rsidR="007D240D" w:rsidRPr="00006C2A">
        <w:rPr>
          <w:rFonts w:asciiTheme="majorHAnsi" w:hAnsiTheme="majorHAnsi"/>
          <w:sz w:val="20"/>
          <w:szCs w:val="20"/>
          <w:lang w:val="es-ES_tradnl"/>
        </w:rPr>
        <w:t>.</w:t>
      </w:r>
      <w:r w:rsidR="00CA54F1" w:rsidRPr="00006C2A">
        <w:rPr>
          <w:rFonts w:asciiTheme="majorHAnsi" w:hAnsiTheme="majorHAnsi"/>
          <w:sz w:val="20"/>
          <w:szCs w:val="20"/>
          <w:lang w:val="es-ES_tradnl"/>
        </w:rPr>
        <w:t xml:space="preserve"> </w:t>
      </w:r>
    </w:p>
    <w:p w14:paraId="0AEAC6DD" w14:textId="77777777" w:rsidR="00C55372" w:rsidRPr="00006C2A" w:rsidRDefault="00C55372" w:rsidP="00C5537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8C7C830" w14:textId="5ED35AC2" w:rsidR="004007EF" w:rsidRPr="00006C2A" w:rsidRDefault="00282E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_tradnl"/>
        </w:rPr>
      </w:pPr>
      <w:r w:rsidRPr="00006C2A">
        <w:rPr>
          <w:rFonts w:asciiTheme="majorHAnsi" w:hAnsiTheme="majorHAnsi"/>
          <w:sz w:val="20"/>
          <w:szCs w:val="20"/>
          <w:lang w:val="es-ES_tradnl"/>
        </w:rPr>
        <w:t xml:space="preserve">Los peticionarios </w:t>
      </w:r>
      <w:r w:rsidR="00F56E06" w:rsidRPr="00006C2A">
        <w:rPr>
          <w:rFonts w:asciiTheme="majorHAnsi" w:hAnsiTheme="majorHAnsi"/>
          <w:sz w:val="20"/>
          <w:szCs w:val="20"/>
          <w:lang w:val="es-ES_tradnl"/>
        </w:rPr>
        <w:t>narran</w:t>
      </w:r>
      <w:r w:rsidR="009008FB" w:rsidRPr="00006C2A">
        <w:rPr>
          <w:rFonts w:asciiTheme="majorHAnsi" w:hAnsiTheme="majorHAnsi"/>
          <w:sz w:val="20"/>
          <w:szCs w:val="20"/>
          <w:lang w:val="es-ES_tradnl"/>
        </w:rPr>
        <w:t xml:space="preserve"> </w:t>
      </w:r>
      <w:r w:rsidR="00337B4A" w:rsidRPr="00006C2A">
        <w:rPr>
          <w:rFonts w:asciiTheme="majorHAnsi" w:hAnsiTheme="majorHAnsi"/>
          <w:sz w:val="20"/>
          <w:szCs w:val="20"/>
          <w:lang w:val="es-ES_tradnl"/>
        </w:rPr>
        <w:t xml:space="preserve">que </w:t>
      </w:r>
      <w:r w:rsidR="00C351C5" w:rsidRPr="00006C2A">
        <w:rPr>
          <w:rFonts w:asciiTheme="majorHAnsi" w:hAnsiTheme="majorHAnsi"/>
          <w:sz w:val="20"/>
          <w:szCs w:val="20"/>
          <w:lang w:val="es-ES_tradnl"/>
        </w:rPr>
        <w:t>la mañana d</w:t>
      </w:r>
      <w:r w:rsidR="00924B5F" w:rsidRPr="00006C2A">
        <w:rPr>
          <w:rFonts w:asciiTheme="majorHAnsi" w:hAnsiTheme="majorHAnsi"/>
          <w:sz w:val="20"/>
          <w:szCs w:val="20"/>
          <w:lang w:val="es-ES_tradnl"/>
        </w:rPr>
        <w:t>el 25 de enero de 1982</w:t>
      </w:r>
      <w:r w:rsidR="00337B4A" w:rsidRPr="00006C2A">
        <w:rPr>
          <w:rFonts w:asciiTheme="majorHAnsi" w:hAnsiTheme="majorHAnsi"/>
          <w:sz w:val="20"/>
          <w:szCs w:val="20"/>
          <w:lang w:val="es-ES_tradnl"/>
        </w:rPr>
        <w:t xml:space="preserve"> </w:t>
      </w:r>
      <w:r w:rsidR="005D6AA0" w:rsidRPr="00006C2A">
        <w:rPr>
          <w:rFonts w:asciiTheme="majorHAnsi" w:hAnsiTheme="majorHAnsi"/>
          <w:sz w:val="20"/>
          <w:szCs w:val="20"/>
          <w:lang w:val="es-ES_tradnl"/>
        </w:rPr>
        <w:t xml:space="preserve">un gran número de </w:t>
      </w:r>
      <w:r w:rsidR="00D32E2C" w:rsidRPr="00006C2A">
        <w:rPr>
          <w:rFonts w:asciiTheme="majorHAnsi" w:hAnsiTheme="majorHAnsi"/>
          <w:sz w:val="20"/>
          <w:szCs w:val="20"/>
          <w:lang w:val="es-ES_tradnl"/>
        </w:rPr>
        <w:t xml:space="preserve">soldados del </w:t>
      </w:r>
      <w:r w:rsidR="007406E9" w:rsidRPr="00006C2A">
        <w:rPr>
          <w:rFonts w:asciiTheme="majorHAnsi" w:hAnsiTheme="majorHAnsi"/>
          <w:sz w:val="20"/>
          <w:szCs w:val="20"/>
          <w:lang w:val="es-ES_tradnl"/>
        </w:rPr>
        <w:t>e</w:t>
      </w:r>
      <w:r w:rsidR="00337B4A" w:rsidRPr="00006C2A">
        <w:rPr>
          <w:rFonts w:asciiTheme="majorHAnsi" w:hAnsiTheme="majorHAnsi"/>
          <w:sz w:val="20"/>
          <w:szCs w:val="20"/>
          <w:lang w:val="es-ES_tradnl"/>
        </w:rPr>
        <w:t>jército</w:t>
      </w:r>
      <w:r w:rsidR="00867E39">
        <w:rPr>
          <w:rFonts w:asciiTheme="majorHAnsi" w:hAnsiTheme="majorHAnsi"/>
          <w:sz w:val="20"/>
          <w:szCs w:val="20"/>
          <w:lang w:val="es-ES_tradnl"/>
        </w:rPr>
        <w:t>,</w:t>
      </w:r>
      <w:r w:rsidR="00D32E2C" w:rsidRPr="00006C2A">
        <w:rPr>
          <w:rFonts w:asciiTheme="majorHAnsi" w:hAnsiTheme="majorHAnsi"/>
          <w:sz w:val="20"/>
          <w:szCs w:val="20"/>
          <w:lang w:val="es-ES_tradnl"/>
        </w:rPr>
        <w:t xml:space="preserve"> </w:t>
      </w:r>
      <w:r w:rsidR="003D28A6" w:rsidRPr="00006C2A">
        <w:rPr>
          <w:rFonts w:asciiTheme="majorHAnsi" w:hAnsiTheme="majorHAnsi"/>
          <w:sz w:val="20"/>
          <w:szCs w:val="20"/>
          <w:lang w:val="es-ES_tradnl"/>
        </w:rPr>
        <w:t>organizados en batallones</w:t>
      </w:r>
      <w:r w:rsidR="00C351C5" w:rsidRPr="00006C2A">
        <w:rPr>
          <w:rFonts w:asciiTheme="majorHAnsi" w:hAnsiTheme="majorHAnsi"/>
          <w:sz w:val="20"/>
          <w:szCs w:val="20"/>
          <w:lang w:val="es-ES_tradnl"/>
        </w:rPr>
        <w:t>,</w:t>
      </w:r>
      <w:r w:rsidR="003D28A6" w:rsidRPr="00006C2A">
        <w:rPr>
          <w:rFonts w:asciiTheme="majorHAnsi" w:hAnsiTheme="majorHAnsi"/>
          <w:sz w:val="20"/>
          <w:szCs w:val="20"/>
          <w:lang w:val="es-ES_tradnl"/>
        </w:rPr>
        <w:t xml:space="preserve"> </w:t>
      </w:r>
      <w:r w:rsidR="00337B4A" w:rsidRPr="00006C2A">
        <w:rPr>
          <w:rFonts w:asciiTheme="majorHAnsi" w:hAnsiTheme="majorHAnsi"/>
          <w:sz w:val="20"/>
          <w:szCs w:val="20"/>
          <w:lang w:val="es-ES_tradnl"/>
        </w:rPr>
        <w:t>l</w:t>
      </w:r>
      <w:r w:rsidR="00D32E2C" w:rsidRPr="00006C2A">
        <w:rPr>
          <w:rFonts w:asciiTheme="majorHAnsi" w:hAnsiTheme="majorHAnsi"/>
          <w:sz w:val="20"/>
          <w:szCs w:val="20"/>
          <w:lang w:val="es-ES_tradnl"/>
        </w:rPr>
        <w:t xml:space="preserve">legaron a </w:t>
      </w:r>
      <w:r w:rsidR="00337B4A" w:rsidRPr="00006C2A">
        <w:rPr>
          <w:rFonts w:asciiTheme="majorHAnsi" w:hAnsiTheme="majorHAnsi"/>
          <w:sz w:val="20"/>
          <w:szCs w:val="20"/>
          <w:lang w:val="es-ES_tradnl"/>
        </w:rPr>
        <w:t xml:space="preserve">la </w:t>
      </w:r>
      <w:r w:rsidR="003C7757" w:rsidRPr="00006C2A">
        <w:rPr>
          <w:rFonts w:asciiTheme="majorHAnsi" w:hAnsiTheme="majorHAnsi"/>
          <w:sz w:val="20"/>
          <w:szCs w:val="20"/>
          <w:lang w:val="es-ES_tradnl"/>
        </w:rPr>
        <w:t>a</w:t>
      </w:r>
      <w:r w:rsidR="00337B4A" w:rsidRPr="00006C2A">
        <w:rPr>
          <w:rFonts w:asciiTheme="majorHAnsi" w:hAnsiTheme="majorHAnsi"/>
          <w:sz w:val="20"/>
          <w:szCs w:val="20"/>
          <w:lang w:val="es-ES_tradnl"/>
        </w:rPr>
        <w:t xml:space="preserve">ldea </w:t>
      </w:r>
      <w:r w:rsidR="00D32E2C" w:rsidRPr="00006C2A">
        <w:rPr>
          <w:rFonts w:asciiTheme="majorHAnsi" w:hAnsiTheme="majorHAnsi"/>
          <w:sz w:val="20"/>
          <w:szCs w:val="20"/>
          <w:lang w:val="es-ES_tradnl"/>
        </w:rPr>
        <w:t>Sesa</w:t>
      </w:r>
      <w:r w:rsidR="00337B4A" w:rsidRPr="00006C2A">
        <w:rPr>
          <w:rFonts w:asciiTheme="majorHAnsi" w:hAnsiTheme="majorHAnsi"/>
          <w:sz w:val="20"/>
          <w:szCs w:val="20"/>
          <w:lang w:val="es-ES_tradnl"/>
        </w:rPr>
        <w:t>j</w:t>
      </w:r>
      <w:r w:rsidR="00D32E2C" w:rsidRPr="00006C2A">
        <w:rPr>
          <w:rFonts w:asciiTheme="majorHAnsi" w:hAnsiTheme="majorHAnsi"/>
          <w:sz w:val="20"/>
          <w:szCs w:val="20"/>
          <w:lang w:val="es-ES_tradnl"/>
        </w:rPr>
        <w:t>al</w:t>
      </w:r>
      <w:r w:rsidR="007406E9" w:rsidRPr="00006C2A">
        <w:rPr>
          <w:rFonts w:asciiTheme="majorHAnsi" w:hAnsiTheme="majorHAnsi"/>
          <w:sz w:val="20"/>
          <w:szCs w:val="20"/>
          <w:lang w:val="es-ES_tradnl"/>
        </w:rPr>
        <w:t>,</w:t>
      </w:r>
      <w:r w:rsidR="003C7757" w:rsidRPr="00006C2A">
        <w:rPr>
          <w:rFonts w:asciiTheme="majorHAnsi" w:hAnsiTheme="majorHAnsi"/>
          <w:color w:val="FF0000"/>
          <w:sz w:val="20"/>
          <w:szCs w:val="20"/>
          <w:lang w:val="es-ES_tradnl"/>
        </w:rPr>
        <w:t xml:space="preserve"> </w:t>
      </w:r>
      <w:r w:rsidR="003C7757" w:rsidRPr="00006C2A">
        <w:rPr>
          <w:rFonts w:asciiTheme="majorHAnsi" w:hAnsiTheme="majorHAnsi"/>
          <w:sz w:val="20"/>
          <w:szCs w:val="20"/>
          <w:lang w:val="es-ES_tradnl"/>
        </w:rPr>
        <w:t>en el municipio San Pedro Carcha, departamento de Alta Verapaz,</w:t>
      </w:r>
      <w:r w:rsidR="00D32E2C" w:rsidRPr="00006C2A">
        <w:rPr>
          <w:rFonts w:asciiTheme="majorHAnsi" w:hAnsiTheme="majorHAnsi"/>
          <w:sz w:val="20"/>
          <w:szCs w:val="20"/>
          <w:lang w:val="es-ES_tradnl"/>
        </w:rPr>
        <w:t xml:space="preserve"> </w:t>
      </w:r>
      <w:r w:rsidR="00737D40" w:rsidRPr="00006C2A">
        <w:rPr>
          <w:rFonts w:asciiTheme="majorHAnsi" w:hAnsiTheme="majorHAnsi"/>
          <w:sz w:val="20"/>
          <w:szCs w:val="20"/>
          <w:lang w:val="es-ES_tradnl"/>
        </w:rPr>
        <w:t>y</w:t>
      </w:r>
      <w:r w:rsidR="00C351C5" w:rsidRPr="00006C2A">
        <w:rPr>
          <w:rFonts w:asciiTheme="majorHAnsi" w:hAnsiTheme="majorHAnsi"/>
          <w:sz w:val="20"/>
          <w:szCs w:val="20"/>
          <w:lang w:val="es-ES_tradnl"/>
        </w:rPr>
        <w:t xml:space="preserve"> </w:t>
      </w:r>
      <w:r w:rsidR="00957A73" w:rsidRPr="00006C2A">
        <w:rPr>
          <w:rFonts w:asciiTheme="majorHAnsi" w:hAnsiTheme="majorHAnsi"/>
          <w:sz w:val="20"/>
          <w:szCs w:val="20"/>
          <w:lang w:val="es-ES_tradnl"/>
        </w:rPr>
        <w:t xml:space="preserve">ejecutaron a </w:t>
      </w:r>
      <w:r w:rsidR="00C351C5" w:rsidRPr="00006C2A">
        <w:rPr>
          <w:rFonts w:asciiTheme="majorHAnsi" w:hAnsiTheme="majorHAnsi"/>
          <w:sz w:val="20"/>
          <w:szCs w:val="20"/>
          <w:lang w:val="es-ES_tradnl"/>
        </w:rPr>
        <w:t xml:space="preserve">treinta y cinco </w:t>
      </w:r>
      <w:r w:rsidR="00D32E2C" w:rsidRPr="00006C2A">
        <w:rPr>
          <w:rFonts w:asciiTheme="majorHAnsi" w:hAnsiTheme="majorHAnsi"/>
          <w:sz w:val="20"/>
          <w:szCs w:val="20"/>
          <w:lang w:val="es-ES_tradnl"/>
        </w:rPr>
        <w:t xml:space="preserve">personas de la comunidad con armas de fuego, machetes </w:t>
      </w:r>
      <w:r w:rsidR="007406E9" w:rsidRPr="00006C2A">
        <w:rPr>
          <w:rFonts w:asciiTheme="majorHAnsi" w:hAnsiTheme="majorHAnsi"/>
          <w:sz w:val="20"/>
          <w:szCs w:val="20"/>
          <w:lang w:val="es-ES_tradnl"/>
        </w:rPr>
        <w:t>o</w:t>
      </w:r>
      <w:r w:rsidR="00D32E2C" w:rsidRPr="00006C2A">
        <w:rPr>
          <w:rFonts w:asciiTheme="majorHAnsi" w:hAnsiTheme="majorHAnsi"/>
          <w:sz w:val="20"/>
          <w:szCs w:val="20"/>
          <w:lang w:val="es-ES_tradnl"/>
        </w:rPr>
        <w:t xml:space="preserve"> hachas</w:t>
      </w:r>
      <w:r w:rsidR="007406E9" w:rsidRPr="00006C2A">
        <w:rPr>
          <w:rFonts w:asciiTheme="majorHAnsi" w:hAnsiTheme="majorHAnsi"/>
          <w:sz w:val="20"/>
          <w:szCs w:val="20"/>
          <w:lang w:val="es-ES_tradnl"/>
        </w:rPr>
        <w:t>, y por medio de ahorcamientos.</w:t>
      </w:r>
      <w:r w:rsidR="001A3F79" w:rsidRPr="00006C2A">
        <w:rPr>
          <w:rFonts w:asciiTheme="majorHAnsi" w:hAnsiTheme="majorHAnsi"/>
          <w:sz w:val="20"/>
          <w:szCs w:val="20"/>
          <w:lang w:val="es-ES_tradnl"/>
        </w:rPr>
        <w:t xml:space="preserve"> </w:t>
      </w:r>
      <w:r w:rsidR="007406E9" w:rsidRPr="00006C2A">
        <w:rPr>
          <w:rFonts w:asciiTheme="majorHAnsi" w:hAnsiTheme="majorHAnsi"/>
          <w:sz w:val="20"/>
          <w:szCs w:val="20"/>
          <w:lang w:val="es-ES_tradnl"/>
        </w:rPr>
        <w:t>Además, quemaron</w:t>
      </w:r>
      <w:r w:rsidR="00D32E2C" w:rsidRPr="00006C2A">
        <w:rPr>
          <w:rFonts w:asciiTheme="majorHAnsi" w:hAnsiTheme="majorHAnsi"/>
          <w:sz w:val="20"/>
          <w:szCs w:val="20"/>
          <w:lang w:val="es-ES_tradnl"/>
        </w:rPr>
        <w:t xml:space="preserve"> </w:t>
      </w:r>
      <w:r w:rsidR="00DD0D81" w:rsidRPr="00006C2A">
        <w:rPr>
          <w:rFonts w:asciiTheme="majorHAnsi" w:hAnsiTheme="majorHAnsi"/>
          <w:sz w:val="20"/>
          <w:szCs w:val="20"/>
          <w:lang w:val="es-ES_tradnl"/>
        </w:rPr>
        <w:t xml:space="preserve">treinta y cinco </w:t>
      </w:r>
      <w:r w:rsidR="001A3F79" w:rsidRPr="00006C2A">
        <w:rPr>
          <w:rFonts w:asciiTheme="majorHAnsi" w:hAnsiTheme="majorHAnsi"/>
          <w:sz w:val="20"/>
          <w:szCs w:val="20"/>
          <w:lang w:val="es-ES_tradnl"/>
        </w:rPr>
        <w:t>viviendas;</w:t>
      </w:r>
      <w:r w:rsidR="00B00F93" w:rsidRPr="00006C2A">
        <w:rPr>
          <w:rFonts w:asciiTheme="majorHAnsi" w:hAnsiTheme="majorHAnsi"/>
          <w:sz w:val="20"/>
          <w:szCs w:val="20"/>
          <w:lang w:val="es-ES_tradnl"/>
        </w:rPr>
        <w:t xml:space="preserve"> </w:t>
      </w:r>
      <w:r w:rsidR="001A3F79" w:rsidRPr="00006C2A">
        <w:rPr>
          <w:rFonts w:asciiTheme="majorHAnsi" w:hAnsiTheme="majorHAnsi"/>
          <w:sz w:val="20"/>
          <w:szCs w:val="20"/>
          <w:lang w:val="es-ES_tradnl"/>
        </w:rPr>
        <w:t>violaro</w:t>
      </w:r>
      <w:r w:rsidR="00DD0D81" w:rsidRPr="00006C2A">
        <w:rPr>
          <w:rFonts w:asciiTheme="majorHAnsi" w:hAnsiTheme="majorHAnsi"/>
          <w:sz w:val="20"/>
          <w:szCs w:val="20"/>
          <w:lang w:val="es-ES_tradnl"/>
        </w:rPr>
        <w:t xml:space="preserve">n sexualmente </w:t>
      </w:r>
      <w:r w:rsidR="001A3F79" w:rsidRPr="00006C2A">
        <w:rPr>
          <w:rFonts w:asciiTheme="majorHAnsi" w:hAnsiTheme="majorHAnsi"/>
          <w:sz w:val="20"/>
          <w:szCs w:val="20"/>
          <w:lang w:val="es-ES_tradnl"/>
        </w:rPr>
        <w:t xml:space="preserve">a </w:t>
      </w:r>
      <w:r w:rsidR="00DD0D81" w:rsidRPr="00006C2A">
        <w:rPr>
          <w:rFonts w:asciiTheme="majorHAnsi" w:hAnsiTheme="majorHAnsi"/>
          <w:sz w:val="20"/>
          <w:szCs w:val="20"/>
          <w:lang w:val="es-ES_tradnl"/>
        </w:rPr>
        <w:t xml:space="preserve">cinco </w:t>
      </w:r>
      <w:r w:rsidR="001A3F79" w:rsidRPr="00006C2A">
        <w:rPr>
          <w:rFonts w:asciiTheme="majorHAnsi" w:hAnsiTheme="majorHAnsi"/>
          <w:sz w:val="20"/>
          <w:szCs w:val="20"/>
          <w:lang w:val="es-ES_tradnl"/>
        </w:rPr>
        <w:t>mujeres</w:t>
      </w:r>
      <w:r w:rsidR="004653F9" w:rsidRPr="00006C2A">
        <w:rPr>
          <w:rFonts w:asciiTheme="majorHAnsi" w:hAnsiTheme="majorHAnsi"/>
          <w:sz w:val="20"/>
          <w:szCs w:val="20"/>
          <w:lang w:val="es-ES_tradnl"/>
        </w:rPr>
        <w:t xml:space="preserve"> </w:t>
      </w:r>
      <w:r w:rsidR="007406E9" w:rsidRPr="00006C2A">
        <w:rPr>
          <w:rFonts w:asciiTheme="majorHAnsi" w:hAnsiTheme="majorHAnsi"/>
          <w:sz w:val="20"/>
          <w:szCs w:val="20"/>
          <w:lang w:val="es-ES_tradnl"/>
        </w:rPr>
        <w:t xml:space="preserve">y </w:t>
      </w:r>
      <w:r w:rsidR="00737D40" w:rsidRPr="00006C2A">
        <w:rPr>
          <w:rFonts w:asciiTheme="majorHAnsi" w:hAnsiTheme="majorHAnsi"/>
          <w:sz w:val="20"/>
          <w:szCs w:val="20"/>
          <w:lang w:val="es-ES_tradnl"/>
        </w:rPr>
        <w:t xml:space="preserve">torturaron </w:t>
      </w:r>
      <w:r w:rsidR="004653F9" w:rsidRPr="00006C2A">
        <w:rPr>
          <w:rFonts w:asciiTheme="majorHAnsi" w:hAnsiTheme="majorHAnsi"/>
          <w:sz w:val="20"/>
          <w:szCs w:val="20"/>
          <w:lang w:val="es-ES_tradnl"/>
        </w:rPr>
        <w:t>a treinta hombres</w:t>
      </w:r>
      <w:r w:rsidR="00737D40" w:rsidRPr="00006C2A">
        <w:rPr>
          <w:rFonts w:asciiTheme="majorHAnsi" w:hAnsiTheme="majorHAnsi"/>
          <w:sz w:val="20"/>
          <w:szCs w:val="20"/>
          <w:lang w:val="es-ES_tradnl"/>
        </w:rPr>
        <w:t xml:space="preserve"> con el fin</w:t>
      </w:r>
      <w:r w:rsidR="004653F9" w:rsidRPr="00006C2A">
        <w:rPr>
          <w:rFonts w:asciiTheme="majorHAnsi" w:hAnsiTheme="majorHAnsi"/>
          <w:sz w:val="20"/>
          <w:szCs w:val="20"/>
          <w:lang w:val="es-ES_tradnl"/>
        </w:rPr>
        <w:t xml:space="preserve"> de obtener información sobre la guerrilla. </w:t>
      </w:r>
      <w:r w:rsidR="007406E9" w:rsidRPr="00006C2A">
        <w:rPr>
          <w:rFonts w:asciiTheme="majorHAnsi" w:hAnsiTheme="majorHAnsi"/>
          <w:sz w:val="20"/>
          <w:szCs w:val="20"/>
          <w:lang w:val="es-ES_tradnl"/>
        </w:rPr>
        <w:t>A</w:t>
      </w:r>
      <w:r w:rsidR="002A72C5" w:rsidRPr="00006C2A">
        <w:rPr>
          <w:rFonts w:asciiTheme="majorHAnsi" w:hAnsiTheme="majorHAnsi"/>
          <w:sz w:val="20"/>
          <w:szCs w:val="20"/>
          <w:lang w:val="es-ES_tradnl"/>
        </w:rPr>
        <w:t xml:space="preserve"> la mañana del día siguiente</w:t>
      </w:r>
      <w:r w:rsidR="00867E39">
        <w:rPr>
          <w:rFonts w:asciiTheme="majorHAnsi" w:hAnsiTheme="majorHAnsi"/>
          <w:sz w:val="20"/>
          <w:szCs w:val="20"/>
          <w:lang w:val="es-ES_tradnl"/>
        </w:rPr>
        <w:t>,</w:t>
      </w:r>
      <w:r w:rsidR="002A72C5" w:rsidRPr="00006C2A">
        <w:rPr>
          <w:rFonts w:asciiTheme="majorHAnsi" w:hAnsiTheme="majorHAnsi"/>
          <w:sz w:val="20"/>
          <w:szCs w:val="20"/>
          <w:lang w:val="es-ES_tradnl"/>
        </w:rPr>
        <w:t xml:space="preserve"> los soldados mataron dentro de las viviendas a otras treinta personas, en su mayoría mujeres y niños, arrojando los cuerpos a la calle y </w:t>
      </w:r>
      <w:r w:rsidR="009765E1" w:rsidRPr="00006C2A">
        <w:rPr>
          <w:rFonts w:asciiTheme="majorHAnsi" w:hAnsiTheme="majorHAnsi"/>
          <w:sz w:val="20"/>
          <w:szCs w:val="20"/>
          <w:lang w:val="es-ES_tradnl"/>
        </w:rPr>
        <w:t>quemando</w:t>
      </w:r>
      <w:r w:rsidR="002A72C5" w:rsidRPr="00006C2A">
        <w:rPr>
          <w:rFonts w:asciiTheme="majorHAnsi" w:hAnsiTheme="majorHAnsi"/>
          <w:sz w:val="20"/>
          <w:szCs w:val="20"/>
          <w:lang w:val="es-ES_tradnl"/>
        </w:rPr>
        <w:t xml:space="preserve"> </w:t>
      </w:r>
      <w:r w:rsidR="007406E9" w:rsidRPr="00006C2A">
        <w:rPr>
          <w:rFonts w:asciiTheme="majorHAnsi" w:hAnsiTheme="majorHAnsi"/>
          <w:sz w:val="20"/>
          <w:szCs w:val="20"/>
          <w:lang w:val="es-ES_tradnl"/>
        </w:rPr>
        <w:t>sus</w:t>
      </w:r>
      <w:r w:rsidR="007450AB" w:rsidRPr="00006C2A">
        <w:rPr>
          <w:rFonts w:asciiTheme="majorHAnsi" w:hAnsiTheme="majorHAnsi"/>
          <w:sz w:val="20"/>
          <w:szCs w:val="20"/>
          <w:lang w:val="es-ES_tradnl"/>
        </w:rPr>
        <w:t xml:space="preserve"> casas</w:t>
      </w:r>
      <w:r w:rsidR="00CA7E7D" w:rsidRPr="00006C2A">
        <w:rPr>
          <w:rFonts w:asciiTheme="majorHAnsi" w:hAnsiTheme="majorHAnsi"/>
          <w:sz w:val="20"/>
          <w:szCs w:val="20"/>
          <w:lang w:val="es-ES_tradnl"/>
        </w:rPr>
        <w:t xml:space="preserve">. </w:t>
      </w:r>
      <w:r w:rsidR="00C6119C" w:rsidRPr="00006C2A">
        <w:rPr>
          <w:rFonts w:asciiTheme="majorHAnsi" w:hAnsiTheme="majorHAnsi"/>
          <w:sz w:val="20"/>
          <w:szCs w:val="20"/>
          <w:lang w:val="es-ES_tradnl"/>
        </w:rPr>
        <w:t>Según narran,</w:t>
      </w:r>
      <w:r w:rsidR="007C07AF" w:rsidRPr="00006C2A">
        <w:rPr>
          <w:rFonts w:asciiTheme="majorHAnsi" w:hAnsiTheme="majorHAnsi"/>
          <w:sz w:val="20"/>
          <w:szCs w:val="20"/>
          <w:lang w:val="es-ES_tradnl"/>
        </w:rPr>
        <w:t xml:space="preserve"> a</w:t>
      </w:r>
      <w:r w:rsidR="00B9651A" w:rsidRPr="00006C2A">
        <w:rPr>
          <w:rFonts w:asciiTheme="majorHAnsi" w:hAnsiTheme="majorHAnsi"/>
          <w:sz w:val="20"/>
          <w:szCs w:val="20"/>
          <w:lang w:val="es-ES_tradnl"/>
        </w:rPr>
        <w:t>lrededor de sesenta y cinco</w:t>
      </w:r>
      <w:r w:rsidR="007450AB" w:rsidRPr="00006C2A">
        <w:rPr>
          <w:rFonts w:asciiTheme="majorHAnsi" w:hAnsiTheme="majorHAnsi"/>
          <w:sz w:val="20"/>
          <w:szCs w:val="20"/>
          <w:lang w:val="es-ES_tradnl"/>
        </w:rPr>
        <w:t xml:space="preserve"> familias lograron escapar</w:t>
      </w:r>
      <w:r w:rsidR="00D4665C" w:rsidRPr="00006C2A">
        <w:rPr>
          <w:rFonts w:asciiTheme="majorHAnsi" w:hAnsiTheme="majorHAnsi"/>
          <w:sz w:val="20"/>
          <w:szCs w:val="20"/>
          <w:lang w:val="es-ES_tradnl"/>
        </w:rPr>
        <w:t xml:space="preserve"> </w:t>
      </w:r>
      <w:r w:rsidR="00D32E2C" w:rsidRPr="00006C2A">
        <w:rPr>
          <w:rFonts w:asciiTheme="majorHAnsi" w:hAnsiTheme="majorHAnsi"/>
          <w:sz w:val="20"/>
          <w:szCs w:val="20"/>
          <w:lang w:val="es-ES_tradnl"/>
        </w:rPr>
        <w:t>a</w:t>
      </w:r>
      <w:r w:rsidR="004007EF" w:rsidRPr="00006C2A">
        <w:rPr>
          <w:rFonts w:asciiTheme="majorHAnsi" w:hAnsiTheme="majorHAnsi"/>
          <w:sz w:val="20"/>
          <w:szCs w:val="20"/>
          <w:lang w:val="es-ES_tradnl"/>
        </w:rPr>
        <w:t xml:space="preserve"> </w:t>
      </w:r>
      <w:r w:rsidR="00D32E2C" w:rsidRPr="00006C2A">
        <w:rPr>
          <w:rFonts w:asciiTheme="majorHAnsi" w:hAnsiTheme="majorHAnsi"/>
          <w:sz w:val="20"/>
          <w:szCs w:val="20"/>
          <w:lang w:val="es-ES_tradnl"/>
        </w:rPr>
        <w:t>la</w:t>
      </w:r>
      <w:r w:rsidR="004007EF" w:rsidRPr="00006C2A">
        <w:rPr>
          <w:rFonts w:asciiTheme="majorHAnsi" w:hAnsiTheme="majorHAnsi"/>
          <w:sz w:val="20"/>
          <w:szCs w:val="20"/>
          <w:lang w:val="es-ES_tradnl"/>
        </w:rPr>
        <w:t>s</w:t>
      </w:r>
      <w:r w:rsidR="00D32E2C" w:rsidRPr="00006C2A">
        <w:rPr>
          <w:rFonts w:asciiTheme="majorHAnsi" w:hAnsiTheme="majorHAnsi"/>
          <w:sz w:val="20"/>
          <w:szCs w:val="20"/>
          <w:lang w:val="es-ES_tradnl"/>
        </w:rPr>
        <w:t xml:space="preserve"> montañas</w:t>
      </w:r>
      <w:r w:rsidR="004007EF" w:rsidRPr="00006C2A">
        <w:rPr>
          <w:rFonts w:asciiTheme="majorHAnsi" w:hAnsiTheme="majorHAnsi"/>
          <w:sz w:val="20"/>
          <w:szCs w:val="20"/>
          <w:lang w:val="es-ES_tradnl"/>
        </w:rPr>
        <w:t>, sin poder enterrar a los fallecidos</w:t>
      </w:r>
      <w:r w:rsidR="00867E39">
        <w:rPr>
          <w:rFonts w:asciiTheme="majorHAnsi" w:hAnsiTheme="majorHAnsi"/>
          <w:sz w:val="20"/>
          <w:szCs w:val="20"/>
          <w:lang w:val="es-ES_tradnl"/>
        </w:rPr>
        <w:t>,</w:t>
      </w:r>
      <w:r w:rsidR="004007EF" w:rsidRPr="00006C2A">
        <w:rPr>
          <w:rFonts w:asciiTheme="majorHAnsi" w:hAnsiTheme="majorHAnsi"/>
          <w:sz w:val="20"/>
          <w:szCs w:val="20"/>
          <w:lang w:val="es-ES_tradnl"/>
        </w:rPr>
        <w:t xml:space="preserve"> y </w:t>
      </w:r>
      <w:r w:rsidR="00867E39">
        <w:rPr>
          <w:rFonts w:asciiTheme="majorHAnsi" w:hAnsiTheme="majorHAnsi"/>
          <w:sz w:val="20"/>
          <w:szCs w:val="20"/>
          <w:lang w:val="es-ES_tradnl"/>
        </w:rPr>
        <w:t xml:space="preserve">tuvieron que </w:t>
      </w:r>
      <w:r w:rsidR="00867E39" w:rsidRPr="00006C2A">
        <w:rPr>
          <w:rFonts w:asciiTheme="majorHAnsi" w:hAnsiTheme="majorHAnsi"/>
          <w:sz w:val="20"/>
          <w:szCs w:val="20"/>
          <w:lang w:val="es-ES_tradnl"/>
        </w:rPr>
        <w:t>abandona</w:t>
      </w:r>
      <w:r w:rsidR="00867E39">
        <w:rPr>
          <w:rFonts w:asciiTheme="majorHAnsi" w:hAnsiTheme="majorHAnsi"/>
          <w:sz w:val="20"/>
          <w:szCs w:val="20"/>
          <w:lang w:val="es-ES_tradnl"/>
        </w:rPr>
        <w:t>r</w:t>
      </w:r>
      <w:r w:rsidR="00867E39" w:rsidRPr="00006C2A">
        <w:rPr>
          <w:rFonts w:asciiTheme="majorHAnsi" w:hAnsiTheme="majorHAnsi"/>
          <w:sz w:val="20"/>
          <w:szCs w:val="20"/>
          <w:lang w:val="es-ES_tradnl"/>
        </w:rPr>
        <w:t xml:space="preserve"> </w:t>
      </w:r>
      <w:r w:rsidR="004007EF" w:rsidRPr="00006C2A">
        <w:rPr>
          <w:rFonts w:asciiTheme="majorHAnsi" w:hAnsiTheme="majorHAnsi"/>
          <w:sz w:val="20"/>
          <w:szCs w:val="20"/>
          <w:lang w:val="es-ES_tradnl"/>
        </w:rPr>
        <w:t>animales</w:t>
      </w:r>
      <w:r w:rsidR="00DE6BEE" w:rsidRPr="00006C2A">
        <w:rPr>
          <w:rFonts w:asciiTheme="majorHAnsi" w:hAnsiTheme="majorHAnsi"/>
          <w:sz w:val="20"/>
          <w:szCs w:val="20"/>
          <w:lang w:val="es-ES_tradnl"/>
        </w:rPr>
        <w:t>, siembras</w:t>
      </w:r>
      <w:r w:rsidR="004007EF" w:rsidRPr="00006C2A">
        <w:rPr>
          <w:rFonts w:asciiTheme="majorHAnsi" w:hAnsiTheme="majorHAnsi"/>
          <w:sz w:val="20"/>
          <w:szCs w:val="20"/>
          <w:lang w:val="es-ES_tradnl"/>
        </w:rPr>
        <w:t xml:space="preserve"> y </w:t>
      </w:r>
      <w:r w:rsidR="00DE6BEE" w:rsidRPr="00006C2A">
        <w:rPr>
          <w:rFonts w:asciiTheme="majorHAnsi" w:hAnsiTheme="majorHAnsi"/>
          <w:sz w:val="20"/>
          <w:szCs w:val="20"/>
          <w:lang w:val="es-ES_tradnl"/>
        </w:rPr>
        <w:t>viviendas</w:t>
      </w:r>
      <w:r w:rsidR="004007EF" w:rsidRPr="00006C2A">
        <w:rPr>
          <w:rFonts w:asciiTheme="majorHAnsi" w:hAnsiTheme="majorHAnsi"/>
          <w:sz w:val="20"/>
          <w:szCs w:val="20"/>
          <w:lang w:val="es-ES_tradnl"/>
        </w:rPr>
        <w:t xml:space="preserve">. </w:t>
      </w:r>
      <w:r w:rsidR="00CA7E7D" w:rsidRPr="00006C2A">
        <w:rPr>
          <w:rFonts w:asciiTheme="majorHAnsi" w:hAnsiTheme="majorHAnsi"/>
          <w:sz w:val="20"/>
          <w:szCs w:val="20"/>
          <w:lang w:val="es-ES_tradnl"/>
        </w:rPr>
        <w:t>S</w:t>
      </w:r>
      <w:r w:rsidR="00401E34" w:rsidRPr="00006C2A">
        <w:rPr>
          <w:rFonts w:asciiTheme="majorHAnsi" w:hAnsiTheme="majorHAnsi"/>
          <w:sz w:val="20"/>
          <w:szCs w:val="20"/>
          <w:lang w:val="es-ES_tradnl"/>
        </w:rPr>
        <w:t xml:space="preserve">e refugiaron en las montañas </w:t>
      </w:r>
      <w:r w:rsidR="00CA7E7D" w:rsidRPr="00006C2A">
        <w:rPr>
          <w:rFonts w:asciiTheme="majorHAnsi" w:hAnsiTheme="majorHAnsi"/>
          <w:sz w:val="20"/>
          <w:szCs w:val="20"/>
          <w:lang w:val="es-ES_tradnl"/>
        </w:rPr>
        <w:t xml:space="preserve">donde </w:t>
      </w:r>
      <w:r w:rsidR="00401E34" w:rsidRPr="00006C2A">
        <w:rPr>
          <w:rFonts w:asciiTheme="majorHAnsi" w:hAnsiTheme="majorHAnsi"/>
          <w:sz w:val="20"/>
          <w:szCs w:val="20"/>
          <w:lang w:val="es-ES_tradnl"/>
        </w:rPr>
        <w:t xml:space="preserve">se vieron obligadas </w:t>
      </w:r>
      <w:r w:rsidR="004007EF" w:rsidRPr="00006C2A">
        <w:rPr>
          <w:rFonts w:asciiTheme="majorHAnsi" w:hAnsiTheme="majorHAnsi"/>
          <w:sz w:val="20"/>
          <w:szCs w:val="20"/>
          <w:lang w:val="es-ES_tradnl"/>
        </w:rPr>
        <w:t xml:space="preserve">a vivir en condiciones precarias </w:t>
      </w:r>
      <w:r w:rsidR="00401E34" w:rsidRPr="00006C2A">
        <w:rPr>
          <w:rFonts w:asciiTheme="majorHAnsi" w:hAnsiTheme="majorHAnsi"/>
          <w:sz w:val="20"/>
          <w:szCs w:val="20"/>
          <w:lang w:val="es-ES_tradnl"/>
        </w:rPr>
        <w:t>por cerca de ocho meses</w:t>
      </w:r>
      <w:r w:rsidR="00867E39">
        <w:rPr>
          <w:rFonts w:asciiTheme="majorHAnsi" w:hAnsiTheme="majorHAnsi"/>
          <w:sz w:val="20"/>
          <w:szCs w:val="20"/>
          <w:lang w:val="es-ES_tradnl"/>
        </w:rPr>
        <w:t>.</w:t>
      </w:r>
      <w:r w:rsidR="00401E34" w:rsidRPr="00006C2A">
        <w:rPr>
          <w:rFonts w:asciiTheme="majorHAnsi" w:hAnsiTheme="majorHAnsi"/>
          <w:sz w:val="20"/>
          <w:szCs w:val="20"/>
          <w:lang w:val="es-ES_tradnl"/>
        </w:rPr>
        <w:t xml:space="preserve"> </w:t>
      </w:r>
      <w:r w:rsidR="00867E39">
        <w:rPr>
          <w:rFonts w:asciiTheme="majorHAnsi" w:hAnsiTheme="majorHAnsi"/>
          <w:sz w:val="20"/>
          <w:szCs w:val="20"/>
          <w:lang w:val="es-ES_tradnl"/>
        </w:rPr>
        <w:t>A</w:t>
      </w:r>
      <w:r w:rsidR="00BE1AEA" w:rsidRPr="00006C2A">
        <w:rPr>
          <w:rFonts w:asciiTheme="majorHAnsi" w:hAnsiTheme="majorHAnsi"/>
          <w:sz w:val="20"/>
          <w:szCs w:val="20"/>
          <w:lang w:val="es-ES_tradnl"/>
        </w:rPr>
        <w:t>lgunas</w:t>
      </w:r>
      <w:r w:rsidR="004007EF" w:rsidRPr="00006C2A">
        <w:rPr>
          <w:rFonts w:asciiTheme="majorHAnsi" w:hAnsiTheme="majorHAnsi"/>
          <w:sz w:val="20"/>
          <w:szCs w:val="20"/>
          <w:lang w:val="es-ES_tradnl"/>
        </w:rPr>
        <w:t xml:space="preserve"> </w:t>
      </w:r>
      <w:r w:rsidR="00D4665C" w:rsidRPr="00006C2A">
        <w:rPr>
          <w:rFonts w:asciiTheme="majorHAnsi" w:hAnsiTheme="majorHAnsi"/>
          <w:sz w:val="20"/>
          <w:szCs w:val="20"/>
          <w:lang w:val="es-ES_tradnl"/>
        </w:rPr>
        <w:t xml:space="preserve">familias se vieron separadas en distintas oportunidades </w:t>
      </w:r>
      <w:r w:rsidR="004007EF" w:rsidRPr="00006C2A">
        <w:rPr>
          <w:rFonts w:asciiTheme="majorHAnsi" w:hAnsiTheme="majorHAnsi"/>
          <w:sz w:val="20"/>
          <w:szCs w:val="20"/>
          <w:lang w:val="es-ES_tradnl"/>
        </w:rPr>
        <w:t xml:space="preserve">por </w:t>
      </w:r>
      <w:r w:rsidR="00D4665C" w:rsidRPr="00006C2A">
        <w:rPr>
          <w:rFonts w:asciiTheme="majorHAnsi" w:hAnsiTheme="majorHAnsi"/>
          <w:sz w:val="20"/>
          <w:szCs w:val="20"/>
          <w:lang w:val="es-ES_tradnl"/>
        </w:rPr>
        <w:t xml:space="preserve">tener que </w:t>
      </w:r>
      <w:r w:rsidR="00BE1AEA" w:rsidRPr="00006C2A">
        <w:rPr>
          <w:rFonts w:asciiTheme="majorHAnsi" w:hAnsiTheme="majorHAnsi"/>
          <w:sz w:val="20"/>
          <w:szCs w:val="20"/>
          <w:lang w:val="es-ES_tradnl"/>
        </w:rPr>
        <w:t>desplazarse</w:t>
      </w:r>
      <w:r w:rsidR="004007EF" w:rsidRPr="00006C2A">
        <w:rPr>
          <w:rFonts w:asciiTheme="majorHAnsi" w:hAnsiTheme="majorHAnsi"/>
          <w:sz w:val="20"/>
          <w:szCs w:val="20"/>
          <w:lang w:val="es-ES_tradnl"/>
        </w:rPr>
        <w:t xml:space="preserve"> a diferentes lugares </w:t>
      </w:r>
      <w:r w:rsidR="00BE1AEA" w:rsidRPr="00006C2A">
        <w:rPr>
          <w:rFonts w:asciiTheme="majorHAnsi" w:hAnsiTheme="majorHAnsi"/>
          <w:sz w:val="20"/>
          <w:szCs w:val="20"/>
          <w:lang w:val="es-ES_tradnl"/>
        </w:rPr>
        <w:t>para</w:t>
      </w:r>
      <w:r w:rsidR="00D4665C" w:rsidRPr="00006C2A">
        <w:rPr>
          <w:rFonts w:asciiTheme="majorHAnsi" w:hAnsiTheme="majorHAnsi"/>
          <w:sz w:val="20"/>
          <w:szCs w:val="20"/>
          <w:lang w:val="es-ES_tradnl"/>
        </w:rPr>
        <w:t xml:space="preserve"> </w:t>
      </w:r>
      <w:r w:rsidR="004007EF" w:rsidRPr="00006C2A">
        <w:rPr>
          <w:rFonts w:asciiTheme="majorHAnsi" w:hAnsiTheme="majorHAnsi"/>
          <w:sz w:val="20"/>
          <w:szCs w:val="20"/>
          <w:lang w:val="es-ES_tradnl"/>
        </w:rPr>
        <w:t xml:space="preserve">conseguir alimentos y proveer seguridad. </w:t>
      </w:r>
      <w:r w:rsidR="00D4665C" w:rsidRPr="00006C2A">
        <w:rPr>
          <w:rFonts w:asciiTheme="majorHAnsi" w:hAnsiTheme="majorHAnsi"/>
          <w:sz w:val="20"/>
          <w:szCs w:val="20"/>
          <w:lang w:val="es-ES_tradnl"/>
        </w:rPr>
        <w:t>En dicho contexto, m</w:t>
      </w:r>
      <w:r w:rsidR="004007EF" w:rsidRPr="00006C2A">
        <w:rPr>
          <w:rFonts w:asciiTheme="majorHAnsi" w:hAnsiTheme="majorHAnsi"/>
          <w:sz w:val="20"/>
          <w:szCs w:val="20"/>
          <w:lang w:val="es-ES_tradnl"/>
        </w:rPr>
        <w:t>uchas mujeres gestantes</w:t>
      </w:r>
      <w:r w:rsidR="00284F85" w:rsidRPr="00006C2A">
        <w:rPr>
          <w:rFonts w:asciiTheme="majorHAnsi" w:hAnsiTheme="majorHAnsi"/>
          <w:sz w:val="20"/>
          <w:szCs w:val="20"/>
          <w:lang w:val="es-ES_tradnl"/>
        </w:rPr>
        <w:t xml:space="preserve"> y alrededor de doce </w:t>
      </w:r>
      <w:r w:rsidR="004007EF" w:rsidRPr="00006C2A">
        <w:rPr>
          <w:rFonts w:asciiTheme="majorHAnsi" w:hAnsiTheme="majorHAnsi"/>
          <w:sz w:val="20"/>
          <w:szCs w:val="20"/>
          <w:lang w:val="es-ES_tradnl"/>
        </w:rPr>
        <w:t xml:space="preserve">niños y niñas murieron por las </w:t>
      </w:r>
      <w:r w:rsidR="00D4665C" w:rsidRPr="00006C2A">
        <w:rPr>
          <w:rFonts w:asciiTheme="majorHAnsi" w:hAnsiTheme="majorHAnsi"/>
          <w:sz w:val="20"/>
          <w:szCs w:val="20"/>
          <w:lang w:val="es-ES_tradnl"/>
        </w:rPr>
        <w:t xml:space="preserve">precarias </w:t>
      </w:r>
      <w:r w:rsidR="004007EF" w:rsidRPr="00006C2A">
        <w:rPr>
          <w:rFonts w:asciiTheme="majorHAnsi" w:hAnsiTheme="majorHAnsi"/>
          <w:sz w:val="20"/>
          <w:szCs w:val="20"/>
          <w:lang w:val="es-ES_tradnl"/>
        </w:rPr>
        <w:t>condiciones de vida,</w:t>
      </w:r>
      <w:r w:rsidR="00957A73" w:rsidRPr="00006C2A">
        <w:rPr>
          <w:rFonts w:asciiTheme="majorHAnsi" w:hAnsiTheme="majorHAnsi"/>
          <w:sz w:val="20"/>
          <w:szCs w:val="20"/>
          <w:lang w:val="es-ES_tradnl"/>
        </w:rPr>
        <w:t xml:space="preserve"> complicaciones de parto</w:t>
      </w:r>
      <w:r w:rsidR="004007EF" w:rsidRPr="00006C2A">
        <w:rPr>
          <w:rFonts w:asciiTheme="majorHAnsi" w:hAnsiTheme="majorHAnsi"/>
          <w:sz w:val="20"/>
          <w:szCs w:val="20"/>
          <w:lang w:val="es-ES_tradnl"/>
        </w:rPr>
        <w:t xml:space="preserve"> </w:t>
      </w:r>
      <w:r w:rsidR="00D4665C" w:rsidRPr="00006C2A">
        <w:rPr>
          <w:rFonts w:asciiTheme="majorHAnsi" w:hAnsiTheme="majorHAnsi"/>
          <w:sz w:val="20"/>
          <w:szCs w:val="20"/>
          <w:lang w:val="es-ES_tradnl"/>
        </w:rPr>
        <w:t xml:space="preserve">y </w:t>
      </w:r>
      <w:r w:rsidR="004007EF" w:rsidRPr="00006C2A">
        <w:rPr>
          <w:rFonts w:asciiTheme="majorHAnsi" w:hAnsiTheme="majorHAnsi"/>
          <w:sz w:val="20"/>
          <w:szCs w:val="20"/>
          <w:lang w:val="es-ES_tradnl"/>
        </w:rPr>
        <w:t>la falta de medicinas</w:t>
      </w:r>
      <w:r w:rsidR="00EF0757" w:rsidRPr="00006C2A">
        <w:rPr>
          <w:rFonts w:asciiTheme="majorHAnsi" w:hAnsiTheme="majorHAnsi"/>
          <w:sz w:val="20"/>
          <w:szCs w:val="20"/>
          <w:lang w:val="es-ES_tradnl"/>
        </w:rPr>
        <w:t>, agua y alimentos.</w:t>
      </w:r>
    </w:p>
    <w:p w14:paraId="64D9AB48" w14:textId="77777777" w:rsidR="00C55372" w:rsidRPr="00006C2A" w:rsidRDefault="00C55372" w:rsidP="00C5537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2BCA0C1" w14:textId="32421F89" w:rsidR="007C07AF" w:rsidRPr="00006C2A" w:rsidRDefault="007C07AF" w:rsidP="007C07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_tradnl"/>
        </w:rPr>
      </w:pPr>
      <w:r w:rsidRPr="00006C2A">
        <w:rPr>
          <w:rFonts w:asciiTheme="majorHAnsi" w:hAnsiTheme="majorHAnsi"/>
          <w:sz w:val="20"/>
          <w:szCs w:val="20"/>
          <w:lang w:val="es-ES_tradnl"/>
        </w:rPr>
        <w:t>Los peticionarios relatan que a</w:t>
      </w:r>
      <w:r w:rsidR="00DC193A" w:rsidRPr="00006C2A">
        <w:rPr>
          <w:rFonts w:asciiTheme="majorHAnsi" w:hAnsiTheme="majorHAnsi"/>
          <w:sz w:val="20"/>
          <w:szCs w:val="20"/>
          <w:lang w:val="es-ES_tradnl"/>
        </w:rPr>
        <w:t xml:space="preserve"> </w:t>
      </w:r>
      <w:r w:rsidR="00651E7E" w:rsidRPr="00006C2A">
        <w:rPr>
          <w:rFonts w:asciiTheme="majorHAnsi" w:hAnsiTheme="majorHAnsi"/>
          <w:sz w:val="20"/>
          <w:szCs w:val="20"/>
          <w:lang w:val="es-ES_tradnl"/>
        </w:rPr>
        <w:t xml:space="preserve">pesar </w:t>
      </w:r>
      <w:r w:rsidR="00BE1AEA" w:rsidRPr="00006C2A">
        <w:rPr>
          <w:rFonts w:asciiTheme="majorHAnsi" w:hAnsiTheme="majorHAnsi"/>
          <w:sz w:val="20"/>
          <w:szCs w:val="20"/>
          <w:lang w:val="es-ES_tradnl"/>
        </w:rPr>
        <w:t xml:space="preserve">de </w:t>
      </w:r>
      <w:r w:rsidR="00651E7E" w:rsidRPr="00006C2A">
        <w:rPr>
          <w:rFonts w:asciiTheme="majorHAnsi" w:hAnsiTheme="majorHAnsi"/>
          <w:sz w:val="20"/>
          <w:szCs w:val="20"/>
          <w:lang w:val="es-ES_tradnl"/>
        </w:rPr>
        <w:t xml:space="preserve">que </w:t>
      </w:r>
      <w:r w:rsidR="00EF0757" w:rsidRPr="00006C2A">
        <w:rPr>
          <w:rFonts w:asciiTheme="majorHAnsi" w:hAnsiTheme="majorHAnsi"/>
          <w:sz w:val="20"/>
          <w:szCs w:val="20"/>
          <w:lang w:val="es-ES_tradnl"/>
        </w:rPr>
        <w:t>a</w:t>
      </w:r>
      <w:r w:rsidR="004007EF" w:rsidRPr="00006C2A">
        <w:rPr>
          <w:rFonts w:asciiTheme="majorHAnsi" w:hAnsiTheme="majorHAnsi"/>
          <w:sz w:val="20"/>
          <w:szCs w:val="20"/>
          <w:lang w:val="es-ES_tradnl"/>
        </w:rPr>
        <w:t>l</w:t>
      </w:r>
      <w:r w:rsidR="00EF0757" w:rsidRPr="00006C2A">
        <w:rPr>
          <w:rFonts w:asciiTheme="majorHAnsi" w:hAnsiTheme="majorHAnsi"/>
          <w:sz w:val="20"/>
          <w:szCs w:val="20"/>
          <w:lang w:val="es-ES_tradnl"/>
        </w:rPr>
        <w:t>g</w:t>
      </w:r>
      <w:r w:rsidR="004007EF" w:rsidRPr="00006C2A">
        <w:rPr>
          <w:rFonts w:asciiTheme="majorHAnsi" w:hAnsiTheme="majorHAnsi"/>
          <w:sz w:val="20"/>
          <w:szCs w:val="20"/>
          <w:lang w:val="es-ES_tradnl"/>
        </w:rPr>
        <w:t>un</w:t>
      </w:r>
      <w:r w:rsidR="00B17579" w:rsidRPr="00006C2A">
        <w:rPr>
          <w:rFonts w:asciiTheme="majorHAnsi" w:hAnsiTheme="majorHAnsi"/>
          <w:sz w:val="20"/>
          <w:szCs w:val="20"/>
          <w:lang w:val="es-ES_tradnl"/>
        </w:rPr>
        <w:t xml:space="preserve">os </w:t>
      </w:r>
      <w:r w:rsidR="004007EF" w:rsidRPr="00006C2A">
        <w:rPr>
          <w:rFonts w:asciiTheme="majorHAnsi" w:hAnsiTheme="majorHAnsi"/>
          <w:sz w:val="20"/>
          <w:szCs w:val="20"/>
          <w:lang w:val="es-ES_tradnl"/>
        </w:rPr>
        <w:t>ve</w:t>
      </w:r>
      <w:r w:rsidR="00EF0757" w:rsidRPr="00006C2A">
        <w:rPr>
          <w:rFonts w:asciiTheme="majorHAnsi" w:hAnsiTheme="majorHAnsi"/>
          <w:sz w:val="20"/>
          <w:szCs w:val="20"/>
          <w:lang w:val="es-ES_tradnl"/>
        </w:rPr>
        <w:t>cin</w:t>
      </w:r>
      <w:r w:rsidR="004007EF" w:rsidRPr="00006C2A">
        <w:rPr>
          <w:rFonts w:asciiTheme="majorHAnsi" w:hAnsiTheme="majorHAnsi"/>
          <w:sz w:val="20"/>
          <w:szCs w:val="20"/>
          <w:lang w:val="es-ES_tradnl"/>
        </w:rPr>
        <w:t xml:space="preserve">os </w:t>
      </w:r>
      <w:r w:rsidR="00B17579" w:rsidRPr="00006C2A">
        <w:rPr>
          <w:rFonts w:asciiTheme="majorHAnsi" w:hAnsiTheme="majorHAnsi"/>
          <w:sz w:val="20"/>
          <w:szCs w:val="20"/>
          <w:lang w:val="es-ES_tradnl"/>
        </w:rPr>
        <w:t xml:space="preserve">de la aldea </w:t>
      </w:r>
      <w:r w:rsidR="00EF0757" w:rsidRPr="00006C2A">
        <w:rPr>
          <w:rFonts w:asciiTheme="majorHAnsi" w:hAnsiTheme="majorHAnsi"/>
          <w:sz w:val="20"/>
          <w:szCs w:val="20"/>
          <w:lang w:val="es-ES_tradnl"/>
        </w:rPr>
        <w:t xml:space="preserve">se </w:t>
      </w:r>
      <w:r w:rsidR="004007EF" w:rsidRPr="00006C2A">
        <w:rPr>
          <w:rFonts w:asciiTheme="majorHAnsi" w:hAnsiTheme="majorHAnsi"/>
          <w:sz w:val="20"/>
          <w:szCs w:val="20"/>
          <w:lang w:val="es-ES_tradnl"/>
        </w:rPr>
        <w:t>desplaza</w:t>
      </w:r>
      <w:r w:rsidR="00EF0757" w:rsidRPr="00006C2A">
        <w:rPr>
          <w:rFonts w:asciiTheme="majorHAnsi" w:hAnsiTheme="majorHAnsi"/>
          <w:sz w:val="20"/>
          <w:szCs w:val="20"/>
          <w:lang w:val="es-ES_tradnl"/>
        </w:rPr>
        <w:t xml:space="preserve">ron </w:t>
      </w:r>
      <w:r w:rsidR="004007EF" w:rsidRPr="00006C2A">
        <w:rPr>
          <w:rFonts w:asciiTheme="majorHAnsi" w:hAnsiTheme="majorHAnsi"/>
          <w:sz w:val="20"/>
          <w:szCs w:val="20"/>
          <w:lang w:val="es-ES_tradnl"/>
        </w:rPr>
        <w:t>a otras comunidades</w:t>
      </w:r>
      <w:r w:rsidR="00EF0757" w:rsidRPr="00006C2A">
        <w:rPr>
          <w:rFonts w:asciiTheme="majorHAnsi" w:hAnsiTheme="majorHAnsi"/>
          <w:sz w:val="20"/>
          <w:szCs w:val="20"/>
          <w:lang w:val="es-ES_tradnl"/>
        </w:rPr>
        <w:t xml:space="preserve">, </w:t>
      </w:r>
      <w:r w:rsidR="00A359D3" w:rsidRPr="00006C2A">
        <w:rPr>
          <w:rFonts w:asciiTheme="majorHAnsi" w:hAnsiTheme="majorHAnsi"/>
          <w:sz w:val="20"/>
          <w:szCs w:val="20"/>
          <w:lang w:val="es-ES_tradnl"/>
        </w:rPr>
        <w:t xml:space="preserve">un grupo de familias </w:t>
      </w:r>
      <w:r w:rsidR="00DC193A" w:rsidRPr="00006C2A">
        <w:rPr>
          <w:rFonts w:asciiTheme="majorHAnsi" w:hAnsiTheme="majorHAnsi"/>
          <w:sz w:val="20"/>
          <w:szCs w:val="20"/>
          <w:lang w:val="es-ES_tradnl"/>
        </w:rPr>
        <w:t xml:space="preserve">desplazadas </w:t>
      </w:r>
      <w:r w:rsidR="00EF0757" w:rsidRPr="00006C2A">
        <w:rPr>
          <w:rFonts w:asciiTheme="majorHAnsi" w:hAnsiTheme="majorHAnsi"/>
          <w:sz w:val="20"/>
          <w:szCs w:val="20"/>
          <w:lang w:val="es-ES_tradnl"/>
        </w:rPr>
        <w:t xml:space="preserve">decidió </w:t>
      </w:r>
      <w:r w:rsidR="00401E34" w:rsidRPr="00006C2A">
        <w:rPr>
          <w:rFonts w:asciiTheme="majorHAnsi" w:hAnsiTheme="majorHAnsi"/>
          <w:sz w:val="20"/>
          <w:szCs w:val="20"/>
          <w:lang w:val="es-ES_tradnl"/>
        </w:rPr>
        <w:t xml:space="preserve">“entregarse” al </w:t>
      </w:r>
      <w:r w:rsidR="00C6119C" w:rsidRPr="00006C2A">
        <w:rPr>
          <w:rFonts w:asciiTheme="majorHAnsi" w:hAnsiTheme="majorHAnsi"/>
          <w:sz w:val="20"/>
          <w:szCs w:val="20"/>
          <w:lang w:val="es-ES_tradnl"/>
        </w:rPr>
        <w:t>e</w:t>
      </w:r>
      <w:r w:rsidR="00401E34" w:rsidRPr="00006C2A">
        <w:rPr>
          <w:rFonts w:asciiTheme="majorHAnsi" w:hAnsiTheme="majorHAnsi"/>
          <w:sz w:val="20"/>
          <w:szCs w:val="20"/>
          <w:lang w:val="es-ES_tradnl"/>
        </w:rPr>
        <w:t>jército</w:t>
      </w:r>
      <w:r w:rsidR="00766695" w:rsidRPr="00006C2A">
        <w:rPr>
          <w:rFonts w:asciiTheme="majorHAnsi" w:hAnsiTheme="majorHAnsi"/>
          <w:sz w:val="20"/>
          <w:szCs w:val="20"/>
          <w:lang w:val="es-ES_tradnl"/>
        </w:rPr>
        <w:t>,</w:t>
      </w:r>
      <w:r w:rsidR="00401E34" w:rsidRPr="00006C2A">
        <w:rPr>
          <w:rFonts w:asciiTheme="majorHAnsi" w:hAnsiTheme="majorHAnsi"/>
          <w:sz w:val="20"/>
          <w:szCs w:val="20"/>
          <w:lang w:val="es-ES_tradnl"/>
        </w:rPr>
        <w:t xml:space="preserve"> que se encontraba en la comunidad de Cambayal</w:t>
      </w:r>
      <w:r w:rsidR="00766695" w:rsidRPr="00006C2A">
        <w:rPr>
          <w:rFonts w:asciiTheme="majorHAnsi" w:hAnsiTheme="majorHAnsi"/>
          <w:sz w:val="20"/>
          <w:szCs w:val="20"/>
          <w:lang w:val="es-ES_tradnl"/>
        </w:rPr>
        <w:t>,</w:t>
      </w:r>
      <w:r w:rsidR="00F07128" w:rsidRPr="00006C2A">
        <w:rPr>
          <w:rFonts w:asciiTheme="majorHAnsi" w:hAnsiTheme="majorHAnsi"/>
          <w:sz w:val="20"/>
          <w:szCs w:val="20"/>
          <w:lang w:val="es-ES_tradnl"/>
        </w:rPr>
        <w:t xml:space="preserve"> en noviembre de 1982</w:t>
      </w:r>
      <w:r w:rsidR="006508F8" w:rsidRPr="00006C2A">
        <w:rPr>
          <w:rFonts w:asciiTheme="majorHAnsi" w:hAnsiTheme="majorHAnsi"/>
          <w:sz w:val="20"/>
          <w:szCs w:val="20"/>
          <w:lang w:val="es-ES_tradnl"/>
        </w:rPr>
        <w:t xml:space="preserve">, </w:t>
      </w:r>
      <w:r w:rsidR="00CA7E7D" w:rsidRPr="00006C2A">
        <w:rPr>
          <w:rFonts w:asciiTheme="majorHAnsi" w:hAnsiTheme="majorHAnsi"/>
          <w:sz w:val="20"/>
          <w:szCs w:val="20"/>
          <w:lang w:val="es-ES_tradnl"/>
        </w:rPr>
        <w:t xml:space="preserve">siendo trasladados </w:t>
      </w:r>
      <w:r w:rsidR="006508F8" w:rsidRPr="00006C2A">
        <w:rPr>
          <w:rFonts w:asciiTheme="majorHAnsi" w:hAnsiTheme="majorHAnsi"/>
          <w:sz w:val="20"/>
          <w:szCs w:val="20"/>
          <w:lang w:val="es-ES_tradnl"/>
        </w:rPr>
        <w:t>a la aldea Sesajal</w:t>
      </w:r>
      <w:r w:rsidR="00CA7E7D" w:rsidRPr="00006C2A">
        <w:rPr>
          <w:rFonts w:asciiTheme="majorHAnsi" w:hAnsiTheme="majorHAnsi"/>
          <w:sz w:val="20"/>
          <w:szCs w:val="20"/>
          <w:lang w:val="es-ES_tradnl"/>
        </w:rPr>
        <w:t xml:space="preserve"> el 3 de diciembre de 1982</w:t>
      </w:r>
      <w:r w:rsidR="006508F8" w:rsidRPr="00006C2A">
        <w:rPr>
          <w:rFonts w:asciiTheme="majorHAnsi" w:hAnsiTheme="majorHAnsi"/>
          <w:sz w:val="20"/>
          <w:szCs w:val="20"/>
          <w:lang w:val="es-ES_tradnl"/>
        </w:rPr>
        <w:t xml:space="preserve">. </w:t>
      </w:r>
      <w:r w:rsidR="00DC193A" w:rsidRPr="00006C2A">
        <w:rPr>
          <w:rFonts w:asciiTheme="majorHAnsi" w:hAnsiTheme="majorHAnsi"/>
          <w:sz w:val="20"/>
          <w:szCs w:val="20"/>
          <w:lang w:val="es-ES_tradnl"/>
        </w:rPr>
        <w:t>U</w:t>
      </w:r>
      <w:r w:rsidR="0062313D" w:rsidRPr="00006C2A">
        <w:rPr>
          <w:rFonts w:asciiTheme="majorHAnsi" w:hAnsiTheme="majorHAnsi"/>
          <w:sz w:val="20"/>
          <w:szCs w:val="20"/>
          <w:lang w:val="es-ES_tradnl"/>
        </w:rPr>
        <w:t>na vez de vuelta en su comunidad</w:t>
      </w:r>
      <w:r w:rsidR="00867E39">
        <w:rPr>
          <w:rFonts w:asciiTheme="majorHAnsi" w:hAnsiTheme="majorHAnsi"/>
          <w:sz w:val="20"/>
          <w:szCs w:val="20"/>
          <w:lang w:val="es-ES_tradnl"/>
        </w:rPr>
        <w:t>,</w:t>
      </w:r>
      <w:r w:rsidR="006508F8" w:rsidRPr="00006C2A">
        <w:rPr>
          <w:rFonts w:asciiTheme="majorHAnsi" w:hAnsiTheme="majorHAnsi"/>
          <w:sz w:val="20"/>
          <w:szCs w:val="20"/>
          <w:lang w:val="es-ES_tradnl"/>
        </w:rPr>
        <w:t xml:space="preserve"> fueron </w:t>
      </w:r>
      <w:r w:rsidR="00362F12" w:rsidRPr="00006C2A">
        <w:rPr>
          <w:rFonts w:asciiTheme="majorHAnsi" w:hAnsiTheme="majorHAnsi"/>
          <w:sz w:val="20"/>
          <w:szCs w:val="20"/>
          <w:lang w:val="es-ES_tradnl"/>
        </w:rPr>
        <w:t xml:space="preserve">obligados </w:t>
      </w:r>
      <w:r w:rsidR="00651E7E" w:rsidRPr="00006C2A">
        <w:rPr>
          <w:rFonts w:asciiTheme="majorHAnsi" w:hAnsiTheme="majorHAnsi"/>
          <w:sz w:val="20"/>
          <w:szCs w:val="20"/>
          <w:lang w:val="es-ES_tradnl"/>
        </w:rPr>
        <w:t xml:space="preserve">por el </w:t>
      </w:r>
      <w:r w:rsidR="00C6119C" w:rsidRPr="00006C2A">
        <w:rPr>
          <w:rFonts w:asciiTheme="majorHAnsi" w:hAnsiTheme="majorHAnsi"/>
          <w:sz w:val="20"/>
          <w:szCs w:val="20"/>
          <w:lang w:val="es-ES_tradnl"/>
        </w:rPr>
        <w:t>e</w:t>
      </w:r>
      <w:r w:rsidR="00651E7E" w:rsidRPr="00006C2A">
        <w:rPr>
          <w:rFonts w:asciiTheme="majorHAnsi" w:hAnsiTheme="majorHAnsi"/>
          <w:sz w:val="20"/>
          <w:szCs w:val="20"/>
          <w:lang w:val="es-ES_tradnl"/>
        </w:rPr>
        <w:t xml:space="preserve">jército </w:t>
      </w:r>
      <w:r w:rsidR="00362F12" w:rsidRPr="00006C2A">
        <w:rPr>
          <w:rFonts w:asciiTheme="majorHAnsi" w:hAnsiTheme="majorHAnsi"/>
          <w:sz w:val="20"/>
          <w:szCs w:val="20"/>
          <w:lang w:val="es-ES_tradnl"/>
        </w:rPr>
        <w:t>a reasentarse en espacios físicos delimitados</w:t>
      </w:r>
      <w:r w:rsidR="00867E39">
        <w:rPr>
          <w:rFonts w:asciiTheme="majorHAnsi" w:hAnsiTheme="majorHAnsi"/>
          <w:sz w:val="20"/>
          <w:szCs w:val="20"/>
          <w:lang w:val="es-ES_tradnl"/>
        </w:rPr>
        <w:t>,</w:t>
      </w:r>
      <w:r w:rsidR="006508F8" w:rsidRPr="00006C2A">
        <w:rPr>
          <w:rFonts w:asciiTheme="majorHAnsi" w:hAnsiTheme="majorHAnsi"/>
          <w:sz w:val="20"/>
          <w:szCs w:val="20"/>
          <w:lang w:val="es-ES_tradnl"/>
        </w:rPr>
        <w:t xml:space="preserve"> fueron</w:t>
      </w:r>
      <w:r w:rsidR="00362F12" w:rsidRPr="00006C2A">
        <w:rPr>
          <w:rFonts w:asciiTheme="majorHAnsi" w:hAnsiTheme="majorHAnsi"/>
          <w:sz w:val="20"/>
          <w:szCs w:val="20"/>
          <w:lang w:val="es-ES_tradnl"/>
        </w:rPr>
        <w:t xml:space="preserve"> limitados en el uso de las tierras</w:t>
      </w:r>
      <w:r w:rsidR="00B9651A" w:rsidRPr="00006C2A">
        <w:rPr>
          <w:rFonts w:asciiTheme="majorHAnsi" w:hAnsiTheme="majorHAnsi"/>
          <w:sz w:val="20"/>
          <w:szCs w:val="20"/>
          <w:lang w:val="es-ES_tradnl"/>
        </w:rPr>
        <w:t xml:space="preserve"> y obligados bajo amenaza a “patrullar”</w:t>
      </w:r>
      <w:r w:rsidR="00A359D3" w:rsidRPr="00006C2A">
        <w:rPr>
          <w:rFonts w:asciiTheme="majorHAnsi" w:hAnsiTheme="majorHAnsi"/>
          <w:sz w:val="20"/>
          <w:szCs w:val="20"/>
          <w:lang w:val="es-ES_tradnl"/>
        </w:rPr>
        <w:t xml:space="preserve">. </w:t>
      </w:r>
      <w:r w:rsidR="00875281" w:rsidRPr="00006C2A">
        <w:rPr>
          <w:rFonts w:asciiTheme="majorHAnsi" w:hAnsiTheme="majorHAnsi"/>
          <w:sz w:val="20"/>
          <w:szCs w:val="20"/>
          <w:lang w:val="es-ES_tradnl"/>
        </w:rPr>
        <w:t>D</w:t>
      </w:r>
      <w:r w:rsidR="00B27291" w:rsidRPr="00006C2A">
        <w:rPr>
          <w:rFonts w:asciiTheme="majorHAnsi" w:hAnsiTheme="majorHAnsi"/>
          <w:sz w:val="20"/>
          <w:szCs w:val="20"/>
          <w:lang w:val="es-ES_tradnl"/>
        </w:rPr>
        <w:t>escribe</w:t>
      </w:r>
      <w:r w:rsidR="006508F8" w:rsidRPr="00006C2A">
        <w:rPr>
          <w:rFonts w:asciiTheme="majorHAnsi" w:hAnsiTheme="majorHAnsi"/>
          <w:sz w:val="20"/>
          <w:szCs w:val="20"/>
          <w:lang w:val="es-ES_tradnl"/>
        </w:rPr>
        <w:t>n</w:t>
      </w:r>
      <w:r w:rsidR="00B27291" w:rsidRPr="00006C2A">
        <w:rPr>
          <w:rFonts w:asciiTheme="majorHAnsi" w:hAnsiTheme="majorHAnsi"/>
          <w:sz w:val="20"/>
          <w:szCs w:val="20"/>
          <w:lang w:val="es-ES_tradnl"/>
        </w:rPr>
        <w:t xml:space="preserve"> que</w:t>
      </w:r>
      <w:r w:rsidR="00D25F7D" w:rsidRPr="00006C2A">
        <w:rPr>
          <w:rFonts w:asciiTheme="majorHAnsi" w:hAnsiTheme="majorHAnsi"/>
          <w:sz w:val="20"/>
          <w:szCs w:val="20"/>
          <w:lang w:val="es-ES_tradnl"/>
        </w:rPr>
        <w:t>,</w:t>
      </w:r>
      <w:r w:rsidR="00B27291" w:rsidRPr="00006C2A">
        <w:rPr>
          <w:rFonts w:asciiTheme="majorHAnsi" w:hAnsiTheme="majorHAnsi"/>
          <w:sz w:val="20"/>
          <w:szCs w:val="20"/>
          <w:lang w:val="es-ES_tradnl"/>
        </w:rPr>
        <w:t xml:space="preserve"> en </w:t>
      </w:r>
      <w:r w:rsidR="00D32E2C" w:rsidRPr="00006C2A">
        <w:rPr>
          <w:rFonts w:asciiTheme="majorHAnsi" w:hAnsiTheme="majorHAnsi"/>
          <w:sz w:val="20"/>
          <w:szCs w:val="20"/>
          <w:lang w:val="es-ES_tradnl"/>
        </w:rPr>
        <w:t>octubre de 1983</w:t>
      </w:r>
      <w:r w:rsidR="00913423" w:rsidRPr="00006C2A">
        <w:rPr>
          <w:rFonts w:asciiTheme="majorHAnsi" w:hAnsiTheme="majorHAnsi"/>
          <w:sz w:val="20"/>
          <w:szCs w:val="20"/>
          <w:lang w:val="es-ES_tradnl"/>
        </w:rPr>
        <w:t>,</w:t>
      </w:r>
      <w:r w:rsidR="00D32E2C" w:rsidRPr="00006C2A">
        <w:rPr>
          <w:rFonts w:asciiTheme="majorHAnsi" w:hAnsiTheme="majorHAnsi"/>
          <w:sz w:val="20"/>
          <w:szCs w:val="20"/>
          <w:lang w:val="es-ES_tradnl"/>
        </w:rPr>
        <w:t xml:space="preserve"> </w:t>
      </w:r>
      <w:r w:rsidR="00766695" w:rsidRPr="00006C2A">
        <w:rPr>
          <w:rFonts w:asciiTheme="majorHAnsi" w:hAnsiTheme="majorHAnsi"/>
          <w:sz w:val="20"/>
          <w:szCs w:val="20"/>
          <w:lang w:val="es-ES_tradnl"/>
        </w:rPr>
        <w:t>lo</w:t>
      </w:r>
      <w:r w:rsidR="00867E39">
        <w:rPr>
          <w:rFonts w:asciiTheme="majorHAnsi" w:hAnsiTheme="majorHAnsi"/>
          <w:sz w:val="20"/>
          <w:szCs w:val="20"/>
          <w:lang w:val="es-ES_tradnl"/>
        </w:rPr>
        <w:t>s</w:t>
      </w:r>
      <w:r w:rsidR="00766695" w:rsidRPr="00006C2A">
        <w:rPr>
          <w:rFonts w:asciiTheme="majorHAnsi" w:hAnsiTheme="majorHAnsi"/>
          <w:sz w:val="20"/>
          <w:szCs w:val="20"/>
          <w:lang w:val="es-ES_tradnl"/>
        </w:rPr>
        <w:t xml:space="preserve"> </w:t>
      </w:r>
      <w:r w:rsidR="00B27291" w:rsidRPr="00006C2A">
        <w:rPr>
          <w:rFonts w:asciiTheme="majorHAnsi" w:hAnsiTheme="majorHAnsi"/>
          <w:sz w:val="20"/>
          <w:szCs w:val="20"/>
          <w:lang w:val="es-ES_tradnl"/>
        </w:rPr>
        <w:t xml:space="preserve">soldados volvieron a la </w:t>
      </w:r>
      <w:r w:rsidR="003C7757" w:rsidRPr="00006C2A">
        <w:rPr>
          <w:rFonts w:asciiTheme="majorHAnsi" w:hAnsiTheme="majorHAnsi"/>
          <w:sz w:val="20"/>
          <w:szCs w:val="20"/>
          <w:lang w:val="es-ES_tradnl"/>
        </w:rPr>
        <w:t>a</w:t>
      </w:r>
      <w:r w:rsidR="00B27291" w:rsidRPr="00006C2A">
        <w:rPr>
          <w:rFonts w:asciiTheme="majorHAnsi" w:hAnsiTheme="majorHAnsi"/>
          <w:sz w:val="20"/>
          <w:szCs w:val="20"/>
          <w:lang w:val="es-ES_tradnl"/>
        </w:rPr>
        <w:t>ldea Sesajal,</w:t>
      </w:r>
      <w:r w:rsidR="00875281" w:rsidRPr="00006C2A">
        <w:rPr>
          <w:rFonts w:asciiTheme="majorHAnsi" w:hAnsiTheme="majorHAnsi"/>
          <w:sz w:val="20"/>
          <w:szCs w:val="20"/>
          <w:lang w:val="es-ES_tradnl"/>
        </w:rPr>
        <w:t xml:space="preserve"> </w:t>
      </w:r>
      <w:r w:rsidR="00D32E2C" w:rsidRPr="00006C2A">
        <w:rPr>
          <w:rFonts w:asciiTheme="majorHAnsi" w:hAnsiTheme="majorHAnsi"/>
          <w:sz w:val="20"/>
          <w:szCs w:val="20"/>
          <w:lang w:val="es-ES_tradnl"/>
        </w:rPr>
        <w:t>reuni</w:t>
      </w:r>
      <w:r w:rsidR="00B27291" w:rsidRPr="00006C2A">
        <w:rPr>
          <w:rFonts w:asciiTheme="majorHAnsi" w:hAnsiTheme="majorHAnsi"/>
          <w:sz w:val="20"/>
          <w:szCs w:val="20"/>
          <w:lang w:val="es-ES_tradnl"/>
        </w:rPr>
        <w:t>e</w:t>
      </w:r>
      <w:r w:rsidR="00D32E2C" w:rsidRPr="00006C2A">
        <w:rPr>
          <w:rFonts w:asciiTheme="majorHAnsi" w:hAnsiTheme="majorHAnsi"/>
          <w:sz w:val="20"/>
          <w:szCs w:val="20"/>
          <w:lang w:val="es-ES_tradnl"/>
        </w:rPr>
        <w:t>ron</w:t>
      </w:r>
      <w:r w:rsidR="00875281" w:rsidRPr="00006C2A">
        <w:rPr>
          <w:rFonts w:asciiTheme="majorHAnsi" w:hAnsiTheme="majorHAnsi"/>
          <w:sz w:val="20"/>
          <w:szCs w:val="20"/>
          <w:lang w:val="es-ES_tradnl"/>
        </w:rPr>
        <w:t xml:space="preserve"> a los habitantes</w:t>
      </w:r>
      <w:r w:rsidR="00D32E2C" w:rsidRPr="00006C2A">
        <w:rPr>
          <w:rFonts w:asciiTheme="majorHAnsi" w:hAnsiTheme="majorHAnsi"/>
          <w:sz w:val="20"/>
          <w:szCs w:val="20"/>
          <w:lang w:val="es-ES_tradnl"/>
        </w:rPr>
        <w:t xml:space="preserve"> y l</w:t>
      </w:r>
      <w:r w:rsidR="00766695" w:rsidRPr="00006C2A">
        <w:rPr>
          <w:rFonts w:asciiTheme="majorHAnsi" w:hAnsiTheme="majorHAnsi"/>
          <w:sz w:val="20"/>
          <w:szCs w:val="20"/>
          <w:lang w:val="es-ES_tradnl"/>
        </w:rPr>
        <w:t>o</w:t>
      </w:r>
      <w:r w:rsidR="00D32E2C" w:rsidRPr="00006C2A">
        <w:rPr>
          <w:rFonts w:asciiTheme="majorHAnsi" w:hAnsiTheme="majorHAnsi"/>
          <w:sz w:val="20"/>
          <w:szCs w:val="20"/>
          <w:lang w:val="es-ES_tradnl"/>
        </w:rPr>
        <w:t xml:space="preserve">s obligaron a organizarse en patrullas para </w:t>
      </w:r>
      <w:r w:rsidR="00362F12" w:rsidRPr="00006C2A">
        <w:rPr>
          <w:rFonts w:asciiTheme="majorHAnsi" w:hAnsiTheme="majorHAnsi"/>
          <w:sz w:val="20"/>
          <w:szCs w:val="20"/>
          <w:lang w:val="es-ES_tradnl"/>
        </w:rPr>
        <w:t xml:space="preserve">conformar </w:t>
      </w:r>
      <w:bookmarkStart w:id="2" w:name="_Hlk117983088"/>
      <w:r w:rsidR="00766695" w:rsidRPr="00006C2A">
        <w:rPr>
          <w:rFonts w:asciiTheme="majorHAnsi" w:hAnsiTheme="majorHAnsi"/>
          <w:sz w:val="20"/>
          <w:szCs w:val="20"/>
          <w:lang w:val="es-ES_tradnl"/>
        </w:rPr>
        <w:t>“</w:t>
      </w:r>
      <w:r w:rsidR="00362F12" w:rsidRPr="00006C2A">
        <w:rPr>
          <w:rFonts w:asciiTheme="majorHAnsi" w:hAnsiTheme="majorHAnsi"/>
          <w:sz w:val="20"/>
          <w:szCs w:val="20"/>
          <w:lang w:val="es-ES_tradnl"/>
        </w:rPr>
        <w:t>Comités de Autodefensa Civil</w:t>
      </w:r>
      <w:bookmarkEnd w:id="2"/>
      <w:r w:rsidR="00766695" w:rsidRPr="00006C2A">
        <w:rPr>
          <w:rFonts w:asciiTheme="majorHAnsi" w:hAnsiTheme="majorHAnsi"/>
          <w:sz w:val="20"/>
          <w:szCs w:val="20"/>
          <w:lang w:val="es-ES_tradnl"/>
        </w:rPr>
        <w:t>”</w:t>
      </w:r>
      <w:r w:rsidR="00D32E2C" w:rsidRPr="00006C2A">
        <w:rPr>
          <w:rFonts w:asciiTheme="majorHAnsi" w:hAnsiTheme="majorHAnsi"/>
          <w:sz w:val="20"/>
          <w:szCs w:val="20"/>
          <w:lang w:val="es-ES_tradnl"/>
        </w:rPr>
        <w:t xml:space="preserve">. </w:t>
      </w:r>
      <w:r w:rsidR="00B27291" w:rsidRPr="00006C2A">
        <w:rPr>
          <w:rFonts w:asciiTheme="majorHAnsi" w:hAnsiTheme="majorHAnsi"/>
          <w:sz w:val="20"/>
          <w:szCs w:val="20"/>
          <w:lang w:val="es-ES_tradnl"/>
        </w:rPr>
        <w:t>En esa línea</w:t>
      </w:r>
      <w:r w:rsidR="00DC193A" w:rsidRPr="00006C2A">
        <w:rPr>
          <w:rFonts w:asciiTheme="majorHAnsi" w:hAnsiTheme="majorHAnsi"/>
          <w:sz w:val="20"/>
          <w:szCs w:val="20"/>
          <w:lang w:val="es-ES_tradnl"/>
        </w:rPr>
        <w:t>,</w:t>
      </w:r>
      <w:r w:rsidR="00B27291" w:rsidRPr="00006C2A">
        <w:rPr>
          <w:rFonts w:asciiTheme="majorHAnsi" w:hAnsiTheme="majorHAnsi"/>
          <w:sz w:val="20"/>
          <w:szCs w:val="20"/>
          <w:lang w:val="es-ES_tradnl"/>
        </w:rPr>
        <w:t xml:space="preserve"> </w:t>
      </w:r>
      <w:r w:rsidR="00362F12" w:rsidRPr="00006C2A">
        <w:rPr>
          <w:rFonts w:asciiTheme="majorHAnsi" w:hAnsiTheme="majorHAnsi"/>
          <w:sz w:val="20"/>
          <w:szCs w:val="20"/>
          <w:lang w:val="es-ES_tradnl"/>
        </w:rPr>
        <w:t>indica</w:t>
      </w:r>
      <w:r w:rsidR="00F07128" w:rsidRPr="00006C2A">
        <w:rPr>
          <w:rFonts w:asciiTheme="majorHAnsi" w:hAnsiTheme="majorHAnsi"/>
          <w:sz w:val="20"/>
          <w:szCs w:val="20"/>
          <w:lang w:val="es-ES_tradnl"/>
        </w:rPr>
        <w:t>n</w:t>
      </w:r>
      <w:r w:rsidR="00362F12" w:rsidRPr="00006C2A">
        <w:rPr>
          <w:rFonts w:asciiTheme="majorHAnsi" w:hAnsiTheme="majorHAnsi"/>
          <w:sz w:val="20"/>
          <w:szCs w:val="20"/>
          <w:lang w:val="es-ES_tradnl"/>
        </w:rPr>
        <w:t xml:space="preserve"> que </w:t>
      </w:r>
      <w:r w:rsidR="00B9651A" w:rsidRPr="00006C2A">
        <w:rPr>
          <w:rFonts w:asciiTheme="majorHAnsi" w:hAnsiTheme="majorHAnsi"/>
          <w:sz w:val="20"/>
          <w:szCs w:val="20"/>
          <w:lang w:val="es-ES_tradnl"/>
        </w:rPr>
        <w:t xml:space="preserve">alrededor de ochenta y seis de </w:t>
      </w:r>
      <w:r w:rsidR="00362F12" w:rsidRPr="00006C2A">
        <w:rPr>
          <w:rFonts w:asciiTheme="majorHAnsi" w:hAnsiTheme="majorHAnsi"/>
          <w:sz w:val="20"/>
          <w:szCs w:val="20"/>
          <w:lang w:val="es-ES_tradnl"/>
        </w:rPr>
        <w:t xml:space="preserve">los habitantes de la </w:t>
      </w:r>
      <w:r w:rsidR="00D5675E" w:rsidRPr="00006C2A">
        <w:rPr>
          <w:rFonts w:asciiTheme="majorHAnsi" w:hAnsiTheme="majorHAnsi"/>
          <w:sz w:val="20"/>
          <w:szCs w:val="20"/>
          <w:lang w:val="es-ES_tradnl"/>
        </w:rPr>
        <w:t>a</w:t>
      </w:r>
      <w:r w:rsidR="00362F12" w:rsidRPr="00006C2A">
        <w:rPr>
          <w:rFonts w:asciiTheme="majorHAnsi" w:hAnsiTheme="majorHAnsi"/>
          <w:sz w:val="20"/>
          <w:szCs w:val="20"/>
          <w:lang w:val="es-ES_tradnl"/>
        </w:rPr>
        <w:t>ldea</w:t>
      </w:r>
      <w:r w:rsidR="00991E15" w:rsidRPr="00006C2A">
        <w:rPr>
          <w:rFonts w:asciiTheme="majorHAnsi" w:hAnsiTheme="majorHAnsi"/>
          <w:sz w:val="20"/>
          <w:szCs w:val="20"/>
          <w:lang w:val="es-ES_tradnl"/>
        </w:rPr>
        <w:t>,</w:t>
      </w:r>
      <w:r w:rsidR="00362F12" w:rsidRPr="00006C2A">
        <w:rPr>
          <w:rFonts w:asciiTheme="majorHAnsi" w:hAnsiTheme="majorHAnsi"/>
          <w:sz w:val="20"/>
          <w:szCs w:val="20"/>
          <w:lang w:val="es-ES_tradnl"/>
        </w:rPr>
        <w:t xml:space="preserve"> </w:t>
      </w:r>
      <w:r w:rsidR="00875281" w:rsidRPr="00006C2A">
        <w:rPr>
          <w:rFonts w:asciiTheme="majorHAnsi" w:hAnsiTheme="majorHAnsi"/>
          <w:sz w:val="20"/>
          <w:szCs w:val="20"/>
          <w:lang w:val="es-ES_tradnl"/>
        </w:rPr>
        <w:t>incluyendo</w:t>
      </w:r>
      <w:r w:rsidR="00362F12" w:rsidRPr="00006C2A">
        <w:rPr>
          <w:rFonts w:asciiTheme="majorHAnsi" w:hAnsiTheme="majorHAnsi"/>
          <w:sz w:val="20"/>
          <w:szCs w:val="20"/>
          <w:lang w:val="es-ES_tradnl"/>
        </w:rPr>
        <w:t xml:space="preserve"> los</w:t>
      </w:r>
      <w:r w:rsidR="00875281" w:rsidRPr="00006C2A">
        <w:rPr>
          <w:rFonts w:asciiTheme="majorHAnsi" w:hAnsiTheme="majorHAnsi"/>
          <w:sz w:val="20"/>
          <w:szCs w:val="20"/>
          <w:lang w:val="es-ES_tradnl"/>
        </w:rPr>
        <w:t xml:space="preserve"> </w:t>
      </w:r>
      <w:r w:rsidR="00D32E2C" w:rsidRPr="00006C2A">
        <w:rPr>
          <w:rFonts w:asciiTheme="majorHAnsi" w:hAnsiTheme="majorHAnsi"/>
          <w:sz w:val="20"/>
          <w:szCs w:val="20"/>
          <w:lang w:val="es-ES_tradnl"/>
        </w:rPr>
        <w:t xml:space="preserve">niños desde los </w:t>
      </w:r>
      <w:r w:rsidR="00623D28" w:rsidRPr="00006C2A">
        <w:rPr>
          <w:rFonts w:asciiTheme="majorHAnsi" w:hAnsiTheme="majorHAnsi"/>
          <w:sz w:val="20"/>
          <w:szCs w:val="20"/>
          <w:lang w:val="es-ES_tradnl"/>
        </w:rPr>
        <w:t>catorce</w:t>
      </w:r>
      <w:r w:rsidR="00D32E2C" w:rsidRPr="00006C2A">
        <w:rPr>
          <w:rFonts w:asciiTheme="majorHAnsi" w:hAnsiTheme="majorHAnsi"/>
          <w:sz w:val="20"/>
          <w:szCs w:val="20"/>
          <w:lang w:val="es-ES_tradnl"/>
        </w:rPr>
        <w:t xml:space="preserve"> a</w:t>
      </w:r>
      <w:r w:rsidR="00875281" w:rsidRPr="00006C2A">
        <w:rPr>
          <w:rFonts w:asciiTheme="majorHAnsi" w:hAnsiTheme="majorHAnsi"/>
          <w:sz w:val="20"/>
          <w:szCs w:val="20"/>
          <w:lang w:val="es-ES_tradnl"/>
        </w:rPr>
        <w:t>ñ</w:t>
      </w:r>
      <w:r w:rsidR="00D32E2C" w:rsidRPr="00006C2A">
        <w:rPr>
          <w:rFonts w:asciiTheme="majorHAnsi" w:hAnsiTheme="majorHAnsi"/>
          <w:sz w:val="20"/>
          <w:szCs w:val="20"/>
          <w:lang w:val="es-ES_tradnl"/>
        </w:rPr>
        <w:t>os, adultos mayores y personas enferma</w:t>
      </w:r>
      <w:r w:rsidR="00362F12" w:rsidRPr="00006C2A">
        <w:rPr>
          <w:rFonts w:asciiTheme="majorHAnsi" w:hAnsiTheme="majorHAnsi"/>
          <w:sz w:val="20"/>
          <w:szCs w:val="20"/>
          <w:lang w:val="es-ES_tradnl"/>
        </w:rPr>
        <w:t>s</w:t>
      </w:r>
      <w:r w:rsidR="00DC193A" w:rsidRPr="00006C2A">
        <w:rPr>
          <w:rFonts w:asciiTheme="majorHAnsi" w:hAnsiTheme="majorHAnsi"/>
          <w:sz w:val="20"/>
          <w:szCs w:val="20"/>
          <w:lang w:val="es-ES_tradnl"/>
        </w:rPr>
        <w:t>, tenían que patrullar armados día y noche en grupos de diez personas mientras e</w:t>
      </w:r>
      <w:r w:rsidR="00362F12" w:rsidRPr="00006C2A">
        <w:rPr>
          <w:rFonts w:asciiTheme="majorHAnsi" w:hAnsiTheme="majorHAnsi"/>
          <w:sz w:val="20"/>
          <w:szCs w:val="20"/>
          <w:lang w:val="es-ES_tradnl"/>
        </w:rPr>
        <w:t xml:space="preserve">ran </w:t>
      </w:r>
      <w:r w:rsidR="00F4248C" w:rsidRPr="00006C2A">
        <w:rPr>
          <w:rFonts w:asciiTheme="majorHAnsi" w:hAnsiTheme="majorHAnsi"/>
          <w:sz w:val="20"/>
          <w:szCs w:val="20"/>
          <w:lang w:val="es-ES_tradnl"/>
        </w:rPr>
        <w:t xml:space="preserve">vigilados </w:t>
      </w:r>
      <w:r w:rsidR="00362F12" w:rsidRPr="00006C2A">
        <w:rPr>
          <w:rFonts w:asciiTheme="majorHAnsi" w:hAnsiTheme="majorHAnsi"/>
          <w:sz w:val="20"/>
          <w:szCs w:val="20"/>
          <w:lang w:val="es-ES_tradnl"/>
        </w:rPr>
        <w:t xml:space="preserve">y controlados </w:t>
      </w:r>
      <w:r w:rsidR="00F4248C" w:rsidRPr="00006C2A">
        <w:rPr>
          <w:rFonts w:asciiTheme="majorHAnsi" w:hAnsiTheme="majorHAnsi"/>
          <w:sz w:val="20"/>
          <w:szCs w:val="20"/>
          <w:lang w:val="es-ES_tradnl"/>
        </w:rPr>
        <w:t xml:space="preserve">por los militares </w:t>
      </w:r>
      <w:r w:rsidR="00E43C50" w:rsidRPr="00006C2A">
        <w:rPr>
          <w:rFonts w:asciiTheme="majorHAnsi" w:hAnsiTheme="majorHAnsi"/>
          <w:sz w:val="20"/>
          <w:szCs w:val="20"/>
          <w:lang w:val="es-ES_tradnl"/>
        </w:rPr>
        <w:t>por medio de</w:t>
      </w:r>
      <w:r w:rsidR="00913423" w:rsidRPr="00006C2A">
        <w:rPr>
          <w:rFonts w:asciiTheme="majorHAnsi" w:hAnsiTheme="majorHAnsi"/>
          <w:sz w:val="20"/>
          <w:szCs w:val="20"/>
          <w:lang w:val="es-ES_tradnl"/>
        </w:rPr>
        <w:t xml:space="preserve"> </w:t>
      </w:r>
      <w:r w:rsidR="00F4248C" w:rsidRPr="00006C2A">
        <w:rPr>
          <w:rFonts w:asciiTheme="majorHAnsi" w:hAnsiTheme="majorHAnsi"/>
          <w:sz w:val="20"/>
          <w:szCs w:val="20"/>
          <w:lang w:val="es-ES_tradnl"/>
        </w:rPr>
        <w:t>vejámenes, insultos, castigos y amenazas</w:t>
      </w:r>
      <w:r w:rsidR="00991E15" w:rsidRPr="00006C2A">
        <w:rPr>
          <w:rFonts w:asciiTheme="majorHAnsi" w:hAnsiTheme="majorHAnsi"/>
          <w:sz w:val="20"/>
          <w:szCs w:val="20"/>
          <w:lang w:val="es-ES_tradnl"/>
        </w:rPr>
        <w:t>.</w:t>
      </w:r>
      <w:r w:rsidR="00362F12" w:rsidRPr="00006C2A">
        <w:rPr>
          <w:rFonts w:asciiTheme="majorHAnsi" w:hAnsiTheme="majorHAnsi"/>
          <w:sz w:val="20"/>
          <w:szCs w:val="20"/>
          <w:lang w:val="es-ES_tradnl"/>
        </w:rPr>
        <w:t xml:space="preserve"> </w:t>
      </w:r>
      <w:r w:rsidR="00991E15" w:rsidRPr="00006C2A">
        <w:rPr>
          <w:rFonts w:asciiTheme="majorHAnsi" w:hAnsiTheme="majorHAnsi"/>
          <w:sz w:val="20"/>
          <w:szCs w:val="20"/>
          <w:lang w:val="es-ES_tradnl"/>
        </w:rPr>
        <w:t xml:space="preserve">Además, </w:t>
      </w:r>
      <w:r w:rsidR="00362F12" w:rsidRPr="00006C2A">
        <w:rPr>
          <w:rFonts w:asciiTheme="majorHAnsi" w:hAnsiTheme="majorHAnsi"/>
          <w:sz w:val="20"/>
          <w:szCs w:val="20"/>
          <w:lang w:val="es-ES_tradnl"/>
        </w:rPr>
        <w:t>t</w:t>
      </w:r>
      <w:r w:rsidR="00875281" w:rsidRPr="00006C2A">
        <w:rPr>
          <w:rFonts w:asciiTheme="majorHAnsi" w:hAnsiTheme="majorHAnsi"/>
          <w:sz w:val="20"/>
          <w:szCs w:val="20"/>
          <w:lang w:val="es-ES_tradnl"/>
        </w:rPr>
        <w:t>en</w:t>
      </w:r>
      <w:r w:rsidR="00362F12" w:rsidRPr="00006C2A">
        <w:rPr>
          <w:rFonts w:asciiTheme="majorHAnsi" w:hAnsiTheme="majorHAnsi"/>
          <w:sz w:val="20"/>
          <w:szCs w:val="20"/>
          <w:lang w:val="es-ES_tradnl"/>
        </w:rPr>
        <w:t>í</w:t>
      </w:r>
      <w:r w:rsidR="00875281" w:rsidRPr="00006C2A">
        <w:rPr>
          <w:rFonts w:asciiTheme="majorHAnsi" w:hAnsiTheme="majorHAnsi"/>
          <w:sz w:val="20"/>
          <w:szCs w:val="20"/>
          <w:lang w:val="es-ES_tradnl"/>
        </w:rPr>
        <w:t>an que pedir permi</w:t>
      </w:r>
      <w:r w:rsidR="00362F12" w:rsidRPr="00006C2A">
        <w:rPr>
          <w:rFonts w:asciiTheme="majorHAnsi" w:hAnsiTheme="majorHAnsi"/>
          <w:sz w:val="20"/>
          <w:szCs w:val="20"/>
          <w:lang w:val="es-ES_tradnl"/>
        </w:rPr>
        <w:t>s</w:t>
      </w:r>
      <w:r w:rsidR="00875281" w:rsidRPr="00006C2A">
        <w:rPr>
          <w:rFonts w:asciiTheme="majorHAnsi" w:hAnsiTheme="majorHAnsi"/>
          <w:sz w:val="20"/>
          <w:szCs w:val="20"/>
          <w:lang w:val="es-ES_tradnl"/>
        </w:rPr>
        <w:t xml:space="preserve">o para poder salir de la comunidad </w:t>
      </w:r>
      <w:r w:rsidR="00362F12" w:rsidRPr="00006C2A">
        <w:rPr>
          <w:rFonts w:asciiTheme="majorHAnsi" w:hAnsiTheme="majorHAnsi"/>
          <w:sz w:val="20"/>
          <w:szCs w:val="20"/>
          <w:lang w:val="es-ES_tradnl"/>
        </w:rPr>
        <w:t xml:space="preserve">pudiendo </w:t>
      </w:r>
      <w:r w:rsidR="00991E15" w:rsidRPr="00006C2A">
        <w:rPr>
          <w:rFonts w:asciiTheme="majorHAnsi" w:hAnsiTheme="majorHAnsi"/>
          <w:sz w:val="20"/>
          <w:szCs w:val="20"/>
          <w:lang w:val="es-ES_tradnl"/>
        </w:rPr>
        <w:t>hacerlo</w:t>
      </w:r>
      <w:r w:rsidR="00362F12" w:rsidRPr="00006C2A">
        <w:rPr>
          <w:rFonts w:asciiTheme="majorHAnsi" w:hAnsiTheme="majorHAnsi"/>
          <w:sz w:val="20"/>
          <w:szCs w:val="20"/>
          <w:lang w:val="es-ES_tradnl"/>
        </w:rPr>
        <w:t xml:space="preserve"> solo </w:t>
      </w:r>
      <w:r w:rsidR="00875281" w:rsidRPr="00006C2A">
        <w:rPr>
          <w:rFonts w:asciiTheme="majorHAnsi" w:hAnsiTheme="majorHAnsi"/>
          <w:sz w:val="20"/>
          <w:szCs w:val="20"/>
          <w:lang w:val="es-ES_tradnl"/>
        </w:rPr>
        <w:t>aquellos que tenían una identificación</w:t>
      </w:r>
      <w:r w:rsidR="00362F12" w:rsidRPr="00006C2A">
        <w:rPr>
          <w:rFonts w:asciiTheme="majorHAnsi" w:hAnsiTheme="majorHAnsi"/>
          <w:sz w:val="20"/>
          <w:szCs w:val="20"/>
          <w:lang w:val="es-ES_tradnl"/>
        </w:rPr>
        <w:t xml:space="preserve">; y una vez al mes </w:t>
      </w:r>
      <w:r w:rsidR="00D32E2C" w:rsidRPr="00006C2A">
        <w:rPr>
          <w:rFonts w:asciiTheme="majorHAnsi" w:hAnsiTheme="majorHAnsi"/>
          <w:sz w:val="20"/>
          <w:szCs w:val="20"/>
          <w:lang w:val="es-ES_tradnl"/>
        </w:rPr>
        <w:t>un encargado de</w:t>
      </w:r>
      <w:r w:rsidR="00362F12" w:rsidRPr="00006C2A">
        <w:rPr>
          <w:rFonts w:asciiTheme="majorHAnsi" w:hAnsiTheme="majorHAnsi"/>
          <w:sz w:val="20"/>
          <w:szCs w:val="20"/>
          <w:lang w:val="es-ES_tradnl"/>
        </w:rPr>
        <w:t xml:space="preserve"> </w:t>
      </w:r>
      <w:r w:rsidR="00D32E2C" w:rsidRPr="00006C2A">
        <w:rPr>
          <w:rFonts w:asciiTheme="majorHAnsi" w:hAnsiTheme="majorHAnsi"/>
          <w:sz w:val="20"/>
          <w:szCs w:val="20"/>
          <w:lang w:val="es-ES_tradnl"/>
        </w:rPr>
        <w:t>la comunidad</w:t>
      </w:r>
      <w:r w:rsidR="00362F12" w:rsidRPr="00006C2A">
        <w:rPr>
          <w:rFonts w:asciiTheme="majorHAnsi" w:hAnsiTheme="majorHAnsi"/>
          <w:sz w:val="20"/>
          <w:szCs w:val="20"/>
          <w:lang w:val="es-ES_tradnl"/>
        </w:rPr>
        <w:t xml:space="preserve"> tenía que </w:t>
      </w:r>
      <w:r w:rsidR="0062313D" w:rsidRPr="00006C2A">
        <w:rPr>
          <w:rFonts w:asciiTheme="majorHAnsi" w:hAnsiTheme="majorHAnsi"/>
          <w:sz w:val="20"/>
          <w:szCs w:val="20"/>
          <w:lang w:val="es-ES_tradnl"/>
        </w:rPr>
        <w:t xml:space="preserve">acudir </w:t>
      </w:r>
      <w:r w:rsidR="00D32E2C" w:rsidRPr="00006C2A">
        <w:rPr>
          <w:rFonts w:asciiTheme="majorHAnsi" w:hAnsiTheme="majorHAnsi"/>
          <w:sz w:val="20"/>
          <w:szCs w:val="20"/>
          <w:lang w:val="es-ES_tradnl"/>
        </w:rPr>
        <w:t xml:space="preserve">a la zona militar de Cobán </w:t>
      </w:r>
      <w:r w:rsidR="00913423" w:rsidRPr="00006C2A">
        <w:rPr>
          <w:rFonts w:asciiTheme="majorHAnsi" w:hAnsiTheme="majorHAnsi"/>
          <w:sz w:val="20"/>
          <w:szCs w:val="20"/>
          <w:lang w:val="es-ES_tradnl"/>
        </w:rPr>
        <w:t xml:space="preserve">para </w:t>
      </w:r>
      <w:r w:rsidR="00362F12" w:rsidRPr="00006C2A">
        <w:rPr>
          <w:rFonts w:asciiTheme="majorHAnsi" w:hAnsiTheme="majorHAnsi"/>
          <w:sz w:val="20"/>
          <w:szCs w:val="20"/>
          <w:lang w:val="es-ES_tradnl"/>
        </w:rPr>
        <w:t xml:space="preserve">entregar un </w:t>
      </w:r>
      <w:r w:rsidR="00D32E2C" w:rsidRPr="00006C2A">
        <w:rPr>
          <w:rFonts w:asciiTheme="majorHAnsi" w:hAnsiTheme="majorHAnsi"/>
          <w:sz w:val="20"/>
          <w:szCs w:val="20"/>
          <w:lang w:val="es-ES_tradnl"/>
        </w:rPr>
        <w:t>reporte</w:t>
      </w:r>
      <w:r w:rsidR="00362F12" w:rsidRPr="00006C2A">
        <w:rPr>
          <w:rFonts w:asciiTheme="majorHAnsi" w:hAnsiTheme="majorHAnsi"/>
          <w:sz w:val="20"/>
          <w:szCs w:val="20"/>
          <w:lang w:val="es-ES_tradnl"/>
        </w:rPr>
        <w:t>. Sostiene</w:t>
      </w:r>
      <w:r w:rsidR="0062313D" w:rsidRPr="00006C2A">
        <w:rPr>
          <w:rFonts w:asciiTheme="majorHAnsi" w:hAnsiTheme="majorHAnsi"/>
          <w:sz w:val="20"/>
          <w:szCs w:val="20"/>
          <w:lang w:val="es-ES_tradnl"/>
        </w:rPr>
        <w:t>n</w:t>
      </w:r>
      <w:r w:rsidR="00D5675E" w:rsidRPr="00006C2A">
        <w:rPr>
          <w:rFonts w:asciiTheme="majorHAnsi" w:hAnsiTheme="majorHAnsi"/>
          <w:sz w:val="20"/>
          <w:szCs w:val="20"/>
          <w:lang w:val="es-ES_tradnl"/>
        </w:rPr>
        <w:t xml:space="preserve"> </w:t>
      </w:r>
      <w:r w:rsidR="00362F12" w:rsidRPr="00006C2A">
        <w:rPr>
          <w:rFonts w:asciiTheme="majorHAnsi" w:hAnsiTheme="majorHAnsi"/>
          <w:sz w:val="20"/>
          <w:szCs w:val="20"/>
          <w:lang w:val="es-ES_tradnl"/>
        </w:rPr>
        <w:t>que e</w:t>
      </w:r>
      <w:r w:rsidR="00875281" w:rsidRPr="00006C2A">
        <w:rPr>
          <w:rFonts w:asciiTheme="majorHAnsi" w:hAnsiTheme="majorHAnsi"/>
          <w:sz w:val="20"/>
          <w:szCs w:val="20"/>
          <w:lang w:val="es-ES_tradnl"/>
        </w:rPr>
        <w:t xml:space="preserve">l </w:t>
      </w:r>
      <w:r w:rsidR="00C6119C" w:rsidRPr="00006C2A">
        <w:rPr>
          <w:rFonts w:asciiTheme="majorHAnsi" w:hAnsiTheme="majorHAnsi"/>
          <w:sz w:val="20"/>
          <w:szCs w:val="20"/>
          <w:lang w:val="es-ES_tradnl"/>
        </w:rPr>
        <w:t>e</w:t>
      </w:r>
      <w:r w:rsidR="00875281" w:rsidRPr="00006C2A">
        <w:rPr>
          <w:rFonts w:asciiTheme="majorHAnsi" w:hAnsiTheme="majorHAnsi"/>
          <w:sz w:val="20"/>
          <w:szCs w:val="20"/>
          <w:lang w:val="es-ES_tradnl"/>
        </w:rPr>
        <w:t>j</w:t>
      </w:r>
      <w:r w:rsidR="00362F12" w:rsidRPr="00006C2A">
        <w:rPr>
          <w:rFonts w:asciiTheme="majorHAnsi" w:hAnsiTheme="majorHAnsi"/>
          <w:sz w:val="20"/>
          <w:szCs w:val="20"/>
          <w:lang w:val="es-ES_tradnl"/>
        </w:rPr>
        <w:t>é</w:t>
      </w:r>
      <w:r w:rsidR="00875281" w:rsidRPr="00006C2A">
        <w:rPr>
          <w:rFonts w:asciiTheme="majorHAnsi" w:hAnsiTheme="majorHAnsi"/>
          <w:sz w:val="20"/>
          <w:szCs w:val="20"/>
          <w:lang w:val="es-ES_tradnl"/>
        </w:rPr>
        <w:t xml:space="preserve">rcito </w:t>
      </w:r>
      <w:r w:rsidR="00362F12" w:rsidRPr="00006C2A">
        <w:rPr>
          <w:rFonts w:asciiTheme="majorHAnsi" w:hAnsiTheme="majorHAnsi"/>
          <w:sz w:val="20"/>
          <w:szCs w:val="20"/>
          <w:lang w:val="es-ES_tradnl"/>
        </w:rPr>
        <w:t xml:space="preserve">permaneció en la </w:t>
      </w:r>
      <w:r w:rsidR="00913423" w:rsidRPr="00006C2A">
        <w:rPr>
          <w:rFonts w:asciiTheme="majorHAnsi" w:hAnsiTheme="majorHAnsi"/>
          <w:sz w:val="20"/>
          <w:szCs w:val="20"/>
          <w:lang w:val="es-ES_tradnl"/>
        </w:rPr>
        <w:t>a</w:t>
      </w:r>
      <w:r w:rsidR="00362F12" w:rsidRPr="00006C2A">
        <w:rPr>
          <w:rFonts w:asciiTheme="majorHAnsi" w:hAnsiTheme="majorHAnsi"/>
          <w:sz w:val="20"/>
          <w:szCs w:val="20"/>
          <w:lang w:val="es-ES_tradnl"/>
        </w:rPr>
        <w:t xml:space="preserve">ldea </w:t>
      </w:r>
      <w:r w:rsidR="00BE1AEA" w:rsidRPr="00006C2A">
        <w:rPr>
          <w:rFonts w:asciiTheme="majorHAnsi" w:hAnsiTheme="majorHAnsi"/>
          <w:sz w:val="20"/>
          <w:szCs w:val="20"/>
          <w:lang w:val="es-ES_tradnl"/>
        </w:rPr>
        <w:t>durante diez</w:t>
      </w:r>
      <w:r w:rsidR="00362F12" w:rsidRPr="00006C2A">
        <w:rPr>
          <w:rFonts w:asciiTheme="majorHAnsi" w:hAnsiTheme="majorHAnsi"/>
          <w:sz w:val="20"/>
          <w:szCs w:val="20"/>
          <w:lang w:val="es-ES_tradnl"/>
        </w:rPr>
        <w:t xml:space="preserve"> </w:t>
      </w:r>
      <w:r w:rsidR="00875281" w:rsidRPr="00006C2A">
        <w:rPr>
          <w:rFonts w:asciiTheme="majorHAnsi" w:hAnsiTheme="majorHAnsi"/>
          <w:sz w:val="20"/>
          <w:szCs w:val="20"/>
          <w:lang w:val="es-ES_tradnl"/>
        </w:rPr>
        <w:t>meses</w:t>
      </w:r>
      <w:r w:rsidR="00BE1AEA" w:rsidRPr="00006C2A">
        <w:rPr>
          <w:rFonts w:asciiTheme="majorHAnsi" w:hAnsiTheme="majorHAnsi"/>
          <w:sz w:val="20"/>
          <w:szCs w:val="20"/>
          <w:lang w:val="es-ES_tradnl"/>
        </w:rPr>
        <w:t>;</w:t>
      </w:r>
      <w:r w:rsidR="00875281" w:rsidRPr="00006C2A">
        <w:rPr>
          <w:rFonts w:asciiTheme="majorHAnsi" w:hAnsiTheme="majorHAnsi"/>
          <w:sz w:val="20"/>
          <w:szCs w:val="20"/>
          <w:lang w:val="es-ES_tradnl"/>
        </w:rPr>
        <w:t xml:space="preserve"> </w:t>
      </w:r>
      <w:r w:rsidR="00362F12" w:rsidRPr="00006C2A">
        <w:rPr>
          <w:rFonts w:asciiTheme="majorHAnsi" w:hAnsiTheme="majorHAnsi"/>
          <w:sz w:val="20"/>
          <w:szCs w:val="20"/>
          <w:lang w:val="es-ES_tradnl"/>
        </w:rPr>
        <w:t>sin embargo</w:t>
      </w:r>
      <w:r w:rsidR="0062313D" w:rsidRPr="00006C2A">
        <w:rPr>
          <w:rFonts w:asciiTheme="majorHAnsi" w:hAnsiTheme="majorHAnsi"/>
          <w:sz w:val="20"/>
          <w:szCs w:val="20"/>
          <w:lang w:val="es-ES_tradnl"/>
        </w:rPr>
        <w:t>,</w:t>
      </w:r>
      <w:r w:rsidR="00362F12" w:rsidRPr="00006C2A">
        <w:rPr>
          <w:rFonts w:asciiTheme="majorHAnsi" w:hAnsiTheme="majorHAnsi"/>
          <w:sz w:val="20"/>
          <w:szCs w:val="20"/>
          <w:lang w:val="es-ES_tradnl"/>
        </w:rPr>
        <w:t xml:space="preserve"> tuvieron que seguir patrullando </w:t>
      </w:r>
      <w:r w:rsidR="00D657C9" w:rsidRPr="00006C2A">
        <w:rPr>
          <w:rFonts w:asciiTheme="majorHAnsi" w:hAnsiTheme="majorHAnsi"/>
          <w:sz w:val="20"/>
          <w:szCs w:val="20"/>
          <w:lang w:val="es-ES_tradnl"/>
        </w:rPr>
        <w:t>hasta mayo de 199</w:t>
      </w:r>
      <w:r w:rsidR="00362F12" w:rsidRPr="00006C2A">
        <w:rPr>
          <w:rFonts w:asciiTheme="majorHAnsi" w:hAnsiTheme="majorHAnsi"/>
          <w:sz w:val="20"/>
          <w:szCs w:val="20"/>
          <w:lang w:val="es-ES_tradnl"/>
        </w:rPr>
        <w:t>6</w:t>
      </w:r>
      <w:r w:rsidR="00257AF1" w:rsidRPr="00006C2A">
        <w:rPr>
          <w:rFonts w:asciiTheme="majorHAnsi" w:hAnsiTheme="majorHAnsi"/>
          <w:sz w:val="20"/>
          <w:szCs w:val="20"/>
          <w:lang w:val="es-ES_tradnl"/>
        </w:rPr>
        <w:t xml:space="preserve">. Durante todo ese </w:t>
      </w:r>
      <w:r w:rsidR="00913423" w:rsidRPr="00006C2A">
        <w:rPr>
          <w:rFonts w:asciiTheme="majorHAnsi" w:hAnsiTheme="majorHAnsi"/>
          <w:sz w:val="20"/>
          <w:szCs w:val="20"/>
          <w:lang w:val="es-ES_tradnl"/>
        </w:rPr>
        <w:t xml:space="preserve">tiempo </w:t>
      </w:r>
      <w:r w:rsidR="00257AF1" w:rsidRPr="00006C2A">
        <w:rPr>
          <w:rFonts w:asciiTheme="majorHAnsi" w:hAnsiTheme="majorHAnsi"/>
          <w:sz w:val="20"/>
          <w:szCs w:val="20"/>
          <w:lang w:val="es-ES_tradnl"/>
        </w:rPr>
        <w:t>las presuntas víctimas fueron</w:t>
      </w:r>
      <w:r w:rsidR="00362F12" w:rsidRPr="00006C2A">
        <w:rPr>
          <w:rFonts w:asciiTheme="majorHAnsi" w:hAnsiTheme="majorHAnsi"/>
          <w:sz w:val="20"/>
          <w:szCs w:val="20"/>
          <w:lang w:val="es-ES_tradnl"/>
        </w:rPr>
        <w:t xml:space="preserve"> forzad</w:t>
      </w:r>
      <w:r w:rsidR="00257AF1" w:rsidRPr="00006C2A">
        <w:rPr>
          <w:rFonts w:asciiTheme="majorHAnsi" w:hAnsiTheme="majorHAnsi"/>
          <w:sz w:val="20"/>
          <w:szCs w:val="20"/>
          <w:lang w:val="es-ES_tradnl"/>
        </w:rPr>
        <w:t>a</w:t>
      </w:r>
      <w:r w:rsidR="00362F12" w:rsidRPr="00006C2A">
        <w:rPr>
          <w:rFonts w:asciiTheme="majorHAnsi" w:hAnsiTheme="majorHAnsi"/>
          <w:sz w:val="20"/>
          <w:szCs w:val="20"/>
          <w:lang w:val="es-ES_tradnl"/>
        </w:rPr>
        <w:t>s a vivir en condiciones contrarias a su cultura y costumbres</w:t>
      </w:r>
      <w:r w:rsidR="00B8653E" w:rsidRPr="00006C2A">
        <w:rPr>
          <w:rFonts w:asciiTheme="majorHAnsi" w:hAnsiTheme="majorHAnsi"/>
          <w:sz w:val="20"/>
          <w:szCs w:val="20"/>
          <w:lang w:val="es-ES_tradnl"/>
        </w:rPr>
        <w:t>.</w:t>
      </w:r>
      <w:r w:rsidRPr="00006C2A">
        <w:rPr>
          <w:rFonts w:asciiTheme="majorHAnsi" w:hAnsiTheme="majorHAnsi"/>
          <w:sz w:val="20"/>
          <w:szCs w:val="20"/>
          <w:lang w:val="es-ES_tradnl"/>
        </w:rPr>
        <w:t xml:space="preserve"> </w:t>
      </w:r>
      <w:r w:rsidR="00257AF1" w:rsidRPr="00006C2A">
        <w:rPr>
          <w:rFonts w:asciiTheme="majorHAnsi" w:hAnsiTheme="majorHAnsi"/>
          <w:sz w:val="20"/>
          <w:szCs w:val="20"/>
          <w:lang w:val="es-ES_tradnl"/>
        </w:rPr>
        <w:t>A</w:t>
      </w:r>
      <w:r w:rsidRPr="00006C2A">
        <w:rPr>
          <w:rFonts w:asciiTheme="majorHAnsi" w:hAnsiTheme="majorHAnsi"/>
          <w:sz w:val="20"/>
          <w:szCs w:val="20"/>
          <w:lang w:val="es-ES_tradnl"/>
        </w:rPr>
        <w:t xml:space="preserve">legan </w:t>
      </w:r>
      <w:r w:rsidR="00257AF1" w:rsidRPr="00006C2A">
        <w:rPr>
          <w:rFonts w:asciiTheme="majorHAnsi" w:hAnsiTheme="majorHAnsi"/>
          <w:sz w:val="20"/>
          <w:szCs w:val="20"/>
          <w:lang w:val="es-ES_tradnl"/>
        </w:rPr>
        <w:t xml:space="preserve">además </w:t>
      </w:r>
      <w:r w:rsidRPr="00006C2A">
        <w:rPr>
          <w:rFonts w:asciiTheme="majorHAnsi" w:hAnsiTheme="majorHAnsi"/>
          <w:sz w:val="20"/>
          <w:szCs w:val="20"/>
          <w:lang w:val="es-ES_tradnl"/>
        </w:rPr>
        <w:t xml:space="preserve">que el Estado no ha iniciado una investigación efectiva de </w:t>
      </w:r>
      <w:r w:rsidR="00257AF1" w:rsidRPr="00006C2A">
        <w:rPr>
          <w:rFonts w:asciiTheme="majorHAnsi" w:hAnsiTheme="majorHAnsi"/>
          <w:sz w:val="20"/>
          <w:szCs w:val="20"/>
          <w:lang w:val="es-ES_tradnl"/>
        </w:rPr>
        <w:t>estos hechos;</w:t>
      </w:r>
      <w:r w:rsidRPr="00006C2A">
        <w:rPr>
          <w:rFonts w:asciiTheme="majorHAnsi" w:hAnsiTheme="majorHAnsi"/>
          <w:sz w:val="20"/>
          <w:szCs w:val="20"/>
          <w:lang w:val="es-ES_tradnl"/>
        </w:rPr>
        <w:t xml:space="preserve"> </w:t>
      </w:r>
      <w:r w:rsidR="00257AF1" w:rsidRPr="00006C2A">
        <w:rPr>
          <w:rFonts w:asciiTheme="majorHAnsi" w:hAnsiTheme="majorHAnsi"/>
          <w:sz w:val="20"/>
          <w:szCs w:val="20"/>
          <w:lang w:val="es-ES_tradnl"/>
        </w:rPr>
        <w:t>e i</w:t>
      </w:r>
      <w:r w:rsidRPr="00006C2A">
        <w:rPr>
          <w:rFonts w:asciiTheme="majorHAnsi" w:hAnsiTheme="majorHAnsi"/>
          <w:sz w:val="20"/>
          <w:szCs w:val="20"/>
          <w:lang w:val="es-ES_tradnl"/>
        </w:rPr>
        <w:t>ndican –sin dar mayor</w:t>
      </w:r>
      <w:r w:rsidR="00257AF1" w:rsidRPr="00006C2A">
        <w:rPr>
          <w:rFonts w:asciiTheme="majorHAnsi" w:hAnsiTheme="majorHAnsi"/>
          <w:sz w:val="20"/>
          <w:szCs w:val="20"/>
          <w:lang w:val="es-ES_tradnl"/>
        </w:rPr>
        <w:t>es</w:t>
      </w:r>
      <w:r w:rsidRPr="00006C2A">
        <w:rPr>
          <w:rFonts w:asciiTheme="majorHAnsi" w:hAnsiTheme="majorHAnsi"/>
          <w:sz w:val="20"/>
          <w:szCs w:val="20"/>
          <w:lang w:val="es-ES_tradnl"/>
        </w:rPr>
        <w:t xml:space="preserve"> detalle</w:t>
      </w:r>
      <w:r w:rsidR="00257AF1" w:rsidRPr="00006C2A">
        <w:rPr>
          <w:rFonts w:asciiTheme="majorHAnsi" w:hAnsiTheme="majorHAnsi"/>
          <w:sz w:val="20"/>
          <w:szCs w:val="20"/>
          <w:lang w:val="es-ES_tradnl"/>
        </w:rPr>
        <w:t>s</w:t>
      </w:r>
      <w:r w:rsidRPr="00006C2A">
        <w:rPr>
          <w:rFonts w:asciiTheme="majorHAnsi" w:hAnsiTheme="majorHAnsi"/>
          <w:sz w:val="20"/>
          <w:szCs w:val="20"/>
          <w:lang w:val="es-ES_tradnl"/>
        </w:rPr>
        <w:t>– que les “</w:t>
      </w:r>
      <w:r w:rsidRPr="00006C2A">
        <w:rPr>
          <w:rFonts w:asciiTheme="majorHAnsi" w:hAnsiTheme="majorHAnsi"/>
          <w:i/>
          <w:iCs/>
          <w:sz w:val="20"/>
          <w:szCs w:val="20"/>
          <w:lang w:val="es-ES_tradnl"/>
        </w:rPr>
        <w:t>bloquean los intentos de buscar una justicia plena, eficiente y eficaz</w:t>
      </w:r>
      <w:r w:rsidRPr="00006C2A">
        <w:rPr>
          <w:rFonts w:asciiTheme="majorHAnsi" w:hAnsiTheme="majorHAnsi"/>
          <w:sz w:val="20"/>
          <w:szCs w:val="20"/>
          <w:lang w:val="es-ES_tradnl"/>
        </w:rPr>
        <w:t xml:space="preserve">”. </w:t>
      </w:r>
    </w:p>
    <w:p w14:paraId="6ED5D38A" w14:textId="77777777" w:rsidR="00C55372" w:rsidRPr="00006C2A" w:rsidRDefault="00C55372" w:rsidP="00C5537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66A46E47" w14:textId="4C3EA531" w:rsidR="007B2CDF" w:rsidRPr="00006C2A" w:rsidRDefault="007C07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_tradnl"/>
        </w:rPr>
      </w:pPr>
      <w:r w:rsidRPr="00006C2A">
        <w:rPr>
          <w:rFonts w:asciiTheme="majorHAnsi" w:hAnsiTheme="majorHAnsi"/>
          <w:sz w:val="20"/>
          <w:szCs w:val="20"/>
          <w:lang w:val="es-ES_tradnl"/>
        </w:rPr>
        <w:t xml:space="preserve">Frente a </w:t>
      </w:r>
      <w:r w:rsidR="00257AF1" w:rsidRPr="00006C2A">
        <w:rPr>
          <w:rFonts w:asciiTheme="majorHAnsi" w:hAnsiTheme="majorHAnsi"/>
          <w:sz w:val="20"/>
          <w:szCs w:val="20"/>
          <w:lang w:val="es-ES_tradnl"/>
        </w:rPr>
        <w:t>estos</w:t>
      </w:r>
      <w:r w:rsidRPr="00006C2A">
        <w:rPr>
          <w:rFonts w:asciiTheme="majorHAnsi" w:hAnsiTheme="majorHAnsi"/>
          <w:sz w:val="20"/>
          <w:szCs w:val="20"/>
          <w:lang w:val="es-ES_tradnl"/>
        </w:rPr>
        <w:t xml:space="preserve"> hechos los peticionarios</w:t>
      </w:r>
      <w:r w:rsidR="00B8653E" w:rsidRPr="00006C2A">
        <w:rPr>
          <w:rFonts w:asciiTheme="majorHAnsi" w:hAnsiTheme="majorHAnsi"/>
          <w:sz w:val="20"/>
          <w:szCs w:val="20"/>
          <w:lang w:val="es-ES_tradnl"/>
        </w:rPr>
        <w:t xml:space="preserve"> </w:t>
      </w:r>
      <w:r w:rsidRPr="00006C2A">
        <w:rPr>
          <w:rFonts w:asciiTheme="majorHAnsi" w:hAnsiTheme="majorHAnsi"/>
          <w:sz w:val="20"/>
          <w:szCs w:val="20"/>
          <w:lang w:val="es-ES_tradnl"/>
        </w:rPr>
        <w:t xml:space="preserve">alegan </w:t>
      </w:r>
      <w:r w:rsidR="00FD3A8F" w:rsidRPr="00006C2A">
        <w:rPr>
          <w:rFonts w:asciiTheme="majorHAnsi" w:hAnsiTheme="majorHAnsi"/>
          <w:sz w:val="20"/>
          <w:szCs w:val="20"/>
          <w:lang w:val="es-ES_tradnl"/>
        </w:rPr>
        <w:t>–</w:t>
      </w:r>
      <w:r w:rsidR="00B514E6" w:rsidRPr="00006C2A">
        <w:rPr>
          <w:rFonts w:asciiTheme="majorHAnsi" w:hAnsiTheme="majorHAnsi"/>
          <w:sz w:val="20"/>
          <w:szCs w:val="20"/>
          <w:lang w:val="es-ES_tradnl"/>
        </w:rPr>
        <w:t xml:space="preserve">sin </w:t>
      </w:r>
      <w:r w:rsidR="00D5675E" w:rsidRPr="00006C2A">
        <w:rPr>
          <w:rFonts w:asciiTheme="majorHAnsi" w:hAnsiTheme="majorHAnsi"/>
          <w:sz w:val="20"/>
          <w:szCs w:val="20"/>
          <w:lang w:val="es-ES_tradnl"/>
        </w:rPr>
        <w:t>aporta</w:t>
      </w:r>
      <w:r w:rsidR="00B514E6" w:rsidRPr="00006C2A">
        <w:rPr>
          <w:rFonts w:asciiTheme="majorHAnsi" w:hAnsiTheme="majorHAnsi"/>
          <w:sz w:val="20"/>
          <w:szCs w:val="20"/>
          <w:lang w:val="es-ES_tradnl"/>
        </w:rPr>
        <w:t xml:space="preserve">r </w:t>
      </w:r>
      <w:r w:rsidR="00D5675E" w:rsidRPr="00006C2A">
        <w:rPr>
          <w:rFonts w:asciiTheme="majorHAnsi" w:hAnsiTheme="majorHAnsi"/>
          <w:sz w:val="20"/>
          <w:szCs w:val="20"/>
          <w:lang w:val="es-ES_tradnl"/>
        </w:rPr>
        <w:t>información específica</w:t>
      </w:r>
      <w:r w:rsidR="00FD3A8F" w:rsidRPr="00006C2A">
        <w:rPr>
          <w:rFonts w:asciiTheme="majorHAnsi" w:hAnsiTheme="majorHAnsi"/>
          <w:sz w:val="20"/>
          <w:szCs w:val="20"/>
          <w:lang w:val="es-ES_tradnl"/>
        </w:rPr>
        <w:t>–</w:t>
      </w:r>
      <w:r w:rsidR="00D5675E" w:rsidRPr="00006C2A">
        <w:rPr>
          <w:rFonts w:asciiTheme="majorHAnsi" w:hAnsiTheme="majorHAnsi"/>
          <w:sz w:val="20"/>
          <w:szCs w:val="20"/>
          <w:lang w:val="es-ES_tradnl"/>
        </w:rPr>
        <w:t xml:space="preserve"> </w:t>
      </w:r>
      <w:r w:rsidR="005E47E2" w:rsidRPr="00006C2A">
        <w:rPr>
          <w:rFonts w:asciiTheme="majorHAnsi" w:hAnsiTheme="majorHAnsi"/>
          <w:sz w:val="20"/>
          <w:szCs w:val="20"/>
          <w:lang w:val="es-ES_tradnl"/>
        </w:rPr>
        <w:t xml:space="preserve">que </w:t>
      </w:r>
      <w:r w:rsidR="00417193" w:rsidRPr="00006C2A">
        <w:rPr>
          <w:rFonts w:asciiTheme="majorHAnsi" w:hAnsiTheme="majorHAnsi"/>
          <w:sz w:val="20"/>
          <w:szCs w:val="20"/>
          <w:lang w:val="es-ES_tradnl"/>
        </w:rPr>
        <w:t>luego de</w:t>
      </w:r>
      <w:r w:rsidR="00B8653E" w:rsidRPr="00006C2A">
        <w:rPr>
          <w:rFonts w:asciiTheme="majorHAnsi" w:hAnsiTheme="majorHAnsi"/>
          <w:sz w:val="20"/>
          <w:szCs w:val="20"/>
          <w:lang w:val="es-ES_tradnl"/>
        </w:rPr>
        <w:t xml:space="preserve"> la instalación del Programa Nacional de Resarcimiento (en adelante “PNR</w:t>
      </w:r>
      <w:r w:rsidR="00D5675E" w:rsidRPr="00006C2A">
        <w:rPr>
          <w:rFonts w:asciiTheme="majorHAnsi" w:hAnsiTheme="majorHAnsi"/>
          <w:sz w:val="20"/>
          <w:szCs w:val="20"/>
          <w:lang w:val="es-ES_tradnl"/>
        </w:rPr>
        <w:t>”</w:t>
      </w:r>
      <w:r w:rsidR="00B8653E" w:rsidRPr="00006C2A">
        <w:rPr>
          <w:rFonts w:asciiTheme="majorHAnsi" w:hAnsiTheme="majorHAnsi"/>
          <w:sz w:val="20"/>
          <w:szCs w:val="20"/>
          <w:lang w:val="es-ES_tradnl"/>
        </w:rPr>
        <w:t xml:space="preserve">), las presuntas víctimas </w:t>
      </w:r>
      <w:r w:rsidR="0041347F" w:rsidRPr="00006C2A">
        <w:rPr>
          <w:rFonts w:asciiTheme="majorHAnsi" w:hAnsiTheme="majorHAnsi"/>
          <w:sz w:val="20"/>
          <w:szCs w:val="20"/>
          <w:lang w:val="es-ES_tradnl"/>
        </w:rPr>
        <w:t xml:space="preserve">interpusieron </w:t>
      </w:r>
      <w:r w:rsidR="007C087B" w:rsidRPr="00006C2A">
        <w:rPr>
          <w:rFonts w:asciiTheme="majorHAnsi" w:hAnsiTheme="majorHAnsi"/>
          <w:sz w:val="20"/>
          <w:szCs w:val="20"/>
          <w:lang w:val="es-ES_tradnl"/>
        </w:rPr>
        <w:t>solicitud</w:t>
      </w:r>
      <w:r w:rsidR="00651E7E" w:rsidRPr="00006C2A">
        <w:rPr>
          <w:rFonts w:asciiTheme="majorHAnsi" w:hAnsiTheme="majorHAnsi"/>
          <w:sz w:val="20"/>
          <w:szCs w:val="20"/>
          <w:lang w:val="es-ES_tradnl"/>
        </w:rPr>
        <w:t xml:space="preserve">es </w:t>
      </w:r>
      <w:r w:rsidR="007C087B" w:rsidRPr="00006C2A">
        <w:rPr>
          <w:rFonts w:asciiTheme="majorHAnsi" w:hAnsiTheme="majorHAnsi"/>
          <w:sz w:val="20"/>
          <w:szCs w:val="20"/>
          <w:lang w:val="es-ES_tradnl"/>
        </w:rPr>
        <w:t>individuales</w:t>
      </w:r>
      <w:r w:rsidR="00867E39">
        <w:rPr>
          <w:rFonts w:asciiTheme="majorHAnsi" w:hAnsiTheme="majorHAnsi"/>
          <w:sz w:val="20"/>
          <w:szCs w:val="20"/>
          <w:lang w:val="es-ES_tradnl"/>
        </w:rPr>
        <w:t>.</w:t>
      </w:r>
      <w:r w:rsidR="00B8653E" w:rsidRPr="00006C2A">
        <w:rPr>
          <w:rFonts w:asciiTheme="majorHAnsi" w:hAnsiTheme="majorHAnsi"/>
          <w:sz w:val="20"/>
          <w:szCs w:val="20"/>
          <w:lang w:val="es-ES_tradnl"/>
        </w:rPr>
        <w:t xml:space="preserve"> </w:t>
      </w:r>
      <w:r w:rsidR="00867E39">
        <w:rPr>
          <w:rFonts w:asciiTheme="majorHAnsi" w:hAnsiTheme="majorHAnsi"/>
          <w:sz w:val="20"/>
          <w:szCs w:val="20"/>
          <w:lang w:val="es-ES_tradnl"/>
        </w:rPr>
        <w:t>S</w:t>
      </w:r>
      <w:r w:rsidR="00B8653E" w:rsidRPr="00006C2A">
        <w:rPr>
          <w:rFonts w:asciiTheme="majorHAnsi" w:hAnsiTheme="majorHAnsi"/>
          <w:sz w:val="20"/>
          <w:szCs w:val="20"/>
          <w:lang w:val="es-ES_tradnl"/>
        </w:rPr>
        <w:t>in embargo</w:t>
      </w:r>
      <w:r w:rsidR="003D28A6" w:rsidRPr="00006C2A">
        <w:rPr>
          <w:rFonts w:asciiTheme="majorHAnsi" w:hAnsiTheme="majorHAnsi"/>
          <w:sz w:val="20"/>
          <w:szCs w:val="20"/>
          <w:lang w:val="es-ES_tradnl"/>
        </w:rPr>
        <w:t>,</w:t>
      </w:r>
      <w:r w:rsidR="00B8653E" w:rsidRPr="00006C2A">
        <w:rPr>
          <w:rFonts w:asciiTheme="majorHAnsi" w:hAnsiTheme="majorHAnsi"/>
          <w:sz w:val="20"/>
          <w:szCs w:val="20"/>
          <w:lang w:val="es-ES_tradnl"/>
        </w:rPr>
        <w:t xml:space="preserve"> solo</w:t>
      </w:r>
      <w:r w:rsidR="00165389" w:rsidRPr="00006C2A">
        <w:rPr>
          <w:rFonts w:asciiTheme="majorHAnsi" w:hAnsiTheme="majorHAnsi"/>
          <w:sz w:val="20"/>
          <w:szCs w:val="20"/>
          <w:lang w:val="es-ES_tradnl"/>
        </w:rPr>
        <w:t xml:space="preserve"> treinta </w:t>
      </w:r>
      <w:r w:rsidR="00867E39">
        <w:rPr>
          <w:rFonts w:asciiTheme="majorHAnsi" w:hAnsiTheme="majorHAnsi"/>
          <w:sz w:val="20"/>
          <w:szCs w:val="20"/>
          <w:lang w:val="es-ES_tradnl"/>
        </w:rPr>
        <w:t xml:space="preserve">y </w:t>
      </w:r>
      <w:r w:rsidR="00165389" w:rsidRPr="00006C2A">
        <w:rPr>
          <w:rFonts w:asciiTheme="majorHAnsi" w:hAnsiTheme="majorHAnsi"/>
          <w:sz w:val="20"/>
          <w:szCs w:val="20"/>
          <w:lang w:val="es-ES_tradnl"/>
        </w:rPr>
        <w:t xml:space="preserve">seis </w:t>
      </w:r>
      <w:r w:rsidR="007C087B" w:rsidRPr="00006C2A">
        <w:rPr>
          <w:rFonts w:asciiTheme="majorHAnsi" w:hAnsiTheme="majorHAnsi"/>
          <w:sz w:val="20"/>
          <w:szCs w:val="20"/>
          <w:lang w:val="es-ES_tradnl"/>
        </w:rPr>
        <w:t xml:space="preserve">personas han recibido </w:t>
      </w:r>
      <w:r w:rsidR="00651E7E" w:rsidRPr="00006C2A">
        <w:rPr>
          <w:rFonts w:asciiTheme="majorHAnsi" w:hAnsiTheme="majorHAnsi"/>
          <w:sz w:val="20"/>
          <w:szCs w:val="20"/>
          <w:lang w:val="es-ES_tradnl"/>
        </w:rPr>
        <w:t xml:space="preserve">indemnización económica </w:t>
      </w:r>
      <w:r w:rsidR="00B8653E" w:rsidRPr="00006C2A">
        <w:rPr>
          <w:rFonts w:asciiTheme="majorHAnsi" w:hAnsiTheme="majorHAnsi"/>
          <w:sz w:val="20"/>
          <w:szCs w:val="20"/>
          <w:lang w:val="es-ES_tradnl"/>
        </w:rPr>
        <w:t xml:space="preserve">y </w:t>
      </w:r>
      <w:r w:rsidR="007C087B" w:rsidRPr="00006C2A">
        <w:rPr>
          <w:rFonts w:asciiTheme="majorHAnsi" w:hAnsiTheme="majorHAnsi"/>
          <w:sz w:val="20"/>
          <w:szCs w:val="20"/>
          <w:lang w:val="es-ES_tradnl"/>
        </w:rPr>
        <w:t xml:space="preserve">ninguna otra medida de reparación ha sido aplicada </w:t>
      </w:r>
      <w:r w:rsidR="00651E7E" w:rsidRPr="00006C2A">
        <w:rPr>
          <w:rFonts w:asciiTheme="majorHAnsi" w:hAnsiTheme="majorHAnsi"/>
          <w:sz w:val="20"/>
          <w:szCs w:val="20"/>
          <w:lang w:val="es-ES_tradnl"/>
        </w:rPr>
        <w:t xml:space="preserve">en beneficio de la </w:t>
      </w:r>
      <w:r w:rsidR="007C087B" w:rsidRPr="00006C2A">
        <w:rPr>
          <w:rFonts w:asciiTheme="majorHAnsi" w:hAnsiTheme="majorHAnsi"/>
          <w:sz w:val="20"/>
          <w:szCs w:val="20"/>
          <w:lang w:val="es-ES_tradnl"/>
        </w:rPr>
        <w:t>comunidad.</w:t>
      </w:r>
      <w:r w:rsidR="00651E7E" w:rsidRPr="00006C2A">
        <w:rPr>
          <w:rFonts w:asciiTheme="majorHAnsi" w:hAnsiTheme="majorHAnsi"/>
          <w:sz w:val="20"/>
          <w:szCs w:val="20"/>
          <w:lang w:val="es-ES_tradnl"/>
        </w:rPr>
        <w:t xml:space="preserve"> </w:t>
      </w:r>
      <w:r w:rsidR="00B8653E" w:rsidRPr="00006C2A">
        <w:rPr>
          <w:rFonts w:asciiTheme="majorHAnsi" w:hAnsiTheme="majorHAnsi"/>
          <w:sz w:val="20"/>
          <w:szCs w:val="20"/>
          <w:lang w:val="es-ES_tradnl"/>
        </w:rPr>
        <w:t>L</w:t>
      </w:r>
      <w:r w:rsidR="006E6314" w:rsidRPr="00006C2A">
        <w:rPr>
          <w:rFonts w:asciiTheme="majorHAnsi" w:hAnsiTheme="majorHAnsi"/>
          <w:sz w:val="20"/>
          <w:szCs w:val="20"/>
          <w:lang w:val="es-ES_tradnl"/>
        </w:rPr>
        <w:t>os peticionarios indican</w:t>
      </w:r>
      <w:r w:rsidR="00B8653E" w:rsidRPr="00006C2A">
        <w:rPr>
          <w:rFonts w:asciiTheme="majorHAnsi" w:hAnsiTheme="majorHAnsi"/>
          <w:sz w:val="20"/>
          <w:szCs w:val="20"/>
          <w:lang w:val="es-ES_tradnl"/>
        </w:rPr>
        <w:t xml:space="preserve"> </w:t>
      </w:r>
      <w:r w:rsidR="00651E7E" w:rsidRPr="00006C2A">
        <w:rPr>
          <w:rFonts w:asciiTheme="majorHAnsi" w:hAnsiTheme="majorHAnsi"/>
          <w:sz w:val="20"/>
          <w:szCs w:val="20"/>
          <w:lang w:val="es-ES_tradnl"/>
        </w:rPr>
        <w:t>que</w:t>
      </w:r>
      <w:r w:rsidR="006D3147" w:rsidRPr="00006C2A">
        <w:rPr>
          <w:rFonts w:asciiTheme="majorHAnsi" w:hAnsiTheme="majorHAnsi"/>
          <w:sz w:val="20"/>
          <w:szCs w:val="20"/>
          <w:lang w:val="es-ES_tradnl"/>
        </w:rPr>
        <w:t xml:space="preserve"> </w:t>
      </w:r>
      <w:r w:rsidR="00B8653E" w:rsidRPr="00006C2A">
        <w:rPr>
          <w:rFonts w:asciiTheme="majorHAnsi" w:hAnsiTheme="majorHAnsi"/>
          <w:sz w:val="20"/>
          <w:szCs w:val="20"/>
          <w:lang w:val="es-ES_tradnl"/>
        </w:rPr>
        <w:t xml:space="preserve">las presuntas víctimas </w:t>
      </w:r>
      <w:r w:rsidR="00651E7E" w:rsidRPr="00006C2A">
        <w:rPr>
          <w:rFonts w:asciiTheme="majorHAnsi" w:hAnsiTheme="majorHAnsi"/>
          <w:sz w:val="20"/>
          <w:szCs w:val="20"/>
          <w:lang w:val="es-ES_tradnl"/>
        </w:rPr>
        <w:t xml:space="preserve">constituyeron </w:t>
      </w:r>
      <w:r w:rsidR="007C087B" w:rsidRPr="00006C2A">
        <w:rPr>
          <w:rFonts w:asciiTheme="majorHAnsi" w:hAnsiTheme="majorHAnsi"/>
          <w:sz w:val="20"/>
          <w:szCs w:val="20"/>
          <w:lang w:val="es-ES_tradnl"/>
        </w:rPr>
        <w:t xml:space="preserve">un </w:t>
      </w:r>
      <w:r w:rsidR="00B2371E" w:rsidRPr="00006C2A">
        <w:rPr>
          <w:rFonts w:asciiTheme="majorHAnsi" w:hAnsiTheme="majorHAnsi"/>
          <w:sz w:val="20"/>
          <w:szCs w:val="20"/>
          <w:lang w:val="es-ES_tradnl"/>
        </w:rPr>
        <w:t>“</w:t>
      </w:r>
      <w:r w:rsidR="00651E7E" w:rsidRPr="00006C2A">
        <w:rPr>
          <w:rFonts w:asciiTheme="majorHAnsi" w:hAnsiTheme="majorHAnsi"/>
          <w:sz w:val="20"/>
          <w:szCs w:val="20"/>
          <w:lang w:val="es-ES_tradnl"/>
        </w:rPr>
        <w:t>C</w:t>
      </w:r>
      <w:r w:rsidR="007C087B" w:rsidRPr="00006C2A">
        <w:rPr>
          <w:rFonts w:asciiTheme="majorHAnsi" w:hAnsiTheme="majorHAnsi"/>
          <w:sz w:val="20"/>
          <w:szCs w:val="20"/>
          <w:lang w:val="es-ES_tradnl"/>
        </w:rPr>
        <w:t xml:space="preserve">omité de </w:t>
      </w:r>
      <w:r w:rsidR="00651E7E" w:rsidRPr="00006C2A">
        <w:rPr>
          <w:rFonts w:asciiTheme="majorHAnsi" w:hAnsiTheme="majorHAnsi"/>
          <w:sz w:val="20"/>
          <w:szCs w:val="20"/>
          <w:lang w:val="es-ES_tradnl"/>
        </w:rPr>
        <w:t>Ví</w:t>
      </w:r>
      <w:r w:rsidR="007C087B" w:rsidRPr="00006C2A">
        <w:rPr>
          <w:rFonts w:asciiTheme="majorHAnsi" w:hAnsiTheme="majorHAnsi"/>
          <w:sz w:val="20"/>
          <w:szCs w:val="20"/>
          <w:lang w:val="es-ES_tradnl"/>
        </w:rPr>
        <w:t>ctimas</w:t>
      </w:r>
      <w:r w:rsidR="00B2371E" w:rsidRPr="00006C2A">
        <w:rPr>
          <w:rFonts w:asciiTheme="majorHAnsi" w:hAnsiTheme="majorHAnsi"/>
          <w:sz w:val="20"/>
          <w:szCs w:val="20"/>
          <w:lang w:val="es-ES_tradnl"/>
        </w:rPr>
        <w:t>”</w:t>
      </w:r>
      <w:r w:rsidR="00651E7E" w:rsidRPr="00006C2A">
        <w:rPr>
          <w:rFonts w:asciiTheme="majorHAnsi" w:hAnsiTheme="majorHAnsi"/>
          <w:sz w:val="20"/>
          <w:szCs w:val="20"/>
          <w:lang w:val="es-ES_tradnl"/>
        </w:rPr>
        <w:t xml:space="preserve"> y e</w:t>
      </w:r>
      <w:r w:rsidR="007C087B" w:rsidRPr="00006C2A">
        <w:rPr>
          <w:rFonts w:asciiTheme="majorHAnsi" w:hAnsiTheme="majorHAnsi"/>
          <w:sz w:val="20"/>
          <w:szCs w:val="20"/>
          <w:lang w:val="es-ES_tradnl"/>
        </w:rPr>
        <w:t>laboraron un</w:t>
      </w:r>
      <w:r w:rsidR="00651E7E" w:rsidRPr="00006C2A">
        <w:rPr>
          <w:rFonts w:asciiTheme="majorHAnsi" w:hAnsiTheme="majorHAnsi"/>
          <w:sz w:val="20"/>
          <w:szCs w:val="20"/>
          <w:lang w:val="es-ES_tradnl"/>
        </w:rPr>
        <w:t xml:space="preserve"> </w:t>
      </w:r>
      <w:r w:rsidR="00B2371E" w:rsidRPr="00006C2A">
        <w:rPr>
          <w:rFonts w:asciiTheme="majorHAnsi" w:hAnsiTheme="majorHAnsi"/>
          <w:sz w:val="20"/>
          <w:szCs w:val="20"/>
          <w:lang w:val="es-ES_tradnl"/>
        </w:rPr>
        <w:t>“</w:t>
      </w:r>
      <w:r w:rsidR="007C087B" w:rsidRPr="00006C2A">
        <w:rPr>
          <w:rFonts w:asciiTheme="majorHAnsi" w:hAnsiTheme="majorHAnsi"/>
          <w:sz w:val="20"/>
          <w:szCs w:val="20"/>
          <w:lang w:val="es-ES_tradnl"/>
        </w:rPr>
        <w:t>Memorial de Agravios</w:t>
      </w:r>
      <w:r w:rsidR="00B2371E" w:rsidRPr="00006C2A">
        <w:rPr>
          <w:rFonts w:asciiTheme="majorHAnsi" w:hAnsiTheme="majorHAnsi"/>
          <w:sz w:val="20"/>
          <w:szCs w:val="20"/>
          <w:lang w:val="es-ES_tradnl"/>
        </w:rPr>
        <w:t>”</w:t>
      </w:r>
      <w:r w:rsidR="007C087B" w:rsidRPr="00006C2A">
        <w:rPr>
          <w:rFonts w:asciiTheme="majorHAnsi" w:hAnsiTheme="majorHAnsi"/>
          <w:sz w:val="20"/>
          <w:szCs w:val="20"/>
          <w:lang w:val="es-ES_tradnl"/>
        </w:rPr>
        <w:t xml:space="preserve"> </w:t>
      </w:r>
      <w:r w:rsidR="00360D35" w:rsidRPr="00006C2A">
        <w:rPr>
          <w:rFonts w:asciiTheme="majorHAnsi" w:hAnsiTheme="majorHAnsi"/>
          <w:sz w:val="20"/>
          <w:szCs w:val="20"/>
          <w:lang w:val="es-ES_tradnl"/>
        </w:rPr>
        <w:t>para reconstruir los hechos</w:t>
      </w:r>
      <w:r w:rsidR="00F73EEE" w:rsidRPr="00006C2A">
        <w:rPr>
          <w:rFonts w:asciiTheme="majorHAnsi" w:hAnsiTheme="majorHAnsi"/>
          <w:sz w:val="20"/>
          <w:szCs w:val="20"/>
          <w:lang w:val="es-ES_tradnl"/>
        </w:rPr>
        <w:t>,</w:t>
      </w:r>
      <w:r w:rsidR="00360D35" w:rsidRPr="00006C2A">
        <w:rPr>
          <w:rFonts w:asciiTheme="majorHAnsi" w:hAnsiTheme="majorHAnsi"/>
          <w:sz w:val="20"/>
          <w:szCs w:val="20"/>
          <w:lang w:val="es-ES_tradnl"/>
        </w:rPr>
        <w:t xml:space="preserve"> </w:t>
      </w:r>
      <w:r w:rsidR="00651E7E" w:rsidRPr="00006C2A">
        <w:rPr>
          <w:rFonts w:asciiTheme="majorHAnsi" w:hAnsiTheme="majorHAnsi"/>
          <w:sz w:val="20"/>
          <w:szCs w:val="20"/>
          <w:lang w:val="es-ES_tradnl"/>
        </w:rPr>
        <w:t>el cual entregaron</w:t>
      </w:r>
      <w:r w:rsidR="003851AC" w:rsidRPr="00006C2A">
        <w:rPr>
          <w:rFonts w:asciiTheme="majorHAnsi" w:hAnsiTheme="majorHAnsi"/>
          <w:sz w:val="20"/>
          <w:szCs w:val="20"/>
          <w:lang w:val="es-ES_tradnl"/>
        </w:rPr>
        <w:t>,</w:t>
      </w:r>
      <w:r w:rsidR="00651E7E" w:rsidRPr="00006C2A">
        <w:rPr>
          <w:rFonts w:asciiTheme="majorHAnsi" w:hAnsiTheme="majorHAnsi"/>
          <w:sz w:val="20"/>
          <w:szCs w:val="20"/>
          <w:lang w:val="es-ES_tradnl"/>
        </w:rPr>
        <w:t xml:space="preserve"> </w:t>
      </w:r>
      <w:r w:rsidR="00D25F7D" w:rsidRPr="00006C2A">
        <w:rPr>
          <w:rFonts w:asciiTheme="majorHAnsi" w:hAnsiTheme="majorHAnsi"/>
          <w:sz w:val="20"/>
          <w:szCs w:val="20"/>
          <w:lang w:val="es-ES_tradnl"/>
        </w:rPr>
        <w:t xml:space="preserve">junto con una solicitud formal </w:t>
      </w:r>
      <w:r w:rsidR="003851AC" w:rsidRPr="00006C2A">
        <w:rPr>
          <w:rFonts w:asciiTheme="majorHAnsi" w:hAnsiTheme="majorHAnsi"/>
          <w:sz w:val="20"/>
          <w:szCs w:val="20"/>
          <w:lang w:val="es-ES_tradnl"/>
        </w:rPr>
        <w:t>de reparación, el 9 de octubre de 2008 en una reunión celebrada con e</w:t>
      </w:r>
      <w:r w:rsidR="007C087B" w:rsidRPr="00006C2A">
        <w:rPr>
          <w:rFonts w:asciiTheme="majorHAnsi" w:hAnsiTheme="majorHAnsi"/>
          <w:sz w:val="20"/>
          <w:szCs w:val="20"/>
          <w:lang w:val="es-ES_tradnl"/>
        </w:rPr>
        <w:t xml:space="preserve">l </w:t>
      </w:r>
      <w:r w:rsidR="00F73EEE" w:rsidRPr="00006C2A">
        <w:rPr>
          <w:rFonts w:asciiTheme="majorHAnsi" w:hAnsiTheme="majorHAnsi"/>
          <w:sz w:val="20"/>
          <w:szCs w:val="20"/>
          <w:lang w:val="es-ES_tradnl"/>
        </w:rPr>
        <w:t>S</w:t>
      </w:r>
      <w:r w:rsidR="00651E7E" w:rsidRPr="00006C2A">
        <w:rPr>
          <w:rFonts w:asciiTheme="majorHAnsi" w:hAnsiTheme="majorHAnsi"/>
          <w:sz w:val="20"/>
          <w:szCs w:val="20"/>
          <w:lang w:val="es-ES_tradnl"/>
        </w:rPr>
        <w:t>ecretario</w:t>
      </w:r>
      <w:r w:rsidR="007C087B" w:rsidRPr="00006C2A">
        <w:rPr>
          <w:rFonts w:asciiTheme="majorHAnsi" w:hAnsiTheme="majorHAnsi"/>
          <w:sz w:val="20"/>
          <w:szCs w:val="20"/>
          <w:lang w:val="es-ES_tradnl"/>
        </w:rPr>
        <w:t xml:space="preserve"> de la Paz, </w:t>
      </w:r>
      <w:r w:rsidR="00651E7E" w:rsidRPr="00006C2A">
        <w:rPr>
          <w:rFonts w:asciiTheme="majorHAnsi" w:hAnsiTheme="majorHAnsi"/>
          <w:sz w:val="20"/>
          <w:szCs w:val="20"/>
          <w:lang w:val="es-ES_tradnl"/>
        </w:rPr>
        <w:t>a</w:t>
      </w:r>
      <w:r w:rsidR="007C087B" w:rsidRPr="00006C2A">
        <w:rPr>
          <w:rFonts w:asciiTheme="majorHAnsi" w:hAnsiTheme="majorHAnsi"/>
          <w:sz w:val="20"/>
          <w:szCs w:val="20"/>
          <w:lang w:val="es-ES_tradnl"/>
        </w:rPr>
        <w:t xml:space="preserve">l </w:t>
      </w:r>
      <w:r w:rsidR="00651E7E" w:rsidRPr="00006C2A">
        <w:rPr>
          <w:rFonts w:asciiTheme="majorHAnsi" w:hAnsiTheme="majorHAnsi"/>
          <w:sz w:val="20"/>
          <w:szCs w:val="20"/>
          <w:lang w:val="es-ES_tradnl"/>
        </w:rPr>
        <w:t>presidente</w:t>
      </w:r>
      <w:r w:rsidR="007C087B" w:rsidRPr="00006C2A">
        <w:rPr>
          <w:rFonts w:asciiTheme="majorHAnsi" w:hAnsiTheme="majorHAnsi"/>
          <w:sz w:val="20"/>
          <w:szCs w:val="20"/>
          <w:lang w:val="es-ES_tradnl"/>
        </w:rPr>
        <w:t xml:space="preserve"> de la Comisi</w:t>
      </w:r>
      <w:r w:rsidR="00651E7E" w:rsidRPr="00006C2A">
        <w:rPr>
          <w:rFonts w:asciiTheme="majorHAnsi" w:hAnsiTheme="majorHAnsi"/>
          <w:sz w:val="20"/>
          <w:szCs w:val="20"/>
          <w:lang w:val="es-ES_tradnl"/>
        </w:rPr>
        <w:t>ó</w:t>
      </w:r>
      <w:r w:rsidR="007C087B" w:rsidRPr="00006C2A">
        <w:rPr>
          <w:rFonts w:asciiTheme="majorHAnsi" w:hAnsiTheme="majorHAnsi"/>
          <w:sz w:val="20"/>
          <w:szCs w:val="20"/>
          <w:lang w:val="es-ES_tradnl"/>
        </w:rPr>
        <w:t xml:space="preserve">n Nacional de Resarcimiento y </w:t>
      </w:r>
      <w:r w:rsidR="00651E7E" w:rsidRPr="00006C2A">
        <w:rPr>
          <w:rFonts w:asciiTheme="majorHAnsi" w:hAnsiTheme="majorHAnsi"/>
          <w:sz w:val="20"/>
          <w:szCs w:val="20"/>
          <w:lang w:val="es-ES_tradnl"/>
        </w:rPr>
        <w:t>a</w:t>
      </w:r>
      <w:r w:rsidR="007C087B" w:rsidRPr="00006C2A">
        <w:rPr>
          <w:rFonts w:asciiTheme="majorHAnsi" w:hAnsiTheme="majorHAnsi"/>
          <w:sz w:val="20"/>
          <w:szCs w:val="20"/>
          <w:lang w:val="es-ES_tradnl"/>
        </w:rPr>
        <w:t xml:space="preserve">l Coordinador de la Unidad de Aplicación de </w:t>
      </w:r>
      <w:r w:rsidR="00651E7E" w:rsidRPr="00006C2A">
        <w:rPr>
          <w:rFonts w:asciiTheme="majorHAnsi" w:hAnsiTheme="majorHAnsi"/>
          <w:sz w:val="20"/>
          <w:szCs w:val="20"/>
          <w:lang w:val="es-ES_tradnl"/>
        </w:rPr>
        <w:t>M</w:t>
      </w:r>
      <w:r w:rsidR="007C087B" w:rsidRPr="00006C2A">
        <w:rPr>
          <w:rFonts w:asciiTheme="majorHAnsi" w:hAnsiTheme="majorHAnsi"/>
          <w:sz w:val="20"/>
          <w:szCs w:val="20"/>
          <w:lang w:val="es-ES_tradnl"/>
        </w:rPr>
        <w:t>edidas</w:t>
      </w:r>
      <w:r w:rsidR="009E2288" w:rsidRPr="00006C2A">
        <w:rPr>
          <w:rFonts w:asciiTheme="majorHAnsi" w:hAnsiTheme="majorHAnsi"/>
          <w:sz w:val="20"/>
          <w:szCs w:val="20"/>
          <w:lang w:val="es-ES_tradnl"/>
        </w:rPr>
        <w:t>. Sostiene</w:t>
      </w:r>
      <w:r w:rsidR="00B916B9" w:rsidRPr="00006C2A">
        <w:rPr>
          <w:rFonts w:asciiTheme="majorHAnsi" w:hAnsiTheme="majorHAnsi"/>
          <w:sz w:val="20"/>
          <w:szCs w:val="20"/>
          <w:lang w:val="es-ES_tradnl"/>
        </w:rPr>
        <w:t>n,</w:t>
      </w:r>
      <w:r w:rsidR="009E2288" w:rsidRPr="00006C2A">
        <w:rPr>
          <w:rFonts w:asciiTheme="majorHAnsi" w:hAnsiTheme="majorHAnsi"/>
          <w:sz w:val="20"/>
          <w:szCs w:val="20"/>
          <w:lang w:val="es-ES_tradnl"/>
        </w:rPr>
        <w:t xml:space="preserve"> no obstante, que </w:t>
      </w:r>
      <w:r w:rsidR="00B916B9" w:rsidRPr="00006C2A">
        <w:rPr>
          <w:rFonts w:asciiTheme="majorHAnsi" w:hAnsiTheme="majorHAnsi"/>
          <w:sz w:val="20"/>
          <w:szCs w:val="20"/>
          <w:lang w:val="es-ES_tradnl"/>
        </w:rPr>
        <w:t xml:space="preserve">a pesar de </w:t>
      </w:r>
      <w:r w:rsidR="002C5CD6" w:rsidRPr="00006C2A">
        <w:rPr>
          <w:rFonts w:asciiTheme="majorHAnsi" w:hAnsiTheme="majorHAnsi"/>
          <w:sz w:val="20"/>
          <w:szCs w:val="20"/>
          <w:lang w:val="es-ES_tradnl"/>
        </w:rPr>
        <w:t xml:space="preserve">varias visitas al Programa Nacional de Resarcimiento, </w:t>
      </w:r>
      <w:r w:rsidR="006D3147" w:rsidRPr="00006C2A">
        <w:rPr>
          <w:rFonts w:asciiTheme="majorHAnsi" w:hAnsiTheme="majorHAnsi"/>
          <w:sz w:val="20"/>
          <w:szCs w:val="20"/>
          <w:lang w:val="es-ES_tradnl"/>
        </w:rPr>
        <w:t xml:space="preserve">al </w:t>
      </w:r>
      <w:r w:rsidR="002C5CD6" w:rsidRPr="00006C2A">
        <w:rPr>
          <w:rFonts w:asciiTheme="majorHAnsi" w:hAnsiTheme="majorHAnsi"/>
          <w:sz w:val="20"/>
          <w:szCs w:val="20"/>
          <w:lang w:val="es-ES_tradnl"/>
        </w:rPr>
        <w:t xml:space="preserve">Congreso de la República y </w:t>
      </w:r>
      <w:r w:rsidR="006D3147" w:rsidRPr="00006C2A">
        <w:rPr>
          <w:rFonts w:asciiTheme="majorHAnsi" w:hAnsiTheme="majorHAnsi"/>
          <w:sz w:val="20"/>
          <w:szCs w:val="20"/>
          <w:lang w:val="es-ES_tradnl"/>
        </w:rPr>
        <w:t xml:space="preserve">a </w:t>
      </w:r>
      <w:r w:rsidR="002C5CD6" w:rsidRPr="00006C2A">
        <w:rPr>
          <w:rFonts w:asciiTheme="majorHAnsi" w:hAnsiTheme="majorHAnsi"/>
          <w:sz w:val="20"/>
          <w:szCs w:val="20"/>
          <w:lang w:val="es-ES_tradnl"/>
        </w:rPr>
        <w:t>la Procuraduría de Derechos Humanos</w:t>
      </w:r>
      <w:r w:rsidR="00F73EEE" w:rsidRPr="00006C2A">
        <w:rPr>
          <w:rFonts w:asciiTheme="majorHAnsi" w:hAnsiTheme="majorHAnsi"/>
          <w:sz w:val="20"/>
          <w:szCs w:val="20"/>
          <w:lang w:val="es-ES_tradnl"/>
        </w:rPr>
        <w:t>,</w:t>
      </w:r>
      <w:r w:rsidR="006E6314" w:rsidRPr="00006C2A">
        <w:rPr>
          <w:rFonts w:asciiTheme="majorHAnsi" w:hAnsiTheme="majorHAnsi"/>
          <w:sz w:val="20"/>
          <w:szCs w:val="20"/>
          <w:lang w:val="es-ES_tradnl"/>
        </w:rPr>
        <w:t xml:space="preserve"> para </w:t>
      </w:r>
      <w:r w:rsidR="00F73EEE" w:rsidRPr="00006C2A">
        <w:rPr>
          <w:rFonts w:asciiTheme="majorHAnsi" w:hAnsiTheme="majorHAnsi"/>
          <w:sz w:val="20"/>
          <w:szCs w:val="20"/>
          <w:lang w:val="es-ES_tradnl"/>
        </w:rPr>
        <w:t>reclamar</w:t>
      </w:r>
      <w:r w:rsidR="006E6314" w:rsidRPr="00006C2A">
        <w:rPr>
          <w:rFonts w:asciiTheme="majorHAnsi" w:hAnsiTheme="majorHAnsi"/>
          <w:sz w:val="20"/>
          <w:szCs w:val="20"/>
          <w:lang w:val="es-ES_tradnl"/>
        </w:rPr>
        <w:t xml:space="preserve"> la falta de atención y respuesta a sus solicitudes</w:t>
      </w:r>
      <w:r w:rsidR="007B2CDF" w:rsidRPr="00006C2A">
        <w:rPr>
          <w:rFonts w:asciiTheme="majorHAnsi" w:hAnsiTheme="majorHAnsi"/>
          <w:sz w:val="20"/>
          <w:szCs w:val="20"/>
          <w:lang w:val="es-ES_tradnl"/>
        </w:rPr>
        <w:t>, no han recibido respuesta.</w:t>
      </w:r>
      <w:r w:rsidR="00D25F7D" w:rsidRPr="00006C2A">
        <w:rPr>
          <w:rFonts w:asciiTheme="majorHAnsi" w:hAnsiTheme="majorHAnsi"/>
          <w:sz w:val="20"/>
          <w:szCs w:val="20"/>
          <w:lang w:val="es-ES_tradnl"/>
        </w:rPr>
        <w:t xml:space="preserve"> </w:t>
      </w:r>
    </w:p>
    <w:p w14:paraId="3D927234" w14:textId="77777777" w:rsidR="00110547" w:rsidRPr="00006C2A" w:rsidRDefault="00110547" w:rsidP="00C5537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7461339E" w14:textId="344190EE" w:rsidR="00146231" w:rsidRPr="00006C2A" w:rsidRDefault="00F73EE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_tradnl"/>
        </w:rPr>
      </w:pPr>
      <w:r w:rsidRPr="00006C2A">
        <w:rPr>
          <w:rFonts w:asciiTheme="majorHAnsi" w:hAnsiTheme="majorHAnsi"/>
          <w:sz w:val="20"/>
          <w:szCs w:val="20"/>
          <w:lang w:val="es-ES_tradnl"/>
        </w:rPr>
        <w:lastRenderedPageBreak/>
        <w:t xml:space="preserve">Los peticionarios alegan </w:t>
      </w:r>
      <w:r w:rsidR="00CD03C9" w:rsidRPr="00006C2A">
        <w:rPr>
          <w:rFonts w:asciiTheme="majorHAnsi" w:hAnsiTheme="majorHAnsi"/>
          <w:sz w:val="20"/>
          <w:szCs w:val="20"/>
          <w:lang w:val="es-ES_tradnl"/>
        </w:rPr>
        <w:t>que,</w:t>
      </w:r>
      <w:r w:rsidRPr="00006C2A">
        <w:rPr>
          <w:rFonts w:asciiTheme="majorHAnsi" w:hAnsiTheme="majorHAnsi"/>
          <w:sz w:val="20"/>
          <w:szCs w:val="20"/>
          <w:lang w:val="es-ES_tradnl"/>
        </w:rPr>
        <w:t xml:space="preserve"> </w:t>
      </w:r>
      <w:r w:rsidR="00E316B5" w:rsidRPr="00006C2A">
        <w:rPr>
          <w:rFonts w:asciiTheme="majorHAnsi" w:hAnsiTheme="majorHAnsi"/>
          <w:sz w:val="20"/>
          <w:szCs w:val="20"/>
          <w:lang w:val="es-ES_tradnl"/>
        </w:rPr>
        <w:t>en el marco del proceso ante el PNR, las presuntas víctimas han sido revictimizadas</w:t>
      </w:r>
      <w:r w:rsidR="002C0EB7" w:rsidRPr="00006C2A">
        <w:rPr>
          <w:rFonts w:asciiTheme="majorHAnsi" w:hAnsiTheme="majorHAnsi"/>
          <w:sz w:val="20"/>
          <w:szCs w:val="20"/>
          <w:lang w:val="es-ES_tradnl"/>
        </w:rPr>
        <w:t>,</w:t>
      </w:r>
      <w:r w:rsidR="00E316B5" w:rsidRPr="00006C2A">
        <w:rPr>
          <w:rFonts w:asciiTheme="majorHAnsi" w:hAnsiTheme="majorHAnsi"/>
          <w:sz w:val="20"/>
          <w:szCs w:val="20"/>
          <w:lang w:val="es-ES_tradnl"/>
        </w:rPr>
        <w:t xml:space="preserve"> </w:t>
      </w:r>
      <w:r w:rsidR="00110547" w:rsidRPr="00006C2A">
        <w:rPr>
          <w:rFonts w:asciiTheme="majorHAnsi" w:hAnsiTheme="majorHAnsi"/>
          <w:sz w:val="20"/>
          <w:szCs w:val="20"/>
          <w:lang w:val="es-ES_tradnl"/>
        </w:rPr>
        <w:t xml:space="preserve">en tanto </w:t>
      </w:r>
      <w:r w:rsidR="00E316B5" w:rsidRPr="00006C2A">
        <w:rPr>
          <w:rFonts w:asciiTheme="majorHAnsi" w:hAnsiTheme="majorHAnsi"/>
          <w:sz w:val="20"/>
          <w:szCs w:val="20"/>
          <w:lang w:val="es-ES_tradnl"/>
        </w:rPr>
        <w:t xml:space="preserve">fueron sometidas </w:t>
      </w:r>
      <w:r w:rsidR="00110547" w:rsidRPr="00006C2A">
        <w:rPr>
          <w:rFonts w:asciiTheme="majorHAnsi" w:hAnsiTheme="majorHAnsi"/>
          <w:sz w:val="20"/>
          <w:szCs w:val="20"/>
          <w:lang w:val="es-ES_tradnl"/>
        </w:rPr>
        <w:t xml:space="preserve">a cumplir </w:t>
      </w:r>
      <w:r w:rsidR="00E316B5" w:rsidRPr="00006C2A">
        <w:rPr>
          <w:rFonts w:asciiTheme="majorHAnsi" w:hAnsiTheme="majorHAnsi"/>
          <w:sz w:val="20"/>
          <w:szCs w:val="20"/>
          <w:lang w:val="es-ES_tradnl"/>
        </w:rPr>
        <w:t xml:space="preserve">con </w:t>
      </w:r>
      <w:r w:rsidR="00110547" w:rsidRPr="00006C2A">
        <w:rPr>
          <w:rFonts w:asciiTheme="majorHAnsi" w:hAnsiTheme="majorHAnsi"/>
          <w:sz w:val="20"/>
          <w:szCs w:val="20"/>
          <w:lang w:val="es-ES_tradnl"/>
        </w:rPr>
        <w:t xml:space="preserve">una gran cantidad de requisitos, muchos de </w:t>
      </w:r>
      <w:r w:rsidR="002C0EB7" w:rsidRPr="00006C2A">
        <w:rPr>
          <w:rFonts w:asciiTheme="majorHAnsi" w:hAnsiTheme="majorHAnsi"/>
          <w:sz w:val="20"/>
          <w:szCs w:val="20"/>
          <w:lang w:val="es-ES_tradnl"/>
        </w:rPr>
        <w:t>los cuales eran</w:t>
      </w:r>
      <w:r w:rsidR="00110547" w:rsidRPr="00006C2A">
        <w:rPr>
          <w:rFonts w:asciiTheme="majorHAnsi" w:hAnsiTheme="majorHAnsi"/>
          <w:sz w:val="20"/>
          <w:szCs w:val="20"/>
          <w:lang w:val="es-ES_tradnl"/>
        </w:rPr>
        <w:t xml:space="preserve"> difíciles de conseguir; no </w:t>
      </w:r>
      <w:r w:rsidR="00E316B5" w:rsidRPr="00006C2A">
        <w:rPr>
          <w:rFonts w:asciiTheme="majorHAnsi" w:hAnsiTheme="majorHAnsi"/>
          <w:sz w:val="20"/>
          <w:szCs w:val="20"/>
          <w:lang w:val="es-ES_tradnl"/>
        </w:rPr>
        <w:t xml:space="preserve">han tenido </w:t>
      </w:r>
      <w:r w:rsidR="00110547" w:rsidRPr="00006C2A">
        <w:rPr>
          <w:rFonts w:asciiTheme="majorHAnsi" w:hAnsiTheme="majorHAnsi"/>
          <w:sz w:val="20"/>
          <w:szCs w:val="20"/>
          <w:lang w:val="es-ES_tradnl"/>
        </w:rPr>
        <w:t xml:space="preserve">certeza procesal y </w:t>
      </w:r>
      <w:r w:rsidR="00E316B5" w:rsidRPr="00006C2A">
        <w:rPr>
          <w:rFonts w:asciiTheme="majorHAnsi" w:hAnsiTheme="majorHAnsi"/>
          <w:sz w:val="20"/>
          <w:szCs w:val="20"/>
          <w:lang w:val="es-ES_tradnl"/>
        </w:rPr>
        <w:t xml:space="preserve">no </w:t>
      </w:r>
      <w:r w:rsidR="002C0EB7" w:rsidRPr="00006C2A">
        <w:rPr>
          <w:rFonts w:asciiTheme="majorHAnsi" w:hAnsiTheme="majorHAnsi"/>
          <w:sz w:val="20"/>
          <w:szCs w:val="20"/>
          <w:lang w:val="es-ES_tradnl"/>
        </w:rPr>
        <w:t xml:space="preserve">se les </w:t>
      </w:r>
      <w:r w:rsidR="00E316B5" w:rsidRPr="00006C2A">
        <w:rPr>
          <w:rFonts w:asciiTheme="majorHAnsi" w:hAnsiTheme="majorHAnsi"/>
          <w:sz w:val="20"/>
          <w:szCs w:val="20"/>
          <w:lang w:val="es-ES_tradnl"/>
        </w:rPr>
        <w:t xml:space="preserve">ha garantizado </w:t>
      </w:r>
      <w:r w:rsidR="00110547" w:rsidRPr="00006C2A">
        <w:rPr>
          <w:rFonts w:asciiTheme="majorHAnsi" w:hAnsiTheme="majorHAnsi"/>
          <w:sz w:val="20"/>
          <w:szCs w:val="20"/>
          <w:lang w:val="es-ES_tradnl"/>
        </w:rPr>
        <w:t xml:space="preserve">un recurso efectivo para obtener una reparación. </w:t>
      </w:r>
      <w:r w:rsidR="003D5FB9" w:rsidRPr="00006C2A">
        <w:rPr>
          <w:rFonts w:asciiTheme="majorHAnsi" w:hAnsiTheme="majorHAnsi"/>
          <w:sz w:val="20"/>
          <w:szCs w:val="20"/>
          <w:lang w:val="es-ES_tradnl"/>
        </w:rPr>
        <w:t xml:space="preserve">Asimismo, </w:t>
      </w:r>
      <w:r w:rsidR="007F3CF1">
        <w:rPr>
          <w:rFonts w:asciiTheme="majorHAnsi" w:hAnsiTheme="majorHAnsi"/>
          <w:sz w:val="20"/>
          <w:szCs w:val="20"/>
          <w:lang w:val="es-ES_tradnl"/>
        </w:rPr>
        <w:t xml:space="preserve">consideran que </w:t>
      </w:r>
      <w:r w:rsidR="00B82FB9" w:rsidRPr="00006C2A">
        <w:rPr>
          <w:rFonts w:asciiTheme="majorHAnsi" w:hAnsiTheme="majorHAnsi"/>
          <w:sz w:val="20"/>
          <w:szCs w:val="20"/>
          <w:lang w:val="es-ES_tradnl"/>
        </w:rPr>
        <w:t xml:space="preserve">el PNR </w:t>
      </w:r>
      <w:r w:rsidR="00110547" w:rsidRPr="00006C2A">
        <w:rPr>
          <w:rFonts w:asciiTheme="majorHAnsi" w:hAnsiTheme="majorHAnsi"/>
          <w:sz w:val="20"/>
          <w:szCs w:val="20"/>
          <w:lang w:val="es-ES_tradnl"/>
        </w:rPr>
        <w:t xml:space="preserve">los ha excluido de la reparación digna </w:t>
      </w:r>
      <w:r w:rsidR="003D5FB9" w:rsidRPr="00006C2A">
        <w:rPr>
          <w:rFonts w:asciiTheme="majorHAnsi" w:hAnsiTheme="majorHAnsi"/>
          <w:sz w:val="20"/>
          <w:szCs w:val="20"/>
          <w:lang w:val="es-ES_tradnl"/>
        </w:rPr>
        <w:t xml:space="preserve">por haber sido obligados a formar parte de las patrullas de autodefensa civil, </w:t>
      </w:r>
      <w:r w:rsidR="00F503C9" w:rsidRPr="00006C2A">
        <w:rPr>
          <w:rFonts w:asciiTheme="majorHAnsi" w:hAnsiTheme="majorHAnsi"/>
          <w:sz w:val="20"/>
          <w:szCs w:val="20"/>
          <w:lang w:val="es-ES_tradnl"/>
        </w:rPr>
        <w:t>a pesar de que</w:t>
      </w:r>
      <w:r w:rsidR="00165389" w:rsidRPr="00006C2A">
        <w:rPr>
          <w:rFonts w:asciiTheme="majorHAnsi" w:hAnsiTheme="majorHAnsi"/>
          <w:sz w:val="20"/>
          <w:szCs w:val="20"/>
          <w:lang w:val="es-ES_tradnl"/>
        </w:rPr>
        <w:t xml:space="preserve"> han </w:t>
      </w:r>
      <w:r w:rsidR="00110547" w:rsidRPr="00006C2A">
        <w:rPr>
          <w:rFonts w:asciiTheme="majorHAnsi" w:hAnsiTheme="majorHAnsi"/>
          <w:sz w:val="20"/>
          <w:szCs w:val="20"/>
          <w:lang w:val="es-ES_tradnl"/>
        </w:rPr>
        <w:t xml:space="preserve">realizado los trabajos de registro de testimonios, censo de población, </w:t>
      </w:r>
      <w:r w:rsidR="00E316B5" w:rsidRPr="00006C2A">
        <w:rPr>
          <w:rFonts w:asciiTheme="majorHAnsi" w:hAnsiTheme="majorHAnsi"/>
          <w:sz w:val="20"/>
          <w:szCs w:val="20"/>
          <w:lang w:val="es-ES_tradnl"/>
        </w:rPr>
        <w:t xml:space="preserve">y un </w:t>
      </w:r>
      <w:r w:rsidR="00110547" w:rsidRPr="00006C2A">
        <w:rPr>
          <w:rFonts w:asciiTheme="majorHAnsi" w:hAnsiTheme="majorHAnsi"/>
          <w:sz w:val="20"/>
          <w:szCs w:val="20"/>
          <w:lang w:val="es-ES_tradnl"/>
        </w:rPr>
        <w:t xml:space="preserve">diagnóstico comunitario </w:t>
      </w:r>
      <w:r w:rsidR="003D5FB9" w:rsidRPr="00006C2A">
        <w:rPr>
          <w:rFonts w:asciiTheme="majorHAnsi" w:hAnsiTheme="majorHAnsi"/>
          <w:sz w:val="20"/>
          <w:szCs w:val="20"/>
          <w:lang w:val="es-ES_tradnl"/>
        </w:rPr>
        <w:t xml:space="preserve">para demostrar que fueron </w:t>
      </w:r>
      <w:r w:rsidR="00110547" w:rsidRPr="00006C2A">
        <w:rPr>
          <w:rFonts w:asciiTheme="majorHAnsi" w:hAnsiTheme="majorHAnsi"/>
          <w:sz w:val="20"/>
          <w:szCs w:val="20"/>
          <w:lang w:val="es-ES_tradnl"/>
        </w:rPr>
        <w:t xml:space="preserve">víctimas del </w:t>
      </w:r>
      <w:r w:rsidR="00C6119C" w:rsidRPr="00006C2A">
        <w:rPr>
          <w:rFonts w:asciiTheme="majorHAnsi" w:hAnsiTheme="majorHAnsi"/>
          <w:sz w:val="20"/>
          <w:szCs w:val="20"/>
          <w:lang w:val="es-ES_tradnl"/>
        </w:rPr>
        <w:t>e</w:t>
      </w:r>
      <w:r w:rsidR="00110547" w:rsidRPr="00006C2A">
        <w:rPr>
          <w:rFonts w:asciiTheme="majorHAnsi" w:hAnsiTheme="majorHAnsi"/>
          <w:sz w:val="20"/>
          <w:szCs w:val="20"/>
          <w:lang w:val="es-ES_tradnl"/>
        </w:rPr>
        <w:t xml:space="preserve">jército y desplazados forzosamente. </w:t>
      </w:r>
    </w:p>
    <w:p w14:paraId="7B349182" w14:textId="77777777" w:rsidR="00C55372" w:rsidRPr="00006C2A" w:rsidRDefault="00C55372" w:rsidP="00C5537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EB71E98" w14:textId="55A84691" w:rsidR="00D25F7D" w:rsidRPr="00006C2A" w:rsidRDefault="00F503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_tradnl"/>
        </w:rPr>
      </w:pPr>
      <w:r w:rsidRPr="00006C2A">
        <w:rPr>
          <w:rFonts w:asciiTheme="majorHAnsi" w:hAnsiTheme="majorHAnsi"/>
          <w:sz w:val="20"/>
          <w:szCs w:val="20"/>
          <w:lang w:val="es-ES_tradnl"/>
        </w:rPr>
        <w:t>Con</w:t>
      </w:r>
      <w:r w:rsidR="00165389" w:rsidRPr="00006C2A">
        <w:rPr>
          <w:rFonts w:asciiTheme="majorHAnsi" w:hAnsiTheme="majorHAnsi"/>
          <w:sz w:val="20"/>
          <w:szCs w:val="20"/>
          <w:lang w:val="es-ES_tradnl"/>
        </w:rPr>
        <w:t xml:space="preserve"> relación al funcionamiento del PNR, </w:t>
      </w:r>
      <w:r w:rsidR="00B82FB9" w:rsidRPr="00006C2A">
        <w:rPr>
          <w:rFonts w:asciiTheme="majorHAnsi" w:hAnsiTheme="majorHAnsi"/>
          <w:sz w:val="20"/>
          <w:szCs w:val="20"/>
          <w:lang w:val="es-ES_tradnl"/>
        </w:rPr>
        <w:t>indican</w:t>
      </w:r>
      <w:r w:rsidR="00110547" w:rsidRPr="00006C2A">
        <w:rPr>
          <w:rFonts w:asciiTheme="majorHAnsi" w:hAnsiTheme="majorHAnsi"/>
          <w:sz w:val="20"/>
          <w:szCs w:val="20"/>
          <w:lang w:val="es-ES_tradnl"/>
        </w:rPr>
        <w:t xml:space="preserve"> que el Estado no </w:t>
      </w:r>
      <w:r w:rsidR="00445973" w:rsidRPr="00006C2A">
        <w:rPr>
          <w:rFonts w:asciiTheme="majorHAnsi" w:hAnsiTheme="majorHAnsi"/>
          <w:sz w:val="20"/>
          <w:szCs w:val="20"/>
          <w:lang w:val="es-ES_tradnl"/>
        </w:rPr>
        <w:t>colabora con</w:t>
      </w:r>
      <w:r w:rsidR="00110547" w:rsidRPr="00006C2A">
        <w:rPr>
          <w:rFonts w:asciiTheme="majorHAnsi" w:hAnsiTheme="majorHAnsi"/>
          <w:sz w:val="20"/>
          <w:szCs w:val="20"/>
          <w:lang w:val="es-ES_tradnl"/>
        </w:rPr>
        <w:t xml:space="preserve"> </w:t>
      </w:r>
      <w:r w:rsidR="00165389" w:rsidRPr="00006C2A">
        <w:rPr>
          <w:rFonts w:asciiTheme="majorHAnsi" w:hAnsiTheme="majorHAnsi"/>
          <w:sz w:val="20"/>
          <w:szCs w:val="20"/>
          <w:lang w:val="es-ES_tradnl"/>
        </w:rPr>
        <w:t>su</w:t>
      </w:r>
      <w:r w:rsidR="00110547" w:rsidRPr="00006C2A">
        <w:rPr>
          <w:rFonts w:asciiTheme="majorHAnsi" w:hAnsiTheme="majorHAnsi"/>
          <w:sz w:val="20"/>
          <w:szCs w:val="20"/>
          <w:lang w:val="es-ES_tradnl"/>
        </w:rPr>
        <w:t xml:space="preserve"> situación financiera y presupuestaria</w:t>
      </w:r>
      <w:r w:rsidR="00445973" w:rsidRPr="00006C2A">
        <w:rPr>
          <w:rFonts w:asciiTheme="majorHAnsi" w:hAnsiTheme="majorHAnsi"/>
          <w:sz w:val="20"/>
          <w:szCs w:val="20"/>
          <w:lang w:val="es-ES_tradnl"/>
        </w:rPr>
        <w:t>,</w:t>
      </w:r>
      <w:r w:rsidR="00110547" w:rsidRPr="00006C2A">
        <w:rPr>
          <w:rFonts w:asciiTheme="majorHAnsi" w:hAnsiTheme="majorHAnsi"/>
          <w:sz w:val="20"/>
          <w:szCs w:val="20"/>
          <w:lang w:val="es-ES_tradnl"/>
        </w:rPr>
        <w:t xml:space="preserve"> lo cual ha llevado a una falta de atención </w:t>
      </w:r>
      <w:r w:rsidR="00165389" w:rsidRPr="00006C2A">
        <w:rPr>
          <w:rFonts w:asciiTheme="majorHAnsi" w:hAnsiTheme="majorHAnsi"/>
          <w:sz w:val="20"/>
          <w:szCs w:val="20"/>
          <w:lang w:val="es-ES_tradnl"/>
        </w:rPr>
        <w:t xml:space="preserve">de víctimas </w:t>
      </w:r>
      <w:r w:rsidR="00110547" w:rsidRPr="00006C2A">
        <w:rPr>
          <w:rFonts w:asciiTheme="majorHAnsi" w:hAnsiTheme="majorHAnsi"/>
          <w:sz w:val="20"/>
          <w:szCs w:val="20"/>
          <w:lang w:val="es-ES_tradnl"/>
        </w:rPr>
        <w:t>en las sedes regionales y al desconocimiento de los estados y situación de los expedientes.</w:t>
      </w:r>
      <w:r w:rsidR="00146231" w:rsidRPr="00006C2A">
        <w:rPr>
          <w:rFonts w:asciiTheme="majorHAnsi" w:hAnsiTheme="majorHAnsi"/>
          <w:sz w:val="20"/>
          <w:szCs w:val="20"/>
          <w:lang w:val="es-ES_tradnl"/>
        </w:rPr>
        <w:t xml:space="preserve"> En particular, e</w:t>
      </w:r>
      <w:r w:rsidR="00B916B9" w:rsidRPr="00006C2A">
        <w:rPr>
          <w:rFonts w:asciiTheme="majorHAnsi" w:hAnsiTheme="majorHAnsi"/>
          <w:sz w:val="20"/>
          <w:szCs w:val="20"/>
          <w:lang w:val="es-ES_tradnl"/>
        </w:rPr>
        <w:t xml:space="preserve">xplican que </w:t>
      </w:r>
      <w:r w:rsidR="00D25F7D" w:rsidRPr="00006C2A">
        <w:rPr>
          <w:rFonts w:asciiTheme="majorHAnsi" w:hAnsiTheme="majorHAnsi"/>
          <w:sz w:val="20"/>
          <w:szCs w:val="20"/>
          <w:lang w:val="es-ES_tradnl"/>
        </w:rPr>
        <w:t>desde el 2015</w:t>
      </w:r>
      <w:r w:rsidR="00867E39">
        <w:rPr>
          <w:rFonts w:asciiTheme="majorHAnsi" w:hAnsiTheme="majorHAnsi"/>
          <w:sz w:val="20"/>
          <w:szCs w:val="20"/>
          <w:lang w:val="es-ES_tradnl"/>
        </w:rPr>
        <w:t>,</w:t>
      </w:r>
      <w:r w:rsidR="00D25F7D" w:rsidRPr="00006C2A">
        <w:rPr>
          <w:rFonts w:asciiTheme="majorHAnsi" w:hAnsiTheme="majorHAnsi"/>
          <w:sz w:val="20"/>
          <w:szCs w:val="20"/>
          <w:lang w:val="es-ES_tradnl"/>
        </w:rPr>
        <w:t xml:space="preserve"> el PNR ha sido desfinanciado</w:t>
      </w:r>
      <w:r w:rsidR="00445973" w:rsidRPr="00006C2A">
        <w:rPr>
          <w:rFonts w:asciiTheme="majorHAnsi" w:hAnsiTheme="majorHAnsi"/>
          <w:sz w:val="20"/>
          <w:szCs w:val="20"/>
          <w:lang w:val="es-ES_tradnl"/>
        </w:rPr>
        <w:t>,</w:t>
      </w:r>
      <w:r w:rsidR="00D25F7D" w:rsidRPr="00006C2A">
        <w:rPr>
          <w:rFonts w:asciiTheme="majorHAnsi" w:hAnsiTheme="majorHAnsi"/>
          <w:sz w:val="20"/>
          <w:szCs w:val="20"/>
          <w:lang w:val="es-ES_tradnl"/>
        </w:rPr>
        <w:t xml:space="preserve"> </w:t>
      </w:r>
      <w:r w:rsidR="00572336" w:rsidRPr="00006C2A">
        <w:rPr>
          <w:rFonts w:asciiTheme="majorHAnsi" w:hAnsiTheme="majorHAnsi"/>
          <w:sz w:val="20"/>
          <w:szCs w:val="20"/>
          <w:lang w:val="es-ES_tradnl"/>
        </w:rPr>
        <w:t>y</w:t>
      </w:r>
      <w:r w:rsidR="00D25F7D" w:rsidRPr="00006C2A">
        <w:rPr>
          <w:rFonts w:asciiTheme="majorHAnsi" w:hAnsiTheme="majorHAnsi"/>
          <w:sz w:val="20"/>
          <w:szCs w:val="20"/>
          <w:lang w:val="es-ES_tradnl"/>
        </w:rPr>
        <w:t xml:space="preserve"> se </w:t>
      </w:r>
      <w:r w:rsidR="00572336" w:rsidRPr="00006C2A">
        <w:rPr>
          <w:rFonts w:asciiTheme="majorHAnsi" w:hAnsiTheme="majorHAnsi"/>
          <w:sz w:val="20"/>
          <w:szCs w:val="20"/>
          <w:lang w:val="es-ES_tradnl"/>
        </w:rPr>
        <w:t>encuentra</w:t>
      </w:r>
      <w:r w:rsidR="00D25F7D" w:rsidRPr="00006C2A">
        <w:rPr>
          <w:rFonts w:asciiTheme="majorHAnsi" w:hAnsiTheme="majorHAnsi"/>
          <w:sz w:val="20"/>
          <w:szCs w:val="20"/>
          <w:lang w:val="es-ES_tradnl"/>
        </w:rPr>
        <w:t xml:space="preserve"> paralizado </w:t>
      </w:r>
      <w:r w:rsidR="00146231" w:rsidRPr="00006C2A">
        <w:rPr>
          <w:rFonts w:asciiTheme="majorHAnsi" w:hAnsiTheme="majorHAnsi"/>
          <w:sz w:val="20"/>
          <w:szCs w:val="20"/>
          <w:lang w:val="es-ES_tradnl"/>
        </w:rPr>
        <w:t xml:space="preserve">en tanto </w:t>
      </w:r>
      <w:r w:rsidR="00D25F7D" w:rsidRPr="00006C2A">
        <w:rPr>
          <w:rFonts w:asciiTheme="majorHAnsi" w:hAnsiTheme="majorHAnsi"/>
          <w:sz w:val="20"/>
          <w:szCs w:val="20"/>
          <w:lang w:val="es-ES_tradnl"/>
        </w:rPr>
        <w:t>el gobierno pretende negar las graves violaciones a los derechos humanos</w:t>
      </w:r>
      <w:r w:rsidR="00146231" w:rsidRPr="00006C2A">
        <w:rPr>
          <w:rFonts w:asciiTheme="majorHAnsi" w:hAnsiTheme="majorHAnsi"/>
          <w:sz w:val="20"/>
          <w:szCs w:val="20"/>
          <w:lang w:val="es-ES_tradnl"/>
        </w:rPr>
        <w:t>, al omitir aprobar</w:t>
      </w:r>
      <w:r w:rsidR="00D25F7D" w:rsidRPr="00006C2A">
        <w:rPr>
          <w:rFonts w:asciiTheme="majorHAnsi" w:hAnsiTheme="majorHAnsi"/>
          <w:sz w:val="20"/>
          <w:szCs w:val="20"/>
          <w:lang w:val="es-ES_tradnl"/>
        </w:rPr>
        <w:t xml:space="preserve"> </w:t>
      </w:r>
      <w:r w:rsidR="00146231" w:rsidRPr="00006C2A">
        <w:rPr>
          <w:rFonts w:asciiTheme="majorHAnsi" w:hAnsiTheme="majorHAnsi"/>
          <w:sz w:val="20"/>
          <w:szCs w:val="20"/>
          <w:lang w:val="es-ES_tradnl"/>
        </w:rPr>
        <w:t xml:space="preserve">la legislación </w:t>
      </w:r>
      <w:r w:rsidR="00D25F7D" w:rsidRPr="00006C2A">
        <w:rPr>
          <w:rFonts w:asciiTheme="majorHAnsi" w:hAnsiTheme="majorHAnsi"/>
          <w:sz w:val="20"/>
          <w:szCs w:val="20"/>
          <w:lang w:val="es-ES_tradnl"/>
        </w:rPr>
        <w:t xml:space="preserve">y las reformas contenidas en los acuerdos de paz. </w:t>
      </w:r>
      <w:r w:rsidR="00445973" w:rsidRPr="00006C2A">
        <w:rPr>
          <w:rFonts w:asciiTheme="majorHAnsi" w:hAnsiTheme="majorHAnsi"/>
          <w:sz w:val="20"/>
          <w:szCs w:val="20"/>
          <w:lang w:val="es-ES_tradnl"/>
        </w:rPr>
        <w:t>Por lo tanto, temen que</w:t>
      </w:r>
      <w:r w:rsidR="006239D1" w:rsidRPr="00006C2A">
        <w:rPr>
          <w:rFonts w:asciiTheme="majorHAnsi" w:hAnsiTheme="majorHAnsi"/>
          <w:sz w:val="20"/>
          <w:szCs w:val="20"/>
          <w:lang w:val="es-ES_tradnl"/>
        </w:rPr>
        <w:t xml:space="preserve"> el PNR </w:t>
      </w:r>
      <w:r w:rsidR="00445973" w:rsidRPr="00006C2A">
        <w:rPr>
          <w:rFonts w:asciiTheme="majorHAnsi" w:hAnsiTheme="majorHAnsi"/>
          <w:sz w:val="20"/>
          <w:szCs w:val="20"/>
          <w:lang w:val="es-ES_tradnl"/>
        </w:rPr>
        <w:t>sea</w:t>
      </w:r>
      <w:r w:rsidR="00D25F7D" w:rsidRPr="00006C2A">
        <w:rPr>
          <w:rFonts w:asciiTheme="majorHAnsi" w:hAnsiTheme="majorHAnsi"/>
          <w:sz w:val="20"/>
          <w:szCs w:val="20"/>
          <w:lang w:val="es-ES_tradnl"/>
        </w:rPr>
        <w:t xml:space="preserve"> clausurado al vencer su vigencia en diciembre de</w:t>
      </w:r>
      <w:r w:rsidR="00146231" w:rsidRPr="00006C2A">
        <w:rPr>
          <w:rFonts w:asciiTheme="majorHAnsi" w:hAnsiTheme="majorHAnsi"/>
          <w:sz w:val="20"/>
          <w:szCs w:val="20"/>
          <w:lang w:val="es-ES_tradnl"/>
        </w:rPr>
        <w:t>l</w:t>
      </w:r>
      <w:r w:rsidR="00D25F7D" w:rsidRPr="00006C2A">
        <w:rPr>
          <w:rFonts w:asciiTheme="majorHAnsi" w:hAnsiTheme="majorHAnsi"/>
          <w:sz w:val="20"/>
          <w:szCs w:val="20"/>
          <w:lang w:val="es-ES_tradnl"/>
        </w:rPr>
        <w:t xml:space="preserve"> 2023</w:t>
      </w:r>
      <w:r w:rsidR="006239D1" w:rsidRPr="00006C2A">
        <w:rPr>
          <w:rFonts w:asciiTheme="majorHAnsi" w:hAnsiTheme="majorHAnsi"/>
          <w:sz w:val="20"/>
          <w:szCs w:val="20"/>
          <w:lang w:val="es-ES_tradnl"/>
        </w:rPr>
        <w:t>,</w:t>
      </w:r>
      <w:r w:rsidR="00146231" w:rsidRPr="00006C2A">
        <w:rPr>
          <w:rFonts w:asciiTheme="majorHAnsi" w:hAnsiTheme="majorHAnsi"/>
          <w:sz w:val="20"/>
          <w:szCs w:val="20"/>
          <w:lang w:val="es-ES_tradnl"/>
        </w:rPr>
        <w:t xml:space="preserve"> </w:t>
      </w:r>
      <w:r w:rsidR="00D25F7D" w:rsidRPr="00006C2A">
        <w:rPr>
          <w:rFonts w:asciiTheme="majorHAnsi" w:hAnsiTheme="majorHAnsi"/>
          <w:sz w:val="20"/>
          <w:szCs w:val="20"/>
          <w:lang w:val="es-ES_tradnl"/>
        </w:rPr>
        <w:t xml:space="preserve">sin </w:t>
      </w:r>
      <w:r w:rsidR="00146231" w:rsidRPr="00006C2A">
        <w:rPr>
          <w:rFonts w:asciiTheme="majorHAnsi" w:hAnsiTheme="majorHAnsi"/>
          <w:sz w:val="20"/>
          <w:szCs w:val="20"/>
          <w:lang w:val="es-ES_tradnl"/>
        </w:rPr>
        <w:t xml:space="preserve">que haya </w:t>
      </w:r>
      <w:r w:rsidR="00445973" w:rsidRPr="00006C2A">
        <w:rPr>
          <w:rFonts w:asciiTheme="majorHAnsi" w:hAnsiTheme="majorHAnsi"/>
          <w:sz w:val="20"/>
          <w:szCs w:val="20"/>
          <w:lang w:val="es-ES_tradnl"/>
        </w:rPr>
        <w:t>llegado a satisfacer realmente las justas expectativas de reparación integral de las víctimas del conflicto armado</w:t>
      </w:r>
      <w:r w:rsidR="00146231" w:rsidRPr="00006C2A">
        <w:rPr>
          <w:rFonts w:asciiTheme="majorHAnsi" w:hAnsiTheme="majorHAnsi"/>
          <w:sz w:val="20"/>
          <w:szCs w:val="20"/>
          <w:lang w:val="es-ES_tradnl"/>
        </w:rPr>
        <w:t>.</w:t>
      </w:r>
    </w:p>
    <w:p w14:paraId="0B8B1BB3" w14:textId="77777777" w:rsidR="00C55372" w:rsidRPr="00006C2A" w:rsidRDefault="00C55372" w:rsidP="00C5537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CEA38F1" w14:textId="5B1D80BC" w:rsidR="00110547" w:rsidRPr="00006C2A" w:rsidRDefault="004459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_tradnl"/>
        </w:rPr>
      </w:pPr>
      <w:r w:rsidRPr="00006C2A">
        <w:rPr>
          <w:rFonts w:asciiTheme="majorHAnsi" w:hAnsiTheme="majorHAnsi"/>
          <w:sz w:val="20"/>
          <w:szCs w:val="20"/>
          <w:lang w:val="es-ES_tradnl"/>
        </w:rPr>
        <w:t xml:space="preserve">Los peticionarios indican </w:t>
      </w:r>
      <w:r w:rsidR="001A2852" w:rsidRPr="00006C2A">
        <w:rPr>
          <w:rFonts w:asciiTheme="majorHAnsi" w:hAnsiTheme="majorHAnsi"/>
          <w:sz w:val="20"/>
          <w:szCs w:val="20"/>
          <w:lang w:val="es-ES_tradnl"/>
        </w:rPr>
        <w:t>que</w:t>
      </w:r>
      <w:r w:rsidR="00867E39">
        <w:rPr>
          <w:rFonts w:asciiTheme="majorHAnsi" w:hAnsiTheme="majorHAnsi"/>
          <w:sz w:val="20"/>
          <w:szCs w:val="20"/>
          <w:lang w:val="es-ES_tradnl"/>
        </w:rPr>
        <w:t>,</w:t>
      </w:r>
      <w:r w:rsidR="001A2852" w:rsidRPr="00006C2A">
        <w:rPr>
          <w:rFonts w:asciiTheme="majorHAnsi" w:hAnsiTheme="majorHAnsi"/>
          <w:sz w:val="20"/>
          <w:szCs w:val="20"/>
          <w:lang w:val="es-ES_tradnl"/>
        </w:rPr>
        <w:t xml:space="preserve"> frente a la inoperancia del PNR,</w:t>
      </w:r>
      <w:r w:rsidR="00146231" w:rsidRPr="00006C2A">
        <w:rPr>
          <w:rFonts w:asciiTheme="majorHAnsi" w:hAnsiTheme="majorHAnsi"/>
          <w:sz w:val="20"/>
          <w:szCs w:val="20"/>
          <w:lang w:val="es-ES_tradnl"/>
        </w:rPr>
        <w:t xml:space="preserve"> e</w:t>
      </w:r>
      <w:r w:rsidR="00572336" w:rsidRPr="00006C2A">
        <w:rPr>
          <w:rFonts w:asciiTheme="majorHAnsi" w:hAnsiTheme="majorHAnsi"/>
          <w:sz w:val="20"/>
          <w:szCs w:val="20"/>
          <w:lang w:val="es-ES_tradnl"/>
        </w:rPr>
        <w:t xml:space="preserve">l Procurador de los Derechos Humanos presentó un amparo el 22 de junio de 2016 </w:t>
      </w:r>
      <w:r w:rsidR="00C60B50" w:rsidRPr="00006C2A">
        <w:rPr>
          <w:rFonts w:asciiTheme="majorHAnsi" w:hAnsiTheme="majorHAnsi"/>
          <w:sz w:val="20"/>
          <w:szCs w:val="20"/>
          <w:lang w:val="es-ES_tradnl"/>
        </w:rPr>
        <w:t xml:space="preserve">en contra del </w:t>
      </w:r>
      <w:r w:rsidR="00572336" w:rsidRPr="00006C2A">
        <w:rPr>
          <w:rFonts w:asciiTheme="majorHAnsi" w:hAnsiTheme="majorHAnsi"/>
          <w:sz w:val="20"/>
          <w:szCs w:val="20"/>
          <w:lang w:val="es-ES_tradnl"/>
        </w:rPr>
        <w:t xml:space="preserve">delegado del </w:t>
      </w:r>
      <w:r w:rsidR="00146231" w:rsidRPr="00006C2A">
        <w:rPr>
          <w:rFonts w:asciiTheme="majorHAnsi" w:hAnsiTheme="majorHAnsi"/>
          <w:sz w:val="20"/>
          <w:szCs w:val="20"/>
          <w:lang w:val="es-ES_tradnl"/>
        </w:rPr>
        <w:t>Presidente</w:t>
      </w:r>
      <w:r w:rsidR="00572336" w:rsidRPr="00006C2A">
        <w:rPr>
          <w:rFonts w:asciiTheme="majorHAnsi" w:hAnsiTheme="majorHAnsi"/>
          <w:sz w:val="20"/>
          <w:szCs w:val="20"/>
          <w:lang w:val="es-ES_tradnl"/>
        </w:rPr>
        <w:t xml:space="preserve"> de la República ante la Comisión Nacional de Resarcimiento del PNR</w:t>
      </w:r>
      <w:r w:rsidR="00C60B50" w:rsidRPr="00006C2A">
        <w:rPr>
          <w:rFonts w:asciiTheme="majorHAnsi" w:hAnsiTheme="majorHAnsi"/>
          <w:sz w:val="20"/>
          <w:szCs w:val="20"/>
          <w:lang w:val="es-ES_tradnl"/>
        </w:rPr>
        <w:t xml:space="preserve">, alegando </w:t>
      </w:r>
      <w:r w:rsidR="00572336" w:rsidRPr="00006C2A">
        <w:rPr>
          <w:rFonts w:asciiTheme="majorHAnsi" w:hAnsiTheme="majorHAnsi"/>
          <w:sz w:val="20"/>
          <w:szCs w:val="20"/>
          <w:lang w:val="es-ES_tradnl"/>
        </w:rPr>
        <w:t xml:space="preserve">el incumplimiento </w:t>
      </w:r>
      <w:r w:rsidR="00E316B5" w:rsidRPr="00006C2A">
        <w:rPr>
          <w:rFonts w:asciiTheme="majorHAnsi" w:hAnsiTheme="majorHAnsi"/>
          <w:sz w:val="20"/>
          <w:szCs w:val="20"/>
          <w:lang w:val="es-ES_tradnl"/>
        </w:rPr>
        <w:t xml:space="preserve">del programa </w:t>
      </w:r>
      <w:r w:rsidR="00572336" w:rsidRPr="00006C2A">
        <w:rPr>
          <w:rFonts w:asciiTheme="majorHAnsi" w:hAnsiTheme="majorHAnsi"/>
          <w:sz w:val="20"/>
          <w:szCs w:val="20"/>
          <w:lang w:val="es-ES_tradnl"/>
        </w:rPr>
        <w:t>a la reparación integral</w:t>
      </w:r>
      <w:r w:rsidR="00E76DB1" w:rsidRPr="00006C2A">
        <w:rPr>
          <w:rFonts w:asciiTheme="majorHAnsi" w:hAnsiTheme="majorHAnsi"/>
          <w:sz w:val="20"/>
          <w:szCs w:val="20"/>
          <w:lang w:val="es-ES_tradnl"/>
        </w:rPr>
        <w:t xml:space="preserve"> y</w:t>
      </w:r>
      <w:r w:rsidR="00572336" w:rsidRPr="00006C2A">
        <w:rPr>
          <w:rFonts w:asciiTheme="majorHAnsi" w:hAnsiTheme="majorHAnsi"/>
          <w:sz w:val="20"/>
          <w:szCs w:val="20"/>
          <w:lang w:val="es-ES_tradnl"/>
        </w:rPr>
        <w:t xml:space="preserve"> el resarcimiento económico,</w:t>
      </w:r>
      <w:r w:rsidR="00E76DB1" w:rsidRPr="00006C2A">
        <w:rPr>
          <w:rFonts w:asciiTheme="majorHAnsi" w:hAnsiTheme="majorHAnsi"/>
          <w:sz w:val="20"/>
          <w:szCs w:val="20"/>
          <w:lang w:val="es-ES_tradnl"/>
        </w:rPr>
        <w:t xml:space="preserve"> así como</w:t>
      </w:r>
      <w:r w:rsidR="00572336" w:rsidRPr="00006C2A">
        <w:rPr>
          <w:rFonts w:asciiTheme="majorHAnsi" w:hAnsiTheme="majorHAnsi"/>
          <w:sz w:val="20"/>
          <w:szCs w:val="20"/>
          <w:lang w:val="es-ES_tradnl"/>
        </w:rPr>
        <w:t xml:space="preserve"> la insuficiencia de acciones administrativas para el funcionamiento del Registro Nacional de Víctimas; la inexistencia de procesos de consulta y la baja ejecución presupuestaria. </w:t>
      </w:r>
      <w:r w:rsidR="00A41422" w:rsidRPr="00006C2A">
        <w:rPr>
          <w:rFonts w:asciiTheme="majorHAnsi" w:hAnsiTheme="majorHAnsi"/>
          <w:sz w:val="20"/>
          <w:szCs w:val="20"/>
          <w:lang w:val="es-ES_tradnl"/>
        </w:rPr>
        <w:t>Frente a esta acción, e</w:t>
      </w:r>
      <w:r w:rsidR="00E76DB1" w:rsidRPr="00006C2A">
        <w:rPr>
          <w:rFonts w:asciiTheme="majorHAnsi" w:hAnsiTheme="majorHAnsi"/>
          <w:sz w:val="20"/>
          <w:szCs w:val="20"/>
          <w:lang w:val="es-ES_tradnl"/>
        </w:rPr>
        <w:t xml:space="preserve">l Juez Cuarto de Primera Instancia Civil del departamento de Guatemala otorgó </w:t>
      </w:r>
      <w:r w:rsidR="00572336" w:rsidRPr="00006C2A">
        <w:rPr>
          <w:rFonts w:asciiTheme="majorHAnsi" w:hAnsiTheme="majorHAnsi"/>
          <w:sz w:val="20"/>
          <w:szCs w:val="20"/>
          <w:lang w:val="es-ES_tradnl"/>
        </w:rPr>
        <w:t>el amparo mediante sentencia del 23 de noviembre de 2016</w:t>
      </w:r>
      <w:r w:rsidR="00B75429" w:rsidRPr="00006C2A">
        <w:rPr>
          <w:rFonts w:asciiTheme="majorHAnsi" w:hAnsiTheme="majorHAnsi"/>
          <w:sz w:val="20"/>
          <w:szCs w:val="20"/>
          <w:lang w:val="es-ES_tradnl"/>
        </w:rPr>
        <w:t xml:space="preserve">, ordenando </w:t>
      </w:r>
      <w:r w:rsidR="00572336" w:rsidRPr="00006C2A">
        <w:rPr>
          <w:rFonts w:asciiTheme="majorHAnsi" w:hAnsiTheme="majorHAnsi"/>
          <w:sz w:val="20"/>
          <w:szCs w:val="20"/>
          <w:lang w:val="es-ES_tradnl"/>
        </w:rPr>
        <w:t>a la</w:t>
      </w:r>
      <w:r w:rsidR="00726569" w:rsidRPr="00006C2A">
        <w:rPr>
          <w:rFonts w:asciiTheme="majorHAnsi" w:hAnsiTheme="majorHAnsi"/>
          <w:sz w:val="20"/>
          <w:szCs w:val="20"/>
          <w:lang w:val="es-ES_tradnl"/>
        </w:rPr>
        <w:t>s</w:t>
      </w:r>
      <w:r w:rsidR="00572336" w:rsidRPr="00006C2A">
        <w:rPr>
          <w:rFonts w:asciiTheme="majorHAnsi" w:hAnsiTheme="majorHAnsi"/>
          <w:sz w:val="20"/>
          <w:szCs w:val="20"/>
          <w:lang w:val="es-ES_tradnl"/>
        </w:rPr>
        <w:t xml:space="preserve"> autoridad</w:t>
      </w:r>
      <w:r w:rsidR="00726569" w:rsidRPr="00006C2A">
        <w:rPr>
          <w:rFonts w:asciiTheme="majorHAnsi" w:hAnsiTheme="majorHAnsi"/>
          <w:sz w:val="20"/>
          <w:szCs w:val="20"/>
          <w:lang w:val="es-ES_tradnl"/>
        </w:rPr>
        <w:t>es</w:t>
      </w:r>
      <w:r w:rsidR="00572336" w:rsidRPr="00006C2A">
        <w:rPr>
          <w:rFonts w:asciiTheme="majorHAnsi" w:hAnsiTheme="majorHAnsi"/>
          <w:sz w:val="20"/>
          <w:szCs w:val="20"/>
          <w:lang w:val="es-ES_tradnl"/>
        </w:rPr>
        <w:t xml:space="preserve"> </w:t>
      </w:r>
      <w:r w:rsidR="00726569" w:rsidRPr="00006C2A">
        <w:rPr>
          <w:rFonts w:asciiTheme="majorHAnsi" w:hAnsiTheme="majorHAnsi"/>
          <w:sz w:val="20"/>
          <w:szCs w:val="20"/>
          <w:lang w:val="es-ES_tradnl"/>
        </w:rPr>
        <w:t>a</w:t>
      </w:r>
      <w:r w:rsidR="00E76DB1" w:rsidRPr="00006C2A">
        <w:rPr>
          <w:rFonts w:asciiTheme="majorHAnsi" w:hAnsiTheme="majorHAnsi"/>
          <w:sz w:val="20"/>
          <w:szCs w:val="20"/>
          <w:lang w:val="es-ES_tradnl"/>
        </w:rPr>
        <w:t xml:space="preserve"> </w:t>
      </w:r>
      <w:r w:rsidR="00572336" w:rsidRPr="00006C2A">
        <w:rPr>
          <w:rFonts w:asciiTheme="majorHAnsi" w:hAnsiTheme="majorHAnsi"/>
          <w:sz w:val="20"/>
          <w:szCs w:val="20"/>
          <w:lang w:val="es-ES_tradnl"/>
        </w:rPr>
        <w:t>realizar las gestiones administrativas y financieras necesarias para la implementación de todos los fines del PNR</w:t>
      </w:r>
      <w:r w:rsidR="00B75429" w:rsidRPr="00006C2A">
        <w:rPr>
          <w:rFonts w:asciiTheme="majorHAnsi" w:hAnsiTheme="majorHAnsi"/>
          <w:sz w:val="20"/>
          <w:szCs w:val="20"/>
          <w:lang w:val="es-ES_tradnl"/>
        </w:rPr>
        <w:t>.</w:t>
      </w:r>
      <w:r w:rsidR="00726569" w:rsidRPr="00006C2A">
        <w:rPr>
          <w:rFonts w:asciiTheme="majorHAnsi" w:hAnsiTheme="majorHAnsi"/>
          <w:sz w:val="20"/>
          <w:szCs w:val="20"/>
          <w:lang w:val="es-ES_tradnl"/>
        </w:rPr>
        <w:t xml:space="preserve"> Esta</w:t>
      </w:r>
      <w:r w:rsidR="00146231" w:rsidRPr="00006C2A">
        <w:rPr>
          <w:rFonts w:asciiTheme="majorHAnsi" w:hAnsiTheme="majorHAnsi"/>
          <w:sz w:val="20"/>
          <w:szCs w:val="20"/>
          <w:lang w:val="es-ES_tradnl"/>
        </w:rPr>
        <w:t xml:space="preserve"> </w:t>
      </w:r>
      <w:r w:rsidR="00726569" w:rsidRPr="00006C2A">
        <w:rPr>
          <w:rFonts w:asciiTheme="majorHAnsi" w:hAnsiTheme="majorHAnsi"/>
          <w:sz w:val="20"/>
          <w:szCs w:val="20"/>
          <w:lang w:val="es-ES_tradnl"/>
        </w:rPr>
        <w:t>s</w:t>
      </w:r>
      <w:r w:rsidR="00B75429" w:rsidRPr="00006C2A">
        <w:rPr>
          <w:rFonts w:asciiTheme="majorHAnsi" w:hAnsiTheme="majorHAnsi"/>
          <w:sz w:val="20"/>
          <w:szCs w:val="20"/>
          <w:lang w:val="es-ES_tradnl"/>
        </w:rPr>
        <w:t xml:space="preserve">entencia </w:t>
      </w:r>
      <w:r w:rsidR="00146231" w:rsidRPr="00006C2A">
        <w:rPr>
          <w:rFonts w:asciiTheme="majorHAnsi" w:hAnsiTheme="majorHAnsi"/>
          <w:sz w:val="20"/>
          <w:szCs w:val="20"/>
          <w:lang w:val="es-ES_tradnl"/>
        </w:rPr>
        <w:t>luego fue confirmada por la Corte de Constitucionalidad</w:t>
      </w:r>
      <w:r w:rsidR="00726569" w:rsidRPr="00006C2A">
        <w:rPr>
          <w:rFonts w:asciiTheme="majorHAnsi" w:hAnsiTheme="majorHAnsi"/>
          <w:sz w:val="20"/>
          <w:szCs w:val="20"/>
          <w:lang w:val="es-ES_tradnl"/>
        </w:rPr>
        <w:t>,</w:t>
      </w:r>
      <w:r w:rsidR="00146231" w:rsidRPr="00006C2A">
        <w:rPr>
          <w:rFonts w:asciiTheme="majorHAnsi" w:hAnsiTheme="majorHAnsi"/>
          <w:sz w:val="20"/>
          <w:szCs w:val="20"/>
          <w:lang w:val="es-ES_tradnl"/>
        </w:rPr>
        <w:t xml:space="preserve"> mediante </w:t>
      </w:r>
      <w:r w:rsidR="00726569" w:rsidRPr="00006C2A">
        <w:rPr>
          <w:rFonts w:asciiTheme="majorHAnsi" w:hAnsiTheme="majorHAnsi"/>
          <w:sz w:val="20"/>
          <w:szCs w:val="20"/>
          <w:lang w:val="es-ES_tradnl"/>
        </w:rPr>
        <w:t>fallo</w:t>
      </w:r>
      <w:r w:rsidR="00146231" w:rsidRPr="00006C2A">
        <w:rPr>
          <w:rFonts w:asciiTheme="majorHAnsi" w:hAnsiTheme="majorHAnsi"/>
          <w:sz w:val="20"/>
          <w:szCs w:val="20"/>
          <w:lang w:val="es-ES_tradnl"/>
        </w:rPr>
        <w:t xml:space="preserve"> del 16 de enero de 2019. No obstante, </w:t>
      </w:r>
      <w:r w:rsidR="001A2852" w:rsidRPr="00006C2A">
        <w:rPr>
          <w:rFonts w:asciiTheme="majorHAnsi" w:hAnsiTheme="majorHAnsi"/>
          <w:sz w:val="20"/>
          <w:szCs w:val="20"/>
          <w:lang w:val="es-ES_tradnl"/>
        </w:rPr>
        <w:t>según alegan</w:t>
      </w:r>
      <w:r w:rsidR="00726569" w:rsidRPr="00006C2A">
        <w:rPr>
          <w:rFonts w:asciiTheme="majorHAnsi" w:hAnsiTheme="majorHAnsi"/>
          <w:sz w:val="20"/>
          <w:szCs w:val="20"/>
          <w:lang w:val="es-ES_tradnl"/>
        </w:rPr>
        <w:t xml:space="preserve"> los peticionarios</w:t>
      </w:r>
      <w:r w:rsidR="001A2852" w:rsidRPr="00006C2A">
        <w:rPr>
          <w:rFonts w:asciiTheme="majorHAnsi" w:hAnsiTheme="majorHAnsi"/>
          <w:sz w:val="20"/>
          <w:szCs w:val="20"/>
          <w:lang w:val="es-ES_tradnl"/>
        </w:rPr>
        <w:t xml:space="preserve">, </w:t>
      </w:r>
      <w:r w:rsidR="00146231" w:rsidRPr="00006C2A">
        <w:rPr>
          <w:rFonts w:asciiTheme="majorHAnsi" w:hAnsiTheme="majorHAnsi"/>
          <w:sz w:val="20"/>
          <w:szCs w:val="20"/>
          <w:lang w:val="es-ES_tradnl"/>
        </w:rPr>
        <w:t xml:space="preserve">el Estado ha incumplido con la debida ejecutoria de la </w:t>
      </w:r>
      <w:r w:rsidR="00726569" w:rsidRPr="00006C2A">
        <w:rPr>
          <w:rFonts w:asciiTheme="majorHAnsi" w:hAnsiTheme="majorHAnsi"/>
          <w:sz w:val="20"/>
          <w:szCs w:val="20"/>
          <w:lang w:val="es-ES_tradnl"/>
        </w:rPr>
        <w:t>decisión</w:t>
      </w:r>
      <w:r w:rsidR="00146231" w:rsidRPr="00006C2A">
        <w:rPr>
          <w:rFonts w:asciiTheme="majorHAnsi" w:hAnsiTheme="majorHAnsi"/>
          <w:sz w:val="20"/>
          <w:szCs w:val="20"/>
          <w:lang w:val="es-ES_tradnl"/>
        </w:rPr>
        <w:t>.</w:t>
      </w:r>
    </w:p>
    <w:p w14:paraId="1097200A" w14:textId="64DE8131" w:rsidR="00110547" w:rsidRPr="00006C2A" w:rsidRDefault="00110547" w:rsidP="00C5537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02FF8B79" w14:textId="0B76E001" w:rsidR="00B93EA4" w:rsidRDefault="0072656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_tradnl"/>
        </w:rPr>
      </w:pPr>
      <w:r w:rsidRPr="00006C2A">
        <w:rPr>
          <w:rFonts w:asciiTheme="majorHAnsi" w:hAnsiTheme="majorHAnsi"/>
          <w:sz w:val="20"/>
          <w:szCs w:val="20"/>
          <w:lang w:val="es-ES_tradnl"/>
        </w:rPr>
        <w:t>Los peticionarios aducen que esta situación</w:t>
      </w:r>
      <w:r w:rsidR="00911492" w:rsidRPr="00006C2A">
        <w:rPr>
          <w:rFonts w:asciiTheme="majorHAnsi" w:hAnsiTheme="majorHAnsi"/>
          <w:sz w:val="20"/>
          <w:szCs w:val="20"/>
          <w:lang w:val="es-ES_tradnl"/>
        </w:rPr>
        <w:t xml:space="preserve"> se</w:t>
      </w:r>
      <w:r w:rsidR="002F02B9" w:rsidRPr="00006C2A">
        <w:rPr>
          <w:rFonts w:asciiTheme="majorHAnsi" w:hAnsiTheme="majorHAnsi"/>
          <w:sz w:val="20"/>
          <w:szCs w:val="20"/>
          <w:lang w:val="es-ES_tradnl"/>
        </w:rPr>
        <w:t xml:space="preserve"> </w:t>
      </w:r>
      <w:r w:rsidR="00E76DB1" w:rsidRPr="00006C2A">
        <w:rPr>
          <w:rFonts w:asciiTheme="majorHAnsi" w:hAnsiTheme="majorHAnsi"/>
          <w:sz w:val="20"/>
          <w:szCs w:val="20"/>
          <w:lang w:val="es-ES_tradnl"/>
        </w:rPr>
        <w:t>ha visto</w:t>
      </w:r>
      <w:r w:rsidR="00911492" w:rsidRPr="00006C2A">
        <w:rPr>
          <w:rFonts w:asciiTheme="majorHAnsi" w:hAnsiTheme="majorHAnsi"/>
          <w:sz w:val="20"/>
          <w:szCs w:val="20"/>
          <w:lang w:val="es-ES_tradnl"/>
        </w:rPr>
        <w:t xml:space="preserve"> agrava</w:t>
      </w:r>
      <w:r w:rsidR="002F02B9" w:rsidRPr="00006C2A">
        <w:rPr>
          <w:rFonts w:asciiTheme="majorHAnsi" w:hAnsiTheme="majorHAnsi"/>
          <w:sz w:val="20"/>
          <w:szCs w:val="20"/>
          <w:lang w:val="es-ES_tradnl"/>
        </w:rPr>
        <w:t>da</w:t>
      </w:r>
      <w:r w:rsidR="00911492" w:rsidRPr="00006C2A">
        <w:rPr>
          <w:rFonts w:asciiTheme="majorHAnsi" w:hAnsiTheme="majorHAnsi"/>
          <w:sz w:val="20"/>
          <w:szCs w:val="20"/>
          <w:lang w:val="es-ES_tradnl"/>
        </w:rPr>
        <w:t xml:space="preserve"> </w:t>
      </w:r>
      <w:r w:rsidR="00E76DB1" w:rsidRPr="00006C2A">
        <w:rPr>
          <w:rFonts w:asciiTheme="majorHAnsi" w:hAnsiTheme="majorHAnsi"/>
          <w:sz w:val="20"/>
          <w:szCs w:val="20"/>
          <w:lang w:val="es-ES_tradnl"/>
        </w:rPr>
        <w:t xml:space="preserve">en los últimos años </w:t>
      </w:r>
      <w:r w:rsidR="00B16411" w:rsidRPr="00006C2A">
        <w:rPr>
          <w:rFonts w:asciiTheme="majorHAnsi" w:hAnsiTheme="majorHAnsi"/>
          <w:sz w:val="20"/>
          <w:szCs w:val="20"/>
          <w:lang w:val="es-ES_tradnl"/>
        </w:rPr>
        <w:t xml:space="preserve">en virtud de la adscripción del Programa Nacional de Resarcimiento al Ministerio de Desarrollo Social, de conformidad con </w:t>
      </w:r>
      <w:r w:rsidR="008E6F5B" w:rsidRPr="00006C2A">
        <w:rPr>
          <w:rFonts w:asciiTheme="majorHAnsi" w:hAnsiTheme="majorHAnsi"/>
          <w:sz w:val="20"/>
          <w:szCs w:val="20"/>
          <w:lang w:val="es-ES_tradnl"/>
        </w:rPr>
        <w:t>los</w:t>
      </w:r>
      <w:r w:rsidR="00B16411" w:rsidRPr="00006C2A">
        <w:rPr>
          <w:rFonts w:asciiTheme="majorHAnsi" w:hAnsiTheme="majorHAnsi"/>
          <w:sz w:val="20"/>
          <w:szCs w:val="20"/>
          <w:lang w:val="es-ES_tradnl"/>
        </w:rPr>
        <w:t xml:space="preserve"> Acuerdo</w:t>
      </w:r>
      <w:r w:rsidR="008E6F5B" w:rsidRPr="00006C2A">
        <w:rPr>
          <w:rFonts w:asciiTheme="majorHAnsi" w:hAnsiTheme="majorHAnsi"/>
          <w:sz w:val="20"/>
          <w:szCs w:val="20"/>
          <w:lang w:val="es-ES_tradnl"/>
        </w:rPr>
        <w:t>s</w:t>
      </w:r>
      <w:r w:rsidR="00B16411" w:rsidRPr="00006C2A">
        <w:rPr>
          <w:rFonts w:asciiTheme="majorHAnsi" w:hAnsiTheme="majorHAnsi"/>
          <w:sz w:val="20"/>
          <w:szCs w:val="20"/>
          <w:lang w:val="es-ES_tradnl"/>
        </w:rPr>
        <w:t xml:space="preserve"> Gubernativo</w:t>
      </w:r>
      <w:r w:rsidR="008E6F5B" w:rsidRPr="00006C2A">
        <w:rPr>
          <w:rFonts w:asciiTheme="majorHAnsi" w:hAnsiTheme="majorHAnsi"/>
          <w:sz w:val="20"/>
          <w:szCs w:val="20"/>
          <w:lang w:val="es-ES_tradnl"/>
        </w:rPr>
        <w:t>s</w:t>
      </w:r>
      <w:r w:rsidR="00B16411" w:rsidRPr="00006C2A">
        <w:rPr>
          <w:rFonts w:asciiTheme="majorHAnsi" w:hAnsiTheme="majorHAnsi"/>
          <w:sz w:val="20"/>
          <w:szCs w:val="20"/>
          <w:lang w:val="es-ES_tradnl"/>
        </w:rPr>
        <w:t xml:space="preserve"> No. 98-2020 </w:t>
      </w:r>
      <w:r w:rsidR="008E6F5B" w:rsidRPr="00006C2A">
        <w:rPr>
          <w:rFonts w:asciiTheme="majorHAnsi" w:hAnsiTheme="majorHAnsi"/>
          <w:sz w:val="20"/>
          <w:szCs w:val="20"/>
          <w:lang w:val="es-ES_tradnl"/>
        </w:rPr>
        <w:t xml:space="preserve">y No. 99-2020 </w:t>
      </w:r>
      <w:r w:rsidR="00B16411" w:rsidRPr="00006C2A">
        <w:rPr>
          <w:rFonts w:asciiTheme="majorHAnsi" w:hAnsiTheme="majorHAnsi"/>
          <w:sz w:val="20"/>
          <w:szCs w:val="20"/>
          <w:lang w:val="es-ES_tradnl"/>
        </w:rPr>
        <w:t>emitido</w:t>
      </w:r>
      <w:r w:rsidR="008E6F5B" w:rsidRPr="00006C2A">
        <w:rPr>
          <w:rFonts w:asciiTheme="majorHAnsi" w:hAnsiTheme="majorHAnsi"/>
          <w:sz w:val="20"/>
          <w:szCs w:val="20"/>
          <w:lang w:val="es-ES_tradnl"/>
        </w:rPr>
        <w:t xml:space="preserve">s </w:t>
      </w:r>
      <w:r w:rsidR="00B16411" w:rsidRPr="00006C2A">
        <w:rPr>
          <w:rFonts w:asciiTheme="majorHAnsi" w:hAnsiTheme="majorHAnsi"/>
          <w:sz w:val="20"/>
          <w:szCs w:val="20"/>
          <w:lang w:val="es-ES_tradnl"/>
        </w:rPr>
        <w:t>por el Presidente de la República, el 30 de julio del 2020</w:t>
      </w:r>
      <w:r w:rsidR="00CA5E40" w:rsidRPr="00006C2A">
        <w:rPr>
          <w:rFonts w:asciiTheme="majorHAnsi" w:hAnsiTheme="majorHAnsi"/>
          <w:sz w:val="20"/>
          <w:szCs w:val="20"/>
          <w:lang w:val="es-ES_tradnl"/>
        </w:rPr>
        <w:t>;</w:t>
      </w:r>
      <w:r w:rsidR="00B16411" w:rsidRPr="00006C2A">
        <w:rPr>
          <w:rFonts w:asciiTheme="majorHAnsi" w:hAnsiTheme="majorHAnsi"/>
          <w:sz w:val="20"/>
          <w:szCs w:val="20"/>
          <w:lang w:val="es-ES_tradnl"/>
        </w:rPr>
        <w:t xml:space="preserve"> </w:t>
      </w:r>
      <w:r w:rsidR="001A0A3A" w:rsidRPr="00006C2A">
        <w:rPr>
          <w:rFonts w:asciiTheme="majorHAnsi" w:hAnsiTheme="majorHAnsi"/>
          <w:sz w:val="20"/>
          <w:szCs w:val="20"/>
          <w:lang w:val="es-ES_tradnl"/>
        </w:rPr>
        <w:t xml:space="preserve">así como por </w:t>
      </w:r>
      <w:r w:rsidR="00911492" w:rsidRPr="00006C2A">
        <w:rPr>
          <w:rFonts w:asciiTheme="majorHAnsi" w:hAnsiTheme="majorHAnsi"/>
          <w:sz w:val="20"/>
          <w:szCs w:val="20"/>
          <w:lang w:val="es-ES_tradnl"/>
        </w:rPr>
        <w:t xml:space="preserve">el traslado de los expedientes con </w:t>
      </w:r>
      <w:r w:rsidR="002F02B9" w:rsidRPr="00006C2A">
        <w:rPr>
          <w:rFonts w:asciiTheme="majorHAnsi" w:hAnsiTheme="majorHAnsi"/>
          <w:sz w:val="20"/>
          <w:szCs w:val="20"/>
          <w:lang w:val="es-ES_tradnl"/>
        </w:rPr>
        <w:t>información</w:t>
      </w:r>
      <w:r w:rsidR="00911492" w:rsidRPr="00006C2A">
        <w:rPr>
          <w:rFonts w:asciiTheme="majorHAnsi" w:hAnsiTheme="majorHAnsi"/>
          <w:sz w:val="20"/>
          <w:szCs w:val="20"/>
          <w:lang w:val="es-ES_tradnl"/>
        </w:rPr>
        <w:t xml:space="preserve"> confidencial de las v</w:t>
      </w:r>
      <w:r w:rsidR="002F02B9" w:rsidRPr="00006C2A">
        <w:rPr>
          <w:rFonts w:asciiTheme="majorHAnsi" w:hAnsiTheme="majorHAnsi"/>
          <w:sz w:val="20"/>
          <w:szCs w:val="20"/>
          <w:lang w:val="es-ES_tradnl"/>
        </w:rPr>
        <w:t>í</w:t>
      </w:r>
      <w:r w:rsidR="00911492" w:rsidRPr="00006C2A">
        <w:rPr>
          <w:rFonts w:asciiTheme="majorHAnsi" w:hAnsiTheme="majorHAnsi"/>
          <w:sz w:val="20"/>
          <w:szCs w:val="20"/>
          <w:lang w:val="es-ES_tradnl"/>
        </w:rPr>
        <w:t>ctimas a instituciones como la Secretaría de P</w:t>
      </w:r>
      <w:r w:rsidR="002F02B9" w:rsidRPr="00006C2A">
        <w:rPr>
          <w:rFonts w:asciiTheme="majorHAnsi" w:hAnsiTheme="majorHAnsi"/>
          <w:sz w:val="20"/>
          <w:szCs w:val="20"/>
          <w:lang w:val="es-ES_tradnl"/>
        </w:rPr>
        <w:t>l</w:t>
      </w:r>
      <w:r w:rsidR="00911492" w:rsidRPr="00006C2A">
        <w:rPr>
          <w:rFonts w:asciiTheme="majorHAnsi" w:hAnsiTheme="majorHAnsi"/>
          <w:sz w:val="20"/>
          <w:szCs w:val="20"/>
          <w:lang w:val="es-ES_tradnl"/>
        </w:rPr>
        <w:t>anificaci</w:t>
      </w:r>
      <w:r w:rsidR="002F02B9" w:rsidRPr="00006C2A">
        <w:rPr>
          <w:rFonts w:asciiTheme="majorHAnsi" w:hAnsiTheme="majorHAnsi"/>
          <w:sz w:val="20"/>
          <w:szCs w:val="20"/>
          <w:lang w:val="es-ES_tradnl"/>
        </w:rPr>
        <w:t>ó</w:t>
      </w:r>
      <w:r w:rsidR="00911492" w:rsidRPr="00006C2A">
        <w:rPr>
          <w:rFonts w:asciiTheme="majorHAnsi" w:hAnsiTheme="majorHAnsi"/>
          <w:sz w:val="20"/>
          <w:szCs w:val="20"/>
          <w:lang w:val="es-ES_tradnl"/>
        </w:rPr>
        <w:t>n y Programaci</w:t>
      </w:r>
      <w:r w:rsidR="002F02B9" w:rsidRPr="00006C2A">
        <w:rPr>
          <w:rFonts w:asciiTheme="majorHAnsi" w:hAnsiTheme="majorHAnsi"/>
          <w:sz w:val="20"/>
          <w:szCs w:val="20"/>
          <w:lang w:val="es-ES_tradnl"/>
        </w:rPr>
        <w:t>ó</w:t>
      </w:r>
      <w:r w:rsidR="00911492" w:rsidRPr="00006C2A">
        <w:rPr>
          <w:rFonts w:asciiTheme="majorHAnsi" w:hAnsiTheme="majorHAnsi"/>
          <w:sz w:val="20"/>
          <w:szCs w:val="20"/>
          <w:lang w:val="es-ES_tradnl"/>
        </w:rPr>
        <w:t>n de la Presidencia de la República</w:t>
      </w:r>
      <w:r w:rsidR="00B93EA4" w:rsidRPr="00006C2A">
        <w:rPr>
          <w:rFonts w:asciiTheme="majorHAnsi" w:hAnsiTheme="majorHAnsi"/>
          <w:sz w:val="20"/>
          <w:szCs w:val="20"/>
          <w:lang w:val="es-ES_tradnl"/>
        </w:rPr>
        <w:t>.</w:t>
      </w:r>
      <w:r w:rsidR="00B16411" w:rsidRPr="00006C2A">
        <w:rPr>
          <w:rFonts w:asciiTheme="majorHAnsi" w:hAnsiTheme="majorHAnsi"/>
          <w:sz w:val="20"/>
          <w:szCs w:val="20"/>
          <w:lang w:val="es-ES_tradnl"/>
        </w:rPr>
        <w:t xml:space="preserve"> </w:t>
      </w:r>
      <w:r w:rsidR="00BE703D" w:rsidRPr="00006C2A">
        <w:rPr>
          <w:rFonts w:asciiTheme="majorHAnsi" w:hAnsiTheme="majorHAnsi"/>
          <w:sz w:val="20"/>
          <w:szCs w:val="20"/>
          <w:lang w:val="es-ES_tradnl"/>
        </w:rPr>
        <w:t>Indican que frente a esta situación algunas</w:t>
      </w:r>
      <w:r w:rsidR="00B93EA4" w:rsidRPr="00006C2A">
        <w:rPr>
          <w:rFonts w:asciiTheme="majorHAnsi" w:hAnsiTheme="majorHAnsi"/>
          <w:sz w:val="20"/>
          <w:szCs w:val="20"/>
          <w:lang w:val="es-ES_tradnl"/>
        </w:rPr>
        <w:t xml:space="preserve"> </w:t>
      </w:r>
      <w:r w:rsidR="00911492" w:rsidRPr="00006C2A">
        <w:rPr>
          <w:rFonts w:asciiTheme="majorHAnsi" w:hAnsiTheme="majorHAnsi"/>
          <w:sz w:val="20"/>
          <w:szCs w:val="20"/>
          <w:lang w:val="es-ES_tradnl"/>
        </w:rPr>
        <w:t>organizaci</w:t>
      </w:r>
      <w:r w:rsidR="00B93EA4" w:rsidRPr="00006C2A">
        <w:rPr>
          <w:rFonts w:asciiTheme="majorHAnsi" w:hAnsiTheme="majorHAnsi"/>
          <w:sz w:val="20"/>
          <w:szCs w:val="20"/>
          <w:lang w:val="es-ES_tradnl"/>
        </w:rPr>
        <w:t xml:space="preserve">ones </w:t>
      </w:r>
      <w:r w:rsidR="00911492" w:rsidRPr="00006C2A">
        <w:rPr>
          <w:rFonts w:asciiTheme="majorHAnsi" w:hAnsiTheme="majorHAnsi"/>
          <w:sz w:val="20"/>
          <w:szCs w:val="20"/>
          <w:lang w:val="es-ES_tradnl"/>
        </w:rPr>
        <w:t>de v</w:t>
      </w:r>
      <w:r w:rsidR="00B93EA4" w:rsidRPr="00006C2A">
        <w:rPr>
          <w:rFonts w:asciiTheme="majorHAnsi" w:hAnsiTheme="majorHAnsi"/>
          <w:sz w:val="20"/>
          <w:szCs w:val="20"/>
          <w:lang w:val="es-ES_tradnl"/>
        </w:rPr>
        <w:t>íc</w:t>
      </w:r>
      <w:r w:rsidR="00911492" w:rsidRPr="00006C2A">
        <w:rPr>
          <w:rFonts w:asciiTheme="majorHAnsi" w:hAnsiTheme="majorHAnsi"/>
          <w:sz w:val="20"/>
          <w:szCs w:val="20"/>
          <w:lang w:val="es-ES_tradnl"/>
        </w:rPr>
        <w:t>timas presentaron acciones legales ante la Corte de Constitucionalidad</w:t>
      </w:r>
      <w:r w:rsidR="00B16411" w:rsidRPr="00006C2A">
        <w:rPr>
          <w:rFonts w:asciiTheme="majorHAnsi" w:hAnsiTheme="majorHAnsi"/>
          <w:sz w:val="20"/>
          <w:szCs w:val="20"/>
          <w:lang w:val="es-ES_tradnl"/>
        </w:rPr>
        <w:t xml:space="preserve">. </w:t>
      </w:r>
      <w:r w:rsidR="00BE703D" w:rsidRPr="00006C2A">
        <w:rPr>
          <w:rFonts w:asciiTheme="majorHAnsi" w:hAnsiTheme="majorHAnsi"/>
          <w:sz w:val="20"/>
          <w:szCs w:val="20"/>
          <w:lang w:val="es-ES_tradnl"/>
        </w:rPr>
        <w:t>Así, por ejemplo, p</w:t>
      </w:r>
      <w:r w:rsidR="00B16411" w:rsidRPr="00006C2A">
        <w:rPr>
          <w:rFonts w:asciiTheme="majorHAnsi" w:hAnsiTheme="majorHAnsi"/>
          <w:sz w:val="20"/>
          <w:szCs w:val="20"/>
          <w:lang w:val="es-ES_tradnl"/>
        </w:rPr>
        <w:t xml:space="preserve">resentan información respecto a la acción de amparo presentada por el Comité de </w:t>
      </w:r>
      <w:r w:rsidR="008D7DAA" w:rsidRPr="00006C2A">
        <w:rPr>
          <w:rFonts w:asciiTheme="majorHAnsi" w:hAnsiTheme="majorHAnsi"/>
          <w:sz w:val="20"/>
          <w:szCs w:val="20"/>
          <w:lang w:val="es-ES_tradnl"/>
        </w:rPr>
        <w:t>V</w:t>
      </w:r>
      <w:r w:rsidR="00B16411" w:rsidRPr="00006C2A">
        <w:rPr>
          <w:rFonts w:asciiTheme="majorHAnsi" w:hAnsiTheme="majorHAnsi"/>
          <w:sz w:val="20"/>
          <w:szCs w:val="20"/>
          <w:lang w:val="es-ES_tradnl"/>
        </w:rPr>
        <w:t>íctimas de la aldea Cocop</w:t>
      </w:r>
      <w:r w:rsidR="00BE703D" w:rsidRPr="00006C2A">
        <w:rPr>
          <w:rFonts w:asciiTheme="majorHAnsi" w:hAnsiTheme="majorHAnsi"/>
          <w:sz w:val="20"/>
          <w:szCs w:val="20"/>
          <w:lang w:val="es-ES_tradnl"/>
        </w:rPr>
        <w:t>,</w:t>
      </w:r>
      <w:r w:rsidR="00B16411" w:rsidRPr="00006C2A">
        <w:rPr>
          <w:rFonts w:asciiTheme="majorHAnsi" w:hAnsiTheme="majorHAnsi"/>
          <w:sz w:val="20"/>
          <w:szCs w:val="20"/>
          <w:lang w:val="es-ES_tradnl"/>
        </w:rPr>
        <w:t xml:space="preserve"> del municipio Santa María de Nebaj, en </w:t>
      </w:r>
      <w:r w:rsidR="000A20AE" w:rsidRPr="00006C2A">
        <w:rPr>
          <w:rFonts w:asciiTheme="majorHAnsi" w:hAnsiTheme="majorHAnsi"/>
          <w:sz w:val="20"/>
          <w:szCs w:val="20"/>
          <w:lang w:val="es-ES_tradnl"/>
        </w:rPr>
        <w:t>la que</w:t>
      </w:r>
      <w:r w:rsidR="00B16411" w:rsidRPr="00006C2A">
        <w:rPr>
          <w:rFonts w:asciiTheme="majorHAnsi" w:hAnsiTheme="majorHAnsi"/>
          <w:sz w:val="20"/>
          <w:szCs w:val="20"/>
          <w:lang w:val="es-ES_tradnl"/>
        </w:rPr>
        <w:t xml:space="preserve"> denuncia</w:t>
      </w:r>
      <w:r w:rsidR="008D7DAA" w:rsidRPr="00006C2A">
        <w:rPr>
          <w:rFonts w:asciiTheme="majorHAnsi" w:hAnsiTheme="majorHAnsi"/>
          <w:sz w:val="20"/>
          <w:szCs w:val="20"/>
          <w:lang w:val="es-ES_tradnl"/>
        </w:rPr>
        <w:t>ron</w:t>
      </w:r>
      <w:r w:rsidR="000A20AE" w:rsidRPr="00006C2A">
        <w:rPr>
          <w:rFonts w:asciiTheme="majorHAnsi" w:hAnsiTheme="majorHAnsi"/>
          <w:sz w:val="20"/>
          <w:szCs w:val="20"/>
          <w:lang w:val="es-ES_tradnl"/>
        </w:rPr>
        <w:t>:</w:t>
      </w:r>
      <w:r w:rsidR="00B16411" w:rsidRPr="00006C2A">
        <w:rPr>
          <w:rFonts w:asciiTheme="majorHAnsi" w:hAnsiTheme="majorHAnsi"/>
          <w:sz w:val="20"/>
          <w:szCs w:val="20"/>
          <w:lang w:val="es-ES_tradnl"/>
        </w:rPr>
        <w:t xml:space="preserve"> (i) </w:t>
      </w:r>
      <w:r w:rsidR="00911492" w:rsidRPr="00006C2A">
        <w:rPr>
          <w:rFonts w:asciiTheme="majorHAnsi" w:hAnsiTheme="majorHAnsi"/>
          <w:sz w:val="20"/>
          <w:szCs w:val="20"/>
          <w:lang w:val="es-ES_tradnl"/>
        </w:rPr>
        <w:t>la desnaturalización de</w:t>
      </w:r>
      <w:r w:rsidR="00C025E1" w:rsidRPr="00006C2A">
        <w:rPr>
          <w:rFonts w:asciiTheme="majorHAnsi" w:hAnsiTheme="majorHAnsi"/>
          <w:sz w:val="20"/>
          <w:szCs w:val="20"/>
          <w:lang w:val="es-ES_tradnl"/>
        </w:rPr>
        <w:t xml:space="preserve"> las políticas de reparación </w:t>
      </w:r>
      <w:r w:rsidR="00F55794" w:rsidRPr="00006C2A">
        <w:rPr>
          <w:rFonts w:asciiTheme="majorHAnsi" w:hAnsiTheme="majorHAnsi"/>
          <w:sz w:val="20"/>
          <w:szCs w:val="20"/>
          <w:lang w:val="es-ES_tradnl"/>
        </w:rPr>
        <w:t xml:space="preserve">del PNR </w:t>
      </w:r>
      <w:r w:rsidR="00C025E1" w:rsidRPr="00006C2A">
        <w:rPr>
          <w:rFonts w:asciiTheme="majorHAnsi" w:hAnsiTheme="majorHAnsi"/>
          <w:sz w:val="20"/>
          <w:szCs w:val="20"/>
          <w:lang w:val="es-ES_tradnl"/>
        </w:rPr>
        <w:t xml:space="preserve">a raíz de </w:t>
      </w:r>
      <w:r w:rsidR="00F55794" w:rsidRPr="00006C2A">
        <w:rPr>
          <w:rFonts w:asciiTheme="majorHAnsi" w:hAnsiTheme="majorHAnsi"/>
          <w:sz w:val="20"/>
          <w:szCs w:val="20"/>
          <w:lang w:val="es-ES_tradnl"/>
        </w:rPr>
        <w:t xml:space="preserve">su </w:t>
      </w:r>
      <w:r w:rsidR="008E6F5B" w:rsidRPr="00006C2A">
        <w:rPr>
          <w:rFonts w:asciiTheme="majorHAnsi" w:hAnsiTheme="majorHAnsi"/>
          <w:sz w:val="20"/>
          <w:szCs w:val="20"/>
          <w:lang w:val="es-ES_tradnl"/>
        </w:rPr>
        <w:t>adscripción al Ministerio de Desarrollo Social</w:t>
      </w:r>
      <w:r w:rsidR="00B93EA4" w:rsidRPr="00006C2A">
        <w:rPr>
          <w:rFonts w:asciiTheme="majorHAnsi" w:hAnsiTheme="majorHAnsi"/>
          <w:sz w:val="20"/>
          <w:szCs w:val="20"/>
          <w:lang w:val="es-ES_tradnl"/>
        </w:rPr>
        <w:t xml:space="preserve">; </w:t>
      </w:r>
      <w:r w:rsidR="00B16411" w:rsidRPr="00006C2A">
        <w:rPr>
          <w:rFonts w:asciiTheme="majorHAnsi" w:hAnsiTheme="majorHAnsi"/>
          <w:sz w:val="20"/>
          <w:szCs w:val="20"/>
          <w:lang w:val="es-ES_tradnl"/>
        </w:rPr>
        <w:t xml:space="preserve">(ii) </w:t>
      </w:r>
      <w:r w:rsidR="008E6F5B" w:rsidRPr="00006C2A">
        <w:rPr>
          <w:rFonts w:asciiTheme="majorHAnsi" w:hAnsiTheme="majorHAnsi"/>
          <w:sz w:val="20"/>
          <w:szCs w:val="20"/>
          <w:lang w:val="es-ES_tradnl"/>
        </w:rPr>
        <w:t>la omisión estatal de contar con una entidad administrativa, idónea y operativa, que reciba, tramite y resuelva las peticiones en materia de reparación integral</w:t>
      </w:r>
      <w:r w:rsidR="00B16411" w:rsidRPr="00006C2A">
        <w:rPr>
          <w:rFonts w:asciiTheme="majorHAnsi" w:hAnsiTheme="majorHAnsi"/>
          <w:sz w:val="20"/>
          <w:szCs w:val="20"/>
          <w:lang w:val="es-ES_tradnl"/>
        </w:rPr>
        <w:t>,</w:t>
      </w:r>
      <w:r w:rsidR="00D24C49" w:rsidRPr="00006C2A">
        <w:rPr>
          <w:rFonts w:asciiTheme="majorHAnsi" w:hAnsiTheme="majorHAnsi"/>
          <w:sz w:val="20"/>
          <w:szCs w:val="20"/>
          <w:lang w:val="es-ES_tradnl"/>
        </w:rPr>
        <w:t xml:space="preserve"> </w:t>
      </w:r>
      <w:r w:rsidR="00B93EA4" w:rsidRPr="00006C2A">
        <w:rPr>
          <w:rFonts w:asciiTheme="majorHAnsi" w:hAnsiTheme="majorHAnsi"/>
          <w:sz w:val="20"/>
          <w:szCs w:val="20"/>
          <w:lang w:val="es-ES_tradnl"/>
        </w:rPr>
        <w:t xml:space="preserve">tomando en cuenta que el PNR no </w:t>
      </w:r>
      <w:r w:rsidR="00B16411" w:rsidRPr="00006C2A">
        <w:rPr>
          <w:rFonts w:asciiTheme="majorHAnsi" w:hAnsiTheme="majorHAnsi"/>
          <w:sz w:val="20"/>
          <w:szCs w:val="20"/>
          <w:lang w:val="es-ES_tradnl"/>
        </w:rPr>
        <w:t>est</w:t>
      </w:r>
      <w:r w:rsidR="008D7DAA" w:rsidRPr="00006C2A">
        <w:rPr>
          <w:rFonts w:asciiTheme="majorHAnsi" w:hAnsiTheme="majorHAnsi"/>
          <w:sz w:val="20"/>
          <w:szCs w:val="20"/>
          <w:lang w:val="es-ES_tradnl"/>
        </w:rPr>
        <w:t>aría</w:t>
      </w:r>
      <w:r w:rsidR="00B16411" w:rsidRPr="00006C2A">
        <w:rPr>
          <w:rFonts w:asciiTheme="majorHAnsi" w:hAnsiTheme="majorHAnsi"/>
          <w:sz w:val="20"/>
          <w:szCs w:val="20"/>
          <w:lang w:val="es-ES_tradnl"/>
        </w:rPr>
        <w:t xml:space="preserve"> </w:t>
      </w:r>
      <w:r w:rsidR="00D24C49" w:rsidRPr="00006C2A">
        <w:rPr>
          <w:rFonts w:asciiTheme="majorHAnsi" w:hAnsiTheme="majorHAnsi"/>
          <w:sz w:val="20"/>
          <w:szCs w:val="20"/>
          <w:lang w:val="es-ES_tradnl"/>
        </w:rPr>
        <w:t xml:space="preserve">operando </w:t>
      </w:r>
      <w:r w:rsidR="00B93EA4" w:rsidRPr="00006C2A">
        <w:rPr>
          <w:rFonts w:asciiTheme="majorHAnsi" w:hAnsiTheme="majorHAnsi"/>
          <w:sz w:val="20"/>
          <w:szCs w:val="20"/>
          <w:lang w:val="es-ES_tradnl"/>
        </w:rPr>
        <w:t xml:space="preserve">correctamente </w:t>
      </w:r>
      <w:r w:rsidR="00D24C49" w:rsidRPr="00006C2A">
        <w:rPr>
          <w:rFonts w:asciiTheme="majorHAnsi" w:hAnsiTheme="majorHAnsi"/>
          <w:sz w:val="20"/>
          <w:szCs w:val="20"/>
          <w:lang w:val="es-ES_tradnl"/>
        </w:rPr>
        <w:t>y las sedes en</w:t>
      </w:r>
      <w:r w:rsidR="00B93EA4" w:rsidRPr="00006C2A">
        <w:rPr>
          <w:rFonts w:asciiTheme="majorHAnsi" w:hAnsiTheme="majorHAnsi"/>
          <w:sz w:val="20"/>
          <w:szCs w:val="20"/>
          <w:lang w:val="es-ES_tradnl"/>
        </w:rPr>
        <w:t xml:space="preserve"> </w:t>
      </w:r>
      <w:r w:rsidR="00D24C49" w:rsidRPr="00006C2A">
        <w:rPr>
          <w:rFonts w:asciiTheme="majorHAnsi" w:hAnsiTheme="majorHAnsi"/>
          <w:sz w:val="20"/>
          <w:szCs w:val="20"/>
          <w:lang w:val="es-ES_tradnl"/>
        </w:rPr>
        <w:t xml:space="preserve">el interior del país se encuentran cerradas; </w:t>
      </w:r>
      <w:r w:rsidR="008E6F5B" w:rsidRPr="00006C2A">
        <w:rPr>
          <w:rFonts w:asciiTheme="majorHAnsi" w:hAnsiTheme="majorHAnsi"/>
          <w:sz w:val="20"/>
          <w:szCs w:val="20"/>
          <w:lang w:val="es-ES_tradnl"/>
        </w:rPr>
        <w:t>(iii) la amenaza de que no se garantice el derecho a la reparación integral de víctimas</w:t>
      </w:r>
      <w:r w:rsidR="001A0A3A" w:rsidRPr="00006C2A">
        <w:rPr>
          <w:rFonts w:asciiTheme="majorHAnsi" w:hAnsiTheme="majorHAnsi"/>
          <w:sz w:val="20"/>
          <w:szCs w:val="20"/>
          <w:lang w:val="es-ES_tradnl"/>
        </w:rPr>
        <w:t>;</w:t>
      </w:r>
      <w:r w:rsidR="008E6F5B" w:rsidRPr="00006C2A">
        <w:rPr>
          <w:rFonts w:asciiTheme="majorHAnsi" w:hAnsiTheme="majorHAnsi"/>
          <w:sz w:val="20"/>
          <w:szCs w:val="20"/>
          <w:lang w:val="es-ES_tradnl"/>
        </w:rPr>
        <w:t xml:space="preserve"> </w:t>
      </w:r>
      <w:r w:rsidR="00B93EA4" w:rsidRPr="00006C2A">
        <w:rPr>
          <w:rFonts w:asciiTheme="majorHAnsi" w:hAnsiTheme="majorHAnsi"/>
          <w:sz w:val="20"/>
          <w:szCs w:val="20"/>
          <w:lang w:val="es-ES_tradnl"/>
        </w:rPr>
        <w:t xml:space="preserve">y </w:t>
      </w:r>
      <w:r w:rsidR="00B16411" w:rsidRPr="00006C2A">
        <w:rPr>
          <w:rFonts w:asciiTheme="majorHAnsi" w:hAnsiTheme="majorHAnsi"/>
          <w:sz w:val="20"/>
          <w:szCs w:val="20"/>
          <w:lang w:val="es-ES_tradnl"/>
        </w:rPr>
        <w:t>(i</w:t>
      </w:r>
      <w:r w:rsidR="008E6F5B" w:rsidRPr="00006C2A">
        <w:rPr>
          <w:rFonts w:asciiTheme="majorHAnsi" w:hAnsiTheme="majorHAnsi"/>
          <w:sz w:val="20"/>
          <w:szCs w:val="20"/>
          <w:lang w:val="es-ES_tradnl"/>
        </w:rPr>
        <w:t>v</w:t>
      </w:r>
      <w:r w:rsidR="00B16411" w:rsidRPr="00006C2A">
        <w:rPr>
          <w:rFonts w:asciiTheme="majorHAnsi" w:hAnsiTheme="majorHAnsi"/>
          <w:sz w:val="20"/>
          <w:szCs w:val="20"/>
          <w:lang w:val="es-ES_tradnl"/>
        </w:rPr>
        <w:t xml:space="preserve">) </w:t>
      </w:r>
      <w:r w:rsidR="00D24C49" w:rsidRPr="00006C2A">
        <w:rPr>
          <w:rFonts w:asciiTheme="majorHAnsi" w:hAnsiTheme="majorHAnsi"/>
          <w:sz w:val="20"/>
          <w:szCs w:val="20"/>
          <w:lang w:val="es-ES_tradnl"/>
        </w:rPr>
        <w:t>la violaci</w:t>
      </w:r>
      <w:r w:rsidR="00B93EA4" w:rsidRPr="00006C2A">
        <w:rPr>
          <w:rFonts w:asciiTheme="majorHAnsi" w:hAnsiTheme="majorHAnsi"/>
          <w:sz w:val="20"/>
          <w:szCs w:val="20"/>
          <w:lang w:val="es-ES_tradnl"/>
        </w:rPr>
        <w:t>ó</w:t>
      </w:r>
      <w:r w:rsidR="00D24C49" w:rsidRPr="00006C2A">
        <w:rPr>
          <w:rFonts w:asciiTheme="majorHAnsi" w:hAnsiTheme="majorHAnsi"/>
          <w:sz w:val="20"/>
          <w:szCs w:val="20"/>
          <w:lang w:val="es-ES_tradnl"/>
        </w:rPr>
        <w:t>n al derecho a la confidencialidad de l</w:t>
      </w:r>
      <w:r w:rsidR="00B93EA4" w:rsidRPr="00006C2A">
        <w:rPr>
          <w:rFonts w:asciiTheme="majorHAnsi" w:hAnsiTheme="majorHAnsi"/>
          <w:sz w:val="20"/>
          <w:szCs w:val="20"/>
          <w:lang w:val="es-ES_tradnl"/>
        </w:rPr>
        <w:t>a</w:t>
      </w:r>
      <w:r w:rsidR="00D24C49" w:rsidRPr="00006C2A">
        <w:rPr>
          <w:rFonts w:asciiTheme="majorHAnsi" w:hAnsiTheme="majorHAnsi"/>
          <w:sz w:val="20"/>
          <w:szCs w:val="20"/>
          <w:lang w:val="es-ES_tradnl"/>
        </w:rPr>
        <w:t xml:space="preserve"> inf</w:t>
      </w:r>
      <w:r w:rsidR="00B93EA4" w:rsidRPr="00006C2A">
        <w:rPr>
          <w:rFonts w:asciiTheme="majorHAnsi" w:hAnsiTheme="majorHAnsi"/>
          <w:sz w:val="20"/>
          <w:szCs w:val="20"/>
          <w:lang w:val="es-ES_tradnl"/>
        </w:rPr>
        <w:t>o</w:t>
      </w:r>
      <w:r w:rsidR="00D24C49" w:rsidRPr="00006C2A">
        <w:rPr>
          <w:rFonts w:asciiTheme="majorHAnsi" w:hAnsiTheme="majorHAnsi"/>
          <w:sz w:val="20"/>
          <w:szCs w:val="20"/>
          <w:lang w:val="es-ES_tradnl"/>
        </w:rPr>
        <w:t>rmaci</w:t>
      </w:r>
      <w:r w:rsidR="00B93EA4" w:rsidRPr="00006C2A">
        <w:rPr>
          <w:rFonts w:asciiTheme="majorHAnsi" w:hAnsiTheme="majorHAnsi"/>
          <w:sz w:val="20"/>
          <w:szCs w:val="20"/>
          <w:lang w:val="es-ES_tradnl"/>
        </w:rPr>
        <w:t>ó</w:t>
      </w:r>
      <w:r w:rsidR="00D24C49" w:rsidRPr="00006C2A">
        <w:rPr>
          <w:rFonts w:asciiTheme="majorHAnsi" w:hAnsiTheme="majorHAnsi"/>
          <w:sz w:val="20"/>
          <w:szCs w:val="20"/>
          <w:lang w:val="es-ES_tradnl"/>
        </w:rPr>
        <w:t>n de las v</w:t>
      </w:r>
      <w:r w:rsidR="00B93EA4" w:rsidRPr="00006C2A">
        <w:rPr>
          <w:rFonts w:asciiTheme="majorHAnsi" w:hAnsiTheme="majorHAnsi"/>
          <w:sz w:val="20"/>
          <w:szCs w:val="20"/>
          <w:lang w:val="es-ES_tradnl"/>
        </w:rPr>
        <w:t>íc</w:t>
      </w:r>
      <w:r w:rsidR="00D24C49" w:rsidRPr="00006C2A">
        <w:rPr>
          <w:rFonts w:asciiTheme="majorHAnsi" w:hAnsiTheme="majorHAnsi"/>
          <w:sz w:val="20"/>
          <w:szCs w:val="20"/>
          <w:lang w:val="es-ES_tradnl"/>
        </w:rPr>
        <w:t xml:space="preserve">timas ante la remisión de información entre </w:t>
      </w:r>
      <w:r w:rsidR="00B93EA4" w:rsidRPr="00006C2A">
        <w:rPr>
          <w:rFonts w:asciiTheme="majorHAnsi" w:hAnsiTheme="majorHAnsi"/>
          <w:sz w:val="20"/>
          <w:szCs w:val="20"/>
          <w:lang w:val="es-ES_tradnl"/>
        </w:rPr>
        <w:t>instituciones</w:t>
      </w:r>
      <w:r w:rsidR="00D24C49" w:rsidRPr="00006C2A">
        <w:rPr>
          <w:rFonts w:asciiTheme="majorHAnsi" w:hAnsiTheme="majorHAnsi"/>
          <w:sz w:val="20"/>
          <w:szCs w:val="20"/>
          <w:lang w:val="es-ES_tradnl"/>
        </w:rPr>
        <w:t xml:space="preserve"> de gobierno sin </w:t>
      </w:r>
      <w:r w:rsidR="00B93EA4" w:rsidRPr="00006C2A">
        <w:rPr>
          <w:rFonts w:asciiTheme="majorHAnsi" w:hAnsiTheme="majorHAnsi"/>
          <w:sz w:val="20"/>
          <w:szCs w:val="20"/>
          <w:lang w:val="es-ES_tradnl"/>
        </w:rPr>
        <w:t>ningún</w:t>
      </w:r>
      <w:r w:rsidR="00D24C49" w:rsidRPr="00006C2A">
        <w:rPr>
          <w:rFonts w:asciiTheme="majorHAnsi" w:hAnsiTheme="majorHAnsi"/>
          <w:sz w:val="20"/>
          <w:szCs w:val="20"/>
          <w:lang w:val="es-ES_tradnl"/>
        </w:rPr>
        <w:t xml:space="preserve"> tipo de política de manejo de datos que tienda a la protección de información sensible</w:t>
      </w:r>
      <w:r w:rsidR="00B93EA4" w:rsidRPr="00006C2A">
        <w:rPr>
          <w:rFonts w:asciiTheme="majorHAnsi" w:hAnsiTheme="majorHAnsi"/>
          <w:sz w:val="20"/>
          <w:szCs w:val="20"/>
          <w:lang w:val="es-ES_tradnl"/>
        </w:rPr>
        <w:t>.</w:t>
      </w:r>
      <w:r w:rsidR="00E76DB1" w:rsidRPr="00006C2A">
        <w:rPr>
          <w:rFonts w:asciiTheme="majorHAnsi" w:hAnsiTheme="majorHAnsi"/>
          <w:sz w:val="20"/>
          <w:szCs w:val="20"/>
          <w:lang w:val="es-ES_tradnl"/>
        </w:rPr>
        <w:t xml:space="preserve"> </w:t>
      </w:r>
      <w:r w:rsidR="008D7DAA" w:rsidRPr="00006C2A">
        <w:rPr>
          <w:rFonts w:asciiTheme="majorHAnsi" w:hAnsiTheme="majorHAnsi"/>
          <w:sz w:val="20"/>
          <w:szCs w:val="20"/>
          <w:lang w:val="es-ES_tradnl"/>
        </w:rPr>
        <w:t>–No obstante, los peticionarios</w:t>
      </w:r>
      <w:r w:rsidR="005E7330" w:rsidRPr="00006C2A">
        <w:rPr>
          <w:rFonts w:asciiTheme="majorHAnsi" w:hAnsiTheme="majorHAnsi"/>
          <w:sz w:val="20"/>
          <w:szCs w:val="20"/>
          <w:lang w:val="es-ES_tradnl"/>
        </w:rPr>
        <w:t xml:space="preserve"> no presenta</w:t>
      </w:r>
      <w:r w:rsidR="008D7DAA" w:rsidRPr="00006C2A">
        <w:rPr>
          <w:rFonts w:asciiTheme="majorHAnsi" w:hAnsiTheme="majorHAnsi"/>
          <w:sz w:val="20"/>
          <w:szCs w:val="20"/>
          <w:lang w:val="es-ES_tradnl"/>
        </w:rPr>
        <w:t>n</w:t>
      </w:r>
      <w:r w:rsidR="005E7330" w:rsidRPr="00006C2A">
        <w:rPr>
          <w:rFonts w:asciiTheme="majorHAnsi" w:hAnsiTheme="majorHAnsi"/>
          <w:sz w:val="20"/>
          <w:szCs w:val="20"/>
          <w:lang w:val="es-ES_tradnl"/>
        </w:rPr>
        <w:t xml:space="preserve"> información sobre el resultado de </w:t>
      </w:r>
      <w:r w:rsidR="00225FED" w:rsidRPr="00006C2A">
        <w:rPr>
          <w:rFonts w:asciiTheme="majorHAnsi" w:hAnsiTheme="majorHAnsi"/>
          <w:sz w:val="20"/>
          <w:szCs w:val="20"/>
          <w:lang w:val="es-ES_tradnl"/>
        </w:rPr>
        <w:t>esta</w:t>
      </w:r>
      <w:r w:rsidR="005E7330" w:rsidRPr="00006C2A">
        <w:rPr>
          <w:rFonts w:asciiTheme="majorHAnsi" w:hAnsiTheme="majorHAnsi"/>
          <w:sz w:val="20"/>
          <w:szCs w:val="20"/>
          <w:lang w:val="es-ES_tradnl"/>
        </w:rPr>
        <w:t xml:space="preserve"> acción</w:t>
      </w:r>
      <w:r w:rsidR="008D7DAA" w:rsidRPr="00006C2A">
        <w:rPr>
          <w:rFonts w:asciiTheme="majorHAnsi" w:hAnsiTheme="majorHAnsi"/>
          <w:sz w:val="20"/>
          <w:szCs w:val="20"/>
          <w:lang w:val="es-ES_tradnl"/>
        </w:rPr>
        <w:t>–</w:t>
      </w:r>
      <w:r w:rsidR="007F3CF1">
        <w:rPr>
          <w:rFonts w:asciiTheme="majorHAnsi" w:hAnsiTheme="majorHAnsi"/>
          <w:sz w:val="20"/>
          <w:szCs w:val="20"/>
          <w:lang w:val="es-ES_tradnl"/>
        </w:rPr>
        <w:t>.</w:t>
      </w:r>
    </w:p>
    <w:p w14:paraId="6A7C3BDC" w14:textId="77777777" w:rsidR="007F3CF1" w:rsidRDefault="007F3CF1" w:rsidP="007F3C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6BA5BD2" w14:textId="01A91470" w:rsidR="007F3CF1" w:rsidRPr="007F3CF1" w:rsidRDefault="007F3CF1" w:rsidP="007F3C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i/>
          <w:iCs/>
          <w:sz w:val="20"/>
          <w:szCs w:val="20"/>
          <w:lang w:val="es-ES_tradnl"/>
        </w:rPr>
      </w:pPr>
      <w:r w:rsidRPr="007F3CF1">
        <w:rPr>
          <w:rFonts w:asciiTheme="majorHAnsi" w:hAnsiTheme="majorHAnsi"/>
          <w:i/>
          <w:iCs/>
          <w:sz w:val="20"/>
          <w:szCs w:val="20"/>
          <w:lang w:val="es-ES_tradnl"/>
        </w:rPr>
        <w:t>Argumentos del Estado guatemalteco</w:t>
      </w:r>
    </w:p>
    <w:p w14:paraId="1C2574E0" w14:textId="77777777" w:rsidR="00C55372" w:rsidRPr="00006C2A" w:rsidRDefault="00C55372" w:rsidP="00C5537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5E38190C" w14:textId="566537C8" w:rsidR="00476524" w:rsidRPr="00006C2A" w:rsidRDefault="00062A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006C2A">
        <w:rPr>
          <w:rFonts w:asciiTheme="majorHAnsi" w:hAnsiTheme="majorHAnsi"/>
          <w:sz w:val="20"/>
          <w:szCs w:val="20"/>
          <w:lang w:val="es-ES_tradnl"/>
        </w:rPr>
        <w:t xml:space="preserve">Por su parte, el Estado </w:t>
      </w:r>
      <w:r w:rsidR="00FF4B28" w:rsidRPr="00006C2A">
        <w:rPr>
          <w:rFonts w:asciiTheme="majorHAnsi" w:hAnsiTheme="majorHAnsi"/>
          <w:sz w:val="20"/>
          <w:szCs w:val="20"/>
          <w:lang w:val="es-ES_tradnl"/>
        </w:rPr>
        <w:t xml:space="preserve">guatemalteco </w:t>
      </w:r>
      <w:r w:rsidR="00A97420" w:rsidRPr="00006C2A">
        <w:rPr>
          <w:rFonts w:asciiTheme="majorHAnsi" w:hAnsiTheme="majorHAnsi"/>
          <w:sz w:val="20"/>
          <w:szCs w:val="20"/>
          <w:lang w:val="es-ES_tradnl"/>
        </w:rPr>
        <w:t>a</w:t>
      </w:r>
      <w:r w:rsidR="002101A6" w:rsidRPr="00006C2A">
        <w:rPr>
          <w:rFonts w:asciiTheme="majorHAnsi" w:hAnsiTheme="majorHAnsi"/>
          <w:sz w:val="20"/>
          <w:szCs w:val="20"/>
          <w:lang w:val="es-ES_tradnl"/>
        </w:rPr>
        <w:t xml:space="preserve">rgumenta que la </w:t>
      </w:r>
      <w:r w:rsidR="00A97420" w:rsidRPr="00006C2A">
        <w:rPr>
          <w:rFonts w:asciiTheme="majorHAnsi" w:hAnsiTheme="majorHAnsi"/>
          <w:sz w:val="20"/>
          <w:szCs w:val="20"/>
          <w:lang w:val="es-ES_tradnl"/>
        </w:rPr>
        <w:t xml:space="preserve">presente </w:t>
      </w:r>
      <w:r w:rsidR="002101A6" w:rsidRPr="00006C2A">
        <w:rPr>
          <w:rFonts w:asciiTheme="majorHAnsi" w:hAnsiTheme="majorHAnsi"/>
          <w:sz w:val="20"/>
          <w:szCs w:val="20"/>
          <w:lang w:val="es-ES_tradnl"/>
        </w:rPr>
        <w:t xml:space="preserve">petición no </w:t>
      </w:r>
      <w:r w:rsidR="007B32E7" w:rsidRPr="00006C2A">
        <w:rPr>
          <w:rFonts w:asciiTheme="majorHAnsi" w:hAnsiTheme="majorHAnsi"/>
          <w:sz w:val="20"/>
          <w:szCs w:val="20"/>
          <w:lang w:val="es-ES_tradnl"/>
        </w:rPr>
        <w:t>cumple</w:t>
      </w:r>
      <w:r w:rsidR="002101A6" w:rsidRPr="00006C2A">
        <w:rPr>
          <w:rFonts w:asciiTheme="majorHAnsi" w:hAnsiTheme="majorHAnsi"/>
          <w:sz w:val="20"/>
          <w:szCs w:val="20"/>
          <w:lang w:val="es-ES_tradnl"/>
        </w:rPr>
        <w:t xml:space="preserve"> con los re</w:t>
      </w:r>
      <w:r w:rsidR="00A97420" w:rsidRPr="00006C2A">
        <w:rPr>
          <w:rFonts w:asciiTheme="majorHAnsi" w:hAnsiTheme="majorHAnsi"/>
          <w:sz w:val="20"/>
          <w:szCs w:val="20"/>
          <w:lang w:val="es-ES_tradnl"/>
        </w:rPr>
        <w:t>q</w:t>
      </w:r>
      <w:r w:rsidR="002101A6" w:rsidRPr="00006C2A">
        <w:rPr>
          <w:rFonts w:asciiTheme="majorHAnsi" w:hAnsiTheme="majorHAnsi"/>
          <w:sz w:val="20"/>
          <w:szCs w:val="20"/>
          <w:lang w:val="es-ES_tradnl"/>
        </w:rPr>
        <w:t xml:space="preserve">uisitos </w:t>
      </w:r>
      <w:r w:rsidR="00507D11" w:rsidRPr="00006C2A">
        <w:rPr>
          <w:rFonts w:asciiTheme="majorHAnsi" w:hAnsiTheme="majorHAnsi"/>
          <w:sz w:val="20"/>
          <w:szCs w:val="20"/>
          <w:lang w:val="es-ES_tradnl"/>
        </w:rPr>
        <w:t xml:space="preserve">de admisibilidad </w:t>
      </w:r>
      <w:r w:rsidR="002101A6" w:rsidRPr="00006C2A">
        <w:rPr>
          <w:rFonts w:asciiTheme="majorHAnsi" w:hAnsiTheme="majorHAnsi"/>
          <w:sz w:val="20"/>
          <w:szCs w:val="20"/>
          <w:lang w:val="es-ES_tradnl"/>
        </w:rPr>
        <w:t xml:space="preserve">establecidos por la </w:t>
      </w:r>
      <w:r w:rsidR="00A97420" w:rsidRPr="00006C2A">
        <w:rPr>
          <w:rFonts w:asciiTheme="majorHAnsi" w:hAnsiTheme="majorHAnsi"/>
          <w:sz w:val="20"/>
          <w:szCs w:val="20"/>
          <w:lang w:val="es-ES_tradnl"/>
        </w:rPr>
        <w:t>Convención</w:t>
      </w:r>
      <w:r w:rsidR="002101A6" w:rsidRPr="00006C2A">
        <w:rPr>
          <w:rFonts w:asciiTheme="majorHAnsi" w:hAnsiTheme="majorHAnsi"/>
          <w:sz w:val="20"/>
          <w:szCs w:val="20"/>
          <w:lang w:val="es-ES_tradnl"/>
        </w:rPr>
        <w:t xml:space="preserve"> </w:t>
      </w:r>
      <w:r w:rsidR="00A97420" w:rsidRPr="00006C2A">
        <w:rPr>
          <w:rFonts w:asciiTheme="majorHAnsi" w:hAnsiTheme="majorHAnsi"/>
          <w:sz w:val="20"/>
          <w:szCs w:val="20"/>
          <w:lang w:val="es-ES_tradnl"/>
        </w:rPr>
        <w:t>Americana</w:t>
      </w:r>
      <w:r w:rsidR="002101A6" w:rsidRPr="00006C2A">
        <w:rPr>
          <w:rFonts w:asciiTheme="majorHAnsi" w:hAnsiTheme="majorHAnsi"/>
          <w:sz w:val="20"/>
          <w:szCs w:val="20"/>
          <w:lang w:val="es-ES_tradnl"/>
        </w:rPr>
        <w:t xml:space="preserve"> y el Reglamento de la Comisión</w:t>
      </w:r>
      <w:r w:rsidR="00A97420" w:rsidRPr="00006C2A">
        <w:rPr>
          <w:rFonts w:asciiTheme="majorHAnsi" w:hAnsiTheme="majorHAnsi"/>
          <w:sz w:val="20"/>
          <w:szCs w:val="20"/>
          <w:lang w:val="es-ES_tradnl"/>
        </w:rPr>
        <w:t>. Alega que</w:t>
      </w:r>
      <w:r w:rsidR="00603E2B" w:rsidRPr="00006C2A">
        <w:rPr>
          <w:rFonts w:asciiTheme="majorHAnsi" w:hAnsiTheme="majorHAnsi"/>
          <w:sz w:val="20"/>
          <w:szCs w:val="20"/>
          <w:lang w:val="es-ES_tradnl"/>
        </w:rPr>
        <w:t xml:space="preserve"> </w:t>
      </w:r>
      <w:r w:rsidR="002101A6" w:rsidRPr="00006C2A">
        <w:rPr>
          <w:rFonts w:asciiTheme="majorHAnsi" w:hAnsiTheme="majorHAnsi"/>
          <w:sz w:val="20"/>
          <w:szCs w:val="20"/>
          <w:lang w:val="es-ES_tradnl"/>
        </w:rPr>
        <w:t xml:space="preserve">no </w:t>
      </w:r>
      <w:r w:rsidR="001A0A3A" w:rsidRPr="00006C2A">
        <w:rPr>
          <w:rFonts w:asciiTheme="majorHAnsi" w:hAnsiTheme="majorHAnsi"/>
          <w:sz w:val="20"/>
          <w:szCs w:val="20"/>
          <w:lang w:val="es-ES_tradnl"/>
        </w:rPr>
        <w:t xml:space="preserve">se </w:t>
      </w:r>
      <w:r w:rsidR="002101A6" w:rsidRPr="00006C2A">
        <w:rPr>
          <w:rFonts w:asciiTheme="majorHAnsi" w:hAnsiTheme="majorHAnsi"/>
          <w:sz w:val="20"/>
          <w:szCs w:val="20"/>
          <w:lang w:val="es-ES_tradnl"/>
        </w:rPr>
        <w:t>identifica</w:t>
      </w:r>
      <w:r w:rsidR="00603E2B" w:rsidRPr="00006C2A">
        <w:rPr>
          <w:rFonts w:asciiTheme="majorHAnsi" w:hAnsiTheme="majorHAnsi"/>
          <w:sz w:val="20"/>
          <w:szCs w:val="20"/>
          <w:lang w:val="es-ES_tradnl"/>
        </w:rPr>
        <w:t xml:space="preserve"> </w:t>
      </w:r>
      <w:r w:rsidR="002101A6" w:rsidRPr="00006C2A">
        <w:rPr>
          <w:rFonts w:asciiTheme="majorHAnsi" w:hAnsiTheme="majorHAnsi"/>
          <w:sz w:val="20"/>
          <w:szCs w:val="20"/>
          <w:lang w:val="es-ES_tradnl"/>
        </w:rPr>
        <w:t>a la persona que figura como peticionaria</w:t>
      </w:r>
      <w:r w:rsidR="00476524" w:rsidRPr="00006C2A">
        <w:rPr>
          <w:rFonts w:asciiTheme="majorHAnsi" w:hAnsiTheme="majorHAnsi"/>
          <w:sz w:val="20"/>
          <w:szCs w:val="20"/>
          <w:lang w:val="es-ES_tradnl"/>
        </w:rPr>
        <w:t xml:space="preserve"> y tampoco presenta</w:t>
      </w:r>
      <w:r w:rsidR="001A0A3A" w:rsidRPr="00006C2A">
        <w:rPr>
          <w:rFonts w:asciiTheme="majorHAnsi" w:hAnsiTheme="majorHAnsi"/>
          <w:sz w:val="20"/>
          <w:szCs w:val="20"/>
          <w:lang w:val="es-ES_tradnl"/>
        </w:rPr>
        <w:t>n</w:t>
      </w:r>
      <w:r w:rsidR="00476524" w:rsidRPr="00006C2A">
        <w:rPr>
          <w:rFonts w:asciiTheme="majorHAnsi" w:hAnsiTheme="majorHAnsi"/>
          <w:sz w:val="20"/>
          <w:szCs w:val="20"/>
          <w:lang w:val="es-ES_tradnl"/>
        </w:rPr>
        <w:t xml:space="preserve"> información concreta y específica sobre la identidad de qui</w:t>
      </w:r>
      <w:r w:rsidR="00507D11" w:rsidRPr="00006C2A">
        <w:rPr>
          <w:rFonts w:asciiTheme="majorHAnsi" w:hAnsiTheme="majorHAnsi"/>
          <w:sz w:val="20"/>
          <w:szCs w:val="20"/>
          <w:lang w:val="es-ES_tradnl"/>
        </w:rPr>
        <w:t>é</w:t>
      </w:r>
      <w:r w:rsidR="00476524" w:rsidRPr="00006C2A">
        <w:rPr>
          <w:rFonts w:asciiTheme="majorHAnsi" w:hAnsiTheme="majorHAnsi"/>
          <w:sz w:val="20"/>
          <w:szCs w:val="20"/>
          <w:lang w:val="es-ES_tradnl"/>
        </w:rPr>
        <w:t>nes deben ser consideradas presuntas víctimas</w:t>
      </w:r>
      <w:r w:rsidR="007B32E7" w:rsidRPr="00006C2A">
        <w:rPr>
          <w:rFonts w:asciiTheme="majorHAnsi" w:hAnsiTheme="majorHAnsi"/>
          <w:sz w:val="20"/>
          <w:szCs w:val="20"/>
          <w:lang w:val="es-ES_tradnl"/>
        </w:rPr>
        <w:t>,</w:t>
      </w:r>
      <w:r w:rsidR="00476524" w:rsidRPr="00006C2A">
        <w:rPr>
          <w:rFonts w:asciiTheme="majorHAnsi" w:hAnsiTheme="majorHAnsi"/>
          <w:sz w:val="20"/>
          <w:szCs w:val="20"/>
          <w:lang w:val="es-ES_tradnl"/>
        </w:rPr>
        <w:t xml:space="preserve"> o incluso </w:t>
      </w:r>
      <w:r w:rsidR="00603E2B" w:rsidRPr="00006C2A">
        <w:rPr>
          <w:rFonts w:asciiTheme="majorHAnsi" w:hAnsiTheme="majorHAnsi"/>
          <w:sz w:val="20"/>
          <w:szCs w:val="20"/>
          <w:lang w:val="es-ES_tradnl"/>
        </w:rPr>
        <w:t xml:space="preserve">considerados como </w:t>
      </w:r>
      <w:r w:rsidR="00476524" w:rsidRPr="00006C2A">
        <w:rPr>
          <w:rFonts w:asciiTheme="majorHAnsi" w:hAnsiTheme="majorHAnsi"/>
          <w:sz w:val="20"/>
          <w:szCs w:val="20"/>
          <w:lang w:val="es-ES_tradnl"/>
        </w:rPr>
        <w:t>parte de la comunidad de la aldea Sesajal</w:t>
      </w:r>
      <w:r w:rsidR="002101A6" w:rsidRPr="00006C2A">
        <w:rPr>
          <w:rFonts w:asciiTheme="majorHAnsi" w:hAnsiTheme="majorHAnsi"/>
          <w:sz w:val="20"/>
          <w:szCs w:val="20"/>
          <w:lang w:val="es-ES_tradnl"/>
        </w:rPr>
        <w:t>. De</w:t>
      </w:r>
      <w:r w:rsidR="00476524" w:rsidRPr="00006C2A">
        <w:rPr>
          <w:rFonts w:asciiTheme="majorHAnsi" w:hAnsiTheme="majorHAnsi"/>
          <w:sz w:val="20"/>
          <w:szCs w:val="20"/>
          <w:lang w:val="es-ES_tradnl"/>
        </w:rPr>
        <w:t xml:space="preserve"> </w:t>
      </w:r>
      <w:r w:rsidR="002101A6" w:rsidRPr="00006C2A">
        <w:rPr>
          <w:rFonts w:asciiTheme="majorHAnsi" w:hAnsiTheme="majorHAnsi"/>
          <w:sz w:val="20"/>
          <w:szCs w:val="20"/>
          <w:lang w:val="es-ES_tradnl"/>
        </w:rPr>
        <w:t>igual forma</w:t>
      </w:r>
      <w:r w:rsidR="00476524" w:rsidRPr="00006C2A">
        <w:rPr>
          <w:rFonts w:asciiTheme="majorHAnsi" w:hAnsiTheme="majorHAnsi"/>
          <w:sz w:val="20"/>
          <w:szCs w:val="20"/>
          <w:lang w:val="es-ES_tradnl"/>
        </w:rPr>
        <w:t>, afirma que,</w:t>
      </w:r>
      <w:r w:rsidR="002101A6" w:rsidRPr="00006C2A">
        <w:rPr>
          <w:rFonts w:asciiTheme="majorHAnsi" w:hAnsiTheme="majorHAnsi"/>
          <w:sz w:val="20"/>
          <w:szCs w:val="20"/>
          <w:lang w:val="es-ES_tradnl"/>
        </w:rPr>
        <w:t xml:space="preserve"> </w:t>
      </w:r>
      <w:r w:rsidR="00476524" w:rsidRPr="00006C2A">
        <w:rPr>
          <w:rFonts w:asciiTheme="majorHAnsi" w:hAnsiTheme="majorHAnsi"/>
          <w:sz w:val="20"/>
          <w:szCs w:val="20"/>
          <w:lang w:val="es-ES_tradnl"/>
        </w:rPr>
        <w:t xml:space="preserve">a pesar de ser una petición del 2011, </w:t>
      </w:r>
      <w:r w:rsidR="007B32E7" w:rsidRPr="00006C2A">
        <w:rPr>
          <w:rFonts w:asciiTheme="majorHAnsi" w:hAnsiTheme="majorHAnsi"/>
          <w:sz w:val="20"/>
          <w:szCs w:val="20"/>
          <w:lang w:val="es-ES_tradnl"/>
        </w:rPr>
        <w:t>esta</w:t>
      </w:r>
      <w:r w:rsidR="00476524" w:rsidRPr="00006C2A">
        <w:rPr>
          <w:rFonts w:asciiTheme="majorHAnsi" w:hAnsiTheme="majorHAnsi"/>
          <w:sz w:val="20"/>
          <w:szCs w:val="20"/>
          <w:lang w:val="es-ES_tradnl"/>
        </w:rPr>
        <w:t xml:space="preserve"> no fue </w:t>
      </w:r>
      <w:r w:rsidR="002101A6" w:rsidRPr="00006C2A">
        <w:rPr>
          <w:rFonts w:asciiTheme="majorHAnsi" w:hAnsiTheme="majorHAnsi"/>
          <w:sz w:val="20"/>
          <w:szCs w:val="20"/>
          <w:lang w:val="es-ES_tradnl"/>
        </w:rPr>
        <w:t>presentada por medio del formulario establecido en el sitio web de la Comisión</w:t>
      </w:r>
      <w:r w:rsidR="00476524" w:rsidRPr="00006C2A">
        <w:rPr>
          <w:rFonts w:asciiTheme="majorHAnsi" w:hAnsiTheme="majorHAnsi"/>
          <w:sz w:val="20"/>
          <w:szCs w:val="20"/>
          <w:lang w:val="es-ES_tradnl"/>
        </w:rPr>
        <w:t xml:space="preserve">. </w:t>
      </w:r>
    </w:p>
    <w:p w14:paraId="66644DA1" w14:textId="77777777" w:rsidR="00C55372" w:rsidRPr="00006C2A" w:rsidRDefault="00C55372" w:rsidP="00C5537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4AC0205" w14:textId="098A7204" w:rsidR="00FD1DD3" w:rsidRPr="00006C2A" w:rsidRDefault="004765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006C2A">
        <w:rPr>
          <w:rFonts w:asciiTheme="majorHAnsi" w:hAnsiTheme="majorHAnsi"/>
          <w:sz w:val="20"/>
          <w:szCs w:val="20"/>
          <w:lang w:val="es-ES_tradnl"/>
        </w:rPr>
        <w:lastRenderedPageBreak/>
        <w:t>El Estado</w:t>
      </w:r>
      <w:r w:rsidR="00D07B12" w:rsidRPr="00006C2A">
        <w:rPr>
          <w:rFonts w:asciiTheme="majorHAnsi" w:hAnsiTheme="majorHAnsi"/>
          <w:sz w:val="20"/>
          <w:szCs w:val="20"/>
          <w:lang w:val="es-ES_tradnl"/>
        </w:rPr>
        <w:t xml:space="preserve"> </w:t>
      </w:r>
      <w:r w:rsidR="00CE10AD" w:rsidRPr="00006C2A">
        <w:rPr>
          <w:rFonts w:asciiTheme="majorHAnsi" w:hAnsiTheme="majorHAnsi"/>
          <w:sz w:val="20"/>
          <w:szCs w:val="20"/>
          <w:lang w:val="es-ES_tradnl"/>
        </w:rPr>
        <w:t>aduce</w:t>
      </w:r>
      <w:r w:rsidR="00D07B12" w:rsidRPr="00006C2A">
        <w:rPr>
          <w:rFonts w:asciiTheme="majorHAnsi" w:hAnsiTheme="majorHAnsi"/>
          <w:sz w:val="20"/>
          <w:szCs w:val="20"/>
          <w:lang w:val="es-ES_tradnl"/>
        </w:rPr>
        <w:t xml:space="preserve"> </w:t>
      </w:r>
      <w:r w:rsidR="00867E39">
        <w:rPr>
          <w:rFonts w:asciiTheme="majorHAnsi" w:hAnsiTheme="majorHAnsi"/>
          <w:sz w:val="20"/>
          <w:szCs w:val="20"/>
          <w:lang w:val="es-ES_tradnl"/>
        </w:rPr>
        <w:t>la falta de</w:t>
      </w:r>
      <w:r w:rsidR="00D07B12" w:rsidRPr="00006C2A">
        <w:rPr>
          <w:rFonts w:asciiTheme="majorHAnsi" w:hAnsiTheme="majorHAnsi"/>
          <w:sz w:val="20"/>
          <w:szCs w:val="20"/>
          <w:lang w:val="es-ES_tradnl"/>
        </w:rPr>
        <w:t xml:space="preserve"> agotamiento</w:t>
      </w:r>
      <w:r w:rsidR="00867E39">
        <w:rPr>
          <w:rFonts w:asciiTheme="majorHAnsi" w:hAnsiTheme="majorHAnsi"/>
          <w:sz w:val="20"/>
          <w:szCs w:val="20"/>
          <w:lang w:val="es-ES_tradnl"/>
        </w:rPr>
        <w:t xml:space="preserve"> de</w:t>
      </w:r>
      <w:r w:rsidR="00D07B12" w:rsidRPr="00006C2A">
        <w:rPr>
          <w:rFonts w:asciiTheme="majorHAnsi" w:hAnsiTheme="majorHAnsi"/>
          <w:sz w:val="20"/>
          <w:szCs w:val="20"/>
          <w:lang w:val="es-ES_tradnl"/>
        </w:rPr>
        <w:t xml:space="preserve"> </w:t>
      </w:r>
      <w:r w:rsidR="00377816" w:rsidRPr="00006C2A">
        <w:rPr>
          <w:rFonts w:asciiTheme="majorHAnsi" w:hAnsiTheme="majorHAnsi"/>
          <w:sz w:val="20"/>
          <w:szCs w:val="20"/>
          <w:lang w:val="es-ES_tradnl"/>
        </w:rPr>
        <w:t>los recursos internos</w:t>
      </w:r>
      <w:r w:rsidR="00902487" w:rsidRPr="00006C2A">
        <w:rPr>
          <w:rFonts w:asciiTheme="majorHAnsi" w:hAnsiTheme="majorHAnsi"/>
          <w:sz w:val="20"/>
          <w:szCs w:val="20"/>
          <w:lang w:val="es-ES_tradnl"/>
        </w:rPr>
        <w:t>,</w:t>
      </w:r>
      <w:r w:rsidR="00377816" w:rsidRPr="00006C2A">
        <w:rPr>
          <w:rFonts w:asciiTheme="majorHAnsi" w:hAnsiTheme="majorHAnsi"/>
          <w:sz w:val="20"/>
          <w:szCs w:val="20"/>
          <w:lang w:val="es-ES_tradnl"/>
        </w:rPr>
        <w:t xml:space="preserve"> </w:t>
      </w:r>
      <w:r w:rsidR="00902487" w:rsidRPr="00006C2A">
        <w:rPr>
          <w:rFonts w:asciiTheme="majorHAnsi" w:hAnsiTheme="majorHAnsi"/>
          <w:sz w:val="20"/>
          <w:szCs w:val="20"/>
          <w:lang w:val="es-ES_tradnl"/>
        </w:rPr>
        <w:t>por considerar que</w:t>
      </w:r>
      <w:r w:rsidR="00E76DB1" w:rsidRPr="00006C2A">
        <w:rPr>
          <w:rFonts w:asciiTheme="majorHAnsi" w:hAnsiTheme="majorHAnsi"/>
          <w:sz w:val="20"/>
          <w:szCs w:val="20"/>
          <w:lang w:val="es-ES_tradnl"/>
        </w:rPr>
        <w:t xml:space="preserve"> </w:t>
      </w:r>
      <w:r w:rsidR="002D2A2E" w:rsidRPr="00006C2A">
        <w:rPr>
          <w:rFonts w:asciiTheme="majorHAnsi" w:hAnsiTheme="majorHAnsi"/>
          <w:sz w:val="20"/>
          <w:szCs w:val="20"/>
          <w:lang w:val="es-ES_tradnl"/>
        </w:rPr>
        <w:t xml:space="preserve">las presuntas víctimas </w:t>
      </w:r>
      <w:r w:rsidR="00E76DB1" w:rsidRPr="00006C2A">
        <w:rPr>
          <w:rFonts w:asciiTheme="majorHAnsi" w:hAnsiTheme="majorHAnsi"/>
          <w:sz w:val="20"/>
          <w:szCs w:val="20"/>
          <w:lang w:val="es-ES_tradnl"/>
        </w:rPr>
        <w:t xml:space="preserve">no </w:t>
      </w:r>
      <w:r w:rsidR="002D2A2E" w:rsidRPr="00006C2A">
        <w:rPr>
          <w:rFonts w:asciiTheme="majorHAnsi" w:hAnsiTheme="majorHAnsi"/>
          <w:sz w:val="20"/>
          <w:szCs w:val="20"/>
          <w:lang w:val="es-ES_tradnl"/>
        </w:rPr>
        <w:t xml:space="preserve">interpusieron </w:t>
      </w:r>
      <w:r w:rsidR="00E61095" w:rsidRPr="00006C2A">
        <w:rPr>
          <w:rFonts w:asciiTheme="majorHAnsi" w:hAnsiTheme="majorHAnsi"/>
          <w:sz w:val="20"/>
          <w:szCs w:val="20"/>
          <w:lang w:val="es-ES_tradnl"/>
        </w:rPr>
        <w:t>la acción constitucional de amparo</w:t>
      </w:r>
      <w:r w:rsidR="00902487" w:rsidRPr="00006C2A">
        <w:rPr>
          <w:rFonts w:asciiTheme="majorHAnsi" w:hAnsiTheme="majorHAnsi"/>
          <w:sz w:val="20"/>
          <w:szCs w:val="20"/>
          <w:lang w:val="es-ES_tradnl"/>
        </w:rPr>
        <w:t>;</w:t>
      </w:r>
      <w:r w:rsidR="002D2A2E" w:rsidRPr="00006C2A">
        <w:rPr>
          <w:rFonts w:asciiTheme="majorHAnsi" w:hAnsiTheme="majorHAnsi"/>
          <w:sz w:val="20"/>
          <w:szCs w:val="20"/>
          <w:lang w:val="es-ES_tradnl"/>
        </w:rPr>
        <w:t xml:space="preserve"> entendido</w:t>
      </w:r>
      <w:r w:rsidR="00902487" w:rsidRPr="00006C2A">
        <w:rPr>
          <w:rFonts w:asciiTheme="majorHAnsi" w:hAnsiTheme="majorHAnsi"/>
          <w:sz w:val="20"/>
          <w:szCs w:val="20"/>
          <w:lang w:val="es-ES_tradnl"/>
        </w:rPr>
        <w:t xml:space="preserve"> este</w:t>
      </w:r>
      <w:r w:rsidR="002D2A2E" w:rsidRPr="00006C2A">
        <w:rPr>
          <w:rFonts w:asciiTheme="majorHAnsi" w:hAnsiTheme="majorHAnsi"/>
          <w:sz w:val="20"/>
          <w:szCs w:val="20"/>
          <w:lang w:val="es-ES_tradnl"/>
        </w:rPr>
        <w:t xml:space="preserve"> como el recurso idóneo para solventar </w:t>
      </w:r>
      <w:r w:rsidR="00902487" w:rsidRPr="00006C2A">
        <w:rPr>
          <w:rFonts w:asciiTheme="majorHAnsi" w:hAnsiTheme="majorHAnsi"/>
          <w:sz w:val="20"/>
          <w:szCs w:val="20"/>
          <w:lang w:val="es-ES_tradnl"/>
        </w:rPr>
        <w:t>su</w:t>
      </w:r>
      <w:r w:rsidR="002D2A2E" w:rsidRPr="00006C2A">
        <w:rPr>
          <w:rFonts w:asciiTheme="majorHAnsi" w:hAnsiTheme="majorHAnsi"/>
          <w:sz w:val="20"/>
          <w:szCs w:val="20"/>
          <w:lang w:val="es-ES_tradnl"/>
        </w:rPr>
        <w:t xml:space="preserve"> pretensión principal</w:t>
      </w:r>
      <w:r w:rsidR="00902487" w:rsidRPr="00006C2A">
        <w:rPr>
          <w:rFonts w:asciiTheme="majorHAnsi" w:hAnsiTheme="majorHAnsi"/>
          <w:sz w:val="20"/>
          <w:szCs w:val="20"/>
          <w:lang w:val="es-ES_tradnl"/>
        </w:rPr>
        <w:t xml:space="preserve">, </w:t>
      </w:r>
      <w:r w:rsidR="00F55794" w:rsidRPr="00006C2A">
        <w:rPr>
          <w:rFonts w:asciiTheme="majorHAnsi" w:hAnsiTheme="majorHAnsi"/>
          <w:sz w:val="20"/>
          <w:szCs w:val="20"/>
          <w:lang w:val="es-ES_tradnl"/>
        </w:rPr>
        <w:t xml:space="preserve">relativa a la presunta falta de acceso a una reparación </w:t>
      </w:r>
      <w:r w:rsidR="00027069" w:rsidRPr="00006C2A">
        <w:rPr>
          <w:rFonts w:asciiTheme="majorHAnsi" w:hAnsiTheme="majorHAnsi"/>
          <w:sz w:val="20"/>
          <w:szCs w:val="20"/>
          <w:lang w:val="es-ES_tradnl"/>
        </w:rPr>
        <w:t>como consecuencia del funcionamiento del PNR</w:t>
      </w:r>
      <w:r w:rsidR="00E61095" w:rsidRPr="00006C2A">
        <w:rPr>
          <w:rFonts w:asciiTheme="majorHAnsi" w:hAnsiTheme="majorHAnsi"/>
          <w:sz w:val="20"/>
          <w:szCs w:val="20"/>
          <w:lang w:val="es-ES_tradnl"/>
        </w:rPr>
        <w:t xml:space="preserve">. </w:t>
      </w:r>
      <w:r w:rsidR="00603E2B" w:rsidRPr="00006C2A">
        <w:rPr>
          <w:rFonts w:asciiTheme="majorHAnsi" w:hAnsiTheme="majorHAnsi"/>
          <w:sz w:val="20"/>
          <w:szCs w:val="20"/>
          <w:lang w:val="es-ES_tradnl"/>
        </w:rPr>
        <w:t xml:space="preserve">En tal sentido, </w:t>
      </w:r>
      <w:r w:rsidR="00C025E1" w:rsidRPr="00006C2A">
        <w:rPr>
          <w:rFonts w:asciiTheme="majorHAnsi" w:hAnsiTheme="majorHAnsi"/>
          <w:sz w:val="20"/>
          <w:szCs w:val="20"/>
          <w:lang w:val="es-ES_tradnl"/>
        </w:rPr>
        <w:t>el Estado entiende que</w:t>
      </w:r>
      <w:r w:rsidR="009852A4">
        <w:rPr>
          <w:rFonts w:asciiTheme="majorHAnsi" w:hAnsiTheme="majorHAnsi"/>
          <w:sz w:val="20"/>
          <w:szCs w:val="20"/>
          <w:lang w:val="es-ES_tradnl"/>
        </w:rPr>
        <w:t xml:space="preserve"> cuando</w:t>
      </w:r>
      <w:r w:rsidR="00C7109E" w:rsidRPr="00006C2A">
        <w:rPr>
          <w:rFonts w:asciiTheme="majorHAnsi" w:hAnsiTheme="majorHAnsi"/>
          <w:sz w:val="20"/>
          <w:szCs w:val="20"/>
          <w:lang w:val="es-ES_tradnl"/>
        </w:rPr>
        <w:t xml:space="preserve"> </w:t>
      </w:r>
      <w:r w:rsidR="00377816" w:rsidRPr="00006C2A">
        <w:rPr>
          <w:rFonts w:asciiTheme="majorHAnsi" w:hAnsiTheme="majorHAnsi"/>
          <w:sz w:val="20"/>
          <w:szCs w:val="20"/>
          <w:lang w:val="es-ES_tradnl"/>
        </w:rPr>
        <w:t>los peticionarios</w:t>
      </w:r>
      <w:r w:rsidR="002D30A5" w:rsidRPr="00006C2A">
        <w:rPr>
          <w:rFonts w:asciiTheme="majorHAnsi" w:hAnsiTheme="majorHAnsi"/>
          <w:sz w:val="20"/>
          <w:szCs w:val="20"/>
          <w:lang w:val="es-ES_tradnl"/>
        </w:rPr>
        <w:t xml:space="preserve"> </w:t>
      </w:r>
      <w:r w:rsidR="009852A4">
        <w:rPr>
          <w:rFonts w:asciiTheme="majorHAnsi" w:hAnsiTheme="majorHAnsi"/>
          <w:sz w:val="20"/>
          <w:szCs w:val="20"/>
          <w:lang w:val="es-ES_tradnl"/>
        </w:rPr>
        <w:t>presentaron su</w:t>
      </w:r>
      <w:r w:rsidR="00C025E1" w:rsidRPr="00006C2A">
        <w:rPr>
          <w:rFonts w:asciiTheme="majorHAnsi" w:hAnsiTheme="majorHAnsi"/>
          <w:sz w:val="20"/>
          <w:szCs w:val="20"/>
          <w:lang w:val="es-ES_tradnl"/>
        </w:rPr>
        <w:t xml:space="preserve"> </w:t>
      </w:r>
      <w:r w:rsidR="009852A4">
        <w:rPr>
          <w:rFonts w:asciiTheme="majorHAnsi" w:hAnsiTheme="majorHAnsi"/>
          <w:sz w:val="20"/>
          <w:szCs w:val="20"/>
          <w:lang w:val="es-ES_tradnl"/>
        </w:rPr>
        <w:t>m</w:t>
      </w:r>
      <w:r w:rsidR="00C025E1" w:rsidRPr="00006C2A">
        <w:rPr>
          <w:rFonts w:asciiTheme="majorHAnsi" w:hAnsiTheme="majorHAnsi"/>
          <w:sz w:val="20"/>
          <w:szCs w:val="20"/>
          <w:lang w:val="es-ES_tradnl"/>
        </w:rPr>
        <w:t xml:space="preserve">emorial de </w:t>
      </w:r>
      <w:r w:rsidR="009852A4">
        <w:rPr>
          <w:rFonts w:asciiTheme="majorHAnsi" w:hAnsiTheme="majorHAnsi"/>
          <w:sz w:val="20"/>
          <w:szCs w:val="20"/>
          <w:lang w:val="es-ES_tradnl"/>
        </w:rPr>
        <w:t>a</w:t>
      </w:r>
      <w:r w:rsidR="00C025E1" w:rsidRPr="00006C2A">
        <w:rPr>
          <w:rFonts w:asciiTheme="majorHAnsi" w:hAnsiTheme="majorHAnsi"/>
          <w:sz w:val="20"/>
          <w:szCs w:val="20"/>
          <w:lang w:val="es-ES_tradnl"/>
        </w:rPr>
        <w:t>gravios el 9 de diciembre de 2008</w:t>
      </w:r>
      <w:r w:rsidR="009852A4">
        <w:rPr>
          <w:rFonts w:asciiTheme="majorHAnsi" w:hAnsiTheme="majorHAnsi"/>
          <w:sz w:val="20"/>
          <w:szCs w:val="20"/>
          <w:lang w:val="es-ES_tradnl"/>
        </w:rPr>
        <w:t>,</w:t>
      </w:r>
      <w:r w:rsidR="000669C4">
        <w:rPr>
          <w:rFonts w:asciiTheme="majorHAnsi" w:hAnsiTheme="majorHAnsi"/>
          <w:sz w:val="20"/>
          <w:szCs w:val="20"/>
          <w:lang w:val="es-ES_tradnl"/>
        </w:rPr>
        <w:t xml:space="preserve"> </w:t>
      </w:r>
      <w:r w:rsidR="00D630EF">
        <w:rPr>
          <w:rFonts w:asciiTheme="majorHAnsi" w:hAnsiTheme="majorHAnsi"/>
          <w:sz w:val="20"/>
          <w:szCs w:val="20"/>
          <w:lang w:val="es-ES_tradnl"/>
        </w:rPr>
        <w:t xml:space="preserve">ejercieron </w:t>
      </w:r>
      <w:r w:rsidR="00C025E1" w:rsidRPr="00006C2A">
        <w:rPr>
          <w:rFonts w:asciiTheme="majorHAnsi" w:hAnsiTheme="majorHAnsi"/>
          <w:sz w:val="20"/>
          <w:szCs w:val="20"/>
          <w:lang w:val="es-ES_tradnl"/>
        </w:rPr>
        <w:t>un</w:t>
      </w:r>
      <w:r w:rsidR="006D51AB" w:rsidRPr="00006C2A">
        <w:rPr>
          <w:rFonts w:asciiTheme="majorHAnsi" w:hAnsiTheme="majorHAnsi"/>
          <w:sz w:val="20"/>
          <w:szCs w:val="20"/>
          <w:lang w:val="es-ES_tradnl"/>
        </w:rPr>
        <w:t xml:space="preserve"> derecho de petición</w:t>
      </w:r>
      <w:r w:rsidR="00C025E1" w:rsidRPr="00006C2A">
        <w:rPr>
          <w:rFonts w:asciiTheme="majorHAnsi" w:hAnsiTheme="majorHAnsi"/>
          <w:sz w:val="20"/>
          <w:szCs w:val="20"/>
          <w:lang w:val="es-ES_tradnl"/>
        </w:rPr>
        <w:t xml:space="preserve"> </w:t>
      </w:r>
      <w:r w:rsidR="000669C4">
        <w:rPr>
          <w:rFonts w:asciiTheme="majorHAnsi" w:hAnsiTheme="majorHAnsi"/>
          <w:sz w:val="20"/>
          <w:szCs w:val="20"/>
          <w:lang w:val="es-ES_tradnl"/>
        </w:rPr>
        <w:t>frente al</w:t>
      </w:r>
      <w:r w:rsidR="00C025E1" w:rsidRPr="00006C2A">
        <w:rPr>
          <w:rFonts w:asciiTheme="majorHAnsi" w:hAnsiTheme="majorHAnsi"/>
          <w:sz w:val="20"/>
          <w:szCs w:val="20"/>
          <w:lang w:val="es-ES_tradnl"/>
        </w:rPr>
        <w:t xml:space="preserve"> Programa Nacional de Resarcimiento</w:t>
      </w:r>
      <w:r w:rsidR="009A1AA2">
        <w:rPr>
          <w:rFonts w:asciiTheme="majorHAnsi" w:hAnsiTheme="majorHAnsi"/>
          <w:sz w:val="20"/>
          <w:szCs w:val="20"/>
          <w:lang w:val="es-ES_tradnl"/>
        </w:rPr>
        <w:t>.</w:t>
      </w:r>
      <w:r w:rsidR="00C025E1" w:rsidRPr="00006C2A">
        <w:rPr>
          <w:rFonts w:asciiTheme="majorHAnsi" w:hAnsiTheme="majorHAnsi"/>
          <w:sz w:val="20"/>
          <w:szCs w:val="20"/>
          <w:lang w:val="es-ES_tradnl"/>
        </w:rPr>
        <w:t xml:space="preserve"> </w:t>
      </w:r>
      <w:r w:rsidR="009A1AA2">
        <w:rPr>
          <w:rFonts w:asciiTheme="majorHAnsi" w:hAnsiTheme="majorHAnsi"/>
          <w:sz w:val="20"/>
          <w:szCs w:val="20"/>
          <w:lang w:val="es-ES_tradnl"/>
        </w:rPr>
        <w:t>P</w:t>
      </w:r>
      <w:r w:rsidR="00C025E1" w:rsidRPr="00006C2A">
        <w:rPr>
          <w:rFonts w:asciiTheme="majorHAnsi" w:hAnsiTheme="majorHAnsi"/>
          <w:sz w:val="20"/>
          <w:szCs w:val="20"/>
          <w:lang w:val="es-ES_tradnl"/>
        </w:rPr>
        <w:t xml:space="preserve">or lo que </w:t>
      </w:r>
      <w:r w:rsidR="00603E2B" w:rsidRPr="00006C2A">
        <w:rPr>
          <w:rFonts w:asciiTheme="majorHAnsi" w:hAnsiTheme="majorHAnsi"/>
          <w:sz w:val="20"/>
          <w:szCs w:val="20"/>
          <w:lang w:val="es-ES_tradnl"/>
        </w:rPr>
        <w:t xml:space="preserve">a partir de </w:t>
      </w:r>
      <w:r w:rsidR="00FF4B28" w:rsidRPr="00006C2A">
        <w:rPr>
          <w:rFonts w:asciiTheme="majorHAnsi" w:hAnsiTheme="majorHAnsi"/>
          <w:sz w:val="20"/>
          <w:szCs w:val="20"/>
          <w:lang w:val="es-ES_tradnl"/>
        </w:rPr>
        <w:t>esa</w:t>
      </w:r>
      <w:r w:rsidR="00603E2B" w:rsidRPr="00006C2A">
        <w:rPr>
          <w:rFonts w:asciiTheme="majorHAnsi" w:hAnsiTheme="majorHAnsi"/>
          <w:sz w:val="20"/>
          <w:szCs w:val="20"/>
          <w:lang w:val="es-ES_tradnl"/>
        </w:rPr>
        <w:t xml:space="preserve"> fecha </w:t>
      </w:r>
      <w:r w:rsidR="00377816" w:rsidRPr="00006C2A">
        <w:rPr>
          <w:rFonts w:asciiTheme="majorHAnsi" w:hAnsiTheme="majorHAnsi"/>
          <w:sz w:val="20"/>
          <w:szCs w:val="20"/>
          <w:lang w:val="es-ES_tradnl"/>
        </w:rPr>
        <w:t>la autoridad administrativa tenía treinta días para resolver la petición,</w:t>
      </w:r>
      <w:r w:rsidR="00603E2B" w:rsidRPr="00006C2A">
        <w:rPr>
          <w:rFonts w:asciiTheme="majorHAnsi" w:hAnsiTheme="majorHAnsi"/>
          <w:sz w:val="20"/>
          <w:szCs w:val="20"/>
          <w:lang w:val="es-ES_tradnl"/>
        </w:rPr>
        <w:t xml:space="preserve"> </w:t>
      </w:r>
      <w:r w:rsidR="00FF4B28" w:rsidRPr="00006C2A">
        <w:rPr>
          <w:rFonts w:asciiTheme="majorHAnsi" w:hAnsiTheme="majorHAnsi"/>
          <w:sz w:val="20"/>
          <w:szCs w:val="20"/>
          <w:lang w:val="es-ES_tradnl"/>
        </w:rPr>
        <w:t>de acuerdo con el</w:t>
      </w:r>
      <w:r w:rsidR="00603E2B" w:rsidRPr="00006C2A">
        <w:rPr>
          <w:rFonts w:asciiTheme="majorHAnsi" w:hAnsiTheme="majorHAnsi"/>
          <w:sz w:val="20"/>
          <w:szCs w:val="20"/>
          <w:lang w:val="es-ES_tradnl"/>
        </w:rPr>
        <w:t xml:space="preserve"> marco normativo guatemalteco</w:t>
      </w:r>
      <w:r w:rsidR="00D55009" w:rsidRPr="00006C2A">
        <w:rPr>
          <w:rFonts w:asciiTheme="majorHAnsi" w:hAnsiTheme="majorHAnsi"/>
          <w:sz w:val="20"/>
          <w:szCs w:val="20"/>
          <w:lang w:val="es-ES_tradnl"/>
        </w:rPr>
        <w:t xml:space="preserve">. Al no haber respondido </w:t>
      </w:r>
      <w:r w:rsidR="009C02E3" w:rsidRPr="00006C2A">
        <w:rPr>
          <w:rFonts w:asciiTheme="majorHAnsi" w:hAnsiTheme="majorHAnsi"/>
          <w:sz w:val="20"/>
          <w:szCs w:val="20"/>
          <w:lang w:val="es-ES_tradnl"/>
        </w:rPr>
        <w:t xml:space="preserve">en </w:t>
      </w:r>
      <w:r w:rsidR="00902487" w:rsidRPr="00006C2A">
        <w:rPr>
          <w:rFonts w:asciiTheme="majorHAnsi" w:hAnsiTheme="majorHAnsi"/>
          <w:sz w:val="20"/>
          <w:szCs w:val="20"/>
          <w:lang w:val="es-ES_tradnl"/>
        </w:rPr>
        <w:t>ese</w:t>
      </w:r>
      <w:r w:rsidR="009C02E3" w:rsidRPr="00006C2A">
        <w:rPr>
          <w:rFonts w:asciiTheme="majorHAnsi" w:hAnsiTheme="majorHAnsi"/>
          <w:sz w:val="20"/>
          <w:szCs w:val="20"/>
          <w:lang w:val="es-ES_tradnl"/>
        </w:rPr>
        <w:t xml:space="preserve"> lapso</w:t>
      </w:r>
      <w:r w:rsidR="00D55009" w:rsidRPr="00006C2A">
        <w:rPr>
          <w:rFonts w:asciiTheme="majorHAnsi" w:hAnsiTheme="majorHAnsi"/>
          <w:sz w:val="20"/>
          <w:szCs w:val="20"/>
          <w:lang w:val="es-ES_tradnl"/>
        </w:rPr>
        <w:t xml:space="preserve">, </w:t>
      </w:r>
      <w:r w:rsidR="00902487" w:rsidRPr="00006C2A">
        <w:rPr>
          <w:rFonts w:asciiTheme="majorHAnsi" w:hAnsiTheme="majorHAnsi"/>
          <w:sz w:val="20"/>
          <w:szCs w:val="20"/>
          <w:lang w:val="es-ES_tradnl"/>
        </w:rPr>
        <w:t xml:space="preserve">el PNR </w:t>
      </w:r>
      <w:r w:rsidR="009C02E3" w:rsidRPr="00006C2A">
        <w:rPr>
          <w:rFonts w:asciiTheme="majorHAnsi" w:hAnsiTheme="majorHAnsi"/>
          <w:sz w:val="20"/>
          <w:szCs w:val="20"/>
          <w:lang w:val="es-ES_tradnl"/>
        </w:rPr>
        <w:t xml:space="preserve">incurrió </w:t>
      </w:r>
      <w:r w:rsidR="00FD1DD3" w:rsidRPr="00006C2A">
        <w:rPr>
          <w:rFonts w:asciiTheme="majorHAnsi" w:hAnsiTheme="majorHAnsi"/>
          <w:sz w:val="20"/>
          <w:szCs w:val="20"/>
          <w:lang w:val="es-ES_tradnl"/>
        </w:rPr>
        <w:t>en silencio administrativo</w:t>
      </w:r>
      <w:r w:rsidR="00902487" w:rsidRPr="00006C2A">
        <w:rPr>
          <w:rFonts w:asciiTheme="majorHAnsi" w:hAnsiTheme="majorHAnsi"/>
          <w:sz w:val="20"/>
          <w:szCs w:val="20"/>
          <w:lang w:val="es-ES_tradnl"/>
        </w:rPr>
        <w:t>;</w:t>
      </w:r>
      <w:r w:rsidR="009C02E3" w:rsidRPr="00006C2A">
        <w:rPr>
          <w:rFonts w:asciiTheme="majorHAnsi" w:hAnsiTheme="majorHAnsi"/>
          <w:sz w:val="20"/>
          <w:szCs w:val="20"/>
          <w:lang w:val="es-ES_tradnl"/>
        </w:rPr>
        <w:t xml:space="preserve"> </w:t>
      </w:r>
      <w:r w:rsidR="00FF4B28" w:rsidRPr="00006C2A">
        <w:rPr>
          <w:rFonts w:asciiTheme="majorHAnsi" w:hAnsiTheme="majorHAnsi"/>
          <w:sz w:val="20"/>
          <w:szCs w:val="20"/>
          <w:lang w:val="es-ES_tradnl"/>
        </w:rPr>
        <w:t>frente a lo cua</w:t>
      </w:r>
      <w:r w:rsidR="00902487" w:rsidRPr="00006C2A">
        <w:rPr>
          <w:rFonts w:asciiTheme="majorHAnsi" w:hAnsiTheme="majorHAnsi"/>
          <w:sz w:val="20"/>
          <w:szCs w:val="20"/>
          <w:lang w:val="es-ES_tradnl"/>
        </w:rPr>
        <w:t>l</w:t>
      </w:r>
      <w:r w:rsidR="00FD1DD3" w:rsidRPr="00006C2A">
        <w:rPr>
          <w:rFonts w:asciiTheme="majorHAnsi" w:hAnsiTheme="majorHAnsi"/>
          <w:sz w:val="20"/>
          <w:szCs w:val="20"/>
          <w:lang w:val="es-ES_tradnl"/>
        </w:rPr>
        <w:t xml:space="preserve"> los peticionarios debieron haber interpuesto una </w:t>
      </w:r>
      <w:r w:rsidR="00767454" w:rsidRPr="00006C2A">
        <w:rPr>
          <w:rFonts w:asciiTheme="majorHAnsi" w:hAnsiTheme="majorHAnsi"/>
          <w:sz w:val="20"/>
          <w:szCs w:val="20"/>
          <w:lang w:val="es-ES_tradnl"/>
        </w:rPr>
        <w:t xml:space="preserve">acción </w:t>
      </w:r>
      <w:r w:rsidR="00FD1DD3" w:rsidRPr="00006C2A">
        <w:rPr>
          <w:rFonts w:asciiTheme="majorHAnsi" w:hAnsiTheme="majorHAnsi"/>
          <w:sz w:val="20"/>
          <w:szCs w:val="20"/>
          <w:lang w:val="es-ES_tradnl"/>
        </w:rPr>
        <w:t xml:space="preserve">constitucional </w:t>
      </w:r>
      <w:r w:rsidR="00767454" w:rsidRPr="00006C2A">
        <w:rPr>
          <w:rFonts w:asciiTheme="majorHAnsi" w:hAnsiTheme="majorHAnsi"/>
          <w:sz w:val="20"/>
          <w:szCs w:val="20"/>
          <w:lang w:val="es-ES_tradnl"/>
        </w:rPr>
        <w:t xml:space="preserve">de amparo con el objeto </w:t>
      </w:r>
      <w:r w:rsidR="00FF4B28" w:rsidRPr="00006C2A">
        <w:rPr>
          <w:rFonts w:asciiTheme="majorHAnsi" w:hAnsiTheme="majorHAnsi"/>
          <w:sz w:val="20"/>
          <w:szCs w:val="20"/>
          <w:lang w:val="es-ES_tradnl"/>
        </w:rPr>
        <w:t xml:space="preserve">de </w:t>
      </w:r>
      <w:r w:rsidR="009C02E3" w:rsidRPr="00006C2A">
        <w:rPr>
          <w:rFonts w:asciiTheme="majorHAnsi" w:hAnsiTheme="majorHAnsi"/>
          <w:sz w:val="20"/>
          <w:szCs w:val="20"/>
          <w:lang w:val="es-ES_tradnl"/>
        </w:rPr>
        <w:t xml:space="preserve">que se </w:t>
      </w:r>
      <w:r w:rsidR="00B26836" w:rsidRPr="00006C2A">
        <w:rPr>
          <w:rFonts w:asciiTheme="majorHAnsi" w:hAnsiTheme="majorHAnsi"/>
          <w:sz w:val="20"/>
          <w:szCs w:val="20"/>
          <w:lang w:val="es-ES_tradnl"/>
        </w:rPr>
        <w:t xml:space="preserve">estableciera </w:t>
      </w:r>
      <w:r w:rsidR="00767454" w:rsidRPr="00006C2A">
        <w:rPr>
          <w:rFonts w:asciiTheme="majorHAnsi" w:hAnsiTheme="majorHAnsi"/>
          <w:sz w:val="20"/>
          <w:szCs w:val="20"/>
          <w:lang w:val="es-ES_tradnl"/>
        </w:rPr>
        <w:t xml:space="preserve">un plazo razonable para que la autoridad </w:t>
      </w:r>
      <w:r w:rsidR="00FD1DD3" w:rsidRPr="00006C2A">
        <w:rPr>
          <w:rFonts w:asciiTheme="majorHAnsi" w:hAnsiTheme="majorHAnsi"/>
          <w:sz w:val="20"/>
          <w:szCs w:val="20"/>
          <w:lang w:val="es-ES_tradnl"/>
        </w:rPr>
        <w:t>pública</w:t>
      </w:r>
      <w:r w:rsidR="00767454" w:rsidRPr="00006C2A">
        <w:rPr>
          <w:rFonts w:asciiTheme="majorHAnsi" w:hAnsiTheme="majorHAnsi"/>
          <w:sz w:val="20"/>
          <w:szCs w:val="20"/>
          <w:lang w:val="es-ES_tradnl"/>
        </w:rPr>
        <w:t xml:space="preserve"> denunciada</w:t>
      </w:r>
      <w:r w:rsidR="00B26836" w:rsidRPr="00006C2A">
        <w:rPr>
          <w:rFonts w:asciiTheme="majorHAnsi" w:hAnsiTheme="majorHAnsi"/>
          <w:sz w:val="20"/>
          <w:szCs w:val="20"/>
          <w:lang w:val="es-ES_tradnl"/>
        </w:rPr>
        <w:t xml:space="preserve"> </w:t>
      </w:r>
      <w:r w:rsidR="002D2A2E" w:rsidRPr="00006C2A">
        <w:rPr>
          <w:rFonts w:asciiTheme="majorHAnsi" w:hAnsiTheme="majorHAnsi"/>
          <w:sz w:val="20"/>
          <w:szCs w:val="20"/>
          <w:lang w:val="es-ES_tradnl"/>
        </w:rPr>
        <w:t>se pronunciara</w:t>
      </w:r>
      <w:r w:rsidR="00B26836" w:rsidRPr="00006C2A">
        <w:rPr>
          <w:rFonts w:asciiTheme="majorHAnsi" w:hAnsiTheme="majorHAnsi"/>
          <w:sz w:val="20"/>
          <w:szCs w:val="20"/>
          <w:lang w:val="es-ES_tradnl"/>
        </w:rPr>
        <w:t xml:space="preserve">. Así, </w:t>
      </w:r>
      <w:r w:rsidR="00902487" w:rsidRPr="00006C2A">
        <w:rPr>
          <w:rFonts w:asciiTheme="majorHAnsi" w:hAnsiTheme="majorHAnsi"/>
          <w:sz w:val="20"/>
          <w:szCs w:val="20"/>
          <w:lang w:val="es-ES_tradnl"/>
        </w:rPr>
        <w:t>Guatemala</w:t>
      </w:r>
      <w:r w:rsidR="00867E39">
        <w:rPr>
          <w:rFonts w:asciiTheme="majorHAnsi" w:hAnsiTheme="majorHAnsi"/>
          <w:sz w:val="20"/>
          <w:szCs w:val="20"/>
          <w:lang w:val="es-ES_tradnl"/>
        </w:rPr>
        <w:t xml:space="preserve"> aduce que</w:t>
      </w:r>
      <w:r w:rsidR="00902487" w:rsidRPr="00006C2A">
        <w:rPr>
          <w:rFonts w:asciiTheme="majorHAnsi" w:hAnsiTheme="majorHAnsi"/>
          <w:sz w:val="20"/>
          <w:szCs w:val="20"/>
          <w:lang w:val="es-ES_tradnl"/>
        </w:rPr>
        <w:t>,</w:t>
      </w:r>
      <w:r w:rsidR="00B26836" w:rsidRPr="00006C2A">
        <w:rPr>
          <w:rFonts w:asciiTheme="majorHAnsi" w:hAnsiTheme="majorHAnsi"/>
          <w:sz w:val="20"/>
          <w:szCs w:val="20"/>
          <w:lang w:val="es-ES_tradnl"/>
        </w:rPr>
        <w:t xml:space="preserve"> </w:t>
      </w:r>
      <w:r w:rsidR="00902487" w:rsidRPr="00006C2A">
        <w:rPr>
          <w:rFonts w:asciiTheme="majorHAnsi" w:hAnsiTheme="majorHAnsi"/>
          <w:sz w:val="20"/>
          <w:szCs w:val="20"/>
          <w:lang w:val="es-ES_tradnl"/>
        </w:rPr>
        <w:t>a</w:t>
      </w:r>
      <w:r w:rsidR="00B26836" w:rsidRPr="00006C2A">
        <w:rPr>
          <w:rFonts w:asciiTheme="majorHAnsi" w:hAnsiTheme="majorHAnsi"/>
          <w:sz w:val="20"/>
          <w:szCs w:val="20"/>
          <w:lang w:val="es-ES_tradnl"/>
        </w:rPr>
        <w:t xml:space="preserve">l no haber interpuesto </w:t>
      </w:r>
      <w:r w:rsidR="00FD1DD3" w:rsidRPr="00006C2A">
        <w:rPr>
          <w:rFonts w:asciiTheme="majorHAnsi" w:hAnsiTheme="majorHAnsi"/>
          <w:sz w:val="20"/>
          <w:szCs w:val="20"/>
          <w:lang w:val="es-ES_tradnl"/>
        </w:rPr>
        <w:t xml:space="preserve">los peticionarios </w:t>
      </w:r>
      <w:r w:rsidR="009D1630" w:rsidRPr="00006C2A">
        <w:rPr>
          <w:rFonts w:asciiTheme="majorHAnsi" w:hAnsiTheme="majorHAnsi"/>
          <w:sz w:val="20"/>
          <w:szCs w:val="20"/>
          <w:lang w:val="es-ES_tradnl"/>
        </w:rPr>
        <w:t xml:space="preserve">este recurso, </w:t>
      </w:r>
      <w:r w:rsidR="00B26836" w:rsidRPr="00006C2A">
        <w:rPr>
          <w:rFonts w:asciiTheme="majorHAnsi" w:hAnsiTheme="majorHAnsi"/>
          <w:sz w:val="20"/>
          <w:szCs w:val="20"/>
          <w:lang w:val="es-ES_tradnl"/>
        </w:rPr>
        <w:t xml:space="preserve">imposibilitaron </w:t>
      </w:r>
      <w:r w:rsidR="009D1630" w:rsidRPr="00006C2A">
        <w:rPr>
          <w:rFonts w:asciiTheme="majorHAnsi" w:hAnsiTheme="majorHAnsi"/>
          <w:sz w:val="20"/>
          <w:szCs w:val="20"/>
          <w:lang w:val="es-ES_tradnl"/>
        </w:rPr>
        <w:t xml:space="preserve">al Estado la posibilidad de solventar la situación en el ámbito nacional. </w:t>
      </w:r>
    </w:p>
    <w:p w14:paraId="0D5A0B89" w14:textId="77777777" w:rsidR="00C55372" w:rsidRPr="00006C2A" w:rsidRDefault="00C55372" w:rsidP="00C5537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28370FC" w14:textId="28A4373E" w:rsidR="008734D0" w:rsidRPr="00006C2A" w:rsidRDefault="00FD1D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006C2A">
        <w:rPr>
          <w:rFonts w:asciiTheme="majorHAnsi" w:hAnsiTheme="majorHAnsi"/>
          <w:sz w:val="20"/>
          <w:szCs w:val="20"/>
          <w:lang w:val="es-ES_tradnl"/>
        </w:rPr>
        <w:t xml:space="preserve"> </w:t>
      </w:r>
      <w:r w:rsidR="00C224D4" w:rsidRPr="00006C2A">
        <w:rPr>
          <w:rFonts w:asciiTheme="majorHAnsi" w:hAnsiTheme="majorHAnsi"/>
          <w:sz w:val="20"/>
          <w:szCs w:val="20"/>
          <w:lang w:val="es-ES_tradnl"/>
        </w:rPr>
        <w:t>Asimismo, e</w:t>
      </w:r>
      <w:r w:rsidR="00B26836" w:rsidRPr="00006C2A">
        <w:rPr>
          <w:rFonts w:asciiTheme="majorHAnsi" w:hAnsiTheme="majorHAnsi"/>
          <w:sz w:val="20"/>
          <w:szCs w:val="20"/>
          <w:lang w:val="es-ES_tradnl"/>
        </w:rPr>
        <w:t>l Estado argumenta que</w:t>
      </w:r>
      <w:r w:rsidR="00867E39">
        <w:rPr>
          <w:rFonts w:asciiTheme="majorHAnsi" w:hAnsiTheme="majorHAnsi"/>
          <w:sz w:val="20"/>
          <w:szCs w:val="20"/>
          <w:lang w:val="es-ES_tradnl"/>
        </w:rPr>
        <w:t>,</w:t>
      </w:r>
      <w:r w:rsidR="00B26836" w:rsidRPr="00006C2A">
        <w:rPr>
          <w:rFonts w:asciiTheme="majorHAnsi" w:hAnsiTheme="majorHAnsi"/>
          <w:sz w:val="20"/>
          <w:szCs w:val="20"/>
          <w:lang w:val="es-ES_tradnl"/>
        </w:rPr>
        <w:t xml:space="preserve"> de considerar</w:t>
      </w:r>
      <w:r w:rsidR="001220C5" w:rsidRPr="00006C2A">
        <w:rPr>
          <w:rFonts w:asciiTheme="majorHAnsi" w:hAnsiTheme="majorHAnsi"/>
          <w:sz w:val="20"/>
          <w:szCs w:val="20"/>
          <w:lang w:val="es-ES_tradnl"/>
        </w:rPr>
        <w:t>se</w:t>
      </w:r>
      <w:r w:rsidR="00B26836" w:rsidRPr="00006C2A">
        <w:rPr>
          <w:rFonts w:asciiTheme="majorHAnsi" w:hAnsiTheme="majorHAnsi"/>
          <w:sz w:val="20"/>
          <w:szCs w:val="20"/>
          <w:lang w:val="es-ES_tradnl"/>
        </w:rPr>
        <w:t xml:space="preserve"> que s</w:t>
      </w:r>
      <w:r w:rsidR="0030741F" w:rsidRPr="00006C2A">
        <w:rPr>
          <w:rFonts w:asciiTheme="majorHAnsi" w:hAnsiTheme="majorHAnsi"/>
          <w:sz w:val="20"/>
          <w:szCs w:val="20"/>
          <w:lang w:val="es-ES_tradnl"/>
        </w:rPr>
        <w:t>í</w:t>
      </w:r>
      <w:r w:rsidR="00B26836" w:rsidRPr="00006C2A">
        <w:rPr>
          <w:rFonts w:asciiTheme="majorHAnsi" w:hAnsiTheme="majorHAnsi"/>
          <w:sz w:val="20"/>
          <w:szCs w:val="20"/>
          <w:lang w:val="es-ES_tradnl"/>
        </w:rPr>
        <w:t xml:space="preserve"> hubo agotamiento de los recursos internos, </w:t>
      </w:r>
      <w:r w:rsidR="002D2A2E" w:rsidRPr="00006C2A">
        <w:rPr>
          <w:rFonts w:asciiTheme="majorHAnsi" w:hAnsiTheme="majorHAnsi"/>
          <w:sz w:val="20"/>
          <w:szCs w:val="20"/>
          <w:lang w:val="es-ES_tradnl"/>
        </w:rPr>
        <w:t xml:space="preserve">se debe entender que </w:t>
      </w:r>
      <w:r w:rsidR="009D1630" w:rsidRPr="00006C2A">
        <w:rPr>
          <w:rFonts w:asciiTheme="majorHAnsi" w:hAnsiTheme="majorHAnsi"/>
          <w:sz w:val="20"/>
          <w:szCs w:val="20"/>
          <w:lang w:val="es-ES_tradnl"/>
        </w:rPr>
        <w:t xml:space="preserve">los peticionarios presentaron la petición </w:t>
      </w:r>
      <w:r w:rsidR="0030741F" w:rsidRPr="00006C2A">
        <w:rPr>
          <w:rFonts w:asciiTheme="majorHAnsi" w:hAnsiTheme="majorHAnsi"/>
          <w:sz w:val="20"/>
          <w:szCs w:val="20"/>
          <w:lang w:val="es-ES_tradnl"/>
        </w:rPr>
        <w:t>a la CIDH</w:t>
      </w:r>
      <w:r w:rsidR="009D1630" w:rsidRPr="00006C2A">
        <w:rPr>
          <w:rFonts w:asciiTheme="majorHAnsi" w:hAnsiTheme="majorHAnsi"/>
          <w:sz w:val="20"/>
          <w:szCs w:val="20"/>
          <w:lang w:val="es-ES_tradnl"/>
        </w:rPr>
        <w:t xml:space="preserve"> luego de haber transcurrido aproximadamente dos años desde la presentación del mencionado memorial, sin que se haya</w:t>
      </w:r>
      <w:r w:rsidR="00B26836" w:rsidRPr="00006C2A">
        <w:rPr>
          <w:rFonts w:asciiTheme="majorHAnsi" w:hAnsiTheme="majorHAnsi"/>
          <w:sz w:val="20"/>
          <w:szCs w:val="20"/>
          <w:lang w:val="es-ES_tradnl"/>
        </w:rPr>
        <w:t xml:space="preserve"> presentado </w:t>
      </w:r>
      <w:r w:rsidR="009D1630" w:rsidRPr="00006C2A">
        <w:rPr>
          <w:rFonts w:asciiTheme="majorHAnsi" w:hAnsiTheme="majorHAnsi"/>
          <w:sz w:val="20"/>
          <w:szCs w:val="20"/>
          <w:lang w:val="es-ES_tradnl"/>
        </w:rPr>
        <w:t>acción judicial alguna.</w:t>
      </w:r>
      <w:r w:rsidR="00C224D4" w:rsidRPr="00006C2A">
        <w:rPr>
          <w:rFonts w:asciiTheme="majorHAnsi" w:hAnsiTheme="majorHAnsi"/>
          <w:sz w:val="20"/>
          <w:szCs w:val="20"/>
          <w:lang w:val="es-ES_tradnl"/>
        </w:rPr>
        <w:t xml:space="preserve"> </w:t>
      </w:r>
      <w:r w:rsidR="004D24B5" w:rsidRPr="00006C2A">
        <w:rPr>
          <w:rFonts w:asciiTheme="majorHAnsi" w:hAnsiTheme="majorHAnsi"/>
          <w:sz w:val="20"/>
          <w:szCs w:val="20"/>
          <w:lang w:val="es-ES_tradnl"/>
        </w:rPr>
        <w:t xml:space="preserve">Así, sostiene que </w:t>
      </w:r>
      <w:r w:rsidR="001220C5" w:rsidRPr="00006C2A">
        <w:rPr>
          <w:rFonts w:asciiTheme="majorHAnsi" w:hAnsiTheme="majorHAnsi"/>
          <w:sz w:val="20"/>
          <w:szCs w:val="20"/>
          <w:lang w:val="es-ES_tradnl"/>
        </w:rPr>
        <w:t>aquellos</w:t>
      </w:r>
      <w:r w:rsidR="004D24B5" w:rsidRPr="00006C2A">
        <w:rPr>
          <w:rFonts w:asciiTheme="majorHAnsi" w:hAnsiTheme="majorHAnsi"/>
          <w:sz w:val="20"/>
          <w:szCs w:val="20"/>
          <w:lang w:val="es-ES_tradnl"/>
        </w:rPr>
        <w:t xml:space="preserve"> excedieron el plazo </w:t>
      </w:r>
      <w:r w:rsidR="001220C5" w:rsidRPr="00006C2A">
        <w:rPr>
          <w:rFonts w:asciiTheme="majorHAnsi" w:hAnsiTheme="majorHAnsi"/>
          <w:sz w:val="20"/>
          <w:szCs w:val="20"/>
          <w:lang w:val="es-ES_tradnl"/>
        </w:rPr>
        <w:t xml:space="preserve">convencional </w:t>
      </w:r>
      <w:r w:rsidR="004D24B5" w:rsidRPr="00006C2A">
        <w:rPr>
          <w:rFonts w:asciiTheme="majorHAnsi" w:hAnsiTheme="majorHAnsi"/>
          <w:sz w:val="20"/>
          <w:szCs w:val="20"/>
          <w:lang w:val="es-ES_tradnl"/>
        </w:rPr>
        <w:t xml:space="preserve">de seis meses para la presentación de la petición ante la Comisión. </w:t>
      </w:r>
    </w:p>
    <w:p w14:paraId="469AB972" w14:textId="77777777" w:rsidR="00C55372" w:rsidRPr="00006C2A" w:rsidRDefault="00C55372" w:rsidP="00C5537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8FF38F5" w14:textId="32DD587B" w:rsidR="006560B9" w:rsidRPr="00006C2A" w:rsidRDefault="003540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006C2A">
        <w:rPr>
          <w:rFonts w:asciiTheme="majorHAnsi" w:hAnsiTheme="majorHAnsi"/>
          <w:sz w:val="20"/>
          <w:szCs w:val="20"/>
          <w:lang w:val="es-ES_tradnl"/>
        </w:rPr>
        <w:t xml:space="preserve">Por otro lado, </w:t>
      </w:r>
      <w:r w:rsidR="006560B9" w:rsidRPr="00006C2A">
        <w:rPr>
          <w:rFonts w:asciiTheme="majorHAnsi" w:hAnsiTheme="majorHAnsi"/>
          <w:sz w:val="20"/>
          <w:szCs w:val="20"/>
          <w:lang w:val="es-ES_tradnl"/>
        </w:rPr>
        <w:t xml:space="preserve">el </w:t>
      </w:r>
      <w:r w:rsidR="00CF7860">
        <w:rPr>
          <w:rFonts w:asciiTheme="majorHAnsi" w:hAnsiTheme="majorHAnsi"/>
          <w:sz w:val="20"/>
          <w:szCs w:val="20"/>
          <w:lang w:val="es-ES_tradnl"/>
        </w:rPr>
        <w:t xml:space="preserve">Estado de </w:t>
      </w:r>
      <w:r w:rsidR="001220C5" w:rsidRPr="00006C2A">
        <w:rPr>
          <w:rFonts w:asciiTheme="majorHAnsi" w:hAnsiTheme="majorHAnsi"/>
          <w:sz w:val="20"/>
          <w:szCs w:val="20"/>
          <w:lang w:val="es-ES_tradnl"/>
        </w:rPr>
        <w:t>Guatemala</w:t>
      </w:r>
      <w:r w:rsidR="006560B9" w:rsidRPr="00006C2A">
        <w:rPr>
          <w:rFonts w:asciiTheme="majorHAnsi" w:hAnsiTheme="majorHAnsi"/>
          <w:sz w:val="20"/>
          <w:szCs w:val="20"/>
          <w:lang w:val="es-ES_tradnl"/>
        </w:rPr>
        <w:t xml:space="preserve"> sostiene que la presente petición resulta manifiestamente infundada en tanto los hechos alegados y la argumentación presentada por los peticionarios no cuentan con sustento alguno. En tal sentido, </w:t>
      </w:r>
      <w:r w:rsidR="001220C5" w:rsidRPr="00006C2A">
        <w:rPr>
          <w:rFonts w:asciiTheme="majorHAnsi" w:hAnsiTheme="majorHAnsi"/>
          <w:sz w:val="20"/>
          <w:szCs w:val="20"/>
          <w:lang w:val="es-ES_tradnl"/>
        </w:rPr>
        <w:t>aduce</w:t>
      </w:r>
      <w:r w:rsidR="006560B9" w:rsidRPr="00006C2A">
        <w:rPr>
          <w:rFonts w:asciiTheme="majorHAnsi" w:hAnsiTheme="majorHAnsi"/>
          <w:sz w:val="20"/>
          <w:szCs w:val="20"/>
          <w:lang w:val="es-ES_tradnl"/>
        </w:rPr>
        <w:t xml:space="preserve"> que la información aportada es genérica con respecto al PNR y al contexto guatemalteco; no expone hechos particulares o específicos</w:t>
      </w:r>
      <w:r w:rsidR="001220C5" w:rsidRPr="00006C2A">
        <w:rPr>
          <w:rFonts w:asciiTheme="majorHAnsi" w:hAnsiTheme="majorHAnsi"/>
          <w:sz w:val="20"/>
          <w:szCs w:val="20"/>
          <w:lang w:val="es-ES_tradnl"/>
        </w:rPr>
        <w:t>;</w:t>
      </w:r>
      <w:r w:rsidR="006560B9" w:rsidRPr="00006C2A">
        <w:rPr>
          <w:rFonts w:asciiTheme="majorHAnsi" w:hAnsiTheme="majorHAnsi"/>
          <w:sz w:val="20"/>
          <w:szCs w:val="20"/>
          <w:lang w:val="es-ES_tradnl"/>
        </w:rPr>
        <w:t xml:space="preserve"> y no establece una relación directa de c</w:t>
      </w:r>
      <w:r w:rsidR="001220C5" w:rsidRPr="00006C2A">
        <w:rPr>
          <w:rFonts w:asciiTheme="majorHAnsi" w:hAnsiTheme="majorHAnsi"/>
          <w:sz w:val="20"/>
          <w:szCs w:val="20"/>
          <w:lang w:val="es-ES_tradnl"/>
        </w:rPr>
        <w:t>ó</w:t>
      </w:r>
      <w:r w:rsidR="006560B9" w:rsidRPr="00006C2A">
        <w:rPr>
          <w:rFonts w:asciiTheme="majorHAnsi" w:hAnsiTheme="majorHAnsi"/>
          <w:sz w:val="20"/>
          <w:szCs w:val="20"/>
          <w:lang w:val="es-ES_tradnl"/>
        </w:rPr>
        <w:t xml:space="preserve">mo los derechos de las presuntas víctimas se ven afectados. En particular, insiste que en su última comunicación los peticionarios </w:t>
      </w:r>
      <w:r w:rsidR="002D2A2E" w:rsidRPr="00006C2A">
        <w:rPr>
          <w:rFonts w:asciiTheme="majorHAnsi" w:hAnsiTheme="majorHAnsi"/>
          <w:sz w:val="20"/>
          <w:szCs w:val="20"/>
          <w:lang w:val="es-ES_tradnl"/>
        </w:rPr>
        <w:t xml:space="preserve">se limitaron </w:t>
      </w:r>
      <w:r w:rsidR="006560B9" w:rsidRPr="00006C2A">
        <w:rPr>
          <w:rFonts w:asciiTheme="majorHAnsi" w:hAnsiTheme="majorHAnsi"/>
          <w:sz w:val="20"/>
          <w:szCs w:val="20"/>
          <w:lang w:val="es-ES_tradnl"/>
        </w:rPr>
        <w:t xml:space="preserve">a informar sobre la presunta promoción </w:t>
      </w:r>
      <w:r w:rsidR="00027069" w:rsidRPr="00006C2A">
        <w:rPr>
          <w:rFonts w:asciiTheme="majorHAnsi" w:hAnsiTheme="majorHAnsi"/>
          <w:sz w:val="20"/>
          <w:szCs w:val="20"/>
          <w:lang w:val="es-ES_tradnl"/>
        </w:rPr>
        <w:t>de acciones legales en el ámbito nacional</w:t>
      </w:r>
      <w:r w:rsidR="00C7109E" w:rsidRPr="00006C2A">
        <w:rPr>
          <w:rFonts w:asciiTheme="majorHAnsi" w:hAnsiTheme="majorHAnsi"/>
          <w:sz w:val="20"/>
          <w:szCs w:val="20"/>
          <w:lang w:val="es-ES_tradnl"/>
        </w:rPr>
        <w:t xml:space="preserve"> </w:t>
      </w:r>
      <w:r w:rsidR="006560B9" w:rsidRPr="00006C2A">
        <w:rPr>
          <w:rFonts w:asciiTheme="majorHAnsi" w:hAnsiTheme="majorHAnsi"/>
          <w:sz w:val="20"/>
          <w:szCs w:val="20"/>
          <w:lang w:val="es-ES_tradnl"/>
        </w:rPr>
        <w:t xml:space="preserve">por cientos de presuntas víctimas </w:t>
      </w:r>
      <w:r w:rsidR="002D2A2E" w:rsidRPr="00006C2A">
        <w:rPr>
          <w:rFonts w:asciiTheme="majorHAnsi" w:hAnsiTheme="majorHAnsi"/>
          <w:sz w:val="20"/>
          <w:szCs w:val="20"/>
          <w:lang w:val="es-ES_tradnl"/>
        </w:rPr>
        <w:t>de otros casos</w:t>
      </w:r>
      <w:r w:rsidR="006560B9" w:rsidRPr="00006C2A">
        <w:rPr>
          <w:rFonts w:asciiTheme="majorHAnsi" w:hAnsiTheme="majorHAnsi"/>
          <w:sz w:val="20"/>
          <w:szCs w:val="20"/>
          <w:lang w:val="es-ES_tradnl"/>
        </w:rPr>
        <w:t xml:space="preserve">. </w:t>
      </w:r>
    </w:p>
    <w:p w14:paraId="2D293910" w14:textId="77777777" w:rsidR="00C55372" w:rsidRPr="00006C2A" w:rsidRDefault="00C55372" w:rsidP="00C5537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370F6B6" w14:textId="21D37BC6" w:rsidR="0035405B" w:rsidRPr="00006C2A" w:rsidRDefault="0009501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006C2A">
        <w:rPr>
          <w:rFonts w:asciiTheme="majorHAnsi" w:hAnsiTheme="majorHAnsi"/>
          <w:sz w:val="20"/>
          <w:szCs w:val="20"/>
          <w:lang w:val="es-ES_tradnl"/>
        </w:rPr>
        <w:t>Alega además</w:t>
      </w:r>
      <w:r w:rsidR="006560B9" w:rsidRPr="00006C2A">
        <w:rPr>
          <w:rFonts w:asciiTheme="majorHAnsi" w:hAnsiTheme="majorHAnsi"/>
          <w:sz w:val="20"/>
          <w:szCs w:val="20"/>
          <w:lang w:val="es-ES_tradnl"/>
        </w:rPr>
        <w:t xml:space="preserve"> que en</w:t>
      </w:r>
      <w:r w:rsidR="0035405B" w:rsidRPr="00006C2A">
        <w:rPr>
          <w:rFonts w:asciiTheme="majorHAnsi" w:hAnsiTheme="majorHAnsi"/>
          <w:sz w:val="20"/>
          <w:szCs w:val="20"/>
          <w:lang w:val="es-ES_tradnl"/>
        </w:rPr>
        <w:t xml:space="preserve"> virtud del Acuerdo </w:t>
      </w:r>
      <w:r w:rsidR="001220C5" w:rsidRPr="00006C2A">
        <w:rPr>
          <w:rFonts w:asciiTheme="majorHAnsi" w:hAnsiTheme="majorHAnsi"/>
          <w:sz w:val="20"/>
          <w:szCs w:val="20"/>
          <w:lang w:val="es-ES_tradnl"/>
        </w:rPr>
        <w:t>G</w:t>
      </w:r>
      <w:r w:rsidR="0035405B" w:rsidRPr="00006C2A">
        <w:rPr>
          <w:rFonts w:asciiTheme="majorHAnsi" w:hAnsiTheme="majorHAnsi"/>
          <w:sz w:val="20"/>
          <w:szCs w:val="20"/>
          <w:lang w:val="es-ES_tradnl"/>
        </w:rPr>
        <w:t>ubernativo 258-2003 de Creación del PNR, surgió la necesidad de rechazar peticiones de resarcimiento a favor de personas que alegaban haber sido víctimas del enfrentamiento armado</w:t>
      </w:r>
      <w:r w:rsidR="001220C5" w:rsidRPr="00006C2A">
        <w:rPr>
          <w:rFonts w:asciiTheme="majorHAnsi" w:hAnsiTheme="majorHAnsi"/>
          <w:sz w:val="20"/>
          <w:szCs w:val="20"/>
          <w:lang w:val="es-ES_tradnl"/>
        </w:rPr>
        <w:t xml:space="preserve"> y</w:t>
      </w:r>
      <w:r w:rsidR="0035405B" w:rsidRPr="00006C2A">
        <w:rPr>
          <w:rFonts w:asciiTheme="majorHAnsi" w:hAnsiTheme="majorHAnsi"/>
          <w:sz w:val="20"/>
          <w:szCs w:val="20"/>
          <w:lang w:val="es-ES_tradnl"/>
        </w:rPr>
        <w:t xml:space="preserve"> </w:t>
      </w:r>
      <w:r w:rsidR="00260A84" w:rsidRPr="00006C2A">
        <w:rPr>
          <w:rFonts w:asciiTheme="majorHAnsi" w:hAnsiTheme="majorHAnsi"/>
          <w:sz w:val="20"/>
          <w:szCs w:val="20"/>
          <w:lang w:val="es-ES_tradnl"/>
        </w:rPr>
        <w:t xml:space="preserve">que </w:t>
      </w:r>
      <w:r w:rsidR="0035405B" w:rsidRPr="00006C2A">
        <w:rPr>
          <w:rFonts w:asciiTheme="majorHAnsi" w:hAnsiTheme="majorHAnsi"/>
          <w:sz w:val="20"/>
          <w:szCs w:val="20"/>
          <w:lang w:val="es-ES_tradnl"/>
        </w:rPr>
        <w:t xml:space="preserve">al mismo tiempo habían sido parte de las </w:t>
      </w:r>
      <w:r w:rsidR="006560B9" w:rsidRPr="00006C2A">
        <w:rPr>
          <w:rFonts w:asciiTheme="majorHAnsi" w:hAnsiTheme="majorHAnsi"/>
          <w:sz w:val="20"/>
          <w:szCs w:val="20"/>
          <w:lang w:val="es-ES_tradnl"/>
        </w:rPr>
        <w:t>p</w:t>
      </w:r>
      <w:r w:rsidR="0035405B" w:rsidRPr="00006C2A">
        <w:rPr>
          <w:rFonts w:asciiTheme="majorHAnsi" w:hAnsiTheme="majorHAnsi"/>
          <w:sz w:val="20"/>
          <w:szCs w:val="20"/>
          <w:lang w:val="es-ES_tradnl"/>
        </w:rPr>
        <w:t>atrullas de Autodefensa</w:t>
      </w:r>
      <w:r w:rsidR="001220C5" w:rsidRPr="00006C2A">
        <w:rPr>
          <w:rFonts w:asciiTheme="majorHAnsi" w:hAnsiTheme="majorHAnsi"/>
          <w:sz w:val="20"/>
          <w:szCs w:val="20"/>
          <w:lang w:val="es-ES_tradnl"/>
        </w:rPr>
        <w:t>s</w:t>
      </w:r>
      <w:r w:rsidR="0035405B" w:rsidRPr="00006C2A">
        <w:rPr>
          <w:rFonts w:asciiTheme="majorHAnsi" w:hAnsiTheme="majorHAnsi"/>
          <w:sz w:val="20"/>
          <w:szCs w:val="20"/>
          <w:lang w:val="es-ES_tradnl"/>
        </w:rPr>
        <w:t xml:space="preserve"> Civil</w:t>
      </w:r>
      <w:r w:rsidR="001220C5" w:rsidRPr="00006C2A">
        <w:rPr>
          <w:rFonts w:asciiTheme="majorHAnsi" w:hAnsiTheme="majorHAnsi"/>
          <w:sz w:val="20"/>
          <w:szCs w:val="20"/>
          <w:lang w:val="es-ES_tradnl"/>
        </w:rPr>
        <w:t>es,</w:t>
      </w:r>
      <w:r w:rsidR="0035405B" w:rsidRPr="00006C2A">
        <w:rPr>
          <w:rFonts w:asciiTheme="majorHAnsi" w:hAnsiTheme="majorHAnsi"/>
          <w:sz w:val="20"/>
          <w:szCs w:val="20"/>
          <w:lang w:val="es-ES_tradnl"/>
        </w:rPr>
        <w:t xml:space="preserve"> en tanto </w:t>
      </w:r>
      <w:r w:rsidR="001220C5" w:rsidRPr="00006C2A">
        <w:rPr>
          <w:rFonts w:asciiTheme="majorHAnsi" w:hAnsiTheme="majorHAnsi"/>
          <w:sz w:val="20"/>
          <w:szCs w:val="20"/>
          <w:lang w:val="es-ES_tradnl"/>
        </w:rPr>
        <w:t>estas</w:t>
      </w:r>
      <w:r w:rsidR="0035405B" w:rsidRPr="00006C2A">
        <w:rPr>
          <w:rFonts w:asciiTheme="majorHAnsi" w:hAnsiTheme="majorHAnsi"/>
          <w:sz w:val="20"/>
          <w:szCs w:val="20"/>
          <w:lang w:val="es-ES_tradnl"/>
        </w:rPr>
        <w:t xml:space="preserve"> han sido acusadas de </w:t>
      </w:r>
      <w:r w:rsidR="001220C5" w:rsidRPr="00006C2A">
        <w:rPr>
          <w:rFonts w:asciiTheme="majorHAnsi" w:hAnsiTheme="majorHAnsi"/>
          <w:sz w:val="20"/>
          <w:szCs w:val="20"/>
          <w:lang w:val="es-ES_tradnl"/>
        </w:rPr>
        <w:t>múltiples</w:t>
      </w:r>
      <w:r w:rsidR="0035405B" w:rsidRPr="00006C2A">
        <w:rPr>
          <w:rFonts w:asciiTheme="majorHAnsi" w:hAnsiTheme="majorHAnsi"/>
          <w:sz w:val="20"/>
          <w:szCs w:val="20"/>
          <w:lang w:val="es-ES_tradnl"/>
        </w:rPr>
        <w:t xml:space="preserve"> violaciones a los derechos humanos. </w:t>
      </w:r>
      <w:r w:rsidR="001220C5" w:rsidRPr="00006C2A">
        <w:rPr>
          <w:rFonts w:asciiTheme="majorHAnsi" w:hAnsiTheme="majorHAnsi"/>
          <w:sz w:val="20"/>
          <w:szCs w:val="20"/>
          <w:lang w:val="es-ES_tradnl"/>
        </w:rPr>
        <w:t xml:space="preserve">En ese </w:t>
      </w:r>
      <w:r w:rsidR="0035405B" w:rsidRPr="00006C2A">
        <w:rPr>
          <w:rFonts w:asciiTheme="majorHAnsi" w:hAnsiTheme="majorHAnsi"/>
          <w:sz w:val="20"/>
          <w:szCs w:val="20"/>
          <w:lang w:val="es-ES_tradnl"/>
        </w:rPr>
        <w:t xml:space="preserve">contexto fueron desestimadas peticiones provenientes de exsoldados afectados por alguna condición de discapacidad. </w:t>
      </w:r>
    </w:p>
    <w:p w14:paraId="0599BF29" w14:textId="77777777" w:rsidR="00C55372" w:rsidRPr="00006C2A" w:rsidRDefault="00C55372" w:rsidP="00C5537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C459C9C" w14:textId="013333DA" w:rsidR="00D87A09" w:rsidRPr="00006C2A" w:rsidRDefault="002F39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006C2A">
        <w:rPr>
          <w:rFonts w:asciiTheme="majorHAnsi" w:hAnsiTheme="majorHAnsi"/>
          <w:sz w:val="20"/>
          <w:szCs w:val="20"/>
          <w:lang w:val="es-ES_tradnl"/>
        </w:rPr>
        <w:t>Por último, asegura que l</w:t>
      </w:r>
      <w:r w:rsidR="00D92195" w:rsidRPr="00006C2A">
        <w:rPr>
          <w:rFonts w:asciiTheme="majorHAnsi" w:hAnsiTheme="majorHAnsi"/>
          <w:sz w:val="20"/>
          <w:szCs w:val="20"/>
          <w:lang w:val="es-ES_tradnl"/>
        </w:rPr>
        <w:t xml:space="preserve">a </w:t>
      </w:r>
      <w:r w:rsidRPr="00006C2A">
        <w:rPr>
          <w:rFonts w:asciiTheme="majorHAnsi" w:hAnsiTheme="majorHAnsi"/>
          <w:sz w:val="20"/>
          <w:szCs w:val="20"/>
          <w:lang w:val="es-ES_tradnl"/>
        </w:rPr>
        <w:t xml:space="preserve">parte </w:t>
      </w:r>
      <w:r w:rsidR="00D92195" w:rsidRPr="00006C2A">
        <w:rPr>
          <w:rFonts w:asciiTheme="majorHAnsi" w:hAnsiTheme="majorHAnsi"/>
          <w:sz w:val="20"/>
          <w:szCs w:val="20"/>
          <w:lang w:val="es-ES_tradnl"/>
        </w:rPr>
        <w:t xml:space="preserve">peticionaria no realiza una caracterización de los derechos </w:t>
      </w:r>
      <w:r w:rsidRPr="00006C2A">
        <w:rPr>
          <w:rFonts w:asciiTheme="majorHAnsi" w:hAnsiTheme="majorHAnsi"/>
          <w:sz w:val="20"/>
          <w:szCs w:val="20"/>
          <w:lang w:val="es-ES_tradnl"/>
        </w:rPr>
        <w:t xml:space="preserve">establecidos </w:t>
      </w:r>
      <w:r w:rsidR="00D92195" w:rsidRPr="00006C2A">
        <w:rPr>
          <w:rFonts w:asciiTheme="majorHAnsi" w:hAnsiTheme="majorHAnsi"/>
          <w:sz w:val="20"/>
          <w:szCs w:val="20"/>
          <w:lang w:val="es-ES_tradnl"/>
        </w:rPr>
        <w:t>en el Protocolo de San Salvador</w:t>
      </w:r>
      <w:r w:rsidRPr="00006C2A">
        <w:rPr>
          <w:rFonts w:asciiTheme="majorHAnsi" w:hAnsiTheme="majorHAnsi"/>
          <w:sz w:val="20"/>
          <w:szCs w:val="20"/>
          <w:lang w:val="es-ES_tradnl"/>
        </w:rPr>
        <w:t xml:space="preserve">, limitándose a enumerarlos. Explica que si bien </w:t>
      </w:r>
      <w:r w:rsidR="00D92195" w:rsidRPr="00006C2A">
        <w:rPr>
          <w:rFonts w:asciiTheme="majorHAnsi" w:hAnsiTheme="majorHAnsi"/>
          <w:sz w:val="20"/>
          <w:szCs w:val="20"/>
          <w:lang w:val="es-ES_tradnl"/>
        </w:rPr>
        <w:t>no existe una obligación expresa de</w:t>
      </w:r>
      <w:r w:rsidRPr="00006C2A">
        <w:rPr>
          <w:rFonts w:asciiTheme="majorHAnsi" w:hAnsiTheme="majorHAnsi"/>
          <w:sz w:val="20"/>
          <w:szCs w:val="20"/>
          <w:lang w:val="es-ES_tradnl"/>
        </w:rPr>
        <w:t xml:space="preserve"> </w:t>
      </w:r>
      <w:r w:rsidR="00D92195" w:rsidRPr="00006C2A">
        <w:rPr>
          <w:rFonts w:asciiTheme="majorHAnsi" w:hAnsiTheme="majorHAnsi"/>
          <w:sz w:val="20"/>
          <w:szCs w:val="20"/>
          <w:lang w:val="es-ES_tradnl"/>
        </w:rPr>
        <w:t xml:space="preserve">identificar los derechos específicos que se alegan violados, </w:t>
      </w:r>
      <w:r w:rsidR="00605511" w:rsidRPr="00006C2A">
        <w:rPr>
          <w:rFonts w:asciiTheme="majorHAnsi" w:hAnsiTheme="majorHAnsi"/>
          <w:sz w:val="20"/>
          <w:szCs w:val="20"/>
          <w:lang w:val="es-ES_tradnl"/>
        </w:rPr>
        <w:t xml:space="preserve">resulta evidente </w:t>
      </w:r>
      <w:r w:rsidR="00D92195" w:rsidRPr="00006C2A">
        <w:rPr>
          <w:rFonts w:asciiTheme="majorHAnsi" w:hAnsiTheme="majorHAnsi"/>
          <w:sz w:val="20"/>
          <w:szCs w:val="20"/>
          <w:lang w:val="es-ES_tradnl"/>
        </w:rPr>
        <w:t>q</w:t>
      </w:r>
      <w:r w:rsidRPr="00006C2A">
        <w:rPr>
          <w:rFonts w:asciiTheme="majorHAnsi" w:hAnsiTheme="majorHAnsi"/>
          <w:sz w:val="20"/>
          <w:szCs w:val="20"/>
          <w:lang w:val="es-ES_tradnl"/>
        </w:rPr>
        <w:t>u</w:t>
      </w:r>
      <w:r w:rsidR="00D92195" w:rsidRPr="00006C2A">
        <w:rPr>
          <w:rFonts w:asciiTheme="majorHAnsi" w:hAnsiTheme="majorHAnsi"/>
          <w:sz w:val="20"/>
          <w:szCs w:val="20"/>
          <w:lang w:val="es-ES_tradnl"/>
        </w:rPr>
        <w:t>e la fa</w:t>
      </w:r>
      <w:r w:rsidR="0009501C" w:rsidRPr="00006C2A">
        <w:rPr>
          <w:rFonts w:asciiTheme="majorHAnsi" w:hAnsiTheme="majorHAnsi"/>
          <w:sz w:val="20"/>
          <w:szCs w:val="20"/>
          <w:lang w:val="es-ES_tradnl"/>
        </w:rPr>
        <w:t>l</w:t>
      </w:r>
      <w:r w:rsidR="00D92195" w:rsidRPr="00006C2A">
        <w:rPr>
          <w:rFonts w:asciiTheme="majorHAnsi" w:hAnsiTheme="majorHAnsi"/>
          <w:sz w:val="20"/>
          <w:szCs w:val="20"/>
          <w:lang w:val="es-ES_tradnl"/>
        </w:rPr>
        <w:t>ta de caracterización</w:t>
      </w:r>
      <w:r w:rsidRPr="00006C2A">
        <w:rPr>
          <w:rFonts w:asciiTheme="majorHAnsi" w:hAnsiTheme="majorHAnsi"/>
          <w:sz w:val="20"/>
          <w:szCs w:val="20"/>
          <w:lang w:val="es-ES_tradnl"/>
        </w:rPr>
        <w:t xml:space="preserve"> </w:t>
      </w:r>
      <w:r w:rsidR="00D92195" w:rsidRPr="00006C2A">
        <w:rPr>
          <w:rFonts w:asciiTheme="majorHAnsi" w:hAnsiTheme="majorHAnsi"/>
          <w:sz w:val="20"/>
          <w:szCs w:val="20"/>
          <w:lang w:val="es-ES_tradnl"/>
        </w:rPr>
        <w:t>imposibilita</w:t>
      </w:r>
      <w:r w:rsidR="00605511" w:rsidRPr="00006C2A">
        <w:rPr>
          <w:rFonts w:asciiTheme="majorHAnsi" w:hAnsiTheme="majorHAnsi"/>
          <w:sz w:val="20"/>
          <w:szCs w:val="20"/>
          <w:lang w:val="es-ES_tradnl"/>
        </w:rPr>
        <w:t>ría</w:t>
      </w:r>
      <w:r w:rsidR="00D92195" w:rsidRPr="00006C2A">
        <w:rPr>
          <w:rFonts w:asciiTheme="majorHAnsi" w:hAnsiTheme="majorHAnsi"/>
          <w:sz w:val="20"/>
          <w:szCs w:val="20"/>
          <w:lang w:val="es-ES_tradnl"/>
        </w:rPr>
        <w:t xml:space="preserve"> a la </w:t>
      </w:r>
      <w:r w:rsidR="00605511" w:rsidRPr="00006C2A">
        <w:rPr>
          <w:rFonts w:asciiTheme="majorHAnsi" w:hAnsiTheme="majorHAnsi"/>
          <w:sz w:val="20"/>
          <w:szCs w:val="20"/>
          <w:lang w:val="es-ES_tradnl"/>
        </w:rPr>
        <w:t xml:space="preserve">Comisión </w:t>
      </w:r>
      <w:r w:rsidR="00D92195" w:rsidRPr="00006C2A">
        <w:rPr>
          <w:rFonts w:asciiTheme="majorHAnsi" w:hAnsiTheme="majorHAnsi"/>
          <w:sz w:val="20"/>
          <w:szCs w:val="20"/>
          <w:lang w:val="es-ES_tradnl"/>
        </w:rPr>
        <w:t xml:space="preserve">poder determinar </w:t>
      </w:r>
      <w:r w:rsidR="00605511" w:rsidRPr="00006C2A">
        <w:rPr>
          <w:rFonts w:asciiTheme="majorHAnsi" w:hAnsiTheme="majorHAnsi"/>
          <w:sz w:val="20"/>
          <w:szCs w:val="20"/>
          <w:lang w:val="es-ES_tradnl"/>
        </w:rPr>
        <w:t>la</w:t>
      </w:r>
      <w:r w:rsidR="00D92195" w:rsidRPr="00006C2A">
        <w:rPr>
          <w:rFonts w:asciiTheme="majorHAnsi" w:hAnsiTheme="majorHAnsi"/>
          <w:sz w:val="20"/>
          <w:szCs w:val="20"/>
          <w:lang w:val="es-ES_tradnl"/>
        </w:rPr>
        <w:t xml:space="preserve"> manera </w:t>
      </w:r>
      <w:r w:rsidR="00605511" w:rsidRPr="00006C2A">
        <w:rPr>
          <w:rFonts w:asciiTheme="majorHAnsi" w:hAnsiTheme="majorHAnsi"/>
          <w:sz w:val="20"/>
          <w:szCs w:val="20"/>
          <w:lang w:val="es-ES_tradnl"/>
        </w:rPr>
        <w:t xml:space="preserve">que </w:t>
      </w:r>
      <w:r w:rsidR="00D92195" w:rsidRPr="00006C2A">
        <w:rPr>
          <w:rFonts w:asciiTheme="majorHAnsi" w:hAnsiTheme="majorHAnsi"/>
          <w:sz w:val="20"/>
          <w:szCs w:val="20"/>
          <w:lang w:val="es-ES_tradnl"/>
        </w:rPr>
        <w:t xml:space="preserve">los </w:t>
      </w:r>
      <w:r w:rsidRPr="00006C2A">
        <w:rPr>
          <w:rFonts w:asciiTheme="majorHAnsi" w:hAnsiTheme="majorHAnsi"/>
          <w:sz w:val="20"/>
          <w:szCs w:val="20"/>
          <w:lang w:val="es-ES_tradnl"/>
        </w:rPr>
        <w:t>artículos</w:t>
      </w:r>
      <w:r w:rsidR="00D92195" w:rsidRPr="00006C2A">
        <w:rPr>
          <w:rFonts w:asciiTheme="majorHAnsi" w:hAnsiTheme="majorHAnsi"/>
          <w:sz w:val="20"/>
          <w:szCs w:val="20"/>
          <w:lang w:val="es-ES_tradnl"/>
        </w:rPr>
        <w:t xml:space="preserve"> invocados fueron violados. </w:t>
      </w:r>
      <w:r w:rsidR="00605511" w:rsidRPr="00006C2A">
        <w:rPr>
          <w:rFonts w:asciiTheme="majorHAnsi" w:hAnsiTheme="majorHAnsi"/>
          <w:sz w:val="20"/>
          <w:szCs w:val="20"/>
          <w:lang w:val="es-ES_tradnl"/>
        </w:rPr>
        <w:t xml:space="preserve">Finalmente, </w:t>
      </w:r>
      <w:r w:rsidRPr="00006C2A">
        <w:rPr>
          <w:rFonts w:asciiTheme="majorHAnsi" w:hAnsiTheme="majorHAnsi"/>
          <w:sz w:val="20"/>
          <w:szCs w:val="20"/>
          <w:lang w:val="es-ES_tradnl"/>
        </w:rPr>
        <w:t xml:space="preserve">destaca que la Comisión </w:t>
      </w:r>
      <w:r w:rsidR="00D92195" w:rsidRPr="00006C2A">
        <w:rPr>
          <w:rFonts w:asciiTheme="majorHAnsi" w:hAnsiTheme="majorHAnsi"/>
          <w:sz w:val="20"/>
          <w:szCs w:val="20"/>
          <w:lang w:val="es-ES_tradnl"/>
        </w:rPr>
        <w:t xml:space="preserve">carece de competencia </w:t>
      </w:r>
      <w:r w:rsidRPr="00006C2A">
        <w:rPr>
          <w:rFonts w:asciiTheme="majorHAnsi" w:hAnsiTheme="majorHAnsi"/>
          <w:sz w:val="20"/>
          <w:szCs w:val="20"/>
          <w:lang w:val="es-ES_tradnl"/>
        </w:rPr>
        <w:t>p</w:t>
      </w:r>
      <w:r w:rsidR="00D92195" w:rsidRPr="00006C2A">
        <w:rPr>
          <w:rFonts w:asciiTheme="majorHAnsi" w:hAnsiTheme="majorHAnsi"/>
          <w:sz w:val="20"/>
          <w:szCs w:val="20"/>
          <w:lang w:val="es-ES_tradnl"/>
        </w:rPr>
        <w:t>ara pronunciarse sobre vio</w:t>
      </w:r>
      <w:r w:rsidRPr="00006C2A">
        <w:rPr>
          <w:rFonts w:asciiTheme="majorHAnsi" w:hAnsiTheme="majorHAnsi"/>
          <w:sz w:val="20"/>
          <w:szCs w:val="20"/>
          <w:lang w:val="es-ES_tradnl"/>
        </w:rPr>
        <w:t xml:space="preserve">laciones </w:t>
      </w:r>
      <w:r w:rsidR="00D92195" w:rsidRPr="00006C2A">
        <w:rPr>
          <w:rFonts w:asciiTheme="majorHAnsi" w:hAnsiTheme="majorHAnsi"/>
          <w:sz w:val="20"/>
          <w:szCs w:val="20"/>
          <w:lang w:val="es-ES_tradnl"/>
        </w:rPr>
        <w:t xml:space="preserve">a los derechos contenidos en tratados fuera del sistema interamericano de protección de los derechos humanos. </w:t>
      </w:r>
    </w:p>
    <w:p w14:paraId="6F4D4171" w14:textId="46B32DE9" w:rsidR="003239B8" w:rsidRPr="00006C2A" w:rsidRDefault="004A6A54" w:rsidP="00282E08">
      <w:pPr>
        <w:pStyle w:val="ListParagraph"/>
        <w:numPr>
          <w:ilvl w:val="0"/>
          <w:numId w:val="58"/>
        </w:numPr>
        <w:spacing w:before="240" w:after="240"/>
        <w:ind w:left="0" w:firstLine="720"/>
        <w:jc w:val="both"/>
        <w:rPr>
          <w:rFonts w:asciiTheme="majorHAnsi" w:hAnsiTheme="majorHAnsi"/>
          <w:sz w:val="20"/>
          <w:szCs w:val="20"/>
          <w:lang w:val="es-ES_tradnl"/>
        </w:rPr>
      </w:pPr>
      <w:r w:rsidRPr="00006C2A">
        <w:rPr>
          <w:rFonts w:asciiTheme="majorHAnsi" w:hAnsiTheme="majorHAnsi"/>
          <w:b/>
          <w:bCs/>
          <w:sz w:val="20"/>
          <w:szCs w:val="20"/>
          <w:lang w:val="es-ES_tradnl"/>
        </w:rPr>
        <w:t xml:space="preserve">ANÁLISIS DE </w:t>
      </w:r>
      <w:r w:rsidR="00C21FEF" w:rsidRPr="00006C2A">
        <w:rPr>
          <w:rFonts w:asciiTheme="majorHAnsi" w:hAnsiTheme="majorHAnsi"/>
          <w:b/>
          <w:sz w:val="20"/>
          <w:szCs w:val="20"/>
          <w:lang w:val="es-ES_tradnl"/>
        </w:rPr>
        <w:t>AGOTAMIENTO DE LOS RECURSOS INTERNOS Y PLAZO DE PRESENTACIÓN</w:t>
      </w:r>
      <w:r w:rsidR="00C21FEF" w:rsidRPr="00006C2A">
        <w:rPr>
          <w:rFonts w:asciiTheme="majorHAnsi" w:hAnsiTheme="majorHAnsi"/>
          <w:b/>
          <w:bCs/>
          <w:sz w:val="20"/>
          <w:szCs w:val="20"/>
          <w:lang w:val="es-ES_tradnl"/>
        </w:rPr>
        <w:t xml:space="preserve"> </w:t>
      </w:r>
    </w:p>
    <w:p w14:paraId="30F1BC3C" w14:textId="37FC8ACF" w:rsidR="00FF4CD3" w:rsidRPr="00006C2A" w:rsidRDefault="00B75E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_tradnl"/>
        </w:rPr>
      </w:pPr>
      <w:r w:rsidRPr="00006C2A">
        <w:rPr>
          <w:rFonts w:asciiTheme="majorHAnsi" w:hAnsiTheme="majorHAnsi"/>
          <w:sz w:val="20"/>
          <w:szCs w:val="20"/>
          <w:lang w:val="es-ES_tradnl"/>
        </w:rPr>
        <w:t xml:space="preserve">La Comisión nota que los reclamos de la parte peticionaria </w:t>
      </w:r>
      <w:r w:rsidR="00A41A26" w:rsidRPr="00006C2A">
        <w:rPr>
          <w:rFonts w:asciiTheme="majorHAnsi" w:hAnsiTheme="majorHAnsi"/>
          <w:sz w:val="20"/>
          <w:szCs w:val="20"/>
          <w:lang w:val="es-ES_tradnl"/>
        </w:rPr>
        <w:t xml:space="preserve">se centran en </w:t>
      </w:r>
      <w:r w:rsidRPr="00006C2A">
        <w:rPr>
          <w:rFonts w:asciiTheme="majorHAnsi" w:hAnsiTheme="majorHAnsi"/>
          <w:sz w:val="20"/>
          <w:szCs w:val="20"/>
          <w:lang w:val="es-ES_tradnl"/>
        </w:rPr>
        <w:t xml:space="preserve">la falta de reparación integral </w:t>
      </w:r>
      <w:r w:rsidR="00A41A26" w:rsidRPr="00006C2A">
        <w:rPr>
          <w:rFonts w:asciiTheme="majorHAnsi" w:hAnsiTheme="majorHAnsi"/>
          <w:sz w:val="20"/>
          <w:szCs w:val="20"/>
          <w:lang w:val="es-ES_tradnl"/>
        </w:rPr>
        <w:t>a</w:t>
      </w:r>
      <w:r w:rsidRPr="00006C2A">
        <w:rPr>
          <w:rFonts w:asciiTheme="majorHAnsi" w:hAnsiTheme="majorHAnsi"/>
          <w:sz w:val="20"/>
          <w:szCs w:val="20"/>
          <w:lang w:val="es-ES_tradnl"/>
        </w:rPr>
        <w:t xml:space="preserve"> las presuntas víctimas</w:t>
      </w:r>
      <w:r w:rsidR="00A41A26" w:rsidRPr="00006C2A">
        <w:rPr>
          <w:rFonts w:asciiTheme="majorHAnsi" w:hAnsiTheme="majorHAnsi"/>
          <w:sz w:val="20"/>
          <w:szCs w:val="20"/>
          <w:lang w:val="es-ES_tradnl"/>
        </w:rPr>
        <w:t xml:space="preserve"> en tanto comunidad indígena</w:t>
      </w:r>
      <w:r w:rsidR="00C134B4">
        <w:rPr>
          <w:rFonts w:asciiTheme="majorHAnsi" w:hAnsiTheme="majorHAnsi"/>
          <w:sz w:val="20"/>
          <w:szCs w:val="20"/>
          <w:lang w:val="es-ES_tradnl"/>
        </w:rPr>
        <w:t>, alegadamente</w:t>
      </w:r>
      <w:r w:rsidR="00493B3C" w:rsidRPr="00006C2A">
        <w:rPr>
          <w:rFonts w:asciiTheme="majorHAnsi" w:hAnsiTheme="majorHAnsi"/>
          <w:sz w:val="20"/>
          <w:szCs w:val="20"/>
          <w:lang w:val="es-ES_tradnl"/>
        </w:rPr>
        <w:t xml:space="preserve"> </w:t>
      </w:r>
      <w:r w:rsidR="00A41A26" w:rsidRPr="00006C2A">
        <w:rPr>
          <w:rFonts w:asciiTheme="majorHAnsi" w:hAnsiTheme="majorHAnsi"/>
          <w:sz w:val="20"/>
          <w:szCs w:val="20"/>
          <w:lang w:val="es-ES_tradnl"/>
        </w:rPr>
        <w:t xml:space="preserve">víctima de graves violaciones a sus derechos humanos durante el conflicto armado. </w:t>
      </w:r>
      <w:r w:rsidR="00483FEE" w:rsidRPr="00006C2A">
        <w:rPr>
          <w:rFonts w:asciiTheme="majorHAnsi" w:hAnsiTheme="majorHAnsi"/>
          <w:sz w:val="20"/>
          <w:szCs w:val="20"/>
          <w:lang w:val="es-ES_tradnl"/>
        </w:rPr>
        <w:t>En tal sentido, la Comisión observa que los hechos de violencia descritos por los peticionarios relativos</w:t>
      </w:r>
      <w:r w:rsidR="00A41A26" w:rsidRPr="00006C2A">
        <w:rPr>
          <w:rFonts w:asciiTheme="majorHAnsi" w:hAnsiTheme="majorHAnsi"/>
          <w:sz w:val="20"/>
          <w:szCs w:val="20"/>
          <w:lang w:val="es-ES_tradnl"/>
        </w:rPr>
        <w:t>, por ejemplo,</w:t>
      </w:r>
      <w:r w:rsidR="00483FEE" w:rsidRPr="00006C2A">
        <w:rPr>
          <w:rFonts w:asciiTheme="majorHAnsi" w:hAnsiTheme="majorHAnsi"/>
          <w:sz w:val="20"/>
          <w:szCs w:val="20"/>
          <w:lang w:val="es-ES_tradnl"/>
        </w:rPr>
        <w:t xml:space="preserve"> a la ejecución extrajudicial, violencia sexual, agresiones, desplazamiento forzado y reclutamiento forzoso en los Comités de Autodefensa Civil, así como </w:t>
      </w:r>
      <w:r w:rsidR="00A41A26" w:rsidRPr="00006C2A">
        <w:rPr>
          <w:rFonts w:asciiTheme="majorHAnsi" w:hAnsiTheme="majorHAnsi"/>
          <w:sz w:val="20"/>
          <w:szCs w:val="20"/>
          <w:lang w:val="es-ES_tradnl"/>
        </w:rPr>
        <w:t>de su</w:t>
      </w:r>
      <w:r w:rsidR="00483FEE" w:rsidRPr="00006C2A">
        <w:rPr>
          <w:rFonts w:asciiTheme="majorHAnsi" w:hAnsiTheme="majorHAnsi"/>
          <w:sz w:val="20"/>
          <w:szCs w:val="20"/>
          <w:lang w:val="es-ES_tradnl"/>
        </w:rPr>
        <w:t xml:space="preserve"> falta de investigación y sanción, no forman parte del objeto de la petición y</w:t>
      </w:r>
      <w:r w:rsidR="00CF7860">
        <w:rPr>
          <w:rFonts w:asciiTheme="majorHAnsi" w:hAnsiTheme="majorHAnsi"/>
          <w:sz w:val="20"/>
          <w:szCs w:val="20"/>
          <w:lang w:val="es-ES_tradnl"/>
        </w:rPr>
        <w:t>,</w:t>
      </w:r>
      <w:r w:rsidR="00483FEE" w:rsidRPr="00006C2A">
        <w:rPr>
          <w:rFonts w:asciiTheme="majorHAnsi" w:hAnsiTheme="majorHAnsi"/>
          <w:sz w:val="20"/>
          <w:szCs w:val="20"/>
          <w:lang w:val="es-ES_tradnl"/>
        </w:rPr>
        <w:t xml:space="preserve"> por tanto</w:t>
      </w:r>
      <w:r w:rsidR="00CF7860">
        <w:rPr>
          <w:rFonts w:asciiTheme="majorHAnsi" w:hAnsiTheme="majorHAnsi"/>
          <w:sz w:val="20"/>
          <w:szCs w:val="20"/>
          <w:lang w:val="es-ES_tradnl"/>
        </w:rPr>
        <w:t>,</w:t>
      </w:r>
      <w:r w:rsidR="00483FEE" w:rsidRPr="00006C2A">
        <w:rPr>
          <w:rFonts w:asciiTheme="majorHAnsi" w:hAnsiTheme="majorHAnsi"/>
          <w:sz w:val="20"/>
          <w:szCs w:val="20"/>
          <w:lang w:val="es-ES_tradnl"/>
        </w:rPr>
        <w:t xml:space="preserve"> quedan fuera del marco </w:t>
      </w:r>
      <w:r w:rsidR="00A41A26" w:rsidRPr="00006C2A">
        <w:rPr>
          <w:rFonts w:asciiTheme="majorHAnsi" w:hAnsiTheme="majorHAnsi"/>
          <w:sz w:val="20"/>
          <w:szCs w:val="20"/>
          <w:lang w:val="es-ES_tradnl"/>
        </w:rPr>
        <w:t xml:space="preserve">fáctico </w:t>
      </w:r>
      <w:r w:rsidR="00483FEE" w:rsidRPr="00006C2A">
        <w:rPr>
          <w:rFonts w:asciiTheme="majorHAnsi" w:hAnsiTheme="majorHAnsi"/>
          <w:sz w:val="20"/>
          <w:szCs w:val="20"/>
          <w:lang w:val="es-ES_tradnl"/>
        </w:rPr>
        <w:t>del presente informe</w:t>
      </w:r>
      <w:r w:rsidR="00A41A26" w:rsidRPr="00006C2A">
        <w:rPr>
          <w:rFonts w:asciiTheme="majorHAnsi" w:hAnsiTheme="majorHAnsi"/>
          <w:sz w:val="20"/>
          <w:szCs w:val="20"/>
          <w:lang w:val="es-ES_tradnl"/>
        </w:rPr>
        <w:t xml:space="preserve">. </w:t>
      </w:r>
    </w:p>
    <w:p w14:paraId="6495AE8C" w14:textId="77777777" w:rsidR="00976A40" w:rsidRPr="00006C2A" w:rsidRDefault="00976A40" w:rsidP="00976A40">
      <w:pPr>
        <w:pStyle w:val="ListParagraph"/>
        <w:rPr>
          <w:rFonts w:asciiTheme="majorHAnsi" w:hAnsiTheme="majorHAnsi"/>
          <w:sz w:val="20"/>
          <w:szCs w:val="20"/>
          <w:lang w:val="es-ES_tradnl"/>
        </w:rPr>
      </w:pPr>
    </w:p>
    <w:p w14:paraId="04213FE5" w14:textId="6819B1B4" w:rsidR="00B421B2" w:rsidRPr="00006C2A" w:rsidRDefault="00B421B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_tradnl"/>
        </w:rPr>
      </w:pPr>
      <w:bookmarkStart w:id="3" w:name="_Hlk117983198"/>
      <w:bookmarkStart w:id="4" w:name="_Hlk114822629"/>
      <w:r w:rsidRPr="00006C2A">
        <w:rPr>
          <w:rFonts w:asciiTheme="majorHAnsi" w:hAnsiTheme="majorHAnsi" w:cs="Calibri"/>
          <w:sz w:val="20"/>
          <w:szCs w:val="20"/>
          <w:lang w:val="es-ES_tradnl"/>
        </w:rPr>
        <w:t xml:space="preserve">En tal sentido, la Comisión observa </w:t>
      </w:r>
      <w:r w:rsidR="00A41A26" w:rsidRPr="00006C2A">
        <w:rPr>
          <w:rFonts w:asciiTheme="majorHAnsi" w:eastAsiaTheme="minorHAnsi" w:hAnsiTheme="majorHAnsi" w:cstheme="minorBidi"/>
          <w:sz w:val="20"/>
          <w:szCs w:val="20"/>
          <w:bdr w:val="none" w:sz="0" w:space="0" w:color="auto"/>
          <w:lang w:val="es-ES_tradnl"/>
        </w:rPr>
        <w:t xml:space="preserve">que </w:t>
      </w:r>
      <w:r w:rsidR="00483FEE" w:rsidRPr="00006C2A">
        <w:rPr>
          <w:rFonts w:asciiTheme="majorHAnsi" w:hAnsiTheme="majorHAnsi" w:cs="Calibri"/>
          <w:sz w:val="20"/>
          <w:szCs w:val="20"/>
          <w:lang w:val="es-ES_tradnl"/>
        </w:rPr>
        <w:t>los peticionarios alegan que presentaron un memorial de agravios con la reconstrucción de los hechos y una solicitud formal el 9 de octubre de 2008 ante el secretario de la Paz, al presidente de la Comisión Nacional de Resarcimiento y al Coordinador de la Unidad de Aplicación de Medidas</w:t>
      </w:r>
      <w:r w:rsidR="0087462D" w:rsidRPr="00006C2A">
        <w:rPr>
          <w:rFonts w:asciiTheme="majorHAnsi" w:hAnsiTheme="majorHAnsi" w:cs="Calibri"/>
          <w:sz w:val="20"/>
          <w:szCs w:val="20"/>
          <w:lang w:val="es-ES_tradnl"/>
        </w:rPr>
        <w:t>,</w:t>
      </w:r>
      <w:r w:rsidR="00483FEE" w:rsidRPr="00006C2A">
        <w:rPr>
          <w:rFonts w:asciiTheme="majorHAnsi" w:hAnsiTheme="majorHAnsi" w:cs="Calibri"/>
          <w:sz w:val="20"/>
          <w:szCs w:val="20"/>
          <w:lang w:val="es-ES_tradnl"/>
        </w:rPr>
        <w:t xml:space="preserve"> </w:t>
      </w:r>
      <w:r w:rsidR="0087462D" w:rsidRPr="00006C2A">
        <w:rPr>
          <w:rFonts w:asciiTheme="majorHAnsi" w:hAnsiTheme="majorHAnsi" w:cs="Calibri"/>
          <w:sz w:val="20"/>
          <w:szCs w:val="20"/>
          <w:lang w:val="es-ES_tradnl"/>
        </w:rPr>
        <w:t>sin haber</w:t>
      </w:r>
      <w:r w:rsidR="00483FEE" w:rsidRPr="00006C2A">
        <w:rPr>
          <w:rFonts w:asciiTheme="majorHAnsi" w:hAnsiTheme="majorHAnsi" w:cs="Calibri"/>
          <w:sz w:val="20"/>
          <w:szCs w:val="20"/>
          <w:lang w:val="es-ES_tradnl"/>
        </w:rPr>
        <w:t xml:space="preserve"> obtenido respuesta</w:t>
      </w:r>
      <w:r w:rsidR="0087462D" w:rsidRPr="00006C2A">
        <w:rPr>
          <w:rFonts w:asciiTheme="majorHAnsi" w:hAnsiTheme="majorHAnsi" w:cs="Calibri"/>
          <w:sz w:val="20"/>
          <w:szCs w:val="20"/>
          <w:lang w:val="es-ES_tradnl"/>
        </w:rPr>
        <w:t xml:space="preserve"> alguna</w:t>
      </w:r>
      <w:r w:rsidR="00483FEE" w:rsidRPr="00006C2A">
        <w:rPr>
          <w:rFonts w:asciiTheme="majorHAnsi" w:hAnsiTheme="majorHAnsi" w:cs="Calibri"/>
          <w:sz w:val="20"/>
          <w:szCs w:val="20"/>
          <w:lang w:val="es-ES_tradnl"/>
        </w:rPr>
        <w:t xml:space="preserve">. Por su parte, el Estado sostiene que no se han agotado los recursos internos dado que los peticionarios no han interpuesto acción judicial alguna, incluyendo la acción </w:t>
      </w:r>
      <w:r w:rsidR="00483FEE" w:rsidRPr="00006C2A">
        <w:rPr>
          <w:rFonts w:asciiTheme="majorHAnsi" w:hAnsiTheme="majorHAnsi" w:cs="Calibri"/>
          <w:sz w:val="20"/>
          <w:szCs w:val="20"/>
          <w:lang w:val="es-ES_tradnl"/>
        </w:rPr>
        <w:lastRenderedPageBreak/>
        <w:t>constitucional de amparo</w:t>
      </w:r>
      <w:r w:rsidR="00CF7860">
        <w:rPr>
          <w:rFonts w:asciiTheme="majorHAnsi" w:hAnsiTheme="majorHAnsi" w:cs="Calibri"/>
          <w:sz w:val="20"/>
          <w:szCs w:val="20"/>
          <w:lang w:val="es-ES_tradnl"/>
        </w:rPr>
        <w:t xml:space="preserve">, que </w:t>
      </w:r>
      <w:r w:rsidR="00483FEE" w:rsidRPr="00006C2A">
        <w:rPr>
          <w:rFonts w:asciiTheme="majorHAnsi" w:hAnsiTheme="majorHAnsi" w:cs="Calibri"/>
          <w:sz w:val="20"/>
          <w:szCs w:val="20"/>
          <w:lang w:val="es-ES_tradnl"/>
        </w:rPr>
        <w:t xml:space="preserve">era el recurso idóneo para solventar </w:t>
      </w:r>
      <w:r w:rsidR="0087462D" w:rsidRPr="00006C2A">
        <w:rPr>
          <w:rFonts w:asciiTheme="majorHAnsi" w:hAnsiTheme="majorHAnsi" w:cs="Calibri"/>
          <w:sz w:val="20"/>
          <w:szCs w:val="20"/>
          <w:lang w:val="es-ES_tradnl"/>
        </w:rPr>
        <w:t>su</w:t>
      </w:r>
      <w:r w:rsidR="00483FEE" w:rsidRPr="00006C2A">
        <w:rPr>
          <w:rFonts w:asciiTheme="majorHAnsi" w:hAnsiTheme="majorHAnsi" w:cs="Calibri"/>
          <w:sz w:val="20"/>
          <w:szCs w:val="20"/>
          <w:lang w:val="es-ES_tradnl"/>
        </w:rPr>
        <w:t xml:space="preserve"> pretensión principal. Asimismo, argumenta que la petición fue presentada ante la Comisión dos años desde la presentación del mencionado memorial, excediéndose los peticionarios del plazo de seis meses establecido en el reglamento</w:t>
      </w:r>
      <w:bookmarkEnd w:id="3"/>
      <w:r w:rsidR="00483FEE" w:rsidRPr="00006C2A">
        <w:rPr>
          <w:rFonts w:asciiTheme="majorHAnsi" w:hAnsiTheme="majorHAnsi" w:cs="Calibri"/>
          <w:sz w:val="20"/>
          <w:szCs w:val="20"/>
          <w:lang w:val="es-ES_tradnl"/>
        </w:rPr>
        <w:t>.</w:t>
      </w:r>
    </w:p>
    <w:bookmarkEnd w:id="4"/>
    <w:p w14:paraId="1CBFACE3" w14:textId="77777777" w:rsidR="00375555" w:rsidRPr="00006C2A" w:rsidRDefault="00375555" w:rsidP="0056393D">
      <w:pPr>
        <w:rPr>
          <w:rFonts w:asciiTheme="majorHAnsi" w:hAnsiTheme="majorHAnsi"/>
          <w:sz w:val="20"/>
          <w:szCs w:val="20"/>
          <w:lang w:val="es-ES_tradnl"/>
        </w:rPr>
      </w:pPr>
    </w:p>
    <w:p w14:paraId="5E034055" w14:textId="5F5E2CDD" w:rsidR="005E67BD" w:rsidRPr="00006C2A" w:rsidRDefault="0056393D" w:rsidP="00C97BF4">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006C2A">
        <w:rPr>
          <w:rFonts w:asciiTheme="majorHAnsi" w:eastAsia="Arial Unicode MS" w:hAnsiTheme="majorHAnsi" w:cs="Times New Roman"/>
          <w:color w:val="auto"/>
          <w:sz w:val="20"/>
          <w:szCs w:val="20"/>
          <w:lang w:val="es-ES_tradnl" w:eastAsia="en-US"/>
        </w:rPr>
        <w:t>Por otro lado</w:t>
      </w:r>
      <w:r w:rsidR="00375555" w:rsidRPr="00006C2A">
        <w:rPr>
          <w:rFonts w:asciiTheme="majorHAnsi" w:eastAsia="Arial Unicode MS" w:hAnsiTheme="majorHAnsi" w:cs="Times New Roman"/>
          <w:color w:val="auto"/>
          <w:sz w:val="20"/>
          <w:szCs w:val="20"/>
          <w:lang w:val="es-ES_tradnl" w:eastAsia="en-US"/>
        </w:rPr>
        <w:t>, la Comisión toma nota sobre el amparo presentado el 22 de junio de 2016 por</w:t>
      </w:r>
      <w:r w:rsidR="0064339D" w:rsidRPr="00006C2A">
        <w:rPr>
          <w:rFonts w:asciiTheme="majorHAnsi" w:eastAsia="Arial Unicode MS" w:hAnsiTheme="majorHAnsi" w:cs="Times New Roman"/>
          <w:color w:val="auto"/>
          <w:sz w:val="20"/>
          <w:szCs w:val="20"/>
          <w:lang w:val="es-ES_tradnl" w:eastAsia="en-US"/>
        </w:rPr>
        <w:t xml:space="preserve"> el Procurador de los Derechos Humanos en contra del delegado del Presidente de la República ante la Comisión Nacional de Resarcimiento del PNR, alegando el incumplimiento del programa a la reparación integral y el resarcimiento económico, así como la insuficiencia de acciones administrativas para el funcionamiento del Registro Nacional de Víctimas; la inexistencia de procesos de consulta y la baja ejecución presupuestaria. </w:t>
      </w:r>
      <w:r w:rsidR="005E67BD" w:rsidRPr="00006C2A">
        <w:rPr>
          <w:rFonts w:asciiTheme="majorHAnsi" w:eastAsia="Arial Unicode MS" w:hAnsiTheme="majorHAnsi" w:cs="Times New Roman"/>
          <w:color w:val="auto"/>
          <w:sz w:val="20"/>
          <w:szCs w:val="20"/>
          <w:lang w:val="es-ES_tradnl" w:eastAsia="en-US"/>
        </w:rPr>
        <w:t xml:space="preserve">Al respecto, la Comisión </w:t>
      </w:r>
      <w:r w:rsidR="00ED1B38" w:rsidRPr="00006C2A">
        <w:rPr>
          <w:rFonts w:asciiTheme="majorHAnsi" w:eastAsia="Arial Unicode MS" w:hAnsiTheme="majorHAnsi" w:cs="Times New Roman"/>
          <w:color w:val="auto"/>
          <w:sz w:val="20"/>
          <w:szCs w:val="20"/>
          <w:lang w:val="es-ES_tradnl" w:eastAsia="en-US"/>
        </w:rPr>
        <w:t xml:space="preserve">destaca </w:t>
      </w:r>
      <w:r w:rsidR="005E67BD" w:rsidRPr="00006C2A">
        <w:rPr>
          <w:rFonts w:asciiTheme="majorHAnsi" w:eastAsia="Arial Unicode MS" w:hAnsiTheme="majorHAnsi" w:cs="Times New Roman"/>
          <w:color w:val="auto"/>
          <w:sz w:val="20"/>
          <w:szCs w:val="20"/>
          <w:lang w:val="es-ES_tradnl" w:eastAsia="en-US"/>
        </w:rPr>
        <w:t>que, de acuerdo con la información presentada en el expediente, el mencionado amparo fue otorgado mediante sentencia del 23 de noviembre de 2016 d</w:t>
      </w:r>
      <w:r w:rsidR="0064339D" w:rsidRPr="00006C2A">
        <w:rPr>
          <w:rFonts w:asciiTheme="majorHAnsi" w:eastAsia="Arial Unicode MS" w:hAnsiTheme="majorHAnsi" w:cs="Times New Roman"/>
          <w:color w:val="auto"/>
          <w:sz w:val="20"/>
          <w:szCs w:val="20"/>
          <w:lang w:val="es-ES_tradnl" w:eastAsia="en-US"/>
        </w:rPr>
        <w:t xml:space="preserve">el Juez Cuarto de Primera Instancia Civil del departamento de Guatemala, </w:t>
      </w:r>
      <w:r w:rsidR="005E67BD" w:rsidRPr="00006C2A">
        <w:rPr>
          <w:rFonts w:asciiTheme="majorHAnsi" w:eastAsia="Arial Unicode MS" w:hAnsiTheme="majorHAnsi" w:cs="Times New Roman"/>
          <w:color w:val="auto"/>
          <w:sz w:val="20"/>
          <w:szCs w:val="20"/>
          <w:lang w:val="es-ES_tradnl" w:eastAsia="en-US"/>
        </w:rPr>
        <w:t>y confirmada por la Corte de Constitucionalidad mediante sentencia del 16 de enero de 2019</w:t>
      </w:r>
      <w:r w:rsidR="00ED1B38" w:rsidRPr="00006C2A">
        <w:rPr>
          <w:rFonts w:asciiTheme="majorHAnsi" w:eastAsia="Arial Unicode MS" w:hAnsiTheme="majorHAnsi" w:cs="Times New Roman"/>
          <w:color w:val="auto"/>
          <w:sz w:val="20"/>
          <w:szCs w:val="20"/>
          <w:lang w:val="es-ES_tradnl" w:eastAsia="en-US"/>
        </w:rPr>
        <w:t xml:space="preserve">. El tribunal de primera instancia, </w:t>
      </w:r>
      <w:r w:rsidR="00CF7860">
        <w:rPr>
          <w:rFonts w:asciiTheme="majorHAnsi" w:eastAsia="Arial Unicode MS" w:hAnsiTheme="majorHAnsi" w:cs="Times New Roman"/>
          <w:color w:val="auto"/>
          <w:sz w:val="20"/>
          <w:szCs w:val="20"/>
          <w:lang w:val="es-ES_tradnl" w:eastAsia="en-US"/>
        </w:rPr>
        <w:t xml:space="preserve">tras reconocer </w:t>
      </w:r>
      <w:r w:rsidR="00ED1B38" w:rsidRPr="00006C2A">
        <w:rPr>
          <w:rFonts w:asciiTheme="majorHAnsi" w:eastAsia="Arial Unicode MS" w:hAnsiTheme="majorHAnsi" w:cs="Times New Roman"/>
          <w:color w:val="auto"/>
          <w:sz w:val="20"/>
          <w:szCs w:val="20"/>
          <w:lang w:val="es-ES_tradnl" w:eastAsia="en-US"/>
        </w:rPr>
        <w:t xml:space="preserve">los argumentos presentados, ordenó </w:t>
      </w:r>
      <w:r w:rsidR="0064339D" w:rsidRPr="00006C2A">
        <w:rPr>
          <w:rFonts w:asciiTheme="majorHAnsi" w:eastAsia="Arial Unicode MS" w:hAnsiTheme="majorHAnsi" w:cs="Times New Roman"/>
          <w:color w:val="auto"/>
          <w:sz w:val="20"/>
          <w:szCs w:val="20"/>
          <w:lang w:val="es-ES_tradnl" w:eastAsia="en-US"/>
        </w:rPr>
        <w:t xml:space="preserve">a la </w:t>
      </w:r>
      <w:r w:rsidR="005E67BD" w:rsidRPr="00006C2A">
        <w:rPr>
          <w:rFonts w:asciiTheme="majorHAnsi" w:eastAsia="Arial Unicode MS" w:hAnsiTheme="majorHAnsi" w:cs="Times New Roman"/>
          <w:color w:val="auto"/>
          <w:sz w:val="20"/>
          <w:szCs w:val="20"/>
          <w:lang w:val="es-ES_tradnl" w:eastAsia="en-US"/>
        </w:rPr>
        <w:t xml:space="preserve">Comisión Nacional de Resarcimiento del PNR </w:t>
      </w:r>
      <w:r w:rsidR="0064339D" w:rsidRPr="00006C2A">
        <w:rPr>
          <w:rFonts w:asciiTheme="majorHAnsi" w:eastAsia="Arial Unicode MS" w:hAnsiTheme="majorHAnsi" w:cs="Times New Roman"/>
          <w:color w:val="auto"/>
          <w:sz w:val="20"/>
          <w:szCs w:val="20"/>
          <w:lang w:val="es-ES_tradnl" w:eastAsia="en-US"/>
        </w:rPr>
        <w:t xml:space="preserve">realizar las gestiones administrativas y financieras necesarias para la implementación de todos los fines del PNR. </w:t>
      </w:r>
    </w:p>
    <w:p w14:paraId="3DC7F42A" w14:textId="77777777" w:rsidR="005E67BD" w:rsidRPr="00006C2A" w:rsidRDefault="005E67BD" w:rsidP="005E67BD">
      <w:pPr>
        <w:pStyle w:val="ListParagraph"/>
        <w:rPr>
          <w:rFonts w:asciiTheme="majorHAnsi" w:eastAsia="Arial Unicode MS" w:hAnsiTheme="majorHAnsi" w:cs="Times New Roman"/>
          <w:color w:val="auto"/>
          <w:sz w:val="20"/>
          <w:szCs w:val="20"/>
          <w:lang w:val="es-ES_tradnl" w:eastAsia="en-US"/>
        </w:rPr>
      </w:pPr>
    </w:p>
    <w:p w14:paraId="32154EFA" w14:textId="3DCAB4E5" w:rsidR="00ED1B38" w:rsidRPr="00006C2A" w:rsidRDefault="005E67BD" w:rsidP="008400A6">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006C2A">
        <w:rPr>
          <w:rFonts w:asciiTheme="majorHAnsi" w:eastAsia="Arial Unicode MS" w:hAnsiTheme="majorHAnsi" w:cs="Times New Roman"/>
          <w:color w:val="auto"/>
          <w:sz w:val="20"/>
          <w:szCs w:val="20"/>
          <w:lang w:val="es-ES_tradnl" w:eastAsia="en-US"/>
        </w:rPr>
        <w:t>Lo anterior resulta relevante en tanto l</w:t>
      </w:r>
      <w:r w:rsidR="0064339D" w:rsidRPr="00006C2A">
        <w:rPr>
          <w:rFonts w:asciiTheme="majorHAnsi" w:eastAsia="Arial Unicode MS" w:hAnsiTheme="majorHAnsi" w:cs="Times New Roman"/>
          <w:color w:val="auto"/>
          <w:sz w:val="20"/>
          <w:szCs w:val="20"/>
          <w:lang w:val="es-ES_tradnl" w:eastAsia="en-US"/>
        </w:rPr>
        <w:t xml:space="preserve">a Comisión </w:t>
      </w:r>
      <w:r w:rsidRPr="00006C2A">
        <w:rPr>
          <w:rFonts w:asciiTheme="majorHAnsi" w:eastAsia="Arial Unicode MS" w:hAnsiTheme="majorHAnsi" w:cs="Times New Roman"/>
          <w:color w:val="auto"/>
          <w:sz w:val="20"/>
          <w:szCs w:val="20"/>
          <w:lang w:val="es-ES_tradnl" w:eastAsia="en-US"/>
        </w:rPr>
        <w:t xml:space="preserve">ha realizado desde el 2003 un seguimiento a la implementación del PNR y ha </w:t>
      </w:r>
      <w:r w:rsidR="00ED1B38" w:rsidRPr="00006C2A">
        <w:rPr>
          <w:rFonts w:asciiTheme="majorHAnsi" w:eastAsia="Arial Unicode MS" w:hAnsiTheme="majorHAnsi" w:cs="Times New Roman"/>
          <w:color w:val="auto"/>
          <w:sz w:val="20"/>
          <w:szCs w:val="20"/>
          <w:lang w:val="es-ES_tradnl" w:eastAsia="en-US"/>
        </w:rPr>
        <w:t xml:space="preserve">observado </w:t>
      </w:r>
      <w:r w:rsidRPr="00006C2A">
        <w:rPr>
          <w:rFonts w:asciiTheme="majorHAnsi" w:eastAsia="Arial Unicode MS" w:hAnsiTheme="majorHAnsi" w:cs="Times New Roman"/>
          <w:color w:val="auto"/>
          <w:sz w:val="20"/>
          <w:szCs w:val="20"/>
          <w:lang w:val="es-ES_tradnl" w:eastAsia="en-US"/>
        </w:rPr>
        <w:t xml:space="preserve">con preocupación las medidas </w:t>
      </w:r>
      <w:r w:rsidR="00ED1B38" w:rsidRPr="00006C2A">
        <w:rPr>
          <w:rFonts w:asciiTheme="majorHAnsi" w:eastAsia="Arial Unicode MS" w:hAnsiTheme="majorHAnsi" w:cs="Times New Roman"/>
          <w:color w:val="auto"/>
          <w:sz w:val="20"/>
          <w:szCs w:val="20"/>
          <w:lang w:val="es-ES_tradnl" w:eastAsia="en-US"/>
        </w:rPr>
        <w:t xml:space="preserve">adoptadas por </w:t>
      </w:r>
      <w:r w:rsidRPr="00006C2A">
        <w:rPr>
          <w:rFonts w:asciiTheme="majorHAnsi" w:eastAsia="Arial Unicode MS" w:hAnsiTheme="majorHAnsi" w:cs="Times New Roman"/>
          <w:color w:val="auto"/>
          <w:sz w:val="20"/>
          <w:szCs w:val="20"/>
          <w:lang w:val="es-ES_tradnl" w:eastAsia="en-US"/>
        </w:rPr>
        <w:t xml:space="preserve">el Estado que habrían resultado en </w:t>
      </w:r>
      <w:r w:rsidR="00ED1B38" w:rsidRPr="00006C2A">
        <w:rPr>
          <w:rFonts w:asciiTheme="majorHAnsi" w:eastAsia="Arial Unicode MS" w:hAnsiTheme="majorHAnsi" w:cs="Times New Roman"/>
          <w:color w:val="auto"/>
          <w:sz w:val="20"/>
          <w:szCs w:val="20"/>
          <w:lang w:val="es-ES_tradnl" w:eastAsia="en-US"/>
        </w:rPr>
        <w:t>un</w:t>
      </w:r>
      <w:r w:rsidRPr="00006C2A">
        <w:rPr>
          <w:rFonts w:asciiTheme="majorHAnsi" w:eastAsia="Arial Unicode MS" w:hAnsiTheme="majorHAnsi" w:cs="Times New Roman"/>
          <w:color w:val="auto"/>
          <w:sz w:val="20"/>
          <w:szCs w:val="20"/>
          <w:lang w:val="es-ES_tradnl" w:eastAsia="en-US"/>
        </w:rPr>
        <w:t xml:space="preserve"> alcance </w:t>
      </w:r>
      <w:r w:rsidR="00ED1B38" w:rsidRPr="00006C2A">
        <w:rPr>
          <w:rFonts w:asciiTheme="majorHAnsi" w:eastAsia="Arial Unicode MS" w:hAnsiTheme="majorHAnsi" w:cs="Times New Roman"/>
          <w:color w:val="auto"/>
          <w:sz w:val="20"/>
          <w:szCs w:val="20"/>
          <w:lang w:val="es-ES_tradnl" w:eastAsia="en-US"/>
        </w:rPr>
        <w:t xml:space="preserve">limitado </w:t>
      </w:r>
      <w:r w:rsidRPr="00006C2A">
        <w:rPr>
          <w:rFonts w:asciiTheme="majorHAnsi" w:eastAsia="Arial Unicode MS" w:hAnsiTheme="majorHAnsi" w:cs="Times New Roman"/>
          <w:color w:val="auto"/>
          <w:sz w:val="20"/>
          <w:szCs w:val="20"/>
          <w:lang w:val="es-ES_tradnl" w:eastAsia="en-US"/>
        </w:rPr>
        <w:t>del PNR</w:t>
      </w:r>
      <w:r w:rsidRPr="00006C2A">
        <w:rPr>
          <w:rStyle w:val="FootnoteReference"/>
          <w:rFonts w:asciiTheme="majorHAnsi" w:eastAsia="Arial Unicode MS" w:hAnsiTheme="majorHAnsi" w:cs="Times New Roman"/>
          <w:color w:val="auto"/>
          <w:sz w:val="20"/>
          <w:szCs w:val="20"/>
          <w:lang w:val="es-ES_tradnl" w:eastAsia="en-US"/>
        </w:rPr>
        <w:footnoteReference w:id="7"/>
      </w:r>
      <w:r w:rsidR="00B51B44" w:rsidRPr="00006C2A">
        <w:rPr>
          <w:rFonts w:asciiTheme="majorHAnsi" w:eastAsia="Arial Unicode MS" w:hAnsiTheme="majorHAnsi" w:cs="Times New Roman"/>
          <w:color w:val="auto"/>
          <w:sz w:val="20"/>
          <w:szCs w:val="20"/>
          <w:lang w:val="es-ES_tradnl" w:eastAsia="en-US"/>
        </w:rPr>
        <w:t>;</w:t>
      </w:r>
      <w:r w:rsidR="00ED1B38" w:rsidRPr="00006C2A">
        <w:rPr>
          <w:rFonts w:asciiTheme="majorHAnsi" w:eastAsia="Arial Unicode MS" w:hAnsiTheme="majorHAnsi" w:cs="Times New Roman"/>
          <w:color w:val="auto"/>
          <w:sz w:val="20"/>
          <w:szCs w:val="20"/>
          <w:lang w:val="es-ES_tradnl" w:eastAsia="en-US"/>
        </w:rPr>
        <w:t xml:space="preserve"> así como, el </w:t>
      </w:r>
      <w:r w:rsidR="0064339D" w:rsidRPr="00006C2A">
        <w:rPr>
          <w:rFonts w:asciiTheme="majorHAnsi" w:eastAsia="Arial Unicode MS" w:hAnsiTheme="majorHAnsi" w:cs="Times New Roman"/>
          <w:color w:val="auto"/>
          <w:sz w:val="20"/>
          <w:szCs w:val="20"/>
          <w:lang w:val="es-ES_tradnl" w:eastAsia="en-US"/>
        </w:rPr>
        <w:t>largo tiempo transcurrido desde la firma de los Acuerdos de Paz sin que a la fecha se haya resarcido efectiva, individual y colectivamente a las víctimas del conflicto armado, en especial los miembros de los pueblos indígenas</w:t>
      </w:r>
      <w:r w:rsidR="0064339D" w:rsidRPr="00006C2A">
        <w:rPr>
          <w:rStyle w:val="FootnoteReference"/>
          <w:rFonts w:asciiTheme="majorHAnsi" w:eastAsia="Arial Unicode MS" w:hAnsiTheme="majorHAnsi" w:cs="Times New Roman"/>
          <w:color w:val="auto"/>
          <w:sz w:val="20"/>
          <w:szCs w:val="20"/>
          <w:lang w:val="es-ES_tradnl" w:eastAsia="en-US"/>
        </w:rPr>
        <w:footnoteReference w:id="8"/>
      </w:r>
      <w:r w:rsidR="00375555" w:rsidRPr="00006C2A">
        <w:rPr>
          <w:rFonts w:asciiTheme="majorHAnsi" w:eastAsia="Arial Unicode MS" w:hAnsiTheme="majorHAnsi" w:cs="Times New Roman"/>
          <w:color w:val="auto"/>
          <w:sz w:val="20"/>
          <w:szCs w:val="20"/>
          <w:lang w:val="es-ES_tradnl" w:eastAsia="en-US"/>
        </w:rPr>
        <w:t xml:space="preserve">. </w:t>
      </w:r>
      <w:r w:rsidR="00ED1B38" w:rsidRPr="00006C2A">
        <w:rPr>
          <w:rFonts w:asciiTheme="majorHAnsi" w:eastAsia="Arial Unicode MS" w:hAnsiTheme="majorHAnsi" w:cs="Times New Roman"/>
          <w:color w:val="auto"/>
          <w:sz w:val="20"/>
          <w:szCs w:val="20"/>
          <w:lang w:val="es-ES_tradnl" w:eastAsia="en-US"/>
        </w:rPr>
        <w:t xml:space="preserve">Es así entonces, que </w:t>
      </w:r>
      <w:r w:rsidR="00375555" w:rsidRPr="00006C2A">
        <w:rPr>
          <w:rFonts w:asciiTheme="majorHAnsi" w:eastAsia="Arial Unicode MS" w:hAnsiTheme="majorHAnsi" w:cs="Times New Roman"/>
          <w:color w:val="auto"/>
          <w:sz w:val="20"/>
          <w:szCs w:val="20"/>
          <w:lang w:val="es-ES_tradnl" w:eastAsia="en-US"/>
        </w:rPr>
        <w:t>la Comisión ha hecho llamados reiterados al Estado guatemalteco para que dé operatividad plena al PNR, dotándolo de recursos materiales y personales suficientes para cumplir con su mandato</w:t>
      </w:r>
      <w:r w:rsidR="00CF7860">
        <w:rPr>
          <w:rFonts w:asciiTheme="majorHAnsi" w:eastAsia="Arial Unicode MS" w:hAnsiTheme="majorHAnsi" w:cs="Times New Roman"/>
          <w:color w:val="auto"/>
          <w:sz w:val="20"/>
          <w:szCs w:val="20"/>
          <w:lang w:val="es-ES_tradnl" w:eastAsia="en-US"/>
        </w:rPr>
        <w:t>,</w:t>
      </w:r>
      <w:r w:rsidR="00375555" w:rsidRPr="00006C2A">
        <w:rPr>
          <w:rFonts w:asciiTheme="majorHAnsi" w:eastAsia="Arial Unicode MS" w:hAnsiTheme="majorHAnsi" w:cs="Times New Roman"/>
          <w:color w:val="auto"/>
          <w:sz w:val="20"/>
          <w:szCs w:val="20"/>
          <w:lang w:val="es-ES_tradnl" w:eastAsia="en-US"/>
        </w:rPr>
        <w:t xml:space="preserve"> de conformidad tanto con los Acuerdos de Paz como con el derecho interno e internacional</w:t>
      </w:r>
      <w:r w:rsidR="00375555" w:rsidRPr="00006C2A">
        <w:rPr>
          <w:rFonts w:asciiTheme="majorHAnsi" w:eastAsia="Arial Unicode MS" w:hAnsiTheme="majorHAnsi" w:cs="Times New Roman"/>
          <w:color w:val="auto"/>
          <w:sz w:val="20"/>
          <w:szCs w:val="20"/>
          <w:vertAlign w:val="superscript"/>
          <w:lang w:val="es-ES_tradnl" w:eastAsia="en-US"/>
        </w:rPr>
        <w:footnoteReference w:id="9"/>
      </w:r>
      <w:r w:rsidR="00375555" w:rsidRPr="00006C2A">
        <w:rPr>
          <w:rFonts w:asciiTheme="majorHAnsi" w:eastAsia="Arial Unicode MS" w:hAnsiTheme="majorHAnsi" w:cs="Times New Roman"/>
          <w:color w:val="auto"/>
          <w:sz w:val="20"/>
          <w:szCs w:val="20"/>
          <w:lang w:val="es-ES_tradnl" w:eastAsia="en-US"/>
        </w:rPr>
        <w:t>.</w:t>
      </w:r>
    </w:p>
    <w:p w14:paraId="76838F94" w14:textId="77777777" w:rsidR="00ED1B38" w:rsidRPr="00006C2A" w:rsidRDefault="00ED1B38" w:rsidP="00ED1B38">
      <w:pPr>
        <w:pStyle w:val="ListParagraph"/>
        <w:rPr>
          <w:rFonts w:asciiTheme="majorHAnsi" w:hAnsiTheme="majorHAnsi"/>
          <w:sz w:val="20"/>
          <w:szCs w:val="20"/>
          <w:lang w:val="es-ES_tradnl"/>
        </w:rPr>
      </w:pPr>
    </w:p>
    <w:p w14:paraId="25EC0635" w14:textId="3AEC0AFA" w:rsidR="00375555" w:rsidRPr="00006C2A" w:rsidRDefault="00ED1B38" w:rsidP="008400A6">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006C2A">
        <w:rPr>
          <w:rFonts w:asciiTheme="majorHAnsi" w:hAnsiTheme="majorHAnsi"/>
          <w:sz w:val="20"/>
          <w:szCs w:val="20"/>
          <w:lang w:val="es-ES_tradnl"/>
        </w:rPr>
        <w:t>En el presente caso, la Comisión observa que los</w:t>
      </w:r>
      <w:r w:rsidR="00375555" w:rsidRPr="00006C2A">
        <w:rPr>
          <w:rFonts w:asciiTheme="majorHAnsi" w:hAnsiTheme="majorHAnsi"/>
          <w:sz w:val="20"/>
          <w:szCs w:val="20"/>
          <w:lang w:val="es-ES_tradnl"/>
        </w:rPr>
        <w:t xml:space="preserve"> peticionarios </w:t>
      </w:r>
      <w:r w:rsidRPr="00006C2A">
        <w:rPr>
          <w:rFonts w:asciiTheme="majorHAnsi" w:hAnsiTheme="majorHAnsi"/>
          <w:sz w:val="20"/>
          <w:szCs w:val="20"/>
          <w:lang w:val="es-ES_tradnl"/>
        </w:rPr>
        <w:t>alegan haber acudido al PNR como mecanismo de reparación y</w:t>
      </w:r>
      <w:r w:rsidR="00CF7860">
        <w:rPr>
          <w:rFonts w:asciiTheme="majorHAnsi" w:hAnsiTheme="majorHAnsi"/>
          <w:sz w:val="20"/>
          <w:szCs w:val="20"/>
          <w:lang w:val="es-ES_tradnl"/>
        </w:rPr>
        <w:t>,</w:t>
      </w:r>
      <w:r w:rsidR="00375555" w:rsidRPr="00006C2A">
        <w:rPr>
          <w:rFonts w:asciiTheme="majorHAnsi" w:hAnsiTheme="majorHAnsi"/>
          <w:sz w:val="20"/>
          <w:szCs w:val="20"/>
          <w:lang w:val="es-ES_tradnl"/>
        </w:rPr>
        <w:t xml:space="preserve"> </w:t>
      </w:r>
      <w:r w:rsidRPr="00006C2A">
        <w:rPr>
          <w:rFonts w:asciiTheme="majorHAnsi" w:hAnsiTheme="majorHAnsi"/>
          <w:sz w:val="20"/>
          <w:szCs w:val="20"/>
          <w:lang w:val="es-ES_tradnl"/>
        </w:rPr>
        <w:t xml:space="preserve">en concordancia con la información que ha recibido la Comisión en el monitoreo de Guatemala, fueron </w:t>
      </w:r>
      <w:r w:rsidR="00375555" w:rsidRPr="00006C2A">
        <w:rPr>
          <w:rFonts w:asciiTheme="majorHAnsi" w:hAnsiTheme="majorHAnsi"/>
          <w:sz w:val="20"/>
          <w:szCs w:val="20"/>
          <w:lang w:val="es-ES_tradnl"/>
        </w:rPr>
        <w:t>sometidas a cumplir con una gran cantidad de requisitos</w:t>
      </w:r>
      <w:r w:rsidRPr="00006C2A">
        <w:rPr>
          <w:rFonts w:asciiTheme="majorHAnsi" w:hAnsiTheme="majorHAnsi"/>
          <w:sz w:val="20"/>
          <w:szCs w:val="20"/>
          <w:lang w:val="es-ES_tradnl"/>
        </w:rPr>
        <w:t>, algunos difíciles de conseguir</w:t>
      </w:r>
      <w:r w:rsidR="009A4B92" w:rsidRPr="00006C2A">
        <w:rPr>
          <w:rFonts w:asciiTheme="majorHAnsi" w:hAnsiTheme="majorHAnsi"/>
          <w:sz w:val="20"/>
          <w:szCs w:val="20"/>
          <w:lang w:val="es-ES_tradnl"/>
        </w:rPr>
        <w:t>;</w:t>
      </w:r>
      <w:r w:rsidRPr="00006C2A">
        <w:rPr>
          <w:rFonts w:asciiTheme="majorHAnsi" w:hAnsiTheme="majorHAnsi"/>
          <w:sz w:val="20"/>
          <w:szCs w:val="20"/>
          <w:lang w:val="es-ES_tradnl"/>
        </w:rPr>
        <w:t xml:space="preserve"> y </w:t>
      </w:r>
      <w:r w:rsidR="009A4B92" w:rsidRPr="00006C2A">
        <w:rPr>
          <w:rFonts w:asciiTheme="majorHAnsi" w:hAnsiTheme="majorHAnsi"/>
          <w:sz w:val="20"/>
          <w:szCs w:val="20"/>
          <w:lang w:val="es-ES_tradnl"/>
        </w:rPr>
        <w:t xml:space="preserve">que por otro lado las presuntas víctimas </w:t>
      </w:r>
      <w:r w:rsidR="00375555" w:rsidRPr="00006C2A">
        <w:rPr>
          <w:rFonts w:asciiTheme="majorHAnsi" w:hAnsiTheme="majorHAnsi"/>
          <w:sz w:val="20"/>
          <w:szCs w:val="20"/>
          <w:lang w:val="es-ES_tradnl"/>
        </w:rPr>
        <w:t xml:space="preserve">no han tenido certeza procesal. </w:t>
      </w:r>
      <w:r w:rsidR="00922FBD" w:rsidRPr="00006C2A">
        <w:rPr>
          <w:rFonts w:asciiTheme="majorHAnsi" w:hAnsiTheme="majorHAnsi"/>
          <w:sz w:val="20"/>
          <w:szCs w:val="20"/>
          <w:lang w:val="es-ES_tradnl"/>
        </w:rPr>
        <w:t xml:space="preserve">Al respecto, la Comisión entiende que, </w:t>
      </w:r>
      <w:r w:rsidR="00375555" w:rsidRPr="00006C2A">
        <w:rPr>
          <w:rFonts w:asciiTheme="majorHAnsi" w:hAnsiTheme="majorHAnsi"/>
          <w:sz w:val="20"/>
          <w:szCs w:val="20"/>
          <w:lang w:val="es-ES_tradnl"/>
        </w:rPr>
        <w:t>por la natur</w:t>
      </w:r>
      <w:r w:rsidR="00922FBD" w:rsidRPr="00006C2A">
        <w:rPr>
          <w:rFonts w:asciiTheme="majorHAnsi" w:hAnsiTheme="majorHAnsi"/>
          <w:sz w:val="20"/>
          <w:szCs w:val="20"/>
          <w:lang w:val="es-ES_tradnl"/>
        </w:rPr>
        <w:t>a</w:t>
      </w:r>
      <w:r w:rsidR="00375555" w:rsidRPr="00006C2A">
        <w:rPr>
          <w:rFonts w:asciiTheme="majorHAnsi" w:hAnsiTheme="majorHAnsi"/>
          <w:sz w:val="20"/>
          <w:szCs w:val="20"/>
          <w:lang w:val="es-ES_tradnl"/>
        </w:rPr>
        <w:t>l</w:t>
      </w:r>
      <w:r w:rsidR="00922FBD" w:rsidRPr="00006C2A">
        <w:rPr>
          <w:rFonts w:asciiTheme="majorHAnsi" w:hAnsiTheme="majorHAnsi"/>
          <w:sz w:val="20"/>
          <w:szCs w:val="20"/>
          <w:lang w:val="es-ES_tradnl"/>
        </w:rPr>
        <w:t>e</w:t>
      </w:r>
      <w:r w:rsidR="00375555" w:rsidRPr="00006C2A">
        <w:rPr>
          <w:rFonts w:asciiTheme="majorHAnsi" w:hAnsiTheme="majorHAnsi"/>
          <w:sz w:val="20"/>
          <w:szCs w:val="20"/>
          <w:lang w:val="es-ES_tradnl"/>
        </w:rPr>
        <w:t xml:space="preserve">za de los hechos </w:t>
      </w:r>
      <w:r w:rsidR="00922FBD" w:rsidRPr="00006C2A">
        <w:rPr>
          <w:rFonts w:asciiTheme="majorHAnsi" w:hAnsiTheme="majorHAnsi"/>
          <w:sz w:val="20"/>
          <w:szCs w:val="20"/>
          <w:lang w:val="es-ES_tradnl"/>
        </w:rPr>
        <w:t xml:space="preserve">de violencia ocurridos a raíz de los cuales los peticionarios reclaman una reparación integral, así como por el contexto en el cual tuvieron lugar, resulta lógico que la recolección de pruebas por parte de las presuntas víctimas sea </w:t>
      </w:r>
      <w:r w:rsidR="006D54A9" w:rsidRPr="00006C2A">
        <w:rPr>
          <w:rFonts w:asciiTheme="majorHAnsi" w:hAnsiTheme="majorHAnsi"/>
          <w:sz w:val="20"/>
          <w:szCs w:val="20"/>
          <w:lang w:val="es-ES_tradnl"/>
        </w:rPr>
        <w:t>de gran dificultad</w:t>
      </w:r>
      <w:r w:rsidR="00375555" w:rsidRPr="00006C2A">
        <w:rPr>
          <w:rFonts w:asciiTheme="majorHAnsi" w:hAnsiTheme="majorHAnsi"/>
          <w:sz w:val="20"/>
          <w:szCs w:val="20"/>
          <w:lang w:val="es-ES_tradnl"/>
        </w:rPr>
        <w:t xml:space="preserve">. </w:t>
      </w:r>
    </w:p>
    <w:p w14:paraId="310741C6" w14:textId="77777777" w:rsidR="006D54A9" w:rsidRPr="00006C2A" w:rsidRDefault="006D54A9" w:rsidP="006D54A9">
      <w:pPr>
        <w:jc w:val="both"/>
        <w:rPr>
          <w:rFonts w:asciiTheme="majorHAnsi" w:hAnsiTheme="majorHAnsi"/>
          <w:sz w:val="20"/>
          <w:szCs w:val="20"/>
          <w:lang w:val="es-ES_tradnl"/>
        </w:rPr>
      </w:pPr>
    </w:p>
    <w:p w14:paraId="6E65E340" w14:textId="57D7E705" w:rsidR="009A4B92" w:rsidRPr="00006C2A" w:rsidRDefault="006D54A9" w:rsidP="00483FEE">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006C2A">
        <w:rPr>
          <w:rFonts w:asciiTheme="majorHAnsi" w:eastAsia="Arial Unicode MS" w:hAnsiTheme="majorHAnsi" w:cs="Times New Roman"/>
          <w:color w:val="auto"/>
          <w:sz w:val="20"/>
          <w:szCs w:val="20"/>
          <w:lang w:val="es-ES_tradnl" w:eastAsia="en-US"/>
        </w:rPr>
        <w:t xml:space="preserve">En atención a lo anterior, </w:t>
      </w:r>
      <w:r w:rsidR="009A4B92" w:rsidRPr="00006C2A">
        <w:rPr>
          <w:rFonts w:asciiTheme="majorHAnsi" w:eastAsia="Arial Unicode MS" w:hAnsiTheme="majorHAnsi" w:cs="Times New Roman"/>
          <w:color w:val="auto"/>
          <w:sz w:val="20"/>
          <w:szCs w:val="20"/>
          <w:lang w:val="es-ES_tradnl" w:eastAsia="en-US"/>
        </w:rPr>
        <w:t xml:space="preserve">y a efectos del presente análisis de admisibilidad, sin entrar en conclusiones de fondo, </w:t>
      </w:r>
      <w:r w:rsidRPr="00006C2A">
        <w:rPr>
          <w:rFonts w:asciiTheme="majorHAnsi" w:eastAsia="Arial Unicode MS" w:hAnsiTheme="majorHAnsi" w:cs="Times New Roman"/>
          <w:color w:val="auto"/>
          <w:sz w:val="20"/>
          <w:szCs w:val="20"/>
          <w:lang w:val="es-ES_tradnl" w:eastAsia="en-US"/>
        </w:rPr>
        <w:t>la Comisión observa que e</w:t>
      </w:r>
      <w:r w:rsidR="0064339D" w:rsidRPr="00006C2A">
        <w:rPr>
          <w:rFonts w:asciiTheme="majorHAnsi" w:eastAsia="Arial Unicode MS" w:hAnsiTheme="majorHAnsi" w:cs="Times New Roman"/>
          <w:color w:val="auto"/>
          <w:sz w:val="20"/>
          <w:szCs w:val="20"/>
          <w:lang w:val="es-ES_tradnl" w:eastAsia="en-US"/>
        </w:rPr>
        <w:t xml:space="preserve">l </w:t>
      </w:r>
      <w:r w:rsidRPr="00006C2A">
        <w:rPr>
          <w:rFonts w:asciiTheme="majorHAnsi" w:eastAsia="Arial Unicode MS" w:hAnsiTheme="majorHAnsi" w:cs="Times New Roman"/>
          <w:color w:val="auto"/>
          <w:sz w:val="20"/>
          <w:szCs w:val="20"/>
          <w:lang w:val="es-ES_tradnl" w:eastAsia="en-US"/>
        </w:rPr>
        <w:t>E</w:t>
      </w:r>
      <w:r w:rsidR="0064339D" w:rsidRPr="00006C2A">
        <w:rPr>
          <w:rFonts w:asciiTheme="majorHAnsi" w:eastAsia="Arial Unicode MS" w:hAnsiTheme="majorHAnsi" w:cs="Times New Roman"/>
          <w:color w:val="auto"/>
          <w:sz w:val="20"/>
          <w:szCs w:val="20"/>
          <w:lang w:val="es-ES_tradnl" w:eastAsia="en-US"/>
        </w:rPr>
        <w:t>stado no habría</w:t>
      </w:r>
      <w:r w:rsidR="009A4B92" w:rsidRPr="00006C2A">
        <w:rPr>
          <w:rFonts w:asciiTheme="majorHAnsi" w:eastAsia="Arial Unicode MS" w:hAnsiTheme="majorHAnsi" w:cs="Times New Roman"/>
          <w:color w:val="auto"/>
          <w:sz w:val="20"/>
          <w:szCs w:val="20"/>
          <w:lang w:val="es-ES_tradnl" w:eastAsia="en-US"/>
        </w:rPr>
        <w:t xml:space="preserve"> adoptado </w:t>
      </w:r>
      <w:r w:rsidR="0064339D" w:rsidRPr="00006C2A">
        <w:rPr>
          <w:rFonts w:asciiTheme="majorHAnsi" w:eastAsia="Arial Unicode MS" w:hAnsiTheme="majorHAnsi" w:cs="Times New Roman"/>
          <w:color w:val="auto"/>
          <w:sz w:val="20"/>
          <w:szCs w:val="20"/>
          <w:lang w:val="es-ES_tradnl" w:eastAsia="en-US"/>
        </w:rPr>
        <w:t xml:space="preserve"> </w:t>
      </w:r>
      <w:r w:rsidR="009A4B92" w:rsidRPr="00006C2A">
        <w:rPr>
          <w:rFonts w:asciiTheme="majorHAnsi" w:eastAsia="Arial Unicode MS" w:hAnsiTheme="majorHAnsi" w:cs="Times New Roman"/>
          <w:color w:val="auto"/>
          <w:sz w:val="20"/>
          <w:szCs w:val="20"/>
          <w:lang w:val="es-ES_tradnl" w:eastAsia="en-US"/>
        </w:rPr>
        <w:t>las medidas razonablemente necesarias</w:t>
      </w:r>
      <w:r w:rsidR="0064339D" w:rsidRPr="00006C2A">
        <w:rPr>
          <w:rFonts w:asciiTheme="majorHAnsi" w:eastAsia="Arial Unicode MS" w:hAnsiTheme="majorHAnsi" w:cs="Times New Roman"/>
          <w:color w:val="auto"/>
          <w:sz w:val="20"/>
          <w:szCs w:val="20"/>
          <w:lang w:val="es-ES_tradnl" w:eastAsia="en-US"/>
        </w:rPr>
        <w:t xml:space="preserve"> para </w:t>
      </w:r>
      <w:r w:rsidRPr="00006C2A">
        <w:rPr>
          <w:rFonts w:asciiTheme="majorHAnsi" w:eastAsia="Arial Unicode MS" w:hAnsiTheme="majorHAnsi" w:cs="Times New Roman"/>
          <w:color w:val="auto"/>
          <w:sz w:val="20"/>
          <w:szCs w:val="20"/>
          <w:lang w:val="es-ES_tradnl" w:eastAsia="en-US"/>
        </w:rPr>
        <w:t>garantizar</w:t>
      </w:r>
      <w:r w:rsidR="009A4B92" w:rsidRPr="00006C2A">
        <w:rPr>
          <w:rFonts w:asciiTheme="majorHAnsi" w:eastAsia="Arial Unicode MS" w:hAnsiTheme="majorHAnsi" w:cs="Times New Roman"/>
          <w:color w:val="auto"/>
          <w:sz w:val="20"/>
          <w:szCs w:val="20"/>
          <w:lang w:val="es-ES_tradnl" w:eastAsia="en-US"/>
        </w:rPr>
        <w:t xml:space="preserve"> que</w:t>
      </w:r>
      <w:r w:rsidR="0064339D" w:rsidRPr="00006C2A">
        <w:rPr>
          <w:rFonts w:asciiTheme="majorHAnsi" w:eastAsia="Arial Unicode MS" w:hAnsiTheme="majorHAnsi" w:cs="Times New Roman"/>
          <w:color w:val="auto"/>
          <w:sz w:val="20"/>
          <w:szCs w:val="20"/>
          <w:lang w:val="es-ES_tradnl" w:eastAsia="en-US"/>
        </w:rPr>
        <w:t xml:space="preserve"> </w:t>
      </w:r>
      <w:r w:rsidRPr="00006C2A">
        <w:rPr>
          <w:rFonts w:asciiTheme="majorHAnsi" w:eastAsia="Arial Unicode MS" w:hAnsiTheme="majorHAnsi" w:cs="Times New Roman"/>
          <w:color w:val="auto"/>
          <w:sz w:val="20"/>
          <w:szCs w:val="20"/>
          <w:lang w:val="es-ES_tradnl" w:eastAsia="en-US"/>
        </w:rPr>
        <w:t xml:space="preserve">el proceso ante el PNR </w:t>
      </w:r>
      <w:r w:rsidR="0064339D" w:rsidRPr="00006C2A">
        <w:rPr>
          <w:rFonts w:asciiTheme="majorHAnsi" w:eastAsia="Arial Unicode MS" w:hAnsiTheme="majorHAnsi" w:cs="Times New Roman"/>
          <w:color w:val="auto"/>
          <w:sz w:val="20"/>
          <w:szCs w:val="20"/>
          <w:lang w:val="es-ES_tradnl" w:eastAsia="en-US"/>
        </w:rPr>
        <w:t xml:space="preserve">fuese </w:t>
      </w:r>
      <w:r w:rsidR="009A4B92" w:rsidRPr="00006C2A">
        <w:rPr>
          <w:rFonts w:asciiTheme="majorHAnsi" w:eastAsia="Arial Unicode MS" w:hAnsiTheme="majorHAnsi" w:cs="Times New Roman"/>
          <w:color w:val="auto"/>
          <w:sz w:val="20"/>
          <w:szCs w:val="20"/>
          <w:lang w:val="es-ES_tradnl" w:eastAsia="en-US"/>
        </w:rPr>
        <w:t xml:space="preserve">en términos reales un mecanismo </w:t>
      </w:r>
      <w:r w:rsidR="0064339D" w:rsidRPr="00006C2A">
        <w:rPr>
          <w:rFonts w:asciiTheme="majorHAnsi" w:eastAsia="Arial Unicode MS" w:hAnsiTheme="majorHAnsi" w:cs="Times New Roman"/>
          <w:color w:val="auto"/>
          <w:sz w:val="20"/>
          <w:szCs w:val="20"/>
          <w:lang w:val="es-ES_tradnl" w:eastAsia="en-US"/>
        </w:rPr>
        <w:t>adecuado y efect</w:t>
      </w:r>
      <w:r w:rsidRPr="00006C2A">
        <w:rPr>
          <w:rFonts w:asciiTheme="majorHAnsi" w:eastAsia="Arial Unicode MS" w:hAnsiTheme="majorHAnsi" w:cs="Times New Roman"/>
          <w:color w:val="auto"/>
          <w:sz w:val="20"/>
          <w:szCs w:val="20"/>
          <w:lang w:val="es-ES_tradnl" w:eastAsia="en-US"/>
        </w:rPr>
        <w:t>i</w:t>
      </w:r>
      <w:r w:rsidR="0064339D" w:rsidRPr="00006C2A">
        <w:rPr>
          <w:rFonts w:asciiTheme="majorHAnsi" w:eastAsia="Arial Unicode MS" w:hAnsiTheme="majorHAnsi" w:cs="Times New Roman"/>
          <w:color w:val="auto"/>
          <w:sz w:val="20"/>
          <w:szCs w:val="20"/>
          <w:lang w:val="es-ES_tradnl" w:eastAsia="en-US"/>
        </w:rPr>
        <w:t xml:space="preserve">vo para </w:t>
      </w:r>
      <w:r w:rsidR="009A4B92" w:rsidRPr="00006C2A">
        <w:rPr>
          <w:rFonts w:asciiTheme="majorHAnsi" w:eastAsia="Arial Unicode MS" w:hAnsiTheme="majorHAnsi" w:cs="Times New Roman"/>
          <w:color w:val="auto"/>
          <w:sz w:val="20"/>
          <w:szCs w:val="20"/>
          <w:lang w:val="es-ES_tradnl" w:eastAsia="en-US"/>
        </w:rPr>
        <w:t>los reclamos de las presuntas víctimas</w:t>
      </w:r>
      <w:r w:rsidR="0064339D" w:rsidRPr="00006C2A">
        <w:rPr>
          <w:rFonts w:asciiTheme="majorHAnsi" w:eastAsia="Arial Unicode MS" w:hAnsiTheme="majorHAnsi" w:cs="Times New Roman"/>
          <w:color w:val="auto"/>
          <w:sz w:val="20"/>
          <w:szCs w:val="20"/>
          <w:lang w:val="es-ES_tradnl" w:eastAsia="en-US"/>
        </w:rPr>
        <w:t xml:space="preserve">. </w:t>
      </w:r>
      <w:r w:rsidR="009A4B92" w:rsidRPr="00006C2A">
        <w:rPr>
          <w:rFonts w:asciiTheme="majorHAnsi" w:eastAsia="Arial Unicode MS" w:hAnsiTheme="majorHAnsi" w:cs="Times New Roman"/>
          <w:color w:val="auto"/>
          <w:sz w:val="20"/>
          <w:szCs w:val="20"/>
          <w:lang w:val="es-ES_tradnl" w:eastAsia="en-US"/>
        </w:rPr>
        <w:t xml:space="preserve">Esta convicción se ve reforzada por el hecho mismo de que tanto el Ombudsman de Guatemala, como otras comunidades indígenas, reclamaron ante los tribunales competentes la inoperancia del PNR para cumplir sus fines, reclamos que consistieron precisamente en lo que constituye el objeto central de lo que reclaman los peticionarios ante la CIDH. Recursos todos estos que además no tuvieron ningún éxito en términos de lograr que las autoridades internas hicieran operativo el PNR, a pesar incluso de las decisiones judiciales que así lo disponían. </w:t>
      </w:r>
    </w:p>
    <w:p w14:paraId="55CBFFB1" w14:textId="77777777" w:rsidR="009A4B92" w:rsidRPr="00006C2A" w:rsidRDefault="009A4B92" w:rsidP="009A4B92">
      <w:pPr>
        <w:pStyle w:val="ListParagraph"/>
        <w:rPr>
          <w:rFonts w:asciiTheme="majorHAnsi" w:eastAsia="Arial Unicode MS" w:hAnsiTheme="majorHAnsi" w:cs="Times New Roman"/>
          <w:color w:val="auto"/>
          <w:sz w:val="20"/>
          <w:szCs w:val="20"/>
          <w:lang w:val="es-ES_tradnl" w:eastAsia="en-US"/>
        </w:rPr>
      </w:pPr>
    </w:p>
    <w:p w14:paraId="3DA7B5BD" w14:textId="3FF62C21" w:rsidR="0064339D" w:rsidRPr="00006C2A" w:rsidRDefault="006D54A9" w:rsidP="00483FEE">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006C2A">
        <w:rPr>
          <w:rFonts w:asciiTheme="majorHAnsi" w:eastAsia="Arial Unicode MS" w:hAnsiTheme="majorHAnsi" w:cs="Times New Roman"/>
          <w:color w:val="auto"/>
          <w:sz w:val="20"/>
          <w:szCs w:val="20"/>
          <w:lang w:val="es-ES_tradnl" w:eastAsia="en-US"/>
        </w:rPr>
        <w:t xml:space="preserve">Por </w:t>
      </w:r>
      <w:r w:rsidR="009A4B92" w:rsidRPr="00006C2A">
        <w:rPr>
          <w:rFonts w:asciiTheme="majorHAnsi" w:eastAsia="Arial Unicode MS" w:hAnsiTheme="majorHAnsi" w:cs="Times New Roman"/>
          <w:color w:val="auto"/>
          <w:sz w:val="20"/>
          <w:szCs w:val="20"/>
          <w:lang w:val="es-ES_tradnl" w:eastAsia="en-US"/>
        </w:rPr>
        <w:t xml:space="preserve">lo </w:t>
      </w:r>
      <w:r w:rsidRPr="00006C2A">
        <w:rPr>
          <w:rFonts w:asciiTheme="majorHAnsi" w:eastAsia="Arial Unicode MS" w:hAnsiTheme="majorHAnsi" w:cs="Times New Roman"/>
          <w:color w:val="auto"/>
          <w:sz w:val="20"/>
          <w:szCs w:val="20"/>
          <w:lang w:val="es-ES_tradnl" w:eastAsia="en-US"/>
        </w:rPr>
        <w:t>tanto, l</w:t>
      </w:r>
      <w:r w:rsidR="00922FBD" w:rsidRPr="00006C2A">
        <w:rPr>
          <w:rFonts w:asciiTheme="majorHAnsi" w:hAnsiTheme="majorHAnsi"/>
          <w:sz w:val="20"/>
          <w:szCs w:val="20"/>
          <w:lang w:val="es-ES_tradnl"/>
        </w:rPr>
        <w:t>a Comisión</w:t>
      </w:r>
      <w:r w:rsidR="009A4B92" w:rsidRPr="00006C2A">
        <w:rPr>
          <w:rFonts w:asciiTheme="majorHAnsi" w:hAnsiTheme="majorHAnsi"/>
          <w:sz w:val="20"/>
          <w:szCs w:val="20"/>
          <w:lang w:val="es-ES_tradnl"/>
        </w:rPr>
        <w:t xml:space="preserve"> Interamericana concluye que dadas las características del presente caso, al verificarse como inefectiva la vía o mecanismo legal dispuesto por el ordenamiento jurídico interno para atender el reclamo de los peticionarios, resulta aplicable la excepción prevista en el artículo </w:t>
      </w:r>
      <w:r w:rsidR="0064339D" w:rsidRPr="00006C2A">
        <w:rPr>
          <w:rFonts w:asciiTheme="majorHAnsi" w:eastAsia="Arial Unicode MS" w:hAnsiTheme="majorHAnsi" w:cs="Times New Roman"/>
          <w:color w:val="auto"/>
          <w:sz w:val="20"/>
          <w:szCs w:val="20"/>
          <w:lang w:val="es-ES_tradnl" w:eastAsia="en-US"/>
        </w:rPr>
        <w:t>46.2.a</w:t>
      </w:r>
      <w:r w:rsidR="009A4B92" w:rsidRPr="00006C2A">
        <w:rPr>
          <w:rFonts w:asciiTheme="majorHAnsi" w:eastAsia="Arial Unicode MS" w:hAnsiTheme="majorHAnsi" w:cs="Times New Roman"/>
          <w:color w:val="auto"/>
          <w:sz w:val="20"/>
          <w:szCs w:val="20"/>
          <w:lang w:val="es-ES_tradnl" w:eastAsia="en-US"/>
        </w:rPr>
        <w:t>)</w:t>
      </w:r>
      <w:r w:rsidR="0064339D" w:rsidRPr="00006C2A">
        <w:rPr>
          <w:rFonts w:asciiTheme="majorHAnsi" w:eastAsia="Arial Unicode MS" w:hAnsiTheme="majorHAnsi" w:cs="Times New Roman"/>
          <w:color w:val="auto"/>
          <w:sz w:val="20"/>
          <w:szCs w:val="20"/>
          <w:lang w:val="es-ES_tradnl" w:eastAsia="en-US"/>
        </w:rPr>
        <w:t xml:space="preserve"> de la Convención Americana.</w:t>
      </w:r>
    </w:p>
    <w:p w14:paraId="42BD36BA" w14:textId="77777777" w:rsidR="00F10AF6" w:rsidRPr="00006C2A" w:rsidRDefault="00F10AF6" w:rsidP="00F10AF6">
      <w:pPr>
        <w:pStyle w:val="ListParagraph"/>
        <w:jc w:val="both"/>
        <w:rPr>
          <w:rFonts w:asciiTheme="majorHAnsi" w:eastAsia="Arial Unicode MS" w:hAnsiTheme="majorHAnsi" w:cs="Times New Roman"/>
          <w:color w:val="auto"/>
          <w:sz w:val="20"/>
          <w:szCs w:val="20"/>
          <w:lang w:val="es-ES_tradnl" w:eastAsia="en-US"/>
        </w:rPr>
      </w:pPr>
    </w:p>
    <w:p w14:paraId="692060C1" w14:textId="7068B537" w:rsidR="00A94448" w:rsidRPr="00006C2A" w:rsidRDefault="00F10AF6">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006C2A">
        <w:rPr>
          <w:rFonts w:asciiTheme="majorHAnsi" w:eastAsia="Arial Unicode MS" w:hAnsiTheme="majorHAnsi" w:cs="Times New Roman"/>
          <w:color w:val="auto"/>
          <w:sz w:val="20"/>
          <w:szCs w:val="20"/>
          <w:lang w:val="es-ES_tradnl" w:eastAsia="en-US"/>
        </w:rPr>
        <w:lastRenderedPageBreak/>
        <w:t xml:space="preserve">En cuanto al plazo para la presentación de la petición, la Comisión observa que las presuntas víctimas presentaron solicitud formal ante la Programa Nacional de Resarcimiento en octubre de 2008; y que </w:t>
      </w:r>
      <w:r w:rsidR="003569C4" w:rsidRPr="00006C2A">
        <w:rPr>
          <w:rFonts w:asciiTheme="majorHAnsi" w:eastAsia="Arial Unicode MS" w:hAnsiTheme="majorHAnsi" w:cs="Times New Roman"/>
          <w:color w:val="auto"/>
          <w:sz w:val="20"/>
          <w:szCs w:val="20"/>
          <w:lang w:val="es-ES_tradnl" w:eastAsia="en-US"/>
        </w:rPr>
        <w:t xml:space="preserve">los efectos en cuanto a la falta de </w:t>
      </w:r>
      <w:r w:rsidRPr="00006C2A">
        <w:rPr>
          <w:rFonts w:asciiTheme="majorHAnsi" w:eastAsia="Arial Unicode MS" w:hAnsiTheme="majorHAnsi" w:cs="Times New Roman"/>
          <w:color w:val="auto"/>
          <w:sz w:val="20"/>
          <w:szCs w:val="20"/>
          <w:lang w:val="es-ES_tradnl" w:eastAsia="en-US"/>
        </w:rPr>
        <w:t xml:space="preserve">reparación </w:t>
      </w:r>
      <w:r w:rsidR="003569C4" w:rsidRPr="00006C2A">
        <w:rPr>
          <w:rFonts w:asciiTheme="majorHAnsi" w:eastAsia="Arial Unicode MS" w:hAnsiTheme="majorHAnsi" w:cs="Times New Roman"/>
          <w:color w:val="auto"/>
          <w:sz w:val="20"/>
          <w:szCs w:val="20"/>
          <w:lang w:val="es-ES_tradnl" w:eastAsia="en-US"/>
        </w:rPr>
        <w:t xml:space="preserve">integral </w:t>
      </w:r>
      <w:r w:rsidRPr="00006C2A">
        <w:rPr>
          <w:rFonts w:asciiTheme="majorHAnsi" w:eastAsia="Arial Unicode MS" w:hAnsiTheme="majorHAnsi" w:cs="Times New Roman"/>
          <w:color w:val="auto"/>
          <w:sz w:val="20"/>
          <w:szCs w:val="20"/>
          <w:lang w:val="es-ES_tradnl" w:eastAsia="en-US"/>
        </w:rPr>
        <w:t>continúa</w:t>
      </w:r>
      <w:r w:rsidR="003569C4" w:rsidRPr="00006C2A">
        <w:rPr>
          <w:rFonts w:asciiTheme="majorHAnsi" w:eastAsia="Arial Unicode MS" w:hAnsiTheme="majorHAnsi" w:cs="Times New Roman"/>
          <w:color w:val="auto"/>
          <w:sz w:val="20"/>
          <w:szCs w:val="20"/>
          <w:lang w:val="es-ES_tradnl" w:eastAsia="en-US"/>
        </w:rPr>
        <w:t>n</w:t>
      </w:r>
      <w:r w:rsidRPr="00006C2A">
        <w:rPr>
          <w:rFonts w:asciiTheme="majorHAnsi" w:eastAsia="Arial Unicode MS" w:hAnsiTheme="majorHAnsi" w:cs="Times New Roman"/>
          <w:color w:val="auto"/>
          <w:sz w:val="20"/>
          <w:szCs w:val="20"/>
          <w:lang w:val="es-ES_tradnl" w:eastAsia="en-US"/>
        </w:rPr>
        <w:t xml:space="preserve"> hasta el día de hoy. De este modo, </w:t>
      </w:r>
      <w:r w:rsidR="003569C4" w:rsidRPr="00006C2A">
        <w:rPr>
          <w:rFonts w:asciiTheme="majorHAnsi" w:eastAsia="Arial Unicode MS" w:hAnsiTheme="majorHAnsi" w:cs="Times New Roman"/>
          <w:color w:val="auto"/>
          <w:sz w:val="20"/>
          <w:szCs w:val="20"/>
          <w:lang w:val="es-ES_tradnl" w:eastAsia="en-US"/>
        </w:rPr>
        <w:t xml:space="preserve">dadas las características del presente caso y </w:t>
      </w:r>
      <w:r w:rsidRPr="00006C2A">
        <w:rPr>
          <w:rFonts w:asciiTheme="majorHAnsi" w:eastAsia="Arial Unicode MS" w:hAnsiTheme="majorHAnsi" w:cs="Times New Roman"/>
          <w:color w:val="auto"/>
          <w:sz w:val="20"/>
          <w:szCs w:val="20"/>
          <w:lang w:val="es-ES_tradnl" w:eastAsia="en-US"/>
        </w:rPr>
        <w:t xml:space="preserve">teniendo en cuenta que la petición fue presentada el 24 de octubre de 2011, la Comisión Interamericana </w:t>
      </w:r>
      <w:r w:rsidR="00F65113" w:rsidRPr="00006C2A">
        <w:rPr>
          <w:rFonts w:asciiTheme="majorHAnsi" w:eastAsia="Arial Unicode MS" w:hAnsiTheme="majorHAnsi" w:cs="Times New Roman"/>
          <w:color w:val="auto"/>
          <w:sz w:val="20"/>
          <w:szCs w:val="20"/>
          <w:lang w:val="es-ES_tradnl" w:eastAsia="en-US"/>
        </w:rPr>
        <w:t xml:space="preserve">considera que petición fue presentada en un plazo razonable en los </w:t>
      </w:r>
      <w:r w:rsidRPr="00006C2A">
        <w:rPr>
          <w:rFonts w:asciiTheme="majorHAnsi" w:eastAsia="Arial Unicode MS" w:hAnsiTheme="majorHAnsi" w:cs="Times New Roman"/>
          <w:color w:val="auto"/>
          <w:sz w:val="20"/>
          <w:szCs w:val="20"/>
          <w:lang w:val="es-ES_tradnl" w:eastAsia="en-US"/>
        </w:rPr>
        <w:t xml:space="preserve">términos del artículo 32.2 de </w:t>
      </w:r>
      <w:r w:rsidR="00F65113" w:rsidRPr="00006C2A">
        <w:rPr>
          <w:rFonts w:asciiTheme="majorHAnsi" w:eastAsia="Arial Unicode MS" w:hAnsiTheme="majorHAnsi" w:cs="Times New Roman"/>
          <w:color w:val="auto"/>
          <w:sz w:val="20"/>
          <w:szCs w:val="20"/>
          <w:lang w:val="es-ES_tradnl" w:eastAsia="en-US"/>
        </w:rPr>
        <w:t>su</w:t>
      </w:r>
      <w:r w:rsidRPr="00006C2A">
        <w:rPr>
          <w:rFonts w:asciiTheme="majorHAnsi" w:eastAsia="Arial Unicode MS" w:hAnsiTheme="majorHAnsi" w:cs="Times New Roman"/>
          <w:color w:val="auto"/>
          <w:sz w:val="20"/>
          <w:szCs w:val="20"/>
          <w:lang w:val="es-ES_tradnl" w:eastAsia="en-US"/>
        </w:rPr>
        <w:t xml:space="preserve"> Reglamento</w:t>
      </w:r>
      <w:r w:rsidR="00F65113" w:rsidRPr="00006C2A">
        <w:rPr>
          <w:rFonts w:asciiTheme="majorHAnsi" w:eastAsia="Arial Unicode MS" w:hAnsiTheme="majorHAnsi" w:cs="Times New Roman"/>
          <w:color w:val="auto"/>
          <w:sz w:val="20"/>
          <w:szCs w:val="20"/>
          <w:lang w:val="es-ES_tradnl" w:eastAsia="en-US"/>
        </w:rPr>
        <w:t>.</w:t>
      </w:r>
      <w:r w:rsidRPr="00006C2A">
        <w:rPr>
          <w:rFonts w:asciiTheme="majorHAnsi" w:eastAsia="Arial Unicode MS" w:hAnsiTheme="majorHAnsi" w:cs="Times New Roman"/>
          <w:color w:val="auto"/>
          <w:sz w:val="20"/>
          <w:szCs w:val="20"/>
          <w:lang w:val="es-ES_tradnl" w:eastAsia="en-US"/>
        </w:rPr>
        <w:t xml:space="preserve"> </w:t>
      </w:r>
    </w:p>
    <w:p w14:paraId="4FFBE378" w14:textId="64322DE9" w:rsidR="003239B8" w:rsidRPr="00006C2A" w:rsidRDefault="003239B8" w:rsidP="003239B8">
      <w:pPr>
        <w:pStyle w:val="ListParagraph"/>
        <w:spacing w:before="240" w:after="240"/>
        <w:jc w:val="both"/>
        <w:rPr>
          <w:rFonts w:asciiTheme="majorHAnsi" w:hAnsiTheme="majorHAnsi"/>
          <w:b/>
          <w:sz w:val="20"/>
          <w:szCs w:val="20"/>
          <w:lang w:val="es-ES_tradnl"/>
        </w:rPr>
      </w:pPr>
      <w:r w:rsidRPr="00006C2A">
        <w:rPr>
          <w:rFonts w:asciiTheme="majorHAnsi" w:hAnsiTheme="majorHAnsi"/>
          <w:b/>
          <w:bCs/>
          <w:sz w:val="20"/>
          <w:szCs w:val="20"/>
          <w:lang w:val="es-ES_tradnl"/>
        </w:rPr>
        <w:t>VII.</w:t>
      </w:r>
      <w:r w:rsidRPr="00006C2A">
        <w:rPr>
          <w:rFonts w:asciiTheme="majorHAnsi" w:hAnsiTheme="majorHAnsi"/>
          <w:b/>
          <w:bCs/>
          <w:sz w:val="20"/>
          <w:szCs w:val="20"/>
          <w:lang w:val="es-ES_tradnl"/>
        </w:rPr>
        <w:tab/>
      </w:r>
      <w:r w:rsidR="004A6A54" w:rsidRPr="00006C2A">
        <w:rPr>
          <w:rFonts w:asciiTheme="majorHAnsi" w:hAnsiTheme="majorHAnsi"/>
          <w:b/>
          <w:bCs/>
          <w:sz w:val="20"/>
          <w:szCs w:val="20"/>
          <w:lang w:val="es-ES_tradnl"/>
        </w:rPr>
        <w:t xml:space="preserve">ANÁLISIS DE </w:t>
      </w:r>
      <w:r w:rsidR="00C21FEF" w:rsidRPr="00006C2A">
        <w:rPr>
          <w:rFonts w:asciiTheme="majorHAnsi" w:hAnsiTheme="majorHAnsi"/>
          <w:b/>
          <w:bCs/>
          <w:sz w:val="20"/>
          <w:szCs w:val="20"/>
          <w:lang w:val="es-ES_tradnl"/>
        </w:rPr>
        <w:t>CARACTERIZACIÓN DE LOS HECHOS ALEGADOS</w:t>
      </w:r>
    </w:p>
    <w:p w14:paraId="1B2517F7" w14:textId="5C783C82" w:rsidR="003569C4" w:rsidRPr="00006C2A" w:rsidRDefault="003569C4">
      <w:pPr>
        <w:pStyle w:val="ListParagraph"/>
        <w:numPr>
          <w:ilvl w:val="0"/>
          <w:numId w:val="55"/>
        </w:numPr>
        <w:contextualSpacing/>
        <w:jc w:val="both"/>
        <w:rPr>
          <w:rFonts w:asciiTheme="majorHAnsi" w:hAnsiTheme="majorHAnsi" w:cs="Calibri"/>
          <w:sz w:val="20"/>
          <w:szCs w:val="20"/>
          <w:lang w:val="es-ES_tradnl"/>
        </w:rPr>
      </w:pPr>
      <w:r w:rsidRPr="00006C2A">
        <w:rPr>
          <w:rFonts w:asciiTheme="majorHAnsi" w:hAnsiTheme="majorHAnsi" w:cs="Calibri"/>
          <w:sz w:val="20"/>
          <w:szCs w:val="20"/>
          <w:lang w:val="es-ES_tradnl"/>
        </w:rPr>
        <w:t xml:space="preserve">Como cuestión preliminar, la Comisión toma nota de los argumentos presentados por el Estado </w:t>
      </w:r>
      <w:r w:rsidR="00006C2A" w:rsidRPr="00006C2A">
        <w:rPr>
          <w:rFonts w:asciiTheme="majorHAnsi" w:hAnsiTheme="majorHAnsi" w:cs="Calibri"/>
          <w:sz w:val="20"/>
          <w:szCs w:val="20"/>
          <w:lang w:val="es-ES_tradnl"/>
        </w:rPr>
        <w:t>con relación a</w:t>
      </w:r>
      <w:r w:rsidRPr="00006C2A">
        <w:rPr>
          <w:rFonts w:asciiTheme="majorHAnsi" w:hAnsiTheme="majorHAnsi" w:cs="Calibri"/>
          <w:sz w:val="20"/>
          <w:szCs w:val="20"/>
          <w:lang w:val="es-ES_tradnl"/>
        </w:rPr>
        <w:t xml:space="preserve"> la </w:t>
      </w:r>
      <w:r w:rsidR="005E7330" w:rsidRPr="00006C2A">
        <w:rPr>
          <w:rFonts w:asciiTheme="majorHAnsi" w:hAnsiTheme="majorHAnsi" w:cs="Calibri"/>
          <w:sz w:val="20"/>
          <w:szCs w:val="20"/>
          <w:lang w:val="es-ES_tradnl"/>
        </w:rPr>
        <w:t xml:space="preserve">falta de información sobre la </w:t>
      </w:r>
      <w:r w:rsidRPr="00006C2A">
        <w:rPr>
          <w:rFonts w:asciiTheme="majorHAnsi" w:hAnsiTheme="majorHAnsi" w:cs="Calibri"/>
          <w:sz w:val="20"/>
          <w:szCs w:val="20"/>
          <w:lang w:val="es-ES_tradnl"/>
        </w:rPr>
        <w:t>identidad de la parte peticionaria,</w:t>
      </w:r>
      <w:r w:rsidR="005E7330" w:rsidRPr="00006C2A">
        <w:rPr>
          <w:rFonts w:asciiTheme="majorHAnsi" w:hAnsiTheme="majorHAnsi" w:cs="Calibri"/>
          <w:sz w:val="20"/>
          <w:szCs w:val="20"/>
          <w:lang w:val="es-ES_tradnl"/>
        </w:rPr>
        <w:t xml:space="preserve"> y</w:t>
      </w:r>
      <w:r w:rsidRPr="00006C2A">
        <w:rPr>
          <w:rFonts w:asciiTheme="majorHAnsi" w:hAnsiTheme="majorHAnsi" w:cs="Calibri"/>
          <w:sz w:val="20"/>
          <w:szCs w:val="20"/>
          <w:lang w:val="es-ES_tradnl"/>
        </w:rPr>
        <w:t xml:space="preserve"> de las presuntas víctimas. </w:t>
      </w:r>
    </w:p>
    <w:p w14:paraId="0931D9A0" w14:textId="77777777" w:rsidR="003569C4" w:rsidRPr="00006C2A" w:rsidRDefault="003569C4" w:rsidP="003569C4">
      <w:pPr>
        <w:pStyle w:val="ListParagraph"/>
        <w:contextualSpacing/>
        <w:jc w:val="both"/>
        <w:rPr>
          <w:rFonts w:asciiTheme="majorHAnsi" w:hAnsiTheme="majorHAnsi" w:cs="Calibri"/>
          <w:sz w:val="20"/>
          <w:szCs w:val="20"/>
          <w:lang w:val="es-ES_tradnl"/>
        </w:rPr>
      </w:pPr>
    </w:p>
    <w:p w14:paraId="6508576E" w14:textId="4B467BB9" w:rsidR="003569C4" w:rsidRPr="00006C2A" w:rsidRDefault="00006C2A">
      <w:pPr>
        <w:pStyle w:val="ListParagraph"/>
        <w:numPr>
          <w:ilvl w:val="0"/>
          <w:numId w:val="55"/>
        </w:numPr>
        <w:contextualSpacing/>
        <w:jc w:val="both"/>
        <w:rPr>
          <w:rFonts w:asciiTheme="majorHAnsi" w:hAnsiTheme="majorHAnsi" w:cs="Calibri"/>
          <w:sz w:val="20"/>
          <w:szCs w:val="20"/>
          <w:lang w:val="es-ES_tradnl"/>
        </w:rPr>
      </w:pPr>
      <w:r w:rsidRPr="00006C2A">
        <w:rPr>
          <w:rFonts w:asciiTheme="majorHAnsi" w:hAnsiTheme="majorHAnsi"/>
          <w:sz w:val="20"/>
          <w:szCs w:val="20"/>
          <w:lang w:val="es-ES_tradnl"/>
        </w:rPr>
        <w:t>Con relación al</w:t>
      </w:r>
      <w:r w:rsidR="00526EF7" w:rsidRPr="00006C2A">
        <w:rPr>
          <w:rFonts w:asciiTheme="majorHAnsi" w:hAnsiTheme="majorHAnsi"/>
          <w:sz w:val="20"/>
          <w:szCs w:val="20"/>
          <w:lang w:val="es-ES_tradnl"/>
        </w:rPr>
        <w:t xml:space="preserve"> argumento del Estado sobre </w:t>
      </w:r>
      <w:r w:rsidR="003569C4" w:rsidRPr="00006C2A">
        <w:rPr>
          <w:rFonts w:asciiTheme="majorHAnsi" w:hAnsiTheme="majorHAnsi"/>
          <w:sz w:val="20"/>
          <w:szCs w:val="20"/>
          <w:lang w:val="es-ES_tradnl"/>
        </w:rPr>
        <w:t xml:space="preserve">la identidad de la parte peticionaria, la Comisión </w:t>
      </w:r>
      <w:r w:rsidR="00526EF7" w:rsidRPr="00006C2A">
        <w:rPr>
          <w:rFonts w:asciiTheme="majorHAnsi" w:hAnsiTheme="majorHAnsi"/>
          <w:sz w:val="20"/>
          <w:szCs w:val="20"/>
          <w:lang w:val="es-ES_tradnl"/>
        </w:rPr>
        <w:t xml:space="preserve">recuerda </w:t>
      </w:r>
      <w:r w:rsidR="003569C4" w:rsidRPr="00006C2A">
        <w:rPr>
          <w:rFonts w:asciiTheme="majorHAnsi" w:hAnsiTheme="majorHAnsi"/>
          <w:sz w:val="20"/>
          <w:szCs w:val="20"/>
          <w:lang w:val="es-ES_tradnl"/>
        </w:rPr>
        <w:t xml:space="preserve">que </w:t>
      </w:r>
      <w:r w:rsidR="00FA7CB7" w:rsidRPr="00006C2A">
        <w:rPr>
          <w:rFonts w:asciiTheme="majorHAnsi" w:hAnsiTheme="majorHAnsi"/>
          <w:sz w:val="20"/>
          <w:szCs w:val="20"/>
          <w:lang w:val="es-ES_tradnl"/>
        </w:rPr>
        <w:t>e</w:t>
      </w:r>
      <w:r w:rsidR="00526EF7" w:rsidRPr="00006C2A">
        <w:rPr>
          <w:rFonts w:asciiTheme="majorHAnsi" w:hAnsiTheme="majorHAnsi"/>
          <w:sz w:val="20"/>
          <w:szCs w:val="20"/>
          <w:lang w:val="es-ES_tradnl"/>
        </w:rPr>
        <w:t xml:space="preserve">l artículo 44 de la Convención permite a cualquier persona o grupo de personas, o entidad no gubernamental legalmente reconocida en uno o más Estados miembros de la Organización, presentar denuncias de alegadas violaciones de la Convención sin exigir que tengan autorización de las presuntas víctimas o que presenten poderes de representación legal de las mismas. En este sentido, de una lectura detallada del expediente, </w:t>
      </w:r>
      <w:r w:rsidR="00CE7399" w:rsidRPr="00006C2A">
        <w:rPr>
          <w:rFonts w:asciiTheme="majorHAnsi" w:hAnsiTheme="majorHAnsi"/>
          <w:sz w:val="20"/>
          <w:szCs w:val="20"/>
          <w:lang w:val="es-ES_tradnl"/>
        </w:rPr>
        <w:t xml:space="preserve">la presente petición fue presentada, como demuestra el sello en la comunicación inicial, por </w:t>
      </w:r>
      <w:r w:rsidR="005E7330" w:rsidRPr="00006C2A">
        <w:rPr>
          <w:rFonts w:asciiTheme="majorHAnsi" w:hAnsiTheme="majorHAnsi"/>
          <w:sz w:val="20"/>
          <w:szCs w:val="20"/>
          <w:lang w:val="es-ES_tradnl"/>
        </w:rPr>
        <w:t xml:space="preserve">el </w:t>
      </w:r>
      <w:r w:rsidR="00CE7399" w:rsidRPr="00006C2A">
        <w:rPr>
          <w:rFonts w:asciiTheme="majorHAnsi" w:hAnsiTheme="majorHAnsi"/>
          <w:sz w:val="20"/>
          <w:szCs w:val="20"/>
          <w:lang w:val="es-ES_tradnl"/>
        </w:rPr>
        <w:t>Comité de Víctimas del Conflicto Armado Interno de la aldea Sesajal, organización</w:t>
      </w:r>
      <w:r w:rsidR="005E7330" w:rsidRPr="00006C2A">
        <w:rPr>
          <w:rFonts w:asciiTheme="majorHAnsi" w:hAnsiTheme="majorHAnsi"/>
          <w:sz w:val="20"/>
          <w:szCs w:val="20"/>
          <w:lang w:val="es-ES_tradnl"/>
        </w:rPr>
        <w:t xml:space="preserve"> registrada</w:t>
      </w:r>
      <w:r w:rsidR="00CE7399" w:rsidRPr="00006C2A">
        <w:rPr>
          <w:rFonts w:asciiTheme="majorHAnsi" w:hAnsiTheme="majorHAnsi"/>
          <w:sz w:val="20"/>
          <w:szCs w:val="20"/>
          <w:lang w:val="es-ES_tradnl"/>
        </w:rPr>
        <w:t xml:space="preserve"> ante la municipalidad de San Pedro Carchá. </w:t>
      </w:r>
      <w:r w:rsidR="008E46F0" w:rsidRPr="00006C2A">
        <w:rPr>
          <w:rFonts w:asciiTheme="majorHAnsi" w:hAnsiTheme="majorHAnsi"/>
          <w:sz w:val="20"/>
          <w:szCs w:val="20"/>
          <w:lang w:val="es-ES_tradnl"/>
        </w:rPr>
        <w:t>Además</w:t>
      </w:r>
      <w:r w:rsidR="00415B69" w:rsidRPr="00006C2A">
        <w:rPr>
          <w:rFonts w:asciiTheme="majorHAnsi" w:hAnsiTheme="majorHAnsi"/>
          <w:sz w:val="20"/>
          <w:szCs w:val="20"/>
          <w:lang w:val="es-ES_tradnl"/>
        </w:rPr>
        <w:t xml:space="preserve">, la </w:t>
      </w:r>
      <w:r w:rsidR="003E726F" w:rsidRPr="00006C2A">
        <w:rPr>
          <w:rFonts w:asciiTheme="majorHAnsi" w:hAnsiTheme="majorHAnsi"/>
          <w:sz w:val="20"/>
          <w:szCs w:val="20"/>
          <w:lang w:val="es-ES_tradnl"/>
        </w:rPr>
        <w:t xml:space="preserve">parte peticionaria presentó la petición inicial por medio de correo electrónico, un mecanismo válido de denuncia, y solicitó expresamente </w:t>
      </w:r>
      <w:r w:rsidR="00415B69" w:rsidRPr="00006C2A">
        <w:rPr>
          <w:rFonts w:asciiTheme="majorHAnsi" w:hAnsiTheme="majorHAnsi"/>
          <w:sz w:val="20"/>
          <w:szCs w:val="20"/>
          <w:lang w:val="es-ES_tradnl"/>
        </w:rPr>
        <w:t>mantener en reserva la identidad de la</w:t>
      </w:r>
      <w:r w:rsidR="003E726F" w:rsidRPr="00006C2A">
        <w:rPr>
          <w:rFonts w:asciiTheme="majorHAnsi" w:hAnsiTheme="majorHAnsi"/>
          <w:sz w:val="20"/>
          <w:szCs w:val="20"/>
          <w:lang w:val="es-ES_tradnl"/>
        </w:rPr>
        <w:t xml:space="preserve"> persona que presentó la petición. Frente a las características específicas, la Comisión entiende que se cumple con la identificación de la parte peticionaria. </w:t>
      </w:r>
      <w:r w:rsidR="008E46F0" w:rsidRPr="00006C2A">
        <w:rPr>
          <w:rFonts w:asciiTheme="majorHAnsi" w:hAnsiTheme="majorHAnsi"/>
          <w:sz w:val="20"/>
          <w:szCs w:val="20"/>
          <w:lang w:val="es-ES_tradnl"/>
        </w:rPr>
        <w:t xml:space="preserve">Además, </w:t>
      </w:r>
      <w:r w:rsidR="00376E7D">
        <w:rPr>
          <w:rFonts w:asciiTheme="majorHAnsi" w:hAnsiTheme="majorHAnsi"/>
          <w:sz w:val="20"/>
          <w:szCs w:val="20"/>
          <w:lang w:val="es-ES_tradnl"/>
        </w:rPr>
        <w:t>la Comisión precisa que</w:t>
      </w:r>
      <w:r w:rsidR="008E46F0" w:rsidRPr="00006C2A">
        <w:rPr>
          <w:rFonts w:asciiTheme="majorHAnsi" w:hAnsiTheme="majorHAnsi"/>
          <w:sz w:val="20"/>
          <w:szCs w:val="20"/>
          <w:lang w:val="es-ES_tradnl"/>
        </w:rPr>
        <w:t xml:space="preserve"> la petición </w:t>
      </w:r>
      <w:r w:rsidR="00376E7D">
        <w:rPr>
          <w:rFonts w:asciiTheme="majorHAnsi" w:hAnsiTheme="majorHAnsi"/>
          <w:sz w:val="20"/>
          <w:szCs w:val="20"/>
          <w:lang w:val="es-ES_tradnl"/>
        </w:rPr>
        <w:t xml:space="preserve">no </w:t>
      </w:r>
      <w:r w:rsidR="008E46F0" w:rsidRPr="00006C2A">
        <w:rPr>
          <w:rFonts w:asciiTheme="majorHAnsi" w:hAnsiTheme="majorHAnsi"/>
          <w:sz w:val="20"/>
          <w:szCs w:val="20"/>
          <w:lang w:val="es-ES_tradnl"/>
        </w:rPr>
        <w:t>deb</w:t>
      </w:r>
      <w:r w:rsidR="00376E7D">
        <w:rPr>
          <w:rFonts w:asciiTheme="majorHAnsi" w:hAnsiTheme="majorHAnsi"/>
          <w:sz w:val="20"/>
          <w:szCs w:val="20"/>
          <w:lang w:val="es-ES_tradnl"/>
        </w:rPr>
        <w:t>e</w:t>
      </w:r>
      <w:r w:rsidR="008E46F0" w:rsidRPr="00006C2A">
        <w:rPr>
          <w:rFonts w:asciiTheme="majorHAnsi" w:hAnsiTheme="majorHAnsi"/>
          <w:sz w:val="20"/>
          <w:szCs w:val="20"/>
          <w:lang w:val="es-ES_tradnl"/>
        </w:rPr>
        <w:t xml:space="preserve"> necesariamente </w:t>
      </w:r>
      <w:r w:rsidR="00376E7D">
        <w:rPr>
          <w:rFonts w:asciiTheme="majorHAnsi" w:hAnsiTheme="majorHAnsi"/>
          <w:sz w:val="20"/>
          <w:szCs w:val="20"/>
          <w:lang w:val="es-ES_tradnl"/>
        </w:rPr>
        <w:t>presentarse a través de</w:t>
      </w:r>
      <w:r w:rsidR="008E46F0" w:rsidRPr="00006C2A">
        <w:rPr>
          <w:rFonts w:asciiTheme="majorHAnsi" w:hAnsiTheme="majorHAnsi"/>
          <w:sz w:val="20"/>
          <w:szCs w:val="20"/>
          <w:lang w:val="es-ES_tradnl"/>
        </w:rPr>
        <w:t>l formulario de denuncia presente en el sitio web de la CIDH</w:t>
      </w:r>
      <w:r w:rsidR="00376E7D">
        <w:rPr>
          <w:rFonts w:asciiTheme="majorHAnsi" w:hAnsiTheme="majorHAnsi"/>
          <w:sz w:val="20"/>
          <w:szCs w:val="20"/>
          <w:lang w:val="es-ES_tradnl"/>
        </w:rPr>
        <w:t>.</w:t>
      </w:r>
      <w:r w:rsidR="008E46F0" w:rsidRPr="00006C2A">
        <w:rPr>
          <w:rFonts w:asciiTheme="majorHAnsi" w:hAnsiTheme="majorHAnsi"/>
          <w:sz w:val="20"/>
          <w:szCs w:val="20"/>
          <w:lang w:val="es-ES_tradnl"/>
        </w:rPr>
        <w:t xml:space="preserve"> </w:t>
      </w:r>
      <w:r w:rsidR="00376E7D">
        <w:rPr>
          <w:rFonts w:asciiTheme="majorHAnsi" w:hAnsiTheme="majorHAnsi"/>
          <w:sz w:val="20"/>
          <w:szCs w:val="20"/>
          <w:lang w:val="es-ES_tradnl"/>
        </w:rPr>
        <w:t>D</w:t>
      </w:r>
      <w:r w:rsidR="008E46F0" w:rsidRPr="00006C2A">
        <w:rPr>
          <w:rFonts w:asciiTheme="majorHAnsi" w:hAnsiTheme="majorHAnsi"/>
          <w:sz w:val="20"/>
          <w:szCs w:val="20"/>
          <w:lang w:val="es-ES_tradnl"/>
        </w:rPr>
        <w:t>icho formulario es útil para facilitar el acceso de los peticionarios al organizar la información requerida, no obstante, lo relevante es que</w:t>
      </w:r>
      <w:r w:rsidR="00376E7D">
        <w:rPr>
          <w:rFonts w:asciiTheme="majorHAnsi" w:hAnsiTheme="majorHAnsi"/>
          <w:sz w:val="20"/>
          <w:szCs w:val="20"/>
          <w:lang w:val="es-ES_tradnl"/>
        </w:rPr>
        <w:t>, con independencia d</w:t>
      </w:r>
      <w:r w:rsidRPr="00006C2A">
        <w:rPr>
          <w:rFonts w:asciiTheme="majorHAnsi" w:hAnsiTheme="majorHAnsi"/>
          <w:sz w:val="20"/>
          <w:szCs w:val="20"/>
          <w:lang w:val="es-ES_tradnl"/>
        </w:rPr>
        <w:t>el</w:t>
      </w:r>
      <w:r w:rsidR="008E46F0" w:rsidRPr="00006C2A">
        <w:rPr>
          <w:rFonts w:asciiTheme="majorHAnsi" w:hAnsiTheme="majorHAnsi"/>
          <w:sz w:val="20"/>
          <w:szCs w:val="20"/>
          <w:lang w:val="es-ES_tradnl"/>
        </w:rPr>
        <w:t xml:space="preserve"> formato que utilicen los peticionarios, la petición cumpla con los contenidos mínimos requeridos por el artículo 28 del Reglamento de la CIDH. </w:t>
      </w:r>
    </w:p>
    <w:p w14:paraId="383966D6" w14:textId="77777777" w:rsidR="005E7330" w:rsidRPr="00006C2A" w:rsidRDefault="005E7330" w:rsidP="005E7330">
      <w:pPr>
        <w:pStyle w:val="ListParagraph"/>
        <w:rPr>
          <w:rFonts w:asciiTheme="majorHAnsi" w:hAnsiTheme="majorHAnsi" w:cs="Calibri"/>
          <w:sz w:val="20"/>
          <w:szCs w:val="20"/>
          <w:lang w:val="es-ES_tradnl"/>
        </w:rPr>
      </w:pPr>
    </w:p>
    <w:p w14:paraId="65B34D58" w14:textId="2660A122" w:rsidR="000F5FA5" w:rsidRPr="000C7A50" w:rsidRDefault="009415B7" w:rsidP="000F5F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rFonts w:asciiTheme="majorHAnsi" w:hAnsiTheme="majorHAnsi"/>
          <w:sz w:val="20"/>
          <w:szCs w:val="20"/>
          <w:lang w:val="es-ES_tradnl"/>
        </w:rPr>
      </w:pPr>
      <w:r w:rsidRPr="000C7A50">
        <w:rPr>
          <w:rFonts w:asciiTheme="majorHAnsi" w:hAnsiTheme="majorHAnsi" w:cs="Calibri"/>
          <w:sz w:val="20"/>
          <w:szCs w:val="20"/>
          <w:lang w:val="es-ES_tradnl"/>
        </w:rPr>
        <w:t>F</w:t>
      </w:r>
      <w:r w:rsidR="003E726F" w:rsidRPr="000C7A50">
        <w:rPr>
          <w:rFonts w:asciiTheme="majorHAnsi" w:hAnsiTheme="majorHAnsi" w:cs="Calibri"/>
          <w:sz w:val="20"/>
          <w:szCs w:val="20"/>
          <w:lang w:val="es-ES_tradnl"/>
        </w:rPr>
        <w:t>rente al argumento del Estado sobre la</w:t>
      </w:r>
      <w:r w:rsidR="004B61FB" w:rsidRPr="000C7A50">
        <w:rPr>
          <w:rFonts w:asciiTheme="majorHAnsi" w:hAnsiTheme="majorHAnsi" w:cs="Calibri"/>
          <w:sz w:val="20"/>
          <w:szCs w:val="20"/>
          <w:lang w:val="es-ES_tradnl"/>
        </w:rPr>
        <w:t xml:space="preserve"> falta</w:t>
      </w:r>
      <w:r w:rsidR="002359C1" w:rsidRPr="000C7A50">
        <w:rPr>
          <w:rFonts w:asciiTheme="majorHAnsi" w:hAnsiTheme="majorHAnsi" w:cs="Calibri"/>
          <w:sz w:val="20"/>
          <w:szCs w:val="20"/>
          <w:lang w:val="es-ES_tradnl"/>
        </w:rPr>
        <w:t xml:space="preserve"> </w:t>
      </w:r>
      <w:r w:rsidR="004B61FB" w:rsidRPr="000C7A50">
        <w:rPr>
          <w:rFonts w:asciiTheme="majorHAnsi" w:hAnsiTheme="majorHAnsi" w:cs="Calibri"/>
          <w:sz w:val="20"/>
          <w:szCs w:val="20"/>
          <w:lang w:val="es-ES_tradnl"/>
        </w:rPr>
        <w:t xml:space="preserve">de información sobre la identidad </w:t>
      </w:r>
      <w:r w:rsidR="003E726F" w:rsidRPr="000C7A50">
        <w:rPr>
          <w:rFonts w:asciiTheme="majorHAnsi" w:hAnsiTheme="majorHAnsi" w:cs="Calibri"/>
          <w:sz w:val="20"/>
          <w:szCs w:val="20"/>
          <w:lang w:val="es-ES_tradnl"/>
        </w:rPr>
        <w:t>de las presuntas víctimas, l</w:t>
      </w:r>
      <w:r w:rsidR="003569C4" w:rsidRPr="000C7A50">
        <w:rPr>
          <w:rFonts w:asciiTheme="majorHAnsi" w:hAnsiTheme="majorHAnsi" w:cs="Calibri"/>
          <w:sz w:val="20"/>
          <w:szCs w:val="20"/>
          <w:lang w:val="es-ES_tradnl"/>
        </w:rPr>
        <w:t>a Comisión ha seguido el criterio de interpretación del artículo 44 de la Convención Americana requiriendo que para que una petición sea admisible deben existir víctimas concretas, individualizadas y determinadas, o se refieran a un grupo de víctimas específico y definido compuesto de individuos determinables</w:t>
      </w:r>
      <w:r w:rsidR="003569C4" w:rsidRPr="00006C2A">
        <w:rPr>
          <w:rStyle w:val="FootnoteReference"/>
          <w:rFonts w:asciiTheme="majorHAnsi" w:hAnsiTheme="majorHAnsi" w:cs="Calibri"/>
          <w:sz w:val="20"/>
          <w:szCs w:val="20"/>
          <w:lang w:val="es-ES_tradnl"/>
        </w:rPr>
        <w:footnoteReference w:id="10"/>
      </w:r>
      <w:r w:rsidR="003569C4" w:rsidRPr="000C7A50">
        <w:rPr>
          <w:rFonts w:asciiTheme="majorHAnsi" w:hAnsiTheme="majorHAnsi" w:cs="Calibri"/>
          <w:sz w:val="20"/>
          <w:szCs w:val="20"/>
          <w:lang w:val="es-ES_tradnl"/>
        </w:rPr>
        <w:t>.</w:t>
      </w:r>
      <w:r w:rsidR="003E726F" w:rsidRPr="000C7A50">
        <w:rPr>
          <w:rFonts w:asciiTheme="majorHAnsi" w:hAnsiTheme="majorHAnsi" w:cs="Calibri"/>
          <w:sz w:val="20"/>
          <w:szCs w:val="20"/>
          <w:lang w:val="es-ES_tradnl"/>
        </w:rPr>
        <w:t xml:space="preserve"> Asimismo, </w:t>
      </w:r>
      <w:r w:rsidR="004B61FB" w:rsidRPr="000C7A50">
        <w:rPr>
          <w:rFonts w:asciiTheme="majorHAnsi" w:hAnsiTheme="majorHAnsi" w:cs="Calibri"/>
          <w:sz w:val="20"/>
          <w:szCs w:val="20"/>
          <w:lang w:val="es-ES_tradnl"/>
        </w:rPr>
        <w:t xml:space="preserve">la Comisión ha valorado que </w:t>
      </w:r>
      <w:r w:rsidR="003E726F" w:rsidRPr="000C7A50">
        <w:rPr>
          <w:rFonts w:asciiTheme="majorHAnsi" w:hAnsiTheme="majorHAnsi" w:cs="Calibri"/>
          <w:sz w:val="20"/>
          <w:szCs w:val="20"/>
          <w:lang w:val="es-ES_tradnl"/>
        </w:rPr>
        <w:t>el</w:t>
      </w:r>
      <w:r w:rsidR="003569C4" w:rsidRPr="000C7A50">
        <w:rPr>
          <w:rFonts w:asciiTheme="majorHAnsi" w:hAnsiTheme="majorHAnsi"/>
          <w:sz w:val="20"/>
          <w:szCs w:val="20"/>
          <w:lang w:val="es-ES_tradnl"/>
        </w:rPr>
        <w:t xml:space="preserve"> texto del</w:t>
      </w:r>
      <w:r w:rsidR="003E726F" w:rsidRPr="000C7A50">
        <w:rPr>
          <w:rFonts w:asciiTheme="majorHAnsi" w:hAnsiTheme="majorHAnsi"/>
          <w:sz w:val="20"/>
          <w:szCs w:val="20"/>
          <w:lang w:val="es-ES_tradnl"/>
        </w:rPr>
        <w:t xml:space="preserve"> mencionado</w:t>
      </w:r>
      <w:r w:rsidR="003569C4" w:rsidRPr="000C7A50">
        <w:rPr>
          <w:rFonts w:asciiTheme="majorHAnsi" w:hAnsiTheme="majorHAnsi"/>
          <w:sz w:val="20"/>
          <w:szCs w:val="20"/>
          <w:lang w:val="es-ES_tradnl"/>
        </w:rPr>
        <w:t xml:space="preserve"> artículo de la Convención no contiene limitaciones de competencia en términos de la identificación “plena y total” de las personas afectadas por la violación, sino que permite el examen de violaciones a los derechos humanos que –por sus características– pueden afectar a una persona o grupo de personas determinadas pero que no necesariamente se encuentran plenamente identificadas</w:t>
      </w:r>
      <w:r w:rsidR="004B61FB" w:rsidRPr="00006C2A">
        <w:rPr>
          <w:rFonts w:asciiTheme="majorHAnsi" w:hAnsiTheme="majorHAnsi"/>
          <w:sz w:val="20"/>
          <w:szCs w:val="20"/>
          <w:vertAlign w:val="superscript"/>
          <w:lang w:val="es-ES_tradnl"/>
        </w:rPr>
        <w:footnoteReference w:id="11"/>
      </w:r>
      <w:r w:rsidR="003569C4" w:rsidRPr="000C7A50">
        <w:rPr>
          <w:rFonts w:asciiTheme="majorHAnsi" w:hAnsiTheme="majorHAnsi"/>
          <w:sz w:val="20"/>
          <w:szCs w:val="20"/>
          <w:lang w:val="es-ES_tradnl"/>
        </w:rPr>
        <w:t xml:space="preserve">. En el presente caso, </w:t>
      </w:r>
      <w:r w:rsidR="004B61FB" w:rsidRPr="000C7A50">
        <w:rPr>
          <w:rFonts w:asciiTheme="majorHAnsi" w:hAnsiTheme="majorHAnsi"/>
          <w:sz w:val="20"/>
          <w:szCs w:val="20"/>
          <w:lang w:val="es-ES_tradnl"/>
        </w:rPr>
        <w:t xml:space="preserve">los peticionarios han identificado </w:t>
      </w:r>
      <w:r w:rsidR="00940F5D" w:rsidRPr="000C7A50">
        <w:rPr>
          <w:rFonts w:asciiTheme="majorHAnsi" w:hAnsiTheme="majorHAnsi"/>
          <w:sz w:val="20"/>
          <w:szCs w:val="20"/>
          <w:lang w:val="es-ES_tradnl"/>
        </w:rPr>
        <w:t xml:space="preserve">a lo largo del trámite </w:t>
      </w:r>
      <w:r w:rsidR="004B61FB" w:rsidRPr="000C7A50">
        <w:rPr>
          <w:rFonts w:asciiTheme="majorHAnsi" w:hAnsiTheme="majorHAnsi"/>
          <w:sz w:val="20"/>
          <w:szCs w:val="20"/>
          <w:lang w:val="es-ES_tradnl"/>
        </w:rPr>
        <w:t xml:space="preserve">como presuntas víctimas a los habitantes y vecinos de la aldea Sesajal </w:t>
      </w:r>
      <w:r w:rsidR="00940F5D" w:rsidRPr="000C7A50">
        <w:rPr>
          <w:rFonts w:asciiTheme="majorHAnsi" w:hAnsiTheme="majorHAnsi"/>
          <w:sz w:val="20"/>
          <w:szCs w:val="20"/>
          <w:lang w:val="es-ES_tradnl"/>
        </w:rPr>
        <w:t xml:space="preserve">de San Pedro Carchá, Alta Verapaz la cual </w:t>
      </w:r>
      <w:r w:rsidR="004B61FB" w:rsidRPr="000C7A50">
        <w:rPr>
          <w:rFonts w:asciiTheme="majorHAnsi" w:hAnsiTheme="majorHAnsi"/>
          <w:sz w:val="20"/>
          <w:szCs w:val="20"/>
          <w:lang w:val="es-ES_tradnl"/>
        </w:rPr>
        <w:t>est</w:t>
      </w:r>
      <w:r w:rsidR="00940F5D" w:rsidRPr="000C7A50">
        <w:rPr>
          <w:rFonts w:asciiTheme="majorHAnsi" w:hAnsiTheme="majorHAnsi"/>
          <w:sz w:val="20"/>
          <w:szCs w:val="20"/>
          <w:lang w:val="es-ES_tradnl"/>
        </w:rPr>
        <w:t xml:space="preserve">aría </w:t>
      </w:r>
      <w:r w:rsidR="004B61FB" w:rsidRPr="000C7A50">
        <w:rPr>
          <w:rFonts w:asciiTheme="majorHAnsi" w:hAnsiTheme="majorHAnsi"/>
          <w:sz w:val="20"/>
          <w:szCs w:val="20"/>
          <w:lang w:val="es-ES_tradnl"/>
        </w:rPr>
        <w:t>conformada por 198 familias, o 1.476 personas</w:t>
      </w:r>
      <w:r w:rsidR="00940F5D" w:rsidRPr="000C7A50">
        <w:rPr>
          <w:rFonts w:asciiTheme="majorHAnsi" w:hAnsiTheme="majorHAnsi"/>
          <w:sz w:val="20"/>
          <w:szCs w:val="20"/>
          <w:lang w:val="es-ES_tradnl"/>
        </w:rPr>
        <w:t xml:space="preserve">, </w:t>
      </w:r>
      <w:r w:rsidR="00006C2A" w:rsidRPr="000C7A50">
        <w:rPr>
          <w:rFonts w:asciiTheme="majorHAnsi" w:hAnsiTheme="majorHAnsi"/>
          <w:sz w:val="20"/>
          <w:szCs w:val="20"/>
          <w:lang w:val="es-ES_tradnl"/>
        </w:rPr>
        <w:t>de acuerdo con el</w:t>
      </w:r>
      <w:r w:rsidR="00940F5D" w:rsidRPr="000C7A50">
        <w:rPr>
          <w:rFonts w:asciiTheme="majorHAnsi" w:hAnsiTheme="majorHAnsi"/>
          <w:sz w:val="20"/>
          <w:szCs w:val="20"/>
          <w:lang w:val="es-ES_tradnl"/>
        </w:rPr>
        <w:t xml:space="preserve"> censo presentado como anexo. En tal sentido</w:t>
      </w:r>
      <w:r w:rsidR="005C5D2F" w:rsidRPr="000C7A50">
        <w:rPr>
          <w:rFonts w:asciiTheme="majorHAnsi" w:hAnsiTheme="majorHAnsi"/>
          <w:sz w:val="20"/>
          <w:szCs w:val="20"/>
          <w:lang w:val="es-ES_tradnl"/>
        </w:rPr>
        <w:t xml:space="preserve">, </w:t>
      </w:r>
      <w:r w:rsidR="000D04BC" w:rsidRPr="000C7A50">
        <w:rPr>
          <w:rFonts w:asciiTheme="majorHAnsi" w:hAnsiTheme="majorHAnsi"/>
          <w:sz w:val="20"/>
          <w:szCs w:val="20"/>
          <w:lang w:val="es-ES_tradnl"/>
        </w:rPr>
        <w:t xml:space="preserve">como ha </w:t>
      </w:r>
      <w:r w:rsidR="003E55F1">
        <w:rPr>
          <w:rFonts w:asciiTheme="majorHAnsi" w:hAnsiTheme="majorHAnsi"/>
          <w:sz w:val="20"/>
          <w:szCs w:val="20"/>
          <w:lang w:val="es-ES_tradnl"/>
        </w:rPr>
        <w:t>aclarado</w:t>
      </w:r>
      <w:r w:rsidR="000D04BC" w:rsidRPr="000C7A50">
        <w:rPr>
          <w:rFonts w:asciiTheme="majorHAnsi" w:hAnsiTheme="majorHAnsi"/>
          <w:sz w:val="20"/>
          <w:szCs w:val="20"/>
          <w:lang w:val="es-ES_tradnl"/>
        </w:rPr>
        <w:t xml:space="preserve"> la Corte IDH,</w:t>
      </w:r>
      <w:r w:rsidR="00FF0097" w:rsidRPr="000C7A50">
        <w:rPr>
          <w:rFonts w:asciiTheme="majorHAnsi" w:hAnsiTheme="majorHAnsi"/>
          <w:sz w:val="20"/>
          <w:szCs w:val="20"/>
          <w:lang w:val="es-ES_tradnl"/>
        </w:rPr>
        <w:t xml:space="preserve"> en el procedimiento de casos contenciosos ante el Sistema Interamericano </w:t>
      </w:r>
      <w:r w:rsidR="005B6930" w:rsidRPr="000C7A50">
        <w:rPr>
          <w:rFonts w:asciiTheme="majorHAnsi" w:hAnsiTheme="majorHAnsi"/>
          <w:sz w:val="20"/>
          <w:szCs w:val="20"/>
          <w:lang w:val="es-ES_tradnl"/>
        </w:rPr>
        <w:t xml:space="preserve">la individualización final </w:t>
      </w:r>
      <w:r w:rsidR="00741D11" w:rsidRPr="000C7A50">
        <w:rPr>
          <w:rFonts w:asciiTheme="majorHAnsi" w:hAnsiTheme="majorHAnsi"/>
          <w:sz w:val="20"/>
          <w:szCs w:val="20"/>
          <w:lang w:val="es-ES_tradnl"/>
        </w:rPr>
        <w:t>de las presuntas víctimas debe realizarse en la etapa de fondo ante la CIDH</w:t>
      </w:r>
      <w:r w:rsidR="008F5784" w:rsidRPr="000C7A50">
        <w:rPr>
          <w:rFonts w:asciiTheme="majorHAnsi" w:hAnsiTheme="majorHAnsi"/>
          <w:sz w:val="20"/>
          <w:szCs w:val="20"/>
          <w:lang w:val="es-ES_tradnl"/>
        </w:rPr>
        <w:t xml:space="preserve">, </w:t>
      </w:r>
      <w:r w:rsidR="00B512D6" w:rsidRPr="000C7A50">
        <w:rPr>
          <w:rFonts w:asciiTheme="majorHAnsi" w:hAnsiTheme="majorHAnsi"/>
          <w:sz w:val="20"/>
          <w:szCs w:val="20"/>
          <w:lang w:val="es-ES_tradnl"/>
        </w:rPr>
        <w:t xml:space="preserve">lo cual debe establecerse </w:t>
      </w:r>
      <w:r w:rsidR="00254EB1" w:rsidRPr="000C7A50">
        <w:rPr>
          <w:rFonts w:asciiTheme="majorHAnsi" w:hAnsiTheme="majorHAnsi"/>
          <w:sz w:val="20"/>
          <w:szCs w:val="20"/>
          <w:lang w:val="es-ES_tradnl"/>
        </w:rPr>
        <w:t>en el informe que</w:t>
      </w:r>
      <w:r w:rsidR="00433AFD" w:rsidRPr="000C7A50">
        <w:rPr>
          <w:rFonts w:asciiTheme="majorHAnsi" w:hAnsiTheme="majorHAnsi"/>
          <w:sz w:val="20"/>
          <w:szCs w:val="20"/>
          <w:lang w:val="es-ES_tradnl"/>
        </w:rPr>
        <w:t xml:space="preserve"> esta</w:t>
      </w:r>
      <w:r w:rsidR="00254EB1" w:rsidRPr="000C7A50">
        <w:rPr>
          <w:rFonts w:asciiTheme="majorHAnsi" w:hAnsiTheme="majorHAnsi"/>
          <w:sz w:val="20"/>
          <w:szCs w:val="20"/>
          <w:lang w:val="es-ES_tradnl"/>
        </w:rPr>
        <w:t xml:space="preserve"> emita en los términos del artículo 50 de la Convención Ameri</w:t>
      </w:r>
      <w:r w:rsidR="00433AFD" w:rsidRPr="000C7A50">
        <w:rPr>
          <w:rFonts w:asciiTheme="majorHAnsi" w:hAnsiTheme="majorHAnsi"/>
          <w:sz w:val="20"/>
          <w:szCs w:val="20"/>
          <w:lang w:val="es-ES_tradnl"/>
        </w:rPr>
        <w:t>c</w:t>
      </w:r>
      <w:r w:rsidR="00254EB1" w:rsidRPr="000C7A50">
        <w:rPr>
          <w:rFonts w:asciiTheme="majorHAnsi" w:hAnsiTheme="majorHAnsi"/>
          <w:sz w:val="20"/>
          <w:szCs w:val="20"/>
          <w:lang w:val="es-ES_tradnl"/>
        </w:rPr>
        <w:t>ana</w:t>
      </w:r>
      <w:r w:rsidR="00254EB1">
        <w:rPr>
          <w:rStyle w:val="FootnoteReference"/>
          <w:rFonts w:asciiTheme="majorHAnsi" w:hAnsiTheme="majorHAnsi"/>
          <w:sz w:val="20"/>
          <w:szCs w:val="20"/>
          <w:lang w:val="es-ES_tradnl"/>
        </w:rPr>
        <w:footnoteReference w:id="12"/>
      </w:r>
      <w:r w:rsidR="003569C4" w:rsidRPr="000C7A50">
        <w:rPr>
          <w:rFonts w:asciiTheme="majorHAnsi" w:hAnsiTheme="majorHAnsi"/>
          <w:sz w:val="20"/>
          <w:szCs w:val="20"/>
          <w:lang w:val="es-ES_tradnl"/>
        </w:rPr>
        <w:t>.</w:t>
      </w:r>
      <w:r w:rsidR="005C5D2F" w:rsidRPr="000C7A50">
        <w:rPr>
          <w:rFonts w:asciiTheme="majorHAnsi" w:hAnsiTheme="majorHAnsi"/>
          <w:sz w:val="20"/>
          <w:szCs w:val="20"/>
          <w:lang w:val="es-ES_tradnl"/>
        </w:rPr>
        <w:t xml:space="preserve"> </w:t>
      </w:r>
    </w:p>
    <w:p w14:paraId="17E9C9D8" w14:textId="42585E5F" w:rsidR="00C7109E" w:rsidRPr="00006C2A" w:rsidRDefault="00EC6EA5" w:rsidP="00C7109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06C2A">
        <w:rPr>
          <w:rFonts w:asciiTheme="majorHAnsi" w:hAnsiTheme="majorHAnsi"/>
          <w:sz w:val="20"/>
          <w:szCs w:val="20"/>
          <w:lang w:val="es-ES_tradnl"/>
        </w:rPr>
        <w:t>L</w:t>
      </w:r>
      <w:r w:rsidR="00940F5D" w:rsidRPr="00006C2A">
        <w:rPr>
          <w:rFonts w:asciiTheme="majorHAnsi" w:hAnsiTheme="majorHAnsi"/>
          <w:sz w:val="20"/>
          <w:szCs w:val="20"/>
          <w:lang w:val="es-ES_tradnl"/>
        </w:rPr>
        <w:t xml:space="preserve">a Comisión observa que la presente petición incluye alegaciones con respecto </w:t>
      </w:r>
      <w:r w:rsidR="00F07B54" w:rsidRPr="00006C2A">
        <w:rPr>
          <w:rFonts w:asciiTheme="majorHAnsi" w:hAnsiTheme="majorHAnsi"/>
          <w:sz w:val="20"/>
          <w:szCs w:val="20"/>
          <w:lang w:val="es-ES_tradnl"/>
        </w:rPr>
        <w:t>la falta de reparación integral a las presuntas víctimas en el marco del PNR</w:t>
      </w:r>
      <w:r w:rsidR="00940F5D" w:rsidRPr="00006C2A">
        <w:rPr>
          <w:rFonts w:asciiTheme="majorHAnsi" w:hAnsiTheme="majorHAnsi"/>
          <w:sz w:val="20"/>
          <w:szCs w:val="20"/>
          <w:lang w:val="es-ES_tradnl"/>
        </w:rPr>
        <w:t xml:space="preserve">. </w:t>
      </w:r>
      <w:r w:rsidR="003F12B0" w:rsidRPr="00006C2A">
        <w:rPr>
          <w:rFonts w:asciiTheme="majorHAnsi" w:hAnsiTheme="majorHAnsi"/>
          <w:sz w:val="20"/>
          <w:szCs w:val="20"/>
          <w:lang w:val="es-ES_tradnl"/>
        </w:rPr>
        <w:t xml:space="preserve">Al respecto, la Comisión </w:t>
      </w:r>
      <w:r w:rsidR="00976A40" w:rsidRPr="00006C2A">
        <w:rPr>
          <w:rFonts w:asciiTheme="majorHAnsi" w:hAnsiTheme="majorHAnsi"/>
          <w:sz w:val="20"/>
          <w:szCs w:val="20"/>
          <w:lang w:val="es-ES_tradnl"/>
        </w:rPr>
        <w:t>r</w:t>
      </w:r>
      <w:r w:rsidR="003F12B0" w:rsidRPr="00006C2A">
        <w:rPr>
          <w:rFonts w:asciiTheme="majorHAnsi" w:hAnsiTheme="majorHAnsi"/>
          <w:sz w:val="20"/>
          <w:szCs w:val="20"/>
          <w:lang w:val="es-ES_tradnl"/>
        </w:rPr>
        <w:t>esalta</w:t>
      </w:r>
      <w:r w:rsidR="0064339D" w:rsidRPr="00006C2A">
        <w:rPr>
          <w:rFonts w:asciiTheme="majorHAnsi" w:hAnsiTheme="majorHAnsi"/>
          <w:sz w:val="20"/>
          <w:szCs w:val="20"/>
          <w:lang w:val="es-ES_tradnl"/>
        </w:rPr>
        <w:t xml:space="preserve"> nuevamente</w:t>
      </w:r>
      <w:r w:rsidR="003F12B0" w:rsidRPr="00006C2A">
        <w:rPr>
          <w:rFonts w:asciiTheme="majorHAnsi" w:hAnsiTheme="majorHAnsi"/>
          <w:sz w:val="20"/>
          <w:szCs w:val="20"/>
          <w:lang w:val="es-ES_tradnl"/>
        </w:rPr>
        <w:t xml:space="preserve"> que, a través de sus distintos mecanismos, particularmente </w:t>
      </w:r>
      <w:r w:rsidR="00F356D9" w:rsidRPr="00006C2A">
        <w:rPr>
          <w:rFonts w:asciiTheme="majorHAnsi" w:hAnsiTheme="majorHAnsi"/>
          <w:sz w:val="20"/>
          <w:szCs w:val="20"/>
          <w:lang w:val="es-ES_tradnl"/>
        </w:rPr>
        <w:t xml:space="preserve">en </w:t>
      </w:r>
      <w:r w:rsidR="00976A40" w:rsidRPr="00006C2A">
        <w:rPr>
          <w:rFonts w:asciiTheme="majorHAnsi" w:hAnsiTheme="majorHAnsi"/>
          <w:sz w:val="20"/>
          <w:szCs w:val="20"/>
          <w:lang w:val="es-ES_tradnl"/>
        </w:rPr>
        <w:t>sus labores de</w:t>
      </w:r>
      <w:r w:rsidR="003F12B0" w:rsidRPr="00006C2A">
        <w:rPr>
          <w:rFonts w:asciiTheme="majorHAnsi" w:hAnsiTheme="majorHAnsi"/>
          <w:sz w:val="20"/>
          <w:szCs w:val="20"/>
          <w:lang w:val="es-ES_tradnl"/>
        </w:rPr>
        <w:t xml:space="preserve"> monitoreo, ha prestado especial </w:t>
      </w:r>
      <w:r w:rsidR="003F12B0" w:rsidRPr="00006C2A">
        <w:rPr>
          <w:rFonts w:asciiTheme="majorHAnsi" w:hAnsiTheme="majorHAnsi"/>
          <w:sz w:val="20"/>
          <w:szCs w:val="20"/>
          <w:lang w:val="es-ES_tradnl"/>
        </w:rPr>
        <w:lastRenderedPageBreak/>
        <w:t>atención a la implementación del PNR</w:t>
      </w:r>
      <w:r w:rsidR="00976A40" w:rsidRPr="00006C2A">
        <w:rPr>
          <w:rFonts w:asciiTheme="majorHAnsi" w:hAnsiTheme="majorHAnsi"/>
          <w:sz w:val="20"/>
          <w:szCs w:val="20"/>
          <w:lang w:val="es-ES_tradnl"/>
        </w:rPr>
        <w:t xml:space="preserve"> desde el 2003</w:t>
      </w:r>
      <w:r w:rsidR="003F12B0" w:rsidRPr="00006C2A">
        <w:rPr>
          <w:rStyle w:val="FootnoteReference"/>
          <w:rFonts w:asciiTheme="majorHAnsi" w:hAnsiTheme="majorHAnsi"/>
          <w:sz w:val="20"/>
          <w:szCs w:val="20"/>
          <w:lang w:val="es-ES_tradnl"/>
        </w:rPr>
        <w:footnoteReference w:id="13"/>
      </w:r>
      <w:r w:rsidR="003F12B0" w:rsidRPr="00006C2A">
        <w:rPr>
          <w:rFonts w:asciiTheme="majorHAnsi" w:hAnsiTheme="majorHAnsi"/>
          <w:sz w:val="20"/>
          <w:szCs w:val="20"/>
          <w:lang w:val="es-ES_tradnl"/>
        </w:rPr>
        <w:t xml:space="preserve">. </w:t>
      </w:r>
      <w:r w:rsidR="00DA6EC0" w:rsidRPr="00006C2A">
        <w:rPr>
          <w:rFonts w:asciiTheme="majorHAnsi" w:hAnsiTheme="majorHAnsi"/>
          <w:sz w:val="20"/>
          <w:szCs w:val="20"/>
          <w:lang w:val="es-ES_tradnl"/>
        </w:rPr>
        <w:t xml:space="preserve">En dicho marco, la Comisión ha recibido información sobre el cumplimiento escaso del PNR, </w:t>
      </w:r>
      <w:r w:rsidR="00976A40" w:rsidRPr="00006C2A">
        <w:rPr>
          <w:rFonts w:asciiTheme="majorHAnsi" w:hAnsiTheme="majorHAnsi"/>
          <w:sz w:val="20"/>
          <w:szCs w:val="20"/>
          <w:lang w:val="es-ES_tradnl"/>
        </w:rPr>
        <w:t>“</w:t>
      </w:r>
      <w:r w:rsidR="00DA6EC0" w:rsidRPr="00006C2A">
        <w:rPr>
          <w:rFonts w:asciiTheme="majorHAnsi" w:hAnsiTheme="majorHAnsi"/>
          <w:i/>
          <w:iCs/>
          <w:sz w:val="20"/>
          <w:szCs w:val="20"/>
          <w:lang w:val="es-ES_tradnl"/>
        </w:rPr>
        <w:t>limitado en cobertura, y atrasado por parte del Estado guatemalteco</w:t>
      </w:r>
      <w:r w:rsidR="00976A40" w:rsidRPr="00006C2A">
        <w:rPr>
          <w:rFonts w:asciiTheme="majorHAnsi" w:hAnsiTheme="majorHAnsi"/>
          <w:sz w:val="20"/>
          <w:szCs w:val="20"/>
          <w:lang w:val="es-ES_tradnl"/>
        </w:rPr>
        <w:t>”</w:t>
      </w:r>
      <w:r w:rsidR="00DA6EC0" w:rsidRPr="00006C2A">
        <w:rPr>
          <w:rStyle w:val="FootnoteReference"/>
          <w:rFonts w:asciiTheme="majorHAnsi" w:hAnsiTheme="majorHAnsi"/>
          <w:sz w:val="20"/>
          <w:szCs w:val="20"/>
          <w:lang w:val="es-ES_tradnl"/>
        </w:rPr>
        <w:footnoteReference w:id="14"/>
      </w:r>
      <w:r w:rsidR="008804CE" w:rsidRPr="00006C2A">
        <w:rPr>
          <w:rFonts w:asciiTheme="majorHAnsi" w:hAnsiTheme="majorHAnsi"/>
          <w:sz w:val="20"/>
          <w:szCs w:val="20"/>
          <w:lang w:val="es-ES_tradnl"/>
        </w:rPr>
        <w:t>;</w:t>
      </w:r>
      <w:r w:rsidR="00DA6EC0" w:rsidRPr="00006C2A">
        <w:rPr>
          <w:rFonts w:asciiTheme="majorHAnsi" w:hAnsiTheme="majorHAnsi"/>
          <w:sz w:val="20"/>
          <w:szCs w:val="20"/>
          <w:lang w:val="es-ES_tradnl"/>
        </w:rPr>
        <w:t xml:space="preserve"> y ha evidenciado la falta de certeza sobre los criterios de selección</w:t>
      </w:r>
      <w:r w:rsidR="00976A40" w:rsidRPr="00006C2A">
        <w:rPr>
          <w:rFonts w:asciiTheme="majorHAnsi" w:hAnsiTheme="majorHAnsi"/>
          <w:sz w:val="20"/>
          <w:szCs w:val="20"/>
          <w:lang w:val="es-ES_tradnl"/>
        </w:rPr>
        <w:t xml:space="preserve"> </w:t>
      </w:r>
      <w:r w:rsidR="008804CE" w:rsidRPr="00006C2A">
        <w:rPr>
          <w:rFonts w:asciiTheme="majorHAnsi" w:hAnsiTheme="majorHAnsi"/>
          <w:sz w:val="20"/>
          <w:szCs w:val="20"/>
          <w:lang w:val="es-ES_tradnl"/>
        </w:rPr>
        <w:t>de este</w:t>
      </w:r>
      <w:r w:rsidR="00DA6EC0" w:rsidRPr="00006C2A">
        <w:rPr>
          <w:rFonts w:asciiTheme="majorHAnsi" w:hAnsiTheme="majorHAnsi"/>
          <w:sz w:val="20"/>
          <w:szCs w:val="20"/>
          <w:lang w:val="es-ES_tradnl"/>
        </w:rPr>
        <w:t xml:space="preserve">, </w:t>
      </w:r>
      <w:r w:rsidR="00976A40" w:rsidRPr="00006C2A">
        <w:rPr>
          <w:rFonts w:asciiTheme="majorHAnsi" w:hAnsiTheme="majorHAnsi"/>
          <w:sz w:val="20"/>
          <w:szCs w:val="20"/>
          <w:lang w:val="es-ES_tradnl"/>
        </w:rPr>
        <w:t xml:space="preserve">las </w:t>
      </w:r>
      <w:r w:rsidR="00DA6EC0" w:rsidRPr="00006C2A">
        <w:rPr>
          <w:rFonts w:asciiTheme="majorHAnsi" w:hAnsiTheme="majorHAnsi"/>
          <w:sz w:val="20"/>
          <w:szCs w:val="20"/>
          <w:lang w:val="es-ES_tradnl"/>
        </w:rPr>
        <w:t xml:space="preserve">demoras de hasta siete años en los requerimientos de resarcimiento, </w:t>
      </w:r>
      <w:r w:rsidR="00F356D9" w:rsidRPr="00006C2A">
        <w:rPr>
          <w:rFonts w:asciiTheme="majorHAnsi" w:hAnsiTheme="majorHAnsi"/>
          <w:sz w:val="20"/>
          <w:szCs w:val="20"/>
          <w:lang w:val="es-ES_tradnl"/>
        </w:rPr>
        <w:t xml:space="preserve">las frecuentes rotaciones de personal, </w:t>
      </w:r>
      <w:r w:rsidR="00DA6EC0" w:rsidRPr="00006C2A">
        <w:rPr>
          <w:rFonts w:asciiTheme="majorHAnsi" w:hAnsiTheme="majorHAnsi"/>
          <w:sz w:val="20"/>
          <w:szCs w:val="20"/>
          <w:lang w:val="es-ES_tradnl"/>
        </w:rPr>
        <w:t>así como la falta de medidas que garanticen una reparación integral a las víctimas</w:t>
      </w:r>
      <w:r w:rsidR="00DA6EC0" w:rsidRPr="00006C2A">
        <w:rPr>
          <w:rStyle w:val="FootnoteReference"/>
          <w:rFonts w:asciiTheme="majorHAnsi" w:hAnsiTheme="majorHAnsi"/>
          <w:sz w:val="20"/>
          <w:szCs w:val="20"/>
          <w:lang w:val="es-ES_tradnl"/>
        </w:rPr>
        <w:footnoteReference w:id="15"/>
      </w:r>
      <w:r w:rsidR="00DA6EC0" w:rsidRPr="00006C2A">
        <w:rPr>
          <w:rFonts w:asciiTheme="majorHAnsi" w:hAnsiTheme="majorHAnsi"/>
          <w:sz w:val="20"/>
          <w:szCs w:val="20"/>
          <w:lang w:val="es-ES_tradnl"/>
        </w:rPr>
        <w:t xml:space="preserve">. </w:t>
      </w:r>
      <w:r w:rsidR="00976A40" w:rsidRPr="00006C2A">
        <w:rPr>
          <w:rFonts w:asciiTheme="majorHAnsi" w:hAnsiTheme="majorHAnsi"/>
          <w:sz w:val="20"/>
          <w:szCs w:val="20"/>
          <w:lang w:val="es-ES_tradnl"/>
        </w:rPr>
        <w:t>Asimismo, l</w:t>
      </w:r>
      <w:r w:rsidR="00F356D9" w:rsidRPr="00006C2A">
        <w:rPr>
          <w:rFonts w:asciiTheme="majorHAnsi" w:hAnsiTheme="majorHAnsi"/>
          <w:sz w:val="20"/>
          <w:szCs w:val="20"/>
          <w:lang w:val="es-ES_tradnl"/>
        </w:rPr>
        <w:t>a Comisión ha expresado su especial preocupación frente a la reducción del presupuesto del PNR en el 2016, lo cual habría disminuido la capacidad de ejecución de medidas de reparación</w:t>
      </w:r>
      <w:r w:rsidR="00F356D9" w:rsidRPr="00006C2A">
        <w:rPr>
          <w:rStyle w:val="FootnoteReference"/>
          <w:rFonts w:asciiTheme="majorHAnsi" w:hAnsiTheme="majorHAnsi"/>
          <w:sz w:val="20"/>
          <w:szCs w:val="20"/>
          <w:lang w:val="es-ES_tradnl"/>
        </w:rPr>
        <w:footnoteReference w:id="16"/>
      </w:r>
      <w:r w:rsidR="00F356D9" w:rsidRPr="00006C2A">
        <w:rPr>
          <w:rFonts w:asciiTheme="majorHAnsi" w:hAnsiTheme="majorHAnsi"/>
          <w:sz w:val="20"/>
          <w:szCs w:val="20"/>
          <w:lang w:val="es-ES_tradnl"/>
        </w:rPr>
        <w:t>; instando al Estado a dotar al PNR de “</w:t>
      </w:r>
      <w:r w:rsidR="00F356D9" w:rsidRPr="00006C2A">
        <w:rPr>
          <w:rFonts w:asciiTheme="majorHAnsi" w:hAnsiTheme="majorHAnsi"/>
          <w:i/>
          <w:iCs/>
          <w:sz w:val="20"/>
          <w:szCs w:val="20"/>
          <w:lang w:val="es-ES_tradnl"/>
        </w:rPr>
        <w:t>suficientes recursos para que pueda, por primera vez desde su creación, contar con la asignación presupuestaria establecida en su acuerdo de creación y, así, brindar a las víctimas y sus familiares los servicios para los cuales fue creado</w:t>
      </w:r>
      <w:r w:rsidR="00F356D9" w:rsidRPr="00006C2A">
        <w:rPr>
          <w:rFonts w:asciiTheme="majorHAnsi" w:hAnsiTheme="majorHAnsi"/>
          <w:sz w:val="20"/>
          <w:szCs w:val="20"/>
          <w:lang w:val="es-ES_tradnl"/>
        </w:rPr>
        <w:t>”</w:t>
      </w:r>
      <w:r w:rsidR="00F356D9" w:rsidRPr="00006C2A">
        <w:rPr>
          <w:rStyle w:val="FootnoteReference"/>
          <w:rFonts w:asciiTheme="majorHAnsi" w:hAnsiTheme="majorHAnsi"/>
          <w:sz w:val="20"/>
          <w:szCs w:val="20"/>
          <w:lang w:val="es-ES_tradnl"/>
        </w:rPr>
        <w:footnoteReference w:id="17"/>
      </w:r>
      <w:r w:rsidR="00F356D9" w:rsidRPr="00006C2A">
        <w:rPr>
          <w:rFonts w:asciiTheme="majorHAnsi" w:hAnsiTheme="majorHAnsi"/>
          <w:sz w:val="20"/>
          <w:szCs w:val="20"/>
          <w:lang w:val="es-ES_tradnl"/>
        </w:rPr>
        <w:t>.</w:t>
      </w:r>
      <w:r w:rsidR="00976A40" w:rsidRPr="00006C2A">
        <w:rPr>
          <w:rFonts w:asciiTheme="majorHAnsi" w:hAnsiTheme="majorHAnsi"/>
          <w:sz w:val="20"/>
          <w:szCs w:val="20"/>
          <w:lang w:val="es-ES_tradnl"/>
        </w:rPr>
        <w:t xml:space="preserve"> </w:t>
      </w:r>
    </w:p>
    <w:p w14:paraId="0D524F5C" w14:textId="0499DE17" w:rsidR="00A11E44" w:rsidRPr="00006C2A" w:rsidRDefault="00976A40" w:rsidP="00C7109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06C2A">
        <w:rPr>
          <w:rFonts w:asciiTheme="majorHAnsi" w:hAnsiTheme="majorHAnsi"/>
          <w:sz w:val="20"/>
          <w:szCs w:val="20"/>
          <w:lang w:val="es-ES_tradnl"/>
        </w:rPr>
        <w:t>Por tanto, t</w:t>
      </w:r>
      <w:r w:rsidR="00940F5D" w:rsidRPr="00006C2A">
        <w:rPr>
          <w:rFonts w:asciiTheme="majorHAnsi" w:hAnsiTheme="majorHAnsi"/>
          <w:sz w:val="20"/>
          <w:szCs w:val="20"/>
          <w:lang w:val="es-ES_tradnl"/>
        </w:rPr>
        <w:t>ras examinar los elementos de hecho y de derecho expuestos por las partes</w:t>
      </w:r>
      <w:r w:rsidR="00F07B54" w:rsidRPr="00006C2A">
        <w:rPr>
          <w:rFonts w:asciiTheme="majorHAnsi" w:hAnsiTheme="majorHAnsi"/>
          <w:sz w:val="20"/>
          <w:szCs w:val="20"/>
          <w:lang w:val="es-ES_tradnl"/>
        </w:rPr>
        <w:t>,</w:t>
      </w:r>
      <w:r w:rsidR="00940F5D" w:rsidRPr="00006C2A">
        <w:rPr>
          <w:rFonts w:asciiTheme="majorHAnsi" w:hAnsiTheme="majorHAnsi"/>
          <w:sz w:val="20"/>
          <w:szCs w:val="20"/>
          <w:lang w:val="es-ES_tradnl"/>
        </w:rPr>
        <w:t xml:space="preserve"> la Comisión estima que las alegaciones de la parte peticionaria no resultan manifiestamente infundadas y requieren un estudio de fondo pues los hechos alegados, de corroborarse como ciertos podrían caracterizar violaciones a los artículos</w:t>
      </w:r>
      <w:r w:rsidR="00F07B54" w:rsidRPr="00006C2A">
        <w:rPr>
          <w:rFonts w:asciiTheme="majorHAnsi" w:hAnsiTheme="majorHAnsi"/>
          <w:sz w:val="20"/>
          <w:szCs w:val="20"/>
          <w:lang w:val="es-ES_tradnl"/>
        </w:rPr>
        <w:t xml:space="preserve"> 5 (integridad personal),</w:t>
      </w:r>
      <w:r w:rsidR="00940F5D" w:rsidRPr="00006C2A">
        <w:rPr>
          <w:rFonts w:asciiTheme="majorHAnsi" w:hAnsiTheme="majorHAnsi"/>
          <w:sz w:val="20"/>
          <w:szCs w:val="20"/>
          <w:lang w:val="es-ES_tradnl"/>
        </w:rPr>
        <w:t xml:space="preserve"> 8 (garantías judiciales), </w:t>
      </w:r>
      <w:r w:rsidR="00D77004" w:rsidRPr="00006C2A">
        <w:rPr>
          <w:rFonts w:asciiTheme="majorHAnsi" w:hAnsiTheme="majorHAnsi"/>
          <w:bCs/>
          <w:sz w:val="20"/>
          <w:szCs w:val="20"/>
          <w:lang w:val="es-ES_tradnl"/>
        </w:rPr>
        <w:t xml:space="preserve">24 (igualdad ante la ley) </w:t>
      </w:r>
      <w:r w:rsidR="00F07B54" w:rsidRPr="00006C2A">
        <w:rPr>
          <w:rFonts w:asciiTheme="majorHAnsi" w:hAnsiTheme="majorHAnsi"/>
          <w:sz w:val="20"/>
          <w:szCs w:val="20"/>
          <w:lang w:val="es-ES_tradnl"/>
        </w:rPr>
        <w:t xml:space="preserve">y </w:t>
      </w:r>
      <w:r w:rsidR="00940F5D" w:rsidRPr="00006C2A">
        <w:rPr>
          <w:rFonts w:asciiTheme="majorHAnsi" w:hAnsiTheme="majorHAnsi"/>
          <w:sz w:val="20"/>
          <w:szCs w:val="20"/>
          <w:lang w:val="es-ES_tradnl"/>
        </w:rPr>
        <w:t>25 (protección judicial)</w:t>
      </w:r>
      <w:r w:rsidR="00D303C0" w:rsidRPr="00006C2A">
        <w:rPr>
          <w:rFonts w:asciiTheme="majorHAnsi" w:hAnsiTheme="majorHAnsi"/>
          <w:sz w:val="20"/>
          <w:szCs w:val="20"/>
          <w:lang w:val="es-ES_tradnl"/>
        </w:rPr>
        <w:t xml:space="preserve"> </w:t>
      </w:r>
      <w:r w:rsidR="00940F5D" w:rsidRPr="00006C2A">
        <w:rPr>
          <w:rFonts w:asciiTheme="majorHAnsi" w:hAnsiTheme="majorHAnsi"/>
          <w:sz w:val="20"/>
          <w:szCs w:val="20"/>
          <w:lang w:val="es-ES_tradnl"/>
        </w:rPr>
        <w:t>de la Convención Americana en relación con su</w:t>
      </w:r>
      <w:r w:rsidR="00F07B54" w:rsidRPr="00006C2A">
        <w:rPr>
          <w:rFonts w:asciiTheme="majorHAnsi" w:hAnsiTheme="majorHAnsi"/>
          <w:sz w:val="20"/>
          <w:szCs w:val="20"/>
          <w:lang w:val="es-ES_tradnl"/>
        </w:rPr>
        <w:t>s</w:t>
      </w:r>
      <w:r w:rsidR="00940F5D" w:rsidRPr="00006C2A">
        <w:rPr>
          <w:rFonts w:asciiTheme="majorHAnsi" w:hAnsiTheme="majorHAnsi"/>
          <w:sz w:val="20"/>
          <w:szCs w:val="20"/>
          <w:lang w:val="es-ES_tradnl"/>
        </w:rPr>
        <w:t xml:space="preserve"> artículo</w:t>
      </w:r>
      <w:r w:rsidR="00F07B54" w:rsidRPr="00006C2A">
        <w:rPr>
          <w:rFonts w:asciiTheme="majorHAnsi" w:hAnsiTheme="majorHAnsi"/>
          <w:sz w:val="20"/>
          <w:szCs w:val="20"/>
          <w:lang w:val="es-ES_tradnl"/>
        </w:rPr>
        <w:t>s</w:t>
      </w:r>
      <w:r w:rsidR="00940F5D" w:rsidRPr="00006C2A">
        <w:rPr>
          <w:rFonts w:asciiTheme="majorHAnsi" w:hAnsiTheme="majorHAnsi"/>
          <w:sz w:val="20"/>
          <w:szCs w:val="20"/>
          <w:lang w:val="es-ES_tradnl"/>
        </w:rPr>
        <w:t xml:space="preserve"> 1.1 (obligación de respetar los derechos), </w:t>
      </w:r>
      <w:r w:rsidR="00FA7CB7" w:rsidRPr="00006C2A">
        <w:rPr>
          <w:rFonts w:asciiTheme="majorHAnsi" w:hAnsiTheme="majorHAnsi"/>
          <w:bCs/>
          <w:sz w:val="20"/>
          <w:szCs w:val="20"/>
          <w:lang w:val="es-ES_tradnl"/>
        </w:rPr>
        <w:t>y 2 (deber de adoptar disposiciones de derecho interno),</w:t>
      </w:r>
      <w:r w:rsidR="00940F5D" w:rsidRPr="00006C2A">
        <w:rPr>
          <w:rFonts w:asciiTheme="majorHAnsi" w:hAnsiTheme="majorHAnsi"/>
          <w:sz w:val="20"/>
          <w:szCs w:val="20"/>
          <w:lang w:val="es-ES_tradnl"/>
        </w:rPr>
        <w:t xml:space="preserve"> en perjuicio de la</w:t>
      </w:r>
      <w:r w:rsidR="00FA7CB7" w:rsidRPr="00006C2A">
        <w:rPr>
          <w:rFonts w:asciiTheme="majorHAnsi" w:hAnsiTheme="majorHAnsi"/>
          <w:sz w:val="20"/>
          <w:szCs w:val="20"/>
          <w:lang w:val="es-ES_tradnl"/>
        </w:rPr>
        <w:t>s familias miembros de la aldea Sesajal</w:t>
      </w:r>
      <w:r w:rsidR="00940F5D" w:rsidRPr="00006C2A">
        <w:rPr>
          <w:rFonts w:asciiTheme="majorHAnsi" w:hAnsiTheme="majorHAnsi"/>
          <w:sz w:val="20"/>
          <w:szCs w:val="20"/>
          <w:lang w:val="es-ES_tradnl"/>
        </w:rPr>
        <w:t xml:space="preserve">. </w:t>
      </w:r>
    </w:p>
    <w:p w14:paraId="2B51F22B" w14:textId="211F37EF" w:rsidR="00976A40" w:rsidRPr="00006C2A" w:rsidRDefault="002A508F" w:rsidP="00976A40">
      <w:pPr>
        <w:numPr>
          <w:ilvl w:val="0"/>
          <w:numId w:val="55"/>
        </w:numPr>
        <w:suppressAutoHyphens/>
        <w:jc w:val="both"/>
        <w:rPr>
          <w:rFonts w:asciiTheme="majorHAnsi" w:hAnsiTheme="majorHAnsi"/>
          <w:sz w:val="20"/>
          <w:szCs w:val="20"/>
          <w:lang w:val="es-ES_tradnl"/>
        </w:rPr>
      </w:pPr>
      <w:r w:rsidRPr="00006C2A">
        <w:rPr>
          <w:rFonts w:asciiTheme="majorHAnsi" w:hAnsiTheme="majorHAnsi"/>
          <w:sz w:val="20"/>
          <w:szCs w:val="20"/>
          <w:lang w:val="es-ES_tradnl"/>
        </w:rPr>
        <w:t xml:space="preserve">En cuanto al reclamo sobre la presunta violación de los artículos </w:t>
      </w:r>
      <w:r w:rsidRPr="00006C2A">
        <w:rPr>
          <w:rFonts w:asciiTheme="majorHAnsi" w:hAnsiTheme="majorHAnsi"/>
          <w:bCs/>
          <w:sz w:val="20"/>
          <w:szCs w:val="20"/>
          <w:lang w:val="es-ES_tradnl"/>
        </w:rPr>
        <w:t>4 (vida), 11 (honra y dignidad), 17 (protección a la familia), 19 (derechos del niño), y 21 (propiedad privada)</w:t>
      </w:r>
      <w:r w:rsidRPr="00006C2A">
        <w:rPr>
          <w:rFonts w:asciiTheme="majorHAnsi" w:hAnsiTheme="majorHAnsi"/>
          <w:sz w:val="20"/>
          <w:szCs w:val="20"/>
          <w:lang w:val="es-ES_tradnl"/>
        </w:rPr>
        <w:t xml:space="preserve"> de la Convención Americana, la Comisión </w:t>
      </w:r>
      <w:r w:rsidR="008804CE" w:rsidRPr="00006C2A">
        <w:rPr>
          <w:rFonts w:asciiTheme="majorHAnsi" w:hAnsiTheme="majorHAnsi"/>
          <w:sz w:val="20"/>
          <w:szCs w:val="20"/>
          <w:lang w:val="es-ES_tradnl"/>
        </w:rPr>
        <w:t>recuerda lo anotado en la sección precedente del presente informe en el sentido de que el presente informe se centra en lo que los peticionarios han alegado y sustentado como objeto principal de la petición, que es la falta de reparación por las graves violaciones a los derechos humanos de las presuntas víctimas, más no por dichas violaciones iniciales</w:t>
      </w:r>
      <w:r w:rsidR="00006C2A" w:rsidRPr="00006C2A">
        <w:rPr>
          <w:rFonts w:asciiTheme="majorHAnsi" w:hAnsiTheme="majorHAnsi"/>
          <w:sz w:val="20"/>
          <w:szCs w:val="20"/>
          <w:lang w:val="es-ES_tradnl"/>
        </w:rPr>
        <w:t xml:space="preserve">, las cuales no son objeto de pronunciamiento en el presente informe. </w:t>
      </w:r>
    </w:p>
    <w:p w14:paraId="284504AB" w14:textId="77777777" w:rsidR="00976A40" w:rsidRPr="00006C2A" w:rsidRDefault="00976A40" w:rsidP="00976A40">
      <w:pPr>
        <w:suppressAutoHyphens/>
        <w:ind w:left="720"/>
        <w:jc w:val="both"/>
        <w:rPr>
          <w:rFonts w:asciiTheme="majorHAnsi" w:hAnsiTheme="majorHAnsi"/>
          <w:sz w:val="20"/>
          <w:szCs w:val="20"/>
          <w:lang w:val="es-ES_tradnl"/>
        </w:rPr>
      </w:pPr>
    </w:p>
    <w:p w14:paraId="1CF72F5E" w14:textId="6438D7C2" w:rsidR="006F0AD1" w:rsidRPr="00006C2A" w:rsidRDefault="00006C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06C2A">
        <w:rPr>
          <w:rFonts w:asciiTheme="majorHAnsi" w:hAnsiTheme="majorHAnsi" w:cs="Calibri"/>
          <w:sz w:val="20"/>
          <w:szCs w:val="20"/>
          <w:lang w:val="es-ES_tradnl"/>
        </w:rPr>
        <w:t>Finalmente, l</w:t>
      </w:r>
      <w:r w:rsidR="009D5A09" w:rsidRPr="00006C2A">
        <w:rPr>
          <w:rFonts w:asciiTheme="majorHAnsi" w:hAnsiTheme="majorHAnsi" w:cs="Calibri"/>
          <w:sz w:val="20"/>
          <w:szCs w:val="20"/>
          <w:lang w:val="es-ES_tradnl"/>
        </w:rPr>
        <w:t xml:space="preserve">a </w:t>
      </w:r>
      <w:r w:rsidR="00D303C0" w:rsidRPr="00006C2A">
        <w:rPr>
          <w:rFonts w:asciiTheme="majorHAnsi" w:hAnsiTheme="majorHAnsi" w:cs="Calibri"/>
          <w:sz w:val="20"/>
          <w:szCs w:val="20"/>
          <w:lang w:val="es-ES_tradnl"/>
        </w:rPr>
        <w:t xml:space="preserve">Comisión </w:t>
      </w:r>
      <w:r w:rsidR="009D5A09" w:rsidRPr="00006C2A">
        <w:rPr>
          <w:rFonts w:asciiTheme="majorHAnsi" w:hAnsiTheme="majorHAnsi" w:cs="Calibri"/>
          <w:sz w:val="20"/>
          <w:szCs w:val="20"/>
          <w:lang w:val="es-ES_tradnl"/>
        </w:rPr>
        <w:t>nota que la competencia prevista en los términos del artículo 19.6 de</w:t>
      </w:r>
      <w:r w:rsidR="00D303C0" w:rsidRPr="00006C2A">
        <w:rPr>
          <w:rFonts w:asciiTheme="majorHAnsi" w:hAnsiTheme="majorHAnsi" w:cs="Calibri"/>
          <w:sz w:val="20"/>
          <w:szCs w:val="20"/>
          <w:lang w:val="es-ES_tradnl"/>
        </w:rPr>
        <w:t xml:space="preserve">l Protocolo de San Salvador </w:t>
      </w:r>
      <w:r w:rsidR="009D5A09" w:rsidRPr="00006C2A">
        <w:rPr>
          <w:rFonts w:asciiTheme="majorHAnsi" w:hAnsiTheme="majorHAnsi" w:cs="Calibri"/>
          <w:sz w:val="20"/>
          <w:szCs w:val="20"/>
          <w:lang w:val="es-ES_tradnl"/>
        </w:rPr>
        <w:t xml:space="preserve">para establecer violaciones en el contexto de un caso individual se limita a los artículos 8.1.a y 13. Respecto a los demás artículos, de conformidad con el artículo 29 de la Convención Americana, la Comisión los puede tomar en cuenta para interpretar y aplicar la Convención Americana y otros </w:t>
      </w:r>
      <w:r w:rsidR="004C5050" w:rsidRPr="00006C2A">
        <w:rPr>
          <w:rFonts w:asciiTheme="majorHAnsi" w:hAnsiTheme="majorHAnsi" w:cs="Calibri"/>
          <w:sz w:val="20"/>
          <w:szCs w:val="20"/>
          <w:lang w:val="es-ES_tradnl"/>
        </w:rPr>
        <w:t>instrumentos aplicables</w:t>
      </w:r>
      <w:r w:rsidR="009D5A09" w:rsidRPr="00006C2A">
        <w:rPr>
          <w:rStyle w:val="FootnoteReference"/>
          <w:rFonts w:asciiTheme="majorHAnsi" w:hAnsiTheme="majorHAnsi" w:cs="Calibri"/>
          <w:sz w:val="20"/>
          <w:szCs w:val="20"/>
          <w:lang w:val="es-ES_tradnl"/>
        </w:rPr>
        <w:footnoteReference w:id="18"/>
      </w:r>
      <w:r w:rsidR="00FA7CB7" w:rsidRPr="00006C2A">
        <w:rPr>
          <w:rFonts w:asciiTheme="majorHAnsi" w:hAnsiTheme="majorHAnsi" w:cs="Calibri"/>
          <w:sz w:val="20"/>
          <w:szCs w:val="20"/>
          <w:lang w:val="es-ES_tradnl"/>
        </w:rPr>
        <w:t xml:space="preserve">. </w:t>
      </w:r>
      <w:r w:rsidR="00F069F8" w:rsidRPr="00006C2A">
        <w:rPr>
          <w:rFonts w:asciiTheme="majorHAnsi" w:hAnsiTheme="majorHAnsi"/>
          <w:sz w:val="20"/>
          <w:szCs w:val="20"/>
          <w:lang w:val="es-ES_tradnl"/>
        </w:rPr>
        <w:t xml:space="preserve">En relación con los demás instrumentos internacionales alegados por </w:t>
      </w:r>
      <w:r w:rsidR="00FA7CB7" w:rsidRPr="00006C2A">
        <w:rPr>
          <w:rFonts w:asciiTheme="majorHAnsi" w:hAnsiTheme="majorHAnsi"/>
          <w:sz w:val="20"/>
          <w:szCs w:val="20"/>
          <w:lang w:val="es-ES_tradnl"/>
        </w:rPr>
        <w:t>los peticionarios</w:t>
      </w:r>
      <w:r w:rsidR="00F069F8" w:rsidRPr="00006C2A">
        <w:rPr>
          <w:rFonts w:asciiTheme="majorHAnsi" w:hAnsiTheme="majorHAnsi"/>
          <w:sz w:val="20"/>
          <w:szCs w:val="20"/>
          <w:lang w:val="es-ES_tradnl"/>
        </w:rPr>
        <w:t>, la Comisión carece de competencia para establecer violaciones a las normas de dichos tratados, sin perjuicio de lo cual podrá tomarlos en cuenta como parte de su ejercicio interpretativo de las normas de la Convención Americana en la etapa de fondo del presente caso, en los términos del artículo 29 de la Convención Americana</w:t>
      </w:r>
      <w:r w:rsidR="00F069F8" w:rsidRPr="00006C2A">
        <w:rPr>
          <w:rFonts w:asciiTheme="majorHAnsi" w:hAnsiTheme="majorHAnsi"/>
          <w:sz w:val="20"/>
          <w:szCs w:val="20"/>
          <w:vertAlign w:val="superscript"/>
          <w:lang w:val="es-ES_tradnl"/>
        </w:rPr>
        <w:footnoteReference w:id="19"/>
      </w:r>
      <w:r w:rsidR="00F069F8" w:rsidRPr="00006C2A">
        <w:rPr>
          <w:rFonts w:asciiTheme="majorHAnsi" w:hAnsiTheme="majorHAnsi"/>
          <w:sz w:val="20"/>
          <w:szCs w:val="20"/>
          <w:lang w:val="es-ES_tradnl"/>
        </w:rPr>
        <w:t>.</w:t>
      </w:r>
    </w:p>
    <w:p w14:paraId="1444AA5F" w14:textId="77777777" w:rsidR="00006C2A" w:rsidRPr="00006C2A" w:rsidRDefault="00006C2A" w:rsidP="003239B8">
      <w:pPr>
        <w:pStyle w:val="ListParagraph"/>
        <w:spacing w:before="240" w:after="240"/>
        <w:jc w:val="both"/>
        <w:rPr>
          <w:rFonts w:asciiTheme="majorHAnsi" w:hAnsiTheme="majorHAnsi"/>
          <w:b/>
          <w:bCs/>
          <w:color w:val="auto"/>
          <w:sz w:val="20"/>
          <w:szCs w:val="20"/>
          <w:lang w:val="es-ES_tradnl"/>
        </w:rPr>
      </w:pPr>
    </w:p>
    <w:p w14:paraId="29BB41F5" w14:textId="5BE8FD27" w:rsidR="003239B8" w:rsidRPr="00006C2A" w:rsidRDefault="003239B8" w:rsidP="003239B8">
      <w:pPr>
        <w:pStyle w:val="ListParagraph"/>
        <w:spacing w:before="240" w:after="240"/>
        <w:jc w:val="both"/>
        <w:rPr>
          <w:rFonts w:asciiTheme="majorHAnsi" w:hAnsiTheme="majorHAnsi"/>
          <w:b/>
          <w:bCs/>
          <w:color w:val="auto"/>
          <w:sz w:val="20"/>
          <w:szCs w:val="20"/>
          <w:lang w:val="es-ES_tradnl"/>
        </w:rPr>
      </w:pPr>
      <w:r w:rsidRPr="00006C2A">
        <w:rPr>
          <w:rFonts w:asciiTheme="majorHAnsi" w:hAnsiTheme="majorHAnsi"/>
          <w:b/>
          <w:bCs/>
          <w:color w:val="auto"/>
          <w:sz w:val="20"/>
          <w:szCs w:val="20"/>
          <w:lang w:val="es-ES_tradnl"/>
        </w:rPr>
        <w:lastRenderedPageBreak/>
        <w:t xml:space="preserve">VIII. </w:t>
      </w:r>
      <w:r w:rsidRPr="00006C2A">
        <w:rPr>
          <w:rFonts w:asciiTheme="majorHAnsi" w:hAnsiTheme="majorHAnsi"/>
          <w:b/>
          <w:bCs/>
          <w:color w:val="auto"/>
          <w:sz w:val="20"/>
          <w:szCs w:val="20"/>
          <w:lang w:val="es-ES_tradnl"/>
        </w:rPr>
        <w:tab/>
        <w:t>DECISIÓN</w:t>
      </w:r>
    </w:p>
    <w:p w14:paraId="41AA5BF6" w14:textId="042E67BD" w:rsidR="000419AD" w:rsidRPr="00006C2A" w:rsidRDefault="003239B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06C2A">
        <w:rPr>
          <w:rFonts w:asciiTheme="majorHAnsi" w:hAnsiTheme="majorHAnsi"/>
          <w:sz w:val="20"/>
          <w:szCs w:val="20"/>
          <w:lang w:val="es-ES_tradnl"/>
        </w:rPr>
        <w:t xml:space="preserve">Declarar admisible la presente petición en relación con </w:t>
      </w:r>
      <w:r w:rsidR="00F07B54" w:rsidRPr="00006C2A">
        <w:rPr>
          <w:rFonts w:asciiTheme="majorHAnsi" w:hAnsiTheme="majorHAnsi"/>
          <w:sz w:val="20"/>
          <w:szCs w:val="20"/>
          <w:lang w:val="es-ES_tradnl"/>
        </w:rPr>
        <w:t>los artículos 5, 8</w:t>
      </w:r>
      <w:r w:rsidR="00976A40" w:rsidRPr="00006C2A">
        <w:rPr>
          <w:rFonts w:asciiTheme="majorHAnsi" w:hAnsiTheme="majorHAnsi"/>
          <w:sz w:val="20"/>
          <w:szCs w:val="20"/>
          <w:lang w:val="es-ES_tradnl"/>
        </w:rPr>
        <w:t xml:space="preserve">, 24 </w:t>
      </w:r>
      <w:r w:rsidR="00F07B54" w:rsidRPr="00006C2A">
        <w:rPr>
          <w:rFonts w:asciiTheme="majorHAnsi" w:hAnsiTheme="majorHAnsi"/>
          <w:sz w:val="20"/>
          <w:szCs w:val="20"/>
          <w:lang w:val="es-ES_tradnl"/>
        </w:rPr>
        <w:t>y 25 de la Convención Americana</w:t>
      </w:r>
      <w:r w:rsidR="001220C5" w:rsidRPr="00006C2A">
        <w:rPr>
          <w:rFonts w:asciiTheme="majorHAnsi" w:hAnsiTheme="majorHAnsi"/>
          <w:sz w:val="20"/>
          <w:szCs w:val="20"/>
          <w:lang w:val="es-ES_tradnl"/>
        </w:rPr>
        <w:t>,</w:t>
      </w:r>
      <w:r w:rsidR="00F07B54" w:rsidRPr="00006C2A">
        <w:rPr>
          <w:rFonts w:asciiTheme="majorHAnsi" w:hAnsiTheme="majorHAnsi"/>
          <w:sz w:val="20"/>
          <w:szCs w:val="20"/>
          <w:lang w:val="es-ES_tradnl"/>
        </w:rPr>
        <w:t xml:space="preserve"> en relación con </w:t>
      </w:r>
      <w:r w:rsidR="001220C5" w:rsidRPr="00006C2A">
        <w:rPr>
          <w:rFonts w:asciiTheme="majorHAnsi" w:hAnsiTheme="majorHAnsi"/>
          <w:sz w:val="20"/>
          <w:szCs w:val="20"/>
          <w:lang w:val="es-ES_tradnl"/>
        </w:rPr>
        <w:t>los</w:t>
      </w:r>
      <w:r w:rsidR="00F07B54" w:rsidRPr="00006C2A">
        <w:rPr>
          <w:rFonts w:asciiTheme="majorHAnsi" w:hAnsiTheme="majorHAnsi"/>
          <w:sz w:val="20"/>
          <w:szCs w:val="20"/>
          <w:lang w:val="es-ES_tradnl"/>
        </w:rPr>
        <w:t xml:space="preserve"> artículos 1.1 y 2 del mismo instrumento</w:t>
      </w:r>
      <w:r w:rsidR="00A758AA" w:rsidRPr="00006C2A">
        <w:rPr>
          <w:rFonts w:asciiTheme="majorHAnsi" w:hAnsiTheme="majorHAnsi"/>
          <w:sz w:val="20"/>
          <w:szCs w:val="20"/>
          <w:lang w:val="es-ES_tradnl"/>
        </w:rPr>
        <w:t>;</w:t>
      </w:r>
      <w:r w:rsidR="007B76D3" w:rsidRPr="00006C2A">
        <w:rPr>
          <w:rFonts w:asciiTheme="majorHAnsi" w:hAnsiTheme="majorHAnsi"/>
          <w:sz w:val="20"/>
          <w:szCs w:val="20"/>
          <w:lang w:val="es-ES_tradnl"/>
        </w:rPr>
        <w:t xml:space="preserve"> y</w:t>
      </w:r>
    </w:p>
    <w:p w14:paraId="12A7002C" w14:textId="3F9F3BC3" w:rsidR="004A6A54" w:rsidRDefault="004A6A5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06C2A">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5AC489EB" w14:textId="1FC5BDCC" w:rsidR="004C5050" w:rsidRPr="00CD03C9" w:rsidRDefault="004C5050" w:rsidP="00CD03C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12 días del mes de agosto de 2022.</w:t>
      </w:r>
      <w:r w:rsidR="00CD03C9">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Esmeralda Arosemena de Troitiño, Joel Hernández y Roberta Clarke, </w:t>
      </w:r>
      <w:r w:rsidR="00CD03C9">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4C5050" w:rsidRPr="00CD03C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B14CE" w14:textId="77777777" w:rsidR="005844F9" w:rsidRDefault="005844F9">
      <w:r>
        <w:separator/>
      </w:r>
    </w:p>
  </w:endnote>
  <w:endnote w:type="continuationSeparator" w:id="0">
    <w:p w14:paraId="7100D035" w14:textId="77777777" w:rsidR="005844F9" w:rsidRDefault="0058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B27291" w:rsidRPr="00934A2C" w:rsidRDefault="00B2729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2</w:t>
        </w:r>
        <w:r w:rsidRPr="00934A2C">
          <w:rPr>
            <w:noProof/>
            <w:sz w:val="16"/>
            <w:szCs w:val="22"/>
          </w:rPr>
          <w:fldChar w:fldCharType="end"/>
        </w:r>
      </w:p>
    </w:sdtContent>
  </w:sdt>
  <w:p w14:paraId="68530E6A" w14:textId="77777777" w:rsidR="00B27291" w:rsidRDefault="00B27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B27291" w:rsidRPr="00934A2C" w:rsidRDefault="00B27291">
    <w:pPr>
      <w:pStyle w:val="Footer"/>
      <w:jc w:val="center"/>
      <w:rPr>
        <w:sz w:val="16"/>
        <w:szCs w:val="22"/>
      </w:rPr>
    </w:pPr>
  </w:p>
  <w:p w14:paraId="49059CE3" w14:textId="77777777" w:rsidR="00B27291" w:rsidRDefault="00B27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F352" w14:textId="77777777" w:rsidR="005844F9" w:rsidRPr="000F35ED" w:rsidRDefault="005844F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99A225F" w14:textId="77777777" w:rsidR="005844F9" w:rsidRPr="000F35ED" w:rsidRDefault="005844F9" w:rsidP="000F35ED">
      <w:pPr>
        <w:rPr>
          <w:rFonts w:asciiTheme="majorHAnsi" w:hAnsiTheme="majorHAnsi"/>
          <w:sz w:val="16"/>
          <w:szCs w:val="16"/>
        </w:rPr>
      </w:pPr>
      <w:r w:rsidRPr="000F35ED">
        <w:rPr>
          <w:rFonts w:asciiTheme="majorHAnsi" w:hAnsiTheme="majorHAnsi"/>
          <w:sz w:val="16"/>
          <w:szCs w:val="16"/>
        </w:rPr>
        <w:separator/>
      </w:r>
    </w:p>
    <w:p w14:paraId="49256244" w14:textId="77777777" w:rsidR="005844F9" w:rsidRPr="000F35ED" w:rsidRDefault="005844F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19C7219" w14:textId="77777777" w:rsidR="005844F9" w:rsidRPr="000F35ED" w:rsidRDefault="005844F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3A9608F" w14:textId="68EC77F6" w:rsidR="003E26A5" w:rsidRPr="00EB0F43" w:rsidRDefault="003E26A5" w:rsidP="00D94297">
      <w:pPr>
        <w:pStyle w:val="FootnoteText"/>
        <w:ind w:firstLine="720"/>
        <w:jc w:val="both"/>
        <w:rPr>
          <w:rFonts w:asciiTheme="majorHAnsi" w:hAnsiTheme="majorHAnsi"/>
          <w:sz w:val="16"/>
          <w:szCs w:val="16"/>
          <w:lang w:val="es-VE"/>
        </w:rPr>
      </w:pPr>
      <w:r w:rsidRPr="00EB0F43">
        <w:rPr>
          <w:rStyle w:val="FootnoteReference"/>
          <w:rFonts w:asciiTheme="majorHAnsi" w:hAnsiTheme="majorHAnsi"/>
          <w:color w:val="auto"/>
          <w:sz w:val="16"/>
          <w:szCs w:val="16"/>
        </w:rPr>
        <w:footnoteRef/>
      </w:r>
      <w:r w:rsidRPr="00EB0F43">
        <w:rPr>
          <w:rFonts w:asciiTheme="majorHAnsi" w:hAnsiTheme="majorHAnsi"/>
          <w:color w:val="auto"/>
          <w:sz w:val="16"/>
          <w:szCs w:val="16"/>
          <w:lang w:val="es-VE"/>
        </w:rPr>
        <w:t xml:space="preserve"> </w:t>
      </w:r>
      <w:r w:rsidR="003C7757" w:rsidRPr="00EB0F43">
        <w:rPr>
          <w:rFonts w:asciiTheme="majorHAnsi" w:hAnsiTheme="majorHAnsi"/>
          <w:color w:val="auto"/>
          <w:sz w:val="16"/>
          <w:szCs w:val="16"/>
          <w:lang w:val="es-VE"/>
        </w:rPr>
        <w:t xml:space="preserve">Los peticionarios informan que la aldea Sesajal está conformada por </w:t>
      </w:r>
      <w:r w:rsidRPr="00EB0F43">
        <w:rPr>
          <w:rFonts w:asciiTheme="majorHAnsi" w:hAnsiTheme="majorHAnsi"/>
          <w:color w:val="auto"/>
          <w:sz w:val="16"/>
          <w:szCs w:val="16"/>
          <w:lang w:val="es-VE"/>
        </w:rPr>
        <w:t>198 familias</w:t>
      </w:r>
      <w:r w:rsidR="003C7757" w:rsidRPr="00EB0F43">
        <w:rPr>
          <w:rFonts w:asciiTheme="majorHAnsi" w:hAnsiTheme="majorHAnsi"/>
          <w:color w:val="auto"/>
          <w:sz w:val="16"/>
          <w:szCs w:val="16"/>
          <w:lang w:val="es-VE"/>
        </w:rPr>
        <w:t>, o</w:t>
      </w:r>
      <w:r w:rsidR="003F7BFB" w:rsidRPr="00EB0F43">
        <w:rPr>
          <w:rFonts w:asciiTheme="majorHAnsi" w:hAnsiTheme="majorHAnsi"/>
          <w:color w:val="auto"/>
          <w:sz w:val="16"/>
          <w:szCs w:val="16"/>
          <w:lang w:val="es-VE"/>
        </w:rPr>
        <w:t xml:space="preserve"> 1</w:t>
      </w:r>
      <w:r w:rsidR="00282E08" w:rsidRPr="00EB0F43">
        <w:rPr>
          <w:rFonts w:asciiTheme="majorHAnsi" w:hAnsiTheme="majorHAnsi"/>
          <w:color w:val="auto"/>
          <w:sz w:val="16"/>
          <w:szCs w:val="16"/>
          <w:lang w:val="es-VE"/>
        </w:rPr>
        <w:t>,</w:t>
      </w:r>
      <w:r w:rsidR="003F7BFB" w:rsidRPr="00EB0F43">
        <w:rPr>
          <w:rFonts w:asciiTheme="majorHAnsi" w:hAnsiTheme="majorHAnsi"/>
          <w:color w:val="auto"/>
          <w:sz w:val="16"/>
          <w:szCs w:val="16"/>
          <w:lang w:val="es-VE"/>
        </w:rPr>
        <w:t>476 personas.</w:t>
      </w:r>
    </w:p>
  </w:footnote>
  <w:footnote w:id="3">
    <w:p w14:paraId="06C1BEFA" w14:textId="73BCD654" w:rsidR="00B27291" w:rsidRPr="00EB0F43" w:rsidRDefault="00B27291" w:rsidP="00D94297">
      <w:pPr>
        <w:pStyle w:val="FootnoteText"/>
        <w:ind w:firstLine="720"/>
        <w:jc w:val="both"/>
        <w:rPr>
          <w:rFonts w:asciiTheme="majorHAnsi" w:hAnsiTheme="majorHAnsi"/>
          <w:sz w:val="16"/>
          <w:szCs w:val="16"/>
          <w:lang w:val="es-ES"/>
        </w:rPr>
      </w:pPr>
      <w:r w:rsidRPr="00EB0F43">
        <w:rPr>
          <w:rStyle w:val="FootnoteReference"/>
          <w:rFonts w:asciiTheme="majorHAnsi" w:hAnsiTheme="majorHAnsi"/>
          <w:sz w:val="16"/>
          <w:szCs w:val="16"/>
        </w:rPr>
        <w:footnoteRef/>
      </w:r>
      <w:r w:rsidRPr="00EB0F43">
        <w:rPr>
          <w:rFonts w:asciiTheme="majorHAnsi" w:hAnsiTheme="majorHAnsi"/>
          <w:sz w:val="16"/>
          <w:szCs w:val="16"/>
          <w:lang w:val="es-ES"/>
        </w:rPr>
        <w:t xml:space="preserve"> Conforme a lo dispuesto en el artículo 17.2.a del Reglamento de la Comisión, el Comisionado </w:t>
      </w:r>
      <w:r w:rsidR="006C0AFA" w:rsidRPr="00EB0F43">
        <w:rPr>
          <w:rFonts w:asciiTheme="majorHAnsi" w:hAnsiTheme="majorHAnsi"/>
          <w:sz w:val="16"/>
          <w:szCs w:val="16"/>
          <w:lang w:val="es-ES"/>
        </w:rPr>
        <w:t>Edgar Stuardo Ralón</w:t>
      </w:r>
      <w:r w:rsidRPr="00EB0F43">
        <w:rPr>
          <w:rFonts w:asciiTheme="majorHAnsi" w:hAnsiTheme="majorHAnsi"/>
          <w:sz w:val="16"/>
          <w:szCs w:val="16"/>
          <w:lang w:val="es-ES"/>
        </w:rPr>
        <w:t xml:space="preserve">, de nacionalidad </w:t>
      </w:r>
      <w:r w:rsidR="006C0AFA" w:rsidRPr="00EB0F43">
        <w:rPr>
          <w:rFonts w:asciiTheme="majorHAnsi" w:hAnsiTheme="majorHAnsi"/>
          <w:sz w:val="16"/>
          <w:szCs w:val="16"/>
          <w:lang w:val="es-ES"/>
        </w:rPr>
        <w:t>guatemalteca</w:t>
      </w:r>
      <w:r w:rsidRPr="00EB0F43">
        <w:rPr>
          <w:rFonts w:asciiTheme="majorHAnsi" w:hAnsiTheme="majorHAnsi"/>
          <w:sz w:val="16"/>
          <w:szCs w:val="16"/>
          <w:lang w:val="es-ES"/>
        </w:rPr>
        <w:t>, no participó en el debate ni en la decisión del presente asunto.</w:t>
      </w:r>
    </w:p>
  </w:footnote>
  <w:footnote w:id="4">
    <w:p w14:paraId="24DEB11D" w14:textId="6C43947A" w:rsidR="00B27291" w:rsidRPr="00EB0F43" w:rsidRDefault="00B27291" w:rsidP="00D94297">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VE"/>
        </w:rPr>
        <w:t xml:space="preserve"> En adelante la “Convención” o la “Convención Americana”.</w:t>
      </w:r>
    </w:p>
  </w:footnote>
  <w:footnote w:id="5">
    <w:p w14:paraId="3DD9CDC9" w14:textId="2785F9EF" w:rsidR="00B27291" w:rsidRPr="00EB0F43" w:rsidRDefault="00B27291" w:rsidP="00D94297">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VE"/>
        </w:rPr>
        <w:t xml:space="preserve"> Artículos 1, 3, 5, 6, 7, 8, 9 10, 12, 17, 20, 26 de la Declaración de Derechos del Hombre de las Naciones Unidas. </w:t>
      </w:r>
    </w:p>
  </w:footnote>
  <w:footnote w:id="6">
    <w:p w14:paraId="79F07139" w14:textId="77777777" w:rsidR="00B27291" w:rsidRPr="00EB0F43" w:rsidRDefault="00B27291" w:rsidP="00D94297">
      <w:pPr>
        <w:pStyle w:val="FootnoteText"/>
        <w:ind w:firstLine="720"/>
        <w:jc w:val="both"/>
        <w:rPr>
          <w:rFonts w:asciiTheme="majorHAnsi" w:hAnsiTheme="majorHAnsi"/>
          <w:sz w:val="16"/>
          <w:szCs w:val="16"/>
          <w:lang w:val="es-ES"/>
        </w:rPr>
      </w:pPr>
      <w:r w:rsidRPr="00EB0F43">
        <w:rPr>
          <w:rStyle w:val="FootnoteReference"/>
          <w:rFonts w:asciiTheme="majorHAnsi" w:hAnsiTheme="majorHAnsi"/>
          <w:sz w:val="16"/>
          <w:szCs w:val="16"/>
        </w:rPr>
        <w:footnoteRef/>
      </w:r>
      <w:r w:rsidRPr="00EB0F43">
        <w:rPr>
          <w:rFonts w:asciiTheme="majorHAnsi" w:hAnsiTheme="majorHAnsi"/>
          <w:sz w:val="16"/>
          <w:szCs w:val="16"/>
          <w:lang w:val="es-ES"/>
        </w:rPr>
        <w:t xml:space="preserve"> Las observaciones de cada parte fueron debidamente trasladadas a la parte contraria.</w:t>
      </w:r>
    </w:p>
  </w:footnote>
  <w:footnote w:id="7">
    <w:p w14:paraId="7E6D0F2D" w14:textId="1E1FE9A7" w:rsidR="005E67BD" w:rsidRPr="00EB0F43" w:rsidRDefault="005E67BD" w:rsidP="00ED1B38">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VE"/>
        </w:rPr>
        <w:t xml:space="preserve"> </w:t>
      </w:r>
      <w:r w:rsidR="00ED1B38" w:rsidRPr="00EB0F43">
        <w:rPr>
          <w:rFonts w:asciiTheme="majorHAnsi" w:hAnsiTheme="majorHAnsi"/>
          <w:sz w:val="16"/>
          <w:szCs w:val="16"/>
          <w:lang w:val="es-CO"/>
        </w:rPr>
        <w:t>C</w:t>
      </w:r>
      <w:r w:rsidR="00ED1B38" w:rsidRPr="00EB0F43">
        <w:rPr>
          <w:rFonts w:asciiTheme="majorHAnsi" w:hAnsiTheme="majorHAnsi"/>
          <w:sz w:val="16"/>
          <w:szCs w:val="16"/>
          <w:lang w:val="es-VE"/>
        </w:rPr>
        <w:t>IDH. Situación de los derechos humanos en Guatemala: Diversidad, desigualdad y exclusión. OEA/Ser.L/V/II.Doc. 43/15. 31 de diciembre de 2015, párr. 451.</w:t>
      </w:r>
    </w:p>
  </w:footnote>
  <w:footnote w:id="8">
    <w:p w14:paraId="5A54B283" w14:textId="34D58455" w:rsidR="0064339D" w:rsidRPr="00EB0F43" w:rsidRDefault="0064339D" w:rsidP="0064339D">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VE"/>
        </w:rPr>
        <w:t xml:space="preserve"> </w:t>
      </w:r>
      <w:r w:rsidRPr="00EB0F43">
        <w:rPr>
          <w:rFonts w:asciiTheme="majorHAnsi" w:hAnsiTheme="majorHAnsi"/>
          <w:sz w:val="16"/>
          <w:szCs w:val="16"/>
          <w:lang w:val="es-SV"/>
        </w:rPr>
        <w:t xml:space="preserve">CIDH. Justicia e Inclusión Social: Los desafíos de la democracia en Guatemala. </w:t>
      </w:r>
      <w:r w:rsidRPr="00EB0F43">
        <w:rPr>
          <w:rFonts w:asciiTheme="majorHAnsi" w:hAnsiTheme="majorHAnsi"/>
          <w:sz w:val="16"/>
          <w:szCs w:val="16"/>
          <w:lang w:val="es-MX"/>
        </w:rPr>
        <w:t xml:space="preserve">OEA/Ser.L/V/II.118 Doc. 5 rev. 1. </w:t>
      </w:r>
      <w:r w:rsidRPr="00EB0F43">
        <w:rPr>
          <w:rFonts w:asciiTheme="majorHAnsi" w:hAnsiTheme="majorHAnsi"/>
          <w:sz w:val="16"/>
          <w:szCs w:val="16"/>
          <w:lang w:val="es-CO"/>
        </w:rPr>
        <w:t>29 diciembre 2003. Capítulo IV, párr. 451.</w:t>
      </w:r>
    </w:p>
  </w:footnote>
  <w:footnote w:id="9">
    <w:p w14:paraId="6F16EB74" w14:textId="77777777" w:rsidR="00375555" w:rsidRPr="00EB0F43" w:rsidRDefault="00375555" w:rsidP="00375555">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VE"/>
        </w:rPr>
        <w:t xml:space="preserve"> CIDH, Situación de los derechos humanos en Guatemala. OEA/Ser.L/V/II. Doc. 208/17. 31 diciembre 2017, párr, 143; y CIDH, Situación de los derechos humanos en Guatemala: Diversidad, desigualdad y exclusión, OEA/Ser.L/V/II.Doc. 43/15, 30 de diciembre de 2015, párr. 445-451.</w:t>
      </w:r>
    </w:p>
  </w:footnote>
  <w:footnote w:id="10">
    <w:p w14:paraId="46E8FF43" w14:textId="77777777" w:rsidR="003569C4" w:rsidRPr="00EB0F43" w:rsidRDefault="003569C4" w:rsidP="00D94297">
      <w:pPr>
        <w:pStyle w:val="FootnoteText"/>
        <w:ind w:firstLine="720"/>
        <w:jc w:val="both"/>
        <w:rPr>
          <w:rFonts w:asciiTheme="majorHAnsi" w:hAnsiTheme="majorHAnsi"/>
          <w:sz w:val="16"/>
          <w:szCs w:val="16"/>
          <w:lang w:val="es-ES_tradnl"/>
        </w:rPr>
      </w:pPr>
      <w:r w:rsidRPr="00EB0F43">
        <w:rPr>
          <w:rStyle w:val="FootnoteReference"/>
          <w:rFonts w:asciiTheme="majorHAnsi" w:hAnsiTheme="majorHAnsi"/>
          <w:sz w:val="16"/>
          <w:szCs w:val="16"/>
        </w:rPr>
        <w:footnoteRef/>
      </w:r>
      <w:r w:rsidRPr="00EB0F43">
        <w:rPr>
          <w:rFonts w:asciiTheme="majorHAnsi" w:hAnsiTheme="majorHAnsi"/>
          <w:sz w:val="16"/>
          <w:szCs w:val="16"/>
          <w:lang w:val="es-ES"/>
        </w:rPr>
        <w:t xml:space="preserve"> CIDH, Informe No. 57/08, Petición 283-06. Inadmisibilidad. </w:t>
      </w:r>
      <w:r w:rsidRPr="00EB0F43">
        <w:rPr>
          <w:rFonts w:asciiTheme="majorHAnsi" w:hAnsiTheme="majorHAnsi"/>
          <w:sz w:val="16"/>
          <w:szCs w:val="16"/>
          <w:lang w:val="es-US"/>
        </w:rPr>
        <w:t xml:space="preserve">Mario Roberto Chang Bravo. Guatemala. </w:t>
      </w:r>
      <w:r w:rsidRPr="00EB0F43">
        <w:rPr>
          <w:rFonts w:asciiTheme="majorHAnsi" w:hAnsiTheme="majorHAnsi"/>
          <w:sz w:val="16"/>
          <w:szCs w:val="16"/>
          <w:lang w:val="es-ES"/>
        </w:rPr>
        <w:t>24 de julio de 2008, párr. 38.</w:t>
      </w:r>
    </w:p>
  </w:footnote>
  <w:footnote w:id="11">
    <w:p w14:paraId="3CB78B1F" w14:textId="77777777" w:rsidR="004B61FB" w:rsidRPr="00EB0F43" w:rsidRDefault="004B61FB" w:rsidP="003F12B0">
      <w:pPr>
        <w:pStyle w:val="FootnoteText"/>
        <w:ind w:firstLine="720"/>
        <w:jc w:val="both"/>
        <w:rPr>
          <w:rFonts w:asciiTheme="majorHAnsi" w:hAnsiTheme="majorHAnsi"/>
          <w:sz w:val="16"/>
          <w:szCs w:val="16"/>
          <w:lang w:val="es-ES"/>
        </w:rPr>
      </w:pPr>
      <w:r w:rsidRPr="00EB0F43">
        <w:rPr>
          <w:rStyle w:val="FootnoteReference"/>
          <w:rFonts w:asciiTheme="majorHAnsi" w:hAnsiTheme="majorHAnsi"/>
          <w:sz w:val="16"/>
          <w:szCs w:val="16"/>
        </w:rPr>
        <w:footnoteRef/>
      </w:r>
      <w:r w:rsidRPr="00EB0F43">
        <w:rPr>
          <w:rFonts w:asciiTheme="majorHAnsi" w:hAnsiTheme="majorHAnsi"/>
          <w:sz w:val="16"/>
          <w:szCs w:val="16"/>
          <w:lang w:val="es-ES"/>
        </w:rPr>
        <w:t xml:space="preserve"> CIDH, Informe No. 61/16, Petición 12.325. Admisibilidad. Comunidad de Paz San José de Apartadó. Colombia. 6 de diciembre de 2016, párr. 62.</w:t>
      </w:r>
    </w:p>
  </w:footnote>
  <w:footnote w:id="12">
    <w:p w14:paraId="4ADD002C" w14:textId="454BF595" w:rsidR="00254EB1" w:rsidRPr="00EB0F43" w:rsidRDefault="00254EB1" w:rsidP="000C7A50">
      <w:pPr>
        <w:pStyle w:val="FootnoteText"/>
        <w:ind w:firstLine="720"/>
        <w:jc w:val="both"/>
        <w:rPr>
          <w:rFonts w:asciiTheme="majorHAnsi" w:hAnsiTheme="majorHAnsi"/>
          <w:sz w:val="16"/>
          <w:szCs w:val="16"/>
          <w:lang w:val="es-ES"/>
        </w:rPr>
      </w:pPr>
      <w:r w:rsidRPr="00EB0F43">
        <w:rPr>
          <w:rStyle w:val="FootnoteReference"/>
          <w:rFonts w:asciiTheme="majorHAnsi" w:hAnsiTheme="majorHAnsi"/>
          <w:sz w:val="16"/>
          <w:szCs w:val="16"/>
        </w:rPr>
        <w:footnoteRef/>
      </w:r>
      <w:r w:rsidRPr="00EB0F43">
        <w:rPr>
          <w:rFonts w:asciiTheme="majorHAnsi" w:hAnsiTheme="majorHAnsi"/>
          <w:sz w:val="16"/>
          <w:szCs w:val="16"/>
          <w:lang w:val="es-ES"/>
        </w:rPr>
        <w:t xml:space="preserve"> </w:t>
      </w:r>
      <w:r w:rsidR="009369B1" w:rsidRPr="00EB0F43">
        <w:rPr>
          <w:rFonts w:asciiTheme="majorHAnsi" w:hAnsiTheme="majorHAnsi"/>
          <w:sz w:val="16"/>
          <w:szCs w:val="16"/>
          <w:lang w:val="es-ES"/>
        </w:rPr>
        <w:t xml:space="preserve">Corte IDH, </w:t>
      </w:r>
      <w:r w:rsidR="00E15703" w:rsidRPr="00EB0F43">
        <w:rPr>
          <w:rFonts w:asciiTheme="majorHAnsi" w:hAnsiTheme="majorHAnsi"/>
          <w:sz w:val="16"/>
          <w:szCs w:val="16"/>
          <w:lang w:val="es-ES"/>
        </w:rPr>
        <w:t>Caso Habbal y otros vs. Argentina</w:t>
      </w:r>
      <w:r w:rsidR="00AB3740" w:rsidRPr="00EB0F43">
        <w:rPr>
          <w:rFonts w:asciiTheme="majorHAnsi" w:hAnsiTheme="majorHAnsi"/>
          <w:sz w:val="16"/>
          <w:szCs w:val="16"/>
          <w:lang w:val="es-ES"/>
        </w:rPr>
        <w:t>.</w:t>
      </w:r>
      <w:r w:rsidR="00E15703" w:rsidRPr="00EB0F43">
        <w:rPr>
          <w:rFonts w:asciiTheme="majorHAnsi" w:hAnsiTheme="majorHAnsi"/>
          <w:sz w:val="16"/>
          <w:szCs w:val="16"/>
          <w:lang w:val="es-ES"/>
        </w:rPr>
        <w:t xml:space="preserve"> Excepciones Preliminares y Fondo</w:t>
      </w:r>
      <w:r w:rsidR="006B3BC6" w:rsidRPr="00EB0F43">
        <w:rPr>
          <w:rFonts w:asciiTheme="majorHAnsi" w:hAnsiTheme="majorHAnsi"/>
          <w:sz w:val="16"/>
          <w:szCs w:val="16"/>
          <w:lang w:val="es-ES"/>
        </w:rPr>
        <w:t>. Sentencia de</w:t>
      </w:r>
      <w:r w:rsidR="005E614D" w:rsidRPr="00EB0F43">
        <w:rPr>
          <w:rFonts w:asciiTheme="majorHAnsi" w:hAnsiTheme="majorHAnsi"/>
          <w:sz w:val="16"/>
          <w:szCs w:val="16"/>
          <w:lang w:val="es-ES"/>
        </w:rPr>
        <w:t xml:space="preserve"> 31 de agosto</w:t>
      </w:r>
      <w:r w:rsidR="006B3BC6" w:rsidRPr="00EB0F43">
        <w:rPr>
          <w:rFonts w:asciiTheme="majorHAnsi" w:hAnsiTheme="majorHAnsi"/>
          <w:sz w:val="16"/>
          <w:szCs w:val="16"/>
          <w:lang w:val="es-ES"/>
        </w:rPr>
        <w:t xml:space="preserve"> de 2022</w:t>
      </w:r>
      <w:r w:rsidR="001A1119" w:rsidRPr="00EB0F43">
        <w:rPr>
          <w:rFonts w:asciiTheme="majorHAnsi" w:hAnsiTheme="majorHAnsi"/>
          <w:sz w:val="16"/>
          <w:szCs w:val="16"/>
          <w:lang w:val="es-ES"/>
        </w:rPr>
        <w:t xml:space="preserve">. Serie C No. 463, párr. 23; </w:t>
      </w:r>
      <w:r w:rsidR="000C7A50" w:rsidRPr="00EB0F43">
        <w:rPr>
          <w:rFonts w:asciiTheme="majorHAnsi" w:hAnsiTheme="majorHAnsi"/>
          <w:sz w:val="16"/>
          <w:szCs w:val="16"/>
          <w:lang w:val="es-ES"/>
        </w:rPr>
        <w:t>Corte IDH. Caso Vereda La Esperanza Vs. Colombia. Interpretación de la Sentencia de Excepción Preliminar, Fondo, Reparaciones y Costas. Sentencia de 21 de noviembre de 2018. Serie C No. 367</w:t>
      </w:r>
      <w:r w:rsidR="00EB0F43" w:rsidRPr="00EB0F43">
        <w:rPr>
          <w:rFonts w:asciiTheme="majorHAnsi" w:hAnsiTheme="majorHAnsi"/>
          <w:sz w:val="16"/>
          <w:szCs w:val="16"/>
          <w:lang w:val="es-ES"/>
        </w:rPr>
        <w:t xml:space="preserve">, párr 32. </w:t>
      </w:r>
    </w:p>
  </w:footnote>
  <w:footnote w:id="13">
    <w:p w14:paraId="17FF2606" w14:textId="582F9BF3" w:rsidR="003F12B0" w:rsidRPr="00EB0F43" w:rsidRDefault="003F12B0" w:rsidP="00DA6EC0">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ES"/>
        </w:rPr>
        <w:t xml:space="preserve"> </w:t>
      </w:r>
      <w:bookmarkStart w:id="5" w:name="_Hlk117984138"/>
      <w:r w:rsidR="00DA6EC0" w:rsidRPr="00EB0F43">
        <w:rPr>
          <w:rFonts w:asciiTheme="majorHAnsi" w:hAnsiTheme="majorHAnsi"/>
          <w:sz w:val="16"/>
          <w:szCs w:val="16"/>
          <w:lang w:val="es-ES"/>
        </w:rPr>
        <w:t xml:space="preserve">CIDH. </w:t>
      </w:r>
      <w:r w:rsidR="00DA6EC0" w:rsidRPr="00EB0F43">
        <w:rPr>
          <w:rFonts w:asciiTheme="majorHAnsi" w:hAnsiTheme="majorHAnsi"/>
          <w:sz w:val="16"/>
          <w:szCs w:val="16"/>
          <w:lang w:val="es-SV"/>
        </w:rPr>
        <w:t xml:space="preserve">Justicia e Inclusión Social: Los desafíos de la democracia en Guatemala. </w:t>
      </w:r>
      <w:r w:rsidR="00DA6EC0" w:rsidRPr="00EB0F43">
        <w:rPr>
          <w:rFonts w:asciiTheme="majorHAnsi" w:hAnsiTheme="majorHAnsi"/>
          <w:sz w:val="16"/>
          <w:szCs w:val="16"/>
          <w:lang w:val="es-MX"/>
        </w:rPr>
        <w:t xml:space="preserve">OEA/Ser.L/V/II.118 Doc. 5 rev. 1. </w:t>
      </w:r>
      <w:r w:rsidR="00DA6EC0" w:rsidRPr="00EB0F43">
        <w:rPr>
          <w:rFonts w:asciiTheme="majorHAnsi" w:hAnsiTheme="majorHAnsi"/>
          <w:sz w:val="16"/>
          <w:szCs w:val="16"/>
          <w:lang w:val="es-CO"/>
        </w:rPr>
        <w:t xml:space="preserve">29 diciembre 2003. Capítulo IV, párrs. </w:t>
      </w:r>
      <w:bookmarkEnd w:id="5"/>
      <w:r w:rsidR="00DA6EC0" w:rsidRPr="00EB0F43">
        <w:rPr>
          <w:rFonts w:asciiTheme="majorHAnsi" w:hAnsiTheme="majorHAnsi"/>
          <w:sz w:val="16"/>
          <w:szCs w:val="16"/>
          <w:lang w:val="es-CO"/>
        </w:rPr>
        <w:t>248-253; C</w:t>
      </w:r>
      <w:r w:rsidR="00DA6EC0" w:rsidRPr="00EB0F43">
        <w:rPr>
          <w:rFonts w:asciiTheme="majorHAnsi" w:hAnsiTheme="majorHAnsi"/>
          <w:sz w:val="16"/>
          <w:szCs w:val="16"/>
          <w:lang w:val="es-VE"/>
        </w:rPr>
        <w:t>IDH. Situación de los derechos humanos en Guatemala: Diversidad, desigualdad y exclusión. OEA/Ser.L/V/II.Doc. 43/15. 31 de diciembre de 2015, párrs. 450-451; y CIDH, Situación de los derechos humanos en Guatemala. OEA/Ser.L/V/II. Doc. 208/17. 31 diciembre 2017, párrs. 138-143</w:t>
      </w:r>
      <w:r w:rsidRPr="00EB0F43">
        <w:rPr>
          <w:rFonts w:asciiTheme="majorHAnsi" w:hAnsiTheme="majorHAnsi"/>
          <w:sz w:val="16"/>
          <w:szCs w:val="16"/>
          <w:lang w:val="es-VE"/>
        </w:rPr>
        <w:t>. Asimismo, la CIDH ha realizado varias audiencias públicas sobre el Programa Nacional de Resarcimiento (PNR), co</w:t>
      </w:r>
      <w:r w:rsidR="00DA6EC0" w:rsidRPr="00EB0F43">
        <w:rPr>
          <w:rFonts w:asciiTheme="majorHAnsi" w:hAnsiTheme="majorHAnsi"/>
          <w:sz w:val="16"/>
          <w:szCs w:val="16"/>
          <w:lang w:val="es-VE"/>
        </w:rPr>
        <w:t>m</w:t>
      </w:r>
      <w:r w:rsidRPr="00EB0F43">
        <w:rPr>
          <w:rFonts w:asciiTheme="majorHAnsi" w:hAnsiTheme="majorHAnsi"/>
          <w:sz w:val="16"/>
          <w:szCs w:val="16"/>
          <w:lang w:val="es-VE"/>
        </w:rPr>
        <w:t>o</w:t>
      </w:r>
      <w:r w:rsidR="00DA6EC0" w:rsidRPr="00EB0F43">
        <w:rPr>
          <w:rFonts w:asciiTheme="majorHAnsi" w:hAnsiTheme="majorHAnsi"/>
          <w:sz w:val="16"/>
          <w:szCs w:val="16"/>
          <w:lang w:val="es-VE"/>
        </w:rPr>
        <w:t>,</w:t>
      </w:r>
      <w:r w:rsidRPr="00EB0F43">
        <w:rPr>
          <w:rFonts w:asciiTheme="majorHAnsi" w:hAnsiTheme="majorHAnsi"/>
          <w:sz w:val="16"/>
          <w:szCs w:val="16"/>
          <w:lang w:val="es-VE"/>
        </w:rPr>
        <w:t xml:space="preserve"> por ejemplo, CIDH, 159 período de sesiones, Audiencia Pública “Derecho a la reparación integral para las víctimas del conflicto armado en Guatemala”, Panamá, 6 de diciembre de 2016. CIDH, 156º Período de Sesiones, Audiencia Pública “Derechos humanos y justicia transicional en Guatemala”, 22 de octubre de 2015. CIDH, 153º Período de Sesiones, Audiencia Pública “Acceso a la justicia y el legado del conflicto armado interno en Guatemala”, 28 de octubre de 2014. CIDH, 150º Período de Sesiones, Audiencia Pública “Programa Nacional de Resarcimiento en Guatemala”, 25 de marzo de 2014. CIDH, 144º Período de Sesiones, Audiencia Pública, “Situación de las mujeres víctimas de violaciones de derechos humanos durante el conflicto armado interno en Guatemala”, 27 de marzo de 2012. CIDH, 138º Período de Sesiones, Audiencia Pública “Política pública sobre reparaciones en Guatemala”, 19 de marzo de 2010.</w:t>
      </w:r>
    </w:p>
  </w:footnote>
  <w:footnote w:id="14">
    <w:p w14:paraId="69B2DA5A" w14:textId="3AA8D5A9" w:rsidR="00DA6EC0" w:rsidRPr="00EB0F43" w:rsidRDefault="00DA6EC0" w:rsidP="00DA6EC0">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VE"/>
        </w:rPr>
        <w:t xml:space="preserve"> CIDH, Situación de los derechos humanos en Guatemala. </w:t>
      </w:r>
      <w:r w:rsidRPr="00EB0F43">
        <w:rPr>
          <w:rFonts w:asciiTheme="majorHAnsi" w:hAnsiTheme="majorHAnsi"/>
          <w:sz w:val="16"/>
          <w:szCs w:val="16"/>
          <w:lang w:val="pt-BR"/>
        </w:rPr>
        <w:t xml:space="preserve">OEA/Ser.L/V/II. Doc. 208/17. </w:t>
      </w:r>
      <w:r w:rsidRPr="00EB0F43">
        <w:rPr>
          <w:rFonts w:asciiTheme="majorHAnsi" w:hAnsiTheme="majorHAnsi"/>
          <w:sz w:val="16"/>
          <w:szCs w:val="16"/>
          <w:lang w:val="es-VE"/>
        </w:rPr>
        <w:t xml:space="preserve">31 diciembre 2017, párr, 138. </w:t>
      </w:r>
    </w:p>
  </w:footnote>
  <w:footnote w:id="15">
    <w:p w14:paraId="5DF704D7" w14:textId="71151313" w:rsidR="00DA6EC0" w:rsidRPr="00EB0F43" w:rsidRDefault="00DA6EC0" w:rsidP="00F356D9">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VE"/>
        </w:rPr>
        <w:t xml:space="preserve"> </w:t>
      </w:r>
      <w:r w:rsidRPr="00EB0F43">
        <w:rPr>
          <w:rFonts w:asciiTheme="majorHAnsi" w:hAnsiTheme="majorHAnsi"/>
          <w:sz w:val="16"/>
          <w:szCs w:val="16"/>
          <w:lang w:val="es-CO"/>
        </w:rPr>
        <w:t>C</w:t>
      </w:r>
      <w:r w:rsidRPr="00EB0F43">
        <w:rPr>
          <w:rFonts w:asciiTheme="majorHAnsi" w:hAnsiTheme="majorHAnsi"/>
          <w:sz w:val="16"/>
          <w:szCs w:val="16"/>
          <w:lang w:val="es-VE"/>
        </w:rPr>
        <w:t xml:space="preserve">IDH. Situación de los derechos humanos en Guatemala: Diversidad, desigualdad y exclusión. OEA/Ser.L/V/II.Doc. 43/15. 31 de diciembre de 2015, párr. 450. </w:t>
      </w:r>
    </w:p>
  </w:footnote>
  <w:footnote w:id="16">
    <w:p w14:paraId="04B096FF" w14:textId="5BA363CB" w:rsidR="00F356D9" w:rsidRPr="00EB0F43" w:rsidRDefault="00F356D9" w:rsidP="00F356D9">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VE"/>
        </w:rPr>
        <w:t xml:space="preserve"> CIDH, Situación de los derechos humanos en Guatemala. OEA/Ser.L/V/II. Doc. 208/17. 31 diciembre 2017, párr, 139.</w:t>
      </w:r>
    </w:p>
  </w:footnote>
  <w:footnote w:id="17">
    <w:p w14:paraId="5A1938AF" w14:textId="20EE8856" w:rsidR="00F356D9" w:rsidRPr="00EB0F43" w:rsidRDefault="00F356D9" w:rsidP="00F356D9">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rPr>
        <w:footnoteRef/>
      </w:r>
      <w:r w:rsidRPr="00EB0F43">
        <w:rPr>
          <w:rFonts w:asciiTheme="majorHAnsi" w:hAnsiTheme="majorHAnsi"/>
          <w:sz w:val="16"/>
          <w:szCs w:val="16"/>
          <w:lang w:val="es-VE"/>
        </w:rPr>
        <w:t xml:space="preserve"> CIDH, Situación de los derechos humanos en Guatemala. </w:t>
      </w:r>
      <w:r w:rsidRPr="00EB0F43">
        <w:rPr>
          <w:rFonts w:asciiTheme="majorHAnsi" w:hAnsiTheme="majorHAnsi"/>
          <w:sz w:val="16"/>
          <w:szCs w:val="16"/>
          <w:lang w:val="pt-BR"/>
        </w:rPr>
        <w:t xml:space="preserve">OEA/Ser.L/V/II. Doc. 208/17. </w:t>
      </w:r>
      <w:r w:rsidRPr="00EB0F43">
        <w:rPr>
          <w:rFonts w:asciiTheme="majorHAnsi" w:hAnsiTheme="majorHAnsi"/>
          <w:sz w:val="16"/>
          <w:szCs w:val="16"/>
          <w:lang w:val="es-VE"/>
        </w:rPr>
        <w:t>31 diciembre 2017, párr, 139.</w:t>
      </w:r>
    </w:p>
  </w:footnote>
  <w:footnote w:id="18">
    <w:p w14:paraId="578D63DB" w14:textId="56970F49" w:rsidR="009D5A09" w:rsidRPr="00EB0F43" w:rsidRDefault="009D5A09" w:rsidP="00F356D9">
      <w:pPr>
        <w:pStyle w:val="FootnoteText"/>
        <w:ind w:firstLine="720"/>
        <w:jc w:val="both"/>
        <w:rPr>
          <w:rFonts w:asciiTheme="majorHAnsi" w:hAnsiTheme="majorHAnsi"/>
          <w:sz w:val="16"/>
          <w:szCs w:val="16"/>
          <w:lang w:val="es-VE"/>
        </w:rPr>
      </w:pPr>
      <w:r w:rsidRPr="00EB0F43">
        <w:rPr>
          <w:rStyle w:val="FootnoteReference"/>
          <w:rFonts w:asciiTheme="majorHAnsi" w:hAnsiTheme="majorHAnsi"/>
          <w:sz w:val="16"/>
          <w:szCs w:val="16"/>
          <w:lang w:val="es-VE"/>
        </w:rPr>
        <w:footnoteRef/>
      </w:r>
      <w:r w:rsidRPr="00EB0F43">
        <w:rPr>
          <w:rFonts w:asciiTheme="majorHAnsi" w:hAnsiTheme="majorHAnsi"/>
          <w:sz w:val="16"/>
          <w:szCs w:val="16"/>
          <w:lang w:val="es-VE"/>
        </w:rPr>
        <w:t xml:space="preserve"> CIDH, Informe No. 76/19. Admisibilidad. Hugo Eduardo Ibarbuden. Argentina. 21 de mayo de 2019, párr. 12.</w:t>
      </w:r>
    </w:p>
  </w:footnote>
  <w:footnote w:id="19">
    <w:p w14:paraId="6813EC1C" w14:textId="77777777" w:rsidR="00B27291" w:rsidRPr="00EB0F43" w:rsidRDefault="00B27291" w:rsidP="00F356D9">
      <w:pPr>
        <w:pStyle w:val="FootnoteText"/>
        <w:ind w:firstLine="720"/>
        <w:jc w:val="both"/>
        <w:rPr>
          <w:rFonts w:asciiTheme="majorHAnsi" w:hAnsiTheme="majorHAnsi"/>
          <w:sz w:val="16"/>
          <w:szCs w:val="16"/>
          <w:lang w:val="es-ES"/>
        </w:rPr>
      </w:pPr>
      <w:r w:rsidRPr="00EB0F43">
        <w:rPr>
          <w:rStyle w:val="FootnoteReference"/>
          <w:rFonts w:asciiTheme="majorHAnsi" w:hAnsiTheme="majorHAnsi"/>
          <w:sz w:val="16"/>
          <w:szCs w:val="16"/>
          <w:lang w:val="es-VE"/>
        </w:rPr>
        <w:footnoteRef/>
      </w:r>
      <w:r w:rsidRPr="00EB0F43">
        <w:rPr>
          <w:rFonts w:asciiTheme="majorHAnsi" w:hAnsiTheme="majorHAnsi"/>
          <w:sz w:val="16"/>
          <w:szCs w:val="16"/>
          <w:lang w:val="es-VE"/>
        </w:rPr>
        <w:t xml:space="preserve"> CIDH, Informe No. 26/17, Petición 1208-08. Admisibilidad. William Olaya Moreno y familia. Colombia. 18 de marzo de 2017, párr. 9.</w:t>
      </w:r>
      <w:r w:rsidRPr="00EB0F43">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B27291" w:rsidRDefault="00B27291" w:rsidP="00230C3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B27291" w:rsidRDefault="00B27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B27291" w:rsidRDefault="00B27291"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B27291" w:rsidRPr="00EC7D62" w:rsidRDefault="00086661" w:rsidP="00A50FCF">
    <w:pPr>
      <w:pStyle w:val="Header"/>
      <w:tabs>
        <w:tab w:val="clear" w:pos="4320"/>
        <w:tab w:val="clear" w:pos="8640"/>
      </w:tabs>
      <w:jc w:val="center"/>
      <w:rPr>
        <w:sz w:val="22"/>
        <w:szCs w:val="22"/>
      </w:rPr>
    </w:pPr>
    <w:r>
      <w:rPr>
        <w:noProof/>
        <w:sz w:val="22"/>
        <w:szCs w:val="22"/>
        <w:bdr w:val="nil"/>
      </w:rPr>
      <w:pict w14:anchorId="4367A34C">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81C6275E"/>
    <w:lvl w:ilvl="0" w:tplc="A1D280C0">
      <w:start w:val="1"/>
      <w:numFmt w:val="decimal"/>
      <w:lvlText w:val="%1."/>
      <w:lvlJc w:val="left"/>
      <w:pPr>
        <w:tabs>
          <w:tab w:val="num" w:pos="720"/>
        </w:tabs>
        <w:ind w:left="0" w:firstLine="720"/>
      </w:pPr>
      <w:rPr>
        <w:rFonts w:hint="default"/>
        <w:b w:val="0"/>
        <w:b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B72F35"/>
    <w:multiLevelType w:val="hybridMultilevel"/>
    <w:tmpl w:val="C0728740"/>
    <w:lvl w:ilvl="0" w:tplc="4950F24C">
      <w:start w:val="1"/>
      <w:numFmt w:val="upp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1F6CB7"/>
    <w:multiLevelType w:val="hybridMultilevel"/>
    <w:tmpl w:val="19427DDE"/>
    <w:lvl w:ilvl="0" w:tplc="482874E6">
      <w:start w:val="1"/>
      <w:numFmt w:val="decimal"/>
      <w:lvlText w:val="%1."/>
      <w:lvlJc w:val="left"/>
      <w:pPr>
        <w:ind w:left="1440" w:hanging="720"/>
      </w:pPr>
      <w:rPr>
        <w:rFonts w:ascii="Cambria" w:hAnsi="Cambria"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AB6ABC"/>
    <w:multiLevelType w:val="hybridMultilevel"/>
    <w:tmpl w:val="7D941CFA"/>
    <w:lvl w:ilvl="0" w:tplc="07D86266">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98756041">
    <w:abstractNumId w:val="3"/>
  </w:num>
  <w:num w:numId="2" w16cid:durableId="1919896192">
    <w:abstractNumId w:val="5"/>
  </w:num>
  <w:num w:numId="3" w16cid:durableId="1891069649">
    <w:abstractNumId w:val="53"/>
  </w:num>
  <w:num w:numId="4" w16cid:durableId="1241598096">
    <w:abstractNumId w:val="21"/>
  </w:num>
  <w:num w:numId="5" w16cid:durableId="2109737309">
    <w:abstractNumId w:val="47"/>
  </w:num>
  <w:num w:numId="6" w16cid:durableId="2005354829">
    <w:abstractNumId w:val="26"/>
  </w:num>
  <w:num w:numId="7" w16cid:durableId="617837547">
    <w:abstractNumId w:val="6"/>
  </w:num>
  <w:num w:numId="8" w16cid:durableId="724645915">
    <w:abstractNumId w:val="17"/>
  </w:num>
  <w:num w:numId="9" w16cid:durableId="1079327209">
    <w:abstractNumId w:val="37"/>
  </w:num>
  <w:num w:numId="10" w16cid:durableId="740295434">
    <w:abstractNumId w:val="41"/>
  </w:num>
  <w:num w:numId="11" w16cid:durableId="207566968">
    <w:abstractNumId w:val="0"/>
  </w:num>
  <w:num w:numId="12" w16cid:durableId="637106910">
    <w:abstractNumId w:val="36"/>
  </w:num>
  <w:num w:numId="13" w16cid:durableId="1956406532">
    <w:abstractNumId w:val="44"/>
  </w:num>
  <w:num w:numId="14" w16cid:durableId="1087725011">
    <w:abstractNumId w:val="1"/>
  </w:num>
  <w:num w:numId="15" w16cid:durableId="1260023157">
    <w:abstractNumId w:val="2"/>
  </w:num>
  <w:num w:numId="16" w16cid:durableId="118032224">
    <w:abstractNumId w:val="7"/>
  </w:num>
  <w:num w:numId="17" w16cid:durableId="1877153149">
    <w:abstractNumId w:val="9"/>
  </w:num>
  <w:num w:numId="18" w16cid:durableId="266618800">
    <w:abstractNumId w:val="10"/>
  </w:num>
  <w:num w:numId="19" w16cid:durableId="1902671410">
    <w:abstractNumId w:val="11"/>
  </w:num>
  <w:num w:numId="20" w16cid:durableId="831870539">
    <w:abstractNumId w:val="12"/>
  </w:num>
  <w:num w:numId="21" w16cid:durableId="1618103171">
    <w:abstractNumId w:val="13"/>
  </w:num>
  <w:num w:numId="22" w16cid:durableId="560795979">
    <w:abstractNumId w:val="14"/>
  </w:num>
  <w:num w:numId="23" w16cid:durableId="1670868334">
    <w:abstractNumId w:val="15"/>
  </w:num>
  <w:num w:numId="24" w16cid:durableId="1774474722">
    <w:abstractNumId w:val="16"/>
  </w:num>
  <w:num w:numId="25" w16cid:durableId="1026174471">
    <w:abstractNumId w:val="18"/>
  </w:num>
  <w:num w:numId="26" w16cid:durableId="84494166">
    <w:abstractNumId w:val="19"/>
  </w:num>
  <w:num w:numId="27" w16cid:durableId="1958095249">
    <w:abstractNumId w:val="22"/>
  </w:num>
  <w:num w:numId="28" w16cid:durableId="392965951">
    <w:abstractNumId w:val="23"/>
  </w:num>
  <w:num w:numId="29" w16cid:durableId="1012221189">
    <w:abstractNumId w:val="24"/>
  </w:num>
  <w:num w:numId="30" w16cid:durableId="1686708616">
    <w:abstractNumId w:val="25"/>
  </w:num>
  <w:num w:numId="31" w16cid:durableId="541594844">
    <w:abstractNumId w:val="27"/>
  </w:num>
  <w:num w:numId="32" w16cid:durableId="1157188493">
    <w:abstractNumId w:val="28"/>
  </w:num>
  <w:num w:numId="33" w16cid:durableId="80109341">
    <w:abstractNumId w:val="30"/>
  </w:num>
  <w:num w:numId="34" w16cid:durableId="999040646">
    <w:abstractNumId w:val="31"/>
  </w:num>
  <w:num w:numId="35" w16cid:durableId="1680036698">
    <w:abstractNumId w:val="32"/>
  </w:num>
  <w:num w:numId="36" w16cid:durableId="1176844569">
    <w:abstractNumId w:val="33"/>
  </w:num>
  <w:num w:numId="37" w16cid:durableId="1401557681">
    <w:abstractNumId w:val="34"/>
  </w:num>
  <w:num w:numId="38" w16cid:durableId="1685205303">
    <w:abstractNumId w:val="35"/>
  </w:num>
  <w:num w:numId="39" w16cid:durableId="2108112348">
    <w:abstractNumId w:val="38"/>
  </w:num>
  <w:num w:numId="40" w16cid:durableId="1628121472">
    <w:abstractNumId w:val="39"/>
  </w:num>
  <w:num w:numId="41" w16cid:durableId="1225679177">
    <w:abstractNumId w:val="46"/>
  </w:num>
  <w:num w:numId="42" w16cid:durableId="1994985100">
    <w:abstractNumId w:val="48"/>
  </w:num>
  <w:num w:numId="43" w16cid:durableId="1429305071">
    <w:abstractNumId w:val="49"/>
  </w:num>
  <w:num w:numId="44" w16cid:durableId="197206394">
    <w:abstractNumId w:val="51"/>
  </w:num>
  <w:num w:numId="45" w16cid:durableId="785661058">
    <w:abstractNumId w:val="52"/>
  </w:num>
  <w:num w:numId="46" w16cid:durableId="248193631">
    <w:abstractNumId w:val="54"/>
  </w:num>
  <w:num w:numId="47" w16cid:durableId="680275808">
    <w:abstractNumId w:val="55"/>
  </w:num>
  <w:num w:numId="48" w16cid:durableId="2080980165">
    <w:abstractNumId w:val="56"/>
  </w:num>
  <w:num w:numId="49" w16cid:durableId="1989359701">
    <w:abstractNumId w:val="57"/>
  </w:num>
  <w:num w:numId="50" w16cid:durableId="1130976865">
    <w:abstractNumId w:val="58"/>
  </w:num>
  <w:num w:numId="51" w16cid:durableId="301351124">
    <w:abstractNumId w:val="20"/>
  </w:num>
  <w:num w:numId="52" w16cid:durableId="71314334">
    <w:abstractNumId w:val="40"/>
  </w:num>
  <w:num w:numId="53" w16cid:durableId="1005715824">
    <w:abstractNumId w:val="50"/>
  </w:num>
  <w:num w:numId="54" w16cid:durableId="1154640376">
    <w:abstractNumId w:val="45"/>
  </w:num>
  <w:num w:numId="55" w16cid:durableId="1477643547">
    <w:abstractNumId w:val="4"/>
  </w:num>
  <w:num w:numId="56" w16cid:durableId="976757676">
    <w:abstractNumId w:val="43"/>
  </w:num>
  <w:num w:numId="57" w16cid:durableId="446893491">
    <w:abstractNumId w:val="8"/>
  </w:num>
  <w:num w:numId="58" w16cid:durableId="1396313716">
    <w:abstractNumId w:val="42"/>
  </w:num>
  <w:num w:numId="59" w16cid:durableId="719288696">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0MLCwMDM2twQiSyUdpeDU4uLM/DyQApNaAMs0tgAsAAAA"/>
  </w:docVars>
  <w:rsids>
    <w:rsidRoot w:val="006B2D5C"/>
    <w:rsid w:val="0000036F"/>
    <w:rsid w:val="00000CDA"/>
    <w:rsid w:val="00002A90"/>
    <w:rsid w:val="00004C33"/>
    <w:rsid w:val="00006C2A"/>
    <w:rsid w:val="00006E1F"/>
    <w:rsid w:val="000070D7"/>
    <w:rsid w:val="0001788C"/>
    <w:rsid w:val="00027069"/>
    <w:rsid w:val="000337EF"/>
    <w:rsid w:val="00034247"/>
    <w:rsid w:val="00037AEA"/>
    <w:rsid w:val="00040C3A"/>
    <w:rsid w:val="000419AD"/>
    <w:rsid w:val="000433C9"/>
    <w:rsid w:val="00062A2B"/>
    <w:rsid w:val="000669C4"/>
    <w:rsid w:val="000716C5"/>
    <w:rsid w:val="00075E23"/>
    <w:rsid w:val="000852A4"/>
    <w:rsid w:val="00086661"/>
    <w:rsid w:val="0009276B"/>
    <w:rsid w:val="0009344A"/>
    <w:rsid w:val="0009501C"/>
    <w:rsid w:val="000A20AE"/>
    <w:rsid w:val="000A3674"/>
    <w:rsid w:val="000A392E"/>
    <w:rsid w:val="000A575F"/>
    <w:rsid w:val="000C7A50"/>
    <w:rsid w:val="000D04BC"/>
    <w:rsid w:val="000D05CB"/>
    <w:rsid w:val="000D10DB"/>
    <w:rsid w:val="000D7B29"/>
    <w:rsid w:val="000E5EB5"/>
    <w:rsid w:val="000F09B4"/>
    <w:rsid w:val="000F35ED"/>
    <w:rsid w:val="000F5FA5"/>
    <w:rsid w:val="000F5FFC"/>
    <w:rsid w:val="00107131"/>
    <w:rsid w:val="0010736F"/>
    <w:rsid w:val="00110547"/>
    <w:rsid w:val="00113867"/>
    <w:rsid w:val="00113F73"/>
    <w:rsid w:val="00121CC2"/>
    <w:rsid w:val="001220C5"/>
    <w:rsid w:val="00130AEC"/>
    <w:rsid w:val="00131425"/>
    <w:rsid w:val="00133EE5"/>
    <w:rsid w:val="00146231"/>
    <w:rsid w:val="0015028B"/>
    <w:rsid w:val="00165389"/>
    <w:rsid w:val="00167A34"/>
    <w:rsid w:val="001A0A3A"/>
    <w:rsid w:val="001A1119"/>
    <w:rsid w:val="001A2852"/>
    <w:rsid w:val="001A3F79"/>
    <w:rsid w:val="001A7870"/>
    <w:rsid w:val="001B3A00"/>
    <w:rsid w:val="001C1B41"/>
    <w:rsid w:val="001D65EF"/>
    <w:rsid w:val="001E49E7"/>
    <w:rsid w:val="001F7201"/>
    <w:rsid w:val="002046B8"/>
    <w:rsid w:val="002101A6"/>
    <w:rsid w:val="00212AB5"/>
    <w:rsid w:val="00223A29"/>
    <w:rsid w:val="002250A3"/>
    <w:rsid w:val="00225FED"/>
    <w:rsid w:val="00230C3B"/>
    <w:rsid w:val="00235217"/>
    <w:rsid w:val="002359C1"/>
    <w:rsid w:val="00246D1F"/>
    <w:rsid w:val="00247403"/>
    <w:rsid w:val="00247542"/>
    <w:rsid w:val="00254EB1"/>
    <w:rsid w:val="00257AF1"/>
    <w:rsid w:val="00260A84"/>
    <w:rsid w:val="00266B61"/>
    <w:rsid w:val="0026712A"/>
    <w:rsid w:val="002704DB"/>
    <w:rsid w:val="00282E08"/>
    <w:rsid w:val="00284F85"/>
    <w:rsid w:val="00294C66"/>
    <w:rsid w:val="002A0AAE"/>
    <w:rsid w:val="002A508F"/>
    <w:rsid w:val="002A5820"/>
    <w:rsid w:val="002A72C5"/>
    <w:rsid w:val="002B1670"/>
    <w:rsid w:val="002C0EB7"/>
    <w:rsid w:val="002C5CD6"/>
    <w:rsid w:val="002D2A2E"/>
    <w:rsid w:val="002D2B26"/>
    <w:rsid w:val="002D2C62"/>
    <w:rsid w:val="002D2E48"/>
    <w:rsid w:val="002D30A5"/>
    <w:rsid w:val="002D7EA2"/>
    <w:rsid w:val="002E187C"/>
    <w:rsid w:val="002E6D54"/>
    <w:rsid w:val="002F02B9"/>
    <w:rsid w:val="002F3966"/>
    <w:rsid w:val="00302733"/>
    <w:rsid w:val="00304677"/>
    <w:rsid w:val="0030741F"/>
    <w:rsid w:val="00314078"/>
    <w:rsid w:val="0031535D"/>
    <w:rsid w:val="00316E06"/>
    <w:rsid w:val="00317938"/>
    <w:rsid w:val="003239B8"/>
    <w:rsid w:val="0033169F"/>
    <w:rsid w:val="00337B4A"/>
    <w:rsid w:val="00341692"/>
    <w:rsid w:val="00344977"/>
    <w:rsid w:val="00346C95"/>
    <w:rsid w:val="0035405B"/>
    <w:rsid w:val="00356185"/>
    <w:rsid w:val="003569C4"/>
    <w:rsid w:val="00360380"/>
    <w:rsid w:val="00360D35"/>
    <w:rsid w:val="00362F12"/>
    <w:rsid w:val="0036500C"/>
    <w:rsid w:val="0037519E"/>
    <w:rsid w:val="00375555"/>
    <w:rsid w:val="00376E7D"/>
    <w:rsid w:val="00377816"/>
    <w:rsid w:val="003824B2"/>
    <w:rsid w:val="003851AC"/>
    <w:rsid w:val="00386CF0"/>
    <w:rsid w:val="003941BF"/>
    <w:rsid w:val="00394E7E"/>
    <w:rsid w:val="003B0D2B"/>
    <w:rsid w:val="003B70FB"/>
    <w:rsid w:val="003C676B"/>
    <w:rsid w:val="003C7757"/>
    <w:rsid w:val="003D28A6"/>
    <w:rsid w:val="003D3BC2"/>
    <w:rsid w:val="003D5FB9"/>
    <w:rsid w:val="003E1D3D"/>
    <w:rsid w:val="003E26A5"/>
    <w:rsid w:val="003E55F1"/>
    <w:rsid w:val="003E6701"/>
    <w:rsid w:val="003E6CA1"/>
    <w:rsid w:val="003E726F"/>
    <w:rsid w:val="003F12B0"/>
    <w:rsid w:val="003F7BFB"/>
    <w:rsid w:val="004007EF"/>
    <w:rsid w:val="00400C52"/>
    <w:rsid w:val="00401E34"/>
    <w:rsid w:val="00402C0B"/>
    <w:rsid w:val="00405F9C"/>
    <w:rsid w:val="004065A8"/>
    <w:rsid w:val="0041347F"/>
    <w:rsid w:val="00415B69"/>
    <w:rsid w:val="004165C2"/>
    <w:rsid w:val="00417193"/>
    <w:rsid w:val="00433AFD"/>
    <w:rsid w:val="00434AEA"/>
    <w:rsid w:val="00441ECB"/>
    <w:rsid w:val="00445193"/>
    <w:rsid w:val="00445973"/>
    <w:rsid w:val="00452B98"/>
    <w:rsid w:val="00462C1B"/>
    <w:rsid w:val="00462EEC"/>
    <w:rsid w:val="004653F9"/>
    <w:rsid w:val="00467B7E"/>
    <w:rsid w:val="00470B1C"/>
    <w:rsid w:val="00473BB4"/>
    <w:rsid w:val="00474D61"/>
    <w:rsid w:val="00476524"/>
    <w:rsid w:val="00477592"/>
    <w:rsid w:val="00483FEE"/>
    <w:rsid w:val="00486F1C"/>
    <w:rsid w:val="00493B3C"/>
    <w:rsid w:val="0049419D"/>
    <w:rsid w:val="004A6A54"/>
    <w:rsid w:val="004B61FB"/>
    <w:rsid w:val="004C20D2"/>
    <w:rsid w:val="004C2312"/>
    <w:rsid w:val="004C4B62"/>
    <w:rsid w:val="004C5050"/>
    <w:rsid w:val="004C54C9"/>
    <w:rsid w:val="004C7BC4"/>
    <w:rsid w:val="004D24B5"/>
    <w:rsid w:val="004D4ABA"/>
    <w:rsid w:val="004D6025"/>
    <w:rsid w:val="004D70DE"/>
    <w:rsid w:val="004E0A1C"/>
    <w:rsid w:val="004E2649"/>
    <w:rsid w:val="004F626F"/>
    <w:rsid w:val="00501399"/>
    <w:rsid w:val="0050633D"/>
    <w:rsid w:val="00507BC4"/>
    <w:rsid w:val="00507D11"/>
    <w:rsid w:val="005128E4"/>
    <w:rsid w:val="005133DB"/>
    <w:rsid w:val="00514504"/>
    <w:rsid w:val="00525560"/>
    <w:rsid w:val="00526EF7"/>
    <w:rsid w:val="005276D1"/>
    <w:rsid w:val="00533505"/>
    <w:rsid w:val="00544C49"/>
    <w:rsid w:val="005516A1"/>
    <w:rsid w:val="005559EF"/>
    <w:rsid w:val="00563557"/>
    <w:rsid w:val="0056393D"/>
    <w:rsid w:val="00565DB5"/>
    <w:rsid w:val="00572336"/>
    <w:rsid w:val="0057402A"/>
    <w:rsid w:val="00575737"/>
    <w:rsid w:val="005771D0"/>
    <w:rsid w:val="005844F9"/>
    <w:rsid w:val="005845A6"/>
    <w:rsid w:val="0059191A"/>
    <w:rsid w:val="005921FF"/>
    <w:rsid w:val="00592A20"/>
    <w:rsid w:val="005A24ED"/>
    <w:rsid w:val="005A67CC"/>
    <w:rsid w:val="005A6D0E"/>
    <w:rsid w:val="005B52B0"/>
    <w:rsid w:val="005B6806"/>
    <w:rsid w:val="005B6930"/>
    <w:rsid w:val="005C4225"/>
    <w:rsid w:val="005C5D2F"/>
    <w:rsid w:val="005C6752"/>
    <w:rsid w:val="005D34F2"/>
    <w:rsid w:val="005D38F9"/>
    <w:rsid w:val="005D6AA0"/>
    <w:rsid w:val="005E40FD"/>
    <w:rsid w:val="005E47E2"/>
    <w:rsid w:val="005E614D"/>
    <w:rsid w:val="005E67BD"/>
    <w:rsid w:val="005E7330"/>
    <w:rsid w:val="005F0DAD"/>
    <w:rsid w:val="005F0F33"/>
    <w:rsid w:val="005F7EB1"/>
    <w:rsid w:val="00600DEB"/>
    <w:rsid w:val="00603E2B"/>
    <w:rsid w:val="00605511"/>
    <w:rsid w:val="00620950"/>
    <w:rsid w:val="0062313D"/>
    <w:rsid w:val="006239D1"/>
    <w:rsid w:val="00623D28"/>
    <w:rsid w:val="00627C9F"/>
    <w:rsid w:val="006311E9"/>
    <w:rsid w:val="00632354"/>
    <w:rsid w:val="00635421"/>
    <w:rsid w:val="00642810"/>
    <w:rsid w:val="0064339D"/>
    <w:rsid w:val="00644FA2"/>
    <w:rsid w:val="006508F8"/>
    <w:rsid w:val="00651E7E"/>
    <w:rsid w:val="00652333"/>
    <w:rsid w:val="006560B9"/>
    <w:rsid w:val="00664CA7"/>
    <w:rsid w:val="0068009E"/>
    <w:rsid w:val="006849F3"/>
    <w:rsid w:val="00692219"/>
    <w:rsid w:val="006A17D2"/>
    <w:rsid w:val="006A73E6"/>
    <w:rsid w:val="006B14FA"/>
    <w:rsid w:val="006B2D5C"/>
    <w:rsid w:val="006B3BC6"/>
    <w:rsid w:val="006C0AFA"/>
    <w:rsid w:val="006C4EB1"/>
    <w:rsid w:val="006D3147"/>
    <w:rsid w:val="006D51AB"/>
    <w:rsid w:val="006D54A9"/>
    <w:rsid w:val="006E0166"/>
    <w:rsid w:val="006E2FFB"/>
    <w:rsid w:val="006E426C"/>
    <w:rsid w:val="006E6314"/>
    <w:rsid w:val="006E7B34"/>
    <w:rsid w:val="006F0AD1"/>
    <w:rsid w:val="006F0DB4"/>
    <w:rsid w:val="0070697F"/>
    <w:rsid w:val="0071175C"/>
    <w:rsid w:val="0072199C"/>
    <w:rsid w:val="00722C9F"/>
    <w:rsid w:val="007253B8"/>
    <w:rsid w:val="00726569"/>
    <w:rsid w:val="0073741F"/>
    <w:rsid w:val="00737D40"/>
    <w:rsid w:val="007406E9"/>
    <w:rsid w:val="00741D11"/>
    <w:rsid w:val="007450AB"/>
    <w:rsid w:val="00753B6E"/>
    <w:rsid w:val="00755580"/>
    <w:rsid w:val="0076643F"/>
    <w:rsid w:val="00766695"/>
    <w:rsid w:val="00767454"/>
    <w:rsid w:val="00776235"/>
    <w:rsid w:val="00777F63"/>
    <w:rsid w:val="00783088"/>
    <w:rsid w:val="0078700E"/>
    <w:rsid w:val="007A5817"/>
    <w:rsid w:val="007B05C4"/>
    <w:rsid w:val="007B2CDF"/>
    <w:rsid w:val="007B32E7"/>
    <w:rsid w:val="007B60E9"/>
    <w:rsid w:val="007B6CC3"/>
    <w:rsid w:val="007B76D3"/>
    <w:rsid w:val="007C07AF"/>
    <w:rsid w:val="007C087B"/>
    <w:rsid w:val="007C3334"/>
    <w:rsid w:val="007D12CD"/>
    <w:rsid w:val="007D240D"/>
    <w:rsid w:val="007D2B98"/>
    <w:rsid w:val="007E07E5"/>
    <w:rsid w:val="007E21BC"/>
    <w:rsid w:val="007E7C82"/>
    <w:rsid w:val="007F2AA1"/>
    <w:rsid w:val="007F3CF1"/>
    <w:rsid w:val="007F588D"/>
    <w:rsid w:val="007F7714"/>
    <w:rsid w:val="00803F1C"/>
    <w:rsid w:val="0080600E"/>
    <w:rsid w:val="00814688"/>
    <w:rsid w:val="00817612"/>
    <w:rsid w:val="00830B16"/>
    <w:rsid w:val="0083363A"/>
    <w:rsid w:val="008338A4"/>
    <w:rsid w:val="00834D49"/>
    <w:rsid w:val="00837C45"/>
    <w:rsid w:val="00843389"/>
    <w:rsid w:val="00844730"/>
    <w:rsid w:val="008457C2"/>
    <w:rsid w:val="00847666"/>
    <w:rsid w:val="00855943"/>
    <w:rsid w:val="00857A82"/>
    <w:rsid w:val="00867E39"/>
    <w:rsid w:val="008734D0"/>
    <w:rsid w:val="00873836"/>
    <w:rsid w:val="0087462D"/>
    <w:rsid w:val="00875281"/>
    <w:rsid w:val="008804CE"/>
    <w:rsid w:val="00885737"/>
    <w:rsid w:val="00890650"/>
    <w:rsid w:val="00897E12"/>
    <w:rsid w:val="008A4588"/>
    <w:rsid w:val="008A7E0F"/>
    <w:rsid w:val="008B12F5"/>
    <w:rsid w:val="008B57D2"/>
    <w:rsid w:val="008C5E2D"/>
    <w:rsid w:val="008D768D"/>
    <w:rsid w:val="008D7DAA"/>
    <w:rsid w:val="008E0BE4"/>
    <w:rsid w:val="008E3759"/>
    <w:rsid w:val="008E3BFE"/>
    <w:rsid w:val="008E46F0"/>
    <w:rsid w:val="008E6F5B"/>
    <w:rsid w:val="008F1912"/>
    <w:rsid w:val="008F5784"/>
    <w:rsid w:val="009008FB"/>
    <w:rsid w:val="00902487"/>
    <w:rsid w:val="0090270B"/>
    <w:rsid w:val="009041DC"/>
    <w:rsid w:val="00906A84"/>
    <w:rsid w:val="00911492"/>
    <w:rsid w:val="009126B5"/>
    <w:rsid w:val="00912FA3"/>
    <w:rsid w:val="00913423"/>
    <w:rsid w:val="00917B5A"/>
    <w:rsid w:val="00920A58"/>
    <w:rsid w:val="00920A8C"/>
    <w:rsid w:val="00922FBD"/>
    <w:rsid w:val="00924B5F"/>
    <w:rsid w:val="00934A2C"/>
    <w:rsid w:val="0093523A"/>
    <w:rsid w:val="009369B1"/>
    <w:rsid w:val="00940F5D"/>
    <w:rsid w:val="009415B7"/>
    <w:rsid w:val="00957A73"/>
    <w:rsid w:val="0096473D"/>
    <w:rsid w:val="00965B42"/>
    <w:rsid w:val="0096706E"/>
    <w:rsid w:val="00974491"/>
    <w:rsid w:val="00975C4E"/>
    <w:rsid w:val="009765E1"/>
    <w:rsid w:val="00976A40"/>
    <w:rsid w:val="00976FB3"/>
    <w:rsid w:val="00981FBA"/>
    <w:rsid w:val="009852A4"/>
    <w:rsid w:val="00985961"/>
    <w:rsid w:val="00991E15"/>
    <w:rsid w:val="00997BC5"/>
    <w:rsid w:val="009A1AA2"/>
    <w:rsid w:val="009A4B92"/>
    <w:rsid w:val="009A4F41"/>
    <w:rsid w:val="009B381B"/>
    <w:rsid w:val="009C02E3"/>
    <w:rsid w:val="009D1630"/>
    <w:rsid w:val="009D1753"/>
    <w:rsid w:val="009D5224"/>
    <w:rsid w:val="009D5A09"/>
    <w:rsid w:val="009D7611"/>
    <w:rsid w:val="009E0B61"/>
    <w:rsid w:val="009E2288"/>
    <w:rsid w:val="009E53DE"/>
    <w:rsid w:val="009F6631"/>
    <w:rsid w:val="00A004C2"/>
    <w:rsid w:val="00A10ED4"/>
    <w:rsid w:val="00A11212"/>
    <w:rsid w:val="00A11E44"/>
    <w:rsid w:val="00A14B74"/>
    <w:rsid w:val="00A30100"/>
    <w:rsid w:val="00A328B3"/>
    <w:rsid w:val="00A359D3"/>
    <w:rsid w:val="00A41422"/>
    <w:rsid w:val="00A41A26"/>
    <w:rsid w:val="00A44176"/>
    <w:rsid w:val="00A50FCF"/>
    <w:rsid w:val="00A528D1"/>
    <w:rsid w:val="00A5689B"/>
    <w:rsid w:val="00A56C2C"/>
    <w:rsid w:val="00A610CD"/>
    <w:rsid w:val="00A758AA"/>
    <w:rsid w:val="00A80CB2"/>
    <w:rsid w:val="00A94448"/>
    <w:rsid w:val="00A97420"/>
    <w:rsid w:val="00AA09A2"/>
    <w:rsid w:val="00AA7996"/>
    <w:rsid w:val="00AB3740"/>
    <w:rsid w:val="00AB5D5B"/>
    <w:rsid w:val="00AC19CB"/>
    <w:rsid w:val="00AE5488"/>
    <w:rsid w:val="00AE6F91"/>
    <w:rsid w:val="00AF5571"/>
    <w:rsid w:val="00B00F93"/>
    <w:rsid w:val="00B06B04"/>
    <w:rsid w:val="00B07341"/>
    <w:rsid w:val="00B16411"/>
    <w:rsid w:val="00B17579"/>
    <w:rsid w:val="00B22876"/>
    <w:rsid w:val="00B2371E"/>
    <w:rsid w:val="00B26836"/>
    <w:rsid w:val="00B27291"/>
    <w:rsid w:val="00B304E5"/>
    <w:rsid w:val="00B30539"/>
    <w:rsid w:val="00B314DB"/>
    <w:rsid w:val="00B361F2"/>
    <w:rsid w:val="00B3718B"/>
    <w:rsid w:val="00B3745F"/>
    <w:rsid w:val="00B421B2"/>
    <w:rsid w:val="00B4632A"/>
    <w:rsid w:val="00B512D6"/>
    <w:rsid w:val="00B514E6"/>
    <w:rsid w:val="00B51B44"/>
    <w:rsid w:val="00B530F1"/>
    <w:rsid w:val="00B62173"/>
    <w:rsid w:val="00B75429"/>
    <w:rsid w:val="00B75E56"/>
    <w:rsid w:val="00B82FB9"/>
    <w:rsid w:val="00B8653E"/>
    <w:rsid w:val="00B916B9"/>
    <w:rsid w:val="00B93EA4"/>
    <w:rsid w:val="00B9651A"/>
    <w:rsid w:val="00BA0352"/>
    <w:rsid w:val="00BA276C"/>
    <w:rsid w:val="00BB2DCB"/>
    <w:rsid w:val="00BB306F"/>
    <w:rsid w:val="00BD4B89"/>
    <w:rsid w:val="00BD5922"/>
    <w:rsid w:val="00BE1AEA"/>
    <w:rsid w:val="00BE703D"/>
    <w:rsid w:val="00BE767B"/>
    <w:rsid w:val="00BF02CB"/>
    <w:rsid w:val="00BF3C35"/>
    <w:rsid w:val="00BF6FD8"/>
    <w:rsid w:val="00C025E1"/>
    <w:rsid w:val="00C03680"/>
    <w:rsid w:val="00C054DF"/>
    <w:rsid w:val="00C134B4"/>
    <w:rsid w:val="00C21762"/>
    <w:rsid w:val="00C21FEF"/>
    <w:rsid w:val="00C224D4"/>
    <w:rsid w:val="00C23BA4"/>
    <w:rsid w:val="00C24543"/>
    <w:rsid w:val="00C256A2"/>
    <w:rsid w:val="00C25ADB"/>
    <w:rsid w:val="00C351C5"/>
    <w:rsid w:val="00C51515"/>
    <w:rsid w:val="00C55372"/>
    <w:rsid w:val="00C5660B"/>
    <w:rsid w:val="00C60B50"/>
    <w:rsid w:val="00C6119C"/>
    <w:rsid w:val="00C66B72"/>
    <w:rsid w:val="00C7109E"/>
    <w:rsid w:val="00C87AC4"/>
    <w:rsid w:val="00C9567A"/>
    <w:rsid w:val="00CA54F1"/>
    <w:rsid w:val="00CA5E40"/>
    <w:rsid w:val="00CA7E7D"/>
    <w:rsid w:val="00CB212D"/>
    <w:rsid w:val="00CB2660"/>
    <w:rsid w:val="00CC4567"/>
    <w:rsid w:val="00CC5E90"/>
    <w:rsid w:val="00CD03C9"/>
    <w:rsid w:val="00CD046C"/>
    <w:rsid w:val="00CE076C"/>
    <w:rsid w:val="00CE10AD"/>
    <w:rsid w:val="00CE5199"/>
    <w:rsid w:val="00CE66D5"/>
    <w:rsid w:val="00CE7399"/>
    <w:rsid w:val="00CE74AD"/>
    <w:rsid w:val="00CF550C"/>
    <w:rsid w:val="00CF637A"/>
    <w:rsid w:val="00CF67FE"/>
    <w:rsid w:val="00CF7860"/>
    <w:rsid w:val="00D00F94"/>
    <w:rsid w:val="00D0288B"/>
    <w:rsid w:val="00D059DE"/>
    <w:rsid w:val="00D05ABD"/>
    <w:rsid w:val="00D07B12"/>
    <w:rsid w:val="00D13FCE"/>
    <w:rsid w:val="00D24C49"/>
    <w:rsid w:val="00D25F7D"/>
    <w:rsid w:val="00D303C0"/>
    <w:rsid w:val="00D306D1"/>
    <w:rsid w:val="00D30800"/>
    <w:rsid w:val="00D32E2C"/>
    <w:rsid w:val="00D34786"/>
    <w:rsid w:val="00D349F1"/>
    <w:rsid w:val="00D37BFC"/>
    <w:rsid w:val="00D4665C"/>
    <w:rsid w:val="00D47A8E"/>
    <w:rsid w:val="00D52D14"/>
    <w:rsid w:val="00D55009"/>
    <w:rsid w:val="00D5675E"/>
    <w:rsid w:val="00D630EF"/>
    <w:rsid w:val="00D657C9"/>
    <w:rsid w:val="00D712D3"/>
    <w:rsid w:val="00D71422"/>
    <w:rsid w:val="00D72DC6"/>
    <w:rsid w:val="00D7558D"/>
    <w:rsid w:val="00D77004"/>
    <w:rsid w:val="00D77979"/>
    <w:rsid w:val="00D81D92"/>
    <w:rsid w:val="00D876F9"/>
    <w:rsid w:val="00D87A09"/>
    <w:rsid w:val="00D92195"/>
    <w:rsid w:val="00D94297"/>
    <w:rsid w:val="00DA0CFE"/>
    <w:rsid w:val="00DA40E5"/>
    <w:rsid w:val="00DA5EC8"/>
    <w:rsid w:val="00DA6EC0"/>
    <w:rsid w:val="00DA7B5F"/>
    <w:rsid w:val="00DC11E7"/>
    <w:rsid w:val="00DC193A"/>
    <w:rsid w:val="00DC24E3"/>
    <w:rsid w:val="00DC7023"/>
    <w:rsid w:val="00DC769A"/>
    <w:rsid w:val="00DD0D81"/>
    <w:rsid w:val="00DD3D86"/>
    <w:rsid w:val="00DD4AD2"/>
    <w:rsid w:val="00DD6155"/>
    <w:rsid w:val="00DE6BEE"/>
    <w:rsid w:val="00DF1EC4"/>
    <w:rsid w:val="00E0340B"/>
    <w:rsid w:val="00E03C32"/>
    <w:rsid w:val="00E04A90"/>
    <w:rsid w:val="00E0551F"/>
    <w:rsid w:val="00E15703"/>
    <w:rsid w:val="00E219C7"/>
    <w:rsid w:val="00E316B5"/>
    <w:rsid w:val="00E32917"/>
    <w:rsid w:val="00E37EA4"/>
    <w:rsid w:val="00E4118C"/>
    <w:rsid w:val="00E43157"/>
    <w:rsid w:val="00E43C50"/>
    <w:rsid w:val="00E461CE"/>
    <w:rsid w:val="00E56719"/>
    <w:rsid w:val="00E573E4"/>
    <w:rsid w:val="00E60155"/>
    <w:rsid w:val="00E61095"/>
    <w:rsid w:val="00E64C3D"/>
    <w:rsid w:val="00E720CA"/>
    <w:rsid w:val="00E76DB1"/>
    <w:rsid w:val="00E84EB5"/>
    <w:rsid w:val="00E85662"/>
    <w:rsid w:val="00E8789F"/>
    <w:rsid w:val="00E97B71"/>
    <w:rsid w:val="00EA3D34"/>
    <w:rsid w:val="00EB0F43"/>
    <w:rsid w:val="00EB1B92"/>
    <w:rsid w:val="00EB2D05"/>
    <w:rsid w:val="00EB454D"/>
    <w:rsid w:val="00EC382B"/>
    <w:rsid w:val="00EC6EA5"/>
    <w:rsid w:val="00ED1B38"/>
    <w:rsid w:val="00ED549D"/>
    <w:rsid w:val="00ED76BE"/>
    <w:rsid w:val="00EE00E9"/>
    <w:rsid w:val="00EF0757"/>
    <w:rsid w:val="00EF1AAA"/>
    <w:rsid w:val="00EF619B"/>
    <w:rsid w:val="00F00B55"/>
    <w:rsid w:val="00F02AD1"/>
    <w:rsid w:val="00F069F8"/>
    <w:rsid w:val="00F07025"/>
    <w:rsid w:val="00F07128"/>
    <w:rsid w:val="00F07B54"/>
    <w:rsid w:val="00F1069E"/>
    <w:rsid w:val="00F10AF6"/>
    <w:rsid w:val="00F10D0A"/>
    <w:rsid w:val="00F253CC"/>
    <w:rsid w:val="00F356D9"/>
    <w:rsid w:val="00F37106"/>
    <w:rsid w:val="00F4248C"/>
    <w:rsid w:val="00F44E25"/>
    <w:rsid w:val="00F503C9"/>
    <w:rsid w:val="00F519CF"/>
    <w:rsid w:val="00F55794"/>
    <w:rsid w:val="00F56BA5"/>
    <w:rsid w:val="00F56E06"/>
    <w:rsid w:val="00F60E22"/>
    <w:rsid w:val="00F64B37"/>
    <w:rsid w:val="00F65113"/>
    <w:rsid w:val="00F73496"/>
    <w:rsid w:val="00F73EEE"/>
    <w:rsid w:val="00F81395"/>
    <w:rsid w:val="00F81BB8"/>
    <w:rsid w:val="00F90C64"/>
    <w:rsid w:val="00F917D1"/>
    <w:rsid w:val="00F9653B"/>
    <w:rsid w:val="00F973AA"/>
    <w:rsid w:val="00FA7CB7"/>
    <w:rsid w:val="00FB583F"/>
    <w:rsid w:val="00FB59C5"/>
    <w:rsid w:val="00FB62CF"/>
    <w:rsid w:val="00FC2977"/>
    <w:rsid w:val="00FD1DD3"/>
    <w:rsid w:val="00FD3A8F"/>
    <w:rsid w:val="00FD3C3B"/>
    <w:rsid w:val="00FD72E5"/>
    <w:rsid w:val="00FE07DD"/>
    <w:rsid w:val="00FE5702"/>
    <w:rsid w:val="00FE6B45"/>
    <w:rsid w:val="00FF0097"/>
    <w:rsid w:val="00FF4B28"/>
    <w:rsid w:val="00FF4CD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4B37"/>
    <w:rPr>
      <w:sz w:val="16"/>
      <w:szCs w:val="16"/>
    </w:rPr>
  </w:style>
  <w:style w:type="paragraph" w:styleId="CommentText">
    <w:name w:val="annotation text"/>
    <w:basedOn w:val="Normal"/>
    <w:link w:val="CommentTextChar"/>
    <w:uiPriority w:val="99"/>
    <w:unhideWhenUsed/>
    <w:rsid w:val="00F64B37"/>
    <w:rPr>
      <w:sz w:val="20"/>
      <w:szCs w:val="20"/>
    </w:rPr>
  </w:style>
  <w:style w:type="character" w:customStyle="1" w:styleId="CommentTextChar">
    <w:name w:val="Comment Text Char"/>
    <w:basedOn w:val="DefaultParagraphFont"/>
    <w:link w:val="CommentText"/>
    <w:uiPriority w:val="99"/>
    <w:rsid w:val="00F64B37"/>
    <w:rPr>
      <w:lang w:val="en-US" w:eastAsia="en-US"/>
    </w:rPr>
  </w:style>
  <w:style w:type="paragraph" w:styleId="CommentSubject">
    <w:name w:val="annotation subject"/>
    <w:basedOn w:val="CommentText"/>
    <w:next w:val="CommentText"/>
    <w:link w:val="CommentSubjectChar"/>
    <w:uiPriority w:val="99"/>
    <w:semiHidden/>
    <w:unhideWhenUsed/>
    <w:rsid w:val="00F64B37"/>
    <w:rPr>
      <w:b/>
      <w:bCs/>
    </w:rPr>
  </w:style>
  <w:style w:type="character" w:customStyle="1" w:styleId="CommentSubjectChar">
    <w:name w:val="Comment Subject Char"/>
    <w:basedOn w:val="CommentTextChar"/>
    <w:link w:val="CommentSubject"/>
    <w:uiPriority w:val="99"/>
    <w:semiHidden/>
    <w:rsid w:val="00F64B37"/>
    <w:rPr>
      <w:b/>
      <w:bCs/>
      <w:lang w:val="en-US" w:eastAsia="en-US"/>
    </w:rPr>
  </w:style>
  <w:style w:type="paragraph" w:styleId="Revision">
    <w:name w:val="Revision"/>
    <w:hidden/>
    <w:uiPriority w:val="99"/>
    <w:semiHidden/>
    <w:rsid w:val="00B06B0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B75E56"/>
  </w:style>
  <w:style w:type="paragraph" w:customStyle="1" w:styleId="paragraph">
    <w:name w:val="paragraph"/>
    <w:basedOn w:val="Normal"/>
    <w:rsid w:val="004C505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4C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50540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15879722">
      <w:bodyDiv w:val="1"/>
      <w:marLeft w:val="0"/>
      <w:marRight w:val="0"/>
      <w:marTop w:val="0"/>
      <w:marBottom w:val="0"/>
      <w:divBdr>
        <w:top w:val="none" w:sz="0" w:space="0" w:color="auto"/>
        <w:left w:val="none" w:sz="0" w:space="0" w:color="auto"/>
        <w:bottom w:val="none" w:sz="0" w:space="0" w:color="auto"/>
        <w:right w:val="none" w:sz="0" w:space="0" w:color="auto"/>
      </w:divBdr>
      <w:divsChild>
        <w:div w:id="114566401">
          <w:marLeft w:val="0"/>
          <w:marRight w:val="0"/>
          <w:marTop w:val="0"/>
          <w:marBottom w:val="0"/>
          <w:divBdr>
            <w:top w:val="none" w:sz="0" w:space="0" w:color="auto"/>
            <w:left w:val="none" w:sz="0" w:space="0" w:color="auto"/>
            <w:bottom w:val="none" w:sz="0" w:space="0" w:color="auto"/>
            <w:right w:val="none" w:sz="0" w:space="0" w:color="auto"/>
          </w:divBdr>
        </w:div>
        <w:div w:id="141431907">
          <w:marLeft w:val="0"/>
          <w:marRight w:val="0"/>
          <w:marTop w:val="0"/>
          <w:marBottom w:val="0"/>
          <w:divBdr>
            <w:top w:val="none" w:sz="0" w:space="0" w:color="auto"/>
            <w:left w:val="none" w:sz="0" w:space="0" w:color="auto"/>
            <w:bottom w:val="none" w:sz="0" w:space="0" w:color="auto"/>
            <w:right w:val="none" w:sz="0" w:space="0" w:color="auto"/>
          </w:divBdr>
        </w:div>
        <w:div w:id="236863972">
          <w:marLeft w:val="0"/>
          <w:marRight w:val="0"/>
          <w:marTop w:val="0"/>
          <w:marBottom w:val="0"/>
          <w:divBdr>
            <w:top w:val="none" w:sz="0" w:space="0" w:color="auto"/>
            <w:left w:val="none" w:sz="0" w:space="0" w:color="auto"/>
            <w:bottom w:val="none" w:sz="0" w:space="0" w:color="auto"/>
            <w:right w:val="none" w:sz="0" w:space="0" w:color="auto"/>
          </w:divBdr>
        </w:div>
        <w:div w:id="266622195">
          <w:marLeft w:val="0"/>
          <w:marRight w:val="0"/>
          <w:marTop w:val="0"/>
          <w:marBottom w:val="0"/>
          <w:divBdr>
            <w:top w:val="none" w:sz="0" w:space="0" w:color="auto"/>
            <w:left w:val="none" w:sz="0" w:space="0" w:color="auto"/>
            <w:bottom w:val="none" w:sz="0" w:space="0" w:color="auto"/>
            <w:right w:val="none" w:sz="0" w:space="0" w:color="auto"/>
          </w:divBdr>
        </w:div>
        <w:div w:id="318000076">
          <w:marLeft w:val="0"/>
          <w:marRight w:val="0"/>
          <w:marTop w:val="0"/>
          <w:marBottom w:val="0"/>
          <w:divBdr>
            <w:top w:val="none" w:sz="0" w:space="0" w:color="auto"/>
            <w:left w:val="none" w:sz="0" w:space="0" w:color="auto"/>
            <w:bottom w:val="none" w:sz="0" w:space="0" w:color="auto"/>
            <w:right w:val="none" w:sz="0" w:space="0" w:color="auto"/>
          </w:divBdr>
        </w:div>
        <w:div w:id="330254783">
          <w:marLeft w:val="0"/>
          <w:marRight w:val="0"/>
          <w:marTop w:val="0"/>
          <w:marBottom w:val="0"/>
          <w:divBdr>
            <w:top w:val="none" w:sz="0" w:space="0" w:color="auto"/>
            <w:left w:val="none" w:sz="0" w:space="0" w:color="auto"/>
            <w:bottom w:val="none" w:sz="0" w:space="0" w:color="auto"/>
            <w:right w:val="none" w:sz="0" w:space="0" w:color="auto"/>
          </w:divBdr>
        </w:div>
        <w:div w:id="336735258">
          <w:marLeft w:val="0"/>
          <w:marRight w:val="0"/>
          <w:marTop w:val="0"/>
          <w:marBottom w:val="0"/>
          <w:divBdr>
            <w:top w:val="none" w:sz="0" w:space="0" w:color="auto"/>
            <w:left w:val="none" w:sz="0" w:space="0" w:color="auto"/>
            <w:bottom w:val="none" w:sz="0" w:space="0" w:color="auto"/>
            <w:right w:val="none" w:sz="0" w:space="0" w:color="auto"/>
          </w:divBdr>
        </w:div>
        <w:div w:id="364137837">
          <w:marLeft w:val="0"/>
          <w:marRight w:val="0"/>
          <w:marTop w:val="0"/>
          <w:marBottom w:val="0"/>
          <w:divBdr>
            <w:top w:val="none" w:sz="0" w:space="0" w:color="auto"/>
            <w:left w:val="none" w:sz="0" w:space="0" w:color="auto"/>
            <w:bottom w:val="none" w:sz="0" w:space="0" w:color="auto"/>
            <w:right w:val="none" w:sz="0" w:space="0" w:color="auto"/>
          </w:divBdr>
        </w:div>
        <w:div w:id="388498703">
          <w:marLeft w:val="0"/>
          <w:marRight w:val="0"/>
          <w:marTop w:val="0"/>
          <w:marBottom w:val="0"/>
          <w:divBdr>
            <w:top w:val="none" w:sz="0" w:space="0" w:color="auto"/>
            <w:left w:val="none" w:sz="0" w:space="0" w:color="auto"/>
            <w:bottom w:val="none" w:sz="0" w:space="0" w:color="auto"/>
            <w:right w:val="none" w:sz="0" w:space="0" w:color="auto"/>
          </w:divBdr>
        </w:div>
        <w:div w:id="419448991">
          <w:marLeft w:val="0"/>
          <w:marRight w:val="0"/>
          <w:marTop w:val="0"/>
          <w:marBottom w:val="0"/>
          <w:divBdr>
            <w:top w:val="none" w:sz="0" w:space="0" w:color="auto"/>
            <w:left w:val="none" w:sz="0" w:space="0" w:color="auto"/>
            <w:bottom w:val="none" w:sz="0" w:space="0" w:color="auto"/>
            <w:right w:val="none" w:sz="0" w:space="0" w:color="auto"/>
          </w:divBdr>
        </w:div>
        <w:div w:id="425227854">
          <w:marLeft w:val="0"/>
          <w:marRight w:val="0"/>
          <w:marTop w:val="0"/>
          <w:marBottom w:val="0"/>
          <w:divBdr>
            <w:top w:val="none" w:sz="0" w:space="0" w:color="auto"/>
            <w:left w:val="none" w:sz="0" w:space="0" w:color="auto"/>
            <w:bottom w:val="none" w:sz="0" w:space="0" w:color="auto"/>
            <w:right w:val="none" w:sz="0" w:space="0" w:color="auto"/>
          </w:divBdr>
        </w:div>
        <w:div w:id="488986522">
          <w:marLeft w:val="0"/>
          <w:marRight w:val="0"/>
          <w:marTop w:val="0"/>
          <w:marBottom w:val="0"/>
          <w:divBdr>
            <w:top w:val="none" w:sz="0" w:space="0" w:color="auto"/>
            <w:left w:val="none" w:sz="0" w:space="0" w:color="auto"/>
            <w:bottom w:val="none" w:sz="0" w:space="0" w:color="auto"/>
            <w:right w:val="none" w:sz="0" w:space="0" w:color="auto"/>
          </w:divBdr>
        </w:div>
        <w:div w:id="540632207">
          <w:marLeft w:val="0"/>
          <w:marRight w:val="0"/>
          <w:marTop w:val="0"/>
          <w:marBottom w:val="0"/>
          <w:divBdr>
            <w:top w:val="none" w:sz="0" w:space="0" w:color="auto"/>
            <w:left w:val="none" w:sz="0" w:space="0" w:color="auto"/>
            <w:bottom w:val="none" w:sz="0" w:space="0" w:color="auto"/>
            <w:right w:val="none" w:sz="0" w:space="0" w:color="auto"/>
          </w:divBdr>
        </w:div>
        <w:div w:id="582646091">
          <w:marLeft w:val="0"/>
          <w:marRight w:val="0"/>
          <w:marTop w:val="0"/>
          <w:marBottom w:val="0"/>
          <w:divBdr>
            <w:top w:val="none" w:sz="0" w:space="0" w:color="auto"/>
            <w:left w:val="none" w:sz="0" w:space="0" w:color="auto"/>
            <w:bottom w:val="none" w:sz="0" w:space="0" w:color="auto"/>
            <w:right w:val="none" w:sz="0" w:space="0" w:color="auto"/>
          </w:divBdr>
        </w:div>
        <w:div w:id="602492855">
          <w:marLeft w:val="0"/>
          <w:marRight w:val="0"/>
          <w:marTop w:val="0"/>
          <w:marBottom w:val="0"/>
          <w:divBdr>
            <w:top w:val="none" w:sz="0" w:space="0" w:color="auto"/>
            <w:left w:val="none" w:sz="0" w:space="0" w:color="auto"/>
            <w:bottom w:val="none" w:sz="0" w:space="0" w:color="auto"/>
            <w:right w:val="none" w:sz="0" w:space="0" w:color="auto"/>
          </w:divBdr>
        </w:div>
        <w:div w:id="748815348">
          <w:marLeft w:val="0"/>
          <w:marRight w:val="0"/>
          <w:marTop w:val="0"/>
          <w:marBottom w:val="0"/>
          <w:divBdr>
            <w:top w:val="none" w:sz="0" w:space="0" w:color="auto"/>
            <w:left w:val="none" w:sz="0" w:space="0" w:color="auto"/>
            <w:bottom w:val="none" w:sz="0" w:space="0" w:color="auto"/>
            <w:right w:val="none" w:sz="0" w:space="0" w:color="auto"/>
          </w:divBdr>
        </w:div>
        <w:div w:id="777409573">
          <w:marLeft w:val="0"/>
          <w:marRight w:val="0"/>
          <w:marTop w:val="0"/>
          <w:marBottom w:val="0"/>
          <w:divBdr>
            <w:top w:val="none" w:sz="0" w:space="0" w:color="auto"/>
            <w:left w:val="none" w:sz="0" w:space="0" w:color="auto"/>
            <w:bottom w:val="none" w:sz="0" w:space="0" w:color="auto"/>
            <w:right w:val="none" w:sz="0" w:space="0" w:color="auto"/>
          </w:divBdr>
        </w:div>
        <w:div w:id="778991442">
          <w:marLeft w:val="0"/>
          <w:marRight w:val="0"/>
          <w:marTop w:val="0"/>
          <w:marBottom w:val="0"/>
          <w:divBdr>
            <w:top w:val="none" w:sz="0" w:space="0" w:color="auto"/>
            <w:left w:val="none" w:sz="0" w:space="0" w:color="auto"/>
            <w:bottom w:val="none" w:sz="0" w:space="0" w:color="auto"/>
            <w:right w:val="none" w:sz="0" w:space="0" w:color="auto"/>
          </w:divBdr>
        </w:div>
        <w:div w:id="881138003">
          <w:marLeft w:val="0"/>
          <w:marRight w:val="0"/>
          <w:marTop w:val="0"/>
          <w:marBottom w:val="0"/>
          <w:divBdr>
            <w:top w:val="none" w:sz="0" w:space="0" w:color="auto"/>
            <w:left w:val="none" w:sz="0" w:space="0" w:color="auto"/>
            <w:bottom w:val="none" w:sz="0" w:space="0" w:color="auto"/>
            <w:right w:val="none" w:sz="0" w:space="0" w:color="auto"/>
          </w:divBdr>
        </w:div>
        <w:div w:id="903292234">
          <w:marLeft w:val="0"/>
          <w:marRight w:val="0"/>
          <w:marTop w:val="0"/>
          <w:marBottom w:val="0"/>
          <w:divBdr>
            <w:top w:val="none" w:sz="0" w:space="0" w:color="auto"/>
            <w:left w:val="none" w:sz="0" w:space="0" w:color="auto"/>
            <w:bottom w:val="none" w:sz="0" w:space="0" w:color="auto"/>
            <w:right w:val="none" w:sz="0" w:space="0" w:color="auto"/>
          </w:divBdr>
        </w:div>
        <w:div w:id="953050505">
          <w:marLeft w:val="0"/>
          <w:marRight w:val="0"/>
          <w:marTop w:val="0"/>
          <w:marBottom w:val="0"/>
          <w:divBdr>
            <w:top w:val="none" w:sz="0" w:space="0" w:color="auto"/>
            <w:left w:val="none" w:sz="0" w:space="0" w:color="auto"/>
            <w:bottom w:val="none" w:sz="0" w:space="0" w:color="auto"/>
            <w:right w:val="none" w:sz="0" w:space="0" w:color="auto"/>
          </w:divBdr>
        </w:div>
        <w:div w:id="986010105">
          <w:marLeft w:val="0"/>
          <w:marRight w:val="0"/>
          <w:marTop w:val="0"/>
          <w:marBottom w:val="0"/>
          <w:divBdr>
            <w:top w:val="none" w:sz="0" w:space="0" w:color="auto"/>
            <w:left w:val="none" w:sz="0" w:space="0" w:color="auto"/>
            <w:bottom w:val="none" w:sz="0" w:space="0" w:color="auto"/>
            <w:right w:val="none" w:sz="0" w:space="0" w:color="auto"/>
          </w:divBdr>
        </w:div>
        <w:div w:id="1174298874">
          <w:marLeft w:val="0"/>
          <w:marRight w:val="0"/>
          <w:marTop w:val="0"/>
          <w:marBottom w:val="0"/>
          <w:divBdr>
            <w:top w:val="none" w:sz="0" w:space="0" w:color="auto"/>
            <w:left w:val="none" w:sz="0" w:space="0" w:color="auto"/>
            <w:bottom w:val="none" w:sz="0" w:space="0" w:color="auto"/>
            <w:right w:val="none" w:sz="0" w:space="0" w:color="auto"/>
          </w:divBdr>
        </w:div>
        <w:div w:id="1193570448">
          <w:marLeft w:val="0"/>
          <w:marRight w:val="0"/>
          <w:marTop w:val="0"/>
          <w:marBottom w:val="0"/>
          <w:divBdr>
            <w:top w:val="none" w:sz="0" w:space="0" w:color="auto"/>
            <w:left w:val="none" w:sz="0" w:space="0" w:color="auto"/>
            <w:bottom w:val="none" w:sz="0" w:space="0" w:color="auto"/>
            <w:right w:val="none" w:sz="0" w:space="0" w:color="auto"/>
          </w:divBdr>
        </w:div>
        <w:div w:id="1218736049">
          <w:marLeft w:val="0"/>
          <w:marRight w:val="0"/>
          <w:marTop w:val="0"/>
          <w:marBottom w:val="0"/>
          <w:divBdr>
            <w:top w:val="none" w:sz="0" w:space="0" w:color="auto"/>
            <w:left w:val="none" w:sz="0" w:space="0" w:color="auto"/>
            <w:bottom w:val="none" w:sz="0" w:space="0" w:color="auto"/>
            <w:right w:val="none" w:sz="0" w:space="0" w:color="auto"/>
          </w:divBdr>
        </w:div>
        <w:div w:id="1227034568">
          <w:marLeft w:val="0"/>
          <w:marRight w:val="0"/>
          <w:marTop w:val="0"/>
          <w:marBottom w:val="0"/>
          <w:divBdr>
            <w:top w:val="none" w:sz="0" w:space="0" w:color="auto"/>
            <w:left w:val="none" w:sz="0" w:space="0" w:color="auto"/>
            <w:bottom w:val="none" w:sz="0" w:space="0" w:color="auto"/>
            <w:right w:val="none" w:sz="0" w:space="0" w:color="auto"/>
          </w:divBdr>
        </w:div>
        <w:div w:id="1277172338">
          <w:marLeft w:val="0"/>
          <w:marRight w:val="0"/>
          <w:marTop w:val="0"/>
          <w:marBottom w:val="0"/>
          <w:divBdr>
            <w:top w:val="none" w:sz="0" w:space="0" w:color="auto"/>
            <w:left w:val="none" w:sz="0" w:space="0" w:color="auto"/>
            <w:bottom w:val="none" w:sz="0" w:space="0" w:color="auto"/>
            <w:right w:val="none" w:sz="0" w:space="0" w:color="auto"/>
          </w:divBdr>
        </w:div>
        <w:div w:id="1508399989">
          <w:marLeft w:val="0"/>
          <w:marRight w:val="0"/>
          <w:marTop w:val="0"/>
          <w:marBottom w:val="0"/>
          <w:divBdr>
            <w:top w:val="none" w:sz="0" w:space="0" w:color="auto"/>
            <w:left w:val="none" w:sz="0" w:space="0" w:color="auto"/>
            <w:bottom w:val="none" w:sz="0" w:space="0" w:color="auto"/>
            <w:right w:val="none" w:sz="0" w:space="0" w:color="auto"/>
          </w:divBdr>
        </w:div>
        <w:div w:id="1554190907">
          <w:marLeft w:val="0"/>
          <w:marRight w:val="0"/>
          <w:marTop w:val="0"/>
          <w:marBottom w:val="0"/>
          <w:divBdr>
            <w:top w:val="none" w:sz="0" w:space="0" w:color="auto"/>
            <w:left w:val="none" w:sz="0" w:space="0" w:color="auto"/>
            <w:bottom w:val="none" w:sz="0" w:space="0" w:color="auto"/>
            <w:right w:val="none" w:sz="0" w:space="0" w:color="auto"/>
          </w:divBdr>
        </w:div>
        <w:div w:id="1609121258">
          <w:marLeft w:val="0"/>
          <w:marRight w:val="0"/>
          <w:marTop w:val="0"/>
          <w:marBottom w:val="0"/>
          <w:divBdr>
            <w:top w:val="none" w:sz="0" w:space="0" w:color="auto"/>
            <w:left w:val="none" w:sz="0" w:space="0" w:color="auto"/>
            <w:bottom w:val="none" w:sz="0" w:space="0" w:color="auto"/>
            <w:right w:val="none" w:sz="0" w:space="0" w:color="auto"/>
          </w:divBdr>
        </w:div>
        <w:div w:id="1636451791">
          <w:marLeft w:val="0"/>
          <w:marRight w:val="0"/>
          <w:marTop w:val="0"/>
          <w:marBottom w:val="0"/>
          <w:divBdr>
            <w:top w:val="none" w:sz="0" w:space="0" w:color="auto"/>
            <w:left w:val="none" w:sz="0" w:space="0" w:color="auto"/>
            <w:bottom w:val="none" w:sz="0" w:space="0" w:color="auto"/>
            <w:right w:val="none" w:sz="0" w:space="0" w:color="auto"/>
          </w:divBdr>
        </w:div>
        <w:div w:id="1723140618">
          <w:marLeft w:val="0"/>
          <w:marRight w:val="0"/>
          <w:marTop w:val="0"/>
          <w:marBottom w:val="0"/>
          <w:divBdr>
            <w:top w:val="none" w:sz="0" w:space="0" w:color="auto"/>
            <w:left w:val="none" w:sz="0" w:space="0" w:color="auto"/>
            <w:bottom w:val="none" w:sz="0" w:space="0" w:color="auto"/>
            <w:right w:val="none" w:sz="0" w:space="0" w:color="auto"/>
          </w:divBdr>
        </w:div>
        <w:div w:id="1764255194">
          <w:marLeft w:val="0"/>
          <w:marRight w:val="0"/>
          <w:marTop w:val="0"/>
          <w:marBottom w:val="0"/>
          <w:divBdr>
            <w:top w:val="none" w:sz="0" w:space="0" w:color="auto"/>
            <w:left w:val="none" w:sz="0" w:space="0" w:color="auto"/>
            <w:bottom w:val="none" w:sz="0" w:space="0" w:color="auto"/>
            <w:right w:val="none" w:sz="0" w:space="0" w:color="auto"/>
          </w:divBdr>
        </w:div>
        <w:div w:id="1787431891">
          <w:marLeft w:val="0"/>
          <w:marRight w:val="0"/>
          <w:marTop w:val="0"/>
          <w:marBottom w:val="0"/>
          <w:divBdr>
            <w:top w:val="none" w:sz="0" w:space="0" w:color="auto"/>
            <w:left w:val="none" w:sz="0" w:space="0" w:color="auto"/>
            <w:bottom w:val="none" w:sz="0" w:space="0" w:color="auto"/>
            <w:right w:val="none" w:sz="0" w:space="0" w:color="auto"/>
          </w:divBdr>
        </w:div>
        <w:div w:id="1811896325">
          <w:marLeft w:val="0"/>
          <w:marRight w:val="0"/>
          <w:marTop w:val="0"/>
          <w:marBottom w:val="0"/>
          <w:divBdr>
            <w:top w:val="none" w:sz="0" w:space="0" w:color="auto"/>
            <w:left w:val="none" w:sz="0" w:space="0" w:color="auto"/>
            <w:bottom w:val="none" w:sz="0" w:space="0" w:color="auto"/>
            <w:right w:val="none" w:sz="0" w:space="0" w:color="auto"/>
          </w:divBdr>
        </w:div>
        <w:div w:id="1818183401">
          <w:marLeft w:val="0"/>
          <w:marRight w:val="0"/>
          <w:marTop w:val="0"/>
          <w:marBottom w:val="0"/>
          <w:divBdr>
            <w:top w:val="none" w:sz="0" w:space="0" w:color="auto"/>
            <w:left w:val="none" w:sz="0" w:space="0" w:color="auto"/>
            <w:bottom w:val="none" w:sz="0" w:space="0" w:color="auto"/>
            <w:right w:val="none" w:sz="0" w:space="0" w:color="auto"/>
          </w:divBdr>
        </w:div>
        <w:div w:id="1819805576">
          <w:marLeft w:val="0"/>
          <w:marRight w:val="0"/>
          <w:marTop w:val="0"/>
          <w:marBottom w:val="0"/>
          <w:divBdr>
            <w:top w:val="none" w:sz="0" w:space="0" w:color="auto"/>
            <w:left w:val="none" w:sz="0" w:space="0" w:color="auto"/>
            <w:bottom w:val="none" w:sz="0" w:space="0" w:color="auto"/>
            <w:right w:val="none" w:sz="0" w:space="0" w:color="auto"/>
          </w:divBdr>
        </w:div>
        <w:div w:id="1831749174">
          <w:marLeft w:val="0"/>
          <w:marRight w:val="0"/>
          <w:marTop w:val="0"/>
          <w:marBottom w:val="0"/>
          <w:divBdr>
            <w:top w:val="none" w:sz="0" w:space="0" w:color="auto"/>
            <w:left w:val="none" w:sz="0" w:space="0" w:color="auto"/>
            <w:bottom w:val="none" w:sz="0" w:space="0" w:color="auto"/>
            <w:right w:val="none" w:sz="0" w:space="0" w:color="auto"/>
          </w:divBdr>
        </w:div>
        <w:div w:id="1834682673">
          <w:marLeft w:val="0"/>
          <w:marRight w:val="0"/>
          <w:marTop w:val="0"/>
          <w:marBottom w:val="0"/>
          <w:divBdr>
            <w:top w:val="none" w:sz="0" w:space="0" w:color="auto"/>
            <w:left w:val="none" w:sz="0" w:space="0" w:color="auto"/>
            <w:bottom w:val="none" w:sz="0" w:space="0" w:color="auto"/>
            <w:right w:val="none" w:sz="0" w:space="0" w:color="auto"/>
          </w:divBdr>
        </w:div>
        <w:div w:id="1865092483">
          <w:marLeft w:val="0"/>
          <w:marRight w:val="0"/>
          <w:marTop w:val="0"/>
          <w:marBottom w:val="0"/>
          <w:divBdr>
            <w:top w:val="none" w:sz="0" w:space="0" w:color="auto"/>
            <w:left w:val="none" w:sz="0" w:space="0" w:color="auto"/>
            <w:bottom w:val="none" w:sz="0" w:space="0" w:color="auto"/>
            <w:right w:val="none" w:sz="0" w:space="0" w:color="auto"/>
          </w:divBdr>
        </w:div>
        <w:div w:id="1871457132">
          <w:marLeft w:val="0"/>
          <w:marRight w:val="0"/>
          <w:marTop w:val="0"/>
          <w:marBottom w:val="0"/>
          <w:divBdr>
            <w:top w:val="none" w:sz="0" w:space="0" w:color="auto"/>
            <w:left w:val="none" w:sz="0" w:space="0" w:color="auto"/>
            <w:bottom w:val="none" w:sz="0" w:space="0" w:color="auto"/>
            <w:right w:val="none" w:sz="0" w:space="0" w:color="auto"/>
          </w:divBdr>
        </w:div>
        <w:div w:id="1939098293">
          <w:marLeft w:val="0"/>
          <w:marRight w:val="0"/>
          <w:marTop w:val="0"/>
          <w:marBottom w:val="0"/>
          <w:divBdr>
            <w:top w:val="none" w:sz="0" w:space="0" w:color="auto"/>
            <w:left w:val="none" w:sz="0" w:space="0" w:color="auto"/>
            <w:bottom w:val="none" w:sz="0" w:space="0" w:color="auto"/>
            <w:right w:val="none" w:sz="0" w:space="0" w:color="auto"/>
          </w:divBdr>
        </w:div>
        <w:div w:id="1945767220">
          <w:marLeft w:val="0"/>
          <w:marRight w:val="0"/>
          <w:marTop w:val="0"/>
          <w:marBottom w:val="0"/>
          <w:divBdr>
            <w:top w:val="none" w:sz="0" w:space="0" w:color="auto"/>
            <w:left w:val="none" w:sz="0" w:space="0" w:color="auto"/>
            <w:bottom w:val="none" w:sz="0" w:space="0" w:color="auto"/>
            <w:right w:val="none" w:sz="0" w:space="0" w:color="auto"/>
          </w:divBdr>
        </w:div>
        <w:div w:id="1959022738">
          <w:marLeft w:val="0"/>
          <w:marRight w:val="0"/>
          <w:marTop w:val="0"/>
          <w:marBottom w:val="0"/>
          <w:divBdr>
            <w:top w:val="none" w:sz="0" w:space="0" w:color="auto"/>
            <w:left w:val="none" w:sz="0" w:space="0" w:color="auto"/>
            <w:bottom w:val="none" w:sz="0" w:space="0" w:color="auto"/>
            <w:right w:val="none" w:sz="0" w:space="0" w:color="auto"/>
          </w:divBdr>
        </w:div>
        <w:div w:id="1966152485">
          <w:marLeft w:val="0"/>
          <w:marRight w:val="0"/>
          <w:marTop w:val="0"/>
          <w:marBottom w:val="0"/>
          <w:divBdr>
            <w:top w:val="none" w:sz="0" w:space="0" w:color="auto"/>
            <w:left w:val="none" w:sz="0" w:space="0" w:color="auto"/>
            <w:bottom w:val="none" w:sz="0" w:space="0" w:color="auto"/>
            <w:right w:val="none" w:sz="0" w:space="0" w:color="auto"/>
          </w:divBdr>
        </w:div>
        <w:div w:id="2031369216">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6E45"/>
    <w:rsid w:val="00071DD3"/>
    <w:rsid w:val="00200821"/>
    <w:rsid w:val="0025245B"/>
    <w:rsid w:val="002A3923"/>
    <w:rsid w:val="00325BC2"/>
    <w:rsid w:val="00394049"/>
    <w:rsid w:val="003C2D02"/>
    <w:rsid w:val="003F389B"/>
    <w:rsid w:val="004B5BBB"/>
    <w:rsid w:val="004F2DF8"/>
    <w:rsid w:val="005D1065"/>
    <w:rsid w:val="006F24A1"/>
    <w:rsid w:val="00703E88"/>
    <w:rsid w:val="008039B3"/>
    <w:rsid w:val="009A261B"/>
    <w:rsid w:val="00AA2E17"/>
    <w:rsid w:val="00AB4E9D"/>
    <w:rsid w:val="00AC15A4"/>
    <w:rsid w:val="00AC1A51"/>
    <w:rsid w:val="00B0336C"/>
    <w:rsid w:val="00B0400B"/>
    <w:rsid w:val="00D241E9"/>
    <w:rsid w:val="00D7067E"/>
    <w:rsid w:val="00D7750D"/>
    <w:rsid w:val="00E16018"/>
    <w:rsid w:val="00E25C0D"/>
    <w:rsid w:val="00EF208B"/>
    <w:rsid w:val="00F00D2F"/>
    <w:rsid w:val="00F128DF"/>
    <w:rsid w:val="00F73C90"/>
    <w:rsid w:val="00FF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A682F-1294-489E-8F97-28C59B57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4283</Words>
  <Characters>24414</Characters>
  <Application>Microsoft Office Word</Application>
  <DocSecurity>0</DocSecurity>
  <Lines>203</Lines>
  <Paragraphs>57</Paragraphs>
  <ScaleCrop>false</ScaleCrop>
  <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2023-02-03T14:43:00Z</dcterms:created>
  <dcterms:modified xsi:type="dcterms:W3CDTF">2023-02-03T14:43:00Z</dcterms:modified>
</cp:coreProperties>
</file>