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FB7E" w14:textId="116F7E98" w:rsidR="00E76BCF" w:rsidRDefault="007050F1" w:rsidP="00627C9F">
      <w:pPr>
        <w:jc w:val="both"/>
        <w:rPr>
          <w:rFonts w:asciiTheme="majorHAnsi" w:hAnsiTheme="majorHAnsi" w:cs="Univers"/>
          <w:b/>
          <w:bCs/>
          <w:sz w:val="22"/>
          <w:szCs w:val="22"/>
          <w:lang w:val="es-ES_tradnl"/>
        </w:rPr>
      </w:pPr>
      <w:r>
        <w:rPr>
          <w:noProof/>
        </w:rPr>
        <mc:AlternateContent>
          <mc:Choice Requires="wps">
            <w:drawing>
              <wp:anchor distT="0" distB="0" distL="114300" distR="114300" simplePos="0" relativeHeight="251658240" behindDoc="0" locked="0" layoutInCell="1" allowOverlap="1" wp14:anchorId="51EE02CC" wp14:editId="05726A95">
                <wp:simplePos x="0" y="0"/>
                <wp:positionH relativeFrom="column">
                  <wp:posOffset>-415925</wp:posOffset>
                </wp:positionH>
                <wp:positionV relativeFrom="paragraph">
                  <wp:posOffset>-439420</wp:posOffset>
                </wp:positionV>
                <wp:extent cx="1543050" cy="9096375"/>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AB1484C" id="Rectángulo 19"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" fillcolor="#4a7194" stroked="f" strokeweight="2pt"/>
            </w:pict>
          </mc:Fallback>
        </mc:AlternateContent>
      </w:r>
      <w:r>
        <w:rPr>
          <w:noProof/>
        </w:rPr>
        <mc:AlternateContent>
          <mc:Choice Requires="wps">
            <w:drawing>
              <wp:anchor distT="0" distB="0" distL="114300" distR="114300" simplePos="0" relativeHeight="251658244" behindDoc="0" locked="0" layoutInCell="1" allowOverlap="1" wp14:anchorId="3ABC9EB0" wp14:editId="170D0EA7">
                <wp:simplePos x="0" y="0"/>
                <wp:positionH relativeFrom="column">
                  <wp:posOffset>1282065</wp:posOffset>
                </wp:positionH>
                <wp:positionV relativeFrom="paragraph">
                  <wp:posOffset>-424180</wp:posOffset>
                </wp:positionV>
                <wp:extent cx="5248275" cy="90233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C9EB0" id="_x0000_t202" coordsize="21600,21600" o:spt="202" path="m,l,21600r21600,l21600,xe">
                <v:stroke joinstyle="miter"/>
                <v:path gradientshapeok="t" o:connecttype="rect"/>
              </v:shapetype>
              <v:shape id="Cuadro de texto 18"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E76BCF">
        <w:rPr>
          <w:rFonts w:asciiTheme="majorHAnsi" w:hAnsiTheme="majorHAnsi" w:cs="Univers"/>
          <w:b/>
          <w:bCs/>
          <w:sz w:val="22"/>
          <w:szCs w:val="22"/>
          <w:lang w:val="es-ES_tradnl"/>
        </w:rPr>
        <w:t>¡3ª1L7nG151984</w:t>
      </w:r>
    </w:p>
    <w:p w14:paraId="6A706691" w14:textId="500EF189" w:rsidR="00040C3A" w:rsidRPr="0090270B" w:rsidRDefault="00071174" w:rsidP="00627C9F">
      <w:pPr>
        <w:jc w:val="both"/>
        <w:rPr>
          <w:rFonts w:asciiTheme="majorHAnsi" w:hAnsiTheme="majorHAnsi" w:cs="Univers"/>
          <w:b/>
          <w:bCs/>
          <w:sz w:val="22"/>
          <w:szCs w:val="22"/>
          <w:lang w:val="es-ES_tradnl"/>
        </w:rPr>
      </w:pPr>
      <w:r>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60570FD8" w:rsidR="00040C3A" w:rsidRPr="0090270B" w:rsidRDefault="007050F1" w:rsidP="00040C3A">
      <w:pPr>
        <w:tabs>
          <w:tab w:val="center" w:pos="5400"/>
        </w:tabs>
        <w:suppressAutoHyphens/>
        <w:jc w:val="center"/>
        <w:rPr>
          <w:rFonts w:asciiTheme="majorHAnsi" w:hAnsiTheme="majorHAnsi"/>
          <w:sz w:val="22"/>
          <w:szCs w:val="22"/>
          <w:lang w:val="es-ES_tradnl"/>
        </w:rPr>
      </w:pPr>
      <w:r>
        <w:rPr>
          <w:noProof/>
        </w:rPr>
        <mc:AlternateContent>
          <mc:Choice Requires="wps">
            <w:drawing>
              <wp:anchor distT="0" distB="0" distL="114300" distR="114300" simplePos="0" relativeHeight="251658241" behindDoc="0" locked="0" layoutInCell="1" allowOverlap="1" wp14:anchorId="05BADA9C" wp14:editId="6AC9F208">
                <wp:simplePos x="0" y="0"/>
                <wp:positionH relativeFrom="column">
                  <wp:posOffset>1352550</wp:posOffset>
                </wp:positionH>
                <wp:positionV relativeFrom="paragraph">
                  <wp:posOffset>107315</wp:posOffset>
                </wp:positionV>
                <wp:extent cx="4441190" cy="2185670"/>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5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C3A977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0456F">
                              <w:rPr>
                                <w:rFonts w:asciiTheme="majorHAnsi" w:hAnsiTheme="majorHAnsi" w:cs="Arial"/>
                                <w:b/>
                                <w:bCs/>
                                <w:color w:val="0D0D0D" w:themeColor="text1" w:themeTint="F2"/>
                                <w:sz w:val="36"/>
                                <w:szCs w:val="22"/>
                                <w:lang w:val="es-ES_tradnl"/>
                              </w:rPr>
                              <w:t>386</w:t>
                            </w:r>
                            <w:r w:rsidR="007B05C4">
                              <w:rPr>
                                <w:rFonts w:asciiTheme="majorHAnsi" w:hAnsiTheme="majorHAnsi" w:cs="Arial"/>
                                <w:b/>
                                <w:bCs/>
                                <w:color w:val="0D0D0D" w:themeColor="text1" w:themeTint="F2"/>
                                <w:sz w:val="36"/>
                                <w:szCs w:val="22"/>
                                <w:lang w:val="es-ES_tradnl"/>
                              </w:rPr>
                              <w:t>/</w:t>
                            </w:r>
                            <w:r w:rsidR="00D921FB">
                              <w:rPr>
                                <w:rFonts w:asciiTheme="majorHAnsi" w:hAnsiTheme="majorHAnsi" w:cs="Arial"/>
                                <w:b/>
                                <w:bCs/>
                                <w:color w:val="0D0D0D" w:themeColor="text1" w:themeTint="F2"/>
                                <w:sz w:val="36"/>
                                <w:szCs w:val="22"/>
                                <w:lang w:val="es-ES_tradnl"/>
                              </w:rPr>
                              <w:t>22</w:t>
                            </w:r>
                          </w:p>
                          <w:p w14:paraId="45F30ECA" w14:textId="0952E3E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A5CDA">
                              <w:rPr>
                                <w:rFonts w:asciiTheme="majorHAnsi" w:hAnsiTheme="majorHAnsi" w:cs="Arial"/>
                                <w:b/>
                                <w:color w:val="0D0D0D" w:themeColor="text1" w:themeTint="F2"/>
                                <w:sz w:val="36"/>
                                <w:szCs w:val="22"/>
                                <w:lang w:val="es-ES_tradnl"/>
                              </w:rPr>
                              <w:t>968</w:t>
                            </w:r>
                            <w:r w:rsidR="00246D1F" w:rsidRPr="004E2649">
                              <w:rPr>
                                <w:rFonts w:asciiTheme="majorHAnsi" w:hAnsiTheme="majorHAnsi" w:cs="Arial"/>
                                <w:b/>
                                <w:color w:val="0D0D0D" w:themeColor="text1" w:themeTint="F2"/>
                                <w:sz w:val="36"/>
                                <w:szCs w:val="22"/>
                                <w:lang w:val="es-ES_tradnl"/>
                              </w:rPr>
                              <w:t>-</w:t>
                            </w:r>
                            <w:r w:rsidR="00BA5CDA">
                              <w:rPr>
                                <w:rFonts w:asciiTheme="majorHAnsi" w:hAnsiTheme="majorHAnsi" w:cs="Arial"/>
                                <w:b/>
                                <w:color w:val="0D0D0D" w:themeColor="text1" w:themeTint="F2"/>
                                <w:sz w:val="36"/>
                                <w:szCs w:val="22"/>
                                <w:lang w:val="es-ES_tradnl"/>
                              </w:rPr>
                              <w:t>17</w:t>
                            </w:r>
                            <w:r w:rsidR="00246D1F" w:rsidRPr="004E2649">
                              <w:rPr>
                                <w:rFonts w:asciiTheme="majorHAnsi" w:hAnsiTheme="majorHAnsi" w:cs="Arial"/>
                                <w:b/>
                                <w:color w:val="0D0D0D" w:themeColor="text1" w:themeTint="F2"/>
                                <w:sz w:val="36"/>
                                <w:szCs w:val="22"/>
                                <w:lang w:val="es-ES_tradnl"/>
                              </w:rPr>
                              <w:t xml:space="preserve"> </w:t>
                            </w:r>
                          </w:p>
                          <w:p w14:paraId="188B4303" w14:textId="31A3D7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225C6E">
                              <w:rPr>
                                <w:rFonts w:asciiTheme="majorHAnsi" w:hAnsiTheme="majorHAnsi" w:cs="Arial"/>
                                <w:color w:val="0D0D0D" w:themeColor="text1" w:themeTint="F2"/>
                                <w:szCs w:val="22"/>
                                <w:lang w:val="es-ES_tradnl"/>
                              </w:rPr>
                              <w:t>INFORME DE ADMISIBILIDAD</w:t>
                            </w:r>
                            <w:r w:rsidR="00F519CF" w:rsidRPr="00225C6E">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3C04500" w:rsidR="005B52B0" w:rsidRPr="0010736F" w:rsidRDefault="00A905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DANIEL GIL TREJOS</w:t>
                            </w:r>
                          </w:p>
                          <w:bookmarkEnd w:id="0"/>
                          <w:p w14:paraId="0B9F7D22" w14:textId="5419F3E2" w:rsidR="005B52B0" w:rsidRPr="00F56ECB" w:rsidRDefault="00BA5CDA"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r w:rsidR="00467278">
                              <w:rPr>
                                <w:rFonts w:asciiTheme="majorHAnsi" w:hAnsiTheme="majorHAnsi" w:cs="Arial"/>
                                <w:color w:val="0D0D0D" w:themeColor="text1" w:themeTint="F2"/>
                                <w:szCs w:val="22"/>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ADA9C" id="Cuadro de texto 17" o:spid="_x0000_s1027" type="#_x0000_t202" style="position:absolute;left:0;text-align:left;margin-left:106.5pt;margin-top:8.45pt;width:349.7pt;height:17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" filled="f" stroked="f" strokeweight=".5pt">
                <v:textbox>
                  <w:txbxContent>
                    <w:p w14:paraId="7D7328D9" w14:textId="6C3A977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0456F">
                        <w:rPr>
                          <w:rFonts w:asciiTheme="majorHAnsi" w:hAnsiTheme="majorHAnsi" w:cs="Arial"/>
                          <w:b/>
                          <w:bCs/>
                          <w:color w:val="0D0D0D" w:themeColor="text1" w:themeTint="F2"/>
                          <w:sz w:val="36"/>
                          <w:szCs w:val="22"/>
                          <w:lang w:val="es-ES_tradnl"/>
                        </w:rPr>
                        <w:t>386</w:t>
                      </w:r>
                      <w:r w:rsidR="007B05C4">
                        <w:rPr>
                          <w:rFonts w:asciiTheme="majorHAnsi" w:hAnsiTheme="majorHAnsi" w:cs="Arial"/>
                          <w:b/>
                          <w:bCs/>
                          <w:color w:val="0D0D0D" w:themeColor="text1" w:themeTint="F2"/>
                          <w:sz w:val="36"/>
                          <w:szCs w:val="22"/>
                          <w:lang w:val="es-ES_tradnl"/>
                        </w:rPr>
                        <w:t>/</w:t>
                      </w:r>
                      <w:r w:rsidR="00D921FB">
                        <w:rPr>
                          <w:rFonts w:asciiTheme="majorHAnsi" w:hAnsiTheme="majorHAnsi" w:cs="Arial"/>
                          <w:b/>
                          <w:bCs/>
                          <w:color w:val="0D0D0D" w:themeColor="text1" w:themeTint="F2"/>
                          <w:sz w:val="36"/>
                          <w:szCs w:val="22"/>
                          <w:lang w:val="es-ES_tradnl"/>
                        </w:rPr>
                        <w:t>22</w:t>
                      </w:r>
                    </w:p>
                    <w:p w14:paraId="45F30ECA" w14:textId="0952E3E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A5CDA">
                        <w:rPr>
                          <w:rFonts w:asciiTheme="majorHAnsi" w:hAnsiTheme="majorHAnsi" w:cs="Arial"/>
                          <w:b/>
                          <w:color w:val="0D0D0D" w:themeColor="text1" w:themeTint="F2"/>
                          <w:sz w:val="36"/>
                          <w:szCs w:val="22"/>
                          <w:lang w:val="es-ES_tradnl"/>
                        </w:rPr>
                        <w:t>968</w:t>
                      </w:r>
                      <w:r w:rsidR="00246D1F" w:rsidRPr="004E2649">
                        <w:rPr>
                          <w:rFonts w:asciiTheme="majorHAnsi" w:hAnsiTheme="majorHAnsi" w:cs="Arial"/>
                          <w:b/>
                          <w:color w:val="0D0D0D" w:themeColor="text1" w:themeTint="F2"/>
                          <w:sz w:val="36"/>
                          <w:szCs w:val="22"/>
                          <w:lang w:val="es-ES_tradnl"/>
                        </w:rPr>
                        <w:t>-</w:t>
                      </w:r>
                      <w:r w:rsidR="00BA5CDA">
                        <w:rPr>
                          <w:rFonts w:asciiTheme="majorHAnsi" w:hAnsiTheme="majorHAnsi" w:cs="Arial"/>
                          <w:b/>
                          <w:color w:val="0D0D0D" w:themeColor="text1" w:themeTint="F2"/>
                          <w:sz w:val="36"/>
                          <w:szCs w:val="22"/>
                          <w:lang w:val="es-ES_tradnl"/>
                        </w:rPr>
                        <w:t>17</w:t>
                      </w:r>
                      <w:r w:rsidR="00246D1F" w:rsidRPr="004E2649">
                        <w:rPr>
                          <w:rFonts w:asciiTheme="majorHAnsi" w:hAnsiTheme="majorHAnsi" w:cs="Arial"/>
                          <w:b/>
                          <w:color w:val="0D0D0D" w:themeColor="text1" w:themeTint="F2"/>
                          <w:sz w:val="36"/>
                          <w:szCs w:val="22"/>
                          <w:lang w:val="es-ES_tradnl"/>
                        </w:rPr>
                        <w:t xml:space="preserve"> </w:t>
                      </w:r>
                    </w:p>
                    <w:p w14:paraId="188B4303" w14:textId="31A3D7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225C6E">
                        <w:rPr>
                          <w:rFonts w:asciiTheme="majorHAnsi" w:hAnsiTheme="majorHAnsi" w:cs="Arial"/>
                          <w:color w:val="0D0D0D" w:themeColor="text1" w:themeTint="F2"/>
                          <w:szCs w:val="22"/>
                          <w:lang w:val="es-ES_tradnl"/>
                        </w:rPr>
                        <w:t>INFORME DE ADMISIBILIDAD</w:t>
                      </w:r>
                      <w:r w:rsidR="00F519CF" w:rsidRPr="00225C6E">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3C04500" w:rsidR="005B52B0" w:rsidRPr="0010736F" w:rsidRDefault="00A905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DANIEL GIL TREJOS</w:t>
                      </w:r>
                    </w:p>
                    <w:bookmarkEnd w:id="1"/>
                    <w:p w14:paraId="0B9F7D22" w14:textId="5419F3E2" w:rsidR="005B52B0" w:rsidRPr="00F56ECB" w:rsidRDefault="00BA5CDA"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r w:rsidR="00467278">
                        <w:rPr>
                          <w:rFonts w:asciiTheme="majorHAnsi" w:hAnsiTheme="majorHAnsi" w:cs="Arial"/>
                          <w:color w:val="0D0D0D" w:themeColor="text1" w:themeTint="F2"/>
                          <w:szCs w:val="22"/>
                          <w:lang w:val="es-ES_tradnl"/>
                        </w:rPr>
                        <w:t xml:space="preserve"> </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9078E15" wp14:editId="2CC85A2F">
                <wp:simplePos x="0" y="0"/>
                <wp:positionH relativeFrom="column">
                  <wp:posOffset>-342900</wp:posOffset>
                </wp:positionH>
                <wp:positionV relativeFrom="paragraph">
                  <wp:posOffset>164465</wp:posOffset>
                </wp:positionV>
                <wp:extent cx="1390650" cy="1377315"/>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ED0B25A" w:rsidR="00627C9F" w:rsidRPr="006A33EC" w:rsidRDefault="00834D49" w:rsidP="007A5817">
                            <w:pPr>
                              <w:spacing w:line="276" w:lineRule="auto"/>
                              <w:jc w:val="right"/>
                              <w:rPr>
                                <w:rFonts w:asciiTheme="minorHAnsi" w:hAnsiTheme="minorHAnsi"/>
                                <w:color w:val="FFFFFF" w:themeColor="background1"/>
                                <w:sz w:val="22"/>
                                <w:lang w:val="es-ES"/>
                              </w:rPr>
                            </w:pPr>
                            <w:r w:rsidRPr="006A33EC">
                              <w:rPr>
                                <w:rFonts w:asciiTheme="minorHAnsi" w:hAnsiTheme="minorHAnsi"/>
                                <w:color w:val="FFFFFF" w:themeColor="background1"/>
                                <w:sz w:val="22"/>
                                <w:lang w:val="es-ES"/>
                              </w:rPr>
                              <w:t>OEA/Ser.L/V/II</w:t>
                            </w:r>
                          </w:p>
                          <w:p w14:paraId="71D2D5D2" w14:textId="4C4BEF10" w:rsidR="00627C9F" w:rsidRPr="006A33EC" w:rsidRDefault="00627C9F" w:rsidP="007A5817">
                            <w:pPr>
                              <w:spacing w:line="276" w:lineRule="auto"/>
                              <w:jc w:val="right"/>
                              <w:rPr>
                                <w:rFonts w:asciiTheme="minorHAnsi" w:hAnsiTheme="minorHAnsi"/>
                                <w:color w:val="FFFFFF" w:themeColor="background1"/>
                                <w:sz w:val="22"/>
                                <w:lang w:val="es-ES"/>
                              </w:rPr>
                            </w:pPr>
                            <w:r w:rsidRPr="006A33EC">
                              <w:rPr>
                                <w:rFonts w:asciiTheme="minorHAnsi" w:hAnsiTheme="minorHAnsi"/>
                                <w:color w:val="FFFFFF" w:themeColor="background1"/>
                                <w:sz w:val="22"/>
                                <w:lang w:val="es-ES"/>
                              </w:rPr>
                              <w:t xml:space="preserve">Doc. </w:t>
                            </w:r>
                            <w:r w:rsidR="00675073" w:rsidRPr="006A33EC">
                              <w:rPr>
                                <w:rFonts w:asciiTheme="minorHAnsi" w:hAnsiTheme="minorHAnsi"/>
                                <w:color w:val="FFFFFF" w:themeColor="background1"/>
                                <w:sz w:val="22"/>
                                <w:lang w:val="es-ES"/>
                              </w:rPr>
                              <w:t>398</w:t>
                            </w:r>
                          </w:p>
                          <w:p w14:paraId="4061DBBD" w14:textId="66F0E080" w:rsidR="00627C9F" w:rsidRPr="00C25ADB" w:rsidRDefault="0067507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BA5CDA">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78E15" id="Cuadro de texto 15"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3633871B" w14:textId="1ED0B25A" w:rsidR="00627C9F" w:rsidRPr="006A33EC" w:rsidRDefault="00834D49" w:rsidP="007A5817">
                      <w:pPr>
                        <w:spacing w:line="276" w:lineRule="auto"/>
                        <w:jc w:val="right"/>
                        <w:rPr>
                          <w:rFonts w:asciiTheme="minorHAnsi" w:hAnsiTheme="minorHAnsi"/>
                          <w:color w:val="FFFFFF" w:themeColor="background1"/>
                          <w:sz w:val="22"/>
                          <w:lang w:val="es-ES"/>
                        </w:rPr>
                      </w:pPr>
                      <w:r w:rsidRPr="006A33EC">
                        <w:rPr>
                          <w:rFonts w:asciiTheme="minorHAnsi" w:hAnsiTheme="minorHAnsi"/>
                          <w:color w:val="FFFFFF" w:themeColor="background1"/>
                          <w:sz w:val="22"/>
                          <w:lang w:val="es-ES"/>
                        </w:rPr>
                        <w:t>OEA/Ser.L/V/II</w:t>
                      </w:r>
                    </w:p>
                    <w:p w14:paraId="71D2D5D2" w14:textId="4C4BEF10" w:rsidR="00627C9F" w:rsidRPr="006A33EC" w:rsidRDefault="00627C9F" w:rsidP="007A5817">
                      <w:pPr>
                        <w:spacing w:line="276" w:lineRule="auto"/>
                        <w:jc w:val="right"/>
                        <w:rPr>
                          <w:rFonts w:asciiTheme="minorHAnsi" w:hAnsiTheme="minorHAnsi"/>
                          <w:color w:val="FFFFFF" w:themeColor="background1"/>
                          <w:sz w:val="22"/>
                          <w:lang w:val="es-ES"/>
                        </w:rPr>
                      </w:pPr>
                      <w:r w:rsidRPr="006A33EC">
                        <w:rPr>
                          <w:rFonts w:asciiTheme="minorHAnsi" w:hAnsiTheme="minorHAnsi"/>
                          <w:color w:val="FFFFFF" w:themeColor="background1"/>
                          <w:sz w:val="22"/>
                          <w:lang w:val="es-ES"/>
                        </w:rPr>
                        <w:t xml:space="preserve">Doc. </w:t>
                      </w:r>
                      <w:r w:rsidR="00675073" w:rsidRPr="006A33EC">
                        <w:rPr>
                          <w:rFonts w:asciiTheme="minorHAnsi" w:hAnsiTheme="minorHAnsi"/>
                          <w:color w:val="FFFFFF" w:themeColor="background1"/>
                          <w:sz w:val="22"/>
                          <w:lang w:val="es-ES"/>
                        </w:rPr>
                        <w:t>398</w:t>
                      </w:r>
                    </w:p>
                    <w:p w14:paraId="4061DBBD" w14:textId="66F0E080" w:rsidR="00627C9F" w:rsidRPr="00C25ADB" w:rsidRDefault="0067507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BA5CDA">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14BCBB52" w:rsidR="00A50FCF" w:rsidRPr="0090270B" w:rsidRDefault="007050F1"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58242" behindDoc="0" locked="0" layoutInCell="1" allowOverlap="1" wp14:anchorId="5E53F9D0" wp14:editId="04ED0A9C">
                <wp:simplePos x="0" y="0"/>
                <wp:positionH relativeFrom="column">
                  <wp:posOffset>1341755</wp:posOffset>
                </wp:positionH>
                <wp:positionV relativeFrom="paragraph">
                  <wp:posOffset>22860</wp:posOffset>
                </wp:positionV>
                <wp:extent cx="4933950" cy="66738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7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3816E7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75073">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675073">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67278">
                              <w:rPr>
                                <w:rFonts w:asciiTheme="majorHAnsi" w:hAnsiTheme="majorHAnsi"/>
                                <w:color w:val="0D0D0D" w:themeColor="text1" w:themeTint="F2"/>
                                <w:sz w:val="18"/>
                                <w:szCs w:val="22"/>
                                <w:lang w:val="es-ES"/>
                              </w:rPr>
                              <w:t>2</w:t>
                            </w:r>
                            <w:r w:rsidR="0067507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3F9D0" id="Cuadro de texto 14" o:spid="_x0000_s1029" type="#_x0000_t202" style="position:absolute;left:0;text-align:left;margin-left:105.65pt;margin-top:1.8pt;width:388.5pt;height:5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" filled="f" stroked="f" strokeweight=".5pt">
                <v:textbox>
                  <w:txbxContent>
                    <w:p w14:paraId="179E1DD7" w14:textId="43816E7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75073">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675073">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67278">
                        <w:rPr>
                          <w:rFonts w:asciiTheme="majorHAnsi" w:hAnsiTheme="majorHAnsi"/>
                          <w:color w:val="0D0D0D" w:themeColor="text1" w:themeTint="F2"/>
                          <w:sz w:val="18"/>
                          <w:szCs w:val="22"/>
                          <w:lang w:val="es-ES"/>
                        </w:rPr>
                        <w:t>2</w:t>
                      </w:r>
                      <w:r w:rsidR="0067507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57E904AF" w:rsidR="00A50FCF" w:rsidRPr="0090270B" w:rsidRDefault="007050F1"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58245" behindDoc="0" locked="0" layoutInCell="1" allowOverlap="1" wp14:anchorId="5BB29399" wp14:editId="336C2C37">
                <wp:simplePos x="0" y="0"/>
                <wp:positionH relativeFrom="column">
                  <wp:posOffset>1333500</wp:posOffset>
                </wp:positionH>
                <wp:positionV relativeFrom="paragraph">
                  <wp:posOffset>5715</wp:posOffset>
                </wp:positionV>
                <wp:extent cx="4943475" cy="65722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6CDADD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87FF1" w:rsidRPr="00987FF1">
                              <w:rPr>
                                <w:rFonts w:asciiTheme="majorHAnsi" w:hAnsiTheme="majorHAnsi"/>
                                <w:color w:val="595959" w:themeColor="text1" w:themeTint="A6"/>
                                <w:sz w:val="18"/>
                                <w:szCs w:val="18"/>
                                <w:lang w:val="pt-BR"/>
                              </w:rPr>
                              <w:t>386</w:t>
                            </w:r>
                            <w:r w:rsidR="007B05C4" w:rsidRPr="00987FF1">
                              <w:rPr>
                                <w:rFonts w:asciiTheme="majorHAnsi" w:hAnsiTheme="majorHAnsi"/>
                                <w:color w:val="595959" w:themeColor="text1" w:themeTint="A6"/>
                                <w:sz w:val="18"/>
                                <w:szCs w:val="18"/>
                                <w:lang w:val="pt-BR"/>
                              </w:rPr>
                              <w:t>/</w:t>
                            </w:r>
                            <w:r w:rsidR="00987FF1" w:rsidRPr="00987FF1">
                              <w:rPr>
                                <w:rFonts w:asciiTheme="majorHAnsi" w:hAnsiTheme="majorHAnsi"/>
                                <w:color w:val="595959" w:themeColor="text1" w:themeTint="A6"/>
                                <w:sz w:val="18"/>
                                <w:szCs w:val="18"/>
                                <w:lang w:val="pt-BR"/>
                              </w:rPr>
                              <w:t>22</w:t>
                            </w:r>
                            <w:r w:rsidRPr="00987FF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70F67">
                              <w:rPr>
                                <w:rFonts w:asciiTheme="majorHAnsi" w:hAnsiTheme="majorHAnsi"/>
                                <w:color w:val="595959" w:themeColor="text1" w:themeTint="A6"/>
                                <w:sz w:val="18"/>
                                <w:szCs w:val="18"/>
                                <w:lang w:val="es-ES"/>
                              </w:rPr>
                              <w:t>968</w:t>
                            </w:r>
                            <w:r w:rsidR="000433C9">
                              <w:rPr>
                                <w:rFonts w:asciiTheme="majorHAnsi" w:hAnsiTheme="majorHAnsi"/>
                                <w:color w:val="595959" w:themeColor="text1" w:themeTint="A6"/>
                                <w:sz w:val="18"/>
                                <w:szCs w:val="18"/>
                                <w:lang w:val="es-ES"/>
                              </w:rPr>
                              <w:t>-</w:t>
                            </w:r>
                            <w:r w:rsidR="00B70F67">
                              <w:rPr>
                                <w:rFonts w:asciiTheme="majorHAnsi" w:hAnsiTheme="majorHAnsi"/>
                                <w:color w:val="595959" w:themeColor="text1" w:themeTint="A6"/>
                                <w:sz w:val="18"/>
                                <w:szCs w:val="18"/>
                                <w:lang w:val="es-ES"/>
                              </w:rPr>
                              <w:t>17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A9059A">
                              <w:rPr>
                                <w:rFonts w:asciiTheme="majorHAnsi" w:hAnsiTheme="majorHAnsi"/>
                                <w:color w:val="595959" w:themeColor="text1" w:themeTint="A6"/>
                                <w:sz w:val="18"/>
                                <w:szCs w:val="18"/>
                                <w:lang w:val="es-ES_tradnl"/>
                              </w:rPr>
                              <w:t>José Daniel Gil Trejos</w:t>
                            </w:r>
                            <w:r w:rsidRPr="00890650">
                              <w:rPr>
                                <w:rFonts w:asciiTheme="majorHAnsi" w:hAnsiTheme="majorHAnsi"/>
                                <w:color w:val="595959" w:themeColor="text1" w:themeTint="A6"/>
                                <w:sz w:val="18"/>
                                <w:szCs w:val="18"/>
                                <w:lang w:val="es-ES_tradnl"/>
                              </w:rPr>
                              <w:t xml:space="preserve">. </w:t>
                            </w:r>
                            <w:r w:rsidR="00E3317D">
                              <w:rPr>
                                <w:rFonts w:asciiTheme="majorHAnsi" w:hAnsiTheme="majorHAnsi"/>
                                <w:color w:val="595959" w:themeColor="text1" w:themeTint="A6"/>
                                <w:sz w:val="18"/>
                                <w:szCs w:val="18"/>
                                <w:lang w:val="es-ES_tradnl"/>
                              </w:rPr>
                              <w:t>Nicaragua</w:t>
                            </w:r>
                            <w:r w:rsidRPr="00890650">
                              <w:rPr>
                                <w:rFonts w:asciiTheme="majorHAnsi" w:hAnsiTheme="majorHAnsi"/>
                                <w:color w:val="595959" w:themeColor="text1" w:themeTint="A6"/>
                                <w:sz w:val="18"/>
                                <w:szCs w:val="18"/>
                                <w:lang w:val="es-ES_tradnl"/>
                              </w:rPr>
                              <w:t xml:space="preserve">. </w:t>
                            </w:r>
                            <w:r w:rsidR="00987FF1">
                              <w:rPr>
                                <w:rFonts w:asciiTheme="majorHAnsi" w:hAnsiTheme="majorHAnsi"/>
                                <w:color w:val="595959" w:themeColor="text1" w:themeTint="A6"/>
                                <w:sz w:val="18"/>
                                <w:szCs w:val="18"/>
                                <w:lang w:val="es-ES"/>
                              </w:rPr>
                              <w:t>17 de diciembre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29399" id="Cuadro de texto 13"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7FD77785" w14:textId="56CDADD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87FF1" w:rsidRPr="00987FF1">
                        <w:rPr>
                          <w:rFonts w:asciiTheme="majorHAnsi" w:hAnsiTheme="majorHAnsi"/>
                          <w:color w:val="595959" w:themeColor="text1" w:themeTint="A6"/>
                          <w:sz w:val="18"/>
                          <w:szCs w:val="18"/>
                          <w:lang w:val="pt-BR"/>
                        </w:rPr>
                        <w:t>386</w:t>
                      </w:r>
                      <w:r w:rsidR="007B05C4" w:rsidRPr="00987FF1">
                        <w:rPr>
                          <w:rFonts w:asciiTheme="majorHAnsi" w:hAnsiTheme="majorHAnsi"/>
                          <w:color w:val="595959" w:themeColor="text1" w:themeTint="A6"/>
                          <w:sz w:val="18"/>
                          <w:szCs w:val="18"/>
                          <w:lang w:val="pt-BR"/>
                        </w:rPr>
                        <w:t>/</w:t>
                      </w:r>
                      <w:r w:rsidR="00987FF1" w:rsidRPr="00987FF1">
                        <w:rPr>
                          <w:rFonts w:asciiTheme="majorHAnsi" w:hAnsiTheme="majorHAnsi"/>
                          <w:color w:val="595959" w:themeColor="text1" w:themeTint="A6"/>
                          <w:sz w:val="18"/>
                          <w:szCs w:val="18"/>
                          <w:lang w:val="pt-BR"/>
                        </w:rPr>
                        <w:t>22</w:t>
                      </w:r>
                      <w:r w:rsidRPr="00987FF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70F67">
                        <w:rPr>
                          <w:rFonts w:asciiTheme="majorHAnsi" w:hAnsiTheme="majorHAnsi"/>
                          <w:color w:val="595959" w:themeColor="text1" w:themeTint="A6"/>
                          <w:sz w:val="18"/>
                          <w:szCs w:val="18"/>
                          <w:lang w:val="es-ES"/>
                        </w:rPr>
                        <w:t>968</w:t>
                      </w:r>
                      <w:r w:rsidR="000433C9">
                        <w:rPr>
                          <w:rFonts w:asciiTheme="majorHAnsi" w:hAnsiTheme="majorHAnsi"/>
                          <w:color w:val="595959" w:themeColor="text1" w:themeTint="A6"/>
                          <w:sz w:val="18"/>
                          <w:szCs w:val="18"/>
                          <w:lang w:val="es-ES"/>
                        </w:rPr>
                        <w:t>-</w:t>
                      </w:r>
                      <w:r w:rsidR="00B70F67">
                        <w:rPr>
                          <w:rFonts w:asciiTheme="majorHAnsi" w:hAnsiTheme="majorHAnsi"/>
                          <w:color w:val="595959" w:themeColor="text1" w:themeTint="A6"/>
                          <w:sz w:val="18"/>
                          <w:szCs w:val="18"/>
                          <w:lang w:val="es-ES"/>
                        </w:rPr>
                        <w:t>17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A9059A">
                        <w:rPr>
                          <w:rFonts w:asciiTheme="majorHAnsi" w:hAnsiTheme="majorHAnsi"/>
                          <w:color w:val="595959" w:themeColor="text1" w:themeTint="A6"/>
                          <w:sz w:val="18"/>
                          <w:szCs w:val="18"/>
                          <w:lang w:val="es-ES_tradnl"/>
                        </w:rPr>
                        <w:t>José Daniel Gil Trejos</w:t>
                      </w:r>
                      <w:r w:rsidRPr="00890650">
                        <w:rPr>
                          <w:rFonts w:asciiTheme="majorHAnsi" w:hAnsiTheme="majorHAnsi"/>
                          <w:color w:val="595959" w:themeColor="text1" w:themeTint="A6"/>
                          <w:sz w:val="18"/>
                          <w:szCs w:val="18"/>
                          <w:lang w:val="es-ES_tradnl"/>
                        </w:rPr>
                        <w:t xml:space="preserve">. </w:t>
                      </w:r>
                      <w:r w:rsidR="00E3317D">
                        <w:rPr>
                          <w:rFonts w:asciiTheme="majorHAnsi" w:hAnsiTheme="majorHAnsi"/>
                          <w:color w:val="595959" w:themeColor="text1" w:themeTint="A6"/>
                          <w:sz w:val="18"/>
                          <w:szCs w:val="18"/>
                          <w:lang w:val="es-ES_tradnl"/>
                        </w:rPr>
                        <w:t>Nicaragua</w:t>
                      </w:r>
                      <w:r w:rsidRPr="00890650">
                        <w:rPr>
                          <w:rFonts w:asciiTheme="majorHAnsi" w:hAnsiTheme="majorHAnsi"/>
                          <w:color w:val="595959" w:themeColor="text1" w:themeTint="A6"/>
                          <w:sz w:val="18"/>
                          <w:szCs w:val="18"/>
                          <w:lang w:val="es-ES_tradnl"/>
                        </w:rPr>
                        <w:t xml:space="preserve">. </w:t>
                      </w:r>
                      <w:r w:rsidR="00987FF1">
                        <w:rPr>
                          <w:rFonts w:asciiTheme="majorHAnsi" w:hAnsiTheme="majorHAnsi"/>
                          <w:color w:val="595959" w:themeColor="text1" w:themeTint="A6"/>
                          <w:sz w:val="18"/>
                          <w:szCs w:val="18"/>
                          <w:lang w:val="es-ES"/>
                        </w:rPr>
                        <w:t>17 de diciembre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5A9ABCF" w:rsidR="0090270B" w:rsidRDefault="007050F1" w:rsidP="005516A1">
      <w:pPr>
        <w:tabs>
          <w:tab w:val="center" w:pos="5400"/>
        </w:tabs>
        <w:suppressAutoHyphens/>
        <w:jc w:val="center"/>
        <w:rPr>
          <w:rFonts w:asciiTheme="majorHAnsi" w:hAnsiTheme="majorHAnsi"/>
          <w:b/>
          <w:sz w:val="20"/>
          <w:lang w:val="es-ES_tradnl"/>
        </w:rPr>
      </w:pPr>
      <w:r>
        <w:rPr>
          <w:noProof/>
        </w:rPr>
        <mc:AlternateContent>
          <mc:Choice Requires="wps">
            <w:drawing>
              <wp:anchor distT="0" distB="0" distL="114300" distR="114300" simplePos="0" relativeHeight="251658246" behindDoc="0" locked="0" layoutInCell="1" allowOverlap="1" wp14:anchorId="23187149" wp14:editId="29AE3ECA">
                <wp:simplePos x="0" y="0"/>
                <wp:positionH relativeFrom="column">
                  <wp:posOffset>1329690</wp:posOffset>
                </wp:positionH>
                <wp:positionV relativeFrom="paragraph">
                  <wp:posOffset>638810</wp:posOffset>
                </wp:positionV>
                <wp:extent cx="4096385" cy="567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8C4EF0" w:rsidRDefault="001004FE" w:rsidP="00F02AD1">
                            <w:pPr>
                              <w:rPr>
                                <w:color w:val="FFFFFF" w:themeColor="background1"/>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87149" id="Cuadro de texto 6"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" fillcolor="white [3201]" stroked="f" strokeweight=".5pt">
                <v:textbox>
                  <w:txbxContent>
                    <w:p w14:paraId="16E85441" w14:textId="36B2F143" w:rsidR="00D72DC6" w:rsidRPr="008C4EF0" w:rsidRDefault="001004FE" w:rsidP="00F02AD1">
                      <w:pPr>
                        <w:rPr>
                          <w:color w:val="FFFFFF" w:themeColor="background1"/>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p>
    <w:p w14:paraId="150CCFA7" w14:textId="0931101A" w:rsidR="0070697F" w:rsidRDefault="00987FF1"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noProof/>
        </w:rPr>
        <mc:AlternateContent>
          <mc:Choice Requires="wps">
            <w:drawing>
              <wp:anchor distT="0" distB="0" distL="114300" distR="114300" simplePos="0" relativeHeight="251658247" behindDoc="0" locked="0" layoutInCell="1" allowOverlap="1" wp14:anchorId="64C5CE1C" wp14:editId="6077C141">
                <wp:simplePos x="0" y="0"/>
                <wp:positionH relativeFrom="column">
                  <wp:posOffset>-262255</wp:posOffset>
                </wp:positionH>
                <wp:positionV relativeFrom="paragraph">
                  <wp:posOffset>651982</wp:posOffset>
                </wp:positionV>
                <wp:extent cx="1181100" cy="33274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5CE1C" id="Cuadro de texto 3" o:spid="_x0000_s1032" type="#_x0000_t202" style="position:absolute;left:0;text-align:left;margin-left:-20.65pt;margin-top:51.3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F550C" w:rsidRDefault="003239B8" w:rsidP="0077679E">
            <w:pPr>
              <w:jc w:val="center"/>
              <w:rPr>
                <w:rFonts w:ascii="Cambria" w:hAnsi="Cambria"/>
                <w:b/>
                <w:bCs/>
                <w:color w:val="FFFFFF" w:themeColor="background1"/>
                <w:sz w:val="20"/>
                <w:szCs w:val="20"/>
                <w:lang w:val="es-ES_tradnl"/>
              </w:rPr>
            </w:pPr>
            <w:r w:rsidRPr="000F550C">
              <w:rPr>
                <w:rFonts w:ascii="Cambria" w:hAnsi="Cambria"/>
                <w:b/>
                <w:bCs/>
                <w:color w:val="FFFFFF" w:themeColor="background1"/>
                <w:sz w:val="20"/>
                <w:szCs w:val="20"/>
                <w:lang w:val="es-ES_tradnl"/>
              </w:rPr>
              <w:t>Parte peticionaria:</w:t>
            </w:r>
          </w:p>
        </w:tc>
        <w:tc>
          <w:tcPr>
            <w:tcW w:w="5647" w:type="dxa"/>
            <w:vAlign w:val="center"/>
          </w:tcPr>
          <w:p w14:paraId="07DAAE2E" w14:textId="381522C9" w:rsidR="003239B8" w:rsidRPr="000F550C" w:rsidRDefault="004C0239" w:rsidP="0077679E">
            <w:pPr>
              <w:jc w:val="both"/>
              <w:rPr>
                <w:rFonts w:ascii="Cambria" w:hAnsi="Cambria"/>
                <w:bCs/>
                <w:sz w:val="20"/>
                <w:szCs w:val="20"/>
                <w:lang w:val="es-ES_tradnl"/>
              </w:rPr>
            </w:pPr>
            <w:r w:rsidRPr="000F550C">
              <w:rPr>
                <w:rFonts w:ascii="Cambria" w:hAnsi="Cambria"/>
                <w:bCs/>
                <w:sz w:val="20"/>
                <w:szCs w:val="20"/>
                <w:lang w:val="es-ES_tradnl"/>
              </w:rPr>
              <w:t>José Daniel Gil Trejos</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F550C" w:rsidRDefault="00A6673E" w:rsidP="0077679E">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F550C" w:rsidDel="008C4EF0">
                  <w:rPr>
                    <w:rFonts w:ascii="Cambria" w:hAnsi="Cambria"/>
                    <w:b/>
                    <w:bCs/>
                    <w:color w:val="FFFFFF" w:themeColor="background1"/>
                    <w:sz w:val="20"/>
                    <w:szCs w:val="20"/>
                    <w:lang w:val="es-ES_tradnl"/>
                  </w:rPr>
                  <w:t>Presunta víctima</w:t>
                </w:r>
                <w:r w:rsidR="008C4EF0">
                  <w:rPr>
                    <w:rFonts w:ascii="Cambria" w:hAnsi="Cambria"/>
                    <w:b/>
                    <w:bCs/>
                    <w:color w:val="FFFFFF" w:themeColor="background1"/>
                    <w:sz w:val="20"/>
                    <w:szCs w:val="20"/>
                    <w:lang w:val="es-ES_tradnl"/>
                  </w:rPr>
                  <w:t>Presunta víctima</w:t>
                </w:r>
              </w:sdtContent>
            </w:sdt>
            <w:r w:rsidR="003239B8" w:rsidRPr="000F550C">
              <w:rPr>
                <w:rFonts w:ascii="Cambria" w:hAnsi="Cambria"/>
                <w:b/>
                <w:bCs/>
                <w:color w:val="FFFFFF" w:themeColor="background1"/>
                <w:sz w:val="20"/>
                <w:szCs w:val="20"/>
                <w:lang w:val="es-ES_tradnl"/>
              </w:rPr>
              <w:t>:</w:t>
            </w:r>
          </w:p>
        </w:tc>
        <w:tc>
          <w:tcPr>
            <w:tcW w:w="5647" w:type="dxa"/>
            <w:vAlign w:val="center"/>
          </w:tcPr>
          <w:p w14:paraId="143D44A8" w14:textId="7833C21B" w:rsidR="003239B8" w:rsidRPr="000F550C" w:rsidRDefault="004C0239" w:rsidP="0077679E">
            <w:pPr>
              <w:jc w:val="both"/>
              <w:rPr>
                <w:rFonts w:ascii="Cambria" w:hAnsi="Cambria"/>
                <w:bCs/>
                <w:sz w:val="20"/>
                <w:szCs w:val="20"/>
                <w:lang w:val="es-ES_tradnl"/>
              </w:rPr>
            </w:pPr>
            <w:r w:rsidRPr="000F550C">
              <w:rPr>
                <w:rFonts w:ascii="Cambria" w:hAnsi="Cambria"/>
                <w:bCs/>
                <w:sz w:val="20"/>
                <w:szCs w:val="20"/>
                <w:lang w:val="es-ES_tradnl"/>
              </w:rPr>
              <w:t>José Daniel Gil Trejos</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F550C" w:rsidRDefault="003239B8" w:rsidP="0077679E">
            <w:pPr>
              <w:jc w:val="center"/>
              <w:rPr>
                <w:rFonts w:ascii="Cambria" w:hAnsi="Cambria"/>
                <w:b/>
                <w:bCs/>
                <w:color w:val="FFFFFF" w:themeColor="background1"/>
                <w:sz w:val="20"/>
                <w:szCs w:val="20"/>
                <w:lang w:val="es-ES_tradnl"/>
              </w:rPr>
            </w:pPr>
            <w:r w:rsidRPr="000F550C">
              <w:rPr>
                <w:rFonts w:ascii="Cambria" w:hAnsi="Cambria"/>
                <w:b/>
                <w:bCs/>
                <w:color w:val="FFFFFF" w:themeColor="background1"/>
                <w:sz w:val="20"/>
                <w:szCs w:val="20"/>
                <w:lang w:val="es-ES_tradnl"/>
              </w:rPr>
              <w:t>Estado denunciado:</w:t>
            </w:r>
          </w:p>
        </w:tc>
        <w:tc>
          <w:tcPr>
            <w:tcW w:w="5647" w:type="dxa"/>
            <w:vAlign w:val="center"/>
          </w:tcPr>
          <w:p w14:paraId="5D0EC05D" w14:textId="08296116" w:rsidR="003239B8" w:rsidRPr="000F550C" w:rsidRDefault="00692EBC" w:rsidP="0077679E">
            <w:pPr>
              <w:jc w:val="both"/>
              <w:rPr>
                <w:rFonts w:ascii="Cambria" w:hAnsi="Cambria"/>
                <w:bCs/>
                <w:sz w:val="20"/>
                <w:szCs w:val="20"/>
                <w:lang w:val="es-ES_tradnl"/>
              </w:rPr>
            </w:pPr>
            <w:r w:rsidRPr="000F550C">
              <w:rPr>
                <w:rFonts w:ascii="Cambria" w:hAnsi="Cambria"/>
                <w:bCs/>
                <w:sz w:val="20"/>
                <w:szCs w:val="20"/>
                <w:lang w:val="es-ES_tradnl"/>
              </w:rPr>
              <w:t>Nicaragua</w:t>
            </w:r>
          </w:p>
        </w:tc>
      </w:tr>
      <w:tr w:rsidR="00223A29" w:rsidRPr="00CD5692"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F550C" w:rsidRDefault="001B3A00" w:rsidP="00E4118C">
            <w:pPr>
              <w:jc w:val="center"/>
              <w:rPr>
                <w:rFonts w:ascii="Cambria" w:hAnsi="Cambria"/>
                <w:b/>
                <w:bCs/>
                <w:color w:val="FFFFFF" w:themeColor="background1"/>
                <w:sz w:val="20"/>
                <w:szCs w:val="20"/>
                <w:lang w:val="es-ES_tradnl"/>
              </w:rPr>
            </w:pPr>
            <w:r w:rsidRPr="000F550C">
              <w:rPr>
                <w:rFonts w:ascii="Cambria" w:hAnsi="Cambria"/>
                <w:b/>
                <w:bCs/>
                <w:color w:val="FFFFFF" w:themeColor="background1"/>
                <w:sz w:val="20"/>
                <w:szCs w:val="20"/>
                <w:lang w:val="es-ES_tradnl"/>
              </w:rPr>
              <w:t xml:space="preserve">Derechos </w:t>
            </w:r>
            <w:r w:rsidR="00E4118C" w:rsidRPr="000F550C">
              <w:rPr>
                <w:rFonts w:ascii="Cambria" w:hAnsi="Cambria"/>
                <w:b/>
                <w:bCs/>
                <w:color w:val="FFFFFF" w:themeColor="background1"/>
                <w:sz w:val="20"/>
                <w:szCs w:val="20"/>
                <w:lang w:val="es-ES_tradnl"/>
              </w:rPr>
              <w:t>invocados</w:t>
            </w:r>
            <w:r w:rsidRPr="000F550C">
              <w:rPr>
                <w:rFonts w:ascii="Cambria" w:hAnsi="Cambria"/>
                <w:b/>
                <w:bCs/>
                <w:color w:val="FFFFFF" w:themeColor="background1"/>
                <w:sz w:val="20"/>
                <w:szCs w:val="20"/>
                <w:lang w:val="es-ES_tradnl"/>
              </w:rPr>
              <w:t>:</w:t>
            </w:r>
          </w:p>
        </w:tc>
        <w:tc>
          <w:tcPr>
            <w:tcW w:w="5647" w:type="dxa"/>
            <w:vAlign w:val="center"/>
          </w:tcPr>
          <w:p w14:paraId="52B28392" w14:textId="5D4AFE13" w:rsidR="00223A29" w:rsidRPr="000F550C" w:rsidRDefault="00387CE7" w:rsidP="0077679E">
            <w:pPr>
              <w:jc w:val="both"/>
              <w:rPr>
                <w:rFonts w:ascii="Cambria" w:hAnsi="Cambria"/>
                <w:bCs/>
                <w:sz w:val="20"/>
                <w:szCs w:val="20"/>
                <w:lang w:val="es-ES_tradnl"/>
              </w:rPr>
            </w:pPr>
            <w:r w:rsidRPr="000F550C">
              <w:rPr>
                <w:rFonts w:ascii="Cambria" w:hAnsi="Cambria"/>
                <w:bCs/>
                <w:sz w:val="20"/>
                <w:szCs w:val="20"/>
                <w:lang w:val="es-ES_tradnl"/>
              </w:rPr>
              <w:t xml:space="preserve">Artículos </w:t>
            </w:r>
            <w:r w:rsidR="00D07EB0" w:rsidRPr="000F550C">
              <w:rPr>
                <w:rFonts w:ascii="Cambria" w:hAnsi="Cambria"/>
                <w:bCs/>
                <w:sz w:val="20"/>
                <w:szCs w:val="20"/>
                <w:lang w:val="es-ES_tradnl"/>
              </w:rPr>
              <w:t>5 (integridad personal), 7 (libertad personal), 8 (garantías judiciales), 20 (nacionalidad), 24 (</w:t>
            </w:r>
            <w:r w:rsidR="007F5525" w:rsidRPr="000F550C">
              <w:rPr>
                <w:rFonts w:ascii="Cambria" w:hAnsi="Cambria"/>
                <w:bCs/>
                <w:sz w:val="20"/>
                <w:szCs w:val="20"/>
                <w:lang w:val="es-ES_tradnl"/>
              </w:rPr>
              <w:t>igualdad ante la ley</w:t>
            </w:r>
            <w:r w:rsidR="00D07EB0" w:rsidRPr="000F550C">
              <w:rPr>
                <w:rFonts w:ascii="Cambria" w:hAnsi="Cambria"/>
                <w:bCs/>
                <w:sz w:val="20"/>
                <w:szCs w:val="20"/>
                <w:lang w:val="es-ES_tradnl"/>
              </w:rPr>
              <w:t>)</w:t>
            </w:r>
            <w:r w:rsidR="007F5525" w:rsidRPr="000F550C">
              <w:rPr>
                <w:rFonts w:ascii="Cambria" w:hAnsi="Cambria"/>
                <w:bCs/>
                <w:sz w:val="20"/>
                <w:szCs w:val="20"/>
                <w:lang w:val="es-ES_tradnl"/>
              </w:rPr>
              <w:t>, 25 (protección judicial)</w:t>
            </w:r>
            <w:r w:rsidR="00DA08DD" w:rsidRPr="000F550C">
              <w:rPr>
                <w:rFonts w:ascii="Cambria" w:hAnsi="Cambria"/>
                <w:bCs/>
                <w:sz w:val="20"/>
                <w:szCs w:val="20"/>
                <w:lang w:val="es-ES_tradnl"/>
              </w:rPr>
              <w:t xml:space="preserve"> de la Convención Americana sobre Derechos Humanos</w:t>
            </w:r>
            <w:r w:rsidR="00DA08DD" w:rsidRPr="000F550C">
              <w:rPr>
                <w:rStyle w:val="FootnoteReference"/>
                <w:rFonts w:ascii="Cambria" w:hAnsi="Cambria"/>
                <w:bCs/>
                <w:sz w:val="20"/>
                <w:szCs w:val="20"/>
                <w:lang w:val="es-ES_tradnl"/>
              </w:rPr>
              <w:footnoteReference w:id="2"/>
            </w:r>
            <w:r w:rsidRPr="000F550C">
              <w:rPr>
                <w:rFonts w:ascii="Cambria" w:hAnsi="Cambria"/>
                <w:bCs/>
                <w:sz w:val="20"/>
                <w:szCs w:val="20"/>
                <w:lang w:val="es-ES_tradnl"/>
              </w:rPr>
              <w:t xml:space="preserve">; </w:t>
            </w:r>
            <w:r w:rsidR="00A8449B" w:rsidRPr="000F550C">
              <w:rPr>
                <w:rFonts w:ascii="Cambria" w:hAnsi="Cambria"/>
                <w:bCs/>
                <w:sz w:val="20"/>
                <w:szCs w:val="20"/>
                <w:lang w:val="es-ES_tradnl"/>
              </w:rPr>
              <w:t xml:space="preserve">artículos </w:t>
            </w:r>
            <w:r w:rsidR="006E3D2C" w:rsidRPr="000F550C">
              <w:rPr>
                <w:rFonts w:ascii="Cambria" w:hAnsi="Cambria"/>
                <w:bCs/>
                <w:sz w:val="20"/>
                <w:szCs w:val="20"/>
                <w:lang w:val="es-ES_tradnl"/>
              </w:rPr>
              <w:t>XI</w:t>
            </w:r>
            <w:r w:rsidR="0002724A" w:rsidRPr="000F550C">
              <w:rPr>
                <w:rFonts w:ascii="Cambria" w:hAnsi="Cambria"/>
                <w:bCs/>
                <w:sz w:val="20"/>
                <w:szCs w:val="20"/>
                <w:lang w:val="es-ES_tradnl"/>
              </w:rPr>
              <w:t xml:space="preserve"> (preservación de la salud y al bienestar)</w:t>
            </w:r>
            <w:r w:rsidR="006E3D2C" w:rsidRPr="000F550C">
              <w:rPr>
                <w:rFonts w:ascii="Cambria" w:hAnsi="Cambria"/>
                <w:bCs/>
                <w:sz w:val="20"/>
                <w:szCs w:val="20"/>
                <w:lang w:val="es-ES_tradnl"/>
              </w:rPr>
              <w:t xml:space="preserve">, </w:t>
            </w:r>
            <w:r w:rsidR="00A8449B" w:rsidRPr="000F550C">
              <w:rPr>
                <w:rFonts w:ascii="Cambria" w:hAnsi="Cambria"/>
                <w:bCs/>
                <w:sz w:val="20"/>
                <w:szCs w:val="20"/>
                <w:lang w:val="es-ES_tradnl"/>
              </w:rPr>
              <w:t xml:space="preserve">XVIII </w:t>
            </w:r>
            <w:r w:rsidR="0002724A" w:rsidRPr="000F550C">
              <w:rPr>
                <w:rFonts w:ascii="Cambria" w:hAnsi="Cambria"/>
                <w:bCs/>
                <w:sz w:val="20"/>
                <w:szCs w:val="20"/>
                <w:lang w:val="es-ES_tradnl"/>
              </w:rPr>
              <w:t xml:space="preserve">(justicia) </w:t>
            </w:r>
            <w:r w:rsidR="00A8449B" w:rsidRPr="000F550C">
              <w:rPr>
                <w:rFonts w:ascii="Cambria" w:hAnsi="Cambria"/>
                <w:bCs/>
                <w:sz w:val="20"/>
                <w:szCs w:val="20"/>
                <w:lang w:val="es-ES_tradnl"/>
              </w:rPr>
              <w:t>y XXV</w:t>
            </w:r>
            <w:r w:rsidR="0002724A" w:rsidRPr="000F550C">
              <w:rPr>
                <w:rFonts w:ascii="Cambria" w:hAnsi="Cambria"/>
                <w:bCs/>
                <w:sz w:val="20"/>
                <w:szCs w:val="20"/>
                <w:lang w:val="es-ES_tradnl"/>
              </w:rPr>
              <w:t xml:space="preserve"> (detención arbitraria) </w:t>
            </w:r>
            <w:r w:rsidR="00A8449B" w:rsidRPr="000F550C">
              <w:rPr>
                <w:rFonts w:ascii="Cambria" w:hAnsi="Cambria"/>
                <w:bCs/>
                <w:sz w:val="20"/>
                <w:szCs w:val="20"/>
                <w:lang w:val="es-ES_tradnl"/>
              </w:rPr>
              <w:t xml:space="preserve">de la Declaración Americana sobre los Derechos y Deberes del </w:t>
            </w:r>
            <w:r w:rsidR="00D07EB0" w:rsidRPr="000F550C">
              <w:rPr>
                <w:rFonts w:ascii="Cambria" w:hAnsi="Cambria"/>
                <w:bCs/>
                <w:sz w:val="20"/>
                <w:szCs w:val="20"/>
                <w:lang w:val="es-ES_tradnl"/>
              </w:rPr>
              <w:t>Hombre</w:t>
            </w:r>
            <w:r w:rsidR="00DA08DD" w:rsidRPr="000F550C">
              <w:rPr>
                <w:rStyle w:val="FootnoteReference"/>
                <w:rFonts w:ascii="Cambria" w:hAnsi="Cambria"/>
                <w:bCs/>
                <w:sz w:val="20"/>
                <w:szCs w:val="20"/>
                <w:lang w:val="es-ES_tradnl"/>
              </w:rPr>
              <w:footnoteReference w:id="3"/>
            </w:r>
            <w:r w:rsidR="005C6CAA">
              <w:rPr>
                <w:rFonts w:ascii="Cambria" w:hAnsi="Cambria"/>
                <w:bCs/>
                <w:sz w:val="20"/>
                <w:szCs w:val="20"/>
                <w:lang w:val="es-ES_tradnl"/>
              </w:rPr>
              <w:t>; y</w:t>
            </w:r>
            <w:r w:rsidR="00D07EB0" w:rsidRPr="000F550C">
              <w:rPr>
                <w:rFonts w:ascii="Cambria" w:hAnsi="Cambria"/>
                <w:bCs/>
                <w:sz w:val="20"/>
                <w:szCs w:val="20"/>
                <w:lang w:val="es-ES_tradnl"/>
              </w:rPr>
              <w:t xml:space="preserve"> </w:t>
            </w:r>
            <w:r w:rsidRPr="000F550C">
              <w:rPr>
                <w:rFonts w:ascii="Cambria" w:hAnsi="Cambria"/>
                <w:bCs/>
                <w:sz w:val="20"/>
                <w:szCs w:val="20"/>
                <w:lang w:val="es-ES_tradnl"/>
              </w:rPr>
              <w:t>artículo 1 de la Convención Interamericana sobre Desaparición Forzada de Personas</w:t>
            </w:r>
            <w:r w:rsidR="007F5525" w:rsidRPr="000F550C">
              <w:rPr>
                <w:rFonts w:ascii="Cambria" w:hAnsi="Cambria"/>
                <w:bCs/>
                <w:sz w:val="20"/>
                <w:szCs w:val="20"/>
                <w:lang w:val="es-ES_tradnl"/>
              </w:rPr>
              <w:t>; y otros tratados internacionales</w:t>
            </w:r>
            <w:r w:rsidR="007F5525" w:rsidRPr="000F550C">
              <w:rPr>
                <w:rStyle w:val="FootnoteReference"/>
                <w:rFonts w:ascii="Cambria" w:hAnsi="Cambria"/>
                <w:bCs/>
                <w:sz w:val="20"/>
                <w:szCs w:val="20"/>
                <w:lang w:val="es-ES_tradnl"/>
              </w:rPr>
              <w:footnoteReference w:id="4"/>
            </w:r>
            <w:r w:rsidRPr="000F550C">
              <w:rPr>
                <w:rFonts w:ascii="Cambria" w:hAnsi="Cambria"/>
                <w:bCs/>
                <w:sz w:val="20"/>
                <w:szCs w:val="20"/>
                <w:lang w:val="es-ES_tradnl"/>
              </w:rPr>
              <w:t xml:space="preserve"> </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6FD4D972" w:rsidR="004C2312" w:rsidRPr="003239B8" w:rsidRDefault="00B763A9" w:rsidP="0077679E">
            <w:pPr>
              <w:jc w:val="both"/>
              <w:rPr>
                <w:rFonts w:ascii="Cambria" w:hAnsi="Cambria"/>
                <w:bCs/>
                <w:sz w:val="20"/>
                <w:szCs w:val="20"/>
                <w:lang w:val="es-ES"/>
              </w:rPr>
            </w:pPr>
            <w:r>
              <w:rPr>
                <w:rFonts w:ascii="Cambria" w:hAnsi="Cambria"/>
                <w:bCs/>
                <w:sz w:val="20"/>
                <w:szCs w:val="20"/>
                <w:lang w:val="es-ES"/>
              </w:rPr>
              <w:t>7</w:t>
            </w:r>
            <w:r w:rsidR="00C560D7">
              <w:rPr>
                <w:rFonts w:ascii="Cambria" w:hAnsi="Cambria"/>
                <w:bCs/>
                <w:sz w:val="20"/>
                <w:szCs w:val="20"/>
                <w:lang w:val="es-ES"/>
              </w:rPr>
              <w:t xml:space="preserve"> de junio de 2017</w:t>
            </w:r>
          </w:p>
        </w:tc>
      </w:tr>
      <w:tr w:rsidR="00131425" w:rsidRPr="00CD5692"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2A92D2EA" w:rsidR="00131425" w:rsidRPr="003239B8" w:rsidRDefault="00B763A9" w:rsidP="0077679E">
            <w:pPr>
              <w:jc w:val="both"/>
              <w:rPr>
                <w:rFonts w:ascii="Cambria" w:hAnsi="Cambria"/>
                <w:bCs/>
                <w:sz w:val="20"/>
                <w:szCs w:val="20"/>
                <w:lang w:val="es-ES"/>
              </w:rPr>
            </w:pPr>
            <w:r>
              <w:rPr>
                <w:rFonts w:ascii="Cambria" w:hAnsi="Cambria"/>
                <w:bCs/>
                <w:sz w:val="20"/>
                <w:szCs w:val="20"/>
                <w:lang w:val="es-ES"/>
              </w:rPr>
              <w:t xml:space="preserve">9, 12 y 14 de junio de 2017, </w:t>
            </w:r>
            <w:r w:rsidR="000A00AB">
              <w:rPr>
                <w:rFonts w:ascii="Cambria" w:hAnsi="Cambria"/>
                <w:bCs/>
                <w:sz w:val="20"/>
                <w:szCs w:val="20"/>
                <w:lang w:val="es-ES"/>
              </w:rPr>
              <w:t>10 de enero, 23 de febrero y 15 de octubre de 2018</w:t>
            </w:r>
          </w:p>
        </w:tc>
      </w:tr>
      <w:tr w:rsidR="004C2312" w:rsidRPr="00991F93"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57F36EB1" w:rsidR="004C2312" w:rsidRPr="003239B8" w:rsidRDefault="000A00AB" w:rsidP="0077679E">
            <w:pPr>
              <w:jc w:val="both"/>
              <w:rPr>
                <w:rFonts w:ascii="Cambria" w:hAnsi="Cambria"/>
                <w:bCs/>
                <w:sz w:val="20"/>
                <w:szCs w:val="20"/>
                <w:lang w:val="es-ES"/>
              </w:rPr>
            </w:pPr>
            <w:r>
              <w:rPr>
                <w:rFonts w:ascii="Cambria" w:hAnsi="Cambria"/>
                <w:bCs/>
                <w:sz w:val="20"/>
                <w:szCs w:val="20"/>
                <w:lang w:val="es-ES"/>
              </w:rPr>
              <w:t>6 de marzo de 2019</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119C4818" w:rsidR="004C2312" w:rsidRPr="003239B8" w:rsidRDefault="00672515" w:rsidP="0077679E">
            <w:pPr>
              <w:jc w:val="both"/>
              <w:rPr>
                <w:rFonts w:ascii="Cambria" w:hAnsi="Cambria"/>
                <w:bCs/>
                <w:sz w:val="20"/>
                <w:szCs w:val="20"/>
                <w:lang w:val="es-ES"/>
              </w:rPr>
            </w:pPr>
            <w:r>
              <w:rPr>
                <w:rFonts w:ascii="Cambria" w:hAnsi="Cambria"/>
                <w:bCs/>
                <w:sz w:val="20"/>
                <w:szCs w:val="20"/>
                <w:lang w:val="es-ES"/>
              </w:rPr>
              <w:t>7</w:t>
            </w:r>
            <w:r w:rsidR="001D5594">
              <w:rPr>
                <w:rFonts w:ascii="Cambria" w:hAnsi="Cambria"/>
                <w:bCs/>
                <w:sz w:val="20"/>
                <w:szCs w:val="20"/>
                <w:lang w:val="es-ES"/>
              </w:rPr>
              <w:t xml:space="preserve"> de octubre de 2019</w:t>
            </w:r>
          </w:p>
        </w:tc>
      </w:tr>
      <w:tr w:rsidR="004C2312" w:rsidRPr="00CD5692"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48851867" w:rsidR="004C2312" w:rsidRPr="003239B8" w:rsidRDefault="00672515" w:rsidP="0077679E">
            <w:pPr>
              <w:jc w:val="both"/>
              <w:rPr>
                <w:rFonts w:ascii="Cambria" w:hAnsi="Cambria"/>
                <w:bCs/>
                <w:sz w:val="20"/>
                <w:szCs w:val="20"/>
                <w:lang w:val="es-ES"/>
              </w:rPr>
            </w:pPr>
            <w:r>
              <w:rPr>
                <w:rFonts w:ascii="Cambria" w:hAnsi="Cambria"/>
                <w:bCs/>
                <w:sz w:val="20"/>
                <w:szCs w:val="20"/>
                <w:lang w:val="es-ES"/>
              </w:rPr>
              <w:t xml:space="preserve">8 de marzo </w:t>
            </w:r>
            <w:r w:rsidR="0005439E">
              <w:rPr>
                <w:rFonts w:ascii="Cambria" w:hAnsi="Cambria"/>
                <w:bCs/>
                <w:sz w:val="20"/>
                <w:szCs w:val="20"/>
                <w:lang w:val="es-ES"/>
              </w:rPr>
              <w:t xml:space="preserve">y 15 de octubre </w:t>
            </w:r>
            <w:r>
              <w:rPr>
                <w:rFonts w:ascii="Cambria" w:hAnsi="Cambria"/>
                <w:bCs/>
                <w:sz w:val="20"/>
                <w:szCs w:val="20"/>
                <w:lang w:val="es-ES"/>
              </w:rPr>
              <w:t xml:space="preserve">de 2019, </w:t>
            </w:r>
            <w:r w:rsidR="0005439E">
              <w:rPr>
                <w:rFonts w:ascii="Cambria" w:hAnsi="Cambria"/>
                <w:bCs/>
                <w:sz w:val="20"/>
                <w:szCs w:val="20"/>
                <w:lang w:val="es-ES"/>
              </w:rPr>
              <w:t xml:space="preserve">30 de noviembre de 2020, </w:t>
            </w:r>
            <w:r w:rsidR="001D5594">
              <w:rPr>
                <w:rFonts w:ascii="Cambria" w:hAnsi="Cambria"/>
                <w:bCs/>
                <w:sz w:val="20"/>
                <w:szCs w:val="20"/>
                <w:lang w:val="es-ES"/>
              </w:rPr>
              <w:t>28 de abril de 2021</w:t>
            </w:r>
            <w:r w:rsidR="00615D21">
              <w:rPr>
                <w:rFonts w:ascii="Cambria" w:hAnsi="Cambria"/>
                <w:bCs/>
                <w:sz w:val="20"/>
                <w:szCs w:val="20"/>
                <w:lang w:val="es-ES"/>
              </w:rPr>
              <w:t xml:space="preserve"> y 15 de febrero de 2022</w:t>
            </w:r>
          </w:p>
        </w:tc>
      </w:tr>
      <w:tr w:rsidR="004C2312" w:rsidRPr="00CD5692"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23463C93" w:rsidR="004C2312" w:rsidRPr="00615D21" w:rsidRDefault="0005439E" w:rsidP="0077679E">
            <w:pPr>
              <w:jc w:val="both"/>
              <w:rPr>
                <w:rFonts w:ascii="Cambria" w:hAnsi="Cambria"/>
                <w:bCs/>
                <w:sz w:val="20"/>
                <w:szCs w:val="20"/>
                <w:lang w:val="es-ES"/>
              </w:rPr>
            </w:pPr>
            <w:r>
              <w:rPr>
                <w:rFonts w:ascii="Cambria" w:hAnsi="Cambria"/>
                <w:bCs/>
                <w:sz w:val="20"/>
                <w:szCs w:val="20"/>
                <w:lang w:val="es-ES"/>
              </w:rPr>
              <w:t>11</w:t>
            </w:r>
            <w:r w:rsidR="001D5594" w:rsidRPr="00615D21">
              <w:rPr>
                <w:rFonts w:ascii="Cambria" w:hAnsi="Cambria"/>
                <w:bCs/>
                <w:sz w:val="20"/>
                <w:szCs w:val="20"/>
                <w:lang w:val="es-ES"/>
              </w:rPr>
              <w:t xml:space="preserve"> de marzo </w:t>
            </w:r>
            <w:r w:rsidR="00615D21" w:rsidRPr="00615D21">
              <w:rPr>
                <w:rFonts w:ascii="Cambria" w:hAnsi="Cambria"/>
                <w:bCs/>
                <w:sz w:val="20"/>
                <w:szCs w:val="20"/>
                <w:lang w:val="es-ES"/>
              </w:rPr>
              <w:t>y 1</w:t>
            </w:r>
            <w:r>
              <w:rPr>
                <w:rFonts w:ascii="Cambria" w:hAnsi="Cambria"/>
                <w:bCs/>
                <w:sz w:val="20"/>
                <w:szCs w:val="20"/>
                <w:lang w:val="es-ES"/>
              </w:rPr>
              <w:t>9</w:t>
            </w:r>
            <w:r w:rsidR="00615D21" w:rsidRPr="00615D21">
              <w:rPr>
                <w:rFonts w:ascii="Cambria" w:hAnsi="Cambria"/>
                <w:bCs/>
                <w:sz w:val="20"/>
                <w:szCs w:val="20"/>
                <w:lang w:val="es-ES"/>
              </w:rPr>
              <w:t xml:space="preserve"> de julio </w:t>
            </w:r>
            <w:r w:rsidR="001D5594" w:rsidRPr="00615D21">
              <w:rPr>
                <w:rFonts w:ascii="Cambria" w:hAnsi="Cambria"/>
                <w:bCs/>
                <w:sz w:val="20"/>
                <w:szCs w:val="20"/>
                <w:lang w:val="es-ES"/>
              </w:rPr>
              <w:t>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3A3C2A" w:rsidRDefault="003239B8" w:rsidP="0077679E">
            <w:pPr>
              <w:jc w:val="center"/>
              <w:rPr>
                <w:rFonts w:ascii="Cambria" w:hAnsi="Cambria"/>
                <w:b/>
                <w:bCs/>
                <w:i/>
                <w:color w:val="FFFFFF" w:themeColor="background1"/>
                <w:sz w:val="20"/>
                <w:szCs w:val="20"/>
                <w:lang w:val="es-ES"/>
              </w:rPr>
            </w:pPr>
            <w:r w:rsidRPr="003A3C2A">
              <w:rPr>
                <w:rFonts w:ascii="Cambria" w:hAnsi="Cambria"/>
                <w:b/>
                <w:bCs/>
                <w:color w:val="FFFFFF" w:themeColor="background1"/>
                <w:sz w:val="20"/>
                <w:szCs w:val="20"/>
                <w:lang w:val="es-ES"/>
              </w:rPr>
              <w:t>Competencia</w:t>
            </w:r>
            <w:r w:rsidRPr="003A3C2A">
              <w:rPr>
                <w:rFonts w:ascii="Cambria" w:hAnsi="Cambria"/>
                <w:b/>
                <w:bCs/>
                <w:i/>
                <w:color w:val="FFFFFF" w:themeColor="background1"/>
                <w:sz w:val="20"/>
                <w:szCs w:val="20"/>
                <w:lang w:val="es-ES"/>
              </w:rPr>
              <w:t xml:space="preserve"> Ratione personae:</w:t>
            </w:r>
          </w:p>
        </w:tc>
        <w:tc>
          <w:tcPr>
            <w:tcW w:w="5760" w:type="dxa"/>
            <w:vAlign w:val="center"/>
          </w:tcPr>
          <w:p w14:paraId="1E494D5D" w14:textId="77EB4DB6" w:rsidR="003239B8" w:rsidRPr="003A3C2A" w:rsidRDefault="00B3034F" w:rsidP="0077679E">
            <w:pPr>
              <w:rPr>
                <w:rFonts w:ascii="Cambria" w:hAnsi="Cambria"/>
                <w:bCs/>
                <w:sz w:val="20"/>
                <w:szCs w:val="20"/>
                <w:lang w:val="es-ES"/>
              </w:rPr>
            </w:pPr>
            <w:r w:rsidRPr="003A3C2A">
              <w:rPr>
                <w:rFonts w:ascii="Cambria" w:hAnsi="Cambria"/>
                <w:bCs/>
                <w:sz w:val="20"/>
                <w:szCs w:val="20"/>
                <w:lang w:val="es-ES"/>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3A3C2A" w:rsidRDefault="003239B8" w:rsidP="0077679E">
            <w:pPr>
              <w:jc w:val="center"/>
              <w:rPr>
                <w:rFonts w:ascii="Cambria" w:hAnsi="Cambria"/>
                <w:b/>
                <w:bCs/>
                <w:color w:val="FFFFFF" w:themeColor="background1"/>
                <w:sz w:val="20"/>
                <w:szCs w:val="20"/>
                <w:lang w:val="es-ES"/>
              </w:rPr>
            </w:pPr>
            <w:r w:rsidRPr="003A3C2A">
              <w:rPr>
                <w:rFonts w:ascii="Cambria" w:hAnsi="Cambria"/>
                <w:b/>
                <w:bCs/>
                <w:color w:val="FFFFFF" w:themeColor="background1"/>
                <w:sz w:val="20"/>
                <w:szCs w:val="20"/>
                <w:lang w:val="es-ES"/>
              </w:rPr>
              <w:t>Competencia</w:t>
            </w:r>
            <w:r w:rsidRPr="003A3C2A">
              <w:rPr>
                <w:rFonts w:ascii="Cambria" w:hAnsi="Cambria"/>
                <w:b/>
                <w:bCs/>
                <w:i/>
                <w:color w:val="FFFFFF" w:themeColor="background1"/>
                <w:sz w:val="20"/>
                <w:szCs w:val="20"/>
                <w:lang w:val="es-ES"/>
              </w:rPr>
              <w:t xml:space="preserve"> Ratione loci</w:t>
            </w:r>
            <w:r w:rsidRPr="003A3C2A">
              <w:rPr>
                <w:rFonts w:ascii="Cambria" w:hAnsi="Cambria"/>
                <w:b/>
                <w:bCs/>
                <w:color w:val="FFFFFF" w:themeColor="background1"/>
                <w:sz w:val="20"/>
                <w:szCs w:val="20"/>
                <w:lang w:val="es-ES"/>
              </w:rPr>
              <w:t>:</w:t>
            </w:r>
          </w:p>
        </w:tc>
        <w:tc>
          <w:tcPr>
            <w:tcW w:w="5760" w:type="dxa"/>
            <w:vAlign w:val="center"/>
          </w:tcPr>
          <w:p w14:paraId="77C8256A" w14:textId="565CF8C6" w:rsidR="003239B8" w:rsidRPr="003A3C2A" w:rsidRDefault="00B3034F" w:rsidP="0077679E">
            <w:pPr>
              <w:rPr>
                <w:rFonts w:ascii="Cambria" w:hAnsi="Cambria"/>
                <w:bCs/>
                <w:sz w:val="20"/>
                <w:szCs w:val="20"/>
                <w:lang w:val="es-ES"/>
              </w:rPr>
            </w:pPr>
            <w:r w:rsidRPr="003A3C2A">
              <w:rPr>
                <w:rFonts w:ascii="Cambria" w:hAnsi="Cambria"/>
                <w:bCs/>
                <w:sz w:val="20"/>
                <w:szCs w:val="20"/>
                <w:lang w:val="es-ES"/>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3A3C2A" w:rsidRDefault="003239B8" w:rsidP="0077679E">
            <w:pPr>
              <w:jc w:val="center"/>
              <w:rPr>
                <w:rFonts w:ascii="Cambria" w:hAnsi="Cambria"/>
                <w:b/>
                <w:bCs/>
                <w:color w:val="FFFFFF" w:themeColor="background1"/>
                <w:sz w:val="20"/>
                <w:szCs w:val="20"/>
                <w:lang w:val="es-ES"/>
              </w:rPr>
            </w:pPr>
            <w:r w:rsidRPr="003A3C2A">
              <w:rPr>
                <w:rFonts w:ascii="Cambria" w:hAnsi="Cambria"/>
                <w:b/>
                <w:bCs/>
                <w:color w:val="FFFFFF" w:themeColor="background1"/>
                <w:sz w:val="20"/>
                <w:szCs w:val="20"/>
                <w:lang w:val="es-ES"/>
              </w:rPr>
              <w:t>Competencia</w:t>
            </w:r>
            <w:r w:rsidRPr="003A3C2A">
              <w:rPr>
                <w:rFonts w:ascii="Cambria" w:hAnsi="Cambria"/>
                <w:b/>
                <w:bCs/>
                <w:i/>
                <w:color w:val="FFFFFF" w:themeColor="background1"/>
                <w:sz w:val="20"/>
                <w:szCs w:val="20"/>
                <w:lang w:val="es-ES"/>
              </w:rPr>
              <w:t xml:space="preserve"> Ratione temporis</w:t>
            </w:r>
            <w:r w:rsidRPr="003A3C2A">
              <w:rPr>
                <w:rFonts w:ascii="Cambria" w:hAnsi="Cambria"/>
                <w:b/>
                <w:bCs/>
                <w:color w:val="FFFFFF" w:themeColor="background1"/>
                <w:sz w:val="20"/>
                <w:szCs w:val="20"/>
                <w:lang w:val="es-ES"/>
              </w:rPr>
              <w:t>:</w:t>
            </w:r>
          </w:p>
        </w:tc>
        <w:tc>
          <w:tcPr>
            <w:tcW w:w="5760" w:type="dxa"/>
            <w:vAlign w:val="center"/>
          </w:tcPr>
          <w:p w14:paraId="523F6BD6" w14:textId="1366FA0E" w:rsidR="003239B8" w:rsidRPr="003A3C2A" w:rsidRDefault="00B3034F" w:rsidP="0077679E">
            <w:pPr>
              <w:rPr>
                <w:rFonts w:ascii="Cambria" w:hAnsi="Cambria"/>
                <w:bCs/>
                <w:sz w:val="20"/>
                <w:szCs w:val="20"/>
                <w:lang w:val="es-ES"/>
              </w:rPr>
            </w:pPr>
            <w:r w:rsidRPr="003A3C2A">
              <w:rPr>
                <w:rFonts w:ascii="Cambria" w:hAnsi="Cambria"/>
                <w:bCs/>
                <w:sz w:val="20"/>
                <w:szCs w:val="20"/>
                <w:lang w:val="es-ES"/>
              </w:rPr>
              <w:t>Sí</w:t>
            </w:r>
          </w:p>
        </w:tc>
      </w:tr>
      <w:tr w:rsidR="003239B8" w:rsidRPr="00CD5692"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3A3C2A" w:rsidRDefault="003239B8" w:rsidP="0077679E">
            <w:pPr>
              <w:jc w:val="center"/>
              <w:rPr>
                <w:rFonts w:ascii="Cambria" w:hAnsi="Cambria"/>
                <w:b/>
                <w:bCs/>
                <w:color w:val="FFFFFF" w:themeColor="background1"/>
                <w:sz w:val="20"/>
                <w:szCs w:val="20"/>
                <w:lang w:val="es-ES"/>
              </w:rPr>
            </w:pPr>
            <w:r w:rsidRPr="003A3C2A">
              <w:rPr>
                <w:rFonts w:ascii="Cambria" w:hAnsi="Cambria"/>
                <w:b/>
                <w:bCs/>
                <w:color w:val="FFFFFF" w:themeColor="background1"/>
                <w:sz w:val="20"/>
                <w:szCs w:val="20"/>
                <w:lang w:val="es-ES"/>
              </w:rPr>
              <w:t>Competencia</w:t>
            </w:r>
            <w:r w:rsidRPr="003A3C2A">
              <w:rPr>
                <w:rFonts w:ascii="Cambria" w:hAnsi="Cambria"/>
                <w:b/>
                <w:bCs/>
                <w:i/>
                <w:color w:val="FFFFFF" w:themeColor="background1"/>
                <w:sz w:val="20"/>
                <w:szCs w:val="20"/>
                <w:lang w:val="es-ES"/>
              </w:rPr>
              <w:t xml:space="preserve"> Ratione materia</w:t>
            </w:r>
            <w:r w:rsidR="00EE00E9" w:rsidRPr="003A3C2A">
              <w:rPr>
                <w:rFonts w:ascii="Cambria" w:hAnsi="Cambria"/>
                <w:b/>
                <w:bCs/>
                <w:i/>
                <w:color w:val="FFFFFF" w:themeColor="background1"/>
                <w:sz w:val="20"/>
                <w:szCs w:val="20"/>
                <w:lang w:val="es-ES"/>
              </w:rPr>
              <w:t>e</w:t>
            </w:r>
            <w:r w:rsidRPr="003A3C2A">
              <w:rPr>
                <w:rFonts w:ascii="Cambria" w:hAnsi="Cambria"/>
                <w:b/>
                <w:bCs/>
                <w:color w:val="FFFFFF" w:themeColor="background1"/>
                <w:sz w:val="20"/>
                <w:szCs w:val="20"/>
                <w:lang w:val="es-ES"/>
              </w:rPr>
              <w:t>:</w:t>
            </w:r>
          </w:p>
        </w:tc>
        <w:tc>
          <w:tcPr>
            <w:tcW w:w="5760" w:type="dxa"/>
            <w:vAlign w:val="center"/>
          </w:tcPr>
          <w:p w14:paraId="257C8337" w14:textId="68FE6264" w:rsidR="003239B8" w:rsidRPr="003A3C2A" w:rsidRDefault="00B3034F" w:rsidP="0077679E">
            <w:pPr>
              <w:jc w:val="both"/>
              <w:rPr>
                <w:rFonts w:ascii="Cambria" w:hAnsi="Cambria"/>
                <w:bCs/>
                <w:sz w:val="20"/>
                <w:szCs w:val="20"/>
                <w:lang w:val="es-ES"/>
              </w:rPr>
            </w:pPr>
            <w:r w:rsidRPr="003A3C2A">
              <w:rPr>
                <w:rFonts w:ascii="Cambria" w:hAnsi="Cambria"/>
                <w:bCs/>
                <w:sz w:val="20"/>
                <w:szCs w:val="20"/>
                <w:lang w:val="es-ES"/>
              </w:rPr>
              <w:t xml:space="preserve">Sí, Convención Americana </w:t>
            </w:r>
            <w:r w:rsidRPr="003A3C2A">
              <w:rPr>
                <w:rFonts w:asciiTheme="majorHAnsi" w:hAnsiTheme="majorHAnsi"/>
                <w:bCs/>
                <w:sz w:val="20"/>
                <w:szCs w:val="20"/>
                <w:lang w:val="es-ES"/>
              </w:rPr>
              <w:t>(depósito de instrumento de ratificación el 25 de septiembre de 1979)</w:t>
            </w:r>
            <w:r w:rsidR="001020F1">
              <w:rPr>
                <w:rFonts w:asciiTheme="majorHAnsi" w:hAnsiTheme="majorHAnsi"/>
                <w:bCs/>
                <w:sz w:val="20"/>
                <w:szCs w:val="20"/>
                <w:lang w:val="es-ES"/>
              </w:rPr>
              <w:t>; y Convención Interamericana para Prevenir y Sancionar la Tortura</w:t>
            </w:r>
            <w:r w:rsidR="00E9021E">
              <w:rPr>
                <w:rFonts w:asciiTheme="majorHAnsi" w:hAnsiTheme="majorHAnsi"/>
                <w:bCs/>
                <w:sz w:val="20"/>
                <w:szCs w:val="20"/>
                <w:lang w:val="es-ES_tradnl"/>
              </w:rPr>
              <w:t xml:space="preserve"> </w:t>
            </w:r>
            <w:r w:rsidR="001020F1">
              <w:rPr>
                <w:rFonts w:asciiTheme="majorHAnsi" w:hAnsiTheme="majorHAnsi"/>
                <w:bCs/>
                <w:sz w:val="20"/>
                <w:szCs w:val="20"/>
                <w:lang w:val="es-ES"/>
              </w:rPr>
              <w:t>(23 de noviembre de 2009)</w:t>
            </w:r>
            <w:r w:rsidR="00E9021E" w:rsidRPr="00D23DBC">
              <w:rPr>
                <w:rFonts w:asciiTheme="majorHAnsi" w:hAnsiTheme="majorHAnsi"/>
                <w:bCs/>
                <w:sz w:val="20"/>
                <w:szCs w:val="20"/>
                <w:lang w:val="es-ES_tradnl"/>
              </w:rPr>
              <w:t xml:space="preserve"> </w:t>
            </w:r>
          </w:p>
        </w:tc>
      </w:tr>
    </w:tbl>
    <w:p w14:paraId="299A3868" w14:textId="170CD6E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3A3C2A" w:rsidRPr="003239B8">
        <w:rPr>
          <w:rFonts w:asciiTheme="majorHAnsi" w:hAnsiTheme="majorHAnsi"/>
          <w:b/>
          <w:bCs/>
          <w:sz w:val="20"/>
          <w:szCs w:val="20"/>
          <w:lang w:val="es-ES"/>
        </w:rPr>
        <w:t>INTERNACIONAL</w:t>
      </w:r>
      <w:r w:rsidR="003A3C2A">
        <w:rPr>
          <w:rFonts w:asciiTheme="majorHAnsi" w:hAnsiTheme="majorHAnsi"/>
          <w:b/>
          <w:bCs/>
          <w:sz w:val="20"/>
          <w:szCs w:val="20"/>
          <w:lang w:val="es-ES"/>
        </w:rPr>
        <w:t xml:space="preserve">, </w:t>
      </w:r>
      <w:r w:rsidR="003A3C2A"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BB03F0"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77679E">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6589404A" w:rsidR="00EE00E9" w:rsidRPr="00DC24E3" w:rsidRDefault="00145AE5" w:rsidP="0077679E">
            <w:pPr>
              <w:jc w:val="both"/>
              <w:rPr>
                <w:rFonts w:ascii="Cambria" w:hAnsi="Cambria"/>
                <w:bCs/>
                <w:sz w:val="20"/>
                <w:szCs w:val="20"/>
                <w:lang w:val="es-ES"/>
              </w:rPr>
            </w:pPr>
            <w:r>
              <w:rPr>
                <w:rFonts w:ascii="Cambria" w:hAnsi="Cambria"/>
                <w:bCs/>
                <w:sz w:val="20"/>
                <w:szCs w:val="20"/>
                <w:lang w:val="es-ES"/>
              </w:rPr>
              <w:t>No</w:t>
            </w:r>
          </w:p>
        </w:tc>
      </w:tr>
      <w:tr w:rsidR="003239B8" w:rsidRPr="00CD5692"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77679E">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2101FDF8" w:rsidR="003239B8" w:rsidRPr="00E9021E" w:rsidRDefault="00145AE5" w:rsidP="0077679E">
            <w:pPr>
              <w:jc w:val="both"/>
              <w:rPr>
                <w:rFonts w:ascii="Cambria" w:hAnsi="Cambria"/>
                <w:b/>
                <w:bCs/>
                <w:sz w:val="20"/>
                <w:szCs w:val="20"/>
                <w:lang w:val="es-ES"/>
              </w:rPr>
            </w:pPr>
            <w:r>
              <w:rPr>
                <w:rFonts w:asciiTheme="majorHAnsi" w:hAnsiTheme="majorHAnsi"/>
                <w:sz w:val="20"/>
                <w:szCs w:val="20"/>
                <w:lang w:val="es-ES"/>
              </w:rPr>
              <w:t>A</w:t>
            </w:r>
            <w:r w:rsidRPr="00804951">
              <w:rPr>
                <w:rFonts w:asciiTheme="majorHAnsi" w:hAnsiTheme="majorHAnsi"/>
                <w:sz w:val="20"/>
                <w:szCs w:val="20"/>
                <w:lang w:val="es-ES"/>
              </w:rPr>
              <w:t xml:space="preserve">rtículos 5 (integridad personal), 7 (libertad personal), </w:t>
            </w:r>
            <w:r w:rsidRPr="00804951">
              <w:rPr>
                <w:rFonts w:asciiTheme="majorHAnsi" w:hAnsiTheme="majorHAnsi"/>
                <w:bCs/>
                <w:sz w:val="20"/>
                <w:szCs w:val="20"/>
                <w:lang w:val="es-ES"/>
              </w:rPr>
              <w:t xml:space="preserve">8 (garantías judiciales), </w:t>
            </w:r>
            <w:r w:rsidR="00C74538">
              <w:rPr>
                <w:rFonts w:asciiTheme="majorHAnsi" w:hAnsiTheme="majorHAnsi"/>
                <w:bCs/>
                <w:sz w:val="20"/>
                <w:szCs w:val="20"/>
                <w:lang w:val="es-ES"/>
              </w:rPr>
              <w:t xml:space="preserve">11 (protección de la honra y de la dignidad), </w:t>
            </w:r>
            <w:r w:rsidRPr="00804951">
              <w:rPr>
                <w:rFonts w:asciiTheme="majorHAnsi" w:hAnsiTheme="majorHAnsi"/>
                <w:bCs/>
                <w:sz w:val="20"/>
                <w:szCs w:val="20"/>
                <w:lang w:val="es-ES"/>
              </w:rPr>
              <w:t>22 (de circulación y de residencia), 24 (igualdad ante la ley)</w:t>
            </w:r>
            <w:r>
              <w:rPr>
                <w:rFonts w:asciiTheme="majorHAnsi" w:hAnsiTheme="majorHAnsi"/>
                <w:bCs/>
                <w:sz w:val="20"/>
                <w:szCs w:val="20"/>
                <w:lang w:val="es-ES"/>
              </w:rPr>
              <w:t xml:space="preserve">, </w:t>
            </w:r>
            <w:r w:rsidRPr="00804951">
              <w:rPr>
                <w:rFonts w:asciiTheme="majorHAnsi" w:hAnsiTheme="majorHAnsi"/>
                <w:bCs/>
                <w:sz w:val="20"/>
                <w:szCs w:val="20"/>
                <w:lang w:val="es-ES"/>
              </w:rPr>
              <w:t>25 (protección judicial)</w:t>
            </w:r>
            <w:r>
              <w:rPr>
                <w:rFonts w:asciiTheme="majorHAnsi" w:hAnsiTheme="majorHAnsi"/>
                <w:bCs/>
                <w:sz w:val="20"/>
                <w:szCs w:val="20"/>
                <w:lang w:val="es-ES"/>
              </w:rPr>
              <w:t xml:space="preserve"> y 26 (</w:t>
            </w:r>
            <w:r w:rsidR="00500DE5">
              <w:rPr>
                <w:rFonts w:asciiTheme="majorHAnsi" w:hAnsiTheme="majorHAnsi"/>
                <w:bCs/>
                <w:sz w:val="20"/>
                <w:szCs w:val="20"/>
                <w:lang w:val="es-ES"/>
              </w:rPr>
              <w:t>derechos</w:t>
            </w:r>
            <w:r w:rsidR="00DC4060">
              <w:rPr>
                <w:rFonts w:asciiTheme="majorHAnsi" w:hAnsiTheme="majorHAnsi"/>
                <w:bCs/>
                <w:sz w:val="20"/>
                <w:szCs w:val="20"/>
                <w:lang w:val="es-ES"/>
              </w:rPr>
              <w:t xml:space="preserve"> económicos, sociales y culturales</w:t>
            </w:r>
            <w:r>
              <w:rPr>
                <w:rFonts w:asciiTheme="majorHAnsi" w:hAnsiTheme="majorHAnsi"/>
                <w:bCs/>
                <w:sz w:val="20"/>
                <w:szCs w:val="20"/>
                <w:lang w:val="es-ES"/>
              </w:rPr>
              <w:t xml:space="preserve">) </w:t>
            </w:r>
            <w:r w:rsidRPr="00804951">
              <w:rPr>
                <w:rFonts w:asciiTheme="majorHAnsi" w:eastAsia="Cambria" w:hAnsiTheme="majorHAnsi"/>
                <w:sz w:val="20"/>
                <w:szCs w:val="20"/>
                <w:u w:color="000000"/>
                <w:bdr w:val="nil"/>
                <w:lang w:val="es-ES"/>
              </w:rPr>
              <w:t>la Convención</w:t>
            </w:r>
            <w:r w:rsidR="002604D0">
              <w:rPr>
                <w:rFonts w:asciiTheme="majorHAnsi" w:eastAsia="Cambria" w:hAnsiTheme="majorHAnsi"/>
                <w:sz w:val="20"/>
                <w:szCs w:val="20"/>
                <w:u w:color="000000"/>
                <w:bdr w:val="nil"/>
                <w:lang w:val="es-ES"/>
              </w:rPr>
              <w:t xml:space="preserve"> Americana, en relación con su artículo 1.1 (obligación de respetar los derechos)</w:t>
            </w:r>
            <w:r w:rsidR="001020F1">
              <w:rPr>
                <w:rFonts w:asciiTheme="majorHAnsi" w:eastAsia="Cambria" w:hAnsiTheme="majorHAnsi"/>
                <w:sz w:val="20"/>
                <w:szCs w:val="20"/>
                <w:u w:color="000000"/>
                <w:bdr w:val="nil"/>
                <w:lang w:val="es-ES"/>
              </w:rPr>
              <w:t xml:space="preserve">; </w:t>
            </w:r>
            <w:r w:rsidR="00E9021E">
              <w:rPr>
                <w:rFonts w:asciiTheme="majorHAnsi" w:hAnsiTheme="majorHAnsi"/>
                <w:bCs/>
                <w:sz w:val="20"/>
                <w:szCs w:val="20"/>
                <w:lang w:val="es-ES_tradnl"/>
              </w:rPr>
              <w:t xml:space="preserve">y </w:t>
            </w:r>
            <w:r w:rsidR="00E9021E" w:rsidRPr="00C63A55">
              <w:rPr>
                <w:rFonts w:asciiTheme="majorHAnsi" w:hAnsiTheme="majorHAnsi"/>
                <w:sz w:val="20"/>
                <w:szCs w:val="20"/>
                <w:lang w:val="es-ES_tradnl"/>
              </w:rPr>
              <w:t xml:space="preserve">los artículos 1, 6 y 8 de la </w:t>
            </w:r>
            <w:r w:rsidR="002604D0" w:rsidRPr="002604D0">
              <w:rPr>
                <w:rFonts w:asciiTheme="majorHAnsi" w:hAnsiTheme="majorHAnsi"/>
                <w:sz w:val="20"/>
                <w:szCs w:val="20"/>
                <w:lang w:val="es-ES_tradnl"/>
              </w:rPr>
              <w:t>Convención Interamericana para Prevenir y Sancionar la Tortura</w:t>
            </w:r>
          </w:p>
        </w:tc>
      </w:tr>
      <w:tr w:rsidR="003239B8" w:rsidRPr="00CD5692"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77679E">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6E483A8D" w:rsidR="003239B8" w:rsidRPr="00DC24E3" w:rsidRDefault="00500DE5" w:rsidP="0077679E">
            <w:pPr>
              <w:rPr>
                <w:rFonts w:ascii="Cambria" w:hAnsi="Cambria"/>
                <w:bCs/>
                <w:sz w:val="20"/>
                <w:szCs w:val="20"/>
                <w:lang w:val="es-ES"/>
              </w:rPr>
            </w:pPr>
            <w:r>
              <w:rPr>
                <w:rFonts w:ascii="Cambria" w:hAnsi="Cambria"/>
                <w:bCs/>
                <w:sz w:val="20"/>
                <w:szCs w:val="20"/>
                <w:lang w:val="es-ES"/>
              </w:rPr>
              <w:t xml:space="preserve">Sí, </w:t>
            </w:r>
            <w:r w:rsidR="00E96AAE">
              <w:rPr>
                <w:rFonts w:ascii="Cambria" w:hAnsi="Cambria"/>
                <w:bCs/>
                <w:sz w:val="20"/>
                <w:szCs w:val="20"/>
                <w:lang w:val="es-ES"/>
              </w:rPr>
              <w:t>en los términos de la sección VI</w:t>
            </w:r>
          </w:p>
        </w:tc>
      </w:tr>
      <w:tr w:rsidR="003239B8" w:rsidRPr="00CD5692"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77679E">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019BF969" w:rsidR="003239B8" w:rsidRPr="00500DE5" w:rsidRDefault="00500DE5" w:rsidP="0077679E">
            <w:pPr>
              <w:rPr>
                <w:rFonts w:ascii="Cambria" w:hAnsi="Cambria"/>
                <w:bCs/>
                <w:sz w:val="20"/>
                <w:szCs w:val="20"/>
                <w:lang w:val="es-ES"/>
              </w:rPr>
            </w:pPr>
            <w:r w:rsidRPr="00500DE5">
              <w:rPr>
                <w:rFonts w:ascii="Cambria" w:hAnsi="Cambria"/>
                <w:bCs/>
                <w:sz w:val="20"/>
                <w:szCs w:val="20"/>
                <w:lang w:val="es-ES"/>
              </w:rPr>
              <w:t xml:space="preserve">Sí, en los términos de la sección VI </w:t>
            </w:r>
          </w:p>
        </w:tc>
      </w:tr>
    </w:tbl>
    <w:p w14:paraId="56FD5D57" w14:textId="69A91ED5" w:rsidR="003239B8" w:rsidRPr="00C8634E" w:rsidRDefault="00223A29" w:rsidP="003239B8">
      <w:pPr>
        <w:spacing w:before="240" w:after="240"/>
        <w:ind w:firstLine="720"/>
        <w:jc w:val="both"/>
        <w:rPr>
          <w:rFonts w:asciiTheme="majorHAnsi" w:hAnsiTheme="majorHAnsi"/>
          <w:b/>
          <w:sz w:val="20"/>
          <w:szCs w:val="20"/>
          <w:lang w:val="es-ES_tradnl"/>
        </w:rPr>
      </w:pPr>
      <w:r w:rsidRPr="00C8634E">
        <w:rPr>
          <w:rFonts w:asciiTheme="majorHAnsi" w:hAnsiTheme="majorHAnsi"/>
          <w:b/>
          <w:sz w:val="20"/>
          <w:szCs w:val="20"/>
          <w:lang w:val="es-ES_tradnl"/>
        </w:rPr>
        <w:t xml:space="preserve">V. </w:t>
      </w:r>
      <w:r w:rsidRPr="00C8634E">
        <w:rPr>
          <w:rFonts w:asciiTheme="majorHAnsi" w:hAnsiTheme="majorHAnsi"/>
          <w:b/>
          <w:sz w:val="20"/>
          <w:szCs w:val="20"/>
          <w:lang w:val="es-ES_tradnl"/>
        </w:rPr>
        <w:tab/>
      </w:r>
      <w:r w:rsidR="004241A0" w:rsidRPr="00C8634E">
        <w:rPr>
          <w:rFonts w:asciiTheme="majorHAnsi" w:hAnsiTheme="majorHAnsi"/>
          <w:b/>
          <w:sz w:val="20"/>
          <w:szCs w:val="20"/>
          <w:lang w:val="es-ES_tradnl"/>
        </w:rPr>
        <w:t>POSICIÓN DE LAS PARTES</w:t>
      </w:r>
      <w:r w:rsidR="003239B8" w:rsidRPr="00C8634E">
        <w:rPr>
          <w:rFonts w:asciiTheme="majorHAnsi" w:hAnsiTheme="majorHAnsi"/>
          <w:b/>
          <w:sz w:val="20"/>
          <w:szCs w:val="20"/>
          <w:lang w:val="es-ES_tradnl"/>
        </w:rPr>
        <w:t xml:space="preserve"> </w:t>
      </w:r>
    </w:p>
    <w:p w14:paraId="1810B5A3" w14:textId="5E3F3D7A" w:rsidR="0092177C" w:rsidRPr="00C8634E" w:rsidRDefault="0092177C" w:rsidP="003239B8">
      <w:pPr>
        <w:spacing w:before="240" w:after="240"/>
        <w:ind w:firstLine="720"/>
        <w:jc w:val="both"/>
        <w:rPr>
          <w:rFonts w:asciiTheme="majorHAnsi" w:hAnsiTheme="majorHAnsi"/>
          <w:bCs/>
          <w:i/>
          <w:iCs/>
          <w:sz w:val="20"/>
          <w:szCs w:val="20"/>
          <w:lang w:val="es-ES_tradnl"/>
        </w:rPr>
      </w:pPr>
      <w:r w:rsidRPr="00C8634E">
        <w:rPr>
          <w:rFonts w:asciiTheme="majorHAnsi" w:hAnsiTheme="majorHAnsi"/>
          <w:bCs/>
          <w:i/>
          <w:iCs/>
          <w:sz w:val="20"/>
          <w:szCs w:val="20"/>
          <w:lang w:val="es-ES_tradnl"/>
        </w:rPr>
        <w:t>Alegatos de la parte peticionaria</w:t>
      </w:r>
    </w:p>
    <w:p w14:paraId="1C5C347F" w14:textId="6EC893BA" w:rsidR="00AB64D3" w:rsidRPr="00C8634E" w:rsidRDefault="00B23109" w:rsidP="00AB64D3">
      <w:pPr>
        <w:numPr>
          <w:ilvl w:val="0"/>
          <w:numId w:val="59"/>
        </w:numPr>
        <w:suppressAutoHyphens/>
        <w:spacing w:after="240"/>
        <w:jc w:val="both"/>
        <w:rPr>
          <w:rFonts w:asciiTheme="majorHAnsi" w:hAnsiTheme="majorHAnsi"/>
          <w:sz w:val="20"/>
          <w:szCs w:val="20"/>
          <w:lang w:val="es-ES_tradnl"/>
        </w:rPr>
      </w:pPr>
      <w:r w:rsidRPr="00C8634E">
        <w:rPr>
          <w:rFonts w:asciiTheme="majorHAnsi" w:hAnsiTheme="majorHAnsi"/>
          <w:sz w:val="20"/>
          <w:szCs w:val="20"/>
          <w:lang w:val="es-ES_tradnl"/>
        </w:rPr>
        <w:t xml:space="preserve">El Sr. José Daniel Gil Trejos de nacionalidad costarricense, sostiene que fue detenido en Nicaragua sin conocer los motivos. Indica que durante su </w:t>
      </w:r>
      <w:r w:rsidR="005D0789" w:rsidRPr="00C8634E">
        <w:rPr>
          <w:rFonts w:asciiTheme="majorHAnsi" w:hAnsiTheme="majorHAnsi"/>
          <w:sz w:val="20"/>
          <w:szCs w:val="20"/>
          <w:lang w:val="es-ES_tradnl"/>
        </w:rPr>
        <w:t>e</w:t>
      </w:r>
      <w:r w:rsidRPr="00C8634E">
        <w:rPr>
          <w:rFonts w:asciiTheme="majorHAnsi" w:hAnsiTheme="majorHAnsi"/>
          <w:sz w:val="20"/>
          <w:szCs w:val="20"/>
          <w:lang w:val="es-ES_tradnl"/>
        </w:rPr>
        <w:t>stancia en prisión</w:t>
      </w:r>
      <w:r w:rsidR="000F550C" w:rsidRPr="00C8634E">
        <w:rPr>
          <w:rFonts w:asciiTheme="majorHAnsi" w:hAnsiTheme="majorHAnsi"/>
          <w:sz w:val="20"/>
          <w:szCs w:val="20"/>
          <w:lang w:val="es-ES_tradnl"/>
        </w:rPr>
        <w:t xml:space="preserve"> las autoridades lo torturaron y privaron</w:t>
      </w:r>
      <w:r w:rsidR="008F46FF" w:rsidRPr="00C8634E">
        <w:rPr>
          <w:rFonts w:asciiTheme="majorHAnsi" w:hAnsiTheme="majorHAnsi"/>
          <w:sz w:val="20"/>
          <w:szCs w:val="20"/>
          <w:lang w:val="es-ES_tradnl"/>
        </w:rPr>
        <w:t xml:space="preserve"> de </w:t>
      </w:r>
      <w:r w:rsidRPr="00C8634E">
        <w:rPr>
          <w:rFonts w:asciiTheme="majorHAnsi" w:hAnsiTheme="majorHAnsi"/>
          <w:sz w:val="20"/>
          <w:szCs w:val="20"/>
          <w:lang w:val="es-ES_tradnl"/>
        </w:rPr>
        <w:t>acceso a la salud</w:t>
      </w:r>
      <w:r w:rsidR="00C74538" w:rsidRPr="00C8634E">
        <w:rPr>
          <w:rFonts w:asciiTheme="majorHAnsi" w:hAnsiTheme="majorHAnsi"/>
          <w:sz w:val="20"/>
          <w:szCs w:val="20"/>
          <w:lang w:val="es-ES_tradnl"/>
        </w:rPr>
        <w:t>, además de mantenerlo incomunicado. Refiere que dichas autoridades le negaron su derecho a la asistencia consular, pues se negaron a comunicar al Consulado de Costa Rica sobre su situación</w:t>
      </w:r>
      <w:r w:rsidRPr="00C8634E">
        <w:rPr>
          <w:rFonts w:asciiTheme="majorHAnsi" w:hAnsiTheme="majorHAnsi"/>
          <w:sz w:val="20"/>
          <w:szCs w:val="20"/>
          <w:lang w:val="es-ES_tradnl"/>
        </w:rPr>
        <w:t>.</w:t>
      </w:r>
      <w:r w:rsidR="008F46FF" w:rsidRPr="00C8634E">
        <w:rPr>
          <w:rFonts w:asciiTheme="majorHAnsi" w:hAnsiTheme="majorHAnsi"/>
          <w:sz w:val="20"/>
          <w:szCs w:val="20"/>
          <w:lang w:val="es-ES_tradnl"/>
        </w:rPr>
        <w:t xml:space="preserve"> </w:t>
      </w:r>
      <w:r w:rsidR="00E51E46" w:rsidRPr="00C8634E">
        <w:rPr>
          <w:rFonts w:asciiTheme="majorHAnsi" w:hAnsiTheme="majorHAnsi"/>
          <w:sz w:val="20"/>
          <w:szCs w:val="20"/>
          <w:lang w:val="es-ES_tradnl"/>
        </w:rPr>
        <w:t>Finalmente, l</w:t>
      </w:r>
      <w:r w:rsidR="000F550C" w:rsidRPr="00C8634E">
        <w:rPr>
          <w:rFonts w:asciiTheme="majorHAnsi" w:hAnsiTheme="majorHAnsi"/>
          <w:sz w:val="20"/>
          <w:szCs w:val="20"/>
          <w:lang w:val="es-ES_tradnl"/>
        </w:rPr>
        <w:t>o</w:t>
      </w:r>
      <w:r w:rsidR="008F46FF" w:rsidRPr="00C8634E">
        <w:rPr>
          <w:rFonts w:asciiTheme="majorHAnsi" w:hAnsiTheme="majorHAnsi"/>
          <w:sz w:val="20"/>
          <w:szCs w:val="20"/>
          <w:lang w:val="es-ES_tradnl"/>
        </w:rPr>
        <w:t xml:space="preserve"> </w:t>
      </w:r>
      <w:r w:rsidRPr="00C8634E">
        <w:rPr>
          <w:rFonts w:asciiTheme="majorHAnsi" w:hAnsiTheme="majorHAnsi"/>
          <w:sz w:val="20"/>
          <w:szCs w:val="20"/>
          <w:lang w:val="es-ES_tradnl"/>
        </w:rPr>
        <w:t>extradita</w:t>
      </w:r>
      <w:r w:rsidR="000F550C" w:rsidRPr="00C8634E">
        <w:rPr>
          <w:rFonts w:asciiTheme="majorHAnsi" w:hAnsiTheme="majorHAnsi"/>
          <w:sz w:val="20"/>
          <w:szCs w:val="20"/>
          <w:lang w:val="es-ES_tradnl"/>
        </w:rPr>
        <w:t>ron</w:t>
      </w:r>
      <w:r w:rsidRPr="00C8634E">
        <w:rPr>
          <w:rFonts w:asciiTheme="majorHAnsi" w:hAnsiTheme="majorHAnsi"/>
          <w:sz w:val="20"/>
          <w:szCs w:val="20"/>
          <w:lang w:val="es-ES_tradnl"/>
        </w:rPr>
        <w:t xml:space="preserve"> a México sin </w:t>
      </w:r>
      <w:r w:rsidR="008F46FF" w:rsidRPr="00C8634E">
        <w:rPr>
          <w:rFonts w:asciiTheme="majorHAnsi" w:hAnsiTheme="majorHAnsi"/>
          <w:sz w:val="20"/>
          <w:szCs w:val="20"/>
          <w:lang w:val="es-ES_tradnl"/>
        </w:rPr>
        <w:t xml:space="preserve">contar con un </w:t>
      </w:r>
      <w:r w:rsidRPr="00C8634E">
        <w:rPr>
          <w:rFonts w:asciiTheme="majorHAnsi" w:hAnsiTheme="majorHAnsi"/>
          <w:sz w:val="20"/>
          <w:szCs w:val="20"/>
          <w:lang w:val="es-ES_tradnl"/>
        </w:rPr>
        <w:t>debido proceso o las garantías judiciales</w:t>
      </w:r>
      <w:r w:rsidR="008F46FF" w:rsidRPr="00C8634E">
        <w:rPr>
          <w:rFonts w:asciiTheme="majorHAnsi" w:hAnsiTheme="majorHAnsi"/>
          <w:sz w:val="20"/>
          <w:szCs w:val="20"/>
          <w:lang w:val="es-ES_tradnl"/>
        </w:rPr>
        <w:t xml:space="preserve"> respectivas. </w:t>
      </w:r>
    </w:p>
    <w:p w14:paraId="50B71EDE" w14:textId="0CB2CB15" w:rsidR="00AB64D3" w:rsidRPr="00C8634E" w:rsidRDefault="00AB64D3" w:rsidP="00AB64D3">
      <w:pPr>
        <w:pStyle w:val="ListParagraph"/>
        <w:suppressAutoHyphens/>
        <w:spacing w:before="240" w:after="240"/>
        <w:jc w:val="both"/>
        <w:rPr>
          <w:rFonts w:asciiTheme="majorHAnsi" w:hAnsiTheme="majorHAnsi"/>
          <w:i/>
          <w:iCs/>
          <w:sz w:val="20"/>
          <w:szCs w:val="20"/>
          <w:lang w:val="es-ES_tradnl"/>
        </w:rPr>
      </w:pPr>
      <w:r w:rsidRPr="00C8634E">
        <w:rPr>
          <w:rFonts w:asciiTheme="majorHAnsi" w:hAnsiTheme="majorHAnsi"/>
          <w:i/>
          <w:iCs/>
          <w:sz w:val="20"/>
          <w:szCs w:val="20"/>
          <w:lang w:val="es-ES_tradnl"/>
        </w:rPr>
        <w:t>Detención, condiciones de encarcelamiento y alegadas prácticas de tortura</w:t>
      </w:r>
    </w:p>
    <w:p w14:paraId="13E4E0CC" w14:textId="7D432123" w:rsidR="00AB64D3" w:rsidRPr="00C8634E" w:rsidRDefault="00E51E46" w:rsidP="00AB64D3">
      <w:pPr>
        <w:numPr>
          <w:ilvl w:val="0"/>
          <w:numId w:val="59"/>
        </w:numPr>
        <w:suppressAutoHyphens/>
        <w:spacing w:after="240"/>
        <w:jc w:val="both"/>
        <w:rPr>
          <w:rFonts w:asciiTheme="majorHAnsi" w:hAnsiTheme="majorHAnsi"/>
          <w:sz w:val="20"/>
          <w:szCs w:val="20"/>
          <w:lang w:val="es-ES_tradnl"/>
        </w:rPr>
      </w:pPr>
      <w:r w:rsidRPr="00C8634E">
        <w:rPr>
          <w:rFonts w:asciiTheme="majorHAnsi" w:hAnsiTheme="majorHAnsi"/>
          <w:sz w:val="20"/>
          <w:szCs w:val="20"/>
          <w:u w:color="000000"/>
          <w:lang w:val="es-ES_tradnl"/>
        </w:rPr>
        <w:t>El peticionario e</w:t>
      </w:r>
      <w:r w:rsidR="0092177C" w:rsidRPr="00C8634E">
        <w:rPr>
          <w:rFonts w:asciiTheme="majorHAnsi" w:hAnsiTheme="majorHAnsi"/>
          <w:sz w:val="20"/>
          <w:szCs w:val="20"/>
          <w:u w:color="000000"/>
          <w:lang w:val="es-ES_tradnl"/>
        </w:rPr>
        <w:t xml:space="preserve">xplica que el 26 de mayo de 2015 </w:t>
      </w:r>
      <w:r w:rsidR="003262A0" w:rsidRPr="00C8634E">
        <w:rPr>
          <w:rFonts w:asciiTheme="majorHAnsi" w:hAnsiTheme="majorHAnsi"/>
          <w:sz w:val="20"/>
          <w:szCs w:val="20"/>
          <w:u w:color="000000"/>
          <w:lang w:val="es-ES_tradnl"/>
        </w:rPr>
        <w:t>viajó</w:t>
      </w:r>
      <w:r w:rsidR="00D054FF" w:rsidRPr="00C8634E">
        <w:rPr>
          <w:rFonts w:asciiTheme="majorHAnsi" w:hAnsiTheme="majorHAnsi"/>
          <w:sz w:val="20"/>
          <w:szCs w:val="20"/>
          <w:u w:color="000000"/>
          <w:lang w:val="es-ES_tradnl"/>
        </w:rPr>
        <w:t xml:space="preserve"> </w:t>
      </w:r>
      <w:r w:rsidR="000E7035" w:rsidRPr="00C8634E">
        <w:rPr>
          <w:rFonts w:asciiTheme="majorHAnsi" w:hAnsiTheme="majorHAnsi"/>
          <w:sz w:val="20"/>
          <w:szCs w:val="20"/>
          <w:u w:color="000000"/>
          <w:lang w:val="es-ES_tradnl"/>
        </w:rPr>
        <w:t xml:space="preserve">desde San José </w:t>
      </w:r>
      <w:r w:rsidR="007E14A5" w:rsidRPr="00C8634E">
        <w:rPr>
          <w:rFonts w:asciiTheme="majorHAnsi" w:hAnsiTheme="majorHAnsi"/>
          <w:sz w:val="20"/>
          <w:szCs w:val="20"/>
          <w:u w:color="000000"/>
          <w:lang w:val="es-ES_tradnl"/>
        </w:rPr>
        <w:t xml:space="preserve">de </w:t>
      </w:r>
      <w:r w:rsidR="000E7035" w:rsidRPr="00C8634E">
        <w:rPr>
          <w:rFonts w:asciiTheme="majorHAnsi" w:hAnsiTheme="majorHAnsi"/>
          <w:sz w:val="20"/>
          <w:szCs w:val="20"/>
          <w:u w:color="000000"/>
          <w:lang w:val="es-ES_tradnl"/>
        </w:rPr>
        <w:t>Costa Rica</w:t>
      </w:r>
      <w:r w:rsidR="00D054FF" w:rsidRPr="00C8634E">
        <w:rPr>
          <w:rFonts w:asciiTheme="majorHAnsi" w:hAnsiTheme="majorHAnsi"/>
          <w:sz w:val="20"/>
          <w:szCs w:val="20"/>
          <w:u w:color="000000"/>
          <w:lang w:val="es-ES_tradnl"/>
        </w:rPr>
        <w:t xml:space="preserve"> a </w:t>
      </w:r>
      <w:r w:rsidR="007E14A5" w:rsidRPr="00C8634E">
        <w:rPr>
          <w:rFonts w:asciiTheme="majorHAnsi" w:hAnsiTheme="majorHAnsi"/>
          <w:sz w:val="20"/>
          <w:szCs w:val="20"/>
          <w:u w:color="000000"/>
          <w:lang w:val="es-ES_tradnl"/>
        </w:rPr>
        <w:t>Nicaragua</w:t>
      </w:r>
      <w:r w:rsidR="000F550C" w:rsidRPr="00C8634E">
        <w:rPr>
          <w:rFonts w:asciiTheme="majorHAnsi" w:hAnsiTheme="majorHAnsi"/>
          <w:sz w:val="20"/>
          <w:szCs w:val="20"/>
          <w:u w:color="000000"/>
          <w:lang w:val="es-ES_tradnl"/>
        </w:rPr>
        <w:t xml:space="preserve"> </w:t>
      </w:r>
      <w:r w:rsidR="00D054FF" w:rsidRPr="00C8634E">
        <w:rPr>
          <w:rFonts w:asciiTheme="majorHAnsi" w:hAnsiTheme="majorHAnsi"/>
          <w:sz w:val="20"/>
          <w:szCs w:val="20"/>
          <w:u w:color="000000"/>
          <w:lang w:val="es-ES_tradnl"/>
        </w:rPr>
        <w:t>para supervisar</w:t>
      </w:r>
      <w:r w:rsidR="00892A1D" w:rsidRPr="00C8634E">
        <w:rPr>
          <w:rFonts w:asciiTheme="majorHAnsi" w:hAnsiTheme="majorHAnsi"/>
          <w:sz w:val="20"/>
          <w:szCs w:val="20"/>
          <w:u w:color="000000"/>
          <w:lang w:val="es-ES_tradnl"/>
        </w:rPr>
        <w:t xml:space="preserve"> </w:t>
      </w:r>
      <w:r w:rsidR="00D054FF" w:rsidRPr="00C8634E">
        <w:rPr>
          <w:rFonts w:asciiTheme="majorHAnsi" w:hAnsiTheme="majorHAnsi"/>
          <w:sz w:val="20"/>
          <w:szCs w:val="20"/>
          <w:u w:color="000000"/>
          <w:lang w:val="es-ES_tradnl"/>
        </w:rPr>
        <w:t xml:space="preserve">un evento de </w:t>
      </w:r>
      <w:r w:rsidR="000E7035" w:rsidRPr="00C8634E">
        <w:rPr>
          <w:rFonts w:asciiTheme="majorHAnsi" w:hAnsiTheme="majorHAnsi"/>
          <w:sz w:val="20"/>
          <w:szCs w:val="20"/>
          <w:u w:color="000000"/>
          <w:lang w:val="es-ES_tradnl"/>
        </w:rPr>
        <w:t>la</w:t>
      </w:r>
      <w:r w:rsidR="00D054FF" w:rsidRPr="00C8634E">
        <w:rPr>
          <w:rFonts w:asciiTheme="majorHAnsi" w:hAnsiTheme="majorHAnsi"/>
          <w:sz w:val="20"/>
          <w:szCs w:val="20"/>
          <w:u w:color="000000"/>
          <w:lang w:val="es-ES_tradnl"/>
        </w:rPr>
        <w:t xml:space="preserve"> empresa de telefonía donde trabajaba</w:t>
      </w:r>
      <w:r w:rsidR="00707D0C" w:rsidRPr="00C8634E">
        <w:rPr>
          <w:rFonts w:asciiTheme="majorHAnsi" w:hAnsiTheme="majorHAnsi"/>
          <w:sz w:val="20"/>
          <w:szCs w:val="20"/>
          <w:u w:color="000000"/>
          <w:lang w:val="es-ES_tradnl"/>
        </w:rPr>
        <w:t>,</w:t>
      </w:r>
      <w:r w:rsidR="00D054FF" w:rsidRPr="00C8634E">
        <w:rPr>
          <w:rFonts w:asciiTheme="majorHAnsi" w:hAnsiTheme="majorHAnsi"/>
          <w:sz w:val="20"/>
          <w:szCs w:val="20"/>
          <w:u w:color="000000"/>
          <w:lang w:val="es-ES_tradnl"/>
        </w:rPr>
        <w:t xml:space="preserve"> </w:t>
      </w:r>
      <w:r w:rsidR="0092177C" w:rsidRPr="00C8634E">
        <w:rPr>
          <w:rFonts w:asciiTheme="majorHAnsi" w:hAnsiTheme="majorHAnsi"/>
          <w:sz w:val="20"/>
          <w:szCs w:val="20"/>
          <w:u w:color="000000"/>
          <w:lang w:val="es-ES_tradnl"/>
        </w:rPr>
        <w:t>e</w:t>
      </w:r>
      <w:r w:rsidR="00D054FF" w:rsidRPr="00C8634E">
        <w:rPr>
          <w:rFonts w:asciiTheme="majorHAnsi" w:hAnsiTheme="majorHAnsi"/>
          <w:sz w:val="20"/>
          <w:szCs w:val="20"/>
          <w:u w:color="000000"/>
          <w:lang w:val="es-ES_tradnl"/>
        </w:rPr>
        <w:t>se mismo día</w:t>
      </w:r>
      <w:r w:rsidR="0092177C" w:rsidRPr="00C8634E">
        <w:rPr>
          <w:rFonts w:asciiTheme="majorHAnsi" w:hAnsiTheme="majorHAnsi"/>
          <w:sz w:val="20"/>
          <w:szCs w:val="20"/>
          <w:u w:color="000000"/>
          <w:lang w:val="es-ES_tradnl"/>
        </w:rPr>
        <w:t xml:space="preserve"> un hombre vestido de civil de la Policía Nacional lo detuvo en </w:t>
      </w:r>
      <w:r w:rsidR="00A504A8" w:rsidRPr="00C8634E">
        <w:rPr>
          <w:rFonts w:asciiTheme="majorHAnsi" w:hAnsiTheme="majorHAnsi"/>
          <w:sz w:val="20"/>
          <w:szCs w:val="20"/>
          <w:u w:color="000000"/>
          <w:lang w:val="es-ES_tradnl"/>
        </w:rPr>
        <w:t xml:space="preserve">el estacionamiento </w:t>
      </w:r>
      <w:r w:rsidR="00C460DC" w:rsidRPr="00C8634E">
        <w:rPr>
          <w:rFonts w:asciiTheme="majorHAnsi" w:hAnsiTheme="majorHAnsi"/>
          <w:sz w:val="20"/>
          <w:szCs w:val="20"/>
          <w:u w:color="000000"/>
          <w:lang w:val="es-ES_tradnl"/>
        </w:rPr>
        <w:t>de un</w:t>
      </w:r>
      <w:r w:rsidR="00A504A8" w:rsidRPr="00C8634E">
        <w:rPr>
          <w:rFonts w:asciiTheme="majorHAnsi" w:hAnsiTheme="majorHAnsi"/>
          <w:sz w:val="20"/>
          <w:szCs w:val="20"/>
          <w:u w:color="000000"/>
          <w:lang w:val="es-ES_tradnl"/>
        </w:rPr>
        <w:t xml:space="preserve"> Centro Comercial en </w:t>
      </w:r>
      <w:r w:rsidR="000E7035" w:rsidRPr="00C8634E">
        <w:rPr>
          <w:rFonts w:asciiTheme="majorHAnsi" w:hAnsiTheme="majorHAnsi"/>
          <w:sz w:val="20"/>
          <w:szCs w:val="20"/>
          <w:u w:color="000000"/>
          <w:lang w:val="es-ES_tradnl"/>
        </w:rPr>
        <w:t>Managua</w:t>
      </w:r>
      <w:r w:rsidR="0092177C" w:rsidRPr="00C8634E">
        <w:rPr>
          <w:rFonts w:asciiTheme="majorHAnsi" w:hAnsiTheme="majorHAnsi"/>
          <w:sz w:val="20"/>
          <w:szCs w:val="20"/>
          <w:u w:color="000000"/>
          <w:lang w:val="es-ES_tradnl"/>
        </w:rPr>
        <w:t xml:space="preserve">. </w:t>
      </w:r>
      <w:r w:rsidR="00C460DC" w:rsidRPr="00C8634E">
        <w:rPr>
          <w:rFonts w:asciiTheme="majorHAnsi" w:hAnsiTheme="majorHAnsi"/>
          <w:sz w:val="20"/>
          <w:szCs w:val="20"/>
          <w:u w:color="000000"/>
          <w:lang w:val="es-ES_tradnl"/>
        </w:rPr>
        <w:t xml:space="preserve">Tras lo captura lo llevaron </w:t>
      </w:r>
      <w:r w:rsidR="00433881" w:rsidRPr="00C8634E">
        <w:rPr>
          <w:rFonts w:asciiTheme="majorHAnsi" w:hAnsiTheme="majorHAnsi"/>
          <w:sz w:val="20"/>
          <w:szCs w:val="20"/>
          <w:lang w:val="es-ES_tradnl" w:eastAsia="es-ES"/>
        </w:rPr>
        <w:t>a</w:t>
      </w:r>
      <w:r w:rsidR="00DB6457" w:rsidRPr="00C8634E">
        <w:rPr>
          <w:rFonts w:asciiTheme="majorHAnsi" w:hAnsiTheme="majorHAnsi"/>
          <w:sz w:val="20"/>
          <w:szCs w:val="20"/>
          <w:lang w:val="es-ES_tradnl" w:eastAsia="es-ES"/>
        </w:rPr>
        <w:t xml:space="preserve"> </w:t>
      </w:r>
      <w:r w:rsidR="00433881" w:rsidRPr="00C8634E">
        <w:rPr>
          <w:rFonts w:asciiTheme="majorHAnsi" w:hAnsiTheme="majorHAnsi"/>
          <w:sz w:val="20"/>
          <w:szCs w:val="20"/>
          <w:lang w:val="es-ES_tradnl" w:eastAsia="es-ES"/>
        </w:rPr>
        <w:t>l</w:t>
      </w:r>
      <w:r w:rsidR="00DB6457" w:rsidRPr="00C8634E">
        <w:rPr>
          <w:rFonts w:asciiTheme="majorHAnsi" w:hAnsiTheme="majorHAnsi"/>
          <w:sz w:val="20"/>
          <w:szCs w:val="20"/>
          <w:lang w:val="es-ES_tradnl" w:eastAsia="es-ES"/>
        </w:rPr>
        <w:t>a</w:t>
      </w:r>
      <w:r w:rsidR="00433881" w:rsidRPr="00C8634E">
        <w:rPr>
          <w:rFonts w:asciiTheme="majorHAnsi" w:hAnsiTheme="majorHAnsi"/>
          <w:sz w:val="20"/>
          <w:szCs w:val="20"/>
          <w:lang w:val="es-ES_tradnl" w:eastAsia="es-ES"/>
        </w:rPr>
        <w:t xml:space="preserve"> </w:t>
      </w:r>
      <w:r w:rsidR="00DB6457" w:rsidRPr="00C8634E">
        <w:rPr>
          <w:rFonts w:asciiTheme="majorHAnsi" w:hAnsiTheme="majorHAnsi"/>
          <w:sz w:val="20"/>
          <w:szCs w:val="20"/>
          <w:lang w:val="es-ES_tradnl" w:eastAsia="es-ES"/>
        </w:rPr>
        <w:t>Dirección de Auxilio Judicial</w:t>
      </w:r>
      <w:r w:rsidR="00433881" w:rsidRPr="00C8634E">
        <w:rPr>
          <w:rFonts w:asciiTheme="majorHAnsi" w:hAnsiTheme="majorHAnsi"/>
          <w:sz w:val="20"/>
          <w:szCs w:val="20"/>
          <w:lang w:val="es-ES_tradnl" w:eastAsia="es-ES"/>
        </w:rPr>
        <w:t xml:space="preserve"> </w:t>
      </w:r>
      <w:r w:rsidR="00DB6457" w:rsidRPr="00C8634E">
        <w:rPr>
          <w:rFonts w:asciiTheme="majorHAnsi" w:hAnsiTheme="majorHAnsi"/>
          <w:sz w:val="20"/>
          <w:szCs w:val="20"/>
          <w:lang w:val="es-ES_tradnl" w:eastAsia="es-ES"/>
        </w:rPr>
        <w:t xml:space="preserve">en </w:t>
      </w:r>
      <w:r w:rsidR="007E14A5" w:rsidRPr="00C8634E">
        <w:rPr>
          <w:rFonts w:asciiTheme="majorHAnsi" w:hAnsiTheme="majorHAnsi"/>
          <w:sz w:val="20"/>
          <w:szCs w:val="20"/>
          <w:lang w:val="es-ES_tradnl" w:eastAsia="es-ES"/>
        </w:rPr>
        <w:t>Managua</w:t>
      </w:r>
      <w:r w:rsidR="007B76A7" w:rsidRPr="00C8634E">
        <w:rPr>
          <w:rFonts w:asciiTheme="majorHAnsi" w:hAnsiTheme="majorHAnsi"/>
          <w:sz w:val="20"/>
          <w:szCs w:val="20"/>
          <w:lang w:val="es-ES_tradnl" w:eastAsia="es-ES"/>
        </w:rPr>
        <w:t xml:space="preserve"> (lugar conocido como “El Chipote”)</w:t>
      </w:r>
      <w:r w:rsidR="00597F97" w:rsidRPr="00C8634E">
        <w:rPr>
          <w:rFonts w:asciiTheme="majorHAnsi" w:hAnsiTheme="majorHAnsi"/>
          <w:sz w:val="20"/>
          <w:szCs w:val="20"/>
          <w:lang w:val="es-ES_tradnl" w:eastAsia="es-ES"/>
        </w:rPr>
        <w:t>,</w:t>
      </w:r>
      <w:r w:rsidR="00433881" w:rsidRPr="00C8634E">
        <w:rPr>
          <w:rFonts w:asciiTheme="majorHAnsi" w:hAnsiTheme="majorHAnsi"/>
          <w:sz w:val="20"/>
          <w:szCs w:val="20"/>
          <w:lang w:val="es-ES_tradnl" w:eastAsia="es-ES"/>
        </w:rPr>
        <w:t xml:space="preserve"> sin mostrarle una orden de aprehensión</w:t>
      </w:r>
      <w:r w:rsidR="005E0397" w:rsidRPr="00C8634E">
        <w:rPr>
          <w:rFonts w:asciiTheme="majorHAnsi" w:hAnsiTheme="majorHAnsi"/>
          <w:sz w:val="20"/>
          <w:szCs w:val="20"/>
          <w:lang w:val="es-ES_tradnl" w:eastAsia="es-ES"/>
        </w:rPr>
        <w:t xml:space="preserve"> ni informarle los motivos de </w:t>
      </w:r>
      <w:r w:rsidR="0092177C" w:rsidRPr="00C8634E">
        <w:rPr>
          <w:rFonts w:asciiTheme="majorHAnsi" w:hAnsiTheme="majorHAnsi"/>
          <w:sz w:val="20"/>
          <w:szCs w:val="20"/>
          <w:lang w:val="es-ES_tradnl" w:eastAsia="es-ES"/>
        </w:rPr>
        <w:t>su</w:t>
      </w:r>
      <w:r w:rsidR="005E0397" w:rsidRPr="00C8634E">
        <w:rPr>
          <w:rFonts w:asciiTheme="majorHAnsi" w:hAnsiTheme="majorHAnsi"/>
          <w:sz w:val="20"/>
          <w:szCs w:val="20"/>
          <w:lang w:val="es-ES_tradnl" w:eastAsia="es-ES"/>
        </w:rPr>
        <w:t xml:space="preserve"> detención, </w:t>
      </w:r>
      <w:r w:rsidR="00C460DC" w:rsidRPr="00C8634E">
        <w:rPr>
          <w:rFonts w:asciiTheme="majorHAnsi" w:hAnsiTheme="majorHAnsi"/>
          <w:sz w:val="20"/>
          <w:szCs w:val="20"/>
          <w:lang w:val="es-ES_tradnl" w:eastAsia="es-ES"/>
        </w:rPr>
        <w:t>y sin</w:t>
      </w:r>
      <w:r w:rsidR="005E0397" w:rsidRPr="00C8634E">
        <w:rPr>
          <w:rFonts w:asciiTheme="majorHAnsi" w:hAnsiTheme="majorHAnsi"/>
          <w:sz w:val="20"/>
          <w:szCs w:val="20"/>
          <w:lang w:val="es-ES_tradnl" w:eastAsia="es-ES"/>
        </w:rPr>
        <w:t xml:space="preserve"> </w:t>
      </w:r>
      <w:r w:rsidR="0092177C" w:rsidRPr="00C8634E">
        <w:rPr>
          <w:rFonts w:asciiTheme="majorHAnsi" w:hAnsiTheme="majorHAnsi"/>
          <w:sz w:val="20"/>
          <w:szCs w:val="20"/>
          <w:lang w:val="es-ES_tradnl" w:eastAsia="es-ES"/>
        </w:rPr>
        <w:t>permitirle</w:t>
      </w:r>
      <w:r w:rsidR="005E0397" w:rsidRPr="00C8634E">
        <w:rPr>
          <w:rFonts w:asciiTheme="majorHAnsi" w:hAnsiTheme="majorHAnsi"/>
          <w:sz w:val="20"/>
          <w:szCs w:val="20"/>
          <w:lang w:val="es-ES_tradnl" w:eastAsia="es-ES"/>
        </w:rPr>
        <w:t xml:space="preserve"> hacer una llamada.</w:t>
      </w:r>
      <w:r w:rsidR="0092177C" w:rsidRPr="00C8634E">
        <w:rPr>
          <w:rFonts w:asciiTheme="majorHAnsi" w:hAnsiTheme="majorHAnsi"/>
          <w:sz w:val="20"/>
          <w:szCs w:val="20"/>
          <w:lang w:val="es-ES_tradnl" w:eastAsia="es-ES"/>
        </w:rPr>
        <w:t xml:space="preserve"> Sostiene que</w:t>
      </w:r>
      <w:r w:rsidR="005E0397" w:rsidRPr="00C8634E">
        <w:rPr>
          <w:rFonts w:asciiTheme="majorHAnsi" w:hAnsiTheme="majorHAnsi"/>
          <w:sz w:val="20"/>
          <w:szCs w:val="20"/>
          <w:lang w:val="es-ES_tradnl" w:eastAsia="es-ES"/>
        </w:rPr>
        <w:t xml:space="preserve"> </w:t>
      </w:r>
      <w:r w:rsidR="0092177C" w:rsidRPr="00C8634E">
        <w:rPr>
          <w:rFonts w:asciiTheme="majorHAnsi" w:hAnsiTheme="majorHAnsi"/>
          <w:sz w:val="20"/>
          <w:szCs w:val="20"/>
          <w:lang w:val="es-ES_tradnl" w:eastAsia="es-ES"/>
        </w:rPr>
        <w:t>e</w:t>
      </w:r>
      <w:r w:rsidR="005E0397" w:rsidRPr="00C8634E">
        <w:rPr>
          <w:rFonts w:asciiTheme="majorHAnsi" w:hAnsiTheme="majorHAnsi"/>
          <w:sz w:val="20"/>
          <w:szCs w:val="20"/>
          <w:lang w:val="es-ES_tradnl" w:eastAsia="es-ES"/>
        </w:rPr>
        <w:t xml:space="preserve">n El Chipote lo </w:t>
      </w:r>
      <w:r w:rsidR="00E21AEB" w:rsidRPr="00C8634E">
        <w:rPr>
          <w:rFonts w:asciiTheme="majorHAnsi" w:hAnsiTheme="majorHAnsi"/>
          <w:sz w:val="20"/>
          <w:szCs w:val="20"/>
          <w:lang w:val="es-ES_tradnl" w:eastAsia="es-ES"/>
        </w:rPr>
        <w:t>pusieron en un calabozo donde apenas cab</w:t>
      </w:r>
      <w:r w:rsidR="005E0397" w:rsidRPr="00C8634E">
        <w:rPr>
          <w:rFonts w:asciiTheme="majorHAnsi" w:hAnsiTheme="majorHAnsi"/>
          <w:sz w:val="20"/>
          <w:szCs w:val="20"/>
          <w:lang w:val="es-ES_tradnl" w:eastAsia="es-ES"/>
        </w:rPr>
        <w:t>ía</w:t>
      </w:r>
      <w:r w:rsidR="00E21AEB" w:rsidRPr="00C8634E">
        <w:rPr>
          <w:rFonts w:asciiTheme="majorHAnsi" w:hAnsiTheme="majorHAnsi"/>
          <w:sz w:val="20"/>
          <w:szCs w:val="20"/>
          <w:lang w:val="es-ES_tradnl" w:eastAsia="es-ES"/>
        </w:rPr>
        <w:t xml:space="preserve"> una persona de pie</w:t>
      </w:r>
      <w:r w:rsidR="0092177C" w:rsidRPr="00C8634E">
        <w:rPr>
          <w:rFonts w:asciiTheme="majorHAnsi" w:hAnsiTheme="majorHAnsi"/>
          <w:sz w:val="20"/>
          <w:szCs w:val="20"/>
          <w:lang w:val="es-ES_tradnl" w:eastAsia="es-ES"/>
        </w:rPr>
        <w:t xml:space="preserve">, quedando </w:t>
      </w:r>
      <w:r w:rsidR="00B557AE" w:rsidRPr="00C8634E">
        <w:rPr>
          <w:rFonts w:asciiTheme="majorHAnsi" w:hAnsiTheme="majorHAnsi"/>
          <w:sz w:val="20"/>
          <w:szCs w:val="20"/>
          <w:lang w:val="es-ES_tradnl" w:eastAsia="es-ES"/>
        </w:rPr>
        <w:t xml:space="preserve">encerrado </w:t>
      </w:r>
      <w:r w:rsidR="0092177C" w:rsidRPr="00C8634E">
        <w:rPr>
          <w:rFonts w:asciiTheme="majorHAnsi" w:hAnsiTheme="majorHAnsi"/>
          <w:sz w:val="20"/>
          <w:szCs w:val="20"/>
          <w:lang w:val="es-ES_tradnl" w:eastAsia="es-ES"/>
        </w:rPr>
        <w:t xml:space="preserve">en </w:t>
      </w:r>
      <w:r w:rsidR="00B557AE" w:rsidRPr="00C8634E">
        <w:rPr>
          <w:rFonts w:asciiTheme="majorHAnsi" w:hAnsiTheme="majorHAnsi"/>
          <w:sz w:val="20"/>
          <w:szCs w:val="20"/>
          <w:lang w:val="es-ES_tradnl" w:eastAsia="es-ES"/>
        </w:rPr>
        <w:t>oscuridad</w:t>
      </w:r>
      <w:r w:rsidR="0092177C" w:rsidRPr="00C8634E">
        <w:rPr>
          <w:rFonts w:asciiTheme="majorHAnsi" w:hAnsiTheme="majorHAnsi"/>
          <w:sz w:val="20"/>
          <w:szCs w:val="20"/>
          <w:lang w:val="es-ES_tradnl" w:eastAsia="es-ES"/>
        </w:rPr>
        <w:t xml:space="preserve">, para </w:t>
      </w:r>
      <w:r w:rsidR="00B557AE" w:rsidRPr="00C8634E">
        <w:rPr>
          <w:rFonts w:asciiTheme="majorHAnsi" w:hAnsiTheme="majorHAnsi"/>
          <w:sz w:val="20"/>
          <w:szCs w:val="20"/>
          <w:lang w:val="es-ES_tradnl" w:eastAsia="es-ES"/>
        </w:rPr>
        <w:t xml:space="preserve">luego </w:t>
      </w:r>
      <w:r w:rsidR="0092177C" w:rsidRPr="00C8634E">
        <w:rPr>
          <w:rFonts w:asciiTheme="majorHAnsi" w:hAnsiTheme="majorHAnsi"/>
          <w:sz w:val="20"/>
          <w:szCs w:val="20"/>
          <w:lang w:val="es-ES_tradnl" w:eastAsia="es-ES"/>
        </w:rPr>
        <w:t xml:space="preserve">ser </w:t>
      </w:r>
      <w:r w:rsidR="00B557AE" w:rsidRPr="00C8634E">
        <w:rPr>
          <w:rFonts w:asciiTheme="majorHAnsi" w:hAnsiTheme="majorHAnsi"/>
          <w:sz w:val="20"/>
          <w:szCs w:val="20"/>
          <w:lang w:val="es-ES_tradnl" w:eastAsia="es-ES"/>
        </w:rPr>
        <w:t>traslad</w:t>
      </w:r>
      <w:r w:rsidR="003556CF" w:rsidRPr="00C8634E">
        <w:rPr>
          <w:rFonts w:asciiTheme="majorHAnsi" w:hAnsiTheme="majorHAnsi"/>
          <w:sz w:val="20"/>
          <w:szCs w:val="20"/>
          <w:lang w:val="es-ES_tradnl" w:eastAsia="es-ES"/>
        </w:rPr>
        <w:t>ado</w:t>
      </w:r>
      <w:r w:rsidR="00B557AE" w:rsidRPr="00C8634E">
        <w:rPr>
          <w:rFonts w:asciiTheme="majorHAnsi" w:hAnsiTheme="majorHAnsi"/>
          <w:sz w:val="20"/>
          <w:szCs w:val="20"/>
          <w:lang w:val="es-ES_tradnl" w:eastAsia="es-ES"/>
        </w:rPr>
        <w:t xml:space="preserve"> a una oficina</w:t>
      </w:r>
      <w:r w:rsidR="003556CF" w:rsidRPr="00C8634E">
        <w:rPr>
          <w:rFonts w:asciiTheme="majorHAnsi" w:hAnsiTheme="majorHAnsi"/>
          <w:sz w:val="20"/>
          <w:szCs w:val="20"/>
          <w:lang w:val="es-ES_tradnl" w:eastAsia="es-ES"/>
        </w:rPr>
        <w:t xml:space="preserve"> donde le informaron</w:t>
      </w:r>
      <w:r w:rsidR="0092177C" w:rsidRPr="00C8634E">
        <w:rPr>
          <w:rFonts w:asciiTheme="majorHAnsi" w:hAnsiTheme="majorHAnsi"/>
          <w:sz w:val="20"/>
          <w:szCs w:val="20"/>
          <w:lang w:val="es-ES_tradnl" w:eastAsia="es-ES"/>
        </w:rPr>
        <w:t xml:space="preserve"> por primera vez</w:t>
      </w:r>
      <w:r w:rsidR="003556CF" w:rsidRPr="00C8634E">
        <w:rPr>
          <w:rFonts w:asciiTheme="majorHAnsi" w:hAnsiTheme="majorHAnsi"/>
          <w:sz w:val="20"/>
          <w:szCs w:val="20"/>
          <w:lang w:val="es-ES_tradnl" w:eastAsia="es-ES"/>
        </w:rPr>
        <w:t xml:space="preserve"> que la </w:t>
      </w:r>
      <w:r w:rsidR="003071AC" w:rsidRPr="00C8634E">
        <w:rPr>
          <w:rFonts w:asciiTheme="majorHAnsi" w:hAnsiTheme="majorHAnsi"/>
          <w:sz w:val="20"/>
          <w:szCs w:val="20"/>
          <w:lang w:val="es-ES_tradnl" w:eastAsia="es-ES"/>
        </w:rPr>
        <w:t>INTERPOL</w:t>
      </w:r>
      <w:r w:rsidR="003556CF" w:rsidRPr="00C8634E">
        <w:rPr>
          <w:rFonts w:asciiTheme="majorHAnsi" w:hAnsiTheme="majorHAnsi"/>
          <w:sz w:val="20"/>
          <w:szCs w:val="20"/>
          <w:lang w:val="es-ES_tradnl" w:eastAsia="es-ES"/>
        </w:rPr>
        <w:t xml:space="preserve"> lo estaba buscando</w:t>
      </w:r>
      <w:r w:rsidR="0092177C" w:rsidRPr="00C8634E">
        <w:rPr>
          <w:rFonts w:asciiTheme="majorHAnsi" w:hAnsiTheme="majorHAnsi"/>
          <w:sz w:val="20"/>
          <w:szCs w:val="20"/>
          <w:lang w:val="es-ES_tradnl" w:eastAsia="es-ES"/>
        </w:rPr>
        <w:t>.</w:t>
      </w:r>
    </w:p>
    <w:p w14:paraId="6E6DBC85" w14:textId="127D10F9" w:rsidR="00AB64D3" w:rsidRPr="00C8634E" w:rsidRDefault="00C460DC" w:rsidP="00AB64D3">
      <w:pPr>
        <w:numPr>
          <w:ilvl w:val="0"/>
          <w:numId w:val="59"/>
        </w:numPr>
        <w:suppressAutoHyphens/>
        <w:spacing w:after="240"/>
        <w:jc w:val="both"/>
        <w:rPr>
          <w:rFonts w:asciiTheme="majorHAnsi" w:hAnsiTheme="majorHAnsi"/>
          <w:sz w:val="20"/>
          <w:szCs w:val="20"/>
          <w:lang w:val="es-ES_tradnl"/>
        </w:rPr>
      </w:pPr>
      <w:r w:rsidRPr="00C8634E">
        <w:rPr>
          <w:rFonts w:asciiTheme="majorHAnsi" w:hAnsiTheme="majorHAnsi"/>
          <w:sz w:val="20"/>
          <w:szCs w:val="20"/>
          <w:lang w:val="es-ES_tradnl" w:eastAsia="es-ES"/>
        </w:rPr>
        <w:t>L</w:t>
      </w:r>
      <w:r w:rsidR="00B536D3" w:rsidRPr="00C8634E">
        <w:rPr>
          <w:rFonts w:asciiTheme="majorHAnsi" w:hAnsiTheme="majorHAnsi"/>
          <w:sz w:val="20"/>
          <w:szCs w:val="20"/>
          <w:lang w:val="es-ES_tradnl" w:eastAsia="es-ES"/>
        </w:rPr>
        <w:t>as personas que lo custodiaban lo</w:t>
      </w:r>
      <w:r w:rsidR="0092177C" w:rsidRPr="00C8634E">
        <w:rPr>
          <w:rFonts w:asciiTheme="majorHAnsi" w:hAnsiTheme="majorHAnsi"/>
          <w:sz w:val="20"/>
          <w:szCs w:val="20"/>
          <w:lang w:val="es-ES_tradnl" w:eastAsia="es-ES"/>
        </w:rPr>
        <w:t xml:space="preserve"> </w:t>
      </w:r>
      <w:r w:rsidR="00EA24D1" w:rsidRPr="00C8634E">
        <w:rPr>
          <w:rFonts w:asciiTheme="majorHAnsi" w:hAnsiTheme="majorHAnsi"/>
          <w:sz w:val="20"/>
          <w:szCs w:val="20"/>
          <w:lang w:val="es-ES_tradnl" w:eastAsia="es-ES"/>
        </w:rPr>
        <w:t>llevaron</w:t>
      </w:r>
      <w:r w:rsidR="00DB3020" w:rsidRPr="00C8634E">
        <w:rPr>
          <w:rFonts w:asciiTheme="majorHAnsi" w:hAnsiTheme="majorHAnsi"/>
          <w:sz w:val="20"/>
          <w:szCs w:val="20"/>
          <w:lang w:val="es-ES_tradnl" w:eastAsia="es-ES"/>
        </w:rPr>
        <w:t xml:space="preserve"> a un lugar con una bolsa en la cabeza</w:t>
      </w:r>
      <w:r w:rsidRPr="00C8634E">
        <w:rPr>
          <w:rFonts w:asciiTheme="majorHAnsi" w:hAnsiTheme="majorHAnsi"/>
          <w:sz w:val="20"/>
          <w:szCs w:val="20"/>
          <w:lang w:val="es-ES_tradnl" w:eastAsia="es-ES"/>
        </w:rPr>
        <w:t>,</w:t>
      </w:r>
      <w:r w:rsidR="0092177C" w:rsidRPr="00C8634E">
        <w:rPr>
          <w:rFonts w:asciiTheme="majorHAnsi" w:hAnsiTheme="majorHAnsi"/>
          <w:sz w:val="20"/>
          <w:szCs w:val="20"/>
          <w:lang w:val="es-ES_tradnl" w:eastAsia="es-ES"/>
        </w:rPr>
        <w:t xml:space="preserve"> y </w:t>
      </w:r>
      <w:r w:rsidRPr="00C8634E">
        <w:rPr>
          <w:rFonts w:asciiTheme="majorHAnsi" w:hAnsiTheme="majorHAnsi"/>
          <w:sz w:val="20"/>
          <w:szCs w:val="20"/>
          <w:lang w:val="es-ES_tradnl" w:eastAsia="es-ES"/>
        </w:rPr>
        <w:t>a</w:t>
      </w:r>
      <w:r w:rsidR="0092177C" w:rsidRPr="00C8634E">
        <w:rPr>
          <w:rFonts w:asciiTheme="majorHAnsi" w:hAnsiTheme="majorHAnsi"/>
          <w:sz w:val="20"/>
          <w:szCs w:val="20"/>
          <w:lang w:val="es-ES_tradnl" w:eastAsia="es-ES"/>
        </w:rPr>
        <w:t xml:space="preserve"> pesar de que no podía ver a d</w:t>
      </w:r>
      <w:r w:rsidR="00EA24D1" w:rsidRPr="00C8634E">
        <w:rPr>
          <w:rFonts w:asciiTheme="majorHAnsi" w:hAnsiTheme="majorHAnsi"/>
          <w:sz w:val="20"/>
          <w:szCs w:val="20"/>
          <w:lang w:val="es-ES_tradnl" w:eastAsia="es-ES"/>
        </w:rPr>
        <w:t>ó</w:t>
      </w:r>
      <w:r w:rsidR="0092177C" w:rsidRPr="00C8634E">
        <w:rPr>
          <w:rFonts w:asciiTheme="majorHAnsi" w:hAnsiTheme="majorHAnsi"/>
          <w:sz w:val="20"/>
          <w:szCs w:val="20"/>
          <w:lang w:val="es-ES_tradnl" w:eastAsia="es-ES"/>
        </w:rPr>
        <w:t>nde lo lleva</w:t>
      </w:r>
      <w:r w:rsidR="00D73466" w:rsidRPr="00C8634E">
        <w:rPr>
          <w:rFonts w:asciiTheme="majorHAnsi" w:hAnsiTheme="majorHAnsi"/>
          <w:sz w:val="20"/>
          <w:szCs w:val="20"/>
          <w:lang w:val="es-ES_tradnl" w:eastAsia="es-ES"/>
        </w:rPr>
        <w:t>ba</w:t>
      </w:r>
      <w:r w:rsidR="0092177C" w:rsidRPr="00C8634E">
        <w:rPr>
          <w:rFonts w:asciiTheme="majorHAnsi" w:hAnsiTheme="majorHAnsi"/>
          <w:sz w:val="20"/>
          <w:szCs w:val="20"/>
          <w:lang w:val="es-ES_tradnl" w:eastAsia="es-ES"/>
        </w:rPr>
        <w:t xml:space="preserve">n intuye que aún se mantenía dentro de El Chipote. </w:t>
      </w:r>
      <w:r w:rsidR="00EA24D1" w:rsidRPr="00C8634E">
        <w:rPr>
          <w:rFonts w:asciiTheme="majorHAnsi" w:hAnsiTheme="majorHAnsi"/>
          <w:sz w:val="20"/>
          <w:szCs w:val="20"/>
          <w:lang w:val="es-ES_tradnl" w:eastAsia="es-ES"/>
        </w:rPr>
        <w:t>T</w:t>
      </w:r>
      <w:r w:rsidR="0092177C" w:rsidRPr="00C8634E">
        <w:rPr>
          <w:rFonts w:asciiTheme="majorHAnsi" w:hAnsiTheme="majorHAnsi"/>
          <w:sz w:val="20"/>
          <w:szCs w:val="20"/>
          <w:lang w:val="es-ES_tradnl" w:eastAsia="es-ES"/>
        </w:rPr>
        <w:t>ras desnudarlo lo subieron a un banco o mesa, donde le ataron las manos al techo</w:t>
      </w:r>
      <w:r w:rsidR="008E4CCE" w:rsidRPr="00C8634E">
        <w:rPr>
          <w:rFonts w:asciiTheme="majorHAnsi" w:hAnsiTheme="majorHAnsi"/>
          <w:sz w:val="20"/>
          <w:szCs w:val="20"/>
          <w:lang w:val="es-ES_tradnl" w:eastAsia="es-ES"/>
        </w:rPr>
        <w:t>,</w:t>
      </w:r>
      <w:r w:rsidR="0092177C" w:rsidRPr="00C8634E">
        <w:rPr>
          <w:rFonts w:asciiTheme="majorHAnsi" w:hAnsiTheme="majorHAnsi"/>
          <w:sz w:val="20"/>
          <w:szCs w:val="20"/>
          <w:lang w:val="es-ES_tradnl" w:eastAsia="es-ES"/>
        </w:rPr>
        <w:t xml:space="preserve"> y en esa posición le golpearon la cara y las costillas, para posteriormente ponerle algo en los testículos que le pellizcaba. Indica que mientras esto ocurría </w:t>
      </w:r>
      <w:r w:rsidR="004D6015" w:rsidRPr="00C8634E">
        <w:rPr>
          <w:rFonts w:asciiTheme="majorHAnsi" w:hAnsiTheme="majorHAnsi"/>
          <w:sz w:val="20"/>
          <w:szCs w:val="20"/>
          <w:lang w:val="es-ES_tradnl" w:eastAsia="es-ES"/>
        </w:rPr>
        <w:t xml:space="preserve">los torturadores </w:t>
      </w:r>
      <w:r w:rsidR="0092177C" w:rsidRPr="00C8634E">
        <w:rPr>
          <w:rFonts w:asciiTheme="majorHAnsi" w:hAnsiTheme="majorHAnsi"/>
          <w:sz w:val="20"/>
          <w:szCs w:val="20"/>
          <w:lang w:val="es-ES_tradnl" w:eastAsia="es-ES"/>
        </w:rPr>
        <w:t xml:space="preserve">le insistían que confesara a cuál cartel pertenecía, </w:t>
      </w:r>
      <w:r w:rsidR="004D6015" w:rsidRPr="00C8634E">
        <w:rPr>
          <w:rFonts w:asciiTheme="majorHAnsi" w:hAnsiTheme="majorHAnsi"/>
          <w:sz w:val="20"/>
          <w:szCs w:val="20"/>
          <w:lang w:val="es-ES_tradnl" w:eastAsia="es-ES"/>
        </w:rPr>
        <w:t>cosa la presunta víctima</w:t>
      </w:r>
      <w:r w:rsidR="0092177C" w:rsidRPr="00C8634E">
        <w:rPr>
          <w:rFonts w:asciiTheme="majorHAnsi" w:hAnsiTheme="majorHAnsi"/>
          <w:sz w:val="20"/>
          <w:szCs w:val="20"/>
          <w:lang w:val="es-ES_tradnl" w:eastAsia="es-ES"/>
        </w:rPr>
        <w:t xml:space="preserve"> que se negó a responder. Señala que luego de este interrogatorio </w:t>
      </w:r>
      <w:r w:rsidR="00C553C8" w:rsidRPr="00C8634E">
        <w:rPr>
          <w:rFonts w:asciiTheme="majorHAnsi" w:hAnsiTheme="majorHAnsi"/>
          <w:sz w:val="20"/>
          <w:szCs w:val="20"/>
          <w:lang w:val="es-ES_tradnl" w:eastAsia="es-ES"/>
        </w:rPr>
        <w:t xml:space="preserve">lo </w:t>
      </w:r>
      <w:r w:rsidR="00F06CB5" w:rsidRPr="00C8634E">
        <w:rPr>
          <w:rFonts w:asciiTheme="majorHAnsi" w:hAnsiTheme="majorHAnsi"/>
          <w:sz w:val="20"/>
          <w:szCs w:val="20"/>
          <w:lang w:val="es-ES_tradnl" w:eastAsia="es-ES"/>
        </w:rPr>
        <w:t xml:space="preserve">llevaron de nuevo a la </w:t>
      </w:r>
      <w:r w:rsidR="007E14A5" w:rsidRPr="00C8634E">
        <w:rPr>
          <w:rFonts w:asciiTheme="majorHAnsi" w:hAnsiTheme="majorHAnsi"/>
          <w:sz w:val="20"/>
          <w:szCs w:val="20"/>
          <w:lang w:val="es-ES_tradnl" w:eastAsia="es-ES"/>
        </w:rPr>
        <w:t>oficina,</w:t>
      </w:r>
      <w:r w:rsidR="00F06CB5" w:rsidRPr="00C8634E">
        <w:rPr>
          <w:rFonts w:asciiTheme="majorHAnsi" w:hAnsiTheme="majorHAnsi"/>
          <w:sz w:val="20"/>
          <w:szCs w:val="20"/>
          <w:lang w:val="es-ES_tradnl" w:eastAsia="es-ES"/>
        </w:rPr>
        <w:t xml:space="preserve"> donde le </w:t>
      </w:r>
      <w:r w:rsidR="00FD0A06" w:rsidRPr="00C8634E">
        <w:rPr>
          <w:rFonts w:asciiTheme="majorHAnsi" w:hAnsiTheme="majorHAnsi"/>
          <w:sz w:val="20"/>
          <w:szCs w:val="20"/>
          <w:lang w:val="es-ES_tradnl" w:eastAsia="es-ES"/>
        </w:rPr>
        <w:t xml:space="preserve">quitaron la bolsa y le </w:t>
      </w:r>
      <w:r w:rsidR="0092177C" w:rsidRPr="00C8634E">
        <w:rPr>
          <w:rFonts w:asciiTheme="majorHAnsi" w:hAnsiTheme="majorHAnsi"/>
          <w:sz w:val="20"/>
          <w:szCs w:val="20"/>
          <w:lang w:val="es-ES_tradnl" w:eastAsia="es-ES"/>
        </w:rPr>
        <w:t>hicieron</w:t>
      </w:r>
      <w:r w:rsidR="00F06CB5" w:rsidRPr="00C8634E">
        <w:rPr>
          <w:rFonts w:asciiTheme="majorHAnsi" w:hAnsiTheme="majorHAnsi"/>
          <w:sz w:val="20"/>
          <w:szCs w:val="20"/>
          <w:lang w:val="es-ES_tradnl" w:eastAsia="es-ES"/>
        </w:rPr>
        <w:t xml:space="preserve"> firmar un documento cuyo contenido </w:t>
      </w:r>
      <w:r w:rsidR="00FD0A06" w:rsidRPr="00C8634E">
        <w:rPr>
          <w:rFonts w:asciiTheme="majorHAnsi" w:hAnsiTheme="majorHAnsi"/>
          <w:sz w:val="20"/>
          <w:szCs w:val="20"/>
          <w:lang w:val="es-ES_tradnl" w:eastAsia="es-ES"/>
        </w:rPr>
        <w:t>desconocía</w:t>
      </w:r>
      <w:r w:rsidR="00091226" w:rsidRPr="00C8634E">
        <w:rPr>
          <w:rFonts w:asciiTheme="majorHAnsi" w:hAnsiTheme="majorHAnsi"/>
          <w:sz w:val="20"/>
          <w:szCs w:val="20"/>
          <w:lang w:val="es-ES_tradnl" w:eastAsia="es-ES"/>
        </w:rPr>
        <w:t xml:space="preserve">, razón por la cual solicitó </w:t>
      </w:r>
      <w:r w:rsidR="00B536D3" w:rsidRPr="00C8634E">
        <w:rPr>
          <w:rFonts w:asciiTheme="majorHAnsi" w:hAnsiTheme="majorHAnsi"/>
          <w:sz w:val="20"/>
          <w:szCs w:val="20"/>
          <w:lang w:val="es-ES_tradnl" w:eastAsia="es-ES"/>
        </w:rPr>
        <w:t>comunicarse con su</w:t>
      </w:r>
      <w:r w:rsidR="00091226" w:rsidRPr="00C8634E">
        <w:rPr>
          <w:rFonts w:asciiTheme="majorHAnsi" w:hAnsiTheme="majorHAnsi"/>
          <w:sz w:val="20"/>
          <w:szCs w:val="20"/>
          <w:lang w:val="es-ES_tradnl" w:eastAsia="es-ES"/>
        </w:rPr>
        <w:t xml:space="preserve"> abogado</w:t>
      </w:r>
      <w:r w:rsidR="003A5D17" w:rsidRPr="00C8634E">
        <w:rPr>
          <w:rFonts w:asciiTheme="majorHAnsi" w:hAnsiTheme="majorHAnsi"/>
          <w:sz w:val="20"/>
          <w:szCs w:val="20"/>
          <w:lang w:val="es-ES_tradnl" w:eastAsia="es-ES"/>
        </w:rPr>
        <w:t xml:space="preserve"> o </w:t>
      </w:r>
      <w:r w:rsidR="00EB6EC0" w:rsidRPr="00C8634E">
        <w:rPr>
          <w:rFonts w:asciiTheme="majorHAnsi" w:hAnsiTheme="majorHAnsi"/>
          <w:sz w:val="20"/>
          <w:szCs w:val="20"/>
          <w:lang w:val="es-ES_tradnl" w:eastAsia="es-ES"/>
        </w:rPr>
        <w:t xml:space="preserve">realizar </w:t>
      </w:r>
      <w:r w:rsidR="003A5D17" w:rsidRPr="00C8634E">
        <w:rPr>
          <w:rFonts w:asciiTheme="majorHAnsi" w:hAnsiTheme="majorHAnsi"/>
          <w:sz w:val="20"/>
          <w:szCs w:val="20"/>
          <w:lang w:val="es-ES_tradnl" w:eastAsia="es-ES"/>
        </w:rPr>
        <w:t>una llamada</w:t>
      </w:r>
      <w:r w:rsidR="0010744A" w:rsidRPr="00C8634E">
        <w:rPr>
          <w:rFonts w:asciiTheme="majorHAnsi" w:hAnsiTheme="majorHAnsi"/>
          <w:sz w:val="20"/>
          <w:szCs w:val="20"/>
          <w:lang w:val="es-ES_tradnl" w:eastAsia="es-ES"/>
        </w:rPr>
        <w:t xml:space="preserve"> para pedir auxilio</w:t>
      </w:r>
      <w:r w:rsidR="0092177C" w:rsidRPr="00C8634E">
        <w:rPr>
          <w:rFonts w:asciiTheme="majorHAnsi" w:hAnsiTheme="majorHAnsi"/>
          <w:sz w:val="20"/>
          <w:szCs w:val="20"/>
          <w:lang w:val="es-ES_tradnl" w:eastAsia="es-ES"/>
        </w:rPr>
        <w:t>.</w:t>
      </w:r>
      <w:r w:rsidR="003A5D17" w:rsidRPr="00C8634E">
        <w:rPr>
          <w:rFonts w:asciiTheme="majorHAnsi" w:hAnsiTheme="majorHAnsi"/>
          <w:sz w:val="20"/>
          <w:szCs w:val="20"/>
          <w:lang w:val="es-ES_tradnl" w:eastAsia="es-ES"/>
        </w:rPr>
        <w:t xml:space="preserve"> </w:t>
      </w:r>
      <w:r w:rsidR="0092177C" w:rsidRPr="00C8634E">
        <w:rPr>
          <w:rFonts w:asciiTheme="majorHAnsi" w:hAnsiTheme="majorHAnsi"/>
          <w:sz w:val="20"/>
          <w:szCs w:val="20"/>
          <w:lang w:val="es-ES_tradnl" w:eastAsia="es-ES"/>
        </w:rPr>
        <w:t>S</w:t>
      </w:r>
      <w:r w:rsidR="0010744A" w:rsidRPr="00C8634E">
        <w:rPr>
          <w:rFonts w:asciiTheme="majorHAnsi" w:hAnsiTheme="majorHAnsi"/>
          <w:sz w:val="20"/>
          <w:szCs w:val="20"/>
          <w:lang w:val="es-ES_tradnl" w:eastAsia="es-ES"/>
        </w:rPr>
        <w:t xml:space="preserve">in embargo, </w:t>
      </w:r>
      <w:r w:rsidR="0092177C" w:rsidRPr="00C8634E">
        <w:rPr>
          <w:rFonts w:asciiTheme="majorHAnsi" w:hAnsiTheme="majorHAnsi"/>
          <w:sz w:val="20"/>
          <w:szCs w:val="20"/>
          <w:lang w:val="es-ES_tradnl" w:eastAsia="es-ES"/>
        </w:rPr>
        <w:t xml:space="preserve">afirma que </w:t>
      </w:r>
      <w:r w:rsidR="0010744A" w:rsidRPr="00C8634E">
        <w:rPr>
          <w:rFonts w:asciiTheme="majorHAnsi" w:hAnsiTheme="majorHAnsi"/>
          <w:sz w:val="20"/>
          <w:szCs w:val="20"/>
          <w:lang w:val="es-ES_tradnl" w:eastAsia="es-ES"/>
        </w:rPr>
        <w:t>no obtuvo respuesta</w:t>
      </w:r>
      <w:r w:rsidR="0092177C" w:rsidRPr="00C8634E">
        <w:rPr>
          <w:rFonts w:asciiTheme="majorHAnsi" w:hAnsiTheme="majorHAnsi"/>
          <w:sz w:val="20"/>
          <w:szCs w:val="20"/>
          <w:lang w:val="es-ES_tradnl" w:eastAsia="es-ES"/>
        </w:rPr>
        <w:t xml:space="preserve"> a su petición. </w:t>
      </w:r>
    </w:p>
    <w:p w14:paraId="30995C8F" w14:textId="1D8B030C" w:rsidR="00AB64D3" w:rsidRPr="00C8634E" w:rsidRDefault="00D72E79" w:rsidP="00AB64D3">
      <w:pPr>
        <w:numPr>
          <w:ilvl w:val="0"/>
          <w:numId w:val="59"/>
        </w:numPr>
        <w:suppressAutoHyphens/>
        <w:spacing w:after="240"/>
        <w:jc w:val="both"/>
        <w:rPr>
          <w:rFonts w:asciiTheme="majorHAnsi" w:hAnsiTheme="majorHAnsi"/>
          <w:sz w:val="20"/>
          <w:szCs w:val="20"/>
          <w:lang w:val="es-ES_tradnl"/>
        </w:rPr>
      </w:pPr>
      <w:r w:rsidRPr="00C8634E">
        <w:rPr>
          <w:rFonts w:asciiTheme="majorHAnsi" w:hAnsiTheme="majorHAnsi"/>
          <w:sz w:val="20"/>
          <w:szCs w:val="20"/>
          <w:lang w:val="es-ES_tradnl"/>
        </w:rPr>
        <w:t xml:space="preserve">Afirma que </w:t>
      </w:r>
      <w:r w:rsidR="00B536D3" w:rsidRPr="00C8634E">
        <w:rPr>
          <w:rFonts w:asciiTheme="majorHAnsi" w:hAnsiTheme="majorHAnsi"/>
          <w:sz w:val="20"/>
          <w:szCs w:val="20"/>
          <w:lang w:val="es-ES_tradnl"/>
        </w:rPr>
        <w:t xml:space="preserve">los </w:t>
      </w:r>
      <w:r w:rsidR="00C460DC" w:rsidRPr="00C8634E">
        <w:rPr>
          <w:rFonts w:asciiTheme="majorHAnsi" w:hAnsiTheme="majorHAnsi"/>
          <w:sz w:val="20"/>
          <w:szCs w:val="20"/>
          <w:lang w:val="es-ES_tradnl"/>
        </w:rPr>
        <w:t>perpetradores</w:t>
      </w:r>
      <w:r w:rsidR="00B536D3" w:rsidRPr="00C8634E">
        <w:rPr>
          <w:rFonts w:asciiTheme="majorHAnsi" w:hAnsiTheme="majorHAnsi"/>
          <w:sz w:val="20"/>
          <w:szCs w:val="20"/>
          <w:lang w:val="es-ES_tradnl"/>
        </w:rPr>
        <w:t xml:space="preserve"> </w:t>
      </w:r>
      <w:r w:rsidRPr="00C8634E">
        <w:rPr>
          <w:rFonts w:asciiTheme="majorHAnsi" w:hAnsiTheme="majorHAnsi"/>
          <w:sz w:val="20"/>
          <w:szCs w:val="20"/>
          <w:lang w:val="es-ES_tradnl"/>
        </w:rPr>
        <w:t>lo trasladaron a una celda de alta seguridad, a</w:t>
      </w:r>
      <w:r w:rsidR="000F04DA" w:rsidRPr="00C8634E">
        <w:rPr>
          <w:rFonts w:asciiTheme="majorHAnsi" w:hAnsiTheme="majorHAnsi"/>
          <w:sz w:val="20"/>
          <w:szCs w:val="20"/>
          <w:lang w:val="es-ES_tradnl" w:eastAsia="es-ES"/>
        </w:rPr>
        <w:t>proximadamente</w:t>
      </w:r>
      <w:r w:rsidRPr="00C8634E">
        <w:rPr>
          <w:rFonts w:asciiTheme="majorHAnsi" w:hAnsiTheme="majorHAnsi"/>
          <w:sz w:val="20"/>
          <w:szCs w:val="20"/>
          <w:lang w:val="es-ES_tradnl" w:eastAsia="es-ES"/>
        </w:rPr>
        <w:t xml:space="preserve"> de</w:t>
      </w:r>
      <w:r w:rsidR="000F04DA" w:rsidRPr="00C8634E">
        <w:rPr>
          <w:rFonts w:asciiTheme="majorHAnsi" w:hAnsiTheme="majorHAnsi"/>
          <w:sz w:val="20"/>
          <w:szCs w:val="20"/>
          <w:lang w:val="es-ES_tradnl" w:eastAsia="es-ES"/>
        </w:rPr>
        <w:t xml:space="preserve"> 2.5 </w:t>
      </w:r>
      <w:r w:rsidR="00C460DC" w:rsidRPr="00C8634E">
        <w:rPr>
          <w:rFonts w:asciiTheme="majorHAnsi" w:hAnsiTheme="majorHAnsi"/>
          <w:sz w:val="20"/>
          <w:szCs w:val="20"/>
          <w:lang w:val="es-ES_tradnl" w:eastAsia="es-ES"/>
        </w:rPr>
        <w:t>x</w:t>
      </w:r>
      <w:r w:rsidR="000F04DA" w:rsidRPr="00C8634E">
        <w:rPr>
          <w:rFonts w:asciiTheme="majorHAnsi" w:hAnsiTheme="majorHAnsi"/>
          <w:sz w:val="20"/>
          <w:szCs w:val="20"/>
          <w:lang w:val="es-ES_tradnl" w:eastAsia="es-ES"/>
        </w:rPr>
        <w:t xml:space="preserve"> 2.5 </w:t>
      </w:r>
      <w:r w:rsidR="00046F3D" w:rsidRPr="00C8634E">
        <w:rPr>
          <w:rFonts w:asciiTheme="majorHAnsi" w:hAnsiTheme="majorHAnsi"/>
          <w:sz w:val="20"/>
          <w:szCs w:val="20"/>
          <w:lang w:val="es-ES_tradnl" w:eastAsia="es-ES"/>
        </w:rPr>
        <w:t>metros</w:t>
      </w:r>
      <w:r w:rsidR="000F04DA" w:rsidRPr="00C8634E">
        <w:rPr>
          <w:rFonts w:asciiTheme="majorHAnsi" w:hAnsiTheme="majorHAnsi"/>
          <w:sz w:val="20"/>
          <w:szCs w:val="20"/>
          <w:lang w:val="es-ES_tradnl" w:eastAsia="es-ES"/>
        </w:rPr>
        <w:t xml:space="preserve">, totalmente </w:t>
      </w:r>
      <w:r w:rsidR="007E14A5" w:rsidRPr="00C8634E">
        <w:rPr>
          <w:rFonts w:asciiTheme="majorHAnsi" w:hAnsiTheme="majorHAnsi"/>
          <w:sz w:val="20"/>
          <w:szCs w:val="20"/>
          <w:lang w:val="es-ES_tradnl" w:eastAsia="es-ES"/>
        </w:rPr>
        <w:t>oscura,</w:t>
      </w:r>
      <w:r w:rsidRPr="00C8634E">
        <w:rPr>
          <w:rFonts w:asciiTheme="majorHAnsi" w:hAnsiTheme="majorHAnsi"/>
          <w:sz w:val="20"/>
          <w:szCs w:val="20"/>
          <w:lang w:val="es-ES_tradnl" w:eastAsia="es-ES"/>
        </w:rPr>
        <w:t xml:space="preserve"> </w:t>
      </w:r>
      <w:r w:rsidR="000F04DA" w:rsidRPr="00C8634E">
        <w:rPr>
          <w:rFonts w:asciiTheme="majorHAnsi" w:hAnsiTheme="majorHAnsi"/>
          <w:sz w:val="20"/>
          <w:szCs w:val="20"/>
          <w:lang w:val="es-ES_tradnl" w:eastAsia="es-ES"/>
        </w:rPr>
        <w:t xml:space="preserve">donde </w:t>
      </w:r>
      <w:r w:rsidRPr="00C8634E">
        <w:rPr>
          <w:rFonts w:asciiTheme="majorHAnsi" w:hAnsiTheme="majorHAnsi"/>
          <w:sz w:val="20"/>
          <w:szCs w:val="20"/>
          <w:lang w:val="es-ES_tradnl" w:eastAsia="es-ES"/>
        </w:rPr>
        <w:t>estuvo con</w:t>
      </w:r>
      <w:r w:rsidR="000F04DA" w:rsidRPr="00C8634E">
        <w:rPr>
          <w:rFonts w:asciiTheme="majorHAnsi" w:hAnsiTheme="majorHAnsi"/>
          <w:sz w:val="20"/>
          <w:szCs w:val="20"/>
          <w:lang w:val="es-ES_tradnl" w:eastAsia="es-ES"/>
        </w:rPr>
        <w:t xml:space="preserve"> otros dos presos. Agrega que el lugar estaba húmedo y tenía un fuerte olor a excre</w:t>
      </w:r>
      <w:r w:rsidR="001E6368" w:rsidRPr="00C8634E">
        <w:rPr>
          <w:rFonts w:asciiTheme="majorHAnsi" w:hAnsiTheme="majorHAnsi"/>
          <w:sz w:val="20"/>
          <w:szCs w:val="20"/>
          <w:lang w:val="es-ES_tradnl" w:eastAsia="es-ES"/>
        </w:rPr>
        <w:t>mentos humanos y orines.</w:t>
      </w:r>
      <w:r w:rsidR="00F73B5E" w:rsidRPr="00C8634E">
        <w:rPr>
          <w:rFonts w:asciiTheme="majorHAnsi" w:hAnsiTheme="majorHAnsi"/>
          <w:sz w:val="20"/>
          <w:szCs w:val="20"/>
          <w:lang w:val="es-ES_tradnl" w:eastAsia="es-ES"/>
        </w:rPr>
        <w:t xml:space="preserve"> Narra que al </w:t>
      </w:r>
      <w:r w:rsidR="001E6368" w:rsidRPr="00C8634E">
        <w:rPr>
          <w:rFonts w:asciiTheme="majorHAnsi" w:hAnsiTheme="majorHAnsi"/>
          <w:sz w:val="20"/>
          <w:szCs w:val="20"/>
          <w:lang w:val="es-ES_tradnl" w:eastAsia="es-ES"/>
        </w:rPr>
        <w:t xml:space="preserve">día siguiente </w:t>
      </w:r>
      <w:r w:rsidR="00046F3D" w:rsidRPr="00C8634E">
        <w:rPr>
          <w:rFonts w:asciiTheme="majorHAnsi" w:hAnsiTheme="majorHAnsi"/>
          <w:sz w:val="20"/>
          <w:szCs w:val="20"/>
          <w:lang w:val="es-ES_tradnl" w:eastAsia="es-ES"/>
        </w:rPr>
        <w:t xml:space="preserve">sacaron a todos </w:t>
      </w:r>
      <w:r w:rsidR="007E14A5" w:rsidRPr="00C8634E">
        <w:rPr>
          <w:rFonts w:asciiTheme="majorHAnsi" w:hAnsiTheme="majorHAnsi"/>
          <w:sz w:val="20"/>
          <w:szCs w:val="20"/>
          <w:lang w:val="es-ES_tradnl" w:eastAsia="es-ES"/>
        </w:rPr>
        <w:t>los</w:t>
      </w:r>
      <w:r w:rsidR="00046F3D" w:rsidRPr="00C8634E">
        <w:rPr>
          <w:rFonts w:asciiTheme="majorHAnsi" w:hAnsiTheme="majorHAnsi"/>
          <w:sz w:val="20"/>
          <w:szCs w:val="20"/>
          <w:lang w:val="es-ES_tradnl" w:eastAsia="es-ES"/>
        </w:rPr>
        <w:t xml:space="preserve"> prisioneros al pasillo en ropa interior</w:t>
      </w:r>
      <w:r w:rsidR="00B536D3" w:rsidRPr="00C8634E">
        <w:rPr>
          <w:rFonts w:asciiTheme="majorHAnsi" w:hAnsiTheme="majorHAnsi"/>
          <w:sz w:val="20"/>
          <w:szCs w:val="20"/>
          <w:lang w:val="es-ES_tradnl" w:eastAsia="es-ES"/>
        </w:rPr>
        <w:t>,</w:t>
      </w:r>
      <w:r w:rsidR="00046F3D" w:rsidRPr="00C8634E">
        <w:rPr>
          <w:rFonts w:asciiTheme="majorHAnsi" w:hAnsiTheme="majorHAnsi"/>
          <w:sz w:val="20"/>
          <w:szCs w:val="20"/>
          <w:lang w:val="es-ES_tradnl" w:eastAsia="es-ES"/>
        </w:rPr>
        <w:t xml:space="preserve"> a pesar de que había una mujer policía</w:t>
      </w:r>
      <w:r w:rsidR="006B78DB" w:rsidRPr="00C8634E">
        <w:rPr>
          <w:rFonts w:asciiTheme="majorHAnsi" w:hAnsiTheme="majorHAnsi"/>
          <w:sz w:val="20"/>
          <w:szCs w:val="20"/>
          <w:lang w:val="es-ES_tradnl" w:eastAsia="es-ES"/>
        </w:rPr>
        <w:t>, y</w:t>
      </w:r>
      <w:r w:rsidRPr="00C8634E">
        <w:rPr>
          <w:rFonts w:asciiTheme="majorHAnsi" w:hAnsiTheme="majorHAnsi"/>
          <w:sz w:val="20"/>
          <w:szCs w:val="20"/>
          <w:lang w:val="es-ES_tradnl" w:eastAsia="es-ES"/>
        </w:rPr>
        <w:t xml:space="preserve"> que</w:t>
      </w:r>
      <w:r w:rsidR="000471C8" w:rsidRPr="00C8634E">
        <w:rPr>
          <w:rFonts w:asciiTheme="majorHAnsi" w:hAnsiTheme="majorHAnsi"/>
          <w:sz w:val="20"/>
          <w:szCs w:val="20"/>
          <w:lang w:val="es-ES_tradnl" w:eastAsia="es-ES"/>
        </w:rPr>
        <w:t xml:space="preserve"> en ese momento </w:t>
      </w:r>
      <w:r w:rsidRPr="00C8634E">
        <w:rPr>
          <w:rFonts w:asciiTheme="majorHAnsi" w:hAnsiTheme="majorHAnsi"/>
          <w:sz w:val="20"/>
          <w:szCs w:val="20"/>
          <w:lang w:val="es-ES_tradnl" w:eastAsia="es-ES"/>
        </w:rPr>
        <w:t>aprovechó</w:t>
      </w:r>
      <w:r w:rsidR="000471C8" w:rsidRPr="00C8634E">
        <w:rPr>
          <w:rFonts w:asciiTheme="majorHAnsi" w:hAnsiTheme="majorHAnsi"/>
          <w:sz w:val="20"/>
          <w:szCs w:val="20"/>
          <w:lang w:val="es-ES_tradnl" w:eastAsia="es-ES"/>
        </w:rPr>
        <w:t xml:space="preserve"> para preguntar el motivo de su detención</w:t>
      </w:r>
      <w:r w:rsidR="00F73B5E" w:rsidRPr="00C8634E">
        <w:rPr>
          <w:rFonts w:asciiTheme="majorHAnsi" w:hAnsiTheme="majorHAnsi"/>
          <w:sz w:val="20"/>
          <w:szCs w:val="20"/>
          <w:lang w:val="es-ES_tradnl" w:eastAsia="es-ES"/>
        </w:rPr>
        <w:t xml:space="preserve"> y solicitó los medicamentos que necesitaba porque sufría de hipertensión, así como sus gafas</w:t>
      </w:r>
      <w:r w:rsidRPr="00C8634E">
        <w:rPr>
          <w:rFonts w:asciiTheme="majorHAnsi" w:hAnsiTheme="majorHAnsi"/>
          <w:sz w:val="20"/>
          <w:szCs w:val="20"/>
          <w:lang w:val="es-ES_tradnl" w:eastAsia="es-ES"/>
        </w:rPr>
        <w:t>. No obstante</w:t>
      </w:r>
      <w:r w:rsidR="00000948" w:rsidRPr="00C8634E">
        <w:rPr>
          <w:rFonts w:asciiTheme="majorHAnsi" w:hAnsiTheme="majorHAnsi"/>
          <w:sz w:val="20"/>
          <w:szCs w:val="20"/>
          <w:lang w:val="es-ES_tradnl" w:eastAsia="es-ES"/>
        </w:rPr>
        <w:t>,</w:t>
      </w:r>
      <w:r w:rsidRPr="00C8634E">
        <w:rPr>
          <w:rFonts w:asciiTheme="majorHAnsi" w:hAnsiTheme="majorHAnsi"/>
          <w:sz w:val="20"/>
          <w:szCs w:val="20"/>
          <w:lang w:val="es-ES_tradnl" w:eastAsia="es-ES"/>
        </w:rPr>
        <w:t xml:space="preserve"> refiere que</w:t>
      </w:r>
      <w:r w:rsidR="00000948" w:rsidRPr="00C8634E">
        <w:rPr>
          <w:rFonts w:asciiTheme="majorHAnsi" w:hAnsiTheme="majorHAnsi"/>
          <w:sz w:val="20"/>
          <w:szCs w:val="20"/>
          <w:lang w:val="es-ES_tradnl" w:eastAsia="es-ES"/>
        </w:rPr>
        <w:t xml:space="preserve"> no obtuvo respuesta</w:t>
      </w:r>
      <w:r w:rsidR="00CC660D" w:rsidRPr="00C8634E">
        <w:rPr>
          <w:rFonts w:asciiTheme="majorHAnsi" w:hAnsiTheme="majorHAnsi"/>
          <w:sz w:val="20"/>
          <w:szCs w:val="20"/>
          <w:lang w:val="es-ES_tradnl" w:eastAsia="es-ES"/>
        </w:rPr>
        <w:t xml:space="preserve"> ni asistencia</w:t>
      </w:r>
      <w:r w:rsidR="00000948" w:rsidRPr="00C8634E">
        <w:rPr>
          <w:rFonts w:asciiTheme="majorHAnsi" w:hAnsiTheme="majorHAnsi"/>
          <w:sz w:val="20"/>
          <w:szCs w:val="20"/>
          <w:lang w:val="es-ES_tradnl" w:eastAsia="es-ES"/>
        </w:rPr>
        <w:t xml:space="preserve"> alguna. </w:t>
      </w:r>
    </w:p>
    <w:p w14:paraId="3C75708E" w14:textId="11285F25" w:rsidR="00AB64D3" w:rsidRPr="00C8634E" w:rsidRDefault="00D72E79" w:rsidP="00AB64D3">
      <w:pPr>
        <w:numPr>
          <w:ilvl w:val="0"/>
          <w:numId w:val="59"/>
        </w:numPr>
        <w:suppressAutoHyphens/>
        <w:spacing w:after="240"/>
        <w:jc w:val="both"/>
        <w:rPr>
          <w:rFonts w:asciiTheme="majorHAnsi" w:hAnsiTheme="majorHAnsi"/>
          <w:sz w:val="20"/>
          <w:szCs w:val="20"/>
          <w:lang w:val="es-ES_tradnl"/>
        </w:rPr>
      </w:pPr>
      <w:r w:rsidRPr="00C8634E">
        <w:rPr>
          <w:rFonts w:asciiTheme="majorHAnsi" w:hAnsiTheme="majorHAnsi"/>
          <w:sz w:val="20"/>
          <w:szCs w:val="20"/>
          <w:lang w:val="es-ES_tradnl" w:eastAsia="es-ES"/>
        </w:rPr>
        <w:t xml:space="preserve">Agrega </w:t>
      </w:r>
      <w:r w:rsidR="00000948" w:rsidRPr="00C8634E">
        <w:rPr>
          <w:rFonts w:asciiTheme="majorHAnsi" w:hAnsiTheme="majorHAnsi"/>
          <w:sz w:val="20"/>
          <w:szCs w:val="20"/>
          <w:lang w:val="es-ES_tradnl" w:eastAsia="es-ES"/>
        </w:rPr>
        <w:t>que</w:t>
      </w:r>
      <w:r w:rsidRPr="00C8634E">
        <w:rPr>
          <w:rFonts w:asciiTheme="majorHAnsi" w:hAnsiTheme="majorHAnsi"/>
          <w:sz w:val="20"/>
          <w:szCs w:val="20"/>
          <w:lang w:val="es-ES_tradnl" w:eastAsia="es-ES"/>
        </w:rPr>
        <w:t>,</w:t>
      </w:r>
      <w:r w:rsidR="00000948" w:rsidRPr="00C8634E">
        <w:rPr>
          <w:rFonts w:asciiTheme="majorHAnsi" w:hAnsiTheme="majorHAnsi"/>
          <w:sz w:val="20"/>
          <w:szCs w:val="20"/>
          <w:lang w:val="es-ES_tradnl" w:eastAsia="es-ES"/>
        </w:rPr>
        <w:t xml:space="preserve"> nuevamente</w:t>
      </w:r>
      <w:r w:rsidRPr="00C8634E">
        <w:rPr>
          <w:rFonts w:asciiTheme="majorHAnsi" w:hAnsiTheme="majorHAnsi"/>
          <w:sz w:val="20"/>
          <w:szCs w:val="20"/>
          <w:lang w:val="es-ES_tradnl" w:eastAsia="es-ES"/>
        </w:rPr>
        <w:t xml:space="preserve">, los </w:t>
      </w:r>
      <w:r w:rsidR="00B536D3" w:rsidRPr="00C8634E">
        <w:rPr>
          <w:rFonts w:asciiTheme="majorHAnsi" w:hAnsiTheme="majorHAnsi"/>
          <w:sz w:val="20"/>
          <w:szCs w:val="20"/>
          <w:lang w:val="es-ES_tradnl" w:eastAsia="es-ES"/>
        </w:rPr>
        <w:t xml:space="preserve">funcionarios </w:t>
      </w:r>
      <w:r w:rsidRPr="00C8634E">
        <w:rPr>
          <w:rFonts w:asciiTheme="majorHAnsi" w:hAnsiTheme="majorHAnsi"/>
          <w:sz w:val="20"/>
          <w:szCs w:val="20"/>
          <w:lang w:val="es-ES_tradnl" w:eastAsia="es-ES"/>
        </w:rPr>
        <w:t>a cargo de El Chipote lo</w:t>
      </w:r>
      <w:r w:rsidR="00000948" w:rsidRPr="00C8634E">
        <w:rPr>
          <w:rFonts w:asciiTheme="majorHAnsi" w:hAnsiTheme="majorHAnsi"/>
          <w:sz w:val="20"/>
          <w:szCs w:val="20"/>
          <w:lang w:val="es-ES_tradnl" w:eastAsia="es-ES"/>
        </w:rPr>
        <w:t xml:space="preserve"> tortura</w:t>
      </w:r>
      <w:r w:rsidRPr="00C8634E">
        <w:rPr>
          <w:rFonts w:asciiTheme="majorHAnsi" w:hAnsiTheme="majorHAnsi"/>
          <w:sz w:val="20"/>
          <w:szCs w:val="20"/>
          <w:lang w:val="es-ES_tradnl" w:eastAsia="es-ES"/>
        </w:rPr>
        <w:t>ron</w:t>
      </w:r>
      <w:r w:rsidR="00000948" w:rsidRPr="00C8634E">
        <w:rPr>
          <w:rFonts w:asciiTheme="majorHAnsi" w:hAnsiTheme="majorHAnsi"/>
          <w:sz w:val="20"/>
          <w:szCs w:val="20"/>
          <w:lang w:val="es-ES_tradnl" w:eastAsia="es-ES"/>
        </w:rPr>
        <w:t xml:space="preserve"> </w:t>
      </w:r>
      <w:r w:rsidR="00B91F50" w:rsidRPr="00C8634E">
        <w:rPr>
          <w:rFonts w:asciiTheme="majorHAnsi" w:hAnsiTheme="majorHAnsi"/>
          <w:sz w:val="20"/>
          <w:szCs w:val="20"/>
          <w:lang w:val="es-ES_tradnl" w:eastAsia="es-ES"/>
        </w:rPr>
        <w:t xml:space="preserve">con el mismo procedimiento </w:t>
      </w:r>
      <w:r w:rsidR="00C460DC" w:rsidRPr="00C8634E">
        <w:rPr>
          <w:rFonts w:asciiTheme="majorHAnsi" w:hAnsiTheme="majorHAnsi"/>
          <w:sz w:val="20"/>
          <w:szCs w:val="20"/>
          <w:lang w:val="es-ES_tradnl" w:eastAsia="es-ES"/>
        </w:rPr>
        <w:t>ya descrito</w:t>
      </w:r>
      <w:r w:rsidR="00000948" w:rsidRPr="00C8634E">
        <w:rPr>
          <w:rFonts w:asciiTheme="majorHAnsi" w:hAnsiTheme="majorHAnsi"/>
          <w:sz w:val="20"/>
          <w:szCs w:val="20"/>
          <w:lang w:val="es-ES_tradnl" w:eastAsia="es-ES"/>
        </w:rPr>
        <w:t>.</w:t>
      </w:r>
      <w:r w:rsidRPr="00C8634E">
        <w:rPr>
          <w:rFonts w:asciiTheme="majorHAnsi" w:hAnsiTheme="majorHAnsi"/>
          <w:sz w:val="20"/>
          <w:szCs w:val="20"/>
          <w:lang w:val="es-ES_tradnl" w:eastAsia="es-ES"/>
        </w:rPr>
        <w:t xml:space="preserve"> </w:t>
      </w:r>
      <w:r w:rsidR="00C460DC" w:rsidRPr="00C8634E">
        <w:rPr>
          <w:rFonts w:asciiTheme="majorHAnsi" w:hAnsiTheme="majorHAnsi"/>
          <w:sz w:val="20"/>
          <w:szCs w:val="20"/>
          <w:lang w:val="es-ES_tradnl" w:eastAsia="es-ES"/>
        </w:rPr>
        <w:t>D</w:t>
      </w:r>
      <w:r w:rsidR="00DC50B4" w:rsidRPr="00C8634E">
        <w:rPr>
          <w:rFonts w:asciiTheme="majorHAnsi" w:hAnsiTheme="majorHAnsi"/>
          <w:sz w:val="20"/>
          <w:szCs w:val="20"/>
          <w:lang w:val="es-ES_tradnl" w:eastAsia="es-ES"/>
        </w:rPr>
        <w:t xml:space="preserve">espués de </w:t>
      </w:r>
      <w:r w:rsidR="00D66749" w:rsidRPr="00C8634E">
        <w:rPr>
          <w:rFonts w:asciiTheme="majorHAnsi" w:hAnsiTheme="majorHAnsi"/>
          <w:sz w:val="20"/>
          <w:szCs w:val="20"/>
          <w:lang w:val="es-ES_tradnl" w:eastAsia="es-ES"/>
        </w:rPr>
        <w:t xml:space="preserve">varios días lo llevaron a </w:t>
      </w:r>
      <w:r w:rsidR="00F21522" w:rsidRPr="00C8634E">
        <w:rPr>
          <w:rFonts w:asciiTheme="majorHAnsi" w:hAnsiTheme="majorHAnsi"/>
          <w:sz w:val="20"/>
          <w:szCs w:val="20"/>
          <w:lang w:val="es-ES_tradnl" w:eastAsia="es-ES"/>
        </w:rPr>
        <w:t xml:space="preserve">una oficina dentro de </w:t>
      </w:r>
      <w:r w:rsidR="00C460DC" w:rsidRPr="00C8634E">
        <w:rPr>
          <w:rFonts w:asciiTheme="majorHAnsi" w:hAnsiTheme="majorHAnsi"/>
          <w:sz w:val="20"/>
          <w:szCs w:val="20"/>
          <w:lang w:val="es-ES_tradnl" w:eastAsia="es-ES"/>
        </w:rPr>
        <w:t>ese centro de detención</w:t>
      </w:r>
      <w:r w:rsidR="00F21522" w:rsidRPr="00C8634E">
        <w:rPr>
          <w:rFonts w:asciiTheme="majorHAnsi" w:hAnsiTheme="majorHAnsi"/>
          <w:sz w:val="20"/>
          <w:szCs w:val="20"/>
          <w:lang w:val="es-ES_tradnl" w:eastAsia="es-ES"/>
        </w:rPr>
        <w:t xml:space="preserve"> para que firmara unos papeles que lo incriminaban como narco</w:t>
      </w:r>
      <w:r w:rsidR="00000948" w:rsidRPr="00C8634E">
        <w:rPr>
          <w:rFonts w:asciiTheme="majorHAnsi" w:hAnsiTheme="majorHAnsi"/>
          <w:sz w:val="20"/>
          <w:szCs w:val="20"/>
          <w:lang w:val="es-ES_tradnl" w:eastAsia="es-ES"/>
        </w:rPr>
        <w:t xml:space="preserve">traficante, pero </w:t>
      </w:r>
      <w:r w:rsidR="00F21522" w:rsidRPr="00C8634E">
        <w:rPr>
          <w:rFonts w:asciiTheme="majorHAnsi" w:hAnsiTheme="majorHAnsi"/>
          <w:sz w:val="20"/>
          <w:szCs w:val="20"/>
          <w:lang w:val="es-ES_tradnl" w:eastAsia="es-ES"/>
        </w:rPr>
        <w:t xml:space="preserve">se negó a </w:t>
      </w:r>
      <w:r w:rsidR="00000948" w:rsidRPr="00C8634E">
        <w:rPr>
          <w:rFonts w:asciiTheme="majorHAnsi" w:hAnsiTheme="majorHAnsi"/>
          <w:sz w:val="20"/>
          <w:szCs w:val="20"/>
          <w:lang w:val="es-ES_tradnl" w:eastAsia="es-ES"/>
        </w:rPr>
        <w:t>firmarlos</w:t>
      </w:r>
      <w:r w:rsidR="00F21522" w:rsidRPr="00C8634E">
        <w:rPr>
          <w:rFonts w:asciiTheme="majorHAnsi" w:hAnsiTheme="majorHAnsi"/>
          <w:sz w:val="20"/>
          <w:szCs w:val="20"/>
          <w:lang w:val="es-ES_tradnl" w:eastAsia="es-ES"/>
        </w:rPr>
        <w:t>.</w:t>
      </w:r>
      <w:r w:rsidR="00000948" w:rsidRPr="00C8634E">
        <w:rPr>
          <w:rFonts w:asciiTheme="majorHAnsi" w:hAnsiTheme="majorHAnsi"/>
          <w:sz w:val="20"/>
          <w:szCs w:val="20"/>
          <w:lang w:val="es-ES_tradnl" w:eastAsia="es-ES"/>
        </w:rPr>
        <w:t xml:space="preserve"> Indica</w:t>
      </w:r>
      <w:r w:rsidR="00117A95" w:rsidRPr="00C8634E">
        <w:rPr>
          <w:rFonts w:asciiTheme="majorHAnsi" w:hAnsiTheme="majorHAnsi"/>
          <w:sz w:val="20"/>
          <w:szCs w:val="20"/>
          <w:lang w:val="es-ES_tradnl" w:eastAsia="es-ES"/>
        </w:rPr>
        <w:t xml:space="preserve"> que luego de</w:t>
      </w:r>
      <w:r w:rsidR="009072F3" w:rsidRPr="00C8634E">
        <w:rPr>
          <w:rFonts w:asciiTheme="majorHAnsi" w:hAnsiTheme="majorHAnsi"/>
          <w:sz w:val="20"/>
          <w:szCs w:val="20"/>
          <w:lang w:val="es-ES_tradnl" w:eastAsia="es-ES"/>
        </w:rPr>
        <w:t xml:space="preserve"> los dos episodios de torturas físicas, los dedos pulgares de sus manos le dejaron de responder. </w:t>
      </w:r>
    </w:p>
    <w:p w14:paraId="43F7ACA4" w14:textId="6B863883" w:rsidR="00AB64D3" w:rsidRPr="00C8634E" w:rsidRDefault="00AB64D3" w:rsidP="006B78DB">
      <w:pPr>
        <w:suppressAutoHyphens/>
        <w:spacing w:before="240" w:after="240"/>
        <w:ind w:left="720"/>
        <w:jc w:val="both"/>
        <w:rPr>
          <w:rFonts w:asciiTheme="majorHAnsi" w:hAnsiTheme="majorHAnsi"/>
          <w:i/>
          <w:iCs/>
          <w:sz w:val="20"/>
          <w:szCs w:val="20"/>
          <w:lang w:val="es-ES_tradnl"/>
        </w:rPr>
      </w:pPr>
      <w:r w:rsidRPr="00C8634E">
        <w:rPr>
          <w:rFonts w:asciiTheme="majorHAnsi" w:hAnsiTheme="majorHAnsi"/>
          <w:i/>
          <w:iCs/>
          <w:sz w:val="20"/>
          <w:szCs w:val="20"/>
          <w:lang w:val="es-ES_tradnl"/>
        </w:rPr>
        <w:lastRenderedPageBreak/>
        <w:t xml:space="preserve">Reunión con el Cónsul de Costa Rica, presentación ante el Poder Judicial y oposición frente al procedimiento de extradición </w:t>
      </w:r>
    </w:p>
    <w:p w14:paraId="4C55C45C" w14:textId="5F1F3721" w:rsidR="00AB64D3" w:rsidRPr="00C8634E" w:rsidRDefault="005269ED" w:rsidP="00AB64D3">
      <w:pPr>
        <w:numPr>
          <w:ilvl w:val="0"/>
          <w:numId w:val="59"/>
        </w:numPr>
        <w:suppressAutoHyphens/>
        <w:spacing w:after="240"/>
        <w:jc w:val="both"/>
        <w:rPr>
          <w:rFonts w:asciiTheme="majorHAnsi" w:hAnsiTheme="majorHAnsi"/>
          <w:sz w:val="20"/>
          <w:szCs w:val="20"/>
          <w:lang w:val="es-ES_tradnl"/>
        </w:rPr>
      </w:pPr>
      <w:r w:rsidRPr="00C8634E">
        <w:rPr>
          <w:rFonts w:asciiTheme="majorHAnsi" w:hAnsiTheme="majorHAnsi"/>
          <w:sz w:val="20"/>
          <w:szCs w:val="20"/>
          <w:lang w:val="es-ES_tradnl" w:eastAsia="es-ES"/>
        </w:rPr>
        <w:t>E</w:t>
      </w:r>
      <w:r w:rsidR="0064339E" w:rsidRPr="00C8634E">
        <w:rPr>
          <w:rFonts w:asciiTheme="majorHAnsi" w:hAnsiTheme="majorHAnsi"/>
          <w:sz w:val="20"/>
          <w:szCs w:val="20"/>
          <w:lang w:val="es-ES_tradnl" w:eastAsia="es-ES"/>
        </w:rPr>
        <w:t>l peticionario e</w:t>
      </w:r>
      <w:r w:rsidRPr="00C8634E">
        <w:rPr>
          <w:rFonts w:asciiTheme="majorHAnsi" w:hAnsiTheme="majorHAnsi"/>
          <w:sz w:val="20"/>
          <w:szCs w:val="20"/>
          <w:lang w:val="es-ES_tradnl" w:eastAsia="es-ES"/>
        </w:rPr>
        <w:t>xplica que recién</w:t>
      </w:r>
      <w:r w:rsidR="00B3441C" w:rsidRPr="00C8634E">
        <w:rPr>
          <w:rFonts w:asciiTheme="majorHAnsi" w:hAnsiTheme="majorHAnsi"/>
          <w:sz w:val="20"/>
          <w:szCs w:val="20"/>
          <w:lang w:val="es-ES_tradnl" w:eastAsia="es-ES"/>
        </w:rPr>
        <w:t xml:space="preserve"> </w:t>
      </w:r>
      <w:r w:rsidRPr="00C8634E">
        <w:rPr>
          <w:rFonts w:asciiTheme="majorHAnsi" w:hAnsiTheme="majorHAnsi"/>
          <w:sz w:val="20"/>
          <w:szCs w:val="20"/>
          <w:lang w:val="es-ES_tradnl" w:eastAsia="es-ES"/>
        </w:rPr>
        <w:t>el 2</w:t>
      </w:r>
      <w:r w:rsidR="00F8278F" w:rsidRPr="00C8634E">
        <w:rPr>
          <w:rFonts w:asciiTheme="majorHAnsi" w:hAnsiTheme="majorHAnsi"/>
          <w:sz w:val="20"/>
          <w:szCs w:val="20"/>
          <w:lang w:val="es-ES_tradnl" w:eastAsia="es-ES"/>
        </w:rPr>
        <w:t>4</w:t>
      </w:r>
      <w:r w:rsidRPr="00C8634E">
        <w:rPr>
          <w:rFonts w:asciiTheme="majorHAnsi" w:hAnsiTheme="majorHAnsi"/>
          <w:sz w:val="20"/>
          <w:szCs w:val="20"/>
          <w:lang w:val="es-ES_tradnl" w:eastAsia="es-ES"/>
        </w:rPr>
        <w:t xml:space="preserve"> de junio de 2015 </w:t>
      </w:r>
      <w:r w:rsidR="00B3441C" w:rsidRPr="00C8634E">
        <w:rPr>
          <w:rFonts w:asciiTheme="majorHAnsi" w:hAnsiTheme="majorHAnsi"/>
          <w:sz w:val="20"/>
          <w:szCs w:val="20"/>
          <w:lang w:val="es-ES_tradnl" w:eastAsia="es-ES"/>
        </w:rPr>
        <w:t>recibió por primera vez la visita del Cónsul de Costa Rica en Nicaragua</w:t>
      </w:r>
      <w:r w:rsidR="004A4130" w:rsidRPr="00C8634E">
        <w:rPr>
          <w:rFonts w:asciiTheme="majorHAnsi" w:hAnsiTheme="majorHAnsi"/>
          <w:sz w:val="20"/>
          <w:szCs w:val="20"/>
          <w:lang w:val="es-ES_tradnl" w:eastAsia="es-ES"/>
        </w:rPr>
        <w:t xml:space="preserve">, luego </w:t>
      </w:r>
      <w:r w:rsidR="0064339E" w:rsidRPr="00C8634E">
        <w:rPr>
          <w:rFonts w:asciiTheme="majorHAnsi" w:hAnsiTheme="majorHAnsi"/>
          <w:sz w:val="20"/>
          <w:szCs w:val="20"/>
          <w:lang w:val="es-ES_tradnl" w:eastAsia="es-ES"/>
        </w:rPr>
        <w:t xml:space="preserve">de </w:t>
      </w:r>
      <w:r w:rsidR="004A4130" w:rsidRPr="00C8634E">
        <w:rPr>
          <w:rFonts w:asciiTheme="majorHAnsi" w:hAnsiTheme="majorHAnsi"/>
          <w:sz w:val="20"/>
          <w:szCs w:val="20"/>
          <w:lang w:val="es-ES_tradnl" w:eastAsia="es-ES"/>
        </w:rPr>
        <w:t xml:space="preserve">que </w:t>
      </w:r>
      <w:r w:rsidR="00E569B6" w:rsidRPr="00C8634E">
        <w:rPr>
          <w:rFonts w:asciiTheme="majorHAnsi" w:hAnsiTheme="majorHAnsi"/>
          <w:sz w:val="20"/>
          <w:szCs w:val="20"/>
          <w:lang w:val="es-ES_tradnl" w:eastAsia="es-ES"/>
        </w:rPr>
        <w:t>este</w:t>
      </w:r>
      <w:r w:rsidR="004A4130" w:rsidRPr="00C8634E">
        <w:rPr>
          <w:rFonts w:asciiTheme="majorHAnsi" w:hAnsiTheme="majorHAnsi"/>
          <w:sz w:val="20"/>
          <w:szCs w:val="20"/>
          <w:lang w:val="es-ES_tradnl" w:eastAsia="es-ES"/>
        </w:rPr>
        <w:t xml:space="preserve"> </w:t>
      </w:r>
      <w:r w:rsidR="0064339E" w:rsidRPr="00C8634E">
        <w:rPr>
          <w:rFonts w:asciiTheme="majorHAnsi" w:hAnsiTheme="majorHAnsi"/>
          <w:sz w:val="20"/>
          <w:szCs w:val="20"/>
          <w:lang w:val="es-ES_tradnl" w:eastAsia="es-ES"/>
        </w:rPr>
        <w:t>conociera</w:t>
      </w:r>
      <w:r w:rsidR="004A4130" w:rsidRPr="00C8634E">
        <w:rPr>
          <w:rFonts w:asciiTheme="majorHAnsi" w:hAnsiTheme="majorHAnsi"/>
          <w:sz w:val="20"/>
          <w:szCs w:val="20"/>
          <w:lang w:val="es-ES_tradnl" w:eastAsia="es-ES"/>
        </w:rPr>
        <w:t xml:space="preserve"> de </w:t>
      </w:r>
      <w:r w:rsidR="00E569B6" w:rsidRPr="00C8634E">
        <w:rPr>
          <w:rFonts w:asciiTheme="majorHAnsi" w:hAnsiTheme="majorHAnsi"/>
          <w:sz w:val="20"/>
          <w:szCs w:val="20"/>
          <w:lang w:val="es-ES_tradnl" w:eastAsia="es-ES"/>
        </w:rPr>
        <w:t>su</w:t>
      </w:r>
      <w:r w:rsidR="004A4130" w:rsidRPr="00C8634E">
        <w:rPr>
          <w:rFonts w:asciiTheme="majorHAnsi" w:hAnsiTheme="majorHAnsi"/>
          <w:sz w:val="20"/>
          <w:szCs w:val="20"/>
          <w:lang w:val="es-ES_tradnl" w:eastAsia="es-ES"/>
        </w:rPr>
        <w:t xml:space="preserve"> situación </w:t>
      </w:r>
      <w:r w:rsidR="00E569B6" w:rsidRPr="00C8634E">
        <w:rPr>
          <w:rFonts w:asciiTheme="majorHAnsi" w:hAnsiTheme="majorHAnsi"/>
          <w:sz w:val="20"/>
          <w:szCs w:val="20"/>
          <w:lang w:val="es-ES_tradnl" w:eastAsia="es-ES"/>
        </w:rPr>
        <w:t>extraoficialmente</w:t>
      </w:r>
      <w:r w:rsidR="00B3441C" w:rsidRPr="00C8634E">
        <w:rPr>
          <w:rFonts w:asciiTheme="majorHAnsi" w:hAnsiTheme="majorHAnsi"/>
          <w:sz w:val="20"/>
          <w:szCs w:val="20"/>
          <w:lang w:val="es-ES_tradnl" w:eastAsia="es-ES"/>
        </w:rPr>
        <w:t xml:space="preserve">. </w:t>
      </w:r>
      <w:r w:rsidR="00D72E79" w:rsidRPr="00C8634E">
        <w:rPr>
          <w:rFonts w:asciiTheme="majorHAnsi" w:hAnsiTheme="majorHAnsi"/>
          <w:sz w:val="20"/>
          <w:szCs w:val="20"/>
          <w:lang w:val="es-ES_tradnl" w:eastAsia="es-ES"/>
        </w:rPr>
        <w:t>Sostiene que</w:t>
      </w:r>
      <w:r w:rsidR="00C77DA6" w:rsidRPr="00C8634E">
        <w:rPr>
          <w:rFonts w:asciiTheme="majorHAnsi" w:hAnsiTheme="majorHAnsi"/>
          <w:sz w:val="20"/>
          <w:szCs w:val="20"/>
          <w:lang w:val="es-ES_tradnl" w:eastAsia="es-ES"/>
        </w:rPr>
        <w:t xml:space="preserve"> mientras se dirigía a la entrevista con el Cónsul lo amenazaron </w:t>
      </w:r>
      <w:r w:rsidR="0064339E" w:rsidRPr="00C8634E">
        <w:rPr>
          <w:rFonts w:asciiTheme="majorHAnsi" w:hAnsiTheme="majorHAnsi"/>
          <w:sz w:val="20"/>
          <w:szCs w:val="20"/>
          <w:lang w:val="es-ES_tradnl" w:eastAsia="es-ES"/>
        </w:rPr>
        <w:t>de muerte</w:t>
      </w:r>
      <w:r w:rsidR="00C77DA6" w:rsidRPr="00C8634E">
        <w:rPr>
          <w:rFonts w:asciiTheme="majorHAnsi" w:hAnsiTheme="majorHAnsi"/>
          <w:sz w:val="20"/>
          <w:szCs w:val="20"/>
          <w:lang w:val="es-ES_tradnl" w:eastAsia="es-ES"/>
        </w:rPr>
        <w:t xml:space="preserve">, y le exigieron </w:t>
      </w:r>
      <w:r w:rsidR="003C340F" w:rsidRPr="00C8634E">
        <w:rPr>
          <w:rFonts w:asciiTheme="majorHAnsi" w:hAnsiTheme="majorHAnsi"/>
          <w:sz w:val="20"/>
          <w:szCs w:val="20"/>
          <w:lang w:val="es-ES_tradnl" w:eastAsia="es-ES"/>
        </w:rPr>
        <w:t xml:space="preserve">silencio sobre </w:t>
      </w:r>
      <w:r w:rsidR="00C77DA6" w:rsidRPr="00C8634E">
        <w:rPr>
          <w:rFonts w:asciiTheme="majorHAnsi" w:hAnsiTheme="majorHAnsi"/>
          <w:sz w:val="20"/>
          <w:szCs w:val="20"/>
          <w:lang w:val="es-ES_tradnl" w:eastAsia="es-ES"/>
        </w:rPr>
        <w:t>las torturas</w:t>
      </w:r>
      <w:r w:rsidR="003C340F" w:rsidRPr="00C8634E">
        <w:rPr>
          <w:rFonts w:asciiTheme="majorHAnsi" w:hAnsiTheme="majorHAnsi"/>
          <w:sz w:val="20"/>
          <w:szCs w:val="20"/>
          <w:lang w:val="es-ES_tradnl" w:eastAsia="es-ES"/>
        </w:rPr>
        <w:t xml:space="preserve"> realizadas</w:t>
      </w:r>
      <w:r w:rsidR="00C77DA6" w:rsidRPr="00C8634E">
        <w:rPr>
          <w:rFonts w:asciiTheme="majorHAnsi" w:hAnsiTheme="majorHAnsi"/>
          <w:sz w:val="20"/>
          <w:szCs w:val="20"/>
          <w:lang w:val="es-ES_tradnl" w:eastAsia="es-ES"/>
        </w:rPr>
        <w:t>.</w:t>
      </w:r>
      <w:r w:rsidR="00D72E79" w:rsidRPr="00C8634E">
        <w:rPr>
          <w:rFonts w:asciiTheme="majorHAnsi" w:hAnsiTheme="majorHAnsi"/>
          <w:sz w:val="20"/>
          <w:szCs w:val="20"/>
          <w:lang w:val="es-ES_tradnl" w:eastAsia="es-ES"/>
        </w:rPr>
        <w:t xml:space="preserve"> Asimismo,</w:t>
      </w:r>
      <w:r w:rsidR="003C340F" w:rsidRPr="00C8634E">
        <w:rPr>
          <w:rFonts w:asciiTheme="majorHAnsi" w:hAnsiTheme="majorHAnsi"/>
          <w:sz w:val="20"/>
          <w:szCs w:val="20"/>
          <w:lang w:val="es-ES_tradnl" w:eastAsia="es-ES"/>
        </w:rPr>
        <w:t xml:space="preserve"> </w:t>
      </w:r>
      <w:r w:rsidR="00D72E79" w:rsidRPr="00C8634E">
        <w:rPr>
          <w:rFonts w:asciiTheme="majorHAnsi" w:hAnsiTheme="majorHAnsi"/>
          <w:sz w:val="20"/>
          <w:szCs w:val="20"/>
          <w:lang w:val="es-ES_tradnl" w:eastAsia="es-ES"/>
        </w:rPr>
        <w:t>i</w:t>
      </w:r>
      <w:r w:rsidR="0000296F" w:rsidRPr="00C8634E">
        <w:rPr>
          <w:rFonts w:asciiTheme="majorHAnsi" w:hAnsiTheme="majorHAnsi"/>
          <w:sz w:val="20"/>
          <w:szCs w:val="20"/>
          <w:lang w:val="es-ES_tradnl" w:eastAsia="es-ES"/>
        </w:rPr>
        <w:t>ndica que d</w:t>
      </w:r>
      <w:r w:rsidR="003C340F" w:rsidRPr="00C8634E">
        <w:rPr>
          <w:rFonts w:asciiTheme="majorHAnsi" w:hAnsiTheme="majorHAnsi"/>
          <w:sz w:val="20"/>
          <w:szCs w:val="20"/>
          <w:lang w:val="es-ES_tradnl" w:eastAsia="es-ES"/>
        </w:rPr>
        <w:t xml:space="preserve">urante la </w:t>
      </w:r>
      <w:r w:rsidR="0000296F" w:rsidRPr="00C8634E">
        <w:rPr>
          <w:rFonts w:asciiTheme="majorHAnsi" w:hAnsiTheme="majorHAnsi"/>
          <w:sz w:val="20"/>
          <w:szCs w:val="20"/>
          <w:lang w:val="es-ES_tradnl" w:eastAsia="es-ES"/>
        </w:rPr>
        <w:t>visita</w:t>
      </w:r>
      <w:r w:rsidR="000F7CAE" w:rsidRPr="00C8634E">
        <w:rPr>
          <w:rFonts w:asciiTheme="majorHAnsi" w:hAnsiTheme="majorHAnsi"/>
          <w:sz w:val="20"/>
          <w:szCs w:val="20"/>
          <w:lang w:val="es-ES_tradnl" w:eastAsia="es-ES"/>
        </w:rPr>
        <w:t xml:space="preserve"> había policía vigilándolos, </w:t>
      </w:r>
      <w:r w:rsidR="00D72E79" w:rsidRPr="00C8634E">
        <w:rPr>
          <w:rFonts w:asciiTheme="majorHAnsi" w:hAnsiTheme="majorHAnsi"/>
          <w:sz w:val="20"/>
          <w:szCs w:val="20"/>
          <w:lang w:val="es-ES_tradnl" w:eastAsia="es-ES"/>
        </w:rPr>
        <w:t>por lo que la conversación estuvo controlada. A pesar de estas limitaciones, refiere que</w:t>
      </w:r>
      <w:r w:rsidR="00647EA0" w:rsidRPr="00C8634E">
        <w:rPr>
          <w:rFonts w:asciiTheme="majorHAnsi" w:hAnsiTheme="majorHAnsi"/>
          <w:sz w:val="20"/>
          <w:szCs w:val="20"/>
          <w:lang w:val="es-ES_tradnl" w:eastAsia="es-ES"/>
        </w:rPr>
        <w:t xml:space="preserve"> e</w:t>
      </w:r>
      <w:r w:rsidR="000F7CAE" w:rsidRPr="00C8634E">
        <w:rPr>
          <w:rFonts w:asciiTheme="majorHAnsi" w:hAnsiTheme="majorHAnsi"/>
          <w:sz w:val="20"/>
          <w:szCs w:val="20"/>
          <w:lang w:val="es-ES_tradnl" w:eastAsia="es-ES"/>
        </w:rPr>
        <w:t xml:space="preserve">l Cónsul le informó que </w:t>
      </w:r>
      <w:r w:rsidR="00D72E79" w:rsidRPr="00C8634E">
        <w:rPr>
          <w:rFonts w:asciiTheme="majorHAnsi" w:hAnsiTheme="majorHAnsi"/>
          <w:sz w:val="20"/>
          <w:szCs w:val="20"/>
          <w:lang w:val="es-ES_tradnl" w:eastAsia="es-ES"/>
        </w:rPr>
        <w:t xml:space="preserve">se había contratado </w:t>
      </w:r>
      <w:r w:rsidR="000F7CAE" w:rsidRPr="00C8634E">
        <w:rPr>
          <w:rFonts w:asciiTheme="majorHAnsi" w:hAnsiTheme="majorHAnsi"/>
          <w:sz w:val="20"/>
          <w:szCs w:val="20"/>
          <w:lang w:val="es-ES_tradnl" w:eastAsia="es-ES"/>
        </w:rPr>
        <w:t xml:space="preserve">una abogada para </w:t>
      </w:r>
      <w:r w:rsidR="00647EA0" w:rsidRPr="00C8634E">
        <w:rPr>
          <w:rFonts w:asciiTheme="majorHAnsi" w:hAnsiTheme="majorHAnsi"/>
          <w:sz w:val="20"/>
          <w:szCs w:val="20"/>
          <w:lang w:val="es-ES_tradnl" w:eastAsia="es-ES"/>
        </w:rPr>
        <w:t>representarlo</w:t>
      </w:r>
      <w:r w:rsidR="000F7CAE" w:rsidRPr="00C8634E">
        <w:rPr>
          <w:rFonts w:asciiTheme="majorHAnsi" w:hAnsiTheme="majorHAnsi"/>
          <w:sz w:val="20"/>
          <w:szCs w:val="20"/>
          <w:lang w:val="es-ES_tradnl" w:eastAsia="es-ES"/>
        </w:rPr>
        <w:t>.</w:t>
      </w:r>
      <w:r w:rsidR="007B0DE9" w:rsidRPr="00C8634E">
        <w:rPr>
          <w:rFonts w:asciiTheme="majorHAnsi" w:hAnsiTheme="majorHAnsi"/>
          <w:sz w:val="20"/>
          <w:szCs w:val="20"/>
          <w:lang w:val="es-ES_tradnl" w:eastAsia="es-ES"/>
        </w:rPr>
        <w:t xml:space="preserve"> </w:t>
      </w:r>
    </w:p>
    <w:p w14:paraId="1927AD5E" w14:textId="5C4F1633" w:rsidR="00AB64D3" w:rsidRPr="00C8634E" w:rsidRDefault="00C0706C" w:rsidP="00AB64D3">
      <w:pPr>
        <w:numPr>
          <w:ilvl w:val="0"/>
          <w:numId w:val="59"/>
        </w:numPr>
        <w:suppressAutoHyphens/>
        <w:spacing w:after="240"/>
        <w:jc w:val="both"/>
        <w:rPr>
          <w:rFonts w:asciiTheme="majorHAnsi" w:hAnsiTheme="majorHAnsi"/>
          <w:sz w:val="20"/>
          <w:szCs w:val="20"/>
          <w:lang w:val="es-ES_tradnl"/>
        </w:rPr>
      </w:pPr>
      <w:r w:rsidRPr="00C8634E">
        <w:rPr>
          <w:rFonts w:asciiTheme="majorHAnsi" w:hAnsiTheme="majorHAnsi"/>
          <w:sz w:val="20"/>
          <w:szCs w:val="20"/>
          <w:lang w:val="es-ES_tradnl" w:eastAsia="es-ES"/>
        </w:rPr>
        <w:t>I</w:t>
      </w:r>
      <w:r w:rsidR="00647EA0" w:rsidRPr="00C8634E">
        <w:rPr>
          <w:rFonts w:asciiTheme="majorHAnsi" w:hAnsiTheme="majorHAnsi"/>
          <w:sz w:val="20"/>
          <w:szCs w:val="20"/>
          <w:lang w:val="es-ES_tradnl" w:eastAsia="es-ES"/>
        </w:rPr>
        <w:t xml:space="preserve">ndica </w:t>
      </w:r>
      <w:r w:rsidR="00BD1450" w:rsidRPr="00C8634E">
        <w:rPr>
          <w:rFonts w:asciiTheme="majorHAnsi" w:hAnsiTheme="majorHAnsi"/>
          <w:sz w:val="20"/>
          <w:szCs w:val="20"/>
          <w:lang w:val="es-ES_tradnl" w:eastAsia="es-ES"/>
        </w:rPr>
        <w:t>que</w:t>
      </w:r>
      <w:r w:rsidR="002D2C73" w:rsidRPr="00C8634E">
        <w:rPr>
          <w:rFonts w:asciiTheme="majorHAnsi" w:hAnsiTheme="majorHAnsi"/>
          <w:sz w:val="20"/>
          <w:szCs w:val="20"/>
          <w:lang w:val="es-ES_tradnl" w:eastAsia="es-ES"/>
        </w:rPr>
        <w:t xml:space="preserve"> </w:t>
      </w:r>
      <w:r w:rsidR="000F550C" w:rsidRPr="00C8634E">
        <w:rPr>
          <w:rFonts w:asciiTheme="majorHAnsi" w:hAnsiTheme="majorHAnsi"/>
          <w:sz w:val="20"/>
          <w:szCs w:val="20"/>
          <w:lang w:val="es-ES_tradnl" w:eastAsia="es-ES"/>
        </w:rPr>
        <w:t>el</w:t>
      </w:r>
      <w:r w:rsidR="005269ED" w:rsidRPr="00C8634E">
        <w:rPr>
          <w:rFonts w:asciiTheme="majorHAnsi" w:hAnsiTheme="majorHAnsi"/>
          <w:sz w:val="20"/>
          <w:szCs w:val="20"/>
          <w:lang w:val="es-ES_tradnl" w:eastAsia="es-ES"/>
        </w:rPr>
        <w:t xml:space="preserve"> </w:t>
      </w:r>
      <w:r w:rsidR="005269ED" w:rsidRPr="005B31EF">
        <w:rPr>
          <w:rFonts w:asciiTheme="majorHAnsi" w:hAnsiTheme="majorHAnsi"/>
          <w:sz w:val="20"/>
          <w:szCs w:val="20"/>
          <w:lang w:val="es-ES_tradnl" w:eastAsia="es-ES"/>
        </w:rPr>
        <w:t>mismo</w:t>
      </w:r>
      <w:r w:rsidR="000F550C" w:rsidRPr="005B31EF">
        <w:rPr>
          <w:rFonts w:asciiTheme="majorHAnsi" w:hAnsiTheme="majorHAnsi"/>
          <w:sz w:val="20"/>
          <w:szCs w:val="20"/>
          <w:lang w:val="es-ES_tradnl" w:eastAsia="es-ES"/>
        </w:rPr>
        <w:t xml:space="preserve"> 2</w:t>
      </w:r>
      <w:r w:rsidR="00FC0314" w:rsidRPr="005B31EF">
        <w:rPr>
          <w:rFonts w:asciiTheme="majorHAnsi" w:hAnsiTheme="majorHAnsi"/>
          <w:sz w:val="20"/>
          <w:szCs w:val="20"/>
          <w:lang w:val="es-ES_tradnl" w:eastAsia="es-ES"/>
        </w:rPr>
        <w:t>4</w:t>
      </w:r>
      <w:r w:rsidR="000F550C" w:rsidRPr="005B31EF">
        <w:rPr>
          <w:rFonts w:asciiTheme="majorHAnsi" w:hAnsiTheme="majorHAnsi"/>
          <w:sz w:val="20"/>
          <w:szCs w:val="20"/>
          <w:lang w:val="es-ES_tradnl" w:eastAsia="es-ES"/>
        </w:rPr>
        <w:t xml:space="preserve"> de junio,</w:t>
      </w:r>
      <w:r w:rsidR="007B0DE9" w:rsidRPr="005B31EF">
        <w:rPr>
          <w:rFonts w:asciiTheme="majorHAnsi" w:hAnsiTheme="majorHAnsi"/>
          <w:sz w:val="20"/>
          <w:szCs w:val="20"/>
          <w:lang w:val="es-ES_tradnl" w:eastAsia="es-ES"/>
        </w:rPr>
        <w:t xml:space="preserve"> </w:t>
      </w:r>
      <w:r w:rsidR="00D72E79" w:rsidRPr="005B31EF">
        <w:rPr>
          <w:rFonts w:asciiTheme="majorHAnsi" w:hAnsiTheme="majorHAnsi"/>
          <w:sz w:val="20"/>
          <w:szCs w:val="20"/>
          <w:lang w:val="es-ES_tradnl" w:eastAsia="es-ES"/>
        </w:rPr>
        <w:t>los policías lo llevaron</w:t>
      </w:r>
      <w:r w:rsidR="007B0DE9" w:rsidRPr="005B31EF">
        <w:rPr>
          <w:rFonts w:asciiTheme="majorHAnsi" w:hAnsiTheme="majorHAnsi"/>
          <w:sz w:val="20"/>
          <w:szCs w:val="20"/>
          <w:lang w:val="es-ES_tradnl" w:eastAsia="es-ES"/>
        </w:rPr>
        <w:t xml:space="preserve"> a la Corte Suprema de Nicaragua donde </w:t>
      </w:r>
      <w:r w:rsidR="0064339E" w:rsidRPr="005B31EF">
        <w:rPr>
          <w:rFonts w:asciiTheme="majorHAnsi" w:hAnsiTheme="majorHAnsi"/>
          <w:sz w:val="20"/>
          <w:szCs w:val="20"/>
          <w:lang w:val="es-ES_tradnl" w:eastAsia="es-ES"/>
        </w:rPr>
        <w:t xml:space="preserve">le </w:t>
      </w:r>
      <w:r w:rsidR="00D72E79" w:rsidRPr="005B31EF">
        <w:rPr>
          <w:rFonts w:asciiTheme="majorHAnsi" w:hAnsiTheme="majorHAnsi"/>
          <w:sz w:val="20"/>
          <w:szCs w:val="20"/>
          <w:lang w:val="es-ES_tradnl" w:eastAsia="es-ES"/>
        </w:rPr>
        <w:t>informaron</w:t>
      </w:r>
      <w:r w:rsidR="0064339E" w:rsidRPr="005B31EF">
        <w:rPr>
          <w:rFonts w:asciiTheme="majorHAnsi" w:hAnsiTheme="majorHAnsi"/>
          <w:sz w:val="20"/>
          <w:szCs w:val="20"/>
          <w:lang w:val="es-ES_tradnl" w:eastAsia="es-ES"/>
        </w:rPr>
        <w:t xml:space="preserve"> que</w:t>
      </w:r>
      <w:r w:rsidR="00D72E79" w:rsidRPr="005B31EF">
        <w:rPr>
          <w:rFonts w:asciiTheme="majorHAnsi" w:hAnsiTheme="majorHAnsi"/>
          <w:sz w:val="20"/>
          <w:szCs w:val="20"/>
          <w:lang w:val="es-ES_tradnl" w:eastAsia="es-ES"/>
        </w:rPr>
        <w:t xml:space="preserve"> se iba a iniciar un juicio de extradición en su contra para que </w:t>
      </w:r>
      <w:r w:rsidR="00861E23" w:rsidRPr="005B31EF">
        <w:rPr>
          <w:rFonts w:asciiTheme="majorHAnsi" w:hAnsiTheme="majorHAnsi"/>
          <w:sz w:val="20"/>
          <w:szCs w:val="20"/>
          <w:lang w:val="es-ES_tradnl" w:eastAsia="es-ES"/>
        </w:rPr>
        <w:t>fuera</w:t>
      </w:r>
      <w:r w:rsidR="00D72E79" w:rsidRPr="005B31EF">
        <w:rPr>
          <w:rFonts w:asciiTheme="majorHAnsi" w:hAnsiTheme="majorHAnsi"/>
          <w:sz w:val="20"/>
          <w:szCs w:val="20"/>
          <w:lang w:val="es-ES_tradnl" w:eastAsia="es-ES"/>
        </w:rPr>
        <w:t xml:space="preserve"> trasladado a México. </w:t>
      </w:r>
      <w:r w:rsidR="0064339E" w:rsidRPr="005B31EF">
        <w:rPr>
          <w:rFonts w:asciiTheme="majorHAnsi" w:hAnsiTheme="majorHAnsi"/>
          <w:sz w:val="20"/>
          <w:szCs w:val="20"/>
          <w:lang w:val="es-ES_tradnl" w:eastAsia="es-ES"/>
        </w:rPr>
        <w:t>R</w:t>
      </w:r>
      <w:r w:rsidR="004A4130" w:rsidRPr="005B31EF">
        <w:rPr>
          <w:rFonts w:asciiTheme="majorHAnsi" w:hAnsiTheme="majorHAnsi"/>
          <w:sz w:val="20"/>
          <w:szCs w:val="20"/>
          <w:lang w:val="es-ES_tradnl" w:eastAsia="es-ES"/>
        </w:rPr>
        <w:t>ecién ese día, las autoridades presentaron a dicho tribunal una solicitud</w:t>
      </w:r>
      <w:r w:rsidR="004A4130" w:rsidRPr="00C8634E">
        <w:rPr>
          <w:rFonts w:asciiTheme="majorHAnsi" w:hAnsiTheme="majorHAnsi"/>
          <w:sz w:val="20"/>
          <w:szCs w:val="20"/>
          <w:lang w:val="es-ES_tradnl" w:eastAsia="es-ES"/>
        </w:rPr>
        <w:t xml:space="preserve"> de detención provisional. </w:t>
      </w:r>
    </w:p>
    <w:p w14:paraId="5ACB27DA" w14:textId="0FE88F1C" w:rsidR="00AB64D3" w:rsidRPr="00C8634E" w:rsidRDefault="008B003F" w:rsidP="00AB64D3">
      <w:pPr>
        <w:numPr>
          <w:ilvl w:val="0"/>
          <w:numId w:val="59"/>
        </w:numPr>
        <w:suppressAutoHyphens/>
        <w:spacing w:after="240"/>
        <w:jc w:val="both"/>
        <w:rPr>
          <w:rFonts w:asciiTheme="majorHAnsi" w:hAnsiTheme="majorHAnsi"/>
          <w:sz w:val="20"/>
          <w:szCs w:val="20"/>
          <w:lang w:val="es-ES_tradnl"/>
        </w:rPr>
      </w:pPr>
      <w:r w:rsidRPr="00C8634E">
        <w:rPr>
          <w:rFonts w:asciiTheme="majorHAnsi" w:hAnsiTheme="majorHAnsi"/>
          <w:sz w:val="20"/>
          <w:szCs w:val="20"/>
          <w:lang w:val="es-ES_tradnl" w:eastAsia="es-ES"/>
        </w:rPr>
        <w:t>E</w:t>
      </w:r>
      <w:r w:rsidR="005E3C6F" w:rsidRPr="00C8634E">
        <w:rPr>
          <w:rFonts w:asciiTheme="majorHAnsi" w:hAnsiTheme="majorHAnsi"/>
          <w:sz w:val="20"/>
          <w:szCs w:val="20"/>
          <w:lang w:val="es-ES_tradnl" w:eastAsia="es-ES"/>
        </w:rPr>
        <w:t>n la Corte se encontró con el Cónsul</w:t>
      </w:r>
      <w:r w:rsidR="00BD1450" w:rsidRPr="00C8634E">
        <w:rPr>
          <w:rFonts w:asciiTheme="majorHAnsi" w:hAnsiTheme="majorHAnsi"/>
          <w:sz w:val="20"/>
          <w:szCs w:val="20"/>
          <w:lang w:val="es-ES_tradnl" w:eastAsia="es-ES"/>
        </w:rPr>
        <w:t xml:space="preserve"> de Costa Rica </w:t>
      </w:r>
      <w:r w:rsidR="005E3C6F" w:rsidRPr="00C8634E">
        <w:rPr>
          <w:rFonts w:asciiTheme="majorHAnsi" w:hAnsiTheme="majorHAnsi"/>
          <w:sz w:val="20"/>
          <w:szCs w:val="20"/>
          <w:lang w:val="es-ES_tradnl" w:eastAsia="es-ES"/>
        </w:rPr>
        <w:t>y la abogada</w:t>
      </w:r>
      <w:r w:rsidR="00D72E79" w:rsidRPr="00C8634E">
        <w:rPr>
          <w:rFonts w:asciiTheme="majorHAnsi" w:hAnsiTheme="majorHAnsi"/>
          <w:sz w:val="20"/>
          <w:szCs w:val="20"/>
          <w:lang w:val="es-ES_tradnl" w:eastAsia="es-ES"/>
        </w:rPr>
        <w:t xml:space="preserve"> a cargo de su representación, quien</w:t>
      </w:r>
      <w:r w:rsidR="00B83A45" w:rsidRPr="00C8634E">
        <w:rPr>
          <w:rFonts w:asciiTheme="majorHAnsi" w:hAnsiTheme="majorHAnsi"/>
          <w:sz w:val="20"/>
          <w:szCs w:val="20"/>
          <w:lang w:val="es-ES_tradnl" w:eastAsia="es-ES"/>
        </w:rPr>
        <w:t xml:space="preserve"> le informó que los plazos para que México pidiera la solicitud ya habían vencido, por </w:t>
      </w:r>
      <w:r w:rsidR="00D72E79" w:rsidRPr="00C8634E">
        <w:rPr>
          <w:rFonts w:asciiTheme="majorHAnsi" w:hAnsiTheme="majorHAnsi"/>
          <w:sz w:val="20"/>
          <w:szCs w:val="20"/>
          <w:lang w:val="es-ES_tradnl" w:eastAsia="es-ES"/>
        </w:rPr>
        <w:t>lo</w:t>
      </w:r>
      <w:r w:rsidR="00B536D3" w:rsidRPr="00C8634E">
        <w:rPr>
          <w:rFonts w:asciiTheme="majorHAnsi" w:hAnsiTheme="majorHAnsi"/>
          <w:sz w:val="20"/>
          <w:szCs w:val="20"/>
          <w:lang w:val="es-ES_tradnl" w:eastAsia="es-ES"/>
        </w:rPr>
        <w:t xml:space="preserve"> </w:t>
      </w:r>
      <w:r w:rsidR="00D72E79" w:rsidRPr="00C8634E">
        <w:rPr>
          <w:rFonts w:asciiTheme="majorHAnsi" w:hAnsiTheme="majorHAnsi"/>
          <w:sz w:val="20"/>
          <w:szCs w:val="20"/>
          <w:lang w:val="es-ES_tradnl" w:eastAsia="es-ES"/>
        </w:rPr>
        <w:t xml:space="preserve">que las autoridades </w:t>
      </w:r>
      <w:r w:rsidR="00B536D3" w:rsidRPr="00C8634E">
        <w:rPr>
          <w:rFonts w:asciiTheme="majorHAnsi" w:hAnsiTheme="majorHAnsi"/>
          <w:sz w:val="20"/>
          <w:szCs w:val="20"/>
          <w:lang w:val="es-ES_tradnl" w:eastAsia="es-ES"/>
        </w:rPr>
        <w:t>debían</w:t>
      </w:r>
      <w:r w:rsidR="00B83A45" w:rsidRPr="00C8634E">
        <w:rPr>
          <w:rFonts w:asciiTheme="majorHAnsi" w:hAnsiTheme="majorHAnsi"/>
          <w:sz w:val="20"/>
          <w:szCs w:val="20"/>
          <w:lang w:val="es-ES_tradnl" w:eastAsia="es-ES"/>
        </w:rPr>
        <w:t xml:space="preserve"> dejarlo en libertad. </w:t>
      </w:r>
      <w:r w:rsidR="00D72E79" w:rsidRPr="00C8634E">
        <w:rPr>
          <w:rFonts w:asciiTheme="majorHAnsi" w:hAnsiTheme="majorHAnsi"/>
          <w:sz w:val="20"/>
          <w:szCs w:val="20"/>
          <w:lang w:val="es-ES_tradnl" w:eastAsia="es-ES"/>
        </w:rPr>
        <w:t xml:space="preserve">Tras ello, afirma que los policías lo </w:t>
      </w:r>
      <w:r w:rsidR="0064339E" w:rsidRPr="00C8634E">
        <w:rPr>
          <w:rFonts w:asciiTheme="majorHAnsi" w:hAnsiTheme="majorHAnsi"/>
          <w:sz w:val="20"/>
          <w:szCs w:val="20"/>
          <w:lang w:val="es-ES_tradnl" w:eastAsia="es-ES"/>
        </w:rPr>
        <w:t>llevaron</w:t>
      </w:r>
      <w:r w:rsidR="00D72E79" w:rsidRPr="00C8634E">
        <w:rPr>
          <w:rFonts w:asciiTheme="majorHAnsi" w:hAnsiTheme="majorHAnsi"/>
          <w:sz w:val="20"/>
          <w:szCs w:val="20"/>
          <w:lang w:val="es-ES_tradnl" w:eastAsia="es-ES"/>
        </w:rPr>
        <w:t xml:space="preserve"> a un médico, el cual</w:t>
      </w:r>
      <w:r w:rsidR="00325811" w:rsidRPr="00C8634E">
        <w:rPr>
          <w:rFonts w:asciiTheme="majorHAnsi" w:hAnsiTheme="majorHAnsi"/>
          <w:sz w:val="20"/>
          <w:szCs w:val="20"/>
          <w:lang w:val="es-ES_tradnl" w:eastAsia="es-ES"/>
        </w:rPr>
        <w:t xml:space="preserve"> le recetó pastillas para controlar la presión arterial.</w:t>
      </w:r>
      <w:r w:rsidR="00607298" w:rsidRPr="00C8634E">
        <w:rPr>
          <w:rFonts w:asciiTheme="majorHAnsi" w:hAnsiTheme="majorHAnsi"/>
          <w:sz w:val="20"/>
          <w:szCs w:val="20"/>
          <w:lang w:val="es-ES_tradnl" w:eastAsia="es-ES"/>
        </w:rPr>
        <w:t xml:space="preserve"> </w:t>
      </w:r>
      <w:r w:rsidR="00DA7BEC" w:rsidRPr="00C8634E">
        <w:rPr>
          <w:rFonts w:asciiTheme="majorHAnsi" w:hAnsiTheme="majorHAnsi"/>
          <w:sz w:val="20"/>
          <w:szCs w:val="20"/>
          <w:lang w:val="es-ES_tradnl" w:eastAsia="es-ES"/>
        </w:rPr>
        <w:t>D</w:t>
      </w:r>
      <w:r w:rsidR="00607298" w:rsidRPr="00C8634E">
        <w:rPr>
          <w:rFonts w:asciiTheme="majorHAnsi" w:hAnsiTheme="majorHAnsi"/>
          <w:sz w:val="20"/>
          <w:szCs w:val="20"/>
          <w:lang w:val="es-ES_tradnl" w:eastAsia="es-ES"/>
        </w:rPr>
        <w:t xml:space="preserve">urante el siguiente mes y medio </w:t>
      </w:r>
      <w:r w:rsidR="00DA7BEC" w:rsidRPr="00C8634E">
        <w:rPr>
          <w:rFonts w:asciiTheme="majorHAnsi" w:hAnsiTheme="majorHAnsi"/>
          <w:sz w:val="20"/>
          <w:szCs w:val="20"/>
          <w:lang w:val="es-ES_tradnl" w:eastAsia="es-ES"/>
        </w:rPr>
        <w:t>siguió</w:t>
      </w:r>
      <w:r w:rsidR="00607298" w:rsidRPr="00C8634E">
        <w:rPr>
          <w:rFonts w:asciiTheme="majorHAnsi" w:hAnsiTheme="majorHAnsi"/>
          <w:sz w:val="20"/>
          <w:szCs w:val="20"/>
          <w:lang w:val="es-ES_tradnl" w:eastAsia="es-ES"/>
        </w:rPr>
        <w:t xml:space="preserve"> detenido y </w:t>
      </w:r>
      <w:r w:rsidR="008545D0" w:rsidRPr="00C8634E">
        <w:rPr>
          <w:rFonts w:asciiTheme="majorHAnsi" w:hAnsiTheme="majorHAnsi"/>
          <w:sz w:val="20"/>
          <w:szCs w:val="20"/>
          <w:lang w:val="es-ES_tradnl" w:eastAsia="es-ES"/>
        </w:rPr>
        <w:t>no</w:t>
      </w:r>
      <w:r w:rsidR="00607298" w:rsidRPr="00C8634E">
        <w:rPr>
          <w:rFonts w:asciiTheme="majorHAnsi" w:hAnsiTheme="majorHAnsi"/>
          <w:sz w:val="20"/>
          <w:szCs w:val="20"/>
          <w:lang w:val="es-ES_tradnl" w:eastAsia="es-ES"/>
        </w:rPr>
        <w:t xml:space="preserve"> se </w:t>
      </w:r>
      <w:r w:rsidR="00D72E79" w:rsidRPr="00C8634E">
        <w:rPr>
          <w:rFonts w:asciiTheme="majorHAnsi" w:hAnsiTheme="majorHAnsi"/>
          <w:sz w:val="20"/>
          <w:szCs w:val="20"/>
          <w:lang w:val="es-ES_tradnl" w:eastAsia="es-ES"/>
        </w:rPr>
        <w:t>le permitió</w:t>
      </w:r>
      <w:r w:rsidR="00607298" w:rsidRPr="00C8634E">
        <w:rPr>
          <w:rFonts w:asciiTheme="majorHAnsi" w:hAnsiTheme="majorHAnsi"/>
          <w:sz w:val="20"/>
          <w:szCs w:val="20"/>
          <w:lang w:val="es-ES_tradnl" w:eastAsia="es-ES"/>
        </w:rPr>
        <w:t xml:space="preserve"> salir a caminar o recibir el sol</w:t>
      </w:r>
      <w:r w:rsidR="00D72E79" w:rsidRPr="00C8634E">
        <w:rPr>
          <w:rFonts w:asciiTheme="majorHAnsi" w:hAnsiTheme="majorHAnsi"/>
          <w:sz w:val="20"/>
          <w:szCs w:val="20"/>
          <w:lang w:val="es-ES_tradnl" w:eastAsia="es-ES"/>
        </w:rPr>
        <w:t xml:space="preserve">. </w:t>
      </w:r>
      <w:r w:rsidR="0074158F" w:rsidRPr="00C8634E">
        <w:rPr>
          <w:rFonts w:asciiTheme="majorHAnsi" w:hAnsiTheme="majorHAnsi"/>
          <w:sz w:val="20"/>
          <w:szCs w:val="20"/>
          <w:lang w:val="es-ES_tradnl" w:eastAsia="es-ES"/>
        </w:rPr>
        <w:t>L</w:t>
      </w:r>
      <w:r w:rsidR="00B536D3" w:rsidRPr="00C8634E">
        <w:rPr>
          <w:rFonts w:asciiTheme="majorHAnsi" w:hAnsiTheme="majorHAnsi"/>
          <w:sz w:val="20"/>
          <w:szCs w:val="20"/>
          <w:lang w:val="es-ES_tradnl" w:eastAsia="es-ES"/>
        </w:rPr>
        <w:t>uego,</w:t>
      </w:r>
      <w:r w:rsidR="008545D0" w:rsidRPr="00C8634E">
        <w:rPr>
          <w:rFonts w:asciiTheme="majorHAnsi" w:hAnsiTheme="majorHAnsi"/>
          <w:sz w:val="20"/>
          <w:szCs w:val="20"/>
          <w:lang w:val="es-ES_tradnl" w:eastAsia="es-ES"/>
        </w:rPr>
        <w:t xml:space="preserve"> recibió una nueva visita del </w:t>
      </w:r>
      <w:r w:rsidR="00A26E3D" w:rsidRPr="00C8634E">
        <w:rPr>
          <w:rFonts w:asciiTheme="majorHAnsi" w:hAnsiTheme="majorHAnsi"/>
          <w:sz w:val="20"/>
          <w:szCs w:val="20"/>
          <w:lang w:val="es-ES_tradnl" w:eastAsia="es-ES"/>
        </w:rPr>
        <w:t>C</w:t>
      </w:r>
      <w:r w:rsidR="008545D0" w:rsidRPr="00C8634E">
        <w:rPr>
          <w:rFonts w:asciiTheme="majorHAnsi" w:hAnsiTheme="majorHAnsi"/>
          <w:sz w:val="20"/>
          <w:szCs w:val="20"/>
          <w:lang w:val="es-ES_tradnl" w:eastAsia="es-ES"/>
        </w:rPr>
        <w:t>ónsul de Costa Rica, qu</w:t>
      </w:r>
      <w:r w:rsidR="00D72E79" w:rsidRPr="00C8634E">
        <w:rPr>
          <w:rFonts w:asciiTheme="majorHAnsi" w:hAnsiTheme="majorHAnsi"/>
          <w:sz w:val="20"/>
          <w:szCs w:val="20"/>
          <w:lang w:val="es-ES_tradnl" w:eastAsia="es-ES"/>
        </w:rPr>
        <w:t>ien</w:t>
      </w:r>
      <w:r w:rsidR="00BD1450" w:rsidRPr="00C8634E">
        <w:rPr>
          <w:rFonts w:asciiTheme="majorHAnsi" w:hAnsiTheme="majorHAnsi"/>
          <w:sz w:val="20"/>
          <w:szCs w:val="20"/>
          <w:lang w:val="es-ES_tradnl" w:eastAsia="es-ES"/>
        </w:rPr>
        <w:t xml:space="preserve"> le compartió un </w:t>
      </w:r>
      <w:r w:rsidR="000425B9" w:rsidRPr="00C8634E">
        <w:rPr>
          <w:rFonts w:asciiTheme="majorHAnsi" w:hAnsiTheme="majorHAnsi"/>
          <w:sz w:val="20"/>
          <w:szCs w:val="20"/>
          <w:lang w:val="es-ES_tradnl" w:eastAsia="es-ES"/>
        </w:rPr>
        <w:t>documento donde se oponía a la extradición y solicitaba que se llevara a cabo un juicio.</w:t>
      </w:r>
    </w:p>
    <w:p w14:paraId="1CF5202C" w14:textId="37111AFE" w:rsidR="00AB64D3" w:rsidRPr="00C8634E" w:rsidRDefault="00AB64D3" w:rsidP="00AB64D3">
      <w:pPr>
        <w:pStyle w:val="ListParagraph"/>
        <w:suppressAutoHyphens/>
        <w:spacing w:before="240" w:after="240"/>
        <w:jc w:val="both"/>
        <w:rPr>
          <w:rFonts w:asciiTheme="majorHAnsi" w:hAnsiTheme="majorHAnsi"/>
          <w:i/>
          <w:iCs/>
          <w:sz w:val="20"/>
          <w:szCs w:val="20"/>
          <w:lang w:val="es-ES_tradnl"/>
        </w:rPr>
      </w:pPr>
      <w:r w:rsidRPr="00C8634E">
        <w:rPr>
          <w:rFonts w:asciiTheme="majorHAnsi" w:hAnsiTheme="majorHAnsi"/>
          <w:i/>
          <w:iCs/>
          <w:sz w:val="20"/>
          <w:szCs w:val="20"/>
          <w:lang w:val="es-ES_tradnl"/>
        </w:rPr>
        <w:t>Alegada exposición a los medios de prensa y extradición unilateral de la presunta víctima a México</w:t>
      </w:r>
    </w:p>
    <w:p w14:paraId="0847A7A8" w14:textId="6B336B76" w:rsidR="00AB64D3" w:rsidRPr="005B31EF" w:rsidRDefault="0064339E" w:rsidP="00AB64D3">
      <w:pPr>
        <w:numPr>
          <w:ilvl w:val="0"/>
          <w:numId w:val="59"/>
        </w:numPr>
        <w:suppressAutoHyphens/>
        <w:spacing w:after="240"/>
        <w:jc w:val="both"/>
        <w:rPr>
          <w:rFonts w:asciiTheme="majorHAnsi" w:hAnsiTheme="majorHAnsi"/>
          <w:sz w:val="20"/>
          <w:szCs w:val="20"/>
          <w:lang w:val="es-ES_tradnl"/>
        </w:rPr>
      </w:pPr>
      <w:r w:rsidRPr="00C8634E">
        <w:rPr>
          <w:rFonts w:asciiTheme="majorHAnsi" w:hAnsiTheme="majorHAnsi"/>
          <w:sz w:val="20"/>
          <w:szCs w:val="20"/>
          <w:lang w:val="es-ES_tradnl" w:eastAsia="es-ES"/>
        </w:rPr>
        <w:t>El peticionario indica</w:t>
      </w:r>
      <w:r w:rsidR="00C813E5" w:rsidRPr="00C8634E">
        <w:rPr>
          <w:rFonts w:asciiTheme="majorHAnsi" w:hAnsiTheme="majorHAnsi"/>
          <w:sz w:val="20"/>
          <w:szCs w:val="20"/>
          <w:lang w:val="es-ES_tradnl" w:eastAsia="es-ES"/>
        </w:rPr>
        <w:t xml:space="preserve"> que</w:t>
      </w:r>
      <w:r w:rsidR="00717BD3" w:rsidRPr="00C8634E">
        <w:rPr>
          <w:rFonts w:asciiTheme="majorHAnsi" w:hAnsiTheme="majorHAnsi"/>
          <w:sz w:val="20"/>
          <w:szCs w:val="20"/>
          <w:lang w:val="es-ES_tradnl" w:eastAsia="es-ES"/>
        </w:rPr>
        <w:t xml:space="preserve"> el 3 de agosto de 2015</w:t>
      </w:r>
      <w:r w:rsidR="00C813E5" w:rsidRPr="00C8634E">
        <w:rPr>
          <w:rFonts w:asciiTheme="majorHAnsi" w:hAnsiTheme="majorHAnsi"/>
          <w:sz w:val="20"/>
          <w:szCs w:val="20"/>
          <w:lang w:val="es-ES_tradnl" w:eastAsia="es-ES"/>
        </w:rPr>
        <w:t xml:space="preserve"> </w:t>
      </w:r>
      <w:r w:rsidR="00CF539C" w:rsidRPr="00C8634E">
        <w:rPr>
          <w:rFonts w:asciiTheme="majorHAnsi" w:hAnsiTheme="majorHAnsi"/>
          <w:sz w:val="20"/>
          <w:szCs w:val="20"/>
          <w:lang w:val="es-ES_tradnl" w:eastAsia="es-ES"/>
        </w:rPr>
        <w:t xml:space="preserve">recibió la visita del </w:t>
      </w:r>
      <w:r w:rsidR="008C77D7" w:rsidRPr="00C8634E">
        <w:rPr>
          <w:rFonts w:asciiTheme="majorHAnsi" w:hAnsiTheme="majorHAnsi"/>
          <w:sz w:val="20"/>
          <w:szCs w:val="20"/>
          <w:lang w:val="es-ES_tradnl" w:eastAsia="es-ES"/>
        </w:rPr>
        <w:t xml:space="preserve">Cónsul </w:t>
      </w:r>
      <w:r w:rsidR="00EB3611" w:rsidRPr="00C8634E">
        <w:rPr>
          <w:rFonts w:asciiTheme="majorHAnsi" w:hAnsiTheme="majorHAnsi"/>
          <w:sz w:val="20"/>
          <w:szCs w:val="20"/>
          <w:lang w:val="es-ES_tradnl" w:eastAsia="es-ES"/>
        </w:rPr>
        <w:t>de México</w:t>
      </w:r>
      <w:r w:rsidR="00C813E5" w:rsidRPr="00C8634E">
        <w:rPr>
          <w:rFonts w:asciiTheme="majorHAnsi" w:hAnsiTheme="majorHAnsi"/>
          <w:sz w:val="20"/>
          <w:szCs w:val="20"/>
          <w:lang w:val="es-ES_tradnl" w:eastAsia="es-ES"/>
        </w:rPr>
        <w:t>, quien</w:t>
      </w:r>
      <w:r w:rsidR="00EB3611" w:rsidRPr="00C8634E">
        <w:rPr>
          <w:rFonts w:asciiTheme="majorHAnsi" w:hAnsiTheme="majorHAnsi"/>
          <w:sz w:val="20"/>
          <w:szCs w:val="20"/>
          <w:lang w:val="es-ES_tradnl" w:eastAsia="es-ES"/>
        </w:rPr>
        <w:t xml:space="preserve"> </w:t>
      </w:r>
      <w:r w:rsidR="008C77D7" w:rsidRPr="00C8634E">
        <w:rPr>
          <w:rFonts w:asciiTheme="majorHAnsi" w:hAnsiTheme="majorHAnsi"/>
          <w:sz w:val="20"/>
          <w:szCs w:val="20"/>
          <w:lang w:val="es-ES_tradnl" w:eastAsia="es-ES"/>
        </w:rPr>
        <w:t>le preguntó si quería la extradición voluntaria</w:t>
      </w:r>
      <w:r w:rsidR="00C813E5" w:rsidRPr="00C8634E">
        <w:rPr>
          <w:rFonts w:asciiTheme="majorHAnsi" w:hAnsiTheme="majorHAnsi"/>
          <w:sz w:val="20"/>
          <w:szCs w:val="20"/>
          <w:lang w:val="es-ES_tradnl" w:eastAsia="es-ES"/>
        </w:rPr>
        <w:t>. S</w:t>
      </w:r>
      <w:r w:rsidR="008C77D7" w:rsidRPr="00C8634E">
        <w:rPr>
          <w:rFonts w:asciiTheme="majorHAnsi" w:hAnsiTheme="majorHAnsi"/>
          <w:sz w:val="20"/>
          <w:szCs w:val="20"/>
          <w:lang w:val="es-ES_tradnl" w:eastAsia="es-ES"/>
        </w:rPr>
        <w:t>in embargo,</w:t>
      </w:r>
      <w:r w:rsidR="00C813E5" w:rsidRPr="00C8634E">
        <w:rPr>
          <w:rFonts w:asciiTheme="majorHAnsi" w:hAnsiTheme="majorHAnsi"/>
          <w:sz w:val="20"/>
          <w:szCs w:val="20"/>
          <w:lang w:val="es-ES_tradnl" w:eastAsia="es-ES"/>
        </w:rPr>
        <w:t xml:space="preserve"> aduce que respondió</w:t>
      </w:r>
      <w:r w:rsidR="00C1308A" w:rsidRPr="00C8634E">
        <w:rPr>
          <w:rFonts w:asciiTheme="majorHAnsi" w:hAnsiTheme="majorHAnsi"/>
          <w:sz w:val="20"/>
          <w:szCs w:val="20"/>
          <w:lang w:val="es-ES_tradnl" w:eastAsia="es-ES"/>
        </w:rPr>
        <w:t xml:space="preserve"> </w:t>
      </w:r>
      <w:r w:rsidR="00717BD3" w:rsidRPr="00C8634E">
        <w:rPr>
          <w:rFonts w:asciiTheme="majorHAnsi" w:hAnsiTheme="majorHAnsi"/>
          <w:sz w:val="20"/>
          <w:szCs w:val="20"/>
          <w:lang w:val="es-ES_tradnl" w:eastAsia="es-ES"/>
        </w:rPr>
        <w:t xml:space="preserve">con claridad </w:t>
      </w:r>
      <w:r w:rsidR="00C1308A" w:rsidRPr="00C8634E">
        <w:rPr>
          <w:rFonts w:asciiTheme="majorHAnsi" w:hAnsiTheme="majorHAnsi"/>
          <w:sz w:val="20"/>
          <w:szCs w:val="20"/>
          <w:lang w:val="es-ES_tradnl" w:eastAsia="es-ES"/>
        </w:rPr>
        <w:t xml:space="preserve">que quería </w:t>
      </w:r>
      <w:r w:rsidR="008C77D7" w:rsidRPr="00C8634E">
        <w:rPr>
          <w:rFonts w:asciiTheme="majorHAnsi" w:hAnsiTheme="majorHAnsi"/>
          <w:sz w:val="20"/>
          <w:szCs w:val="20"/>
          <w:lang w:val="es-ES_tradnl" w:eastAsia="es-ES"/>
        </w:rPr>
        <w:t>un juicio de extradición.</w:t>
      </w:r>
      <w:r w:rsidR="002A31FF" w:rsidRPr="00C8634E">
        <w:rPr>
          <w:rFonts w:asciiTheme="majorHAnsi" w:hAnsiTheme="majorHAnsi"/>
          <w:sz w:val="20"/>
          <w:szCs w:val="20"/>
          <w:lang w:val="es-ES_tradnl" w:eastAsia="es-ES"/>
        </w:rPr>
        <w:t xml:space="preserve"> </w:t>
      </w:r>
      <w:r w:rsidR="00717BD3" w:rsidRPr="00C8634E">
        <w:rPr>
          <w:rFonts w:asciiTheme="majorHAnsi" w:hAnsiTheme="majorHAnsi"/>
          <w:sz w:val="20"/>
          <w:szCs w:val="20"/>
          <w:lang w:val="es-ES_tradnl" w:eastAsia="es-ES"/>
        </w:rPr>
        <w:t xml:space="preserve">Sostiene </w:t>
      </w:r>
      <w:r w:rsidR="00C813E5" w:rsidRPr="00C8634E">
        <w:rPr>
          <w:rFonts w:asciiTheme="majorHAnsi" w:hAnsiTheme="majorHAnsi"/>
          <w:sz w:val="20"/>
          <w:szCs w:val="20"/>
          <w:lang w:val="es-ES_tradnl" w:eastAsia="es-ES"/>
        </w:rPr>
        <w:t>que e</w:t>
      </w:r>
      <w:r w:rsidR="007C1E22" w:rsidRPr="00C8634E">
        <w:rPr>
          <w:rFonts w:asciiTheme="majorHAnsi" w:hAnsiTheme="majorHAnsi"/>
          <w:sz w:val="20"/>
          <w:szCs w:val="20"/>
          <w:lang w:val="es-ES_tradnl" w:eastAsia="es-ES"/>
        </w:rPr>
        <w:t xml:space="preserve">se día </w:t>
      </w:r>
      <w:r w:rsidR="00C813E5" w:rsidRPr="00C8634E">
        <w:rPr>
          <w:rFonts w:asciiTheme="majorHAnsi" w:hAnsiTheme="majorHAnsi"/>
          <w:sz w:val="20"/>
          <w:szCs w:val="20"/>
          <w:lang w:val="es-ES_tradnl" w:eastAsia="es-ES"/>
        </w:rPr>
        <w:t xml:space="preserve">lo llevaron </w:t>
      </w:r>
      <w:r w:rsidR="007C1E22" w:rsidRPr="00C8634E">
        <w:rPr>
          <w:rFonts w:asciiTheme="majorHAnsi" w:hAnsiTheme="majorHAnsi"/>
          <w:sz w:val="20"/>
          <w:szCs w:val="20"/>
          <w:lang w:val="es-ES_tradnl" w:eastAsia="es-ES"/>
        </w:rPr>
        <w:t>a un centro médico</w:t>
      </w:r>
      <w:r w:rsidR="00C813E5" w:rsidRPr="00C8634E">
        <w:rPr>
          <w:rFonts w:asciiTheme="majorHAnsi" w:hAnsiTheme="majorHAnsi"/>
          <w:sz w:val="20"/>
          <w:szCs w:val="20"/>
          <w:lang w:val="es-ES_tradnl" w:eastAsia="es-ES"/>
        </w:rPr>
        <w:t xml:space="preserve">, en donde le tomaron </w:t>
      </w:r>
      <w:r w:rsidR="00B22F7E" w:rsidRPr="00C8634E">
        <w:rPr>
          <w:rFonts w:asciiTheme="majorHAnsi" w:hAnsiTheme="majorHAnsi"/>
          <w:sz w:val="20"/>
          <w:szCs w:val="20"/>
          <w:lang w:val="es-ES_tradnl" w:eastAsia="es-ES"/>
        </w:rPr>
        <w:t xml:space="preserve">fotos desnudo, incluyendo el interior de su ano. </w:t>
      </w:r>
      <w:r w:rsidR="00C813E5" w:rsidRPr="00C8634E">
        <w:rPr>
          <w:rFonts w:asciiTheme="majorHAnsi" w:hAnsiTheme="majorHAnsi"/>
          <w:sz w:val="20"/>
          <w:szCs w:val="20"/>
          <w:lang w:val="es-ES_tradnl" w:eastAsia="es-ES"/>
        </w:rPr>
        <w:t xml:space="preserve">Asimismo, </w:t>
      </w:r>
      <w:r w:rsidR="007E6361" w:rsidRPr="005B31EF">
        <w:rPr>
          <w:rFonts w:asciiTheme="majorHAnsi" w:hAnsiTheme="majorHAnsi"/>
          <w:sz w:val="20"/>
          <w:szCs w:val="20"/>
          <w:lang w:val="es-ES_tradnl" w:eastAsia="es-ES"/>
        </w:rPr>
        <w:t>e</w:t>
      </w:r>
      <w:r w:rsidR="00B22F7E" w:rsidRPr="005B31EF">
        <w:rPr>
          <w:rFonts w:asciiTheme="majorHAnsi" w:hAnsiTheme="majorHAnsi"/>
          <w:sz w:val="20"/>
          <w:szCs w:val="20"/>
          <w:lang w:val="es-ES_tradnl" w:eastAsia="es-ES"/>
        </w:rPr>
        <w:t>l 7 de agosto de 2015</w:t>
      </w:r>
      <w:r w:rsidR="00C813E5" w:rsidRPr="005B31EF">
        <w:rPr>
          <w:rFonts w:asciiTheme="majorHAnsi" w:hAnsiTheme="majorHAnsi"/>
          <w:sz w:val="20"/>
          <w:szCs w:val="20"/>
          <w:lang w:val="es-ES_tradnl" w:eastAsia="es-ES"/>
        </w:rPr>
        <w:t xml:space="preserve"> </w:t>
      </w:r>
      <w:r w:rsidR="00B22F7E" w:rsidRPr="005B31EF">
        <w:rPr>
          <w:rFonts w:asciiTheme="majorHAnsi" w:hAnsiTheme="majorHAnsi"/>
          <w:sz w:val="20"/>
          <w:szCs w:val="20"/>
          <w:lang w:val="es-ES_tradnl" w:eastAsia="es-ES"/>
        </w:rPr>
        <w:t xml:space="preserve">lo sacaron de </w:t>
      </w:r>
      <w:r w:rsidR="00C813E5" w:rsidRPr="005B31EF">
        <w:rPr>
          <w:rFonts w:asciiTheme="majorHAnsi" w:hAnsiTheme="majorHAnsi"/>
          <w:sz w:val="20"/>
          <w:szCs w:val="20"/>
          <w:lang w:val="es-ES_tradnl" w:eastAsia="es-ES"/>
        </w:rPr>
        <w:t>su</w:t>
      </w:r>
      <w:r w:rsidR="00B22F7E" w:rsidRPr="005B31EF">
        <w:rPr>
          <w:rFonts w:asciiTheme="majorHAnsi" w:hAnsiTheme="majorHAnsi"/>
          <w:sz w:val="20"/>
          <w:szCs w:val="20"/>
          <w:lang w:val="es-ES_tradnl" w:eastAsia="es-ES"/>
        </w:rPr>
        <w:t xml:space="preserve"> celda</w:t>
      </w:r>
      <w:r w:rsidR="002A3D5B" w:rsidRPr="005B31EF">
        <w:rPr>
          <w:rFonts w:asciiTheme="majorHAnsi" w:hAnsiTheme="majorHAnsi"/>
          <w:sz w:val="20"/>
          <w:szCs w:val="20"/>
          <w:lang w:val="es-ES_tradnl" w:eastAsia="es-ES"/>
        </w:rPr>
        <w:t xml:space="preserve">, </w:t>
      </w:r>
      <w:r w:rsidR="00B22F7E" w:rsidRPr="005B31EF">
        <w:rPr>
          <w:rFonts w:asciiTheme="majorHAnsi" w:hAnsiTheme="majorHAnsi"/>
          <w:sz w:val="20"/>
          <w:szCs w:val="20"/>
          <w:lang w:val="es-ES_tradnl" w:eastAsia="es-ES"/>
        </w:rPr>
        <w:t>le raparon la cabeza</w:t>
      </w:r>
      <w:r w:rsidR="002A3D5B" w:rsidRPr="005B31EF">
        <w:rPr>
          <w:rFonts w:asciiTheme="majorHAnsi" w:hAnsiTheme="majorHAnsi"/>
          <w:sz w:val="20"/>
          <w:szCs w:val="20"/>
          <w:lang w:val="es-ES_tradnl" w:eastAsia="es-ES"/>
        </w:rPr>
        <w:t xml:space="preserve">, lo afeitaron, lo fotografiaron, lo presentaron a la prensa y lo llevaron al </w:t>
      </w:r>
      <w:r w:rsidR="00BA0F66" w:rsidRPr="005B31EF">
        <w:rPr>
          <w:rFonts w:asciiTheme="majorHAnsi" w:hAnsiTheme="majorHAnsi"/>
          <w:sz w:val="20"/>
          <w:szCs w:val="20"/>
          <w:lang w:val="es-ES_tradnl" w:eastAsia="es-ES"/>
        </w:rPr>
        <w:t>aeropuerto</w:t>
      </w:r>
      <w:r w:rsidRPr="005B31EF">
        <w:rPr>
          <w:rFonts w:asciiTheme="majorHAnsi" w:hAnsiTheme="majorHAnsi"/>
          <w:sz w:val="20"/>
          <w:szCs w:val="20"/>
          <w:lang w:val="es-ES_tradnl" w:eastAsia="es-ES"/>
        </w:rPr>
        <w:t>, allí estaba</w:t>
      </w:r>
      <w:r w:rsidR="00991F93" w:rsidRPr="005B31EF">
        <w:rPr>
          <w:rFonts w:asciiTheme="majorHAnsi" w:hAnsiTheme="majorHAnsi"/>
          <w:sz w:val="20"/>
          <w:szCs w:val="20"/>
          <w:lang w:val="es-ES_tradnl" w:eastAsia="es-ES"/>
        </w:rPr>
        <w:t xml:space="preserve"> el Cónsul de </w:t>
      </w:r>
      <w:r w:rsidR="007E14A5" w:rsidRPr="005B31EF">
        <w:rPr>
          <w:rFonts w:asciiTheme="majorHAnsi" w:hAnsiTheme="majorHAnsi"/>
          <w:sz w:val="20"/>
          <w:szCs w:val="20"/>
          <w:lang w:val="es-ES_tradnl" w:eastAsia="es-ES"/>
        </w:rPr>
        <w:t>México,</w:t>
      </w:r>
      <w:r w:rsidR="00991F93" w:rsidRPr="005B31EF">
        <w:rPr>
          <w:rFonts w:asciiTheme="majorHAnsi" w:hAnsiTheme="majorHAnsi"/>
          <w:sz w:val="20"/>
          <w:szCs w:val="20"/>
          <w:lang w:val="es-ES_tradnl" w:eastAsia="es-ES"/>
        </w:rPr>
        <w:t xml:space="preserve"> qu</w:t>
      </w:r>
      <w:r w:rsidR="00C813E5" w:rsidRPr="005B31EF">
        <w:rPr>
          <w:rFonts w:asciiTheme="majorHAnsi" w:hAnsiTheme="majorHAnsi"/>
          <w:sz w:val="20"/>
          <w:szCs w:val="20"/>
          <w:lang w:val="es-ES_tradnl" w:eastAsia="es-ES"/>
        </w:rPr>
        <w:t>ien</w:t>
      </w:r>
      <w:r w:rsidR="00991F93" w:rsidRPr="005B31EF">
        <w:rPr>
          <w:rFonts w:asciiTheme="majorHAnsi" w:hAnsiTheme="majorHAnsi"/>
          <w:sz w:val="20"/>
          <w:szCs w:val="20"/>
          <w:lang w:val="es-ES_tradnl" w:eastAsia="es-ES"/>
        </w:rPr>
        <w:t xml:space="preserve"> preparó la documentación para trasladar</w:t>
      </w:r>
      <w:r w:rsidR="007E6361" w:rsidRPr="005B31EF">
        <w:rPr>
          <w:rFonts w:asciiTheme="majorHAnsi" w:hAnsiTheme="majorHAnsi"/>
          <w:sz w:val="20"/>
          <w:szCs w:val="20"/>
          <w:lang w:val="es-ES_tradnl" w:eastAsia="es-ES"/>
        </w:rPr>
        <w:t>lo</w:t>
      </w:r>
      <w:r w:rsidR="00991F93" w:rsidRPr="005B31EF">
        <w:rPr>
          <w:rFonts w:asciiTheme="majorHAnsi" w:hAnsiTheme="majorHAnsi"/>
          <w:sz w:val="20"/>
          <w:szCs w:val="20"/>
          <w:lang w:val="es-ES_tradnl" w:eastAsia="es-ES"/>
        </w:rPr>
        <w:t xml:space="preserve"> a </w:t>
      </w:r>
      <w:r w:rsidRPr="005B31EF">
        <w:rPr>
          <w:rFonts w:asciiTheme="majorHAnsi" w:hAnsiTheme="majorHAnsi"/>
          <w:sz w:val="20"/>
          <w:szCs w:val="20"/>
          <w:lang w:val="es-ES_tradnl" w:eastAsia="es-ES"/>
        </w:rPr>
        <w:t>ese país</w:t>
      </w:r>
      <w:r w:rsidR="006D6029" w:rsidRPr="005B31EF">
        <w:rPr>
          <w:rFonts w:asciiTheme="majorHAnsi" w:hAnsiTheme="majorHAnsi"/>
          <w:sz w:val="20"/>
          <w:szCs w:val="20"/>
          <w:lang w:val="es-ES_tradnl" w:eastAsia="es-ES"/>
        </w:rPr>
        <w:t xml:space="preserve"> </w:t>
      </w:r>
      <w:r w:rsidR="00387CE7" w:rsidRPr="005B31EF">
        <w:rPr>
          <w:rFonts w:asciiTheme="majorHAnsi" w:hAnsiTheme="majorHAnsi"/>
          <w:sz w:val="20"/>
          <w:szCs w:val="20"/>
          <w:lang w:val="es-ES_tradnl" w:eastAsia="es-ES"/>
        </w:rPr>
        <w:t xml:space="preserve">y lo entregó a la </w:t>
      </w:r>
      <w:r w:rsidR="003071AC" w:rsidRPr="005B31EF">
        <w:rPr>
          <w:rFonts w:asciiTheme="majorHAnsi" w:hAnsiTheme="majorHAnsi"/>
          <w:sz w:val="20"/>
          <w:szCs w:val="20"/>
          <w:lang w:val="es-ES_tradnl" w:eastAsia="es-ES"/>
        </w:rPr>
        <w:t>INTERPOL</w:t>
      </w:r>
      <w:r w:rsidR="00387CE7" w:rsidRPr="005B31EF">
        <w:rPr>
          <w:rFonts w:asciiTheme="majorHAnsi" w:hAnsiTheme="majorHAnsi"/>
          <w:sz w:val="20"/>
          <w:szCs w:val="20"/>
          <w:lang w:val="es-ES_tradnl" w:eastAsia="es-ES"/>
        </w:rPr>
        <w:t>.</w:t>
      </w:r>
    </w:p>
    <w:p w14:paraId="15BE56C4" w14:textId="4977DA1C" w:rsidR="00AB64D3" w:rsidRPr="005B31EF" w:rsidRDefault="00AB64D3" w:rsidP="00AB64D3">
      <w:pPr>
        <w:pStyle w:val="ListParagraph"/>
        <w:suppressAutoHyphens/>
        <w:spacing w:before="240" w:after="240"/>
        <w:jc w:val="both"/>
        <w:rPr>
          <w:rFonts w:asciiTheme="majorHAnsi" w:hAnsiTheme="majorHAnsi"/>
          <w:i/>
          <w:iCs/>
          <w:sz w:val="20"/>
          <w:szCs w:val="20"/>
          <w:lang w:val="es-ES_tradnl"/>
        </w:rPr>
      </w:pPr>
      <w:r w:rsidRPr="005B31EF">
        <w:rPr>
          <w:rFonts w:asciiTheme="majorHAnsi" w:hAnsiTheme="majorHAnsi"/>
          <w:i/>
          <w:iCs/>
          <w:sz w:val="20"/>
          <w:szCs w:val="20"/>
          <w:lang w:val="es-ES_tradnl"/>
        </w:rPr>
        <w:t>Recursos judiciales presentados</w:t>
      </w:r>
    </w:p>
    <w:p w14:paraId="631DF44B" w14:textId="29F73A1A" w:rsidR="002F6D3B" w:rsidRPr="005B31EF" w:rsidRDefault="004A4130" w:rsidP="002F6D3B">
      <w:pPr>
        <w:numPr>
          <w:ilvl w:val="0"/>
          <w:numId w:val="59"/>
        </w:numPr>
        <w:suppressAutoHyphens/>
        <w:spacing w:after="240"/>
        <w:jc w:val="both"/>
        <w:rPr>
          <w:rFonts w:asciiTheme="majorHAnsi" w:hAnsiTheme="majorHAnsi"/>
          <w:sz w:val="20"/>
          <w:szCs w:val="20"/>
          <w:lang w:val="es-ES_tradnl"/>
        </w:rPr>
      </w:pPr>
      <w:r w:rsidRPr="005B31EF">
        <w:rPr>
          <w:rFonts w:asciiTheme="majorHAnsi" w:hAnsiTheme="majorHAnsi"/>
          <w:sz w:val="20"/>
          <w:szCs w:val="20"/>
          <w:lang w:val="es-ES_tradnl" w:eastAsia="es-ES"/>
        </w:rPr>
        <w:t>R</w:t>
      </w:r>
      <w:r w:rsidR="0030763A" w:rsidRPr="005B31EF">
        <w:rPr>
          <w:rFonts w:asciiTheme="majorHAnsi" w:hAnsiTheme="majorHAnsi"/>
          <w:sz w:val="20"/>
          <w:szCs w:val="20"/>
          <w:lang w:val="es-ES_tradnl" w:eastAsia="es-ES"/>
        </w:rPr>
        <w:t xml:space="preserve">elata que </w:t>
      </w:r>
      <w:r w:rsidR="00AC215E" w:rsidRPr="005B31EF">
        <w:rPr>
          <w:rFonts w:asciiTheme="majorHAnsi" w:hAnsiTheme="majorHAnsi"/>
          <w:sz w:val="20"/>
          <w:szCs w:val="20"/>
          <w:lang w:val="es-ES_tradnl" w:eastAsia="es-ES"/>
        </w:rPr>
        <w:t xml:space="preserve">su representación </w:t>
      </w:r>
      <w:r w:rsidR="00E072BC" w:rsidRPr="005B31EF">
        <w:rPr>
          <w:rFonts w:asciiTheme="majorHAnsi" w:hAnsiTheme="majorHAnsi"/>
          <w:sz w:val="20"/>
          <w:szCs w:val="20"/>
          <w:lang w:val="es-ES_tradnl" w:eastAsia="es-ES"/>
        </w:rPr>
        <w:t>presentó</w:t>
      </w:r>
      <w:r w:rsidR="003E1EEA" w:rsidRPr="005B31EF">
        <w:rPr>
          <w:rFonts w:asciiTheme="majorHAnsi" w:hAnsiTheme="majorHAnsi"/>
          <w:sz w:val="20"/>
          <w:szCs w:val="20"/>
          <w:lang w:val="es-ES_tradnl" w:eastAsia="es-ES"/>
        </w:rPr>
        <w:t xml:space="preserve"> dos hábeas corpus ante la</w:t>
      </w:r>
      <w:r w:rsidR="00E072BC" w:rsidRPr="005B31EF">
        <w:rPr>
          <w:rFonts w:asciiTheme="majorHAnsi" w:hAnsiTheme="majorHAnsi"/>
          <w:sz w:val="20"/>
          <w:szCs w:val="20"/>
          <w:lang w:val="es-ES_tradnl" w:eastAsia="es-ES"/>
        </w:rPr>
        <w:t>s</w:t>
      </w:r>
      <w:r w:rsidR="003E1EEA" w:rsidRPr="005B31EF">
        <w:rPr>
          <w:rFonts w:asciiTheme="majorHAnsi" w:hAnsiTheme="majorHAnsi"/>
          <w:sz w:val="20"/>
          <w:szCs w:val="20"/>
          <w:lang w:val="es-ES_tradnl" w:eastAsia="es-ES"/>
        </w:rPr>
        <w:t xml:space="preserve"> autoridades judiciales de Nicaragua</w:t>
      </w:r>
      <w:r w:rsidR="002F6D3B" w:rsidRPr="005B31EF">
        <w:rPr>
          <w:rFonts w:asciiTheme="majorHAnsi" w:hAnsiTheme="majorHAnsi"/>
          <w:sz w:val="20"/>
          <w:szCs w:val="20"/>
          <w:lang w:val="es-ES_tradnl" w:eastAsia="es-ES"/>
        </w:rPr>
        <w:t xml:space="preserve">. El primero habría sido interpuesto el 5 de junio de 2015, </w:t>
      </w:r>
      <w:r w:rsidR="00FF6938" w:rsidRPr="005B31EF">
        <w:rPr>
          <w:rFonts w:asciiTheme="majorHAnsi" w:hAnsiTheme="majorHAnsi"/>
          <w:sz w:val="20"/>
          <w:szCs w:val="20"/>
          <w:lang w:val="es-ES_tradnl" w:eastAsia="es-ES"/>
        </w:rPr>
        <w:t>aduciendo</w:t>
      </w:r>
      <w:r w:rsidR="002F6D3B" w:rsidRPr="005B31EF">
        <w:rPr>
          <w:rFonts w:asciiTheme="majorHAnsi" w:hAnsiTheme="majorHAnsi"/>
          <w:sz w:val="20"/>
          <w:szCs w:val="20"/>
          <w:lang w:val="es-ES_tradnl" w:eastAsia="es-ES"/>
        </w:rPr>
        <w:t xml:space="preserve"> que: i) fue detenido por agentes policiales de la Dirección de Auxilio Judicial y del Distrito número uno, sin orden expresa de juez competente y sin mostrar ningún documento al momento de la detención</w:t>
      </w:r>
      <w:r w:rsidR="00DE7EDD" w:rsidRPr="005B31EF">
        <w:rPr>
          <w:rFonts w:asciiTheme="majorHAnsi" w:hAnsiTheme="majorHAnsi"/>
          <w:sz w:val="20"/>
          <w:szCs w:val="20"/>
          <w:lang w:val="es-ES_tradnl" w:eastAsia="es-ES"/>
        </w:rPr>
        <w:t>;</w:t>
      </w:r>
      <w:r w:rsidR="002F6D3B" w:rsidRPr="005B31EF">
        <w:rPr>
          <w:rFonts w:asciiTheme="majorHAnsi" w:hAnsiTheme="majorHAnsi"/>
          <w:sz w:val="20"/>
          <w:szCs w:val="20"/>
          <w:lang w:val="es-ES_tradnl" w:eastAsia="es-ES"/>
        </w:rPr>
        <w:t xml:space="preserve"> ii) no había sido colocado a disposición de un juez competente, a pesar de que habían transcurrido cuarenta y ocho horas desde su detención; y iii) no había podido comunicarse con su familia ni sabía la razón de su detención</w:t>
      </w:r>
      <w:r w:rsidR="003A7F37" w:rsidRPr="005B31EF">
        <w:rPr>
          <w:rFonts w:asciiTheme="majorHAnsi" w:hAnsiTheme="majorHAnsi"/>
          <w:sz w:val="20"/>
          <w:szCs w:val="20"/>
          <w:lang w:val="es-ES_tradnl" w:eastAsia="es-ES"/>
        </w:rPr>
        <w:t xml:space="preserve">, a pesar de que ya habían transcurrido diez días desde su </w:t>
      </w:r>
      <w:r w:rsidR="008112D9" w:rsidRPr="005B31EF">
        <w:rPr>
          <w:rFonts w:asciiTheme="majorHAnsi" w:hAnsiTheme="majorHAnsi"/>
          <w:sz w:val="20"/>
          <w:szCs w:val="20"/>
          <w:lang w:val="es-ES_tradnl" w:eastAsia="es-ES"/>
        </w:rPr>
        <w:t>aprehensión</w:t>
      </w:r>
      <w:r w:rsidR="002F6D3B" w:rsidRPr="005B31EF">
        <w:rPr>
          <w:rFonts w:asciiTheme="majorHAnsi" w:hAnsiTheme="majorHAnsi"/>
          <w:sz w:val="20"/>
          <w:szCs w:val="20"/>
          <w:lang w:val="es-ES_tradnl" w:eastAsia="es-ES"/>
        </w:rPr>
        <w:t>. No obstante, si bien la jueza ejecutora de este recurso había considerado que se</w:t>
      </w:r>
      <w:r w:rsidR="003A7F37" w:rsidRPr="005B31EF">
        <w:rPr>
          <w:rFonts w:asciiTheme="majorHAnsi" w:hAnsiTheme="majorHAnsi"/>
          <w:sz w:val="20"/>
          <w:szCs w:val="20"/>
          <w:lang w:val="es-ES_tradnl" w:eastAsia="es-ES"/>
        </w:rPr>
        <w:t xml:space="preserve"> produjo</w:t>
      </w:r>
      <w:r w:rsidR="002F6D3B" w:rsidRPr="005B31EF">
        <w:rPr>
          <w:rFonts w:asciiTheme="majorHAnsi" w:hAnsiTheme="majorHAnsi"/>
          <w:sz w:val="20"/>
          <w:szCs w:val="20"/>
          <w:lang w:val="es-ES_tradnl" w:eastAsia="es-ES"/>
        </w:rPr>
        <w:t xml:space="preserve"> una violación a </w:t>
      </w:r>
      <w:r w:rsidR="00AC215E" w:rsidRPr="005B31EF">
        <w:rPr>
          <w:rFonts w:asciiTheme="majorHAnsi" w:hAnsiTheme="majorHAnsi"/>
          <w:sz w:val="20"/>
          <w:szCs w:val="20"/>
          <w:lang w:val="es-ES_tradnl" w:eastAsia="es-ES"/>
        </w:rPr>
        <w:t>sus derechos</w:t>
      </w:r>
      <w:r w:rsidR="002F6D3B" w:rsidRPr="005B31EF">
        <w:rPr>
          <w:rFonts w:asciiTheme="majorHAnsi" w:hAnsiTheme="majorHAnsi"/>
          <w:sz w:val="20"/>
          <w:szCs w:val="20"/>
          <w:lang w:val="es-ES_tradnl" w:eastAsia="es-ES"/>
        </w:rPr>
        <w:t xml:space="preserve">, dado que no habría podido corroborar </w:t>
      </w:r>
      <w:r w:rsidR="006E27CF" w:rsidRPr="005B31EF">
        <w:rPr>
          <w:rFonts w:asciiTheme="majorHAnsi" w:hAnsiTheme="majorHAnsi"/>
          <w:sz w:val="20"/>
          <w:szCs w:val="20"/>
          <w:lang w:val="es-ES_tradnl" w:eastAsia="es-ES"/>
        </w:rPr>
        <w:t xml:space="preserve">su estado de salud y condiciones de detención, </w:t>
      </w:r>
      <w:r w:rsidR="002F6D3B" w:rsidRPr="005B31EF">
        <w:rPr>
          <w:rFonts w:asciiTheme="majorHAnsi" w:hAnsiTheme="majorHAnsi"/>
          <w:sz w:val="20"/>
          <w:szCs w:val="20"/>
          <w:lang w:val="es-ES_tradnl" w:eastAsia="es-ES"/>
        </w:rPr>
        <w:t xml:space="preserve">el 15 de junio de 2015 la Sala Penal Uno del Tribunal de Apelaciones de la Circunscripción de Managua denegó la acción de hábeas corpus, </w:t>
      </w:r>
      <w:r w:rsidR="004D4F3B" w:rsidRPr="005B31EF">
        <w:rPr>
          <w:rFonts w:asciiTheme="majorHAnsi" w:hAnsiTheme="majorHAnsi"/>
          <w:sz w:val="20"/>
          <w:szCs w:val="20"/>
          <w:lang w:val="es-ES_tradnl" w:eastAsia="es-ES"/>
        </w:rPr>
        <w:t>considerando</w:t>
      </w:r>
      <w:r w:rsidR="002F6D3B" w:rsidRPr="005B31EF">
        <w:rPr>
          <w:rFonts w:asciiTheme="majorHAnsi" w:hAnsiTheme="majorHAnsi"/>
          <w:sz w:val="20"/>
          <w:szCs w:val="20"/>
          <w:lang w:val="es-ES_tradnl" w:eastAsia="es-ES"/>
        </w:rPr>
        <w:t xml:space="preserve"> que existía una nota roja de interpol que requería </w:t>
      </w:r>
      <w:r w:rsidR="00AC215E" w:rsidRPr="005B31EF">
        <w:rPr>
          <w:rFonts w:asciiTheme="majorHAnsi" w:hAnsiTheme="majorHAnsi"/>
          <w:sz w:val="20"/>
          <w:szCs w:val="20"/>
          <w:lang w:val="es-ES_tradnl" w:eastAsia="es-ES"/>
        </w:rPr>
        <w:t>su</w:t>
      </w:r>
      <w:r w:rsidR="002F6D3B" w:rsidRPr="005B31EF">
        <w:rPr>
          <w:rFonts w:asciiTheme="majorHAnsi" w:hAnsiTheme="majorHAnsi"/>
          <w:sz w:val="20"/>
          <w:szCs w:val="20"/>
          <w:lang w:val="es-ES_tradnl" w:eastAsia="es-ES"/>
        </w:rPr>
        <w:t xml:space="preserve"> búsqueda.</w:t>
      </w:r>
    </w:p>
    <w:p w14:paraId="2F79B335" w14:textId="76A94C88" w:rsidR="002F6D3B" w:rsidRPr="005B31EF" w:rsidRDefault="006E27CF" w:rsidP="003A7F37">
      <w:pPr>
        <w:numPr>
          <w:ilvl w:val="0"/>
          <w:numId w:val="59"/>
        </w:numPr>
        <w:suppressAutoHyphens/>
        <w:spacing w:after="240"/>
        <w:jc w:val="both"/>
        <w:rPr>
          <w:rFonts w:asciiTheme="majorHAnsi" w:hAnsiTheme="majorHAnsi"/>
          <w:sz w:val="20"/>
          <w:szCs w:val="20"/>
          <w:lang w:val="es-ES_tradnl"/>
        </w:rPr>
      </w:pPr>
      <w:r w:rsidRPr="005B31EF">
        <w:rPr>
          <w:rFonts w:asciiTheme="majorHAnsi" w:hAnsiTheme="majorHAnsi"/>
          <w:sz w:val="20"/>
          <w:szCs w:val="20"/>
          <w:lang w:val="es-ES_tradnl" w:eastAsia="es-ES"/>
        </w:rPr>
        <w:t xml:space="preserve">Ante tal situación, </w:t>
      </w:r>
      <w:r w:rsidR="003A7F37" w:rsidRPr="005B31EF">
        <w:rPr>
          <w:rFonts w:asciiTheme="majorHAnsi" w:hAnsiTheme="majorHAnsi"/>
          <w:sz w:val="20"/>
          <w:szCs w:val="20"/>
          <w:lang w:val="es-ES_tradnl" w:eastAsia="es-ES"/>
        </w:rPr>
        <w:t xml:space="preserve">aduce que </w:t>
      </w:r>
      <w:r w:rsidRPr="005B31EF">
        <w:rPr>
          <w:rFonts w:asciiTheme="majorHAnsi" w:hAnsiTheme="majorHAnsi"/>
          <w:sz w:val="20"/>
          <w:szCs w:val="20"/>
          <w:lang w:val="es-ES_tradnl" w:eastAsia="es-ES"/>
        </w:rPr>
        <w:t xml:space="preserve">el 23 de junio de 2015 </w:t>
      </w:r>
      <w:r w:rsidR="00AC215E" w:rsidRPr="005B31EF">
        <w:rPr>
          <w:rFonts w:asciiTheme="majorHAnsi" w:hAnsiTheme="majorHAnsi"/>
          <w:sz w:val="20"/>
          <w:szCs w:val="20"/>
          <w:lang w:val="es-ES_tradnl" w:eastAsia="es-ES"/>
        </w:rPr>
        <w:t>su</w:t>
      </w:r>
      <w:r w:rsidRPr="005B31EF">
        <w:rPr>
          <w:rFonts w:asciiTheme="majorHAnsi" w:hAnsiTheme="majorHAnsi"/>
          <w:sz w:val="20"/>
          <w:szCs w:val="20"/>
          <w:lang w:val="es-ES_tradnl" w:eastAsia="es-ES"/>
        </w:rPr>
        <w:t xml:space="preserve"> abogada </w:t>
      </w:r>
      <w:r w:rsidR="004D4F3B" w:rsidRPr="005B31EF">
        <w:rPr>
          <w:rFonts w:asciiTheme="majorHAnsi" w:hAnsiTheme="majorHAnsi"/>
          <w:sz w:val="20"/>
          <w:szCs w:val="20"/>
          <w:lang w:val="es-ES_tradnl" w:eastAsia="es-ES"/>
        </w:rPr>
        <w:t>presentó</w:t>
      </w:r>
      <w:r w:rsidRPr="005B31EF">
        <w:rPr>
          <w:rFonts w:asciiTheme="majorHAnsi" w:hAnsiTheme="majorHAnsi"/>
          <w:sz w:val="20"/>
          <w:szCs w:val="20"/>
          <w:lang w:val="es-ES_tradnl" w:eastAsia="es-ES"/>
        </w:rPr>
        <w:t xml:space="preserve"> un segundo</w:t>
      </w:r>
      <w:r w:rsidR="00356F48" w:rsidRPr="005B31EF">
        <w:rPr>
          <w:rFonts w:asciiTheme="majorHAnsi" w:hAnsiTheme="majorHAnsi"/>
          <w:sz w:val="20"/>
          <w:szCs w:val="20"/>
          <w:lang w:val="es-ES_tradnl" w:eastAsia="es-ES"/>
        </w:rPr>
        <w:t xml:space="preserve"> hábeas corpus,</w:t>
      </w:r>
      <w:r w:rsidR="00FC0314" w:rsidRPr="005B31EF">
        <w:rPr>
          <w:rFonts w:asciiTheme="majorHAnsi" w:hAnsiTheme="majorHAnsi"/>
          <w:sz w:val="20"/>
          <w:szCs w:val="20"/>
          <w:lang w:val="es-ES_tradnl" w:eastAsia="es-ES"/>
        </w:rPr>
        <w:t xml:space="preserve"> cuestionando </w:t>
      </w:r>
      <w:r w:rsidR="00AC215E" w:rsidRPr="005B31EF">
        <w:rPr>
          <w:rFonts w:asciiTheme="majorHAnsi" w:hAnsiTheme="majorHAnsi"/>
          <w:sz w:val="20"/>
          <w:szCs w:val="20"/>
          <w:lang w:val="es-ES_tradnl" w:eastAsia="es-ES"/>
        </w:rPr>
        <w:t>sus</w:t>
      </w:r>
      <w:r w:rsidR="00FC0314" w:rsidRPr="005B31EF">
        <w:rPr>
          <w:rFonts w:asciiTheme="majorHAnsi" w:hAnsiTheme="majorHAnsi"/>
          <w:sz w:val="20"/>
          <w:szCs w:val="20"/>
          <w:lang w:val="es-ES_tradnl" w:eastAsia="es-ES"/>
        </w:rPr>
        <w:t xml:space="preserve"> condiciones carcelarias</w:t>
      </w:r>
      <w:r w:rsidR="001B0652" w:rsidRPr="005B31EF">
        <w:rPr>
          <w:rFonts w:asciiTheme="majorHAnsi" w:hAnsiTheme="majorHAnsi"/>
          <w:sz w:val="20"/>
          <w:szCs w:val="20"/>
          <w:lang w:val="es-ES_tradnl" w:eastAsia="es-ES"/>
        </w:rPr>
        <w:t>;</w:t>
      </w:r>
      <w:r w:rsidR="003A7F37" w:rsidRPr="005B31EF">
        <w:rPr>
          <w:rFonts w:asciiTheme="majorHAnsi" w:hAnsiTheme="majorHAnsi"/>
          <w:sz w:val="20"/>
          <w:szCs w:val="20"/>
          <w:lang w:val="es-ES_tradnl" w:eastAsia="es-ES"/>
        </w:rPr>
        <w:t xml:space="preserve"> </w:t>
      </w:r>
      <w:r w:rsidR="001B0652" w:rsidRPr="005B31EF">
        <w:rPr>
          <w:rFonts w:asciiTheme="majorHAnsi" w:hAnsiTheme="majorHAnsi"/>
          <w:sz w:val="20"/>
          <w:szCs w:val="20"/>
          <w:lang w:val="es-ES_tradnl" w:eastAsia="es-ES"/>
        </w:rPr>
        <w:t>planteó</w:t>
      </w:r>
      <w:r w:rsidR="003A7F37" w:rsidRPr="005B31EF">
        <w:rPr>
          <w:rFonts w:asciiTheme="majorHAnsi" w:hAnsiTheme="majorHAnsi"/>
          <w:sz w:val="20"/>
          <w:szCs w:val="20"/>
          <w:lang w:val="es-ES_tradnl" w:eastAsia="es-ES"/>
        </w:rPr>
        <w:t xml:space="preserve"> que existía un riesgo a su vida, pues tenía veintiséis días sin sus medicamentos para la hipertensión</w:t>
      </w:r>
      <w:r w:rsidR="00CD4825" w:rsidRPr="005B31EF">
        <w:rPr>
          <w:rFonts w:asciiTheme="majorHAnsi" w:hAnsiTheme="majorHAnsi"/>
          <w:sz w:val="20"/>
          <w:szCs w:val="20"/>
          <w:lang w:val="es-ES_tradnl" w:eastAsia="es-ES"/>
        </w:rPr>
        <w:t>,</w:t>
      </w:r>
      <w:r w:rsidR="003A7F37" w:rsidRPr="005B31EF">
        <w:rPr>
          <w:rFonts w:asciiTheme="majorHAnsi" w:hAnsiTheme="majorHAnsi"/>
          <w:sz w:val="20"/>
          <w:szCs w:val="20"/>
          <w:lang w:val="es-ES_tradnl" w:eastAsia="es-ES"/>
        </w:rPr>
        <w:t xml:space="preserve"> y </w:t>
      </w:r>
      <w:r w:rsidR="00CD4825" w:rsidRPr="005B31EF">
        <w:rPr>
          <w:rFonts w:asciiTheme="majorHAnsi" w:hAnsiTheme="majorHAnsi"/>
          <w:sz w:val="20"/>
          <w:szCs w:val="20"/>
          <w:lang w:val="es-ES_tradnl" w:eastAsia="es-ES"/>
        </w:rPr>
        <w:t>en</w:t>
      </w:r>
      <w:r w:rsidR="003A7F37" w:rsidRPr="005B31EF">
        <w:rPr>
          <w:rFonts w:asciiTheme="majorHAnsi" w:hAnsiTheme="majorHAnsi"/>
          <w:sz w:val="20"/>
          <w:szCs w:val="20"/>
          <w:lang w:val="es-ES_tradnl" w:eastAsia="es-ES"/>
        </w:rPr>
        <w:t xml:space="preserve"> condiciones </w:t>
      </w:r>
      <w:r w:rsidR="00CD4825" w:rsidRPr="005B31EF">
        <w:rPr>
          <w:rFonts w:asciiTheme="majorHAnsi" w:hAnsiTheme="majorHAnsi"/>
          <w:sz w:val="20"/>
          <w:szCs w:val="20"/>
          <w:lang w:val="es-ES_tradnl" w:eastAsia="es-ES"/>
        </w:rPr>
        <w:t>de detención que</w:t>
      </w:r>
      <w:r w:rsidR="003A7F37" w:rsidRPr="005B31EF">
        <w:rPr>
          <w:rFonts w:asciiTheme="majorHAnsi" w:hAnsiTheme="majorHAnsi"/>
          <w:sz w:val="20"/>
          <w:szCs w:val="20"/>
          <w:lang w:val="es-ES_tradnl" w:eastAsia="es-ES"/>
        </w:rPr>
        <w:t xml:space="preserve"> no resultaban adecuadas ni proporcionales a su situación.</w:t>
      </w:r>
      <w:r w:rsidR="003A7F37" w:rsidRPr="005B31EF">
        <w:rPr>
          <w:rFonts w:asciiTheme="majorHAnsi" w:hAnsiTheme="majorHAnsi"/>
          <w:sz w:val="20"/>
          <w:szCs w:val="20"/>
          <w:lang w:val="es-ES_tradnl"/>
        </w:rPr>
        <w:t xml:space="preserve"> </w:t>
      </w:r>
      <w:r w:rsidR="00FC0314" w:rsidRPr="005B31EF">
        <w:rPr>
          <w:rFonts w:asciiTheme="majorHAnsi" w:hAnsiTheme="majorHAnsi"/>
          <w:sz w:val="20"/>
          <w:szCs w:val="20"/>
          <w:lang w:val="es-ES_tradnl" w:eastAsia="es-ES"/>
        </w:rPr>
        <w:t xml:space="preserve">No obstante, </w:t>
      </w:r>
      <w:r w:rsidR="00356F48" w:rsidRPr="005B31EF">
        <w:rPr>
          <w:rFonts w:asciiTheme="majorHAnsi" w:hAnsiTheme="majorHAnsi"/>
          <w:sz w:val="20"/>
          <w:szCs w:val="20"/>
          <w:lang w:val="es-ES_tradnl" w:eastAsia="es-ES"/>
        </w:rPr>
        <w:t xml:space="preserve">tal acción no habría recibido una respuesta por parte de las autoridades judiciales. </w:t>
      </w:r>
    </w:p>
    <w:p w14:paraId="27D550B9" w14:textId="0CBABD78" w:rsidR="00AB64D3" w:rsidRPr="005B31EF" w:rsidRDefault="00215A2E" w:rsidP="001E6496">
      <w:pPr>
        <w:numPr>
          <w:ilvl w:val="0"/>
          <w:numId w:val="59"/>
        </w:numPr>
        <w:suppressAutoHyphens/>
        <w:spacing w:after="240"/>
        <w:jc w:val="both"/>
        <w:rPr>
          <w:rFonts w:asciiTheme="majorHAnsi" w:hAnsiTheme="majorHAnsi"/>
          <w:sz w:val="20"/>
          <w:szCs w:val="20"/>
          <w:lang w:val="es-ES_tradnl"/>
        </w:rPr>
      </w:pPr>
      <w:r w:rsidRPr="005B31EF">
        <w:rPr>
          <w:rFonts w:asciiTheme="majorHAnsi" w:hAnsiTheme="majorHAnsi"/>
          <w:sz w:val="20"/>
          <w:szCs w:val="20"/>
          <w:lang w:val="es-ES_tradnl" w:eastAsia="es-ES"/>
        </w:rPr>
        <w:t>Sin perjuicio de ello</w:t>
      </w:r>
      <w:r w:rsidR="0030763A" w:rsidRPr="005B31EF">
        <w:rPr>
          <w:rFonts w:asciiTheme="majorHAnsi" w:hAnsiTheme="majorHAnsi"/>
          <w:sz w:val="20"/>
          <w:szCs w:val="20"/>
          <w:lang w:val="es-ES_tradnl" w:eastAsia="es-ES"/>
        </w:rPr>
        <w:t xml:space="preserve">, </w:t>
      </w:r>
      <w:r w:rsidR="00356F48" w:rsidRPr="005B31EF">
        <w:rPr>
          <w:rFonts w:asciiTheme="majorHAnsi" w:hAnsiTheme="majorHAnsi"/>
          <w:sz w:val="20"/>
          <w:szCs w:val="20"/>
          <w:lang w:val="es-ES_tradnl" w:eastAsia="es-ES"/>
        </w:rPr>
        <w:t xml:space="preserve">aduce </w:t>
      </w:r>
      <w:r w:rsidR="00797D00" w:rsidRPr="005B31EF">
        <w:rPr>
          <w:rFonts w:asciiTheme="majorHAnsi" w:hAnsiTheme="majorHAnsi"/>
          <w:sz w:val="20"/>
          <w:szCs w:val="20"/>
          <w:lang w:val="es-ES_tradnl" w:eastAsia="es-ES"/>
        </w:rPr>
        <w:t xml:space="preserve">que </w:t>
      </w:r>
      <w:r w:rsidR="00A1065F" w:rsidRPr="005B31EF">
        <w:rPr>
          <w:rFonts w:asciiTheme="majorHAnsi" w:hAnsiTheme="majorHAnsi"/>
          <w:sz w:val="20"/>
          <w:szCs w:val="20"/>
          <w:lang w:val="es-ES_tradnl" w:eastAsia="es-ES"/>
        </w:rPr>
        <w:t xml:space="preserve">el 17 de julio de 2015 su abogada presentó un incidente de nulidad </w:t>
      </w:r>
      <w:r w:rsidR="0064339E" w:rsidRPr="005B31EF">
        <w:rPr>
          <w:rFonts w:asciiTheme="majorHAnsi" w:hAnsiTheme="majorHAnsi"/>
          <w:sz w:val="20"/>
          <w:szCs w:val="20"/>
          <w:lang w:val="es-ES_tradnl" w:eastAsia="es-ES"/>
        </w:rPr>
        <w:t xml:space="preserve">ante la Corte Suprema </w:t>
      </w:r>
      <w:r w:rsidR="00A1065F" w:rsidRPr="005B31EF">
        <w:rPr>
          <w:rFonts w:asciiTheme="majorHAnsi" w:hAnsiTheme="majorHAnsi"/>
          <w:sz w:val="20"/>
          <w:szCs w:val="20"/>
          <w:lang w:val="es-ES_tradnl" w:eastAsia="es-ES"/>
        </w:rPr>
        <w:t>contra la solicitud formal de extradición, cuestionando</w:t>
      </w:r>
      <w:r w:rsidR="004D1829" w:rsidRPr="005B31EF">
        <w:rPr>
          <w:rFonts w:asciiTheme="majorHAnsi" w:hAnsiTheme="majorHAnsi"/>
          <w:sz w:val="20"/>
          <w:szCs w:val="20"/>
          <w:lang w:val="es-ES_tradnl" w:eastAsia="es-ES"/>
        </w:rPr>
        <w:t>:</w:t>
      </w:r>
      <w:r w:rsidR="00AC215E" w:rsidRPr="005B31EF">
        <w:rPr>
          <w:rFonts w:asciiTheme="majorHAnsi" w:hAnsiTheme="majorHAnsi"/>
          <w:sz w:val="20"/>
          <w:szCs w:val="20"/>
          <w:lang w:val="es-ES_tradnl" w:eastAsia="es-ES"/>
        </w:rPr>
        <w:t xml:space="preserve"> i) </w:t>
      </w:r>
      <w:r w:rsidR="001E6496" w:rsidRPr="005B31EF">
        <w:rPr>
          <w:rFonts w:asciiTheme="majorHAnsi" w:hAnsiTheme="majorHAnsi"/>
          <w:sz w:val="20"/>
          <w:szCs w:val="20"/>
          <w:lang w:val="es-ES_tradnl" w:eastAsia="es-ES"/>
        </w:rPr>
        <w:t xml:space="preserve">que </w:t>
      </w:r>
      <w:r w:rsidR="00AC215E" w:rsidRPr="005B31EF">
        <w:rPr>
          <w:rFonts w:asciiTheme="majorHAnsi" w:hAnsiTheme="majorHAnsi"/>
          <w:sz w:val="20"/>
          <w:szCs w:val="20"/>
          <w:lang w:val="es-ES_tradnl" w:eastAsia="es-ES"/>
        </w:rPr>
        <w:t>había sido privado de su libertad de forma arbitraria, pues no existía ninguna orden formal de detención en su contra</w:t>
      </w:r>
      <w:r w:rsidR="008B6B18" w:rsidRPr="005B31EF">
        <w:rPr>
          <w:rFonts w:asciiTheme="majorHAnsi" w:hAnsiTheme="majorHAnsi"/>
          <w:sz w:val="20"/>
          <w:szCs w:val="20"/>
          <w:lang w:val="es-ES_tradnl" w:eastAsia="es-ES"/>
        </w:rPr>
        <w:t>,</w:t>
      </w:r>
      <w:r w:rsidR="00AC215E" w:rsidRPr="005B31EF">
        <w:rPr>
          <w:rFonts w:asciiTheme="majorHAnsi" w:hAnsiTheme="majorHAnsi"/>
          <w:sz w:val="20"/>
          <w:szCs w:val="20"/>
          <w:lang w:val="es-ES_tradnl" w:eastAsia="es-ES"/>
        </w:rPr>
        <w:t xml:space="preserve"> y </w:t>
      </w:r>
      <w:r w:rsidR="008B6B18" w:rsidRPr="005B31EF">
        <w:rPr>
          <w:rFonts w:asciiTheme="majorHAnsi" w:hAnsiTheme="majorHAnsi"/>
          <w:sz w:val="20"/>
          <w:szCs w:val="20"/>
          <w:lang w:val="es-ES_tradnl" w:eastAsia="es-ES"/>
        </w:rPr>
        <w:t xml:space="preserve">que </w:t>
      </w:r>
      <w:r w:rsidR="00AC215E" w:rsidRPr="005B31EF">
        <w:rPr>
          <w:rFonts w:asciiTheme="majorHAnsi" w:hAnsiTheme="majorHAnsi"/>
          <w:sz w:val="20"/>
          <w:szCs w:val="20"/>
          <w:lang w:val="es-ES_tradnl" w:eastAsia="es-ES"/>
        </w:rPr>
        <w:t>tampoco se le informó de las razones que motivaban tal accionar</w:t>
      </w:r>
      <w:r w:rsidR="004D1829" w:rsidRPr="005B31EF">
        <w:rPr>
          <w:rFonts w:asciiTheme="majorHAnsi" w:hAnsiTheme="majorHAnsi"/>
          <w:sz w:val="20"/>
          <w:szCs w:val="20"/>
          <w:lang w:val="es-ES_tradnl" w:eastAsia="es-ES"/>
        </w:rPr>
        <w:t>;</w:t>
      </w:r>
      <w:r w:rsidR="00AC215E" w:rsidRPr="005B31EF">
        <w:rPr>
          <w:rFonts w:asciiTheme="majorHAnsi" w:hAnsiTheme="majorHAnsi"/>
          <w:sz w:val="20"/>
          <w:szCs w:val="20"/>
          <w:lang w:val="es-ES_tradnl" w:eastAsia="es-ES"/>
        </w:rPr>
        <w:t xml:space="preserve"> ii) </w:t>
      </w:r>
      <w:r w:rsidR="001E6496" w:rsidRPr="005B31EF">
        <w:rPr>
          <w:rFonts w:asciiTheme="majorHAnsi" w:hAnsiTheme="majorHAnsi"/>
          <w:sz w:val="20"/>
          <w:szCs w:val="20"/>
          <w:lang w:val="es-ES_tradnl" w:eastAsia="es-ES"/>
        </w:rPr>
        <w:t xml:space="preserve">que </w:t>
      </w:r>
      <w:r w:rsidR="00AC215E" w:rsidRPr="005B31EF">
        <w:rPr>
          <w:rFonts w:asciiTheme="majorHAnsi" w:hAnsiTheme="majorHAnsi"/>
          <w:sz w:val="20"/>
          <w:szCs w:val="20"/>
          <w:lang w:val="es-ES_tradnl" w:eastAsia="es-ES"/>
        </w:rPr>
        <w:t>ya se había cumplido el plazo máximo para su detención</w:t>
      </w:r>
      <w:r w:rsidR="00BB1854" w:rsidRPr="005B31EF">
        <w:rPr>
          <w:rFonts w:asciiTheme="majorHAnsi" w:hAnsiTheme="majorHAnsi"/>
          <w:sz w:val="20"/>
          <w:szCs w:val="20"/>
          <w:lang w:val="es-ES_tradnl" w:eastAsia="es-ES"/>
        </w:rPr>
        <w:t>,</w:t>
      </w:r>
      <w:r w:rsidR="00AC215E" w:rsidRPr="005B31EF">
        <w:rPr>
          <w:rFonts w:asciiTheme="majorHAnsi" w:hAnsiTheme="majorHAnsi"/>
          <w:sz w:val="20"/>
          <w:szCs w:val="20"/>
          <w:lang w:val="es-ES_tradnl" w:eastAsia="es-ES"/>
        </w:rPr>
        <w:t xml:space="preserve"> y, sin embargo, aún se encontraba privado de su libertad; iii)</w:t>
      </w:r>
      <w:r w:rsidR="001E6496" w:rsidRPr="005B31EF">
        <w:rPr>
          <w:rFonts w:asciiTheme="majorHAnsi" w:hAnsiTheme="majorHAnsi"/>
          <w:sz w:val="20"/>
          <w:szCs w:val="20"/>
          <w:lang w:val="es-ES_tradnl" w:eastAsia="es-ES"/>
        </w:rPr>
        <w:t xml:space="preserve"> que se afectó su derecho a la </w:t>
      </w:r>
      <w:r w:rsidR="001E6496" w:rsidRPr="005B31EF">
        <w:rPr>
          <w:rFonts w:asciiTheme="majorHAnsi" w:hAnsiTheme="majorHAnsi"/>
          <w:sz w:val="20"/>
          <w:szCs w:val="20"/>
          <w:lang w:val="es-ES_tradnl" w:eastAsia="es-ES"/>
        </w:rPr>
        <w:lastRenderedPageBreak/>
        <w:t>defensa, pues se le prohibió establecer todo tipo de comunicación durante los primeros días de su detención</w:t>
      </w:r>
      <w:r w:rsidR="00BB1854" w:rsidRPr="005B31EF">
        <w:rPr>
          <w:rFonts w:asciiTheme="majorHAnsi" w:hAnsiTheme="majorHAnsi"/>
          <w:sz w:val="20"/>
          <w:szCs w:val="20"/>
          <w:lang w:val="es-ES_tradnl" w:eastAsia="es-ES"/>
        </w:rPr>
        <w:t>,</w:t>
      </w:r>
      <w:r w:rsidR="001E6496" w:rsidRPr="005B31EF">
        <w:rPr>
          <w:rFonts w:asciiTheme="majorHAnsi" w:hAnsiTheme="majorHAnsi"/>
          <w:sz w:val="20"/>
          <w:szCs w:val="20"/>
          <w:lang w:val="es-ES_tradnl" w:eastAsia="es-ES"/>
        </w:rPr>
        <w:t xml:space="preserve"> y posteriormente no se le permitió a su representante ingresar al lugar donde estaba detenido; y vi)</w:t>
      </w:r>
      <w:r w:rsidR="001E6496" w:rsidRPr="005B31EF">
        <w:rPr>
          <w:rFonts w:asciiTheme="majorHAnsi" w:hAnsiTheme="majorHAnsi"/>
          <w:sz w:val="20"/>
          <w:szCs w:val="20"/>
          <w:lang w:val="es-ES_tradnl"/>
        </w:rPr>
        <w:t xml:space="preserve"> que su procedimiento de extradición estaba siendo realizado de manera irregular</w:t>
      </w:r>
      <w:r w:rsidR="00A1065F" w:rsidRPr="005B31EF">
        <w:rPr>
          <w:rFonts w:asciiTheme="majorHAnsi" w:hAnsiTheme="majorHAnsi"/>
          <w:sz w:val="20"/>
          <w:szCs w:val="20"/>
          <w:lang w:val="es-ES_tradnl" w:eastAsia="es-ES"/>
        </w:rPr>
        <w:t xml:space="preserve">. No obstante, refiere que </w:t>
      </w:r>
      <w:r w:rsidR="0064339E" w:rsidRPr="005B31EF">
        <w:rPr>
          <w:rFonts w:asciiTheme="majorHAnsi" w:hAnsiTheme="majorHAnsi"/>
          <w:sz w:val="20"/>
          <w:szCs w:val="20"/>
          <w:lang w:val="es-ES_tradnl" w:eastAsia="es-ES"/>
        </w:rPr>
        <w:t>esta instancia</w:t>
      </w:r>
      <w:r w:rsidR="00A1065F" w:rsidRPr="005B31EF">
        <w:rPr>
          <w:rFonts w:asciiTheme="majorHAnsi" w:hAnsiTheme="majorHAnsi"/>
          <w:sz w:val="20"/>
          <w:szCs w:val="20"/>
          <w:lang w:val="es-ES_tradnl" w:eastAsia="es-ES"/>
        </w:rPr>
        <w:t xml:space="preserve"> nunca tramit</w:t>
      </w:r>
      <w:r w:rsidR="0064339E" w:rsidRPr="005B31EF">
        <w:rPr>
          <w:rFonts w:asciiTheme="majorHAnsi" w:hAnsiTheme="majorHAnsi"/>
          <w:sz w:val="20"/>
          <w:szCs w:val="20"/>
          <w:lang w:val="es-ES_tradnl" w:eastAsia="es-ES"/>
        </w:rPr>
        <w:t>ó</w:t>
      </w:r>
      <w:r w:rsidR="00A1065F" w:rsidRPr="005B31EF">
        <w:rPr>
          <w:rFonts w:asciiTheme="majorHAnsi" w:hAnsiTheme="majorHAnsi"/>
          <w:sz w:val="20"/>
          <w:szCs w:val="20"/>
          <w:lang w:val="es-ES_tradnl" w:eastAsia="es-ES"/>
        </w:rPr>
        <w:t xml:space="preserve"> ni resolvió </w:t>
      </w:r>
      <w:r w:rsidR="00E5467D" w:rsidRPr="005B31EF">
        <w:rPr>
          <w:rFonts w:asciiTheme="majorHAnsi" w:hAnsiTheme="majorHAnsi"/>
          <w:sz w:val="20"/>
          <w:szCs w:val="20"/>
          <w:lang w:val="es-ES_tradnl" w:eastAsia="es-ES"/>
        </w:rPr>
        <w:t>este</w:t>
      </w:r>
      <w:r w:rsidR="00A1065F" w:rsidRPr="005B31EF">
        <w:rPr>
          <w:rFonts w:asciiTheme="majorHAnsi" w:hAnsiTheme="majorHAnsi"/>
          <w:sz w:val="20"/>
          <w:szCs w:val="20"/>
          <w:lang w:val="es-ES_tradnl" w:eastAsia="es-ES"/>
        </w:rPr>
        <w:t xml:space="preserve"> recurso. </w:t>
      </w:r>
      <w:r w:rsidR="00912738" w:rsidRPr="005B31EF">
        <w:rPr>
          <w:rFonts w:asciiTheme="majorHAnsi" w:hAnsiTheme="majorHAnsi"/>
          <w:sz w:val="20"/>
          <w:szCs w:val="20"/>
          <w:lang w:val="es-ES_tradnl" w:eastAsia="es-ES"/>
        </w:rPr>
        <w:t xml:space="preserve">En razón a ello, </w:t>
      </w:r>
      <w:r w:rsidR="00F56772" w:rsidRPr="005B31EF">
        <w:rPr>
          <w:rFonts w:asciiTheme="majorHAnsi" w:hAnsiTheme="majorHAnsi"/>
          <w:sz w:val="20"/>
          <w:szCs w:val="20"/>
          <w:lang w:val="es-ES_tradnl" w:eastAsia="es-ES"/>
        </w:rPr>
        <w:t xml:space="preserve">el Sr. Gil Trejos </w:t>
      </w:r>
      <w:r w:rsidR="00912738" w:rsidRPr="005B31EF">
        <w:rPr>
          <w:rFonts w:asciiTheme="majorHAnsi" w:hAnsiTheme="majorHAnsi"/>
          <w:sz w:val="20"/>
          <w:szCs w:val="20"/>
          <w:lang w:val="es-ES_tradnl" w:eastAsia="es-ES"/>
        </w:rPr>
        <w:t xml:space="preserve">considera que las autoridades lo extraditaron sin un debido proceso. </w:t>
      </w:r>
    </w:p>
    <w:p w14:paraId="172BEC6F" w14:textId="1561A3A5" w:rsidR="00AB64D3" w:rsidRPr="005B31EF" w:rsidRDefault="004A4130" w:rsidP="00AB64D3">
      <w:pPr>
        <w:numPr>
          <w:ilvl w:val="0"/>
          <w:numId w:val="59"/>
        </w:numPr>
        <w:suppressAutoHyphens/>
        <w:spacing w:after="240"/>
        <w:jc w:val="both"/>
        <w:rPr>
          <w:rFonts w:asciiTheme="majorHAnsi" w:hAnsiTheme="majorHAnsi"/>
          <w:sz w:val="20"/>
          <w:szCs w:val="20"/>
          <w:lang w:val="es-ES_tradnl"/>
        </w:rPr>
      </w:pPr>
      <w:r w:rsidRPr="005B31EF">
        <w:rPr>
          <w:rFonts w:asciiTheme="majorHAnsi" w:hAnsiTheme="majorHAnsi"/>
          <w:sz w:val="20"/>
          <w:szCs w:val="20"/>
          <w:lang w:val="es-ES_tradnl" w:eastAsia="es-ES"/>
        </w:rPr>
        <w:t xml:space="preserve">Finalmente, </w:t>
      </w:r>
      <w:r w:rsidR="00356F48" w:rsidRPr="005B31EF">
        <w:rPr>
          <w:rFonts w:asciiTheme="majorHAnsi" w:hAnsiTheme="majorHAnsi"/>
          <w:sz w:val="20"/>
          <w:szCs w:val="20"/>
          <w:lang w:val="es-ES_tradnl" w:eastAsia="es-ES"/>
        </w:rPr>
        <w:t>indica</w:t>
      </w:r>
      <w:r w:rsidRPr="005B31EF">
        <w:rPr>
          <w:rFonts w:asciiTheme="majorHAnsi" w:hAnsiTheme="majorHAnsi"/>
          <w:sz w:val="20"/>
          <w:szCs w:val="20"/>
          <w:lang w:val="es-ES_tradnl" w:eastAsia="es-ES"/>
        </w:rPr>
        <w:t xml:space="preserve"> que mientras estuvo privado de su libertad no pudo denunciar las </w:t>
      </w:r>
      <w:r w:rsidR="00AC03DE" w:rsidRPr="005B31EF">
        <w:rPr>
          <w:rFonts w:asciiTheme="majorHAnsi" w:hAnsiTheme="majorHAnsi"/>
          <w:sz w:val="20"/>
          <w:szCs w:val="20"/>
          <w:lang w:val="es-ES_tradnl" w:eastAsia="es-ES"/>
        </w:rPr>
        <w:t>prácticas</w:t>
      </w:r>
      <w:r w:rsidRPr="005B31EF">
        <w:rPr>
          <w:rFonts w:asciiTheme="majorHAnsi" w:hAnsiTheme="majorHAnsi"/>
          <w:sz w:val="20"/>
          <w:szCs w:val="20"/>
          <w:lang w:val="es-ES_tradnl" w:eastAsia="es-ES"/>
        </w:rPr>
        <w:t xml:space="preserve"> de tortura que sufrió, dado que </w:t>
      </w:r>
      <w:r w:rsidR="00AC03DE" w:rsidRPr="005B31EF">
        <w:rPr>
          <w:rFonts w:asciiTheme="majorHAnsi" w:hAnsiTheme="majorHAnsi"/>
          <w:sz w:val="20"/>
          <w:szCs w:val="20"/>
          <w:lang w:val="es-ES_tradnl" w:eastAsia="es-ES"/>
        </w:rPr>
        <w:t>tenía</w:t>
      </w:r>
      <w:r w:rsidRPr="005B31EF">
        <w:rPr>
          <w:rFonts w:asciiTheme="majorHAnsi" w:hAnsiTheme="majorHAnsi"/>
          <w:sz w:val="20"/>
          <w:szCs w:val="20"/>
          <w:lang w:val="es-ES_tradnl" w:eastAsia="es-ES"/>
        </w:rPr>
        <w:t xml:space="preserve"> miedo de mencionar estos acontecimientos producto de las amenazas que recibió por parte de los </w:t>
      </w:r>
      <w:r w:rsidR="00921F7C" w:rsidRPr="005B31EF">
        <w:rPr>
          <w:rFonts w:asciiTheme="majorHAnsi" w:hAnsiTheme="majorHAnsi"/>
          <w:sz w:val="20"/>
          <w:szCs w:val="20"/>
          <w:lang w:val="es-ES_tradnl" w:eastAsia="es-ES"/>
        </w:rPr>
        <w:t>policías</w:t>
      </w:r>
      <w:r w:rsidRPr="005B31EF">
        <w:rPr>
          <w:rFonts w:asciiTheme="majorHAnsi" w:hAnsiTheme="majorHAnsi"/>
          <w:sz w:val="20"/>
          <w:szCs w:val="20"/>
          <w:lang w:val="es-ES_tradnl" w:eastAsia="es-ES"/>
        </w:rPr>
        <w:t xml:space="preserve"> que lo custodiaban. </w:t>
      </w:r>
      <w:r w:rsidR="005E64B5" w:rsidRPr="005B31EF">
        <w:rPr>
          <w:rFonts w:asciiTheme="majorHAnsi" w:hAnsiTheme="majorHAnsi"/>
          <w:sz w:val="20"/>
          <w:szCs w:val="20"/>
          <w:lang w:val="es-ES_tradnl" w:eastAsia="es-ES"/>
        </w:rPr>
        <w:t xml:space="preserve">Agrega </w:t>
      </w:r>
      <w:r w:rsidR="00CC7E8A" w:rsidRPr="005B31EF">
        <w:rPr>
          <w:rFonts w:asciiTheme="majorHAnsi" w:hAnsiTheme="majorHAnsi"/>
          <w:sz w:val="20"/>
          <w:szCs w:val="20"/>
          <w:lang w:val="es-ES_tradnl" w:eastAsia="es-ES"/>
        </w:rPr>
        <w:t>que,</w:t>
      </w:r>
      <w:r w:rsidR="005E64B5" w:rsidRPr="005B31EF">
        <w:rPr>
          <w:rFonts w:asciiTheme="majorHAnsi" w:hAnsiTheme="majorHAnsi"/>
          <w:sz w:val="20"/>
          <w:szCs w:val="20"/>
          <w:lang w:val="es-ES_tradnl" w:eastAsia="es-ES"/>
        </w:rPr>
        <w:t xml:space="preserve"> durante su reunión con el Cónsul de Costa Rica, siempre estuvo rodeado por dichos funcionarios, por lo cual apenas pudo firmar un documento en el que hizo referencia a los actos de tortura que sufrió. </w:t>
      </w:r>
      <w:r w:rsidRPr="005B31EF">
        <w:rPr>
          <w:rFonts w:asciiTheme="majorHAnsi" w:hAnsiTheme="majorHAnsi"/>
          <w:sz w:val="20"/>
          <w:szCs w:val="20"/>
          <w:lang w:val="es-ES_tradnl" w:eastAsia="es-ES"/>
        </w:rPr>
        <w:t xml:space="preserve">De este modo, afirma que el Estado miente al </w:t>
      </w:r>
      <w:r w:rsidR="00C74538" w:rsidRPr="005B31EF">
        <w:rPr>
          <w:rFonts w:asciiTheme="majorHAnsi" w:hAnsiTheme="majorHAnsi"/>
          <w:sz w:val="20"/>
          <w:szCs w:val="20"/>
          <w:lang w:val="es-ES_tradnl" w:eastAsia="es-ES"/>
        </w:rPr>
        <w:t>señalar</w:t>
      </w:r>
      <w:r w:rsidRPr="005B31EF">
        <w:rPr>
          <w:rFonts w:asciiTheme="majorHAnsi" w:hAnsiTheme="majorHAnsi"/>
          <w:sz w:val="20"/>
          <w:szCs w:val="20"/>
          <w:lang w:val="es-ES_tradnl" w:eastAsia="es-ES"/>
        </w:rPr>
        <w:t xml:space="preserve"> que los funcionarios a cargo de su detención nunca lo golpearon</w:t>
      </w:r>
      <w:r w:rsidR="00C74538" w:rsidRPr="005B31EF">
        <w:rPr>
          <w:rFonts w:asciiTheme="majorHAnsi" w:hAnsiTheme="majorHAnsi"/>
          <w:sz w:val="20"/>
          <w:szCs w:val="20"/>
          <w:lang w:val="es-ES_tradnl" w:eastAsia="es-ES"/>
        </w:rPr>
        <w:t xml:space="preserve"> y</w:t>
      </w:r>
      <w:r w:rsidRPr="005B31EF">
        <w:rPr>
          <w:rFonts w:asciiTheme="majorHAnsi" w:hAnsiTheme="majorHAnsi"/>
          <w:sz w:val="20"/>
          <w:szCs w:val="20"/>
          <w:lang w:val="es-ES_tradnl" w:eastAsia="es-ES"/>
        </w:rPr>
        <w:t xml:space="preserve"> que</w:t>
      </w:r>
      <w:r w:rsidR="00C74538" w:rsidRPr="005B31EF">
        <w:rPr>
          <w:rFonts w:asciiTheme="majorHAnsi" w:hAnsiTheme="majorHAnsi"/>
          <w:sz w:val="20"/>
          <w:szCs w:val="20"/>
          <w:lang w:val="es-ES_tradnl" w:eastAsia="es-ES"/>
        </w:rPr>
        <w:t>, en realidad,</w:t>
      </w:r>
      <w:r w:rsidRPr="005B31EF">
        <w:rPr>
          <w:rFonts w:asciiTheme="majorHAnsi" w:hAnsiTheme="majorHAnsi"/>
          <w:sz w:val="20"/>
          <w:szCs w:val="20"/>
          <w:lang w:val="es-ES_tradnl" w:eastAsia="es-ES"/>
        </w:rPr>
        <w:t xml:space="preserve"> simplemente no </w:t>
      </w:r>
      <w:r w:rsidR="00C74538" w:rsidRPr="005B31EF">
        <w:rPr>
          <w:rFonts w:asciiTheme="majorHAnsi" w:hAnsiTheme="majorHAnsi"/>
          <w:sz w:val="20"/>
          <w:szCs w:val="20"/>
          <w:lang w:val="es-ES_tradnl" w:eastAsia="es-ES"/>
        </w:rPr>
        <w:t>pudo denunciar lo ocurrido</w:t>
      </w:r>
      <w:r w:rsidRPr="005B31EF">
        <w:rPr>
          <w:rFonts w:asciiTheme="majorHAnsi" w:hAnsiTheme="majorHAnsi"/>
          <w:sz w:val="20"/>
          <w:szCs w:val="20"/>
          <w:lang w:val="es-ES_tradnl" w:eastAsia="es-ES"/>
        </w:rPr>
        <w:t xml:space="preserve"> mientras se encontraba detenido. </w:t>
      </w:r>
    </w:p>
    <w:p w14:paraId="028B72C0" w14:textId="1AF2B9C3" w:rsidR="00AB64D3" w:rsidRPr="005B31EF" w:rsidRDefault="00AB64D3" w:rsidP="00AB64D3">
      <w:pPr>
        <w:pStyle w:val="ListParagraph"/>
        <w:suppressAutoHyphens/>
        <w:spacing w:before="240" w:after="240"/>
        <w:jc w:val="both"/>
        <w:rPr>
          <w:rFonts w:asciiTheme="majorHAnsi" w:hAnsiTheme="majorHAnsi"/>
          <w:i/>
          <w:iCs/>
          <w:sz w:val="20"/>
          <w:szCs w:val="20"/>
          <w:lang w:val="es-ES_tradnl"/>
        </w:rPr>
      </w:pPr>
      <w:r w:rsidRPr="005B31EF">
        <w:rPr>
          <w:rFonts w:asciiTheme="majorHAnsi" w:hAnsiTheme="majorHAnsi"/>
          <w:i/>
          <w:iCs/>
          <w:sz w:val="20"/>
          <w:szCs w:val="20"/>
          <w:lang w:val="es-ES_tradnl"/>
        </w:rPr>
        <w:t>Pronunciamiento del Grupo de Trabajo sobre Detención Arbitraria del Consejo de Derechos Humanos</w:t>
      </w:r>
    </w:p>
    <w:p w14:paraId="212DA296" w14:textId="36C52577" w:rsidR="00AB64D3" w:rsidRPr="005B31EF" w:rsidRDefault="00D34DC9" w:rsidP="00AB64D3">
      <w:pPr>
        <w:numPr>
          <w:ilvl w:val="0"/>
          <w:numId w:val="59"/>
        </w:numPr>
        <w:suppressAutoHyphens/>
        <w:spacing w:after="240"/>
        <w:jc w:val="both"/>
        <w:rPr>
          <w:rFonts w:asciiTheme="majorHAnsi" w:hAnsiTheme="majorHAnsi"/>
          <w:sz w:val="20"/>
          <w:szCs w:val="20"/>
          <w:lang w:val="es-ES_tradnl"/>
        </w:rPr>
      </w:pPr>
      <w:r w:rsidRPr="005B31EF">
        <w:rPr>
          <w:rFonts w:asciiTheme="majorHAnsi" w:hAnsiTheme="majorHAnsi"/>
          <w:sz w:val="20"/>
          <w:szCs w:val="20"/>
          <w:lang w:val="es-ES_tradnl" w:eastAsia="es-ES"/>
        </w:rPr>
        <w:t>El Sr. Gil Trejos indica</w:t>
      </w:r>
      <w:r w:rsidR="0030763A" w:rsidRPr="005B31EF">
        <w:rPr>
          <w:rFonts w:asciiTheme="majorHAnsi" w:hAnsiTheme="majorHAnsi"/>
          <w:sz w:val="20"/>
          <w:szCs w:val="20"/>
          <w:lang w:val="es-ES_tradnl" w:eastAsia="es-ES"/>
        </w:rPr>
        <w:t xml:space="preserve"> que </w:t>
      </w:r>
      <w:r w:rsidR="0013237D" w:rsidRPr="005B31EF">
        <w:rPr>
          <w:rFonts w:asciiTheme="majorHAnsi" w:hAnsiTheme="majorHAnsi"/>
          <w:sz w:val="20"/>
          <w:szCs w:val="20"/>
          <w:lang w:val="es-ES_tradnl" w:eastAsia="es-ES"/>
        </w:rPr>
        <w:t>el</w:t>
      </w:r>
      <w:r w:rsidR="000F550C" w:rsidRPr="005B31EF">
        <w:rPr>
          <w:rFonts w:asciiTheme="majorHAnsi" w:hAnsiTheme="majorHAnsi"/>
          <w:sz w:val="20"/>
          <w:szCs w:val="20"/>
          <w:lang w:val="es-ES_tradnl" w:eastAsia="es-ES"/>
        </w:rPr>
        <w:t xml:space="preserve"> 23 de mayo de 2016 el</w:t>
      </w:r>
      <w:r w:rsidR="0013237D" w:rsidRPr="005B31EF">
        <w:rPr>
          <w:rFonts w:asciiTheme="majorHAnsi" w:hAnsiTheme="majorHAnsi"/>
          <w:sz w:val="20"/>
          <w:szCs w:val="20"/>
          <w:lang w:val="es-ES_tradnl" w:eastAsia="es-ES"/>
        </w:rPr>
        <w:t xml:space="preserve"> Grupo de Trabajo sobre Detención Arbitraria del Consejo de Derechos Humanos </w:t>
      </w:r>
      <w:r w:rsidR="00EE7EC8" w:rsidRPr="005B31EF">
        <w:rPr>
          <w:rFonts w:asciiTheme="majorHAnsi" w:hAnsiTheme="majorHAnsi"/>
          <w:sz w:val="20"/>
          <w:szCs w:val="20"/>
          <w:lang w:val="es-ES_tradnl" w:eastAsia="es-ES"/>
        </w:rPr>
        <w:t xml:space="preserve">de la ONU </w:t>
      </w:r>
      <w:r w:rsidR="000F550C" w:rsidRPr="005B31EF">
        <w:rPr>
          <w:rFonts w:asciiTheme="majorHAnsi" w:hAnsiTheme="majorHAnsi"/>
          <w:sz w:val="20"/>
          <w:szCs w:val="20"/>
          <w:lang w:val="es-ES_tradnl" w:eastAsia="es-ES"/>
        </w:rPr>
        <w:t>concluyó</w:t>
      </w:r>
      <w:r w:rsidR="00861E23" w:rsidRPr="005B31EF">
        <w:rPr>
          <w:rFonts w:asciiTheme="majorHAnsi" w:hAnsiTheme="majorHAnsi"/>
          <w:sz w:val="20"/>
          <w:szCs w:val="20"/>
          <w:lang w:val="es-ES_tradnl" w:eastAsia="es-ES"/>
        </w:rPr>
        <w:t xml:space="preserve"> que</w:t>
      </w:r>
      <w:r w:rsidR="001F38A5" w:rsidRPr="005B31EF">
        <w:rPr>
          <w:rFonts w:asciiTheme="majorHAnsi" w:hAnsiTheme="majorHAnsi"/>
          <w:sz w:val="20"/>
          <w:szCs w:val="20"/>
          <w:lang w:val="es-ES_tradnl" w:eastAsia="es-ES"/>
        </w:rPr>
        <w:t xml:space="preserve"> </w:t>
      </w:r>
      <w:r w:rsidR="00451EF4" w:rsidRPr="005B31EF">
        <w:rPr>
          <w:rFonts w:asciiTheme="majorHAnsi" w:hAnsiTheme="majorHAnsi"/>
          <w:sz w:val="20"/>
          <w:szCs w:val="20"/>
          <w:lang w:val="es-ES_tradnl" w:eastAsia="es-ES"/>
        </w:rPr>
        <w:t>la presunta víctima sufrió una detención arbitraria</w:t>
      </w:r>
      <w:r w:rsidR="001F38A5" w:rsidRPr="005B31EF">
        <w:rPr>
          <w:rFonts w:asciiTheme="majorHAnsi" w:hAnsiTheme="majorHAnsi"/>
          <w:sz w:val="20"/>
          <w:szCs w:val="20"/>
          <w:lang w:val="es-ES_tradnl" w:eastAsia="es-ES"/>
        </w:rPr>
        <w:t>. Para llegar a tal conclusión, el citado grupo de trabajo consideró lo siguiente</w:t>
      </w:r>
      <w:r w:rsidR="00451EF4" w:rsidRPr="005B31EF">
        <w:rPr>
          <w:rFonts w:asciiTheme="majorHAnsi" w:hAnsiTheme="majorHAnsi"/>
          <w:sz w:val="20"/>
          <w:szCs w:val="20"/>
          <w:lang w:val="es-ES_tradnl" w:eastAsia="es-ES"/>
        </w:rPr>
        <w:t>:</w:t>
      </w:r>
    </w:p>
    <w:p w14:paraId="21110603" w14:textId="73AD0147" w:rsidR="00AB64D3" w:rsidRPr="005B31EF" w:rsidRDefault="00AB64D3" w:rsidP="0064339E">
      <w:pPr>
        <w:pStyle w:val="ListParagraph"/>
        <w:suppressAutoHyphens/>
        <w:ind w:right="720"/>
        <w:jc w:val="both"/>
        <w:rPr>
          <w:rFonts w:asciiTheme="majorHAnsi" w:hAnsiTheme="majorHAnsi"/>
          <w:sz w:val="20"/>
          <w:szCs w:val="20"/>
          <w:lang w:val="es-ES_tradnl"/>
        </w:rPr>
      </w:pPr>
      <w:r w:rsidRPr="005B31EF">
        <w:rPr>
          <w:rFonts w:asciiTheme="majorHAnsi" w:hAnsiTheme="majorHAnsi"/>
          <w:sz w:val="20"/>
          <w:szCs w:val="20"/>
          <w:lang w:val="es-ES_tradnl"/>
        </w:rPr>
        <w:t>El Gobierno no proporcionó información detallada sobre las modalidades de tiempo, lugar y forma en la que el señor Gil Trejos fue privado de su libertad, ni tampoco probó que, al momento de la aprehensión, los agentes policiales mostraran orden de detención y le comunicaran las razones de la detención. Tampoco proporcionó información que desvirtuara los señalamientos relativos al estado de incomunicación del señor Gil Trejos, ni que se le hubiese negado acceso a su abogado y a las autoridades consulares en Costa Rica, por un periodo de un mes, desde su detención en mayo de 2015</w:t>
      </w:r>
      <w:r w:rsidR="009F26C8" w:rsidRPr="005B31EF">
        <w:rPr>
          <w:rFonts w:asciiTheme="majorHAnsi" w:hAnsiTheme="majorHAnsi"/>
          <w:sz w:val="20"/>
          <w:szCs w:val="20"/>
          <w:lang w:val="es-ES_tradnl"/>
        </w:rPr>
        <w:t>.</w:t>
      </w:r>
    </w:p>
    <w:p w14:paraId="3E1F839B" w14:textId="77777777" w:rsidR="0064339E" w:rsidRPr="005B31EF" w:rsidRDefault="0064339E" w:rsidP="0064339E">
      <w:pPr>
        <w:pStyle w:val="ListParagraph"/>
        <w:suppressAutoHyphens/>
        <w:ind w:right="720"/>
        <w:jc w:val="both"/>
        <w:rPr>
          <w:rFonts w:asciiTheme="majorHAnsi" w:hAnsiTheme="majorHAnsi"/>
          <w:sz w:val="20"/>
          <w:szCs w:val="20"/>
          <w:lang w:val="es-ES_tradnl"/>
        </w:rPr>
      </w:pPr>
    </w:p>
    <w:p w14:paraId="25205398" w14:textId="4DD265E4" w:rsidR="00AB64D3" w:rsidRPr="005B31EF" w:rsidRDefault="0064339E" w:rsidP="0064339E">
      <w:pPr>
        <w:pStyle w:val="ListParagraph"/>
        <w:suppressAutoHyphens/>
        <w:ind w:right="720"/>
        <w:jc w:val="both"/>
        <w:rPr>
          <w:rFonts w:asciiTheme="majorHAnsi" w:hAnsiTheme="majorHAnsi"/>
          <w:sz w:val="20"/>
          <w:szCs w:val="20"/>
          <w:lang w:val="es-ES_tradnl"/>
        </w:rPr>
      </w:pPr>
      <w:r w:rsidRPr="005B31EF">
        <w:rPr>
          <w:rFonts w:asciiTheme="majorHAnsi" w:hAnsiTheme="majorHAnsi"/>
          <w:sz w:val="20"/>
          <w:szCs w:val="20"/>
          <w:lang w:val="es-ES_tradnl"/>
        </w:rPr>
        <w:t>[</w:t>
      </w:r>
      <w:r w:rsidR="00AB64D3" w:rsidRPr="005B31EF">
        <w:rPr>
          <w:rFonts w:asciiTheme="majorHAnsi" w:hAnsiTheme="majorHAnsi"/>
          <w:sz w:val="20"/>
          <w:szCs w:val="20"/>
          <w:lang w:val="es-ES_tradnl"/>
        </w:rPr>
        <w:t>…</w:t>
      </w:r>
      <w:r w:rsidRPr="005B31EF">
        <w:rPr>
          <w:rFonts w:asciiTheme="majorHAnsi" w:hAnsiTheme="majorHAnsi"/>
          <w:sz w:val="20"/>
          <w:szCs w:val="20"/>
          <w:lang w:val="es-ES_tradnl"/>
        </w:rPr>
        <w:t>]</w:t>
      </w:r>
    </w:p>
    <w:p w14:paraId="1955A595" w14:textId="77777777" w:rsidR="0064339E" w:rsidRPr="005B31EF" w:rsidRDefault="0064339E" w:rsidP="0064339E">
      <w:pPr>
        <w:pStyle w:val="ListParagraph"/>
        <w:suppressAutoHyphens/>
        <w:ind w:right="720"/>
        <w:jc w:val="both"/>
        <w:rPr>
          <w:rFonts w:asciiTheme="majorHAnsi" w:hAnsiTheme="majorHAnsi"/>
          <w:sz w:val="20"/>
          <w:szCs w:val="20"/>
          <w:lang w:val="es-ES_tradnl"/>
        </w:rPr>
      </w:pPr>
    </w:p>
    <w:p w14:paraId="6433B207" w14:textId="747CCB91" w:rsidR="00AB64D3" w:rsidRPr="005B31EF" w:rsidRDefault="00AB64D3" w:rsidP="0064339E">
      <w:pPr>
        <w:pStyle w:val="ListParagraph"/>
        <w:suppressAutoHyphens/>
        <w:ind w:right="720"/>
        <w:jc w:val="both"/>
        <w:rPr>
          <w:rFonts w:asciiTheme="majorHAnsi" w:hAnsiTheme="majorHAnsi"/>
          <w:sz w:val="20"/>
          <w:szCs w:val="20"/>
          <w:lang w:val="es-ES_tradnl"/>
        </w:rPr>
      </w:pPr>
      <w:r w:rsidRPr="005B31EF">
        <w:rPr>
          <w:rFonts w:asciiTheme="majorHAnsi" w:hAnsiTheme="majorHAnsi"/>
          <w:sz w:val="20"/>
          <w:szCs w:val="20"/>
          <w:lang w:val="es-ES_tradnl"/>
        </w:rPr>
        <w:t>El Grupo de trabajo también recuerda que el Estado de Nicaragua es parte de la Convención de Viena de 1963 sobre las relaciones consulares y que, de acuerdo con el articulo 36 b de esta Convención, si el interesado lo solicita, las autoridades competentes del Estado receptor deberán informar sin retraso alguno a la oficina consular competente en ese Estado cuando, en su circunscripción, un nacional del Estado que envía sea arrestado de cualquier forma, detenido o puesto en prisión preventiva. Cualquier comunicación dirigida a la oficina consular por la persona arrestada, detenida o puesta en prisión preventiva, le será asimismo transmitida sin demora por dichas autoridades, las cuales habrán de informar sin dilación a la persona interesada acerca de los derechos que se le reconocen en este apartado.</w:t>
      </w:r>
    </w:p>
    <w:p w14:paraId="6738BE79" w14:textId="77777777" w:rsidR="0064339E" w:rsidRPr="005B31EF" w:rsidRDefault="0064339E" w:rsidP="0064339E">
      <w:pPr>
        <w:pStyle w:val="ListParagraph"/>
        <w:suppressAutoHyphens/>
        <w:ind w:right="720"/>
        <w:jc w:val="both"/>
        <w:rPr>
          <w:rFonts w:asciiTheme="majorHAnsi" w:hAnsiTheme="majorHAnsi"/>
          <w:sz w:val="20"/>
          <w:szCs w:val="20"/>
          <w:lang w:val="es-ES_tradnl"/>
        </w:rPr>
      </w:pPr>
    </w:p>
    <w:p w14:paraId="2E419F25" w14:textId="2F66EC2D" w:rsidR="00AB64D3" w:rsidRPr="005B31EF" w:rsidRDefault="0064339E" w:rsidP="0064339E">
      <w:pPr>
        <w:pStyle w:val="ListParagraph"/>
        <w:suppressAutoHyphens/>
        <w:ind w:right="720"/>
        <w:jc w:val="both"/>
        <w:rPr>
          <w:rFonts w:asciiTheme="majorHAnsi" w:hAnsiTheme="majorHAnsi"/>
          <w:sz w:val="20"/>
          <w:szCs w:val="20"/>
          <w:lang w:val="es-ES_tradnl"/>
        </w:rPr>
      </w:pPr>
      <w:r w:rsidRPr="005B31EF">
        <w:rPr>
          <w:rFonts w:asciiTheme="majorHAnsi" w:hAnsiTheme="majorHAnsi"/>
          <w:sz w:val="20"/>
          <w:szCs w:val="20"/>
          <w:lang w:val="es-ES_tradnl"/>
        </w:rPr>
        <w:t>[</w:t>
      </w:r>
      <w:r w:rsidR="00AB64D3" w:rsidRPr="005B31EF">
        <w:rPr>
          <w:rFonts w:asciiTheme="majorHAnsi" w:hAnsiTheme="majorHAnsi"/>
          <w:sz w:val="20"/>
          <w:szCs w:val="20"/>
          <w:lang w:val="es-ES_tradnl"/>
        </w:rPr>
        <w:t>…</w:t>
      </w:r>
      <w:r w:rsidRPr="005B31EF">
        <w:rPr>
          <w:rFonts w:asciiTheme="majorHAnsi" w:hAnsiTheme="majorHAnsi"/>
          <w:sz w:val="20"/>
          <w:szCs w:val="20"/>
          <w:lang w:val="es-ES_tradnl"/>
        </w:rPr>
        <w:t>]</w:t>
      </w:r>
    </w:p>
    <w:p w14:paraId="1A7F4AD3" w14:textId="77777777" w:rsidR="0064339E" w:rsidRPr="005B31EF" w:rsidRDefault="0064339E" w:rsidP="0064339E">
      <w:pPr>
        <w:pStyle w:val="ListParagraph"/>
        <w:suppressAutoHyphens/>
        <w:ind w:right="720"/>
        <w:jc w:val="both"/>
        <w:rPr>
          <w:rFonts w:asciiTheme="majorHAnsi" w:hAnsiTheme="majorHAnsi"/>
          <w:sz w:val="20"/>
          <w:szCs w:val="20"/>
          <w:lang w:val="es-ES_tradnl"/>
        </w:rPr>
      </w:pPr>
    </w:p>
    <w:p w14:paraId="268317CC" w14:textId="2BF8B6D5" w:rsidR="00AB64D3" w:rsidRPr="005B31EF" w:rsidRDefault="00AB64D3" w:rsidP="0064339E">
      <w:pPr>
        <w:pStyle w:val="ListParagraph"/>
        <w:suppressAutoHyphens/>
        <w:ind w:right="720"/>
        <w:jc w:val="both"/>
        <w:rPr>
          <w:rFonts w:asciiTheme="majorHAnsi" w:hAnsiTheme="majorHAnsi"/>
          <w:sz w:val="20"/>
          <w:szCs w:val="20"/>
          <w:lang w:val="es-ES_tradnl"/>
        </w:rPr>
      </w:pPr>
      <w:r w:rsidRPr="005B31EF">
        <w:rPr>
          <w:rFonts w:asciiTheme="majorHAnsi" w:hAnsiTheme="majorHAnsi"/>
          <w:sz w:val="20"/>
          <w:szCs w:val="20"/>
          <w:lang w:val="es-ES_tradnl"/>
        </w:rPr>
        <w:t>En vista de lo expuesto, el Grupo de Trabajo es de la opinión que la privación de libertad de Daniel Gil Trejos fue arbitraria de acuerdo a la Categoría III de los Métodos de Trabajo del Grupo. En mérito de lo expuesto, el Grupo de Trabajo recomienda al Gobierno de la Nicaragua, que repare integralmente los daños causados por su privación arbitraria de libertad del señor Gil Trejos, incluyendo los da</w:t>
      </w:r>
      <w:r w:rsidR="00F62449" w:rsidRPr="005B31EF">
        <w:rPr>
          <w:rFonts w:asciiTheme="majorHAnsi" w:hAnsiTheme="majorHAnsi"/>
          <w:sz w:val="20"/>
          <w:szCs w:val="20"/>
          <w:lang w:val="es-ES_tradnl"/>
        </w:rPr>
        <w:t>ñ</w:t>
      </w:r>
      <w:r w:rsidRPr="005B31EF">
        <w:rPr>
          <w:rFonts w:asciiTheme="majorHAnsi" w:hAnsiTheme="majorHAnsi"/>
          <w:sz w:val="20"/>
          <w:szCs w:val="20"/>
          <w:lang w:val="es-ES_tradnl"/>
        </w:rPr>
        <w:t>os resultando por la falta de acceso del Sr. Trejos a un tratamiento medical apropiado de su hipertensión durante su detención.</w:t>
      </w:r>
    </w:p>
    <w:p w14:paraId="10ABA6C7" w14:textId="77777777" w:rsidR="00AB64D3" w:rsidRPr="005B31EF" w:rsidRDefault="00AB64D3" w:rsidP="00D32537">
      <w:pPr>
        <w:suppressAutoHyphens/>
        <w:spacing w:before="240" w:after="240"/>
        <w:ind w:firstLine="720"/>
        <w:jc w:val="both"/>
        <w:rPr>
          <w:rFonts w:asciiTheme="majorHAnsi" w:hAnsiTheme="majorHAnsi"/>
          <w:sz w:val="20"/>
          <w:szCs w:val="20"/>
          <w:lang w:val="es-ES_tradnl"/>
        </w:rPr>
      </w:pPr>
      <w:r w:rsidRPr="005B31EF">
        <w:rPr>
          <w:rFonts w:asciiTheme="majorHAnsi" w:hAnsiTheme="majorHAnsi"/>
          <w:i/>
          <w:iCs/>
          <w:sz w:val="20"/>
          <w:szCs w:val="20"/>
          <w:lang w:val="es-ES_tradnl"/>
        </w:rPr>
        <w:t>Consideraciones finales</w:t>
      </w:r>
    </w:p>
    <w:p w14:paraId="455A87B5" w14:textId="641AFA7A" w:rsidR="00AB64D3" w:rsidRPr="005B31EF" w:rsidRDefault="00B06EA5" w:rsidP="00597F97">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 xml:space="preserve">En </w:t>
      </w:r>
      <w:r w:rsidR="00532A0B" w:rsidRPr="005B31EF">
        <w:rPr>
          <w:rFonts w:asciiTheme="majorHAnsi" w:hAnsiTheme="majorHAnsi"/>
          <w:sz w:val="20"/>
          <w:szCs w:val="20"/>
          <w:lang w:val="es-ES_tradnl"/>
        </w:rPr>
        <w:t>suma</w:t>
      </w:r>
      <w:r w:rsidRPr="005B31EF">
        <w:rPr>
          <w:rFonts w:asciiTheme="majorHAnsi" w:hAnsiTheme="majorHAnsi"/>
          <w:sz w:val="20"/>
          <w:szCs w:val="20"/>
          <w:lang w:val="es-ES_tradnl"/>
        </w:rPr>
        <w:t xml:space="preserve">, </w:t>
      </w:r>
      <w:r w:rsidR="00C3178B" w:rsidRPr="005B31EF">
        <w:rPr>
          <w:rFonts w:asciiTheme="majorHAnsi" w:hAnsiTheme="majorHAnsi"/>
          <w:sz w:val="20"/>
          <w:szCs w:val="20"/>
          <w:lang w:val="es-ES_tradnl"/>
        </w:rPr>
        <w:t>el peticionario denuncia que</w:t>
      </w:r>
      <w:r w:rsidR="00597F97" w:rsidRPr="005B31EF">
        <w:rPr>
          <w:rFonts w:asciiTheme="majorHAnsi" w:hAnsiTheme="majorHAnsi"/>
          <w:sz w:val="20"/>
          <w:szCs w:val="20"/>
          <w:lang w:val="es-ES_tradnl"/>
        </w:rPr>
        <w:t xml:space="preserve"> </w:t>
      </w:r>
      <w:r w:rsidR="00532A0B" w:rsidRPr="005B31EF">
        <w:rPr>
          <w:rFonts w:asciiTheme="majorHAnsi" w:hAnsiTheme="majorHAnsi"/>
          <w:sz w:val="20"/>
          <w:szCs w:val="20"/>
          <w:lang w:val="es-ES_tradnl"/>
        </w:rPr>
        <w:t>en</w:t>
      </w:r>
      <w:r w:rsidR="00597F97" w:rsidRPr="005B31EF">
        <w:rPr>
          <w:rFonts w:asciiTheme="majorHAnsi" w:hAnsiTheme="majorHAnsi"/>
          <w:sz w:val="20"/>
          <w:szCs w:val="20"/>
          <w:lang w:val="es-ES_tradnl"/>
        </w:rPr>
        <w:t xml:space="preserve"> Nicaragua lo privaron indebidamente su libertad, lo torturaron y extraditaron de forma irregular. </w:t>
      </w:r>
      <w:r w:rsidR="00532A0B" w:rsidRPr="005B31EF">
        <w:rPr>
          <w:rFonts w:asciiTheme="majorHAnsi" w:hAnsiTheme="majorHAnsi"/>
          <w:sz w:val="20"/>
          <w:szCs w:val="20"/>
          <w:lang w:val="es-ES_tradnl"/>
        </w:rPr>
        <w:t>Q</w:t>
      </w:r>
      <w:r w:rsidR="005269ED" w:rsidRPr="005B31EF">
        <w:rPr>
          <w:rFonts w:asciiTheme="majorHAnsi" w:hAnsiTheme="majorHAnsi"/>
          <w:sz w:val="20"/>
          <w:szCs w:val="20"/>
          <w:lang w:val="es-ES_tradnl"/>
        </w:rPr>
        <w:t>ue se</w:t>
      </w:r>
      <w:r w:rsidR="005F1F05" w:rsidRPr="005B31EF">
        <w:rPr>
          <w:rFonts w:asciiTheme="majorHAnsi" w:hAnsiTheme="majorHAnsi"/>
          <w:sz w:val="20"/>
          <w:szCs w:val="20"/>
          <w:lang w:val="es-ES_tradnl"/>
        </w:rPr>
        <w:t xml:space="preserve"> le</w:t>
      </w:r>
      <w:r w:rsidR="005269ED" w:rsidRPr="005B31EF">
        <w:rPr>
          <w:rFonts w:asciiTheme="majorHAnsi" w:hAnsiTheme="majorHAnsi"/>
          <w:sz w:val="20"/>
          <w:szCs w:val="20"/>
          <w:lang w:val="es-ES_tradnl"/>
        </w:rPr>
        <w:t xml:space="preserve"> mantuvo detenido</w:t>
      </w:r>
      <w:r w:rsidR="00597F97" w:rsidRPr="005B31EF">
        <w:rPr>
          <w:rFonts w:asciiTheme="majorHAnsi" w:hAnsiTheme="majorHAnsi"/>
          <w:sz w:val="20"/>
          <w:szCs w:val="20"/>
          <w:lang w:val="es-ES_tradnl"/>
        </w:rPr>
        <w:t xml:space="preserve"> e incomunicado</w:t>
      </w:r>
      <w:r w:rsidR="005269ED" w:rsidRPr="005B31EF">
        <w:rPr>
          <w:rFonts w:asciiTheme="majorHAnsi" w:hAnsiTheme="majorHAnsi"/>
          <w:sz w:val="20"/>
          <w:szCs w:val="20"/>
          <w:lang w:val="es-ES_tradnl"/>
        </w:rPr>
        <w:t xml:space="preserve"> en condiciones inhumanas</w:t>
      </w:r>
      <w:r w:rsidR="00597F97" w:rsidRPr="005B31EF">
        <w:rPr>
          <w:rFonts w:asciiTheme="majorHAnsi" w:hAnsiTheme="majorHAnsi"/>
          <w:sz w:val="20"/>
          <w:szCs w:val="20"/>
          <w:lang w:val="es-ES_tradnl"/>
        </w:rPr>
        <w:t xml:space="preserve">, </w:t>
      </w:r>
      <w:r w:rsidR="005269ED" w:rsidRPr="005B31EF">
        <w:rPr>
          <w:rFonts w:asciiTheme="majorHAnsi" w:hAnsiTheme="majorHAnsi"/>
          <w:sz w:val="20"/>
          <w:szCs w:val="20"/>
          <w:lang w:val="es-ES_tradnl"/>
        </w:rPr>
        <w:t xml:space="preserve">sin que su familia o la Embajada de Costa Rica en Nicaragua fueran informadas de su detención. </w:t>
      </w:r>
      <w:r w:rsidR="00532A0B" w:rsidRPr="005B31EF">
        <w:rPr>
          <w:rFonts w:asciiTheme="majorHAnsi" w:hAnsiTheme="majorHAnsi"/>
          <w:sz w:val="20"/>
          <w:szCs w:val="20"/>
          <w:lang w:val="es-ES_tradnl"/>
        </w:rPr>
        <w:t>Q</w:t>
      </w:r>
      <w:r w:rsidR="005269ED" w:rsidRPr="005B31EF">
        <w:rPr>
          <w:rFonts w:asciiTheme="majorHAnsi" w:hAnsiTheme="majorHAnsi"/>
          <w:sz w:val="20"/>
          <w:szCs w:val="20"/>
          <w:lang w:val="es-ES_tradnl"/>
        </w:rPr>
        <w:t xml:space="preserve">ue a pesar de </w:t>
      </w:r>
      <w:r w:rsidR="006B78DB" w:rsidRPr="005B31EF">
        <w:rPr>
          <w:rFonts w:asciiTheme="majorHAnsi" w:hAnsiTheme="majorHAnsi"/>
          <w:sz w:val="20"/>
          <w:szCs w:val="20"/>
          <w:lang w:val="es-ES_tradnl"/>
        </w:rPr>
        <w:t>que,</w:t>
      </w:r>
      <w:r w:rsidR="005269ED" w:rsidRPr="005B31EF">
        <w:rPr>
          <w:rFonts w:asciiTheme="majorHAnsi" w:hAnsiTheme="majorHAnsi"/>
          <w:sz w:val="20"/>
          <w:szCs w:val="20"/>
          <w:lang w:val="es-ES_tradnl"/>
        </w:rPr>
        <w:t xml:space="preserve"> mediante notas diplomáticas</w:t>
      </w:r>
      <w:r w:rsidR="00532A0B" w:rsidRPr="005B31EF">
        <w:rPr>
          <w:rFonts w:asciiTheme="majorHAnsi" w:hAnsiTheme="majorHAnsi"/>
          <w:sz w:val="20"/>
          <w:szCs w:val="20"/>
          <w:lang w:val="es-ES_tradnl"/>
        </w:rPr>
        <w:t>,</w:t>
      </w:r>
      <w:r w:rsidR="005269ED" w:rsidRPr="005B31EF">
        <w:rPr>
          <w:rFonts w:asciiTheme="majorHAnsi" w:hAnsiTheme="majorHAnsi"/>
          <w:sz w:val="20"/>
          <w:szCs w:val="20"/>
          <w:lang w:val="es-ES_tradnl"/>
        </w:rPr>
        <w:t xml:space="preserve"> el 10, 12 y 17 de junio de 2015, la Embajada de Costa Rica </w:t>
      </w:r>
      <w:r w:rsidR="005269ED" w:rsidRPr="005B31EF">
        <w:rPr>
          <w:rFonts w:asciiTheme="majorHAnsi" w:hAnsiTheme="majorHAnsi"/>
          <w:sz w:val="20"/>
          <w:szCs w:val="20"/>
          <w:lang w:val="es-ES_tradnl"/>
        </w:rPr>
        <w:lastRenderedPageBreak/>
        <w:t xml:space="preserve">solicitó información sobre </w:t>
      </w:r>
      <w:r w:rsidR="00532A0B" w:rsidRPr="005B31EF">
        <w:rPr>
          <w:rFonts w:asciiTheme="majorHAnsi" w:hAnsiTheme="majorHAnsi"/>
          <w:sz w:val="20"/>
          <w:szCs w:val="20"/>
          <w:lang w:val="es-ES_tradnl"/>
        </w:rPr>
        <w:t>su</w:t>
      </w:r>
      <w:r w:rsidR="005269ED" w:rsidRPr="005B31EF">
        <w:rPr>
          <w:rFonts w:asciiTheme="majorHAnsi" w:hAnsiTheme="majorHAnsi"/>
          <w:sz w:val="20"/>
          <w:szCs w:val="20"/>
          <w:lang w:val="es-ES_tradnl"/>
        </w:rPr>
        <w:t xml:space="preserve"> paradero y lugar de detención, </w:t>
      </w:r>
      <w:r w:rsidR="009828C4" w:rsidRPr="005B31EF">
        <w:rPr>
          <w:rFonts w:asciiTheme="majorHAnsi" w:hAnsiTheme="majorHAnsi"/>
          <w:sz w:val="20"/>
          <w:szCs w:val="20"/>
          <w:lang w:val="es-ES_tradnl"/>
        </w:rPr>
        <w:t xml:space="preserve">Nicaragua nunca </w:t>
      </w:r>
      <w:r w:rsidR="000678C9" w:rsidRPr="005B31EF">
        <w:rPr>
          <w:rFonts w:asciiTheme="majorHAnsi" w:hAnsiTheme="majorHAnsi"/>
          <w:sz w:val="20"/>
          <w:szCs w:val="20"/>
          <w:lang w:val="es-ES_tradnl"/>
        </w:rPr>
        <w:t>atendió</w:t>
      </w:r>
      <w:r w:rsidR="009828C4" w:rsidRPr="005B31EF">
        <w:rPr>
          <w:rFonts w:asciiTheme="majorHAnsi" w:hAnsiTheme="majorHAnsi"/>
          <w:sz w:val="20"/>
          <w:szCs w:val="20"/>
          <w:lang w:val="es-ES_tradnl"/>
        </w:rPr>
        <w:t xml:space="preserve"> tales comunicaciones. </w:t>
      </w:r>
      <w:r w:rsidR="00EC7FE1" w:rsidRPr="005B31EF">
        <w:rPr>
          <w:rFonts w:asciiTheme="majorHAnsi" w:hAnsiTheme="majorHAnsi"/>
          <w:sz w:val="20"/>
          <w:szCs w:val="20"/>
          <w:lang w:val="es-ES_tradnl"/>
        </w:rPr>
        <w:t>Que,</w:t>
      </w:r>
      <w:r w:rsidR="00597F97" w:rsidRPr="005B31EF">
        <w:rPr>
          <w:rFonts w:asciiTheme="majorHAnsi" w:hAnsiTheme="majorHAnsi"/>
          <w:sz w:val="20"/>
          <w:szCs w:val="20"/>
          <w:lang w:val="es-ES_tradnl"/>
        </w:rPr>
        <w:t xml:space="preserve"> si bien el Estado </w:t>
      </w:r>
      <w:r w:rsidR="00340650" w:rsidRPr="005B31EF">
        <w:rPr>
          <w:rFonts w:asciiTheme="majorHAnsi" w:hAnsiTheme="majorHAnsi"/>
          <w:sz w:val="20"/>
          <w:szCs w:val="20"/>
          <w:lang w:val="es-ES_tradnl"/>
        </w:rPr>
        <w:t xml:space="preserve">afirma </w:t>
      </w:r>
      <w:r w:rsidR="00597F97" w:rsidRPr="005B31EF">
        <w:rPr>
          <w:rFonts w:asciiTheme="majorHAnsi" w:hAnsiTheme="majorHAnsi"/>
          <w:sz w:val="20"/>
          <w:szCs w:val="20"/>
          <w:lang w:val="es-ES_tradnl"/>
        </w:rPr>
        <w:t xml:space="preserve">que el 2 de junio de 2015 su Cancillería </w:t>
      </w:r>
      <w:r w:rsidR="000678C9" w:rsidRPr="005B31EF">
        <w:rPr>
          <w:rFonts w:asciiTheme="majorHAnsi" w:hAnsiTheme="majorHAnsi"/>
          <w:sz w:val="20"/>
          <w:szCs w:val="20"/>
          <w:lang w:val="es-ES_tradnl"/>
        </w:rPr>
        <w:t>informó</w:t>
      </w:r>
      <w:r w:rsidR="00597F97" w:rsidRPr="005B31EF">
        <w:rPr>
          <w:rFonts w:asciiTheme="majorHAnsi" w:hAnsiTheme="majorHAnsi"/>
          <w:sz w:val="20"/>
          <w:szCs w:val="20"/>
          <w:lang w:val="es-ES_tradnl"/>
        </w:rPr>
        <w:t xml:space="preserve"> a los representantes de la Embajada de Costa Rica la situación de la presunta víctima</w:t>
      </w:r>
      <w:r w:rsidR="00340650" w:rsidRPr="005B31EF">
        <w:rPr>
          <w:rFonts w:asciiTheme="majorHAnsi" w:hAnsiTheme="majorHAnsi"/>
          <w:sz w:val="20"/>
          <w:szCs w:val="20"/>
          <w:lang w:val="es-ES_tradnl"/>
        </w:rPr>
        <w:t>, esto es mentira</w:t>
      </w:r>
      <w:r w:rsidR="00A666DA" w:rsidRPr="005B31EF">
        <w:rPr>
          <w:rFonts w:asciiTheme="majorHAnsi" w:hAnsiTheme="majorHAnsi"/>
          <w:sz w:val="20"/>
          <w:szCs w:val="20"/>
          <w:lang w:val="es-ES_tradnl"/>
        </w:rPr>
        <w:t>,</w:t>
      </w:r>
      <w:r w:rsidR="00340650" w:rsidRPr="005B31EF">
        <w:rPr>
          <w:rFonts w:asciiTheme="majorHAnsi" w:hAnsiTheme="majorHAnsi"/>
          <w:sz w:val="20"/>
          <w:szCs w:val="20"/>
          <w:lang w:val="es-ES_tradnl"/>
        </w:rPr>
        <w:t xml:space="preserve"> y que no existen documentos fehacientes que acredit</w:t>
      </w:r>
      <w:r w:rsidR="00A666DA" w:rsidRPr="005B31EF">
        <w:rPr>
          <w:rFonts w:asciiTheme="majorHAnsi" w:hAnsiTheme="majorHAnsi"/>
          <w:sz w:val="20"/>
          <w:szCs w:val="20"/>
          <w:lang w:val="es-ES_tradnl"/>
        </w:rPr>
        <w:t>e</w:t>
      </w:r>
      <w:r w:rsidR="00340650" w:rsidRPr="005B31EF">
        <w:rPr>
          <w:rFonts w:asciiTheme="majorHAnsi" w:hAnsiTheme="majorHAnsi"/>
          <w:sz w:val="20"/>
          <w:szCs w:val="20"/>
          <w:lang w:val="es-ES_tradnl"/>
        </w:rPr>
        <w:t xml:space="preserve">n </w:t>
      </w:r>
      <w:r w:rsidR="000678C9" w:rsidRPr="005B31EF">
        <w:rPr>
          <w:rFonts w:asciiTheme="majorHAnsi" w:hAnsiTheme="majorHAnsi"/>
          <w:sz w:val="20"/>
          <w:szCs w:val="20"/>
          <w:lang w:val="es-ES_tradnl"/>
        </w:rPr>
        <w:t>esta notificación</w:t>
      </w:r>
      <w:r w:rsidR="00340650" w:rsidRPr="005B31EF">
        <w:rPr>
          <w:rFonts w:asciiTheme="majorHAnsi" w:hAnsiTheme="majorHAnsi"/>
          <w:sz w:val="20"/>
          <w:szCs w:val="20"/>
          <w:lang w:val="es-ES_tradnl"/>
        </w:rPr>
        <w:t xml:space="preserve">, como tampoco hay un registro fidedigno </w:t>
      </w:r>
      <w:r w:rsidR="000678C9" w:rsidRPr="005B31EF">
        <w:rPr>
          <w:rFonts w:asciiTheme="majorHAnsi" w:hAnsiTheme="majorHAnsi"/>
          <w:sz w:val="20"/>
          <w:szCs w:val="20"/>
          <w:lang w:val="es-ES_tradnl"/>
        </w:rPr>
        <w:t xml:space="preserve">de </w:t>
      </w:r>
      <w:r w:rsidR="00340650" w:rsidRPr="005B31EF">
        <w:rPr>
          <w:rFonts w:asciiTheme="majorHAnsi" w:hAnsiTheme="majorHAnsi"/>
          <w:sz w:val="20"/>
          <w:szCs w:val="20"/>
          <w:lang w:val="es-ES_tradnl"/>
        </w:rPr>
        <w:t xml:space="preserve">que las autoridades costarricenses hayan podido visitarlo en las fechas aducidas por </w:t>
      </w:r>
      <w:r w:rsidR="000678C9" w:rsidRPr="005B31EF">
        <w:rPr>
          <w:rFonts w:asciiTheme="majorHAnsi" w:hAnsiTheme="majorHAnsi"/>
          <w:sz w:val="20"/>
          <w:szCs w:val="20"/>
          <w:lang w:val="es-ES_tradnl"/>
        </w:rPr>
        <w:t>Nicaragua</w:t>
      </w:r>
      <w:r w:rsidR="00340650" w:rsidRPr="005B31EF">
        <w:rPr>
          <w:rFonts w:asciiTheme="majorHAnsi" w:hAnsiTheme="majorHAnsi"/>
          <w:sz w:val="20"/>
          <w:szCs w:val="20"/>
          <w:lang w:val="es-ES_tradnl"/>
        </w:rPr>
        <w:t xml:space="preserve">. </w:t>
      </w:r>
    </w:p>
    <w:p w14:paraId="1CC09856" w14:textId="23749EF8" w:rsidR="00AB64D3" w:rsidRPr="005B31EF" w:rsidRDefault="00340650" w:rsidP="00AB64D3">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En relación con su procedimiento de extradición, e</w:t>
      </w:r>
      <w:r w:rsidR="00717BD3" w:rsidRPr="005B31EF">
        <w:rPr>
          <w:rFonts w:asciiTheme="majorHAnsi" w:hAnsiTheme="majorHAnsi"/>
          <w:sz w:val="20"/>
          <w:szCs w:val="20"/>
          <w:lang w:val="es-ES_tradnl"/>
        </w:rPr>
        <w:t>xplica que el Código Procesal Penal de Nicaragua</w:t>
      </w:r>
      <w:r w:rsidR="00851C95" w:rsidRPr="005B31EF">
        <w:rPr>
          <w:rFonts w:asciiTheme="majorHAnsi" w:hAnsiTheme="majorHAnsi"/>
          <w:sz w:val="20"/>
          <w:szCs w:val="20"/>
          <w:lang w:val="es-ES_tradnl"/>
        </w:rPr>
        <w:t xml:space="preserve"> establece dos procedimientos para el proceso de extradición: el regular y el informal urgente. </w:t>
      </w:r>
      <w:r w:rsidR="008851EB" w:rsidRPr="005B31EF">
        <w:rPr>
          <w:rFonts w:asciiTheme="majorHAnsi" w:hAnsiTheme="majorHAnsi"/>
          <w:sz w:val="20"/>
          <w:szCs w:val="20"/>
          <w:lang w:val="es-ES_tradnl"/>
        </w:rPr>
        <w:t>Frente</w:t>
      </w:r>
      <w:r w:rsidR="00851C95" w:rsidRPr="005B31EF">
        <w:rPr>
          <w:rFonts w:asciiTheme="majorHAnsi" w:hAnsiTheme="majorHAnsi"/>
          <w:sz w:val="20"/>
          <w:szCs w:val="20"/>
          <w:lang w:val="es-ES_tradnl"/>
        </w:rPr>
        <w:t xml:space="preserve"> </w:t>
      </w:r>
      <w:r w:rsidR="008851EB" w:rsidRPr="005B31EF">
        <w:rPr>
          <w:rFonts w:asciiTheme="majorHAnsi" w:hAnsiTheme="majorHAnsi"/>
          <w:sz w:val="20"/>
          <w:szCs w:val="20"/>
          <w:lang w:val="es-ES_tradnl"/>
        </w:rPr>
        <w:t>a</w:t>
      </w:r>
      <w:r w:rsidR="00861E23" w:rsidRPr="005B31EF">
        <w:rPr>
          <w:rFonts w:asciiTheme="majorHAnsi" w:hAnsiTheme="majorHAnsi"/>
          <w:sz w:val="20"/>
          <w:szCs w:val="20"/>
          <w:lang w:val="es-ES_tradnl"/>
        </w:rPr>
        <w:t>l</w:t>
      </w:r>
      <w:r w:rsidR="00851C95" w:rsidRPr="005B31EF">
        <w:rPr>
          <w:rFonts w:asciiTheme="majorHAnsi" w:hAnsiTheme="majorHAnsi"/>
          <w:sz w:val="20"/>
          <w:szCs w:val="20"/>
          <w:lang w:val="es-ES_tradnl"/>
        </w:rPr>
        <w:t xml:space="preserve"> segundo</w:t>
      </w:r>
      <w:r w:rsidR="00861E23" w:rsidRPr="005B31EF">
        <w:rPr>
          <w:rFonts w:asciiTheme="majorHAnsi" w:hAnsiTheme="majorHAnsi"/>
          <w:sz w:val="20"/>
          <w:szCs w:val="20"/>
          <w:lang w:val="es-ES_tradnl"/>
        </w:rPr>
        <w:t xml:space="preserve"> </w:t>
      </w:r>
      <w:r w:rsidR="00851C95" w:rsidRPr="005B31EF">
        <w:rPr>
          <w:rFonts w:asciiTheme="majorHAnsi" w:hAnsiTheme="majorHAnsi"/>
          <w:sz w:val="20"/>
          <w:szCs w:val="20"/>
          <w:lang w:val="es-ES_tradnl"/>
        </w:rPr>
        <w:t xml:space="preserve">supuesto, resalta que el </w:t>
      </w:r>
      <w:r w:rsidR="00AC03DE" w:rsidRPr="005B31EF">
        <w:rPr>
          <w:rFonts w:asciiTheme="majorHAnsi" w:hAnsiTheme="majorHAnsi"/>
          <w:sz w:val="20"/>
          <w:szCs w:val="20"/>
          <w:lang w:val="es-ES_tradnl"/>
        </w:rPr>
        <w:t>artículo</w:t>
      </w:r>
      <w:r w:rsidR="00851C95" w:rsidRPr="005B31EF">
        <w:rPr>
          <w:rFonts w:asciiTheme="majorHAnsi" w:hAnsiTheme="majorHAnsi"/>
          <w:sz w:val="20"/>
          <w:szCs w:val="20"/>
          <w:lang w:val="es-ES_tradnl"/>
        </w:rPr>
        <w:t xml:space="preserve"> 355 del citado Código establece como requisito para </w:t>
      </w:r>
      <w:r w:rsidR="008851EB" w:rsidRPr="005B31EF">
        <w:rPr>
          <w:rFonts w:asciiTheme="majorHAnsi" w:hAnsiTheme="majorHAnsi"/>
          <w:sz w:val="20"/>
          <w:szCs w:val="20"/>
          <w:lang w:val="es-ES_tradnl"/>
        </w:rPr>
        <w:t xml:space="preserve">su </w:t>
      </w:r>
      <w:r w:rsidR="00851C95" w:rsidRPr="005B31EF">
        <w:rPr>
          <w:rFonts w:asciiTheme="majorHAnsi" w:hAnsiTheme="majorHAnsi"/>
          <w:sz w:val="20"/>
          <w:szCs w:val="20"/>
          <w:lang w:val="es-ES_tradnl"/>
        </w:rPr>
        <w:t xml:space="preserve">uso que exista una orden de detención contra el acusado y la promesa del requirente de cumplir con los requisitos señalados para el trámite. Además, tal disposición indica que </w:t>
      </w:r>
      <w:r w:rsidR="005269ED" w:rsidRPr="005B31EF">
        <w:rPr>
          <w:rFonts w:asciiTheme="majorHAnsi" w:hAnsiTheme="majorHAnsi"/>
          <w:sz w:val="20"/>
          <w:szCs w:val="20"/>
          <w:lang w:val="es-ES_tradnl"/>
        </w:rPr>
        <w:t xml:space="preserve">se deberán presentar un conjunto de documentos a la Embajada o Consulado de la República, así como a la Corte Suprema de Justicia, a </w:t>
      </w:r>
      <w:r w:rsidR="00AC03DE" w:rsidRPr="005B31EF">
        <w:rPr>
          <w:rFonts w:asciiTheme="majorHAnsi" w:hAnsiTheme="majorHAnsi"/>
          <w:sz w:val="20"/>
          <w:szCs w:val="20"/>
          <w:lang w:val="es-ES_tradnl"/>
        </w:rPr>
        <w:t>más</w:t>
      </w:r>
      <w:r w:rsidR="005269ED" w:rsidRPr="005B31EF">
        <w:rPr>
          <w:rFonts w:asciiTheme="majorHAnsi" w:hAnsiTheme="majorHAnsi"/>
          <w:sz w:val="20"/>
          <w:szCs w:val="20"/>
          <w:lang w:val="es-ES_tradnl"/>
        </w:rPr>
        <w:t xml:space="preserve"> tardar dentro de los siguientes diez días contados a partir de la detención del acusado. Al respecto, el peticionario aduce que tal requisito no se cumplió, dado que su detención se </w:t>
      </w:r>
      <w:r w:rsidR="00AC03DE" w:rsidRPr="005B31EF">
        <w:rPr>
          <w:rFonts w:asciiTheme="majorHAnsi" w:hAnsiTheme="majorHAnsi"/>
          <w:sz w:val="20"/>
          <w:szCs w:val="20"/>
          <w:lang w:val="es-ES_tradnl"/>
        </w:rPr>
        <w:t>realizó</w:t>
      </w:r>
      <w:r w:rsidR="005269ED" w:rsidRPr="005B31EF">
        <w:rPr>
          <w:rFonts w:asciiTheme="majorHAnsi" w:hAnsiTheme="majorHAnsi"/>
          <w:sz w:val="20"/>
          <w:szCs w:val="20"/>
          <w:lang w:val="es-ES_tradnl"/>
        </w:rPr>
        <w:t xml:space="preserve"> el 26 de mayo de 2015</w:t>
      </w:r>
      <w:r w:rsidR="000C43DE" w:rsidRPr="005B31EF">
        <w:rPr>
          <w:rFonts w:asciiTheme="majorHAnsi" w:hAnsiTheme="majorHAnsi"/>
          <w:sz w:val="20"/>
          <w:szCs w:val="20"/>
          <w:lang w:val="es-ES_tradnl"/>
        </w:rPr>
        <w:t>,</w:t>
      </w:r>
      <w:r w:rsidR="005269ED" w:rsidRPr="005B31EF">
        <w:rPr>
          <w:rFonts w:asciiTheme="majorHAnsi" w:hAnsiTheme="majorHAnsi"/>
          <w:sz w:val="20"/>
          <w:szCs w:val="20"/>
          <w:lang w:val="es-ES_tradnl"/>
        </w:rPr>
        <w:t xml:space="preserve"> y recién el 24 de junio de 2015 se </w:t>
      </w:r>
      <w:r w:rsidR="00AC03DE" w:rsidRPr="005B31EF">
        <w:rPr>
          <w:rFonts w:asciiTheme="majorHAnsi" w:hAnsiTheme="majorHAnsi"/>
          <w:sz w:val="20"/>
          <w:szCs w:val="20"/>
          <w:lang w:val="es-ES_tradnl"/>
        </w:rPr>
        <w:t>presentó</w:t>
      </w:r>
      <w:r w:rsidR="005269ED" w:rsidRPr="005B31EF">
        <w:rPr>
          <w:rFonts w:asciiTheme="majorHAnsi" w:hAnsiTheme="majorHAnsi"/>
          <w:sz w:val="20"/>
          <w:szCs w:val="20"/>
          <w:lang w:val="es-ES_tradnl"/>
        </w:rPr>
        <w:t xml:space="preserve"> la referida solicitud a las autoridades. </w:t>
      </w:r>
    </w:p>
    <w:p w14:paraId="53976CAC" w14:textId="00513459" w:rsidR="00340650" w:rsidRPr="005B31EF" w:rsidRDefault="005E64B5" w:rsidP="00340650">
      <w:pPr>
        <w:pStyle w:val="ListParagraph"/>
        <w:numPr>
          <w:ilvl w:val="0"/>
          <w:numId w:val="59"/>
        </w:numPr>
        <w:suppressAutoHyphens/>
        <w:spacing w:before="240" w:after="240"/>
        <w:jc w:val="both"/>
        <w:rPr>
          <w:rFonts w:asciiTheme="majorHAnsi" w:hAnsiTheme="majorHAnsi"/>
          <w:i/>
          <w:iCs/>
          <w:sz w:val="20"/>
          <w:szCs w:val="20"/>
          <w:lang w:val="es-ES_tradnl"/>
        </w:rPr>
      </w:pPr>
      <w:r w:rsidRPr="005B31EF">
        <w:rPr>
          <w:rFonts w:asciiTheme="majorHAnsi" w:hAnsiTheme="majorHAnsi"/>
          <w:color w:val="1C2126"/>
          <w:sz w:val="20"/>
          <w:szCs w:val="20"/>
          <w:lang w:val="es-ES_tradnl"/>
        </w:rPr>
        <w:t>Finalmente</w:t>
      </w:r>
      <w:r w:rsidR="00340650" w:rsidRPr="005B31EF">
        <w:rPr>
          <w:rFonts w:asciiTheme="majorHAnsi" w:hAnsiTheme="majorHAnsi"/>
          <w:color w:val="1C2126"/>
          <w:sz w:val="20"/>
          <w:szCs w:val="20"/>
          <w:lang w:val="es-ES_tradnl"/>
        </w:rPr>
        <w:t xml:space="preserve">, resalta que </w:t>
      </w:r>
      <w:r w:rsidR="008B4007" w:rsidRPr="005B31EF">
        <w:rPr>
          <w:rFonts w:asciiTheme="majorHAnsi" w:hAnsiTheme="majorHAnsi"/>
          <w:color w:val="1C2126"/>
          <w:sz w:val="20"/>
          <w:szCs w:val="20"/>
          <w:lang w:val="es-ES_tradnl"/>
        </w:rPr>
        <w:t>padece de</w:t>
      </w:r>
      <w:r w:rsidR="00340650" w:rsidRPr="005B31EF">
        <w:rPr>
          <w:rFonts w:asciiTheme="majorHAnsi" w:hAnsiTheme="majorHAnsi"/>
          <w:color w:val="1C2126"/>
          <w:sz w:val="20"/>
          <w:szCs w:val="20"/>
          <w:lang w:val="es-ES_tradnl"/>
        </w:rPr>
        <w:t xml:space="preserve"> secuelas debido al daño sufrido durante el tiempo que estuvo en </w:t>
      </w:r>
      <w:r w:rsidR="000C43DE" w:rsidRPr="005B31EF">
        <w:rPr>
          <w:rFonts w:asciiTheme="majorHAnsi" w:hAnsiTheme="majorHAnsi"/>
          <w:color w:val="1C2126"/>
          <w:sz w:val="20"/>
          <w:szCs w:val="20"/>
          <w:lang w:val="es-ES_tradnl"/>
        </w:rPr>
        <w:t xml:space="preserve">el centro de tortura del </w:t>
      </w:r>
      <w:r w:rsidR="00340650" w:rsidRPr="005B31EF">
        <w:rPr>
          <w:rFonts w:asciiTheme="majorHAnsi" w:hAnsiTheme="majorHAnsi"/>
          <w:color w:val="1C2126"/>
          <w:sz w:val="20"/>
          <w:szCs w:val="20"/>
          <w:lang w:val="es-ES_tradnl"/>
        </w:rPr>
        <w:t>Chipote. Resalta que tales consecuencias están</w:t>
      </w:r>
      <w:r w:rsidRPr="005B31EF">
        <w:rPr>
          <w:rFonts w:asciiTheme="majorHAnsi" w:hAnsiTheme="majorHAnsi"/>
          <w:color w:val="1C2126"/>
          <w:sz w:val="20"/>
          <w:szCs w:val="20"/>
          <w:lang w:val="es-ES_tradnl"/>
        </w:rPr>
        <w:t xml:space="preserve"> presentes todos los </w:t>
      </w:r>
      <w:r w:rsidR="00340650" w:rsidRPr="005B31EF">
        <w:rPr>
          <w:rFonts w:asciiTheme="majorHAnsi" w:hAnsiTheme="majorHAnsi"/>
          <w:color w:val="1C2126"/>
          <w:sz w:val="20"/>
          <w:szCs w:val="20"/>
          <w:lang w:val="es-ES_tradnl"/>
        </w:rPr>
        <w:t>días</w:t>
      </w:r>
      <w:r w:rsidRPr="005B31EF">
        <w:rPr>
          <w:rFonts w:asciiTheme="majorHAnsi" w:hAnsiTheme="majorHAnsi"/>
          <w:color w:val="1C2126"/>
          <w:sz w:val="20"/>
          <w:szCs w:val="20"/>
          <w:lang w:val="es-ES_tradnl"/>
        </w:rPr>
        <w:t xml:space="preserve"> de </w:t>
      </w:r>
      <w:r w:rsidR="00340650" w:rsidRPr="005B31EF">
        <w:rPr>
          <w:rFonts w:asciiTheme="majorHAnsi" w:hAnsiTheme="majorHAnsi"/>
          <w:color w:val="1C2126"/>
          <w:sz w:val="20"/>
          <w:szCs w:val="20"/>
          <w:lang w:val="es-ES_tradnl"/>
        </w:rPr>
        <w:t xml:space="preserve">su </w:t>
      </w:r>
      <w:r w:rsidRPr="005B31EF">
        <w:rPr>
          <w:rFonts w:asciiTheme="majorHAnsi" w:hAnsiTheme="majorHAnsi"/>
          <w:color w:val="1C2126"/>
          <w:sz w:val="20"/>
          <w:szCs w:val="20"/>
          <w:lang w:val="es-ES_tradnl"/>
        </w:rPr>
        <w:t>vida, pues apenas logr</w:t>
      </w:r>
      <w:r w:rsidR="00340650" w:rsidRPr="005B31EF">
        <w:rPr>
          <w:rFonts w:asciiTheme="majorHAnsi" w:hAnsiTheme="majorHAnsi"/>
          <w:color w:val="1C2126"/>
          <w:sz w:val="20"/>
          <w:szCs w:val="20"/>
          <w:lang w:val="es-ES_tradnl"/>
        </w:rPr>
        <w:t>a</w:t>
      </w:r>
      <w:r w:rsidRPr="005B31EF">
        <w:rPr>
          <w:rFonts w:asciiTheme="majorHAnsi" w:hAnsiTheme="majorHAnsi"/>
          <w:color w:val="1C2126"/>
          <w:sz w:val="20"/>
          <w:szCs w:val="20"/>
          <w:lang w:val="es-ES_tradnl"/>
        </w:rPr>
        <w:t xml:space="preserve"> conciliar el </w:t>
      </w:r>
      <w:r w:rsidR="00340650" w:rsidRPr="005B31EF">
        <w:rPr>
          <w:rFonts w:asciiTheme="majorHAnsi" w:hAnsiTheme="majorHAnsi"/>
          <w:color w:val="1C2126"/>
          <w:sz w:val="20"/>
          <w:szCs w:val="20"/>
          <w:lang w:val="es-ES_tradnl"/>
        </w:rPr>
        <w:t>sueño</w:t>
      </w:r>
      <w:r w:rsidRPr="005B31EF">
        <w:rPr>
          <w:rFonts w:asciiTheme="majorHAnsi" w:hAnsiTheme="majorHAnsi"/>
          <w:color w:val="1C2126"/>
          <w:sz w:val="20"/>
          <w:szCs w:val="20"/>
          <w:lang w:val="es-ES_tradnl"/>
        </w:rPr>
        <w:t xml:space="preserve"> por unas </w:t>
      </w:r>
      <w:r w:rsidR="00E31D7B" w:rsidRPr="005B31EF">
        <w:rPr>
          <w:rFonts w:asciiTheme="majorHAnsi" w:hAnsiTheme="majorHAnsi"/>
          <w:color w:val="1C2126"/>
          <w:sz w:val="20"/>
          <w:szCs w:val="20"/>
          <w:lang w:val="es-ES_tradnl"/>
        </w:rPr>
        <w:t>cuatro</w:t>
      </w:r>
      <w:r w:rsidRPr="005B31EF">
        <w:rPr>
          <w:rFonts w:asciiTheme="majorHAnsi" w:hAnsiTheme="majorHAnsi"/>
          <w:color w:val="1C2126"/>
          <w:sz w:val="20"/>
          <w:szCs w:val="20"/>
          <w:lang w:val="es-ES_tradnl"/>
        </w:rPr>
        <w:t xml:space="preserve"> horas seguidas</w:t>
      </w:r>
      <w:r w:rsidR="00340650" w:rsidRPr="005B31EF">
        <w:rPr>
          <w:rFonts w:asciiTheme="majorHAnsi" w:hAnsiTheme="majorHAnsi"/>
          <w:color w:val="1C2126"/>
          <w:sz w:val="20"/>
          <w:szCs w:val="20"/>
          <w:lang w:val="es-ES_tradnl"/>
        </w:rPr>
        <w:t>, lo que ha derivado en</w:t>
      </w:r>
      <w:r w:rsidRPr="005B31EF">
        <w:rPr>
          <w:rFonts w:asciiTheme="majorHAnsi" w:hAnsiTheme="majorHAnsi"/>
          <w:color w:val="1C2126"/>
          <w:sz w:val="20"/>
          <w:szCs w:val="20"/>
          <w:lang w:val="es-ES_tradnl"/>
        </w:rPr>
        <w:t xml:space="preserve"> un gran deterioro en </w:t>
      </w:r>
      <w:r w:rsidR="00340650" w:rsidRPr="005B31EF">
        <w:rPr>
          <w:rFonts w:asciiTheme="majorHAnsi" w:hAnsiTheme="majorHAnsi"/>
          <w:color w:val="1C2126"/>
          <w:sz w:val="20"/>
          <w:szCs w:val="20"/>
          <w:lang w:val="es-ES_tradnl"/>
        </w:rPr>
        <w:t>su</w:t>
      </w:r>
      <w:r w:rsidRPr="005B31EF">
        <w:rPr>
          <w:rFonts w:asciiTheme="majorHAnsi" w:hAnsiTheme="majorHAnsi"/>
          <w:color w:val="1C2126"/>
          <w:sz w:val="20"/>
          <w:szCs w:val="20"/>
          <w:lang w:val="es-ES_tradnl"/>
        </w:rPr>
        <w:t xml:space="preserve"> salud </w:t>
      </w:r>
      <w:r w:rsidR="00340650" w:rsidRPr="005B31EF">
        <w:rPr>
          <w:rFonts w:asciiTheme="majorHAnsi" w:hAnsiTheme="majorHAnsi"/>
          <w:color w:val="1C2126"/>
          <w:sz w:val="20"/>
          <w:szCs w:val="20"/>
          <w:lang w:val="es-ES_tradnl"/>
        </w:rPr>
        <w:t>física</w:t>
      </w:r>
      <w:r w:rsidRPr="005B31EF">
        <w:rPr>
          <w:rFonts w:asciiTheme="majorHAnsi" w:hAnsiTheme="majorHAnsi"/>
          <w:color w:val="1C2126"/>
          <w:sz w:val="20"/>
          <w:szCs w:val="20"/>
          <w:lang w:val="es-ES_tradnl"/>
        </w:rPr>
        <w:t xml:space="preserve"> y mental, sin mencionar los </w:t>
      </w:r>
      <w:r w:rsidR="00340650" w:rsidRPr="005B31EF">
        <w:rPr>
          <w:rFonts w:asciiTheme="majorHAnsi" w:hAnsiTheme="majorHAnsi"/>
          <w:color w:val="1C2126"/>
          <w:sz w:val="20"/>
          <w:szCs w:val="20"/>
          <w:lang w:val="es-ES_tradnl"/>
        </w:rPr>
        <w:t>daños</w:t>
      </w:r>
      <w:r w:rsidRPr="005B31EF">
        <w:rPr>
          <w:rFonts w:asciiTheme="majorHAnsi" w:hAnsiTheme="majorHAnsi"/>
          <w:color w:val="1C2126"/>
          <w:sz w:val="20"/>
          <w:szCs w:val="20"/>
          <w:lang w:val="es-ES_tradnl"/>
        </w:rPr>
        <w:t xml:space="preserve"> morales y </w:t>
      </w:r>
      <w:r w:rsidR="00340650" w:rsidRPr="005B31EF">
        <w:rPr>
          <w:rFonts w:asciiTheme="majorHAnsi" w:hAnsiTheme="majorHAnsi"/>
          <w:color w:val="1C2126"/>
          <w:sz w:val="20"/>
          <w:szCs w:val="20"/>
          <w:lang w:val="es-ES_tradnl"/>
        </w:rPr>
        <w:t>económicos</w:t>
      </w:r>
      <w:r w:rsidRPr="005B31EF">
        <w:rPr>
          <w:rFonts w:asciiTheme="majorHAnsi" w:hAnsiTheme="majorHAnsi"/>
          <w:color w:val="1C2126"/>
          <w:sz w:val="20"/>
          <w:szCs w:val="20"/>
          <w:lang w:val="es-ES_tradnl"/>
        </w:rPr>
        <w:t xml:space="preserve"> que</w:t>
      </w:r>
      <w:r w:rsidR="00340650" w:rsidRPr="005B31EF">
        <w:rPr>
          <w:rFonts w:asciiTheme="majorHAnsi" w:hAnsiTheme="majorHAnsi"/>
          <w:color w:val="1C2126"/>
          <w:sz w:val="20"/>
          <w:szCs w:val="20"/>
          <w:lang w:val="es-ES_tradnl"/>
        </w:rPr>
        <w:t xml:space="preserve"> padece.</w:t>
      </w:r>
    </w:p>
    <w:p w14:paraId="41AC41C5" w14:textId="0AE564C1" w:rsidR="00AB64D3" w:rsidRPr="005B31EF" w:rsidRDefault="00AB64D3" w:rsidP="00340650">
      <w:pPr>
        <w:pStyle w:val="ListParagraph"/>
        <w:suppressAutoHyphens/>
        <w:spacing w:before="240" w:after="240"/>
        <w:jc w:val="both"/>
        <w:rPr>
          <w:rFonts w:asciiTheme="majorHAnsi" w:hAnsiTheme="majorHAnsi"/>
          <w:i/>
          <w:iCs/>
          <w:sz w:val="20"/>
          <w:szCs w:val="20"/>
          <w:lang w:val="es-ES_tradnl"/>
        </w:rPr>
      </w:pPr>
      <w:r w:rsidRPr="005B31EF">
        <w:rPr>
          <w:rFonts w:asciiTheme="majorHAnsi" w:hAnsiTheme="majorHAnsi"/>
          <w:i/>
          <w:iCs/>
          <w:color w:val="auto"/>
          <w:sz w:val="20"/>
          <w:szCs w:val="20"/>
          <w:lang w:val="es-ES_tradnl"/>
        </w:rPr>
        <w:t xml:space="preserve">Alegatos </w:t>
      </w:r>
      <w:r w:rsidRPr="005B31EF">
        <w:rPr>
          <w:rFonts w:asciiTheme="majorHAnsi" w:hAnsiTheme="majorHAnsi"/>
          <w:i/>
          <w:iCs/>
          <w:sz w:val="20"/>
          <w:szCs w:val="20"/>
          <w:lang w:val="es-ES_tradnl"/>
        </w:rPr>
        <w:t>del Estado</w:t>
      </w:r>
      <w:r w:rsidR="00A666DA" w:rsidRPr="005B31EF">
        <w:rPr>
          <w:rFonts w:asciiTheme="majorHAnsi" w:hAnsiTheme="majorHAnsi"/>
          <w:i/>
          <w:iCs/>
          <w:sz w:val="20"/>
          <w:szCs w:val="20"/>
          <w:lang w:val="es-ES_tradnl"/>
        </w:rPr>
        <w:t xml:space="preserve"> nicaragüense</w:t>
      </w:r>
    </w:p>
    <w:p w14:paraId="24BDFB1A" w14:textId="0A0EAB43" w:rsidR="0057731A" w:rsidRPr="005B31EF" w:rsidRDefault="00AA5C8E" w:rsidP="0057731A">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El Estado</w:t>
      </w:r>
      <w:r w:rsidR="00C73122" w:rsidRPr="005B31EF">
        <w:rPr>
          <w:rFonts w:asciiTheme="majorHAnsi" w:hAnsiTheme="majorHAnsi"/>
          <w:sz w:val="20"/>
          <w:szCs w:val="20"/>
          <w:lang w:val="es-ES_tradnl"/>
        </w:rPr>
        <w:t xml:space="preserve">, por su parte, </w:t>
      </w:r>
      <w:r w:rsidR="00085A58" w:rsidRPr="005B31EF">
        <w:rPr>
          <w:rFonts w:asciiTheme="majorHAnsi" w:hAnsiTheme="majorHAnsi"/>
          <w:sz w:val="20"/>
          <w:szCs w:val="20"/>
          <w:lang w:val="es-ES_tradnl"/>
        </w:rPr>
        <w:t>replica que la petición es inadmisible por falta de caracterización, toda vez que</w:t>
      </w:r>
      <w:r w:rsidR="008D22F8" w:rsidRPr="005B31EF">
        <w:rPr>
          <w:rFonts w:asciiTheme="majorHAnsi" w:hAnsiTheme="majorHAnsi"/>
          <w:sz w:val="20"/>
          <w:szCs w:val="20"/>
          <w:lang w:val="es-ES_tradnl"/>
        </w:rPr>
        <w:t>, a su juicio,</w:t>
      </w:r>
      <w:r w:rsidR="00085A58" w:rsidRPr="005B31EF">
        <w:rPr>
          <w:rFonts w:asciiTheme="majorHAnsi" w:hAnsiTheme="majorHAnsi"/>
          <w:sz w:val="20"/>
          <w:szCs w:val="20"/>
          <w:lang w:val="es-ES_tradnl"/>
        </w:rPr>
        <w:t xml:space="preserve"> la detención y extradición de la presunta víctima se </w:t>
      </w:r>
      <w:r w:rsidR="009D7805" w:rsidRPr="005B31EF">
        <w:rPr>
          <w:rFonts w:asciiTheme="majorHAnsi" w:hAnsiTheme="majorHAnsi"/>
          <w:sz w:val="20"/>
          <w:szCs w:val="20"/>
          <w:lang w:val="es-ES_tradnl"/>
        </w:rPr>
        <w:t>realizaron</w:t>
      </w:r>
      <w:r w:rsidR="00085A58" w:rsidRPr="005B31EF">
        <w:rPr>
          <w:rFonts w:asciiTheme="majorHAnsi" w:hAnsiTheme="majorHAnsi"/>
          <w:sz w:val="20"/>
          <w:szCs w:val="20"/>
          <w:lang w:val="es-ES_tradnl"/>
        </w:rPr>
        <w:t xml:space="preserve"> en respeto a sus derechos. R</w:t>
      </w:r>
      <w:r w:rsidRPr="005B31EF">
        <w:rPr>
          <w:rFonts w:asciiTheme="majorHAnsi" w:hAnsiTheme="majorHAnsi"/>
          <w:sz w:val="20"/>
          <w:szCs w:val="20"/>
          <w:lang w:val="es-ES_tradnl"/>
        </w:rPr>
        <w:t>elata que</w:t>
      </w:r>
      <w:r w:rsidR="00E96AAE" w:rsidRPr="005B31EF">
        <w:rPr>
          <w:rFonts w:asciiTheme="majorHAnsi" w:hAnsiTheme="majorHAnsi"/>
          <w:sz w:val="20"/>
          <w:szCs w:val="20"/>
          <w:lang w:val="es-ES_tradnl"/>
        </w:rPr>
        <w:t xml:space="preserve"> </w:t>
      </w:r>
      <w:r w:rsidR="0057731A" w:rsidRPr="005B31EF">
        <w:rPr>
          <w:rFonts w:asciiTheme="majorHAnsi" w:hAnsiTheme="majorHAnsi"/>
          <w:sz w:val="20"/>
          <w:szCs w:val="20"/>
          <w:lang w:val="es-ES_tradnl"/>
        </w:rPr>
        <w:t xml:space="preserve">el 26 de mayo de 2015 las </w:t>
      </w:r>
      <w:r w:rsidR="00E96AAE" w:rsidRPr="005B31EF">
        <w:rPr>
          <w:rFonts w:asciiTheme="majorHAnsi" w:hAnsiTheme="majorHAnsi"/>
          <w:sz w:val="20"/>
          <w:szCs w:val="20"/>
          <w:lang w:val="es-ES_tradnl"/>
        </w:rPr>
        <w:t>autoridades detuvieron a la presunta víctima, dado que</w:t>
      </w:r>
      <w:r w:rsidR="00E76BCF" w:rsidRPr="005B31EF">
        <w:rPr>
          <w:rFonts w:asciiTheme="majorHAnsi" w:hAnsiTheme="majorHAnsi"/>
          <w:sz w:val="20"/>
          <w:szCs w:val="20"/>
          <w:lang w:val="es-ES_tradnl"/>
        </w:rPr>
        <w:t xml:space="preserve"> el 26 de junio de 2013 la INTERPOL </w:t>
      </w:r>
      <w:r w:rsidR="0057731A" w:rsidRPr="005B31EF">
        <w:rPr>
          <w:rFonts w:asciiTheme="majorHAnsi" w:hAnsiTheme="majorHAnsi"/>
          <w:sz w:val="20"/>
          <w:szCs w:val="20"/>
          <w:lang w:val="es-ES_tradnl"/>
        </w:rPr>
        <w:t xml:space="preserve">había </w:t>
      </w:r>
      <w:r w:rsidR="00E76BCF" w:rsidRPr="005B31EF">
        <w:rPr>
          <w:rFonts w:asciiTheme="majorHAnsi" w:hAnsiTheme="majorHAnsi"/>
          <w:sz w:val="20"/>
          <w:szCs w:val="20"/>
          <w:lang w:val="es-ES_tradnl"/>
        </w:rPr>
        <w:t>emiti</w:t>
      </w:r>
      <w:r w:rsidR="0057731A" w:rsidRPr="005B31EF">
        <w:rPr>
          <w:rFonts w:asciiTheme="majorHAnsi" w:hAnsiTheme="majorHAnsi"/>
          <w:sz w:val="20"/>
          <w:szCs w:val="20"/>
          <w:lang w:val="es-ES_tradnl"/>
        </w:rPr>
        <w:t>do</w:t>
      </w:r>
      <w:r w:rsidR="00E76BCF" w:rsidRPr="005B31EF">
        <w:rPr>
          <w:rFonts w:asciiTheme="majorHAnsi" w:hAnsiTheme="majorHAnsi"/>
          <w:sz w:val="20"/>
          <w:szCs w:val="20"/>
          <w:lang w:val="es-ES_tradnl"/>
        </w:rPr>
        <w:t xml:space="preserve"> una notificación roja en su contra</w:t>
      </w:r>
      <w:r w:rsidR="00F330CC" w:rsidRPr="005B31EF">
        <w:rPr>
          <w:rFonts w:asciiTheme="majorHAnsi" w:hAnsiTheme="majorHAnsi"/>
          <w:sz w:val="20"/>
          <w:szCs w:val="20"/>
          <w:lang w:val="es-ES_tradnl"/>
        </w:rPr>
        <w:t>. Dicha notificación se derivó</w:t>
      </w:r>
      <w:r w:rsidR="007620C2" w:rsidRPr="005B31EF">
        <w:rPr>
          <w:rFonts w:asciiTheme="majorHAnsi" w:hAnsiTheme="majorHAnsi"/>
          <w:sz w:val="20"/>
          <w:szCs w:val="20"/>
          <w:lang w:val="es-ES_tradnl"/>
        </w:rPr>
        <w:t xml:space="preserve"> </w:t>
      </w:r>
      <w:r w:rsidR="00E76BCF" w:rsidRPr="005B31EF">
        <w:rPr>
          <w:rFonts w:asciiTheme="majorHAnsi" w:hAnsiTheme="majorHAnsi"/>
          <w:sz w:val="20"/>
          <w:szCs w:val="20"/>
          <w:lang w:val="es-ES_tradnl"/>
        </w:rPr>
        <w:t xml:space="preserve">de una orden de aprehensión emitida por el Juez Sexto Penal en el Distrito Federal de México el 21 de marzo de 2012, por </w:t>
      </w:r>
      <w:r w:rsidR="00085A58" w:rsidRPr="005B31EF">
        <w:rPr>
          <w:rFonts w:asciiTheme="majorHAnsi" w:hAnsiTheme="majorHAnsi"/>
          <w:sz w:val="20"/>
          <w:szCs w:val="20"/>
          <w:lang w:val="es-ES_tradnl"/>
        </w:rPr>
        <w:t xml:space="preserve">su </w:t>
      </w:r>
      <w:r w:rsidR="00E76BCF" w:rsidRPr="005B31EF">
        <w:rPr>
          <w:rFonts w:asciiTheme="majorHAnsi" w:hAnsiTheme="majorHAnsi"/>
          <w:sz w:val="20"/>
          <w:szCs w:val="20"/>
          <w:lang w:val="es-ES_tradnl"/>
        </w:rPr>
        <w:t xml:space="preserve">probable responsabilidad en la comisión del delito de fraude genérico. </w:t>
      </w:r>
      <w:r w:rsidR="00085A58" w:rsidRPr="005B31EF">
        <w:rPr>
          <w:rFonts w:asciiTheme="majorHAnsi" w:hAnsiTheme="majorHAnsi"/>
          <w:sz w:val="20"/>
          <w:szCs w:val="20"/>
          <w:lang w:val="es-ES_tradnl"/>
        </w:rPr>
        <w:t xml:space="preserve">Destaca que, al momento de la detención, las autoridades le comunicaron al señor Gil Trejos los motivos de </w:t>
      </w:r>
      <w:r w:rsidR="00EB6EC0" w:rsidRPr="005B31EF">
        <w:rPr>
          <w:rFonts w:asciiTheme="majorHAnsi" w:hAnsiTheme="majorHAnsi"/>
          <w:sz w:val="20"/>
          <w:szCs w:val="20"/>
          <w:lang w:val="es-ES_tradnl"/>
        </w:rPr>
        <w:t>esta</w:t>
      </w:r>
      <w:r w:rsidR="00F62449" w:rsidRPr="005B31EF">
        <w:rPr>
          <w:rFonts w:asciiTheme="majorHAnsi" w:hAnsiTheme="majorHAnsi"/>
          <w:sz w:val="20"/>
          <w:szCs w:val="20"/>
          <w:lang w:val="es-ES_tradnl"/>
        </w:rPr>
        <w:t xml:space="preserve"> </w:t>
      </w:r>
      <w:r w:rsidR="00085A58" w:rsidRPr="005B31EF">
        <w:rPr>
          <w:rFonts w:asciiTheme="majorHAnsi" w:hAnsiTheme="majorHAnsi"/>
          <w:sz w:val="20"/>
          <w:szCs w:val="20"/>
          <w:lang w:val="es-ES_tradnl"/>
        </w:rPr>
        <w:t xml:space="preserve">y los derechos que le asistían. Además, refiere que el 2 de junio de 2015 la Cancillería puso en conocimiento </w:t>
      </w:r>
      <w:r w:rsidR="008851EB" w:rsidRPr="005B31EF">
        <w:rPr>
          <w:rFonts w:asciiTheme="majorHAnsi" w:hAnsiTheme="majorHAnsi"/>
          <w:sz w:val="20"/>
          <w:szCs w:val="20"/>
          <w:lang w:val="es-ES_tradnl"/>
        </w:rPr>
        <w:t>de</w:t>
      </w:r>
      <w:r w:rsidR="00085A58" w:rsidRPr="005B31EF">
        <w:rPr>
          <w:rFonts w:asciiTheme="majorHAnsi" w:hAnsiTheme="majorHAnsi"/>
          <w:sz w:val="20"/>
          <w:szCs w:val="20"/>
          <w:lang w:val="es-ES_tradnl"/>
        </w:rPr>
        <w:t xml:space="preserve"> los representantes de la Embajada de Costa Rica </w:t>
      </w:r>
      <w:r w:rsidR="0057731A" w:rsidRPr="005B31EF">
        <w:rPr>
          <w:rFonts w:asciiTheme="majorHAnsi" w:hAnsiTheme="majorHAnsi"/>
          <w:sz w:val="20"/>
          <w:szCs w:val="20"/>
          <w:lang w:val="es-ES_tradnl"/>
        </w:rPr>
        <w:t xml:space="preserve">la situación de la presunta víctima y gestionaron que </w:t>
      </w:r>
      <w:r w:rsidR="00C64184" w:rsidRPr="005B31EF">
        <w:rPr>
          <w:rFonts w:asciiTheme="majorHAnsi" w:hAnsiTheme="majorHAnsi"/>
          <w:sz w:val="20"/>
          <w:szCs w:val="20"/>
          <w:lang w:val="es-ES_tradnl"/>
        </w:rPr>
        <w:t>las</w:t>
      </w:r>
      <w:r w:rsidR="0057731A" w:rsidRPr="005B31EF">
        <w:rPr>
          <w:rFonts w:asciiTheme="majorHAnsi" w:hAnsiTheme="majorHAnsi"/>
          <w:sz w:val="20"/>
          <w:szCs w:val="20"/>
          <w:lang w:val="es-ES_tradnl"/>
        </w:rPr>
        <w:t xml:space="preserve"> autoridades costarricenses pudiesen visitarlo. </w:t>
      </w:r>
      <w:r w:rsidR="00146685" w:rsidRPr="005B31EF">
        <w:rPr>
          <w:rFonts w:asciiTheme="majorHAnsi" w:hAnsiTheme="majorHAnsi"/>
          <w:sz w:val="20"/>
          <w:szCs w:val="20"/>
          <w:lang w:val="es-ES_tradnl"/>
        </w:rPr>
        <w:t>En consecuencia</w:t>
      </w:r>
      <w:r w:rsidR="0057731A" w:rsidRPr="005B31EF">
        <w:rPr>
          <w:rFonts w:asciiTheme="majorHAnsi" w:hAnsiTheme="majorHAnsi"/>
          <w:sz w:val="20"/>
          <w:szCs w:val="20"/>
          <w:lang w:val="es-ES_tradnl"/>
        </w:rPr>
        <w:t>, el Vicecónsul de la Embajada de Costa Rica visitó a la presunta víctima el 8 y 23 de junio, 28 de julio y 4 de agosto de 2015</w:t>
      </w:r>
      <w:r w:rsidR="00146685" w:rsidRPr="005B31EF">
        <w:rPr>
          <w:rFonts w:asciiTheme="majorHAnsi" w:hAnsiTheme="majorHAnsi"/>
          <w:sz w:val="20"/>
          <w:szCs w:val="20"/>
          <w:lang w:val="es-ES_tradnl"/>
        </w:rPr>
        <w:t>;</w:t>
      </w:r>
      <w:r w:rsidR="0057731A" w:rsidRPr="005B31EF">
        <w:rPr>
          <w:rFonts w:asciiTheme="majorHAnsi" w:hAnsiTheme="majorHAnsi"/>
          <w:sz w:val="20"/>
          <w:szCs w:val="20"/>
          <w:lang w:val="es-ES_tradnl"/>
        </w:rPr>
        <w:t xml:space="preserve"> y lo acompaño a todas las audiencias que se llevaron ante la Sala Penal de la Corte de Suprema de Justicia en el proceso de extradición</w:t>
      </w:r>
      <w:r w:rsidR="006D66C9">
        <w:rPr>
          <w:rFonts w:asciiTheme="majorHAnsi" w:hAnsiTheme="majorHAnsi"/>
          <w:sz w:val="20"/>
          <w:szCs w:val="20"/>
          <w:lang w:val="es-ES_tradnl"/>
        </w:rPr>
        <w:t>.</w:t>
      </w:r>
    </w:p>
    <w:p w14:paraId="08994280" w14:textId="715FAD7B" w:rsidR="00AB64D3" w:rsidRPr="005B31EF" w:rsidRDefault="0057731A" w:rsidP="00085A58">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R</w:t>
      </w:r>
      <w:r w:rsidR="00E76BCF" w:rsidRPr="005B31EF">
        <w:rPr>
          <w:rFonts w:asciiTheme="majorHAnsi" w:hAnsiTheme="majorHAnsi"/>
          <w:sz w:val="20"/>
          <w:szCs w:val="20"/>
          <w:lang w:val="es-ES_tradnl"/>
        </w:rPr>
        <w:t>efiere que</w:t>
      </w:r>
      <w:r w:rsidRPr="005B31EF">
        <w:rPr>
          <w:rFonts w:asciiTheme="majorHAnsi" w:hAnsiTheme="majorHAnsi"/>
          <w:sz w:val="20"/>
          <w:szCs w:val="20"/>
          <w:lang w:val="es-ES_tradnl"/>
        </w:rPr>
        <w:t xml:space="preserve"> </w:t>
      </w:r>
      <w:r w:rsidR="00E76BCF" w:rsidRPr="005B31EF">
        <w:rPr>
          <w:rFonts w:asciiTheme="majorHAnsi" w:hAnsiTheme="majorHAnsi"/>
          <w:sz w:val="20"/>
          <w:szCs w:val="20"/>
          <w:lang w:val="es-ES_tradnl"/>
        </w:rPr>
        <w:t>el 4 de junio de 2015 la Subprocuraduría Jurídica y de Asuntos Internacional</w:t>
      </w:r>
      <w:r w:rsidR="0002463E" w:rsidRPr="005B31EF">
        <w:rPr>
          <w:rFonts w:asciiTheme="majorHAnsi" w:hAnsiTheme="majorHAnsi"/>
          <w:sz w:val="20"/>
          <w:szCs w:val="20"/>
          <w:lang w:val="es-ES_tradnl"/>
        </w:rPr>
        <w:t>es</w:t>
      </w:r>
      <w:r w:rsidR="00E76BCF" w:rsidRPr="005B31EF">
        <w:rPr>
          <w:rFonts w:asciiTheme="majorHAnsi" w:hAnsiTheme="majorHAnsi"/>
          <w:sz w:val="20"/>
          <w:szCs w:val="20"/>
          <w:lang w:val="es-ES_tradnl"/>
        </w:rPr>
        <w:t xml:space="preserve"> de los Estados Unidos Mexicanos para Centroamérica y el Caribe remitió por vía electrónica al Ministerio Públic</w:t>
      </w:r>
      <w:r w:rsidR="00FB2971" w:rsidRPr="005B31EF">
        <w:rPr>
          <w:rFonts w:asciiTheme="majorHAnsi" w:hAnsiTheme="majorHAnsi"/>
          <w:sz w:val="20"/>
          <w:szCs w:val="20"/>
          <w:lang w:val="es-ES_tradnl"/>
        </w:rPr>
        <w:t>o</w:t>
      </w:r>
      <w:r w:rsidR="00E76BCF" w:rsidRPr="005B31EF">
        <w:rPr>
          <w:rFonts w:asciiTheme="majorHAnsi" w:hAnsiTheme="majorHAnsi"/>
          <w:sz w:val="20"/>
          <w:szCs w:val="20"/>
          <w:lang w:val="es-ES_tradnl"/>
        </w:rPr>
        <w:t xml:space="preserve"> de Nicaragua la solicitud de detención provisional con fines de extradición contra el señor Gil Trejos.</w:t>
      </w:r>
      <w:r w:rsidR="00085A58" w:rsidRPr="005B31EF">
        <w:rPr>
          <w:rFonts w:asciiTheme="majorHAnsi" w:hAnsiTheme="majorHAnsi"/>
          <w:sz w:val="20"/>
          <w:szCs w:val="20"/>
          <w:lang w:val="es-ES_tradnl"/>
        </w:rPr>
        <w:t xml:space="preserve"> </w:t>
      </w:r>
      <w:r w:rsidR="00E76BCF" w:rsidRPr="005B31EF">
        <w:rPr>
          <w:rFonts w:asciiTheme="majorHAnsi" w:hAnsiTheme="majorHAnsi"/>
          <w:sz w:val="20"/>
          <w:szCs w:val="20"/>
          <w:lang w:val="es-ES_tradnl"/>
        </w:rPr>
        <w:t>De este modo, alega que la Fiscal General de la República de Nicaragua, en cumplimiento de la normativa nacional e internacional aplicable al caso, presentó solicitud formal de detención provisional con fines de extradición en contra de la presunta víctima</w:t>
      </w:r>
      <w:r w:rsidR="000517A2" w:rsidRPr="005B31EF">
        <w:rPr>
          <w:rFonts w:asciiTheme="majorHAnsi" w:hAnsiTheme="majorHAnsi"/>
          <w:sz w:val="20"/>
          <w:szCs w:val="20"/>
          <w:lang w:val="es-ES_tradnl"/>
        </w:rPr>
        <w:t>;</w:t>
      </w:r>
      <w:r w:rsidR="00E76BCF" w:rsidRPr="005B31EF">
        <w:rPr>
          <w:rFonts w:asciiTheme="majorHAnsi" w:hAnsiTheme="majorHAnsi"/>
          <w:sz w:val="20"/>
          <w:szCs w:val="20"/>
          <w:lang w:val="es-ES_tradnl"/>
        </w:rPr>
        <w:t xml:space="preserve"> en consecuencia, el 25 de junio de 2015 la Sala Penal de la Corte Suprema de Justicia, mediante auto resolutivo, aprobó tal pedido. </w:t>
      </w:r>
      <w:r w:rsidR="00025577" w:rsidRPr="005B31EF">
        <w:rPr>
          <w:rFonts w:asciiTheme="majorHAnsi" w:hAnsiTheme="majorHAnsi"/>
          <w:sz w:val="20"/>
          <w:szCs w:val="20"/>
          <w:lang w:val="es-ES_tradnl"/>
        </w:rPr>
        <w:t>E</w:t>
      </w:r>
      <w:r w:rsidR="00E76BCF" w:rsidRPr="005B31EF">
        <w:rPr>
          <w:rFonts w:asciiTheme="majorHAnsi" w:hAnsiTheme="majorHAnsi"/>
          <w:sz w:val="20"/>
          <w:szCs w:val="20"/>
          <w:lang w:val="es-ES_tradnl"/>
        </w:rPr>
        <w:t>l 10 de julio de 2015 el Ministerio Público de la República de Nicaragua recibió la solicitud formal de extradición</w:t>
      </w:r>
      <w:r w:rsidR="00020D47" w:rsidRPr="005B31EF">
        <w:rPr>
          <w:rFonts w:asciiTheme="majorHAnsi" w:hAnsiTheme="majorHAnsi"/>
          <w:sz w:val="20"/>
          <w:szCs w:val="20"/>
          <w:lang w:val="es-ES_tradnl"/>
        </w:rPr>
        <w:t xml:space="preserve"> por </w:t>
      </w:r>
      <w:r w:rsidR="007F2A8C" w:rsidRPr="005B31EF">
        <w:rPr>
          <w:rFonts w:asciiTheme="majorHAnsi" w:hAnsiTheme="majorHAnsi"/>
          <w:sz w:val="20"/>
          <w:szCs w:val="20"/>
          <w:lang w:val="es-ES_tradnl"/>
        </w:rPr>
        <w:t>parte de las autoridades mexicanas</w:t>
      </w:r>
      <w:r w:rsidR="00E76BCF" w:rsidRPr="005B31EF">
        <w:rPr>
          <w:rFonts w:asciiTheme="majorHAnsi" w:hAnsiTheme="majorHAnsi"/>
          <w:sz w:val="20"/>
          <w:szCs w:val="20"/>
          <w:lang w:val="es-ES_tradnl"/>
        </w:rPr>
        <w:t xml:space="preserve">, por lo que el 13 de julio de 2015 procedió a presentar ante la Sala Penal de la Corte Suprema </w:t>
      </w:r>
      <w:r w:rsidR="00085A58" w:rsidRPr="005B31EF">
        <w:rPr>
          <w:rFonts w:asciiTheme="majorHAnsi" w:hAnsiTheme="majorHAnsi"/>
          <w:sz w:val="20"/>
          <w:szCs w:val="20"/>
          <w:lang w:val="es-ES_tradnl"/>
        </w:rPr>
        <w:t xml:space="preserve">la solicitud de extradición en contra del señor Gil Trejos. </w:t>
      </w:r>
      <w:r w:rsidR="00D416E7" w:rsidRPr="005B31EF">
        <w:rPr>
          <w:rFonts w:asciiTheme="majorHAnsi" w:hAnsiTheme="majorHAnsi"/>
          <w:sz w:val="20"/>
          <w:szCs w:val="20"/>
          <w:lang w:val="es-ES_tradnl"/>
        </w:rPr>
        <w:t>L</w:t>
      </w:r>
      <w:r w:rsidR="00085A58" w:rsidRPr="005B31EF">
        <w:rPr>
          <w:rFonts w:asciiTheme="majorHAnsi" w:hAnsiTheme="majorHAnsi"/>
          <w:sz w:val="20"/>
          <w:szCs w:val="20"/>
          <w:lang w:val="es-ES_tradnl"/>
        </w:rPr>
        <w:t>uego de cumplir el trámite correspondiente, el 23 de julio de 2015 el citado alto tribunal emitió sentencia y resolvió conceder la extradición de la presunta víctima hacia los Estados Unidos Mexicanos. R</w:t>
      </w:r>
      <w:r w:rsidR="00E96AAE" w:rsidRPr="005B31EF">
        <w:rPr>
          <w:rFonts w:asciiTheme="majorHAnsi" w:hAnsiTheme="majorHAnsi"/>
          <w:sz w:val="20"/>
          <w:szCs w:val="20"/>
          <w:lang w:val="es-ES_tradnl"/>
        </w:rPr>
        <w:t>efiere que</w:t>
      </w:r>
      <w:r w:rsidR="00085A58" w:rsidRPr="005B31EF">
        <w:rPr>
          <w:rFonts w:asciiTheme="majorHAnsi" w:hAnsiTheme="majorHAnsi"/>
          <w:sz w:val="20"/>
          <w:szCs w:val="20"/>
          <w:lang w:val="es-ES_tradnl"/>
        </w:rPr>
        <w:t xml:space="preserve"> contra esta decisión</w:t>
      </w:r>
      <w:r w:rsidR="00E96AAE" w:rsidRPr="005B31EF">
        <w:rPr>
          <w:rFonts w:asciiTheme="majorHAnsi" w:hAnsiTheme="majorHAnsi"/>
          <w:sz w:val="20"/>
          <w:szCs w:val="20"/>
          <w:lang w:val="es-ES_tradnl"/>
        </w:rPr>
        <w:t xml:space="preserve"> </w:t>
      </w:r>
      <w:r w:rsidR="005C7084" w:rsidRPr="005B31EF">
        <w:rPr>
          <w:rFonts w:asciiTheme="majorHAnsi" w:hAnsiTheme="majorHAnsi"/>
          <w:sz w:val="20"/>
          <w:szCs w:val="20"/>
          <w:lang w:val="es-ES_tradnl"/>
        </w:rPr>
        <w:t>la</w:t>
      </w:r>
      <w:r w:rsidR="00AE67DD" w:rsidRPr="005B31EF">
        <w:rPr>
          <w:rFonts w:asciiTheme="majorHAnsi" w:hAnsiTheme="majorHAnsi"/>
          <w:sz w:val="20"/>
          <w:szCs w:val="20"/>
          <w:lang w:val="es-ES_tradnl"/>
        </w:rPr>
        <w:t xml:space="preserve"> defensa de la presunta víctima presentó </w:t>
      </w:r>
      <w:r w:rsidR="005C7084" w:rsidRPr="005B31EF">
        <w:rPr>
          <w:rFonts w:asciiTheme="majorHAnsi" w:hAnsiTheme="majorHAnsi"/>
          <w:sz w:val="20"/>
          <w:szCs w:val="20"/>
          <w:lang w:val="es-ES_tradnl"/>
        </w:rPr>
        <w:t xml:space="preserve">un </w:t>
      </w:r>
      <w:r w:rsidR="00AE67DD" w:rsidRPr="005B31EF">
        <w:rPr>
          <w:rFonts w:asciiTheme="majorHAnsi" w:hAnsiTheme="majorHAnsi"/>
          <w:sz w:val="20"/>
          <w:szCs w:val="20"/>
          <w:lang w:val="es-ES_tradnl"/>
        </w:rPr>
        <w:t>recurso de reposición</w:t>
      </w:r>
      <w:r w:rsidR="00E96AAE" w:rsidRPr="005B31EF">
        <w:rPr>
          <w:rFonts w:asciiTheme="majorHAnsi" w:hAnsiTheme="majorHAnsi"/>
          <w:sz w:val="20"/>
          <w:szCs w:val="20"/>
          <w:lang w:val="es-ES_tradnl"/>
        </w:rPr>
        <w:t xml:space="preserve">, pero </w:t>
      </w:r>
      <w:r w:rsidR="00921B60" w:rsidRPr="005B31EF">
        <w:rPr>
          <w:rFonts w:asciiTheme="majorHAnsi" w:hAnsiTheme="majorHAnsi"/>
          <w:sz w:val="20"/>
          <w:szCs w:val="20"/>
          <w:lang w:val="es-ES_tradnl"/>
        </w:rPr>
        <w:t>la Corte Suprema de Justicia</w:t>
      </w:r>
      <w:r w:rsidR="00E96AAE" w:rsidRPr="005B31EF">
        <w:rPr>
          <w:rFonts w:asciiTheme="majorHAnsi" w:hAnsiTheme="majorHAnsi"/>
          <w:sz w:val="20"/>
          <w:szCs w:val="20"/>
          <w:lang w:val="es-ES_tradnl"/>
        </w:rPr>
        <w:t xml:space="preserve"> lo rechazo</w:t>
      </w:r>
      <w:r w:rsidR="00085A58" w:rsidRPr="005B31EF">
        <w:rPr>
          <w:rFonts w:asciiTheme="majorHAnsi" w:hAnsiTheme="majorHAnsi"/>
          <w:sz w:val="20"/>
          <w:szCs w:val="20"/>
          <w:lang w:val="es-ES_tradnl"/>
        </w:rPr>
        <w:t xml:space="preserve">, quedando firme la sentencia de extradición. En razón a ello, el 7 de agosto de 2015 las autoridades </w:t>
      </w:r>
      <w:r w:rsidR="009447B7" w:rsidRPr="005B31EF">
        <w:rPr>
          <w:rFonts w:asciiTheme="majorHAnsi" w:hAnsiTheme="majorHAnsi"/>
          <w:sz w:val="20"/>
          <w:szCs w:val="20"/>
          <w:lang w:val="es-ES_tradnl"/>
        </w:rPr>
        <w:t>llevaron</w:t>
      </w:r>
      <w:r w:rsidR="00085A58" w:rsidRPr="005B31EF">
        <w:rPr>
          <w:rFonts w:asciiTheme="majorHAnsi" w:hAnsiTheme="majorHAnsi"/>
          <w:sz w:val="20"/>
          <w:szCs w:val="20"/>
          <w:lang w:val="es-ES_tradnl"/>
        </w:rPr>
        <w:t xml:space="preserve"> al señor Gil Trejos al aeropuerto y lo entregaron al Cónsul de México y a los policías federales ministeriales de la Dirección General de Asuntos Policiales Internacionales e INTERPOL. </w:t>
      </w:r>
    </w:p>
    <w:p w14:paraId="197102FD" w14:textId="21D7586C" w:rsidR="00AB64D3" w:rsidRPr="005B31EF" w:rsidRDefault="00AC03DE" w:rsidP="00214D89">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Además</w:t>
      </w:r>
      <w:r w:rsidR="00214D89" w:rsidRPr="005B31EF">
        <w:rPr>
          <w:rFonts w:asciiTheme="majorHAnsi" w:hAnsiTheme="majorHAnsi"/>
          <w:sz w:val="20"/>
          <w:szCs w:val="20"/>
          <w:lang w:val="es-ES_tradnl"/>
        </w:rPr>
        <w:t>, informa</w:t>
      </w:r>
      <w:r w:rsidR="00D71904" w:rsidRPr="005B31EF">
        <w:rPr>
          <w:rFonts w:asciiTheme="majorHAnsi" w:hAnsiTheme="majorHAnsi"/>
          <w:sz w:val="20"/>
          <w:szCs w:val="20"/>
          <w:lang w:val="es-ES_tradnl"/>
        </w:rPr>
        <w:t xml:space="preserve"> que</w:t>
      </w:r>
      <w:r w:rsidR="0057731A" w:rsidRPr="005B31EF">
        <w:rPr>
          <w:rFonts w:asciiTheme="majorHAnsi" w:hAnsiTheme="majorHAnsi"/>
          <w:sz w:val="20"/>
          <w:szCs w:val="20"/>
          <w:lang w:val="es-ES_tradnl"/>
        </w:rPr>
        <w:t xml:space="preserve"> en virtud del recurso de exhibición personal presentado</w:t>
      </w:r>
      <w:r w:rsidR="00214D89" w:rsidRPr="005B31EF">
        <w:rPr>
          <w:rFonts w:asciiTheme="majorHAnsi" w:hAnsiTheme="majorHAnsi"/>
          <w:sz w:val="20"/>
          <w:szCs w:val="20"/>
          <w:lang w:val="es-ES_tradnl"/>
        </w:rPr>
        <w:t xml:space="preserve"> el 11 de junio de 2015 una juez</w:t>
      </w:r>
      <w:r w:rsidR="0057731A" w:rsidRPr="005B31EF">
        <w:rPr>
          <w:rFonts w:asciiTheme="majorHAnsi" w:hAnsiTheme="majorHAnsi"/>
          <w:sz w:val="20"/>
          <w:szCs w:val="20"/>
          <w:lang w:val="es-ES_tradnl"/>
        </w:rPr>
        <w:t>a</w:t>
      </w:r>
      <w:r w:rsidR="00214D89" w:rsidRPr="005B31EF">
        <w:rPr>
          <w:rFonts w:asciiTheme="majorHAnsi" w:hAnsiTheme="majorHAnsi"/>
          <w:sz w:val="20"/>
          <w:szCs w:val="20"/>
          <w:lang w:val="es-ES_tradnl"/>
        </w:rPr>
        <w:t xml:space="preserve"> de ejecución nombrada por</w:t>
      </w:r>
      <w:r w:rsidR="001B626C" w:rsidRPr="005B31EF">
        <w:rPr>
          <w:rFonts w:asciiTheme="majorHAnsi" w:hAnsiTheme="majorHAnsi"/>
          <w:sz w:val="20"/>
          <w:szCs w:val="20"/>
          <w:lang w:val="es-ES_tradnl"/>
        </w:rPr>
        <w:t xml:space="preserve"> la Sala Penal Número Uno del Tribunal de Apelaciones de </w:t>
      </w:r>
      <w:r w:rsidR="001B626C" w:rsidRPr="005B31EF">
        <w:rPr>
          <w:rFonts w:asciiTheme="majorHAnsi" w:hAnsiTheme="majorHAnsi"/>
          <w:sz w:val="20"/>
          <w:szCs w:val="20"/>
          <w:lang w:val="es-ES_tradnl"/>
        </w:rPr>
        <w:lastRenderedPageBreak/>
        <w:t>Managua</w:t>
      </w:r>
      <w:r w:rsidR="008440E7" w:rsidRPr="005B31EF">
        <w:rPr>
          <w:rFonts w:asciiTheme="majorHAnsi" w:hAnsiTheme="majorHAnsi"/>
          <w:sz w:val="20"/>
          <w:szCs w:val="20"/>
          <w:lang w:val="es-ES_tradnl"/>
        </w:rPr>
        <w:t xml:space="preserve"> </w:t>
      </w:r>
      <w:r w:rsidR="004A26DD" w:rsidRPr="005B31EF">
        <w:rPr>
          <w:rFonts w:asciiTheme="majorHAnsi" w:hAnsiTheme="majorHAnsi"/>
          <w:sz w:val="20"/>
          <w:szCs w:val="20"/>
          <w:lang w:val="es-ES_tradnl"/>
        </w:rPr>
        <w:t xml:space="preserve">se presentó en la Dirección de Auxilio Judicial de la Policía Nacional y constató que la detención estaba debidamente sustentada por nota roja de la </w:t>
      </w:r>
      <w:r w:rsidR="003071AC" w:rsidRPr="005B31EF">
        <w:rPr>
          <w:rFonts w:asciiTheme="majorHAnsi" w:hAnsiTheme="majorHAnsi"/>
          <w:sz w:val="20"/>
          <w:szCs w:val="20"/>
          <w:lang w:val="es-ES_tradnl"/>
        </w:rPr>
        <w:t>INTERPOL</w:t>
      </w:r>
      <w:r w:rsidR="004A26DD" w:rsidRPr="005B31EF">
        <w:rPr>
          <w:rFonts w:asciiTheme="majorHAnsi" w:hAnsiTheme="majorHAnsi"/>
          <w:sz w:val="20"/>
          <w:szCs w:val="20"/>
          <w:lang w:val="es-ES_tradnl"/>
        </w:rPr>
        <w:t>.</w:t>
      </w:r>
    </w:p>
    <w:p w14:paraId="02CDEB3D" w14:textId="16018888" w:rsidR="00AB64D3" w:rsidRPr="005B31EF" w:rsidRDefault="005A38D2" w:rsidP="008D22F8">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Con r</w:t>
      </w:r>
      <w:r w:rsidR="00214D89" w:rsidRPr="005B31EF">
        <w:rPr>
          <w:rFonts w:asciiTheme="majorHAnsi" w:hAnsiTheme="majorHAnsi"/>
          <w:sz w:val="20"/>
          <w:szCs w:val="20"/>
          <w:lang w:val="es-ES_tradnl"/>
        </w:rPr>
        <w:t xml:space="preserve">especto a los </w:t>
      </w:r>
      <w:r w:rsidRPr="005B31EF">
        <w:rPr>
          <w:rFonts w:asciiTheme="majorHAnsi" w:hAnsiTheme="majorHAnsi"/>
          <w:sz w:val="20"/>
          <w:szCs w:val="20"/>
          <w:lang w:val="es-ES_tradnl"/>
        </w:rPr>
        <w:t>alegados</w:t>
      </w:r>
      <w:r w:rsidR="00214D89" w:rsidRPr="005B31EF">
        <w:rPr>
          <w:rFonts w:asciiTheme="majorHAnsi" w:hAnsiTheme="majorHAnsi"/>
          <w:sz w:val="20"/>
          <w:szCs w:val="20"/>
          <w:lang w:val="es-ES_tradnl"/>
        </w:rPr>
        <w:t xml:space="preserve"> actos de tortura, </w:t>
      </w:r>
      <w:r w:rsidR="00DB74AD" w:rsidRPr="005B31EF">
        <w:rPr>
          <w:rFonts w:asciiTheme="majorHAnsi" w:hAnsiTheme="majorHAnsi"/>
          <w:sz w:val="20"/>
          <w:szCs w:val="20"/>
          <w:lang w:val="es-ES_tradnl"/>
        </w:rPr>
        <w:t xml:space="preserve">el Estado </w:t>
      </w:r>
      <w:r w:rsidR="00722336" w:rsidRPr="005B31EF">
        <w:rPr>
          <w:rFonts w:asciiTheme="majorHAnsi" w:hAnsiTheme="majorHAnsi"/>
          <w:sz w:val="20"/>
          <w:szCs w:val="20"/>
          <w:lang w:val="es-ES_tradnl"/>
        </w:rPr>
        <w:t>alega que no existió reclamo alguno de la presunta víctima sobre acto</w:t>
      </w:r>
      <w:r w:rsidR="0041270F" w:rsidRPr="005B31EF">
        <w:rPr>
          <w:rFonts w:asciiTheme="majorHAnsi" w:hAnsiTheme="majorHAnsi"/>
          <w:sz w:val="20"/>
          <w:szCs w:val="20"/>
          <w:lang w:val="es-ES_tradnl"/>
        </w:rPr>
        <w:t>s</w:t>
      </w:r>
      <w:r w:rsidR="00722336" w:rsidRPr="005B31EF">
        <w:rPr>
          <w:rFonts w:asciiTheme="majorHAnsi" w:hAnsiTheme="majorHAnsi"/>
          <w:sz w:val="20"/>
          <w:szCs w:val="20"/>
          <w:lang w:val="es-ES_tradnl"/>
        </w:rPr>
        <w:t xml:space="preserve"> de violencia física o psicológica por parte de algún funcionario de la Policía Nacional</w:t>
      </w:r>
      <w:r w:rsidR="00A42FB7" w:rsidRPr="005B31EF">
        <w:rPr>
          <w:rFonts w:asciiTheme="majorHAnsi" w:hAnsiTheme="majorHAnsi"/>
          <w:sz w:val="20"/>
          <w:szCs w:val="20"/>
          <w:lang w:val="es-ES_tradnl"/>
        </w:rPr>
        <w:t xml:space="preserve">, hecho que </w:t>
      </w:r>
      <w:r w:rsidR="00F325FB" w:rsidRPr="005B31EF">
        <w:rPr>
          <w:rFonts w:asciiTheme="majorHAnsi" w:hAnsiTheme="majorHAnsi"/>
          <w:sz w:val="20"/>
          <w:szCs w:val="20"/>
          <w:lang w:val="es-ES_tradnl"/>
        </w:rPr>
        <w:t>fue</w:t>
      </w:r>
      <w:r w:rsidR="0041016A" w:rsidRPr="005B31EF">
        <w:rPr>
          <w:rFonts w:asciiTheme="majorHAnsi" w:hAnsiTheme="majorHAnsi"/>
          <w:sz w:val="20"/>
          <w:szCs w:val="20"/>
          <w:lang w:val="es-ES_tradnl"/>
        </w:rPr>
        <w:t xml:space="preserve"> sido</w:t>
      </w:r>
      <w:r w:rsidR="00B51F5E" w:rsidRPr="005B31EF">
        <w:rPr>
          <w:rFonts w:asciiTheme="majorHAnsi" w:hAnsiTheme="majorHAnsi"/>
          <w:sz w:val="20"/>
          <w:szCs w:val="20"/>
          <w:lang w:val="es-ES_tradnl"/>
        </w:rPr>
        <w:t xml:space="preserve"> </w:t>
      </w:r>
      <w:r w:rsidR="00A42FB7" w:rsidRPr="005B31EF">
        <w:rPr>
          <w:rFonts w:asciiTheme="majorHAnsi" w:hAnsiTheme="majorHAnsi"/>
          <w:sz w:val="20"/>
          <w:szCs w:val="20"/>
          <w:lang w:val="es-ES_tradnl"/>
        </w:rPr>
        <w:t xml:space="preserve">confirmado con los resultados de la valoración </w:t>
      </w:r>
      <w:r w:rsidR="008D22F8" w:rsidRPr="005B31EF">
        <w:rPr>
          <w:rFonts w:asciiTheme="majorHAnsi" w:hAnsiTheme="majorHAnsi"/>
          <w:sz w:val="20"/>
          <w:szCs w:val="20"/>
          <w:lang w:val="es-ES_tradnl"/>
        </w:rPr>
        <w:t>medicolegal</w:t>
      </w:r>
      <w:r w:rsidR="00A42FB7" w:rsidRPr="005B31EF">
        <w:rPr>
          <w:rFonts w:asciiTheme="majorHAnsi" w:hAnsiTheme="majorHAnsi"/>
          <w:sz w:val="20"/>
          <w:szCs w:val="20"/>
          <w:lang w:val="es-ES_tradnl"/>
        </w:rPr>
        <w:t xml:space="preserve"> realizada el 5 de agosto de 2015. </w:t>
      </w:r>
      <w:r w:rsidR="0041270F" w:rsidRPr="005B31EF">
        <w:rPr>
          <w:rFonts w:asciiTheme="majorHAnsi" w:hAnsiTheme="majorHAnsi"/>
          <w:sz w:val="20"/>
          <w:szCs w:val="20"/>
          <w:lang w:val="es-ES_tradnl"/>
        </w:rPr>
        <w:t>Nicaragua sostiene</w:t>
      </w:r>
      <w:r w:rsidR="00636712" w:rsidRPr="005B31EF">
        <w:rPr>
          <w:rFonts w:asciiTheme="majorHAnsi" w:hAnsiTheme="majorHAnsi"/>
          <w:sz w:val="20"/>
          <w:szCs w:val="20"/>
          <w:lang w:val="es-ES_tradnl"/>
        </w:rPr>
        <w:t xml:space="preserve"> que a la</w:t>
      </w:r>
      <w:r w:rsidR="00214D89" w:rsidRPr="005B31EF">
        <w:rPr>
          <w:rFonts w:asciiTheme="majorHAnsi" w:hAnsiTheme="majorHAnsi"/>
          <w:sz w:val="20"/>
          <w:szCs w:val="20"/>
          <w:lang w:val="es-ES_tradnl"/>
        </w:rPr>
        <w:t xml:space="preserve">s autoridades informaron a la presunta víctima de sus derechos, y que una abogada y las autoridades consulares lo asistieron en la presentación de los recursos judiciales correspondientes. </w:t>
      </w:r>
      <w:r w:rsidR="006C1893" w:rsidRPr="005B31EF">
        <w:rPr>
          <w:rFonts w:asciiTheme="majorHAnsi" w:hAnsiTheme="majorHAnsi"/>
          <w:sz w:val="20"/>
          <w:szCs w:val="20"/>
          <w:lang w:val="es-ES_tradnl"/>
        </w:rPr>
        <w:t>Además,</w:t>
      </w:r>
      <w:r w:rsidR="008D22F8" w:rsidRPr="005B31EF">
        <w:rPr>
          <w:rFonts w:asciiTheme="majorHAnsi" w:hAnsiTheme="majorHAnsi"/>
          <w:sz w:val="20"/>
          <w:szCs w:val="20"/>
          <w:lang w:val="es-ES_tradnl"/>
        </w:rPr>
        <w:t xml:space="preserve"> que </w:t>
      </w:r>
      <w:r w:rsidR="00214D89" w:rsidRPr="005B31EF">
        <w:rPr>
          <w:rFonts w:asciiTheme="majorHAnsi" w:hAnsiTheme="majorHAnsi"/>
          <w:sz w:val="20"/>
          <w:szCs w:val="20"/>
          <w:lang w:val="es-ES_tradnl"/>
        </w:rPr>
        <w:t>el señor Gil Trejos estuvo en detención provisional por dos meses</w:t>
      </w:r>
      <w:r w:rsidR="008D22F8" w:rsidRPr="005B31EF">
        <w:rPr>
          <w:rFonts w:asciiTheme="majorHAnsi" w:hAnsiTheme="majorHAnsi"/>
          <w:sz w:val="20"/>
          <w:szCs w:val="20"/>
          <w:lang w:val="es-ES_tradnl"/>
        </w:rPr>
        <w:t xml:space="preserve"> </w:t>
      </w:r>
      <w:r w:rsidR="00214D89" w:rsidRPr="005B31EF">
        <w:rPr>
          <w:rFonts w:asciiTheme="majorHAnsi" w:hAnsiTheme="majorHAnsi"/>
          <w:sz w:val="20"/>
          <w:szCs w:val="20"/>
          <w:lang w:val="es-ES_tradnl"/>
        </w:rPr>
        <w:t>antes de ser extraditado</w:t>
      </w:r>
      <w:r w:rsidR="008D22F8" w:rsidRPr="005B31EF">
        <w:rPr>
          <w:rFonts w:asciiTheme="majorHAnsi" w:hAnsiTheme="majorHAnsi"/>
          <w:sz w:val="20"/>
          <w:szCs w:val="20"/>
          <w:lang w:val="es-ES_tradnl"/>
        </w:rPr>
        <w:t>, en cumplimiento con lo dispuesto por la legislación interna</w:t>
      </w:r>
      <w:r w:rsidR="00214D89" w:rsidRPr="005B31EF">
        <w:rPr>
          <w:rFonts w:asciiTheme="majorHAnsi" w:hAnsiTheme="majorHAnsi"/>
          <w:sz w:val="20"/>
          <w:szCs w:val="20"/>
          <w:lang w:val="es-ES_tradnl"/>
        </w:rPr>
        <w:t xml:space="preserve">. Por ende, a juicio del Estado, el peticionario </w:t>
      </w:r>
      <w:r w:rsidR="00DF4C4B" w:rsidRPr="005B31EF">
        <w:rPr>
          <w:rFonts w:asciiTheme="majorHAnsi" w:hAnsiTheme="majorHAnsi"/>
          <w:sz w:val="20"/>
          <w:szCs w:val="20"/>
          <w:lang w:val="es-ES_tradnl"/>
        </w:rPr>
        <w:t xml:space="preserve">pretende que la Comisión actúe como un tribunal de </w:t>
      </w:r>
      <w:r w:rsidR="00D44F06" w:rsidRPr="005B31EF">
        <w:rPr>
          <w:rFonts w:asciiTheme="majorHAnsi" w:hAnsiTheme="majorHAnsi"/>
          <w:sz w:val="20"/>
          <w:szCs w:val="20"/>
          <w:lang w:val="es-ES_tradnl"/>
        </w:rPr>
        <w:t>alzada</w:t>
      </w:r>
      <w:r w:rsidR="00DE5446" w:rsidRPr="005B31EF">
        <w:rPr>
          <w:rFonts w:asciiTheme="majorHAnsi" w:hAnsiTheme="majorHAnsi"/>
          <w:sz w:val="20"/>
          <w:szCs w:val="20"/>
          <w:lang w:val="es-ES_tradnl"/>
        </w:rPr>
        <w:t xml:space="preserve"> con el fin de revisar errores de hecho</w:t>
      </w:r>
      <w:r w:rsidR="00DF4C4B" w:rsidRPr="005B31EF">
        <w:rPr>
          <w:rFonts w:asciiTheme="majorHAnsi" w:hAnsiTheme="majorHAnsi"/>
          <w:sz w:val="20"/>
          <w:szCs w:val="20"/>
          <w:lang w:val="es-ES_tradnl"/>
        </w:rPr>
        <w:t xml:space="preserve">. </w:t>
      </w:r>
    </w:p>
    <w:p w14:paraId="3CB27957" w14:textId="0D736500" w:rsidR="00AB64D3" w:rsidRPr="005B31EF" w:rsidRDefault="00AB64D3" w:rsidP="00AB64D3">
      <w:pPr>
        <w:pStyle w:val="ListParagraph"/>
        <w:spacing w:before="240" w:after="240"/>
        <w:jc w:val="both"/>
        <w:rPr>
          <w:rFonts w:asciiTheme="majorHAnsi" w:hAnsiTheme="majorHAnsi"/>
          <w:sz w:val="20"/>
          <w:szCs w:val="20"/>
          <w:lang w:val="es-ES_tradnl"/>
        </w:rPr>
      </w:pPr>
      <w:r w:rsidRPr="005B31EF">
        <w:rPr>
          <w:rFonts w:asciiTheme="majorHAnsi" w:hAnsiTheme="majorHAnsi"/>
          <w:b/>
          <w:bCs/>
          <w:sz w:val="20"/>
          <w:szCs w:val="20"/>
          <w:lang w:val="es-ES_tradnl"/>
        </w:rPr>
        <w:t>VI.</w:t>
      </w:r>
      <w:r w:rsidRPr="005B31EF">
        <w:rPr>
          <w:rFonts w:asciiTheme="majorHAnsi" w:hAnsiTheme="majorHAnsi"/>
          <w:b/>
          <w:bCs/>
          <w:sz w:val="20"/>
          <w:szCs w:val="20"/>
          <w:lang w:val="es-ES_tradnl"/>
        </w:rPr>
        <w:tab/>
        <w:t xml:space="preserve">ANÁLISIS DE </w:t>
      </w:r>
      <w:r w:rsidRPr="005B31EF">
        <w:rPr>
          <w:rFonts w:asciiTheme="majorHAnsi" w:hAnsiTheme="majorHAnsi"/>
          <w:b/>
          <w:sz w:val="20"/>
          <w:szCs w:val="20"/>
          <w:lang w:val="es-ES_tradnl"/>
        </w:rPr>
        <w:t>AGOTAMIENTO DE LOS RECURSOS INTERNOS Y PLAZO DE PRESENTACIÓN</w:t>
      </w:r>
      <w:r w:rsidRPr="005B31EF">
        <w:rPr>
          <w:rFonts w:asciiTheme="majorHAnsi" w:hAnsiTheme="majorHAnsi"/>
          <w:b/>
          <w:bCs/>
          <w:sz w:val="20"/>
          <w:szCs w:val="20"/>
          <w:lang w:val="es-ES_tradnl"/>
        </w:rPr>
        <w:t xml:space="preserve"> </w:t>
      </w:r>
    </w:p>
    <w:p w14:paraId="3ADBB255" w14:textId="59E05AD0" w:rsidR="0073548C" w:rsidRPr="005B31EF" w:rsidRDefault="00A56F23" w:rsidP="002A04FF">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En relación con la alegada detención</w:t>
      </w:r>
      <w:r w:rsidR="00CC7E8A" w:rsidRPr="005B31EF">
        <w:rPr>
          <w:rFonts w:asciiTheme="majorHAnsi" w:hAnsiTheme="majorHAnsi"/>
          <w:sz w:val="20"/>
          <w:szCs w:val="20"/>
          <w:lang w:val="es-ES_tradnl"/>
        </w:rPr>
        <w:t>, ausencia de asistencia consular</w:t>
      </w:r>
      <w:r w:rsidRPr="005B31EF">
        <w:rPr>
          <w:rFonts w:asciiTheme="majorHAnsi" w:hAnsiTheme="majorHAnsi"/>
          <w:sz w:val="20"/>
          <w:szCs w:val="20"/>
          <w:lang w:val="es-ES_tradnl"/>
        </w:rPr>
        <w:t xml:space="preserve"> y posterior extradición </w:t>
      </w:r>
      <w:r w:rsidR="00CC7E8A" w:rsidRPr="005B31EF">
        <w:rPr>
          <w:rFonts w:asciiTheme="majorHAnsi" w:hAnsiTheme="majorHAnsi"/>
          <w:sz w:val="20"/>
          <w:szCs w:val="20"/>
          <w:lang w:val="es-ES_tradnl"/>
        </w:rPr>
        <w:t xml:space="preserve">irregular </w:t>
      </w:r>
      <w:r w:rsidRPr="005B31EF">
        <w:rPr>
          <w:rFonts w:asciiTheme="majorHAnsi" w:hAnsiTheme="majorHAnsi"/>
          <w:sz w:val="20"/>
          <w:szCs w:val="20"/>
          <w:lang w:val="es-ES_tradnl"/>
        </w:rPr>
        <w:t>a México, l</w:t>
      </w:r>
      <w:r w:rsidR="00F57B56" w:rsidRPr="005B31EF">
        <w:rPr>
          <w:rFonts w:asciiTheme="majorHAnsi" w:hAnsiTheme="majorHAnsi"/>
          <w:sz w:val="20"/>
          <w:szCs w:val="20"/>
          <w:lang w:val="es-ES_tradnl"/>
        </w:rPr>
        <w:t xml:space="preserve">a presunta víctima sostiene que </w:t>
      </w:r>
      <w:r w:rsidRPr="005B31EF">
        <w:rPr>
          <w:rFonts w:asciiTheme="majorHAnsi" w:hAnsiTheme="majorHAnsi"/>
          <w:sz w:val="20"/>
          <w:szCs w:val="20"/>
          <w:lang w:val="es-ES_tradnl"/>
        </w:rPr>
        <w:t xml:space="preserve">a pesar de que presentó </w:t>
      </w:r>
      <w:r w:rsidR="00FC0314" w:rsidRPr="005B31EF">
        <w:rPr>
          <w:rFonts w:asciiTheme="majorHAnsi" w:hAnsiTheme="majorHAnsi"/>
          <w:sz w:val="20"/>
          <w:szCs w:val="20"/>
          <w:lang w:val="es-ES_tradnl"/>
        </w:rPr>
        <w:t>dos</w:t>
      </w:r>
      <w:r w:rsidRPr="005B31EF">
        <w:rPr>
          <w:rFonts w:asciiTheme="majorHAnsi" w:hAnsiTheme="majorHAnsi"/>
          <w:sz w:val="20"/>
          <w:szCs w:val="20"/>
          <w:lang w:val="es-ES_tradnl"/>
        </w:rPr>
        <w:t xml:space="preserve"> recurso</w:t>
      </w:r>
      <w:r w:rsidR="00FC0314" w:rsidRPr="005B31EF">
        <w:rPr>
          <w:rFonts w:asciiTheme="majorHAnsi" w:hAnsiTheme="majorHAnsi"/>
          <w:sz w:val="20"/>
          <w:szCs w:val="20"/>
          <w:lang w:val="es-ES_tradnl"/>
        </w:rPr>
        <w:t>s</w:t>
      </w:r>
      <w:r w:rsidRPr="005B31EF">
        <w:rPr>
          <w:rFonts w:asciiTheme="majorHAnsi" w:hAnsiTheme="majorHAnsi"/>
          <w:sz w:val="20"/>
          <w:szCs w:val="20"/>
          <w:lang w:val="es-ES_tradnl"/>
        </w:rPr>
        <w:t xml:space="preserve"> de hábeas corpus y un incidente de nulidad cuestionando </w:t>
      </w:r>
      <w:r w:rsidR="00D148D5" w:rsidRPr="005B31EF">
        <w:rPr>
          <w:rFonts w:asciiTheme="majorHAnsi" w:hAnsiTheme="majorHAnsi"/>
          <w:sz w:val="20"/>
          <w:szCs w:val="20"/>
          <w:lang w:val="es-ES_tradnl"/>
        </w:rPr>
        <w:t>estos agravios</w:t>
      </w:r>
      <w:r w:rsidR="002A04FF" w:rsidRPr="005B31EF">
        <w:rPr>
          <w:rFonts w:asciiTheme="majorHAnsi" w:hAnsiTheme="majorHAnsi"/>
          <w:sz w:val="20"/>
          <w:szCs w:val="20"/>
          <w:lang w:val="es-ES_tradnl"/>
        </w:rPr>
        <w:t>, las autoridades jurisdiccionales</w:t>
      </w:r>
      <w:r w:rsidR="00FC0314" w:rsidRPr="005B31EF">
        <w:rPr>
          <w:rFonts w:asciiTheme="majorHAnsi" w:hAnsiTheme="majorHAnsi"/>
          <w:sz w:val="20"/>
          <w:szCs w:val="20"/>
          <w:lang w:val="es-ES_tradnl"/>
        </w:rPr>
        <w:t xml:space="preserve"> rechazaron el primer hábeas corpus y</w:t>
      </w:r>
      <w:r w:rsidR="002A04FF" w:rsidRPr="005B31EF">
        <w:rPr>
          <w:rFonts w:asciiTheme="majorHAnsi" w:hAnsiTheme="majorHAnsi"/>
          <w:sz w:val="20"/>
          <w:szCs w:val="20"/>
          <w:lang w:val="es-ES_tradnl"/>
        </w:rPr>
        <w:t xml:space="preserve"> nunca resolvieron</w:t>
      </w:r>
      <w:r w:rsidR="00FC0314" w:rsidRPr="005B31EF">
        <w:rPr>
          <w:rFonts w:asciiTheme="majorHAnsi" w:hAnsiTheme="majorHAnsi"/>
          <w:sz w:val="20"/>
          <w:szCs w:val="20"/>
          <w:lang w:val="es-ES_tradnl"/>
        </w:rPr>
        <w:t xml:space="preserve"> las otras acciones</w:t>
      </w:r>
      <w:r w:rsidR="002A04FF" w:rsidRPr="005B31EF">
        <w:rPr>
          <w:rFonts w:asciiTheme="majorHAnsi" w:hAnsiTheme="majorHAnsi"/>
          <w:sz w:val="20"/>
          <w:szCs w:val="20"/>
          <w:lang w:val="es-ES_tradnl"/>
        </w:rPr>
        <w:t>.</w:t>
      </w:r>
      <w:r w:rsidR="00215A2E" w:rsidRPr="005B31EF">
        <w:rPr>
          <w:rFonts w:asciiTheme="majorHAnsi" w:hAnsiTheme="majorHAnsi"/>
          <w:sz w:val="20"/>
          <w:szCs w:val="20"/>
          <w:lang w:val="es-ES_tradnl"/>
        </w:rPr>
        <w:t xml:space="preserve"> </w:t>
      </w:r>
      <w:r w:rsidRPr="005B31EF">
        <w:rPr>
          <w:rFonts w:asciiTheme="majorHAnsi" w:hAnsiTheme="majorHAnsi"/>
          <w:sz w:val="20"/>
          <w:szCs w:val="20"/>
          <w:lang w:val="es-ES_tradnl"/>
        </w:rPr>
        <w:t>El Estado por su parte no</w:t>
      </w:r>
      <w:r w:rsidR="002A04FF" w:rsidRPr="005B31EF">
        <w:rPr>
          <w:rFonts w:asciiTheme="majorHAnsi" w:hAnsiTheme="majorHAnsi"/>
          <w:sz w:val="20"/>
          <w:szCs w:val="20"/>
          <w:lang w:val="es-ES_tradnl"/>
        </w:rPr>
        <w:t xml:space="preserve"> presenta contrargumentos sobre este punto</w:t>
      </w:r>
      <w:r w:rsidRPr="005B31EF">
        <w:rPr>
          <w:rFonts w:asciiTheme="majorHAnsi" w:hAnsiTheme="majorHAnsi"/>
          <w:sz w:val="20"/>
          <w:szCs w:val="20"/>
          <w:lang w:val="es-ES_tradnl"/>
        </w:rPr>
        <w:t>, limitándose a indicar que la Corte Suprema de Justicia rechaz</w:t>
      </w:r>
      <w:r w:rsidR="009D3972" w:rsidRPr="005B31EF">
        <w:rPr>
          <w:rFonts w:asciiTheme="majorHAnsi" w:hAnsiTheme="majorHAnsi"/>
          <w:sz w:val="20"/>
          <w:szCs w:val="20"/>
          <w:lang w:val="es-ES_tradnl"/>
        </w:rPr>
        <w:t>ó</w:t>
      </w:r>
      <w:r w:rsidRPr="005B31EF">
        <w:rPr>
          <w:rFonts w:asciiTheme="majorHAnsi" w:hAnsiTheme="majorHAnsi"/>
          <w:sz w:val="20"/>
          <w:szCs w:val="20"/>
          <w:lang w:val="es-ES_tradnl"/>
        </w:rPr>
        <w:t xml:space="preserve"> el recurso de reposición interpuesto por el señor Gil Trejos contra la sentencia de extradición. </w:t>
      </w:r>
    </w:p>
    <w:p w14:paraId="63268DAF" w14:textId="286DF78E" w:rsidR="000063AC" w:rsidRPr="005B31EF" w:rsidRDefault="008851EB" w:rsidP="000063AC">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Con</w:t>
      </w:r>
      <w:r w:rsidR="00A56F23" w:rsidRPr="005B31EF">
        <w:rPr>
          <w:rFonts w:asciiTheme="majorHAnsi" w:hAnsiTheme="majorHAnsi"/>
          <w:sz w:val="20"/>
          <w:szCs w:val="20"/>
          <w:lang w:val="es-ES_tradnl"/>
        </w:rPr>
        <w:t xml:space="preserve"> base </w:t>
      </w:r>
      <w:r w:rsidRPr="005B31EF">
        <w:rPr>
          <w:rFonts w:asciiTheme="majorHAnsi" w:hAnsiTheme="majorHAnsi"/>
          <w:sz w:val="20"/>
          <w:szCs w:val="20"/>
          <w:lang w:val="es-ES_tradnl"/>
        </w:rPr>
        <w:t>en</w:t>
      </w:r>
      <w:r w:rsidR="00A56F23" w:rsidRPr="005B31EF">
        <w:rPr>
          <w:rFonts w:asciiTheme="majorHAnsi" w:hAnsiTheme="majorHAnsi"/>
          <w:sz w:val="20"/>
          <w:szCs w:val="20"/>
          <w:lang w:val="es-ES_tradnl"/>
        </w:rPr>
        <w:t xml:space="preserve"> tales consideraciones,</w:t>
      </w:r>
      <w:r w:rsidR="001E6496" w:rsidRPr="005B31EF">
        <w:rPr>
          <w:rFonts w:asciiTheme="majorHAnsi" w:hAnsiTheme="majorHAnsi"/>
          <w:sz w:val="20"/>
          <w:szCs w:val="20"/>
          <w:lang w:val="es-ES_tradnl"/>
        </w:rPr>
        <w:t xml:space="preserve"> la Comisión observa que, en efecto, el 17 de julio de 2015 la abogada de la presunta víctima presentó un incidente de nulidad ante la Corte Suprema cuestionando </w:t>
      </w:r>
      <w:r w:rsidR="00215A2E" w:rsidRPr="005B31EF">
        <w:rPr>
          <w:rFonts w:asciiTheme="majorHAnsi" w:hAnsiTheme="majorHAnsi"/>
          <w:sz w:val="20"/>
          <w:szCs w:val="20"/>
          <w:lang w:val="es-ES_tradnl"/>
        </w:rPr>
        <w:t>la</w:t>
      </w:r>
      <w:r w:rsidR="001E6496" w:rsidRPr="005B31EF">
        <w:rPr>
          <w:rFonts w:asciiTheme="majorHAnsi" w:hAnsiTheme="majorHAnsi"/>
          <w:sz w:val="20"/>
          <w:szCs w:val="20"/>
          <w:lang w:val="es-ES_tradnl"/>
        </w:rPr>
        <w:t xml:space="preserve"> detención, afectación a</w:t>
      </w:r>
      <w:r w:rsidR="00215A2E" w:rsidRPr="005B31EF">
        <w:rPr>
          <w:rFonts w:asciiTheme="majorHAnsi" w:hAnsiTheme="majorHAnsi"/>
          <w:sz w:val="20"/>
          <w:szCs w:val="20"/>
          <w:lang w:val="es-ES_tradnl"/>
        </w:rPr>
        <w:t>l</w:t>
      </w:r>
      <w:r w:rsidR="001E6496" w:rsidRPr="005B31EF">
        <w:rPr>
          <w:rFonts w:asciiTheme="majorHAnsi" w:hAnsiTheme="majorHAnsi"/>
          <w:sz w:val="20"/>
          <w:szCs w:val="20"/>
          <w:lang w:val="es-ES_tradnl"/>
        </w:rPr>
        <w:t xml:space="preserve"> derecho </w:t>
      </w:r>
      <w:r w:rsidR="00215A2E" w:rsidRPr="005B31EF">
        <w:rPr>
          <w:rFonts w:asciiTheme="majorHAnsi" w:hAnsiTheme="majorHAnsi"/>
          <w:sz w:val="20"/>
          <w:szCs w:val="20"/>
          <w:lang w:val="es-ES_tradnl"/>
        </w:rPr>
        <w:t>de</w:t>
      </w:r>
      <w:r w:rsidR="001E6496" w:rsidRPr="005B31EF">
        <w:rPr>
          <w:rFonts w:asciiTheme="majorHAnsi" w:hAnsiTheme="majorHAnsi"/>
          <w:sz w:val="20"/>
          <w:szCs w:val="20"/>
          <w:lang w:val="es-ES_tradnl"/>
        </w:rPr>
        <w:t xml:space="preserve"> defensa debido a la incomunicación e irregularidades en el procedimiento de extradición. No obstante, las autoridades judiciales no habrían dado respuesta a este reclamo. En consecuencia, dada la falta de respuesta del Estado respecto a este punto, la Comisión considera que la ausencia de respuesta de las autoridades judiciales respecto del citado recurso de nulidad antes de que se proceda a su extradición configuró una demora que, </w:t>
      </w:r>
      <w:r w:rsidR="001E6496" w:rsidRPr="005B31EF">
        <w:rPr>
          <w:rFonts w:asciiTheme="majorHAnsi" w:hAnsiTheme="majorHAnsi"/>
          <w:i/>
          <w:iCs/>
          <w:sz w:val="20"/>
          <w:szCs w:val="20"/>
          <w:lang w:val="es-ES_tradnl"/>
        </w:rPr>
        <w:t>prima facie</w:t>
      </w:r>
      <w:r w:rsidR="001E6496" w:rsidRPr="005B31EF">
        <w:rPr>
          <w:rFonts w:asciiTheme="majorHAnsi" w:hAnsiTheme="majorHAnsi"/>
          <w:sz w:val="20"/>
          <w:szCs w:val="20"/>
          <w:lang w:val="es-ES_tradnl"/>
        </w:rPr>
        <w:t xml:space="preserve">, no parece razonable y limitaron sus posibilidades de defensa, dada la naturaleza de los hechos cuestionados. En razón a ello, la Comisión considera que corresponde aplicar la excepción prevista en el artículo 46.2.c) de la Convención Americana, dado que no se conoce si tales órganos jurisdiccionales llegaron a emitir un pronunciamiento. </w:t>
      </w:r>
    </w:p>
    <w:p w14:paraId="7669FF21" w14:textId="7EE493DF" w:rsidR="001E6496" w:rsidRPr="005B31EF" w:rsidRDefault="000063AC" w:rsidP="000063AC">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 xml:space="preserve">Asimismo, respecto al plazo de presentación, la Comisión nota que </w:t>
      </w:r>
      <w:r w:rsidR="001E6496" w:rsidRPr="005B31EF">
        <w:rPr>
          <w:rFonts w:asciiTheme="majorHAnsi" w:hAnsiTheme="majorHAnsi"/>
          <w:sz w:val="20"/>
          <w:szCs w:val="20"/>
          <w:lang w:val="es-ES_tradnl"/>
        </w:rPr>
        <w:t>la presente petición se presentó el 7 de junio 2017 y que la extradición de la presunta víctima se realizó el 7 de agosto de 2015</w:t>
      </w:r>
      <w:r w:rsidRPr="005B31EF">
        <w:rPr>
          <w:rFonts w:asciiTheme="majorHAnsi" w:hAnsiTheme="majorHAnsi"/>
          <w:sz w:val="20"/>
          <w:szCs w:val="20"/>
          <w:lang w:val="es-ES_tradnl"/>
        </w:rPr>
        <w:t xml:space="preserve">. Sobre este punto, el Estado no presenta ningún argumento o cuestionamiento destinado a controvertir el plazo de presentación de la petición. En tal sentido, </w:t>
      </w:r>
      <w:r w:rsidR="00236243" w:rsidRPr="005B31EF">
        <w:rPr>
          <w:rFonts w:asciiTheme="majorHAnsi" w:hAnsiTheme="majorHAnsi"/>
          <w:sz w:val="20"/>
          <w:szCs w:val="20"/>
          <w:lang w:val="es-ES_tradnl"/>
        </w:rPr>
        <w:t>considerando</w:t>
      </w:r>
      <w:r w:rsidRPr="005B31EF">
        <w:rPr>
          <w:rFonts w:asciiTheme="majorHAnsi" w:hAnsiTheme="majorHAnsi"/>
          <w:sz w:val="20"/>
          <w:szCs w:val="20"/>
          <w:lang w:val="es-ES_tradnl"/>
        </w:rPr>
        <w:t xml:space="preserve"> que hasta la fecha tal recurso aún estaría pendiente de respuesta</w:t>
      </w:r>
      <w:r w:rsidR="00D00A21" w:rsidRPr="005B31EF">
        <w:rPr>
          <w:rFonts w:asciiTheme="majorHAnsi" w:hAnsiTheme="majorHAnsi"/>
          <w:sz w:val="20"/>
          <w:szCs w:val="20"/>
          <w:lang w:val="es-ES_tradnl"/>
        </w:rPr>
        <w:t>;</w:t>
      </w:r>
      <w:r w:rsidRPr="005B31EF">
        <w:rPr>
          <w:rFonts w:asciiTheme="majorHAnsi" w:hAnsiTheme="majorHAnsi"/>
          <w:sz w:val="20"/>
          <w:szCs w:val="20"/>
          <w:lang w:val="es-ES_tradnl"/>
        </w:rPr>
        <w:t xml:space="preserve"> y </w:t>
      </w:r>
      <w:r w:rsidR="00D00A21" w:rsidRPr="005B31EF">
        <w:rPr>
          <w:rFonts w:asciiTheme="majorHAnsi" w:hAnsiTheme="majorHAnsi"/>
          <w:sz w:val="20"/>
          <w:szCs w:val="20"/>
          <w:lang w:val="es-ES_tradnl"/>
        </w:rPr>
        <w:t>que</w:t>
      </w:r>
      <w:r w:rsidRPr="005B31EF">
        <w:rPr>
          <w:rFonts w:asciiTheme="majorHAnsi" w:hAnsiTheme="majorHAnsi"/>
          <w:sz w:val="20"/>
          <w:szCs w:val="20"/>
          <w:lang w:val="es-ES_tradnl"/>
        </w:rPr>
        <w:t xml:space="preserve"> las repercusiones del traslado de la presunta víctima a México y el hecho que habría tenido su libertad limitada, la Comisión considera que la parte peticionaria presentó </w:t>
      </w:r>
      <w:r w:rsidR="00600112" w:rsidRPr="005B31EF">
        <w:rPr>
          <w:rFonts w:asciiTheme="majorHAnsi" w:hAnsiTheme="majorHAnsi"/>
          <w:sz w:val="20"/>
          <w:szCs w:val="20"/>
          <w:lang w:val="es-ES_tradnl"/>
        </w:rPr>
        <w:t xml:space="preserve">la petición </w:t>
      </w:r>
      <w:r w:rsidRPr="005B31EF">
        <w:rPr>
          <w:rFonts w:asciiTheme="majorHAnsi" w:hAnsiTheme="majorHAnsi"/>
          <w:sz w:val="20"/>
          <w:szCs w:val="20"/>
          <w:lang w:val="es-ES_tradnl"/>
        </w:rPr>
        <w:t xml:space="preserve">en un plazo razonable, de conformidad con el artículo 32.2 de su Reglamento. </w:t>
      </w:r>
    </w:p>
    <w:p w14:paraId="1D120DEC" w14:textId="15D9F391" w:rsidR="001E6496" w:rsidRPr="005B31EF" w:rsidRDefault="000063AC" w:rsidP="001E6496">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 xml:space="preserve">En sentido similar, la Comisión nota que, según la información aportada por la parte peticionaria, las autoridades tampoco dieron respuesta a su segundo recurso de hábeas corpus, el cual buscaba cuestionar las afectaciones a su salud debido a sus condiciones de detención. </w:t>
      </w:r>
      <w:r w:rsidR="002E1851" w:rsidRPr="005B31EF">
        <w:rPr>
          <w:rFonts w:asciiTheme="majorHAnsi" w:hAnsiTheme="majorHAnsi"/>
          <w:sz w:val="20"/>
          <w:szCs w:val="20"/>
          <w:lang w:val="es-ES_tradnl"/>
        </w:rPr>
        <w:t>Constatándose que no es cierto, como afirm</w:t>
      </w:r>
      <w:r w:rsidR="00523CEE" w:rsidRPr="005B31EF">
        <w:rPr>
          <w:rFonts w:asciiTheme="majorHAnsi" w:hAnsiTheme="majorHAnsi"/>
          <w:sz w:val="20"/>
          <w:szCs w:val="20"/>
          <w:lang w:val="es-ES_tradnl"/>
        </w:rPr>
        <w:t>a</w:t>
      </w:r>
      <w:r w:rsidR="002E1851" w:rsidRPr="005B31EF">
        <w:rPr>
          <w:rFonts w:asciiTheme="majorHAnsi" w:hAnsiTheme="majorHAnsi"/>
          <w:sz w:val="20"/>
          <w:szCs w:val="20"/>
          <w:lang w:val="es-ES_tradnl"/>
        </w:rPr>
        <w:t xml:space="preserve"> el Estado, que el peticionario no haya cuestionado </w:t>
      </w:r>
      <w:r w:rsidR="00523CEE" w:rsidRPr="005B31EF">
        <w:rPr>
          <w:rFonts w:asciiTheme="majorHAnsi" w:hAnsiTheme="majorHAnsi"/>
          <w:sz w:val="20"/>
          <w:szCs w:val="20"/>
          <w:lang w:val="es-ES_tradnl"/>
        </w:rPr>
        <w:t xml:space="preserve">las alegadas afectaciones a su integridad personal. </w:t>
      </w:r>
      <w:r w:rsidRPr="005B31EF">
        <w:rPr>
          <w:rFonts w:asciiTheme="majorHAnsi" w:hAnsiTheme="majorHAnsi"/>
          <w:sz w:val="20"/>
          <w:szCs w:val="20"/>
          <w:lang w:val="es-ES_tradnl"/>
        </w:rPr>
        <w:t xml:space="preserve">Siguiendo el razonamiento explicado anteriormente, por consistencia, la CIDH considera oportuno aplicar también la excepción prevista en el artículo 46.2.c) de la Convención respecto de este extremo de la petición, a efectos de analizar con más detalle en etapa de fondo la citada situación a la luz de los artículos 8 y 25 de la Convención Americana. Asimismo, siguiendo el razonamiento explicado </w:t>
      </w:r>
      <w:r w:rsidR="003A7F37" w:rsidRPr="005B31EF">
        <w:rPr>
          <w:rFonts w:asciiTheme="majorHAnsi" w:hAnsiTheme="majorHAnsi"/>
          <w:sz w:val="20"/>
          <w:szCs w:val="20"/>
          <w:lang w:val="es-ES_tradnl"/>
        </w:rPr>
        <w:t xml:space="preserve">previamente, y toda vez que el recurso aún estaría pendiente de respuesta, la Comisión considera que este extremo de la petición también cumple el requisito de plazo previsto en el artículo 32.2 de su Reglamento. </w:t>
      </w:r>
    </w:p>
    <w:p w14:paraId="2E47F782" w14:textId="6094ACB9" w:rsidR="00CC7E8A" w:rsidRPr="005B31EF" w:rsidRDefault="000063AC" w:rsidP="00CC7E8A">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 xml:space="preserve">Finalmente, </w:t>
      </w:r>
      <w:r w:rsidR="006B4570" w:rsidRPr="005B31EF">
        <w:rPr>
          <w:rFonts w:asciiTheme="majorHAnsi" w:hAnsiTheme="majorHAnsi"/>
          <w:sz w:val="20"/>
          <w:szCs w:val="20"/>
          <w:lang w:val="es-ES_tradnl"/>
        </w:rPr>
        <w:t>con</w:t>
      </w:r>
      <w:r w:rsidRPr="005B31EF">
        <w:rPr>
          <w:rFonts w:asciiTheme="majorHAnsi" w:hAnsiTheme="majorHAnsi"/>
          <w:sz w:val="20"/>
          <w:szCs w:val="20"/>
          <w:lang w:val="es-ES_tradnl"/>
        </w:rPr>
        <w:t xml:space="preserve"> relación </w:t>
      </w:r>
      <w:r w:rsidR="006B4570" w:rsidRPr="005B31EF">
        <w:rPr>
          <w:rFonts w:asciiTheme="majorHAnsi" w:hAnsiTheme="majorHAnsi"/>
          <w:sz w:val="20"/>
          <w:szCs w:val="20"/>
          <w:lang w:val="es-ES_tradnl"/>
        </w:rPr>
        <w:t>a</w:t>
      </w:r>
      <w:r w:rsidR="00CC7E8A" w:rsidRPr="005B31EF">
        <w:rPr>
          <w:rFonts w:asciiTheme="majorHAnsi" w:hAnsiTheme="majorHAnsi"/>
          <w:sz w:val="20"/>
          <w:szCs w:val="20"/>
          <w:lang w:val="es-ES_tradnl"/>
        </w:rPr>
        <w:t xml:space="preserve"> l</w:t>
      </w:r>
      <w:r w:rsidRPr="005B31EF">
        <w:rPr>
          <w:rFonts w:asciiTheme="majorHAnsi" w:hAnsiTheme="majorHAnsi"/>
          <w:sz w:val="20"/>
          <w:szCs w:val="20"/>
          <w:lang w:val="es-ES_tradnl"/>
        </w:rPr>
        <w:t>a</w:t>
      </w:r>
      <w:r w:rsidR="00CC7E8A" w:rsidRPr="005B31EF">
        <w:rPr>
          <w:rFonts w:asciiTheme="majorHAnsi" w:hAnsiTheme="majorHAnsi"/>
          <w:sz w:val="20"/>
          <w:szCs w:val="20"/>
          <w:lang w:val="es-ES_tradnl"/>
        </w:rPr>
        <w:t>s alegad</w:t>
      </w:r>
      <w:r w:rsidRPr="005B31EF">
        <w:rPr>
          <w:rFonts w:asciiTheme="majorHAnsi" w:hAnsiTheme="majorHAnsi"/>
          <w:sz w:val="20"/>
          <w:szCs w:val="20"/>
          <w:lang w:val="es-ES_tradnl"/>
        </w:rPr>
        <w:t>a</w:t>
      </w:r>
      <w:r w:rsidR="00CC7E8A" w:rsidRPr="005B31EF">
        <w:rPr>
          <w:rFonts w:asciiTheme="majorHAnsi" w:hAnsiTheme="majorHAnsi"/>
          <w:sz w:val="20"/>
          <w:szCs w:val="20"/>
          <w:lang w:val="es-ES_tradnl"/>
        </w:rPr>
        <w:t xml:space="preserve">s </w:t>
      </w:r>
      <w:r w:rsidRPr="005B31EF">
        <w:rPr>
          <w:rFonts w:asciiTheme="majorHAnsi" w:hAnsiTheme="majorHAnsi"/>
          <w:sz w:val="20"/>
          <w:szCs w:val="20"/>
          <w:lang w:val="es-ES_tradnl"/>
        </w:rPr>
        <w:t>afectaciones a su integridad personal</w:t>
      </w:r>
      <w:r w:rsidR="00CC7E8A" w:rsidRPr="005B31EF">
        <w:rPr>
          <w:rFonts w:asciiTheme="majorHAnsi" w:hAnsiTheme="majorHAnsi"/>
          <w:sz w:val="20"/>
          <w:szCs w:val="20"/>
          <w:lang w:val="es-ES_tradnl"/>
        </w:rPr>
        <w:t xml:space="preserve">, la parte peticionaria alega que no pudo denunciar </w:t>
      </w:r>
      <w:r w:rsidRPr="005B31EF">
        <w:rPr>
          <w:rFonts w:asciiTheme="majorHAnsi" w:hAnsiTheme="majorHAnsi"/>
          <w:sz w:val="20"/>
          <w:szCs w:val="20"/>
          <w:lang w:val="es-ES_tradnl"/>
        </w:rPr>
        <w:t>las</w:t>
      </w:r>
      <w:r w:rsidR="00CC7E8A" w:rsidRPr="005B31EF">
        <w:rPr>
          <w:rFonts w:asciiTheme="majorHAnsi" w:hAnsiTheme="majorHAnsi"/>
          <w:sz w:val="20"/>
          <w:szCs w:val="20"/>
          <w:lang w:val="es-ES_tradnl"/>
        </w:rPr>
        <w:t xml:space="preserve"> prácticas de tortura que sufrió, dado que tenía miedo de mencionar estos acontecimientos</w:t>
      </w:r>
      <w:r w:rsidR="002A04FF" w:rsidRPr="005B31EF">
        <w:rPr>
          <w:rFonts w:asciiTheme="majorHAnsi" w:hAnsiTheme="majorHAnsi"/>
          <w:sz w:val="20"/>
          <w:szCs w:val="20"/>
          <w:lang w:val="es-ES_tradnl"/>
        </w:rPr>
        <w:t>,</w:t>
      </w:r>
      <w:r w:rsidR="00CC7E8A" w:rsidRPr="005B31EF">
        <w:rPr>
          <w:rFonts w:asciiTheme="majorHAnsi" w:hAnsiTheme="majorHAnsi"/>
          <w:sz w:val="20"/>
          <w:szCs w:val="20"/>
          <w:lang w:val="es-ES_tradnl"/>
        </w:rPr>
        <w:t xml:space="preserve"> producto de las amenazas </w:t>
      </w:r>
      <w:r w:rsidR="00F13B02" w:rsidRPr="005B31EF">
        <w:rPr>
          <w:rFonts w:asciiTheme="majorHAnsi" w:hAnsiTheme="majorHAnsi"/>
          <w:sz w:val="20"/>
          <w:szCs w:val="20"/>
          <w:lang w:val="es-ES_tradnl"/>
        </w:rPr>
        <w:t>de los policías</w:t>
      </w:r>
      <w:r w:rsidR="00CC7E8A" w:rsidRPr="005B31EF">
        <w:rPr>
          <w:rFonts w:asciiTheme="majorHAnsi" w:hAnsiTheme="majorHAnsi"/>
          <w:sz w:val="20"/>
          <w:szCs w:val="20"/>
          <w:lang w:val="es-ES_tradnl"/>
        </w:rPr>
        <w:t xml:space="preserve"> que lo custodiaban. Sobre este punto el Estado tampoco presenta formalmente excepciones referidas al agotamiento de los recursos internos </w:t>
      </w:r>
      <w:r w:rsidR="00CC7E8A" w:rsidRPr="005B31EF">
        <w:rPr>
          <w:rFonts w:asciiTheme="majorHAnsi" w:hAnsiTheme="majorHAnsi"/>
          <w:sz w:val="20"/>
          <w:szCs w:val="20"/>
          <w:lang w:val="es-ES_tradnl"/>
        </w:rPr>
        <w:lastRenderedPageBreak/>
        <w:t>o al plazo de presentación de la petición. No obstante, confirma que el señor Gil Trejos no presentó ningún reclamo sobre algún acto de violencia física o psicológica por parte de algún funcionario de la Policía Nacional de Nicaragua.</w:t>
      </w:r>
    </w:p>
    <w:p w14:paraId="29CD3C86" w14:textId="08F3231C" w:rsidR="00047BE2" w:rsidRPr="005B31EF" w:rsidRDefault="00CC7E8A" w:rsidP="00D06858">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 xml:space="preserve">Sobre este punto, la Comisión nota que, conforme a los alegatos de la parte peticionaria y lo </w:t>
      </w:r>
      <w:r w:rsidR="00AC03DE" w:rsidRPr="005B31EF">
        <w:rPr>
          <w:rFonts w:asciiTheme="majorHAnsi" w:hAnsiTheme="majorHAnsi"/>
          <w:sz w:val="20"/>
          <w:szCs w:val="20"/>
          <w:lang w:val="es-ES_tradnl"/>
        </w:rPr>
        <w:t>concluido</w:t>
      </w:r>
      <w:r w:rsidRPr="005B31EF">
        <w:rPr>
          <w:rFonts w:asciiTheme="majorHAnsi" w:hAnsiTheme="majorHAnsi"/>
          <w:sz w:val="20"/>
          <w:szCs w:val="20"/>
          <w:lang w:val="es-ES_tradnl"/>
        </w:rPr>
        <w:t xml:space="preserve"> por Grupo de Trabajo sobre Detención Arbitraria del Consejo de Derechos Humanos, la presunta víctima habría estado incomunicada las primeras semanas de su detención. </w:t>
      </w:r>
      <w:r w:rsidR="006D472F" w:rsidRPr="005B31EF">
        <w:rPr>
          <w:rFonts w:asciiTheme="majorHAnsi" w:hAnsiTheme="majorHAnsi"/>
          <w:sz w:val="20"/>
          <w:szCs w:val="20"/>
          <w:lang w:val="es-ES_tradnl"/>
        </w:rPr>
        <w:t xml:space="preserve">Asimismo, nota que las autoridades policiales lo habrían amenazado, a efectos que no denuncie las torturas que sufrió mientras estaba recluido </w:t>
      </w:r>
      <w:r w:rsidR="00C55CF5" w:rsidRPr="005B31EF">
        <w:rPr>
          <w:rFonts w:asciiTheme="majorHAnsi" w:hAnsiTheme="majorHAnsi"/>
          <w:sz w:val="20"/>
          <w:szCs w:val="20"/>
          <w:lang w:val="es-ES_tradnl"/>
        </w:rPr>
        <w:t>e</w:t>
      </w:r>
      <w:r w:rsidR="006D472F" w:rsidRPr="005B31EF">
        <w:rPr>
          <w:rFonts w:asciiTheme="majorHAnsi" w:hAnsiTheme="majorHAnsi"/>
          <w:sz w:val="20"/>
          <w:szCs w:val="20"/>
          <w:lang w:val="es-ES_tradnl"/>
        </w:rPr>
        <w:t xml:space="preserve">n El Chipote. </w:t>
      </w:r>
      <w:r w:rsidR="00BB75D6" w:rsidRPr="005B31EF">
        <w:rPr>
          <w:rFonts w:asciiTheme="majorHAnsi" w:hAnsiTheme="majorHAnsi"/>
          <w:sz w:val="20"/>
          <w:szCs w:val="20"/>
          <w:lang w:val="es-ES_tradnl"/>
        </w:rPr>
        <w:t>Debido a</w:t>
      </w:r>
      <w:r w:rsidR="00C55CF5" w:rsidRPr="005B31EF">
        <w:rPr>
          <w:rFonts w:asciiTheme="majorHAnsi" w:hAnsiTheme="majorHAnsi"/>
          <w:sz w:val="20"/>
          <w:szCs w:val="20"/>
          <w:lang w:val="es-ES_tradnl"/>
        </w:rPr>
        <w:t xml:space="preserve"> tales alegatos, </w:t>
      </w:r>
      <w:r w:rsidR="002A04FF" w:rsidRPr="005B31EF">
        <w:rPr>
          <w:rFonts w:asciiTheme="majorHAnsi" w:hAnsiTheme="majorHAnsi"/>
          <w:sz w:val="20"/>
          <w:szCs w:val="20"/>
          <w:lang w:val="es-ES_tradnl"/>
        </w:rPr>
        <w:t xml:space="preserve">y </w:t>
      </w:r>
      <w:r w:rsidR="00BB75D6" w:rsidRPr="005B31EF">
        <w:rPr>
          <w:rFonts w:asciiTheme="majorHAnsi" w:hAnsiTheme="majorHAnsi"/>
          <w:sz w:val="20"/>
          <w:szCs w:val="20"/>
          <w:lang w:val="es-ES_tradnl"/>
        </w:rPr>
        <w:t>dadas las condiciones de detención en la que se encontraba, la CIDH considera que la presunta víctima se vio obstaculizada de denunciar las presuntas prácticas de tortura cometidas en su contra antes de que sea extraditado a otro país</w:t>
      </w:r>
      <w:r w:rsidR="00D06858" w:rsidRPr="005B31EF">
        <w:rPr>
          <w:rFonts w:asciiTheme="majorHAnsi" w:hAnsiTheme="majorHAnsi"/>
          <w:sz w:val="20"/>
          <w:szCs w:val="20"/>
          <w:lang w:val="es-ES_tradnl"/>
        </w:rPr>
        <w:t xml:space="preserve">. </w:t>
      </w:r>
    </w:p>
    <w:p w14:paraId="718D9A7F" w14:textId="72969A2C" w:rsidR="00CC7E8A" w:rsidRPr="005B31EF" w:rsidRDefault="00D06858" w:rsidP="00D06858">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En particular, la Comisión considera que, dada la situación en la que se encontraba la presunta víctima, la interposición o formalización de una denuncia pudo haber representado un riesgo a su integridad y, por ende,</w:t>
      </w:r>
      <w:r w:rsidR="002A04FF" w:rsidRPr="005B31EF">
        <w:rPr>
          <w:rFonts w:asciiTheme="majorHAnsi" w:hAnsiTheme="majorHAnsi"/>
          <w:sz w:val="20"/>
          <w:szCs w:val="20"/>
          <w:lang w:val="es-ES_tradnl"/>
        </w:rPr>
        <w:t xml:space="preserve"> resulta razonable exi</w:t>
      </w:r>
      <w:r w:rsidRPr="005B31EF">
        <w:rPr>
          <w:rFonts w:asciiTheme="majorHAnsi" w:hAnsiTheme="majorHAnsi"/>
          <w:sz w:val="20"/>
          <w:szCs w:val="20"/>
          <w:lang w:val="es-ES_tradnl"/>
        </w:rPr>
        <w:t>mirle</w:t>
      </w:r>
      <w:r w:rsidR="002A04FF" w:rsidRPr="005B31EF">
        <w:rPr>
          <w:rFonts w:asciiTheme="majorHAnsi" w:hAnsiTheme="majorHAnsi"/>
          <w:sz w:val="20"/>
          <w:szCs w:val="20"/>
          <w:lang w:val="es-ES_tradnl"/>
        </w:rPr>
        <w:t xml:space="preserve"> haber agotado los recursos de la jurisdicción interna</w:t>
      </w:r>
      <w:r w:rsidRPr="005B31EF">
        <w:rPr>
          <w:rFonts w:asciiTheme="majorHAnsi" w:hAnsiTheme="majorHAnsi"/>
          <w:sz w:val="20"/>
          <w:szCs w:val="20"/>
          <w:lang w:val="es-ES_tradnl"/>
        </w:rPr>
        <w:t xml:space="preserve"> sobre este extremo de la petición</w:t>
      </w:r>
      <w:r w:rsidR="002A04FF" w:rsidRPr="005B31EF">
        <w:rPr>
          <w:rFonts w:asciiTheme="majorHAnsi" w:hAnsiTheme="majorHAnsi"/>
          <w:sz w:val="20"/>
          <w:szCs w:val="20"/>
          <w:lang w:val="es-ES_tradnl"/>
        </w:rPr>
        <w:t>. E</w:t>
      </w:r>
      <w:r w:rsidR="00BB75D6" w:rsidRPr="005B31EF">
        <w:rPr>
          <w:rFonts w:asciiTheme="majorHAnsi" w:hAnsiTheme="majorHAnsi"/>
          <w:sz w:val="20"/>
          <w:szCs w:val="20"/>
          <w:lang w:val="es-ES_tradnl"/>
        </w:rPr>
        <w:t xml:space="preserve">n razón a ello, la Comisión considera que resulta aplicable la excepción prevista en el artículo 46.2.b) de la Convención Americana. </w:t>
      </w:r>
      <w:r w:rsidRPr="005B31EF">
        <w:rPr>
          <w:rFonts w:asciiTheme="majorHAnsi" w:hAnsiTheme="majorHAnsi"/>
          <w:sz w:val="20"/>
          <w:szCs w:val="20"/>
          <w:lang w:val="es-ES_tradnl"/>
        </w:rPr>
        <w:t>Conforme a lo expuesto en los párrafos anteriores</w:t>
      </w:r>
      <w:r w:rsidR="00BB75D6" w:rsidRPr="005B31EF">
        <w:rPr>
          <w:rFonts w:asciiTheme="majorHAnsi" w:hAnsiTheme="majorHAnsi"/>
          <w:sz w:val="20"/>
          <w:szCs w:val="20"/>
          <w:lang w:val="es-ES_tradnl"/>
        </w:rPr>
        <w:t xml:space="preserve">, dado que la presente petición se presentó el 7 de junio 2017 y que la extradición de la presunta víctima se realizó el 7 de agosto de 2015, la Comisión también concluye que la petición se presentó en un plazo razonable. </w:t>
      </w:r>
    </w:p>
    <w:p w14:paraId="16A5823F" w14:textId="19AE6BEB" w:rsidR="00897428" w:rsidRPr="005B31EF" w:rsidRDefault="00897428" w:rsidP="00897428">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Por otra parte, el Estado sí tomó noticias de las alegadas afectaciones a la integridad personal de la presunta víctima por vía del propio informe levantado por el Grupo de Trabajo sobre Detenciones Arbitrarias de la ONU</w:t>
      </w:r>
      <w:r w:rsidR="00E97C69" w:rsidRPr="005B31EF">
        <w:rPr>
          <w:rFonts w:asciiTheme="majorHAnsi" w:hAnsiTheme="majorHAnsi"/>
          <w:sz w:val="20"/>
          <w:szCs w:val="20"/>
          <w:lang w:val="es-ES_tradnl"/>
        </w:rPr>
        <w:t>, del cual debidamente notificado el Estado</w:t>
      </w:r>
      <w:r w:rsidR="00877C40" w:rsidRPr="005B31EF">
        <w:rPr>
          <w:rFonts w:asciiTheme="majorHAnsi" w:hAnsiTheme="majorHAnsi"/>
          <w:sz w:val="20"/>
          <w:szCs w:val="20"/>
          <w:lang w:val="es-ES_tradnl"/>
        </w:rPr>
        <w:t xml:space="preserve">. A este respecto, y sin entrar en consideraciones de fondo que no corresponden a esta etapa del proceso de la petición, la Comisión recuerda que el artículo 8 de la Convención </w:t>
      </w:r>
      <w:r w:rsidR="00971A5A" w:rsidRPr="005B31EF">
        <w:rPr>
          <w:rFonts w:asciiTheme="majorHAnsi" w:hAnsiTheme="majorHAnsi"/>
          <w:sz w:val="20"/>
          <w:szCs w:val="20"/>
          <w:lang w:val="es-ES_tradnl"/>
        </w:rPr>
        <w:t xml:space="preserve">Interamericana para Prevenir y Sancionar la Tortura dispone que </w:t>
      </w:r>
      <w:r w:rsidR="002E38F0" w:rsidRPr="005B31EF">
        <w:rPr>
          <w:rFonts w:asciiTheme="majorHAnsi" w:hAnsiTheme="majorHAnsi"/>
          <w:sz w:val="20"/>
          <w:szCs w:val="20"/>
          <w:lang w:val="es-ES_tradnl"/>
        </w:rPr>
        <w:t>“</w:t>
      </w:r>
      <w:r w:rsidR="002E38F0" w:rsidRPr="005B31EF">
        <w:rPr>
          <w:rFonts w:asciiTheme="majorHAnsi" w:hAnsiTheme="majorHAnsi"/>
          <w:i/>
          <w:iCs/>
          <w:sz w:val="20"/>
          <w:szCs w:val="20"/>
          <w:lang w:val="es-ES_tradnl"/>
        </w:rPr>
        <w:t>cuando exista denuncia o razón fundada para creer que se ha cometido un acto de tortura en el ámbito de su jurisdicción</w:t>
      </w:r>
      <w:r w:rsidR="000E4247" w:rsidRPr="005B31EF">
        <w:rPr>
          <w:rFonts w:asciiTheme="majorHAnsi" w:hAnsiTheme="majorHAnsi"/>
          <w:i/>
          <w:iCs/>
          <w:sz w:val="20"/>
          <w:szCs w:val="20"/>
          <w:lang w:val="es-ES_tradnl"/>
        </w:rPr>
        <w:t>, los Estados partes garantizarán que sus respectivas autoridades procederán de oficio y de inmediato a realizar una investigación sobre el caso</w:t>
      </w:r>
      <w:r w:rsidR="000E4247" w:rsidRPr="005B31EF">
        <w:rPr>
          <w:rFonts w:asciiTheme="majorHAnsi" w:hAnsiTheme="majorHAnsi"/>
          <w:sz w:val="20"/>
          <w:szCs w:val="20"/>
          <w:lang w:val="es-ES_tradnl"/>
        </w:rPr>
        <w:t xml:space="preserve"> </w:t>
      </w:r>
      <w:r w:rsidR="00797FBD" w:rsidRPr="005B31EF">
        <w:rPr>
          <w:rFonts w:asciiTheme="majorHAnsi" w:hAnsiTheme="majorHAnsi"/>
          <w:sz w:val="20"/>
          <w:szCs w:val="20"/>
          <w:lang w:val="es-ES"/>
        </w:rPr>
        <w:t>[…]”.</w:t>
      </w:r>
    </w:p>
    <w:p w14:paraId="669ED0CC" w14:textId="210DDC14" w:rsidR="00AB64D3" w:rsidRPr="005B31EF" w:rsidRDefault="00AB64D3" w:rsidP="00BB75D6">
      <w:pPr>
        <w:pStyle w:val="ListParagraph"/>
        <w:suppressAutoHyphens/>
        <w:spacing w:before="240" w:after="240"/>
        <w:jc w:val="both"/>
        <w:rPr>
          <w:rFonts w:asciiTheme="majorHAnsi" w:hAnsiTheme="majorHAnsi"/>
          <w:b/>
          <w:sz w:val="20"/>
          <w:szCs w:val="20"/>
          <w:lang w:val="es-ES_tradnl"/>
        </w:rPr>
      </w:pPr>
      <w:r w:rsidRPr="005B31EF">
        <w:rPr>
          <w:rFonts w:asciiTheme="majorHAnsi" w:hAnsiTheme="majorHAnsi"/>
          <w:b/>
          <w:bCs/>
          <w:sz w:val="20"/>
          <w:szCs w:val="20"/>
          <w:lang w:val="es-ES_tradnl"/>
        </w:rPr>
        <w:t>VII.</w:t>
      </w:r>
      <w:r w:rsidRPr="005B31EF">
        <w:rPr>
          <w:rFonts w:asciiTheme="majorHAnsi" w:hAnsiTheme="majorHAnsi"/>
          <w:b/>
          <w:bCs/>
          <w:sz w:val="20"/>
          <w:szCs w:val="20"/>
          <w:lang w:val="es-ES_tradnl"/>
        </w:rPr>
        <w:tab/>
        <w:t>ANÁLISIS DE CARACTERIZACIÓN DE LOS HECHOS ALEGADOS</w:t>
      </w:r>
    </w:p>
    <w:p w14:paraId="69B13A0C" w14:textId="49287988" w:rsidR="00154D2A" w:rsidRPr="005B31EF" w:rsidRDefault="00154D2A" w:rsidP="00154D2A">
      <w:pPr>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5B31EF">
        <w:rPr>
          <w:rStyle w:val="FootnoteReference"/>
          <w:rFonts w:asciiTheme="majorHAnsi" w:hAnsiTheme="majorHAnsi"/>
          <w:sz w:val="20"/>
          <w:szCs w:val="20"/>
          <w:lang w:val="es-ES_tradnl"/>
        </w:rPr>
        <w:footnoteReference w:id="6"/>
      </w:r>
      <w:r w:rsidRPr="005B31EF">
        <w:rPr>
          <w:rFonts w:asciiTheme="majorHAnsi" w:hAnsiTheme="majorHAnsi"/>
          <w:sz w:val="20"/>
          <w:szCs w:val="20"/>
          <w:lang w:val="es-ES_tradnl"/>
        </w:rPr>
        <w:t>.</w:t>
      </w:r>
    </w:p>
    <w:p w14:paraId="4AA472E6" w14:textId="4D71D342" w:rsidR="00AC03DE" w:rsidRPr="005B31EF" w:rsidRDefault="00E9021E" w:rsidP="00E9021E">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 xml:space="preserve">En el presente asunto, </w:t>
      </w:r>
      <w:r w:rsidR="00AC03DE" w:rsidRPr="005B31EF">
        <w:rPr>
          <w:rFonts w:asciiTheme="majorHAnsi" w:hAnsiTheme="majorHAnsi"/>
          <w:sz w:val="20"/>
          <w:szCs w:val="20"/>
          <w:lang w:val="es-ES_tradnl"/>
        </w:rPr>
        <w:t>la Comisión Interamericana observa que los alegatos del peticionario no resultan manifiestamente infundados, antes bien, resultan congruentes con lo verificado por la propia Comisión en el ejercicio de sus funciones de monitoreo, y de ser ciertos los hechos alegados por el peticionario</w:t>
      </w:r>
      <w:r w:rsidR="00215A2E" w:rsidRPr="005B31EF">
        <w:rPr>
          <w:rFonts w:asciiTheme="majorHAnsi" w:hAnsiTheme="majorHAnsi"/>
          <w:sz w:val="20"/>
          <w:szCs w:val="20"/>
          <w:lang w:val="es-ES_tradnl"/>
        </w:rPr>
        <w:t>, referidos a su detención, prácticas de tortura en su contra, falta de acceso a la asistencia consular e irregularidades cometidas en el marco de su proceso de extradición,</w:t>
      </w:r>
      <w:r w:rsidR="00AC03DE" w:rsidRPr="005B31EF">
        <w:rPr>
          <w:rFonts w:asciiTheme="majorHAnsi" w:hAnsiTheme="majorHAnsi"/>
          <w:sz w:val="20"/>
          <w:szCs w:val="20"/>
          <w:lang w:val="es-ES_tradnl"/>
        </w:rPr>
        <w:t xml:space="preserve"> estos podrían caracterizar violaciones a los derechos establecidos en los artículos 5 (integridad personal), 7 (libertad personal), 8 (garantías judiciales), 11 (protección de la honra y de la dignidad), 22 (circulación y residencia), 24 (igualdad ante la ley), 25 (protección judicial) y 26 (derechos económicos, sociales y culturales) de la Convención Americana, en relación </w:t>
      </w:r>
      <w:r w:rsidR="00AC03DE" w:rsidRPr="005B31EF">
        <w:rPr>
          <w:rFonts w:asciiTheme="majorHAnsi" w:hAnsiTheme="majorHAnsi"/>
          <w:sz w:val="20"/>
          <w:szCs w:val="20"/>
          <w:lang w:val="es-ES_tradnl"/>
        </w:rPr>
        <w:lastRenderedPageBreak/>
        <w:t xml:space="preserve">con su artículo 1.1 (obligación de respetar los derechos); así como de los artículos 1, 6 y 8 de la Convención Interamericana para Prevenir y Sancionar la Tortura, en perjuicio del Sr. José Daniel Gil Trejos. </w:t>
      </w:r>
    </w:p>
    <w:p w14:paraId="2826276D" w14:textId="77777777" w:rsidR="00AB64D3" w:rsidRPr="005B31EF" w:rsidRDefault="004221E5" w:rsidP="00AB64D3">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cs="Calibri"/>
          <w:sz w:val="20"/>
          <w:szCs w:val="20"/>
          <w:lang w:val="es-ES_tradnl"/>
        </w:rPr>
        <w:t xml:space="preserve">En cuanto al reclamo sobre la presunta violación </w:t>
      </w:r>
      <w:r w:rsidR="00225C6E" w:rsidRPr="005B31EF">
        <w:rPr>
          <w:rFonts w:asciiTheme="majorHAnsi" w:hAnsiTheme="majorHAnsi" w:cs="Calibri"/>
          <w:sz w:val="20"/>
          <w:szCs w:val="20"/>
          <w:lang w:val="es-ES_tradnl"/>
        </w:rPr>
        <w:t>del</w:t>
      </w:r>
      <w:r w:rsidRPr="005B31EF">
        <w:rPr>
          <w:rFonts w:asciiTheme="majorHAnsi" w:hAnsiTheme="majorHAnsi" w:cs="Calibri"/>
          <w:sz w:val="20"/>
          <w:szCs w:val="20"/>
          <w:lang w:val="es-ES_tradnl"/>
        </w:rPr>
        <w:t xml:space="preserve"> artículo </w:t>
      </w:r>
      <w:r w:rsidRPr="005B31EF">
        <w:rPr>
          <w:rFonts w:asciiTheme="majorHAnsi" w:hAnsiTheme="majorHAnsi"/>
          <w:bCs/>
          <w:sz w:val="20"/>
          <w:szCs w:val="20"/>
          <w:lang w:val="es-ES_tradnl"/>
        </w:rPr>
        <w:t xml:space="preserve">20 (a la nacionalidad) </w:t>
      </w:r>
      <w:r w:rsidRPr="005B31EF">
        <w:rPr>
          <w:rFonts w:asciiTheme="majorHAnsi" w:hAnsiTheme="majorHAnsi" w:cs="Calibri"/>
          <w:sz w:val="20"/>
          <w:szCs w:val="20"/>
          <w:lang w:val="es-ES_tradnl"/>
        </w:rPr>
        <w:t xml:space="preserve">de la Convención Americana; observa que el peticionario no ha ofrecido alegatos o sustento suficiente que permita considerar </w:t>
      </w:r>
      <w:r w:rsidRPr="005B31EF">
        <w:rPr>
          <w:rFonts w:asciiTheme="majorHAnsi" w:hAnsiTheme="majorHAnsi" w:cs="Calibri"/>
          <w:i/>
          <w:sz w:val="20"/>
          <w:szCs w:val="20"/>
          <w:lang w:val="es-ES_tradnl"/>
        </w:rPr>
        <w:t>prima facie</w:t>
      </w:r>
      <w:r w:rsidRPr="005B31EF">
        <w:rPr>
          <w:rFonts w:asciiTheme="majorHAnsi" w:hAnsiTheme="majorHAnsi" w:cs="Calibri"/>
          <w:sz w:val="20"/>
          <w:szCs w:val="20"/>
          <w:lang w:val="es-ES_tradnl"/>
        </w:rPr>
        <w:t xml:space="preserve"> su posible violación.</w:t>
      </w:r>
    </w:p>
    <w:p w14:paraId="37612CAE" w14:textId="77777777" w:rsidR="00F62449" w:rsidRPr="005B31EF" w:rsidRDefault="00F62449" w:rsidP="00F62449">
      <w:pPr>
        <w:pStyle w:val="ListParagraph"/>
        <w:numPr>
          <w:ilvl w:val="0"/>
          <w:numId w:val="59"/>
        </w:numPr>
        <w:suppressAutoHyphens/>
        <w:spacing w:before="240" w:after="240"/>
        <w:jc w:val="both"/>
        <w:rPr>
          <w:rFonts w:asciiTheme="majorHAnsi" w:hAnsiTheme="majorHAnsi"/>
          <w:sz w:val="20"/>
          <w:szCs w:val="20"/>
          <w:lang w:val="es-ES_tradnl"/>
        </w:rPr>
      </w:pPr>
      <w:r w:rsidRPr="005B31EF">
        <w:rPr>
          <w:rFonts w:asciiTheme="majorHAnsi" w:hAnsiTheme="majorHAnsi"/>
          <w:sz w:val="20"/>
          <w:szCs w:val="20"/>
          <w:lang w:val="es-ES_tradnl"/>
        </w:rPr>
        <w:t>En relación con los demás instrumentos internacionales alegados por los peticionarios, la Comisión carece de competencia para establecer violaciones a las normas de dichos tratados, sin perjuicio de lo cual podrá tomarlos en cuenta como parte de su ejercicio interpretativo de las normas de la Convención Americana en la etapa de fondo del presente caso, en los términos del artículo 29 de la Convención Americana.</w:t>
      </w:r>
    </w:p>
    <w:p w14:paraId="25FBD32C" w14:textId="77777777" w:rsidR="00F62449" w:rsidRPr="005B31EF" w:rsidRDefault="00F62449" w:rsidP="00F62449">
      <w:pPr>
        <w:numPr>
          <w:ilvl w:val="0"/>
          <w:numId w:val="59"/>
        </w:numPr>
        <w:suppressAutoHyphens/>
        <w:spacing w:after="240"/>
        <w:jc w:val="both"/>
        <w:rPr>
          <w:rFonts w:asciiTheme="majorHAnsi" w:hAnsiTheme="majorHAnsi"/>
          <w:sz w:val="20"/>
          <w:szCs w:val="20"/>
          <w:lang w:val="es-ES_tradnl"/>
        </w:rPr>
      </w:pPr>
      <w:r w:rsidRPr="005B31EF">
        <w:rPr>
          <w:rFonts w:asciiTheme="majorHAnsi" w:hAnsiTheme="majorHAnsi"/>
          <w:sz w:val="20"/>
          <w:szCs w:val="20"/>
          <w:lang w:val="es-ES_tradnl"/>
        </w:rPr>
        <w:t>Finalmente, y con respecto al argumento de la “fórmula de la cuarta instancia”, la Comisión subraya el carácter complementario del sistema interamericano y resalta que, según lo ha indicado la Corte Interamericana, para que proceda una excepción de “cuarta instancia” sería necesario que se “busque que […][se]  revise el fallo de un tribunal interno en virtud de su incorrecta apreciación de la prueba, los hechos o el derecho interno, sin que, a la vez, se alegue que tal fallo incurrió en una violación de tratados internacionales [ …]”</w:t>
      </w:r>
      <w:r w:rsidRPr="005B31EF">
        <w:rPr>
          <w:rStyle w:val="FootnoteReference"/>
          <w:rFonts w:asciiTheme="majorHAnsi" w:hAnsiTheme="majorHAnsi"/>
          <w:sz w:val="20"/>
          <w:szCs w:val="20"/>
          <w:lang w:val="es-ES_tradnl"/>
        </w:rPr>
        <w:footnoteReference w:id="7"/>
      </w:r>
      <w:r w:rsidRPr="005B31EF">
        <w:rPr>
          <w:rFonts w:asciiTheme="majorHAnsi" w:hAnsiTheme="majorHAnsi"/>
          <w:sz w:val="20"/>
          <w:szCs w:val="20"/>
          <w:lang w:val="es-ES_tradnl"/>
        </w:rPr>
        <w:t>. En el presente caso, la Comisión considera que, tal como lo ha indicado la Corte Interamericana, “[le]compete verificar si en los pasos efectivamente dados a nivel interno se violaron o no obligaciones internacionales del Estado derivadas de los instrumentos interamericanos que le otorgan competencia”</w:t>
      </w:r>
      <w:r w:rsidRPr="005B31EF">
        <w:rPr>
          <w:rFonts w:asciiTheme="majorHAnsi" w:hAnsiTheme="majorHAnsi"/>
          <w:sz w:val="20"/>
          <w:szCs w:val="20"/>
          <w:vertAlign w:val="superscript"/>
          <w:lang w:val="es-ES_tradnl"/>
        </w:rPr>
        <w:t xml:space="preserve"> </w:t>
      </w:r>
      <w:r w:rsidRPr="005B31EF">
        <w:rPr>
          <w:rFonts w:asciiTheme="majorHAnsi" w:hAnsiTheme="majorHAnsi"/>
          <w:sz w:val="20"/>
          <w:szCs w:val="20"/>
          <w:vertAlign w:val="superscript"/>
        </w:rPr>
        <w:footnoteReference w:id="8"/>
      </w:r>
      <w:r w:rsidRPr="005B31EF">
        <w:rPr>
          <w:rFonts w:asciiTheme="majorHAnsi" w:hAnsiTheme="majorHAnsi"/>
          <w:sz w:val="20"/>
          <w:szCs w:val="20"/>
          <w:lang w:val="es-ES_tradnl"/>
        </w:rPr>
        <w:t>.  Asimismo, le corresponde examinar “si las actuaciones de órganos judiciales constituyen o no una violación de las obligaciones internacionales del Estado, [lo cual] puede conducir a que [ …]deba ocuparse de examinar los respectivos procesos internos para establecer su compatibilidad con la Convención Americana”</w:t>
      </w:r>
      <w:r w:rsidRPr="005B31EF">
        <w:rPr>
          <w:rFonts w:asciiTheme="majorHAnsi" w:hAnsiTheme="majorHAnsi"/>
          <w:sz w:val="20"/>
          <w:szCs w:val="20"/>
          <w:vertAlign w:val="superscript"/>
        </w:rPr>
        <w:footnoteReference w:id="9"/>
      </w:r>
      <w:r w:rsidRPr="005B31EF">
        <w:rPr>
          <w:rFonts w:asciiTheme="majorHAnsi" w:hAnsiTheme="majorHAnsi"/>
          <w:sz w:val="20"/>
          <w:szCs w:val="20"/>
          <w:lang w:val="es-ES_tradnl"/>
        </w:rPr>
        <w:t>. En este sentido, el análisis sobre si el Estado incurrió en violaciones a la Convención Americana es una cuestión que corresponde ser decidida en el fondo del presente asunto.</w:t>
      </w:r>
    </w:p>
    <w:p w14:paraId="2FEE1A99" w14:textId="2B7DB698" w:rsidR="0054462C" w:rsidRPr="005B31EF" w:rsidRDefault="003239B8" w:rsidP="0054462C">
      <w:pPr>
        <w:pStyle w:val="ListParagraph"/>
        <w:spacing w:before="240" w:after="240"/>
        <w:jc w:val="both"/>
        <w:rPr>
          <w:rFonts w:asciiTheme="majorHAnsi" w:hAnsiTheme="majorHAnsi"/>
          <w:b/>
          <w:bCs/>
          <w:sz w:val="20"/>
          <w:szCs w:val="20"/>
          <w:lang w:val="es-ES_tradnl"/>
        </w:rPr>
      </w:pPr>
      <w:r w:rsidRPr="005B31EF">
        <w:rPr>
          <w:rFonts w:asciiTheme="majorHAnsi" w:hAnsiTheme="majorHAnsi"/>
          <w:b/>
          <w:bCs/>
          <w:sz w:val="20"/>
          <w:szCs w:val="20"/>
          <w:lang w:val="es-ES_tradnl"/>
        </w:rPr>
        <w:t xml:space="preserve">VIII. </w:t>
      </w:r>
      <w:r w:rsidRPr="005B31EF">
        <w:rPr>
          <w:rFonts w:asciiTheme="majorHAnsi" w:hAnsiTheme="majorHAnsi"/>
          <w:b/>
          <w:bCs/>
          <w:sz w:val="20"/>
          <w:szCs w:val="20"/>
          <w:lang w:val="es-ES_tradnl"/>
        </w:rPr>
        <w:tab/>
        <w:t>DECISIÓN</w:t>
      </w:r>
    </w:p>
    <w:p w14:paraId="16B36F97" w14:textId="7BEECA1B" w:rsidR="003239B8" w:rsidRPr="005B31EF" w:rsidRDefault="003239B8" w:rsidP="00305835">
      <w:pPr>
        <w:numPr>
          <w:ilvl w:val="0"/>
          <w:numId w:val="55"/>
        </w:numPr>
        <w:suppressAutoHyphens/>
        <w:spacing w:after="240"/>
        <w:jc w:val="both"/>
        <w:rPr>
          <w:rFonts w:asciiTheme="majorHAnsi" w:hAnsiTheme="majorHAnsi"/>
          <w:sz w:val="20"/>
          <w:szCs w:val="20"/>
          <w:lang w:val="es-ES_tradnl"/>
        </w:rPr>
      </w:pPr>
      <w:r w:rsidRPr="005B31EF">
        <w:rPr>
          <w:rFonts w:asciiTheme="majorHAnsi" w:hAnsiTheme="majorHAnsi"/>
          <w:sz w:val="20"/>
          <w:szCs w:val="20"/>
          <w:lang w:val="es-ES_tradnl"/>
        </w:rPr>
        <w:t>Declarar admisible la presente petición en relación con</w:t>
      </w:r>
      <w:r w:rsidR="001D7F96" w:rsidRPr="005B31EF">
        <w:rPr>
          <w:rFonts w:asciiTheme="majorHAnsi" w:hAnsiTheme="majorHAnsi"/>
          <w:sz w:val="20"/>
          <w:szCs w:val="20"/>
          <w:lang w:val="es-ES_tradnl"/>
        </w:rPr>
        <w:t xml:space="preserve"> </w:t>
      </w:r>
      <w:r w:rsidR="00DA08DD" w:rsidRPr="005B31EF">
        <w:rPr>
          <w:rFonts w:asciiTheme="majorHAnsi" w:hAnsiTheme="majorHAnsi"/>
          <w:sz w:val="20"/>
          <w:szCs w:val="20"/>
          <w:lang w:val="es-ES_tradnl"/>
        </w:rPr>
        <w:t xml:space="preserve">los </w:t>
      </w:r>
      <w:r w:rsidR="00B8404E" w:rsidRPr="005B31EF">
        <w:rPr>
          <w:rFonts w:asciiTheme="majorHAnsi" w:hAnsiTheme="majorHAnsi"/>
          <w:sz w:val="20"/>
          <w:szCs w:val="20"/>
          <w:lang w:val="es-ES_tradnl"/>
        </w:rPr>
        <w:t xml:space="preserve">artículos 5, 7, </w:t>
      </w:r>
      <w:r w:rsidR="00B8404E" w:rsidRPr="005B31EF">
        <w:rPr>
          <w:rFonts w:asciiTheme="majorHAnsi" w:hAnsiTheme="majorHAnsi"/>
          <w:bCs/>
          <w:sz w:val="20"/>
          <w:szCs w:val="20"/>
          <w:lang w:val="es-ES_tradnl"/>
        </w:rPr>
        <w:t xml:space="preserve">8, </w:t>
      </w:r>
      <w:r w:rsidR="00C74538" w:rsidRPr="005B31EF">
        <w:rPr>
          <w:rFonts w:asciiTheme="majorHAnsi" w:hAnsiTheme="majorHAnsi"/>
          <w:bCs/>
          <w:sz w:val="20"/>
          <w:szCs w:val="20"/>
          <w:lang w:val="es-ES_tradnl"/>
        </w:rPr>
        <w:t xml:space="preserve">11, </w:t>
      </w:r>
      <w:r w:rsidR="00B8404E" w:rsidRPr="005B31EF">
        <w:rPr>
          <w:rFonts w:asciiTheme="majorHAnsi" w:hAnsiTheme="majorHAnsi"/>
          <w:bCs/>
          <w:sz w:val="20"/>
          <w:szCs w:val="20"/>
          <w:lang w:val="es-ES_tradnl"/>
        </w:rPr>
        <w:t>22, 24, 25 y 26 de la Convención</w:t>
      </w:r>
      <w:r w:rsidR="00A758AA" w:rsidRPr="005B31EF">
        <w:rPr>
          <w:rFonts w:asciiTheme="majorHAnsi" w:hAnsiTheme="majorHAnsi"/>
          <w:sz w:val="20"/>
          <w:szCs w:val="20"/>
          <w:lang w:val="es-ES_tradnl"/>
        </w:rPr>
        <w:t>;</w:t>
      </w:r>
      <w:r w:rsidR="007B76D3" w:rsidRPr="005B31EF">
        <w:rPr>
          <w:rFonts w:asciiTheme="majorHAnsi" w:hAnsiTheme="majorHAnsi"/>
          <w:sz w:val="20"/>
          <w:szCs w:val="20"/>
          <w:lang w:val="es-ES_tradnl"/>
        </w:rPr>
        <w:t xml:space="preserve"> y</w:t>
      </w:r>
      <w:r w:rsidR="00F62449" w:rsidRPr="005B31EF">
        <w:rPr>
          <w:rFonts w:asciiTheme="majorHAnsi" w:hAnsiTheme="majorHAnsi"/>
          <w:sz w:val="20"/>
          <w:szCs w:val="20"/>
          <w:lang w:val="es-ES_tradnl"/>
        </w:rPr>
        <w:t xml:space="preserve"> los artículos 1, 6 y 8 de la Convención Interamericana para Prevenir y Sancionar la Tortura</w:t>
      </w:r>
      <w:r w:rsidR="00313B7F" w:rsidRPr="005B31EF">
        <w:rPr>
          <w:rFonts w:asciiTheme="majorHAnsi" w:hAnsiTheme="majorHAnsi"/>
          <w:sz w:val="20"/>
          <w:szCs w:val="20"/>
          <w:lang w:val="es-ES_tradnl"/>
        </w:rPr>
        <w:t xml:space="preserve">; </w:t>
      </w:r>
      <w:r w:rsidR="00F62449" w:rsidRPr="005B31EF">
        <w:rPr>
          <w:rFonts w:asciiTheme="majorHAnsi" w:hAnsiTheme="majorHAnsi"/>
          <w:sz w:val="20"/>
          <w:szCs w:val="20"/>
          <w:lang w:val="es-ES_tradnl"/>
        </w:rPr>
        <w:t xml:space="preserve"> </w:t>
      </w:r>
    </w:p>
    <w:p w14:paraId="7CCCB663" w14:textId="605BCE6A" w:rsidR="000419AD" w:rsidRPr="005B31EF" w:rsidRDefault="000419AD" w:rsidP="00305835">
      <w:pPr>
        <w:pStyle w:val="ListParagraph"/>
        <w:numPr>
          <w:ilvl w:val="0"/>
          <w:numId w:val="55"/>
        </w:numPr>
        <w:rPr>
          <w:rFonts w:asciiTheme="majorHAnsi" w:eastAsia="Arial Unicode MS" w:hAnsiTheme="majorHAnsi" w:cs="Times New Roman"/>
          <w:color w:val="0D0D0D" w:themeColor="text1" w:themeTint="F2"/>
          <w:sz w:val="20"/>
          <w:szCs w:val="20"/>
          <w:lang w:val="es-ES_tradnl" w:eastAsia="en-US"/>
        </w:rPr>
      </w:pPr>
      <w:r w:rsidRPr="005B31EF">
        <w:rPr>
          <w:rFonts w:asciiTheme="majorHAnsi" w:eastAsia="Arial Unicode MS" w:hAnsiTheme="majorHAnsi" w:cs="Times New Roman"/>
          <w:color w:val="0D0D0D" w:themeColor="text1" w:themeTint="F2"/>
          <w:sz w:val="20"/>
          <w:szCs w:val="20"/>
          <w:lang w:val="es-ES_tradnl" w:eastAsia="en-US"/>
        </w:rPr>
        <w:t xml:space="preserve">Declarar inadmisible la presente petición en relación con </w:t>
      </w:r>
      <w:r w:rsidR="00B8404E" w:rsidRPr="005B31EF">
        <w:rPr>
          <w:rFonts w:asciiTheme="majorHAnsi" w:eastAsia="Arial Unicode MS" w:hAnsiTheme="majorHAnsi" w:cs="Times New Roman"/>
          <w:color w:val="0D0D0D" w:themeColor="text1" w:themeTint="F2"/>
          <w:sz w:val="20"/>
          <w:szCs w:val="20"/>
          <w:lang w:val="es-ES_tradnl" w:eastAsia="en-US"/>
        </w:rPr>
        <w:t>el artículo 20 de la Convención</w:t>
      </w:r>
      <w:r w:rsidR="00742643">
        <w:rPr>
          <w:rFonts w:asciiTheme="majorHAnsi" w:eastAsia="Arial Unicode MS" w:hAnsiTheme="majorHAnsi" w:cs="Times New Roman"/>
          <w:color w:val="0D0D0D" w:themeColor="text1" w:themeTint="F2"/>
          <w:sz w:val="20"/>
          <w:szCs w:val="20"/>
          <w:lang w:val="es-ES_tradnl" w:eastAsia="en-US"/>
        </w:rPr>
        <w:t xml:space="preserve">, </w:t>
      </w:r>
      <w:r w:rsidR="004A6A54" w:rsidRPr="005B31EF">
        <w:rPr>
          <w:rFonts w:asciiTheme="majorHAnsi" w:eastAsia="Arial Unicode MS" w:hAnsiTheme="majorHAnsi" w:cs="Times New Roman"/>
          <w:color w:val="0D0D0D" w:themeColor="text1" w:themeTint="F2"/>
          <w:sz w:val="20"/>
          <w:szCs w:val="20"/>
          <w:lang w:val="es-ES_tradnl" w:eastAsia="en-US"/>
        </w:rPr>
        <w:t>y</w:t>
      </w:r>
      <w:r w:rsidR="00742643">
        <w:rPr>
          <w:rFonts w:asciiTheme="majorHAnsi" w:eastAsia="Arial Unicode MS" w:hAnsiTheme="majorHAnsi" w:cs="Times New Roman"/>
          <w:color w:val="0D0D0D" w:themeColor="text1" w:themeTint="F2"/>
          <w:sz w:val="20"/>
          <w:szCs w:val="20"/>
          <w:lang w:val="es-ES_tradnl" w:eastAsia="en-US"/>
        </w:rPr>
        <w:t>;</w:t>
      </w:r>
    </w:p>
    <w:p w14:paraId="547DFF8E" w14:textId="77777777" w:rsidR="000419AD" w:rsidRPr="005B31EF" w:rsidRDefault="000419AD" w:rsidP="000419AD">
      <w:pPr>
        <w:pStyle w:val="ListParagraph"/>
        <w:rPr>
          <w:rFonts w:asciiTheme="majorHAnsi" w:eastAsia="Arial Unicode MS" w:hAnsiTheme="majorHAnsi" w:cs="Times New Roman"/>
          <w:color w:val="auto"/>
          <w:sz w:val="20"/>
          <w:szCs w:val="20"/>
          <w:lang w:val="es-ES_tradnl" w:eastAsia="en-US"/>
        </w:rPr>
      </w:pPr>
    </w:p>
    <w:p w14:paraId="5DAAE351" w14:textId="09DC800E" w:rsidR="00742643" w:rsidRDefault="004A6A54" w:rsidP="00742643">
      <w:pPr>
        <w:numPr>
          <w:ilvl w:val="0"/>
          <w:numId w:val="55"/>
        </w:numPr>
        <w:suppressAutoHyphens/>
        <w:spacing w:after="240"/>
        <w:jc w:val="both"/>
        <w:rPr>
          <w:rFonts w:asciiTheme="majorHAnsi" w:hAnsiTheme="majorHAnsi"/>
          <w:color w:val="0D0D0D" w:themeColor="text1" w:themeTint="F2"/>
          <w:sz w:val="20"/>
          <w:szCs w:val="20"/>
          <w:lang w:val="es-ES_tradnl"/>
        </w:rPr>
      </w:pPr>
      <w:r w:rsidRPr="005B31EF">
        <w:rPr>
          <w:rFonts w:asciiTheme="majorHAnsi" w:hAnsiTheme="majorHAnsi"/>
          <w:color w:val="0D0D0D" w:themeColor="text1" w:themeTint="F2"/>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2D679F96" w14:textId="5C08DC2D" w:rsidR="00742643" w:rsidRPr="00CD5692" w:rsidRDefault="00A9487A" w:rsidP="00CD569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17 días del mes de diciembre de 2022. </w:t>
      </w:r>
      <w:r w:rsidR="00CD5692">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w:t>
      </w:r>
      <w:r w:rsidR="006A33EC" w:rsidRPr="00B32265">
        <w:rPr>
          <w:rStyle w:val="normaltextrun"/>
          <w:rFonts w:ascii="Cambria" w:hAnsi="Cambria" w:cs="Segoe UI"/>
          <w:sz w:val="20"/>
          <w:szCs w:val="20"/>
          <w:lang w:val="es-CL"/>
        </w:rPr>
        <w:t>Julissa Mantilla Falcón, Presidenta; Stuardo Ralón Orellana, Primer Vicepresidente; Esmeralda E. Arosemena Bernal de Troitiño</w:t>
      </w:r>
      <w:r w:rsidR="00EA028C">
        <w:rPr>
          <w:rStyle w:val="normaltextrun"/>
          <w:rFonts w:ascii="Cambria" w:hAnsi="Cambria" w:cs="Segoe UI"/>
          <w:sz w:val="20"/>
          <w:szCs w:val="20"/>
          <w:lang w:val="es-CL"/>
        </w:rPr>
        <w:t xml:space="preserve"> y </w:t>
      </w:r>
      <w:r w:rsidR="006A33EC" w:rsidRPr="00B32265">
        <w:rPr>
          <w:rStyle w:val="normaltextrun"/>
          <w:rFonts w:ascii="Cambria" w:hAnsi="Cambria" w:cs="Segoe UI"/>
          <w:sz w:val="20"/>
          <w:szCs w:val="20"/>
          <w:lang w:val="es-CL"/>
        </w:rPr>
        <w:t xml:space="preserve">Carlos Bernal Pulido, </w:t>
      </w:r>
      <w:r w:rsidR="00CD5692">
        <w:rPr>
          <w:rStyle w:val="normaltextrun"/>
          <w:rFonts w:ascii="Cambria" w:hAnsi="Cambria" w:cs="Segoe UI"/>
          <w:sz w:val="20"/>
          <w:szCs w:val="20"/>
          <w:lang w:val="es-CL"/>
        </w:rPr>
        <w:t>m</w:t>
      </w:r>
      <w:r w:rsidR="006A33EC" w:rsidRPr="00B32265">
        <w:rPr>
          <w:rStyle w:val="normaltextrun"/>
          <w:rFonts w:ascii="Cambria" w:hAnsi="Cambria" w:cs="Segoe UI"/>
          <w:sz w:val="20"/>
          <w:szCs w:val="20"/>
          <w:lang w:val="es-CL"/>
        </w:rPr>
        <w:t>iembros de la Comisión.</w:t>
      </w:r>
    </w:p>
    <w:p w14:paraId="02C904B2" w14:textId="0017D7E3" w:rsidR="009A56CE" w:rsidRDefault="009A56CE" w:rsidP="009A56CE">
      <w:pPr>
        <w:ind w:left="720"/>
        <w:jc w:val="both"/>
        <w:rPr>
          <w:rFonts w:asciiTheme="majorHAnsi" w:hAnsiTheme="majorHAnsi" w:cs="Calibri"/>
          <w:sz w:val="20"/>
          <w:szCs w:val="20"/>
          <w:lang w:val="es-ES_tradnl"/>
        </w:rPr>
      </w:pPr>
    </w:p>
    <w:p w14:paraId="2DC1E201" w14:textId="695BC387" w:rsidR="00981E49" w:rsidRPr="00981E49" w:rsidRDefault="00981E49" w:rsidP="00981E49">
      <w:pPr>
        <w:rPr>
          <w:rFonts w:asciiTheme="majorHAnsi" w:hAnsiTheme="majorHAnsi" w:cs="Calibri"/>
          <w:sz w:val="20"/>
          <w:szCs w:val="20"/>
          <w:lang w:val="es-ES_tradnl"/>
        </w:rPr>
      </w:pPr>
    </w:p>
    <w:p w14:paraId="0068F4B8" w14:textId="5580E380" w:rsidR="00981E49" w:rsidRPr="00981E49" w:rsidRDefault="00981E49" w:rsidP="00981E49">
      <w:pPr>
        <w:rPr>
          <w:rFonts w:asciiTheme="majorHAnsi" w:hAnsiTheme="majorHAnsi" w:cs="Calibri"/>
          <w:sz w:val="20"/>
          <w:szCs w:val="20"/>
          <w:lang w:val="es-ES_tradnl"/>
        </w:rPr>
      </w:pPr>
    </w:p>
    <w:p w14:paraId="4CA4893B" w14:textId="5F317B97" w:rsidR="00981E49" w:rsidRDefault="00981E49" w:rsidP="00981E49">
      <w:pPr>
        <w:rPr>
          <w:rFonts w:asciiTheme="majorHAnsi" w:hAnsiTheme="majorHAnsi" w:cs="Calibri"/>
          <w:sz w:val="20"/>
          <w:szCs w:val="20"/>
          <w:lang w:val="es-ES_tradnl"/>
        </w:rPr>
      </w:pPr>
    </w:p>
    <w:p w14:paraId="085F43EC" w14:textId="49BD7612" w:rsidR="00981E49" w:rsidRPr="00981E49" w:rsidRDefault="00981E49" w:rsidP="00981E49">
      <w:pPr>
        <w:tabs>
          <w:tab w:val="left" w:pos="2855"/>
        </w:tabs>
        <w:rPr>
          <w:rFonts w:asciiTheme="majorHAnsi" w:hAnsiTheme="majorHAnsi" w:cs="Calibri"/>
          <w:sz w:val="20"/>
          <w:szCs w:val="20"/>
          <w:lang w:val="es-ES_tradnl"/>
        </w:rPr>
      </w:pPr>
      <w:r>
        <w:rPr>
          <w:rFonts w:asciiTheme="majorHAnsi" w:hAnsiTheme="majorHAnsi" w:cs="Calibri"/>
          <w:sz w:val="20"/>
          <w:szCs w:val="20"/>
          <w:lang w:val="es-ES_tradnl"/>
        </w:rPr>
        <w:tab/>
      </w:r>
    </w:p>
    <w:sectPr w:rsidR="00981E49" w:rsidRPr="00981E4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FCBF" w14:textId="77777777" w:rsidR="00A27649" w:rsidRDefault="00A27649">
      <w:r>
        <w:separator/>
      </w:r>
    </w:p>
  </w:endnote>
  <w:endnote w:type="continuationSeparator" w:id="0">
    <w:p w14:paraId="3126F378" w14:textId="77777777" w:rsidR="00A27649" w:rsidRDefault="00A27649">
      <w:r>
        <w:continuationSeparator/>
      </w:r>
    </w:p>
  </w:endnote>
  <w:endnote w:type="continuationNotice" w:id="1">
    <w:p w14:paraId="2C9D5A82" w14:textId="77777777" w:rsidR="00A27649" w:rsidRDefault="00A27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FBE1" w14:textId="77777777" w:rsidR="00A27649" w:rsidRPr="000F35ED" w:rsidRDefault="00A2764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F4AD52A" w14:textId="77777777" w:rsidR="00A27649" w:rsidRPr="000F35ED" w:rsidRDefault="00A27649" w:rsidP="000F35ED">
      <w:pPr>
        <w:rPr>
          <w:rFonts w:asciiTheme="majorHAnsi" w:hAnsiTheme="majorHAnsi"/>
          <w:sz w:val="16"/>
          <w:szCs w:val="16"/>
        </w:rPr>
      </w:pPr>
      <w:r w:rsidRPr="000F35ED">
        <w:rPr>
          <w:rFonts w:asciiTheme="majorHAnsi" w:hAnsiTheme="majorHAnsi"/>
          <w:sz w:val="16"/>
          <w:szCs w:val="16"/>
        </w:rPr>
        <w:separator/>
      </w:r>
    </w:p>
    <w:p w14:paraId="64E08772" w14:textId="77777777" w:rsidR="00A27649" w:rsidRPr="000F35ED" w:rsidRDefault="00A2764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7B8BD8A" w14:textId="77777777" w:rsidR="00A27649" w:rsidRPr="000F35ED" w:rsidRDefault="00A2764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DA44026" w14:textId="238A215B" w:rsidR="00DA08DD" w:rsidRPr="00DA08DD" w:rsidRDefault="00DA08DD" w:rsidP="002604D0">
      <w:pPr>
        <w:pStyle w:val="FootnoteText"/>
        <w:ind w:firstLine="720"/>
        <w:jc w:val="both"/>
        <w:rPr>
          <w:rFonts w:asciiTheme="majorHAnsi" w:hAnsiTheme="majorHAnsi"/>
          <w:sz w:val="16"/>
          <w:szCs w:val="16"/>
          <w:lang w:val="es-ES"/>
        </w:rPr>
      </w:pPr>
      <w:r w:rsidRPr="00DA08DD">
        <w:rPr>
          <w:rStyle w:val="FootnoteReference"/>
          <w:rFonts w:asciiTheme="majorHAnsi" w:hAnsiTheme="majorHAnsi"/>
          <w:sz w:val="16"/>
          <w:szCs w:val="16"/>
        </w:rPr>
        <w:footnoteRef/>
      </w:r>
      <w:r w:rsidRPr="00DA08DD">
        <w:rPr>
          <w:rFonts w:asciiTheme="majorHAnsi" w:hAnsiTheme="majorHAnsi"/>
          <w:sz w:val="16"/>
          <w:szCs w:val="16"/>
          <w:lang w:val="es-ES"/>
        </w:rPr>
        <w:t xml:space="preserve"> En adelante “la Convención Americana” o “la Convención”. </w:t>
      </w:r>
    </w:p>
  </w:footnote>
  <w:footnote w:id="3">
    <w:p w14:paraId="6115F499" w14:textId="254C080E" w:rsidR="00DA08DD" w:rsidRPr="00DA08DD" w:rsidRDefault="00DA08DD" w:rsidP="002604D0">
      <w:pPr>
        <w:pStyle w:val="FootnoteText"/>
        <w:ind w:firstLine="720"/>
        <w:jc w:val="both"/>
        <w:rPr>
          <w:rFonts w:asciiTheme="majorHAnsi" w:hAnsiTheme="majorHAnsi"/>
          <w:sz w:val="16"/>
          <w:szCs w:val="16"/>
          <w:lang w:val="es-ES"/>
        </w:rPr>
      </w:pPr>
      <w:r w:rsidRPr="00DA08DD">
        <w:rPr>
          <w:rStyle w:val="FootnoteReference"/>
          <w:rFonts w:asciiTheme="majorHAnsi" w:hAnsiTheme="majorHAnsi"/>
          <w:sz w:val="16"/>
          <w:szCs w:val="16"/>
        </w:rPr>
        <w:footnoteRef/>
      </w:r>
      <w:r w:rsidRPr="00DA08DD">
        <w:rPr>
          <w:rFonts w:asciiTheme="majorHAnsi" w:hAnsiTheme="majorHAnsi"/>
          <w:sz w:val="16"/>
          <w:szCs w:val="16"/>
          <w:lang w:val="es-ES"/>
        </w:rPr>
        <w:t xml:space="preserve"> En adelante “la Declaración Americana” o “la Declaración”.  </w:t>
      </w:r>
    </w:p>
  </w:footnote>
  <w:footnote w:id="4">
    <w:p w14:paraId="5029D0D6" w14:textId="0A84F1B8" w:rsidR="007F5525" w:rsidRPr="00DA08DD" w:rsidRDefault="007F5525" w:rsidP="002604D0">
      <w:pPr>
        <w:pStyle w:val="FootnoteText"/>
        <w:ind w:firstLine="720"/>
        <w:jc w:val="both"/>
        <w:rPr>
          <w:rFonts w:asciiTheme="majorHAnsi" w:hAnsiTheme="majorHAnsi"/>
          <w:sz w:val="16"/>
          <w:szCs w:val="16"/>
          <w:lang w:val="es-ES"/>
        </w:rPr>
      </w:pPr>
      <w:r w:rsidRPr="00DA08DD">
        <w:rPr>
          <w:rStyle w:val="FootnoteReference"/>
          <w:rFonts w:asciiTheme="majorHAnsi" w:hAnsiTheme="majorHAnsi"/>
          <w:sz w:val="16"/>
          <w:szCs w:val="16"/>
        </w:rPr>
        <w:footnoteRef/>
      </w:r>
      <w:r w:rsidRPr="00DA08DD">
        <w:rPr>
          <w:rFonts w:asciiTheme="majorHAnsi" w:hAnsiTheme="majorHAnsi"/>
          <w:sz w:val="16"/>
          <w:szCs w:val="16"/>
          <w:lang w:val="es-ES"/>
        </w:rPr>
        <w:t xml:space="preserve"> </w:t>
      </w:r>
      <w:r w:rsidR="006E3D2C" w:rsidRPr="00DA08DD">
        <w:rPr>
          <w:rFonts w:asciiTheme="majorHAnsi" w:hAnsiTheme="majorHAnsi"/>
          <w:sz w:val="16"/>
          <w:szCs w:val="16"/>
          <w:lang w:val="es-ES"/>
        </w:rPr>
        <w:t>Convención Interamericana sobre Extradición</w:t>
      </w:r>
      <w:r w:rsidR="006517D2" w:rsidRPr="00DA08DD">
        <w:rPr>
          <w:rFonts w:asciiTheme="majorHAnsi" w:hAnsiTheme="majorHAnsi"/>
          <w:sz w:val="16"/>
          <w:szCs w:val="16"/>
          <w:lang w:val="es-ES"/>
        </w:rPr>
        <w:t xml:space="preserve">, artículos 16 y 21. </w:t>
      </w:r>
    </w:p>
  </w:footnote>
  <w:footnote w:id="5">
    <w:p w14:paraId="1AFEF3B0" w14:textId="542B2394" w:rsidR="008E3BFE" w:rsidRPr="00306F33" w:rsidRDefault="008E3BFE" w:rsidP="002604D0">
      <w:pPr>
        <w:pStyle w:val="FootnoteText"/>
        <w:ind w:firstLine="720"/>
        <w:jc w:val="both"/>
        <w:rPr>
          <w:rFonts w:asciiTheme="majorHAnsi" w:hAnsiTheme="majorHAnsi"/>
          <w:sz w:val="16"/>
          <w:szCs w:val="16"/>
          <w:lang w:val="es-ES"/>
        </w:rPr>
      </w:pPr>
      <w:r w:rsidRPr="00DA08DD">
        <w:rPr>
          <w:rStyle w:val="FootnoteReference"/>
          <w:rFonts w:asciiTheme="majorHAnsi" w:hAnsiTheme="majorHAnsi"/>
          <w:sz w:val="16"/>
          <w:szCs w:val="16"/>
        </w:rPr>
        <w:footnoteRef/>
      </w:r>
      <w:r w:rsidRPr="00DA08DD">
        <w:rPr>
          <w:rFonts w:asciiTheme="majorHAnsi" w:hAnsiTheme="majorHAnsi"/>
          <w:sz w:val="16"/>
          <w:szCs w:val="16"/>
          <w:lang w:val="es-ES"/>
        </w:rPr>
        <w:t xml:space="preserve"> Las observaciones de cada parte fueron debidamente trasladadas a la parte contraria.</w:t>
      </w:r>
      <w:r w:rsidR="009A56CE" w:rsidRPr="00BB03F0">
        <w:rPr>
          <w:rFonts w:asciiTheme="majorHAnsi" w:hAnsiTheme="majorHAnsi"/>
          <w:sz w:val="16"/>
          <w:szCs w:val="16"/>
          <w:lang w:val="es-ES"/>
        </w:rPr>
        <w:t xml:space="preserve"> </w:t>
      </w:r>
    </w:p>
  </w:footnote>
  <w:footnote w:id="6">
    <w:p w14:paraId="4F0CC1A4" w14:textId="77777777" w:rsidR="00154D2A" w:rsidRPr="006627B5" w:rsidRDefault="00154D2A" w:rsidP="002604D0">
      <w:pPr>
        <w:pStyle w:val="FootnoteText"/>
        <w:ind w:firstLine="720"/>
        <w:jc w:val="both"/>
        <w:rPr>
          <w:rFonts w:ascii="Cambria" w:hAnsi="Cambria"/>
          <w:sz w:val="16"/>
          <w:szCs w:val="16"/>
          <w:lang w:val="es-ES"/>
        </w:rPr>
      </w:pPr>
      <w:r w:rsidRPr="006627B5">
        <w:rPr>
          <w:rStyle w:val="FootnoteReference"/>
          <w:rFonts w:ascii="Cambria" w:hAnsi="Cambria"/>
          <w:sz w:val="16"/>
          <w:szCs w:val="16"/>
        </w:rPr>
        <w:footnoteRef/>
      </w:r>
      <w:r w:rsidRPr="006627B5">
        <w:rPr>
          <w:rFonts w:ascii="Cambria" w:hAnsi="Cambria"/>
          <w:sz w:val="16"/>
          <w:szCs w:val="16"/>
          <w:lang w:val="es-ES"/>
        </w:rPr>
        <w:t xml:space="preserve"> CIDH, Informe No. 143/18, Petición 940-08. Admisibilidad. Luis Américo Ayala Gonzales. Perú. 4 de diciembre de 2018, párr. </w:t>
      </w:r>
      <w:r w:rsidRPr="008F6AD8">
        <w:rPr>
          <w:rFonts w:ascii="Cambria" w:hAnsi="Cambria"/>
          <w:sz w:val="16"/>
          <w:szCs w:val="16"/>
          <w:lang w:val="es-ES"/>
        </w:rPr>
        <w:t>12.</w:t>
      </w:r>
    </w:p>
  </w:footnote>
  <w:footnote w:id="7">
    <w:p w14:paraId="48E10F28" w14:textId="77777777" w:rsidR="00F62449" w:rsidRPr="00347AC4" w:rsidRDefault="00F62449" w:rsidP="005B31EF">
      <w:pPr>
        <w:pStyle w:val="FootnoteText"/>
        <w:ind w:firstLine="720"/>
        <w:jc w:val="both"/>
        <w:rPr>
          <w:rFonts w:asciiTheme="majorHAnsi" w:hAnsiTheme="majorHAnsi"/>
          <w:sz w:val="16"/>
          <w:szCs w:val="16"/>
          <w:lang w:val="es-ES_tradnl"/>
        </w:rPr>
      </w:pPr>
      <w:r w:rsidRPr="00347AC4">
        <w:rPr>
          <w:rStyle w:val="FootnoteReference"/>
          <w:rFonts w:asciiTheme="majorHAnsi" w:hAnsiTheme="majorHAnsi"/>
          <w:sz w:val="16"/>
          <w:szCs w:val="16"/>
        </w:rPr>
        <w:footnoteRef/>
      </w:r>
      <w:r w:rsidRPr="00347AC4">
        <w:rPr>
          <w:rFonts w:asciiTheme="majorHAnsi" w:hAnsiTheme="majorHAnsi"/>
          <w:sz w:val="16"/>
          <w:szCs w:val="16"/>
          <w:lang w:val="es-ES_tradnl"/>
        </w:rPr>
        <w:t xml:space="preserve"> Corte IDH. Caso Cabrera García y Montiel Flores Vs. México. Excepción Preliminar, Fondo, Reparaciones y Costas. Sentencia de 26 de noviembre de 2010. Serie C No. 220, párr. 18.</w:t>
      </w:r>
    </w:p>
  </w:footnote>
  <w:footnote w:id="8">
    <w:p w14:paraId="7D0F5901" w14:textId="77777777" w:rsidR="00F62449" w:rsidRPr="00347AC4" w:rsidRDefault="00F62449" w:rsidP="005B31EF">
      <w:pPr>
        <w:pStyle w:val="FootnoteText"/>
        <w:ind w:firstLine="720"/>
        <w:jc w:val="both"/>
        <w:rPr>
          <w:rFonts w:asciiTheme="majorHAnsi" w:hAnsiTheme="majorHAnsi"/>
          <w:sz w:val="16"/>
          <w:szCs w:val="16"/>
          <w:lang w:val="es-ES_tradnl"/>
        </w:rPr>
      </w:pPr>
      <w:r w:rsidRPr="00347AC4">
        <w:rPr>
          <w:rStyle w:val="FootnoteReference"/>
          <w:rFonts w:asciiTheme="majorHAnsi" w:hAnsiTheme="majorHAnsi"/>
          <w:sz w:val="16"/>
          <w:szCs w:val="16"/>
        </w:rPr>
        <w:footnoteRef/>
      </w:r>
      <w:r w:rsidRPr="00347AC4">
        <w:rPr>
          <w:rFonts w:asciiTheme="majorHAnsi" w:hAnsiTheme="majorHAnsi"/>
          <w:sz w:val="16"/>
          <w:szCs w:val="16"/>
          <w:lang w:val="es-ES_tradnl"/>
        </w:rPr>
        <w:t xml:space="preserve"> Corte IDH. Caso Cabrera García y Montiel Flores Vs. México. Excepción Preliminar, Fondo, Reparaciones y Costas. Sentencia de 26 de noviembre de 2010. Serie C No. 220, párr. 19.</w:t>
      </w:r>
    </w:p>
  </w:footnote>
  <w:footnote w:id="9">
    <w:p w14:paraId="50D675A5" w14:textId="77777777" w:rsidR="00F62449" w:rsidRPr="00347AC4" w:rsidRDefault="00F62449" w:rsidP="005B31EF">
      <w:pPr>
        <w:pStyle w:val="FootnoteText"/>
        <w:ind w:firstLine="720"/>
        <w:jc w:val="both"/>
        <w:rPr>
          <w:rFonts w:asciiTheme="majorHAnsi" w:hAnsiTheme="majorHAnsi"/>
          <w:sz w:val="16"/>
          <w:szCs w:val="16"/>
          <w:lang w:val="es-ES_tradnl"/>
        </w:rPr>
      </w:pPr>
      <w:r w:rsidRPr="00347AC4">
        <w:rPr>
          <w:rStyle w:val="FootnoteReference"/>
          <w:rFonts w:asciiTheme="majorHAnsi" w:hAnsiTheme="majorHAnsi"/>
          <w:sz w:val="16"/>
          <w:szCs w:val="16"/>
        </w:rPr>
        <w:footnoteRef/>
      </w:r>
      <w:r w:rsidRPr="00347AC4">
        <w:rPr>
          <w:rFonts w:asciiTheme="majorHAnsi" w:hAnsiTheme="majorHAnsi"/>
          <w:sz w:val="16"/>
          <w:szCs w:val="16"/>
          <w:lang w:val="es-ES_tradnl"/>
        </w:rPr>
        <w:t xml:space="preserve"> Corte IDH. Caso Palma Mendoza y otros Vs. Ecuador. Excepción Preliminar y Fondo. Sentencia de 3 de septiembre de 2012. </w:t>
      </w:r>
      <w:r w:rsidRPr="00F21761">
        <w:rPr>
          <w:rFonts w:asciiTheme="majorHAnsi" w:hAnsiTheme="majorHAnsi"/>
          <w:sz w:val="16"/>
          <w:szCs w:val="16"/>
          <w:lang w:val="es-US"/>
        </w:rPr>
        <w:t xml:space="preserve">Serie C No. 247, párr. 18; Corte IDH. Caso Rosadio Villavicencio Vs. </w:t>
      </w:r>
      <w:r w:rsidRPr="00347AC4">
        <w:rPr>
          <w:rFonts w:asciiTheme="majorHAnsi" w:hAnsiTheme="majorHAnsi"/>
          <w:sz w:val="16"/>
          <w:szCs w:val="16"/>
          <w:lang w:val="es-ES_tradnl"/>
        </w:rPr>
        <w:t xml:space="preserve">Perú. Excepciones Preliminares, Fondo, Reparaciones y Costas. </w:t>
      </w:r>
      <w:r w:rsidRPr="0038421D">
        <w:rPr>
          <w:rFonts w:asciiTheme="majorHAnsi" w:hAnsiTheme="majorHAnsi"/>
          <w:sz w:val="16"/>
          <w:szCs w:val="16"/>
          <w:lang w:val="es-US"/>
        </w:rPr>
        <w:t xml:space="preserve">Sentencia de 14 de octubre de 2019. Serie C No. 388., párr. 24; </w:t>
      </w:r>
      <w:r w:rsidRPr="00347AC4">
        <w:rPr>
          <w:rFonts w:asciiTheme="majorHAnsi" w:hAnsiTheme="majorHAnsi"/>
          <w:sz w:val="16"/>
          <w:szCs w:val="16"/>
          <w:lang w:val="es-ES_tradnl"/>
        </w:rPr>
        <w:t xml:space="preserve">Corte IDH. Caso Cabrera García y Montiel Flores Vs. México. Excepción Preliminar, Fondo, Reparaciones y Costas. </w:t>
      </w:r>
      <w:r w:rsidRPr="0038421D">
        <w:rPr>
          <w:rFonts w:asciiTheme="majorHAnsi" w:hAnsiTheme="majorHAnsi"/>
          <w:sz w:val="16"/>
          <w:szCs w:val="16"/>
          <w:lang w:val="es-US"/>
        </w:rPr>
        <w:t xml:space="preserve">Sentencia de 26 de noviembre de 2010. </w:t>
      </w:r>
      <w:r w:rsidRPr="00347AC4">
        <w:rPr>
          <w:rFonts w:asciiTheme="majorHAnsi" w:hAnsiTheme="majorHAnsi"/>
          <w:sz w:val="16"/>
          <w:szCs w:val="16"/>
        </w:rPr>
        <w:t>Serie C No. 220,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77679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6673E" w:rsidP="00A50FCF">
    <w:pPr>
      <w:pStyle w:val="Header"/>
      <w:tabs>
        <w:tab w:val="clear" w:pos="4320"/>
        <w:tab w:val="clear" w:pos="8640"/>
      </w:tabs>
      <w:jc w:val="center"/>
      <w:rPr>
        <w:sz w:val="22"/>
        <w:szCs w:val="22"/>
      </w:rPr>
    </w:pPr>
    <w:r>
      <w:rPr>
        <w:noProof/>
        <w:sz w:val="22"/>
        <w:szCs w:val="22"/>
        <w:bdr w:val="nil"/>
      </w:rPr>
      <w:pict w14:anchorId="6462663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6074C7B6"/>
    <w:lvl w:ilvl="0" w:tplc="25547AB6">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UY"/>
      </w:rPr>
    </w:lvl>
    <w:lvl w:ilvl="1" w:tplc="0409001B">
      <w:start w:val="1"/>
      <w:numFmt w:val="lowerRoman"/>
      <w:lvlText w:val="%2."/>
      <w:lvlJc w:val="righ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085800786">
    <w:abstractNumId w:val="3"/>
  </w:num>
  <w:num w:numId="2" w16cid:durableId="498470350">
    <w:abstractNumId w:val="5"/>
  </w:num>
  <w:num w:numId="3" w16cid:durableId="314921143">
    <w:abstractNumId w:val="53"/>
  </w:num>
  <w:num w:numId="4" w16cid:durableId="1168640122">
    <w:abstractNumId w:val="20"/>
  </w:num>
  <w:num w:numId="5" w16cid:durableId="878667033">
    <w:abstractNumId w:val="47"/>
  </w:num>
  <w:num w:numId="6" w16cid:durableId="78528531">
    <w:abstractNumId w:val="27"/>
  </w:num>
  <w:num w:numId="7" w16cid:durableId="1744255501">
    <w:abstractNumId w:val="6"/>
  </w:num>
  <w:num w:numId="8" w16cid:durableId="168642952">
    <w:abstractNumId w:val="16"/>
  </w:num>
  <w:num w:numId="9" w16cid:durableId="1172574320">
    <w:abstractNumId w:val="42"/>
  </w:num>
  <w:num w:numId="10" w16cid:durableId="499925664">
    <w:abstractNumId w:val="0"/>
  </w:num>
  <w:num w:numId="11" w16cid:durableId="960501117">
    <w:abstractNumId w:val="37"/>
  </w:num>
  <w:num w:numId="12" w16cid:durableId="290404596">
    <w:abstractNumId w:val="38"/>
  </w:num>
  <w:num w:numId="13" w16cid:durableId="484006986">
    <w:abstractNumId w:val="44"/>
  </w:num>
  <w:num w:numId="14" w16cid:durableId="1491098937">
    <w:abstractNumId w:val="1"/>
  </w:num>
  <w:num w:numId="15" w16cid:durableId="361371160">
    <w:abstractNumId w:val="2"/>
  </w:num>
  <w:num w:numId="16" w16cid:durableId="522088392">
    <w:abstractNumId w:val="7"/>
  </w:num>
  <w:num w:numId="17" w16cid:durableId="1258906346">
    <w:abstractNumId w:val="8"/>
  </w:num>
  <w:num w:numId="18" w16cid:durableId="1521579748">
    <w:abstractNumId w:val="9"/>
  </w:num>
  <w:num w:numId="19" w16cid:durableId="499854159">
    <w:abstractNumId w:val="10"/>
  </w:num>
  <w:num w:numId="20" w16cid:durableId="503864169">
    <w:abstractNumId w:val="11"/>
  </w:num>
  <w:num w:numId="21" w16cid:durableId="1298756012">
    <w:abstractNumId w:val="12"/>
  </w:num>
  <w:num w:numId="22" w16cid:durableId="706099509">
    <w:abstractNumId w:val="13"/>
  </w:num>
  <w:num w:numId="23" w16cid:durableId="2042704648">
    <w:abstractNumId w:val="14"/>
  </w:num>
  <w:num w:numId="24" w16cid:durableId="110130260">
    <w:abstractNumId w:val="15"/>
  </w:num>
  <w:num w:numId="25" w16cid:durableId="105469004">
    <w:abstractNumId w:val="17"/>
  </w:num>
  <w:num w:numId="26" w16cid:durableId="1881358006">
    <w:abstractNumId w:val="18"/>
  </w:num>
  <w:num w:numId="27" w16cid:durableId="842015417">
    <w:abstractNumId w:val="21"/>
  </w:num>
  <w:num w:numId="28" w16cid:durableId="1745686919">
    <w:abstractNumId w:val="22"/>
  </w:num>
  <w:num w:numId="29" w16cid:durableId="185680301">
    <w:abstractNumId w:val="23"/>
  </w:num>
  <w:num w:numId="30" w16cid:durableId="676615300">
    <w:abstractNumId w:val="25"/>
  </w:num>
  <w:num w:numId="31" w16cid:durableId="2015957649">
    <w:abstractNumId w:val="28"/>
  </w:num>
  <w:num w:numId="32" w16cid:durableId="996226458">
    <w:abstractNumId w:val="29"/>
  </w:num>
  <w:num w:numId="33" w16cid:durableId="1617251243">
    <w:abstractNumId w:val="30"/>
  </w:num>
  <w:num w:numId="34" w16cid:durableId="1663384421">
    <w:abstractNumId w:val="31"/>
  </w:num>
  <w:num w:numId="35" w16cid:durableId="1427649006">
    <w:abstractNumId w:val="32"/>
  </w:num>
  <w:num w:numId="36" w16cid:durableId="80688467">
    <w:abstractNumId w:val="33"/>
  </w:num>
  <w:num w:numId="37" w16cid:durableId="740828600">
    <w:abstractNumId w:val="34"/>
  </w:num>
  <w:num w:numId="38" w16cid:durableId="1546672460">
    <w:abstractNumId w:val="35"/>
  </w:num>
  <w:num w:numId="39" w16cid:durableId="382098653">
    <w:abstractNumId w:val="39"/>
  </w:num>
  <w:num w:numId="40" w16cid:durableId="1230382227">
    <w:abstractNumId w:val="40"/>
  </w:num>
  <w:num w:numId="41" w16cid:durableId="1412003682">
    <w:abstractNumId w:val="46"/>
  </w:num>
  <w:num w:numId="42" w16cid:durableId="797527520">
    <w:abstractNumId w:val="48"/>
  </w:num>
  <w:num w:numId="43" w16cid:durableId="1723480617">
    <w:abstractNumId w:val="49"/>
  </w:num>
  <w:num w:numId="44" w16cid:durableId="1858541525">
    <w:abstractNumId w:val="51"/>
  </w:num>
  <w:num w:numId="45" w16cid:durableId="236788695">
    <w:abstractNumId w:val="52"/>
  </w:num>
  <w:num w:numId="46" w16cid:durableId="1003238508">
    <w:abstractNumId w:val="54"/>
  </w:num>
  <w:num w:numId="47" w16cid:durableId="2048065820">
    <w:abstractNumId w:val="55"/>
  </w:num>
  <w:num w:numId="48" w16cid:durableId="333847949">
    <w:abstractNumId w:val="56"/>
  </w:num>
  <w:num w:numId="49" w16cid:durableId="1341588729">
    <w:abstractNumId w:val="57"/>
  </w:num>
  <w:num w:numId="50" w16cid:durableId="478617111">
    <w:abstractNumId w:val="58"/>
  </w:num>
  <w:num w:numId="51" w16cid:durableId="965088622">
    <w:abstractNumId w:val="19"/>
  </w:num>
  <w:num w:numId="52" w16cid:durableId="237978759">
    <w:abstractNumId w:val="41"/>
  </w:num>
  <w:num w:numId="53" w16cid:durableId="844132888">
    <w:abstractNumId w:val="50"/>
  </w:num>
  <w:num w:numId="54" w16cid:durableId="798689380">
    <w:abstractNumId w:val="45"/>
  </w:num>
  <w:num w:numId="55" w16cid:durableId="2065136573">
    <w:abstractNumId w:val="43"/>
  </w:num>
  <w:num w:numId="56" w16cid:durableId="1263025020">
    <w:abstractNumId w:val="26"/>
  </w:num>
  <w:num w:numId="57" w16cid:durableId="166288595">
    <w:abstractNumId w:val="24"/>
  </w:num>
  <w:num w:numId="58" w16cid:durableId="2077512481">
    <w:abstractNumId w:val="36"/>
  </w:num>
  <w:num w:numId="59" w16cid:durableId="1958876162">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948"/>
    <w:rsid w:val="00000CDA"/>
    <w:rsid w:val="0000296F"/>
    <w:rsid w:val="000063AC"/>
    <w:rsid w:val="00006E1F"/>
    <w:rsid w:val="000070D7"/>
    <w:rsid w:val="00014D10"/>
    <w:rsid w:val="00015F3D"/>
    <w:rsid w:val="0001788C"/>
    <w:rsid w:val="00020D47"/>
    <w:rsid w:val="000213DB"/>
    <w:rsid w:val="0002237E"/>
    <w:rsid w:val="0002463E"/>
    <w:rsid w:val="00025577"/>
    <w:rsid w:val="0002724A"/>
    <w:rsid w:val="00031584"/>
    <w:rsid w:val="000337EF"/>
    <w:rsid w:val="00037E91"/>
    <w:rsid w:val="00040C3A"/>
    <w:rsid w:val="0004117B"/>
    <w:rsid w:val="000419AD"/>
    <w:rsid w:val="000425B9"/>
    <w:rsid w:val="000433C9"/>
    <w:rsid w:val="00046F3D"/>
    <w:rsid w:val="000471C8"/>
    <w:rsid w:val="00047BE2"/>
    <w:rsid w:val="000517A2"/>
    <w:rsid w:val="00053EC0"/>
    <w:rsid w:val="0005439E"/>
    <w:rsid w:val="00054526"/>
    <w:rsid w:val="00061327"/>
    <w:rsid w:val="000678C9"/>
    <w:rsid w:val="00071174"/>
    <w:rsid w:val="000716C5"/>
    <w:rsid w:val="00075E23"/>
    <w:rsid w:val="00085A58"/>
    <w:rsid w:val="00091226"/>
    <w:rsid w:val="0009344A"/>
    <w:rsid w:val="000A00AB"/>
    <w:rsid w:val="000A392E"/>
    <w:rsid w:val="000A575F"/>
    <w:rsid w:val="000C43DE"/>
    <w:rsid w:val="000D01B7"/>
    <w:rsid w:val="000D05CB"/>
    <w:rsid w:val="000D10DB"/>
    <w:rsid w:val="000D7D1D"/>
    <w:rsid w:val="000E25BE"/>
    <w:rsid w:val="000E4247"/>
    <w:rsid w:val="000E5EB5"/>
    <w:rsid w:val="000E7035"/>
    <w:rsid w:val="000F04DA"/>
    <w:rsid w:val="000F35ED"/>
    <w:rsid w:val="000F550C"/>
    <w:rsid w:val="000F7CAE"/>
    <w:rsid w:val="001004FE"/>
    <w:rsid w:val="001020F1"/>
    <w:rsid w:val="00106FCD"/>
    <w:rsid w:val="00107131"/>
    <w:rsid w:val="0010736F"/>
    <w:rsid w:val="0010744A"/>
    <w:rsid w:val="00113F73"/>
    <w:rsid w:val="00117A95"/>
    <w:rsid w:val="00121CC2"/>
    <w:rsid w:val="00131425"/>
    <w:rsid w:val="0013237D"/>
    <w:rsid w:val="00133ACA"/>
    <w:rsid w:val="00133EE5"/>
    <w:rsid w:val="00145AE5"/>
    <w:rsid w:val="00146685"/>
    <w:rsid w:val="0014781D"/>
    <w:rsid w:val="00153B04"/>
    <w:rsid w:val="00153F31"/>
    <w:rsid w:val="00154D2A"/>
    <w:rsid w:val="001650FD"/>
    <w:rsid w:val="00167A34"/>
    <w:rsid w:val="001A520D"/>
    <w:rsid w:val="001A7870"/>
    <w:rsid w:val="001B0652"/>
    <w:rsid w:val="001B1EF8"/>
    <w:rsid w:val="001B3A00"/>
    <w:rsid w:val="001B478B"/>
    <w:rsid w:val="001B626C"/>
    <w:rsid w:val="001C1B41"/>
    <w:rsid w:val="001C34B8"/>
    <w:rsid w:val="001D2B0F"/>
    <w:rsid w:val="001D4D99"/>
    <w:rsid w:val="001D5594"/>
    <w:rsid w:val="001D65EF"/>
    <w:rsid w:val="001D7F96"/>
    <w:rsid w:val="001E49E7"/>
    <w:rsid w:val="001E6368"/>
    <w:rsid w:val="001E6496"/>
    <w:rsid w:val="001F38A5"/>
    <w:rsid w:val="001F7201"/>
    <w:rsid w:val="00214D89"/>
    <w:rsid w:val="00215A2E"/>
    <w:rsid w:val="00216AAE"/>
    <w:rsid w:val="00223A29"/>
    <w:rsid w:val="002250A3"/>
    <w:rsid w:val="00225C6E"/>
    <w:rsid w:val="00235217"/>
    <w:rsid w:val="00236243"/>
    <w:rsid w:val="002436D0"/>
    <w:rsid w:val="00246D1F"/>
    <w:rsid w:val="00247403"/>
    <w:rsid w:val="00247542"/>
    <w:rsid w:val="00250C3E"/>
    <w:rsid w:val="00254A0C"/>
    <w:rsid w:val="00255A93"/>
    <w:rsid w:val="002604D0"/>
    <w:rsid w:val="00266B61"/>
    <w:rsid w:val="0026712A"/>
    <w:rsid w:val="002704DB"/>
    <w:rsid w:val="00273BF7"/>
    <w:rsid w:val="002A04FF"/>
    <w:rsid w:val="002A0AAE"/>
    <w:rsid w:val="002A31FF"/>
    <w:rsid w:val="002A3D5B"/>
    <w:rsid w:val="002A5820"/>
    <w:rsid w:val="002A69E4"/>
    <w:rsid w:val="002D14B1"/>
    <w:rsid w:val="002D194D"/>
    <w:rsid w:val="002D2B26"/>
    <w:rsid w:val="002D2C73"/>
    <w:rsid w:val="002D7EA2"/>
    <w:rsid w:val="002E1851"/>
    <w:rsid w:val="002E187C"/>
    <w:rsid w:val="002E30BE"/>
    <w:rsid w:val="002E38F0"/>
    <w:rsid w:val="002F5A25"/>
    <w:rsid w:val="002F6D3B"/>
    <w:rsid w:val="00302733"/>
    <w:rsid w:val="00305835"/>
    <w:rsid w:val="00306F33"/>
    <w:rsid w:val="003071AC"/>
    <w:rsid w:val="0030763A"/>
    <w:rsid w:val="00313B7F"/>
    <w:rsid w:val="00314078"/>
    <w:rsid w:val="0031535D"/>
    <w:rsid w:val="003239B8"/>
    <w:rsid w:val="00325811"/>
    <w:rsid w:val="003262A0"/>
    <w:rsid w:val="00327F0E"/>
    <w:rsid w:val="00331181"/>
    <w:rsid w:val="0033169F"/>
    <w:rsid w:val="00332FCA"/>
    <w:rsid w:val="00340650"/>
    <w:rsid w:val="0034333A"/>
    <w:rsid w:val="00344977"/>
    <w:rsid w:val="00344DB8"/>
    <w:rsid w:val="00346C95"/>
    <w:rsid w:val="0034753D"/>
    <w:rsid w:val="003556CF"/>
    <w:rsid w:val="00356185"/>
    <w:rsid w:val="00356F48"/>
    <w:rsid w:val="00360380"/>
    <w:rsid w:val="00370CBA"/>
    <w:rsid w:val="0037519E"/>
    <w:rsid w:val="00386CF0"/>
    <w:rsid w:val="00387CE7"/>
    <w:rsid w:val="003920D6"/>
    <w:rsid w:val="00394073"/>
    <w:rsid w:val="003A3C2A"/>
    <w:rsid w:val="003A5D17"/>
    <w:rsid w:val="003A7F37"/>
    <w:rsid w:val="003B2053"/>
    <w:rsid w:val="003B70FB"/>
    <w:rsid w:val="003C329A"/>
    <w:rsid w:val="003C340F"/>
    <w:rsid w:val="003C676B"/>
    <w:rsid w:val="003C6885"/>
    <w:rsid w:val="003D3BC2"/>
    <w:rsid w:val="003E1EEA"/>
    <w:rsid w:val="003E26AE"/>
    <w:rsid w:val="003E6818"/>
    <w:rsid w:val="003E6CA1"/>
    <w:rsid w:val="003F5154"/>
    <w:rsid w:val="00405F9C"/>
    <w:rsid w:val="004065A8"/>
    <w:rsid w:val="0041016A"/>
    <w:rsid w:val="0041270F"/>
    <w:rsid w:val="004165C2"/>
    <w:rsid w:val="004221E5"/>
    <w:rsid w:val="004241A0"/>
    <w:rsid w:val="00433881"/>
    <w:rsid w:val="004369C5"/>
    <w:rsid w:val="0044142A"/>
    <w:rsid w:val="00441ECB"/>
    <w:rsid w:val="00445193"/>
    <w:rsid w:val="0044570C"/>
    <w:rsid w:val="00451EF4"/>
    <w:rsid w:val="0045745B"/>
    <w:rsid w:val="00462C1B"/>
    <w:rsid w:val="00465ED3"/>
    <w:rsid w:val="00467278"/>
    <w:rsid w:val="00467B7E"/>
    <w:rsid w:val="00473BB4"/>
    <w:rsid w:val="00477592"/>
    <w:rsid w:val="00486F1C"/>
    <w:rsid w:val="0049419D"/>
    <w:rsid w:val="004A057B"/>
    <w:rsid w:val="004A26DD"/>
    <w:rsid w:val="004A4130"/>
    <w:rsid w:val="004A6A54"/>
    <w:rsid w:val="004B421C"/>
    <w:rsid w:val="004C0239"/>
    <w:rsid w:val="004C20D2"/>
    <w:rsid w:val="004C2312"/>
    <w:rsid w:val="004C4B62"/>
    <w:rsid w:val="004C54C9"/>
    <w:rsid w:val="004D1829"/>
    <w:rsid w:val="004D4ABA"/>
    <w:rsid w:val="004D4F3B"/>
    <w:rsid w:val="004D6015"/>
    <w:rsid w:val="004D6025"/>
    <w:rsid w:val="004E2649"/>
    <w:rsid w:val="004E3DA7"/>
    <w:rsid w:val="004F626F"/>
    <w:rsid w:val="004F6EAE"/>
    <w:rsid w:val="00500DE5"/>
    <w:rsid w:val="00501399"/>
    <w:rsid w:val="005047ED"/>
    <w:rsid w:val="00504E9A"/>
    <w:rsid w:val="0050633D"/>
    <w:rsid w:val="00507BC4"/>
    <w:rsid w:val="005128E4"/>
    <w:rsid w:val="005133DB"/>
    <w:rsid w:val="00514504"/>
    <w:rsid w:val="00514A6E"/>
    <w:rsid w:val="00521E1F"/>
    <w:rsid w:val="00523CEE"/>
    <w:rsid w:val="00525560"/>
    <w:rsid w:val="005269ED"/>
    <w:rsid w:val="00532A0B"/>
    <w:rsid w:val="0053384A"/>
    <w:rsid w:val="0054462C"/>
    <w:rsid w:val="00544C49"/>
    <w:rsid w:val="005463E7"/>
    <w:rsid w:val="00547F2D"/>
    <w:rsid w:val="005516A1"/>
    <w:rsid w:val="005559EF"/>
    <w:rsid w:val="00563557"/>
    <w:rsid w:val="0057402A"/>
    <w:rsid w:val="005771D0"/>
    <w:rsid w:val="0057731A"/>
    <w:rsid w:val="005833B3"/>
    <w:rsid w:val="00587701"/>
    <w:rsid w:val="00587F10"/>
    <w:rsid w:val="00590077"/>
    <w:rsid w:val="0059191A"/>
    <w:rsid w:val="005921FF"/>
    <w:rsid w:val="005960B9"/>
    <w:rsid w:val="00597F97"/>
    <w:rsid w:val="005A24ED"/>
    <w:rsid w:val="005A38D2"/>
    <w:rsid w:val="005A6D0E"/>
    <w:rsid w:val="005B31EF"/>
    <w:rsid w:val="005B52B0"/>
    <w:rsid w:val="005B6806"/>
    <w:rsid w:val="005C4225"/>
    <w:rsid w:val="005C6CAA"/>
    <w:rsid w:val="005C7084"/>
    <w:rsid w:val="005D0328"/>
    <w:rsid w:val="005D0789"/>
    <w:rsid w:val="005D4A93"/>
    <w:rsid w:val="005E0397"/>
    <w:rsid w:val="005E2413"/>
    <w:rsid w:val="005E3C6F"/>
    <w:rsid w:val="005E64B5"/>
    <w:rsid w:val="005F0DAD"/>
    <w:rsid w:val="005F0F33"/>
    <w:rsid w:val="005F1F05"/>
    <w:rsid w:val="005F41FF"/>
    <w:rsid w:val="005F5FFA"/>
    <w:rsid w:val="00600112"/>
    <w:rsid w:val="00600DEB"/>
    <w:rsid w:val="006068CA"/>
    <w:rsid w:val="00607298"/>
    <w:rsid w:val="00612682"/>
    <w:rsid w:val="0061393E"/>
    <w:rsid w:val="00615D21"/>
    <w:rsid w:val="00627C9F"/>
    <w:rsid w:val="006311E9"/>
    <w:rsid w:val="00632354"/>
    <w:rsid w:val="00632FD5"/>
    <w:rsid w:val="00635421"/>
    <w:rsid w:val="00636712"/>
    <w:rsid w:val="00642810"/>
    <w:rsid w:val="0064339E"/>
    <w:rsid w:val="00647EA0"/>
    <w:rsid w:val="006517D2"/>
    <w:rsid w:val="00652333"/>
    <w:rsid w:val="00672515"/>
    <w:rsid w:val="00675073"/>
    <w:rsid w:val="006768BA"/>
    <w:rsid w:val="00676D0F"/>
    <w:rsid w:val="0068009E"/>
    <w:rsid w:val="00692219"/>
    <w:rsid w:val="00692EBC"/>
    <w:rsid w:val="006A17D2"/>
    <w:rsid w:val="006A33EC"/>
    <w:rsid w:val="006A73E6"/>
    <w:rsid w:val="006A762A"/>
    <w:rsid w:val="006B2D5C"/>
    <w:rsid w:val="006B4570"/>
    <w:rsid w:val="006B78DB"/>
    <w:rsid w:val="006C0ECF"/>
    <w:rsid w:val="006C1893"/>
    <w:rsid w:val="006C4EB1"/>
    <w:rsid w:val="006D40EF"/>
    <w:rsid w:val="006D472F"/>
    <w:rsid w:val="006D6029"/>
    <w:rsid w:val="006D66C9"/>
    <w:rsid w:val="006E0166"/>
    <w:rsid w:val="006E27CF"/>
    <w:rsid w:val="006E2FFB"/>
    <w:rsid w:val="006E3D2C"/>
    <w:rsid w:val="006E7B34"/>
    <w:rsid w:val="006F1E12"/>
    <w:rsid w:val="007050F1"/>
    <w:rsid w:val="0070697F"/>
    <w:rsid w:val="00707D0C"/>
    <w:rsid w:val="007103C4"/>
    <w:rsid w:val="00717BD3"/>
    <w:rsid w:val="0072199C"/>
    <w:rsid w:val="00722336"/>
    <w:rsid w:val="00722C9F"/>
    <w:rsid w:val="007253B8"/>
    <w:rsid w:val="007328A1"/>
    <w:rsid w:val="00733239"/>
    <w:rsid w:val="0073548C"/>
    <w:rsid w:val="0073741F"/>
    <w:rsid w:val="0074158F"/>
    <w:rsid w:val="00742643"/>
    <w:rsid w:val="00753C0A"/>
    <w:rsid w:val="00760217"/>
    <w:rsid w:val="00761555"/>
    <w:rsid w:val="007620C2"/>
    <w:rsid w:val="0076643F"/>
    <w:rsid w:val="0077679E"/>
    <w:rsid w:val="00777F63"/>
    <w:rsid w:val="007943E7"/>
    <w:rsid w:val="00797D00"/>
    <w:rsid w:val="00797FBD"/>
    <w:rsid w:val="007A1387"/>
    <w:rsid w:val="007A5817"/>
    <w:rsid w:val="007B05C4"/>
    <w:rsid w:val="007B0DE9"/>
    <w:rsid w:val="007B4474"/>
    <w:rsid w:val="007B60E9"/>
    <w:rsid w:val="007B6CC3"/>
    <w:rsid w:val="007B76A7"/>
    <w:rsid w:val="007B76D3"/>
    <w:rsid w:val="007C1E22"/>
    <w:rsid w:val="007C3334"/>
    <w:rsid w:val="007D2B98"/>
    <w:rsid w:val="007E14A5"/>
    <w:rsid w:val="007E21BC"/>
    <w:rsid w:val="007E2C3B"/>
    <w:rsid w:val="007E6361"/>
    <w:rsid w:val="007E7C82"/>
    <w:rsid w:val="007F20FA"/>
    <w:rsid w:val="007F24F3"/>
    <w:rsid w:val="007F2A8C"/>
    <w:rsid w:val="007F2AA1"/>
    <w:rsid w:val="007F4DD9"/>
    <w:rsid w:val="007F5525"/>
    <w:rsid w:val="007F588D"/>
    <w:rsid w:val="007F6B68"/>
    <w:rsid w:val="00803F07"/>
    <w:rsid w:val="00803F1C"/>
    <w:rsid w:val="00804951"/>
    <w:rsid w:val="0080600E"/>
    <w:rsid w:val="00810DCE"/>
    <w:rsid w:val="008112D9"/>
    <w:rsid w:val="00813123"/>
    <w:rsid w:val="00814688"/>
    <w:rsid w:val="00817612"/>
    <w:rsid w:val="008335CC"/>
    <w:rsid w:val="008338A4"/>
    <w:rsid w:val="00834D49"/>
    <w:rsid w:val="00837C45"/>
    <w:rsid w:val="008440E7"/>
    <w:rsid w:val="00844730"/>
    <w:rsid w:val="008457C2"/>
    <w:rsid w:val="00851C95"/>
    <w:rsid w:val="008545D0"/>
    <w:rsid w:val="00857A82"/>
    <w:rsid w:val="00861E23"/>
    <w:rsid w:val="00873836"/>
    <w:rsid w:val="00877C40"/>
    <w:rsid w:val="008851EB"/>
    <w:rsid w:val="00885737"/>
    <w:rsid w:val="00886874"/>
    <w:rsid w:val="00890650"/>
    <w:rsid w:val="00892A1D"/>
    <w:rsid w:val="008944DC"/>
    <w:rsid w:val="00897428"/>
    <w:rsid w:val="00897E12"/>
    <w:rsid w:val="008A7E0F"/>
    <w:rsid w:val="008B003F"/>
    <w:rsid w:val="008B12F5"/>
    <w:rsid w:val="008B4007"/>
    <w:rsid w:val="008B6B18"/>
    <w:rsid w:val="008B6E60"/>
    <w:rsid w:val="008C4EF0"/>
    <w:rsid w:val="008C5E2D"/>
    <w:rsid w:val="008C77D7"/>
    <w:rsid w:val="008D22F8"/>
    <w:rsid w:val="008D768D"/>
    <w:rsid w:val="008E3759"/>
    <w:rsid w:val="008E3BFE"/>
    <w:rsid w:val="008E4CCE"/>
    <w:rsid w:val="008E61FB"/>
    <w:rsid w:val="008F1912"/>
    <w:rsid w:val="008F46FF"/>
    <w:rsid w:val="0090270B"/>
    <w:rsid w:val="009041DC"/>
    <w:rsid w:val="009072F3"/>
    <w:rsid w:val="00912738"/>
    <w:rsid w:val="009139B1"/>
    <w:rsid w:val="00916BEB"/>
    <w:rsid w:val="00917B5A"/>
    <w:rsid w:val="00920A58"/>
    <w:rsid w:val="00920A8C"/>
    <w:rsid w:val="0092177C"/>
    <w:rsid w:val="00921B60"/>
    <w:rsid w:val="00921F7C"/>
    <w:rsid w:val="00931D68"/>
    <w:rsid w:val="00934A2C"/>
    <w:rsid w:val="00937004"/>
    <w:rsid w:val="009400CF"/>
    <w:rsid w:val="009447B7"/>
    <w:rsid w:val="00944CEC"/>
    <w:rsid w:val="00960ED1"/>
    <w:rsid w:val="009620C2"/>
    <w:rsid w:val="0096706E"/>
    <w:rsid w:val="00971A5A"/>
    <w:rsid w:val="00974491"/>
    <w:rsid w:val="00975C4E"/>
    <w:rsid w:val="00981E49"/>
    <w:rsid w:val="00981FBA"/>
    <w:rsid w:val="009828C4"/>
    <w:rsid w:val="00984568"/>
    <w:rsid w:val="00986879"/>
    <w:rsid w:val="00987FF1"/>
    <w:rsid w:val="00991F93"/>
    <w:rsid w:val="00995A15"/>
    <w:rsid w:val="00997BC5"/>
    <w:rsid w:val="009A4F41"/>
    <w:rsid w:val="009A56CE"/>
    <w:rsid w:val="009B381B"/>
    <w:rsid w:val="009D1753"/>
    <w:rsid w:val="009D3972"/>
    <w:rsid w:val="009D7611"/>
    <w:rsid w:val="009D7805"/>
    <w:rsid w:val="009E0B61"/>
    <w:rsid w:val="009E1585"/>
    <w:rsid w:val="009E53DE"/>
    <w:rsid w:val="009F0F64"/>
    <w:rsid w:val="009F26C8"/>
    <w:rsid w:val="00A1065F"/>
    <w:rsid w:val="00A11212"/>
    <w:rsid w:val="00A11E44"/>
    <w:rsid w:val="00A13D69"/>
    <w:rsid w:val="00A15562"/>
    <w:rsid w:val="00A1627A"/>
    <w:rsid w:val="00A21007"/>
    <w:rsid w:val="00A21A41"/>
    <w:rsid w:val="00A23A11"/>
    <w:rsid w:val="00A24D41"/>
    <w:rsid w:val="00A26E3D"/>
    <w:rsid w:val="00A27649"/>
    <w:rsid w:val="00A30100"/>
    <w:rsid w:val="00A328B3"/>
    <w:rsid w:val="00A419CB"/>
    <w:rsid w:val="00A42FB7"/>
    <w:rsid w:val="00A504A8"/>
    <w:rsid w:val="00A50FCF"/>
    <w:rsid w:val="00A528D1"/>
    <w:rsid w:val="00A56F23"/>
    <w:rsid w:val="00A610CD"/>
    <w:rsid w:val="00A62280"/>
    <w:rsid w:val="00A666DA"/>
    <w:rsid w:val="00A6673E"/>
    <w:rsid w:val="00A758AA"/>
    <w:rsid w:val="00A8449B"/>
    <w:rsid w:val="00A85205"/>
    <w:rsid w:val="00A9059A"/>
    <w:rsid w:val="00A9487A"/>
    <w:rsid w:val="00AA09A2"/>
    <w:rsid w:val="00AA5C8E"/>
    <w:rsid w:val="00AA7996"/>
    <w:rsid w:val="00AB64D3"/>
    <w:rsid w:val="00AC03DE"/>
    <w:rsid w:val="00AC19CB"/>
    <w:rsid w:val="00AC215E"/>
    <w:rsid w:val="00AC5139"/>
    <w:rsid w:val="00AE5488"/>
    <w:rsid w:val="00AE67DD"/>
    <w:rsid w:val="00AE6F91"/>
    <w:rsid w:val="00AF5571"/>
    <w:rsid w:val="00B0275B"/>
    <w:rsid w:val="00B04818"/>
    <w:rsid w:val="00B06EA5"/>
    <w:rsid w:val="00B07341"/>
    <w:rsid w:val="00B176A8"/>
    <w:rsid w:val="00B17F7C"/>
    <w:rsid w:val="00B22F7E"/>
    <w:rsid w:val="00B23109"/>
    <w:rsid w:val="00B3034F"/>
    <w:rsid w:val="00B30539"/>
    <w:rsid w:val="00B310F5"/>
    <w:rsid w:val="00B314DB"/>
    <w:rsid w:val="00B3441C"/>
    <w:rsid w:val="00B361F2"/>
    <w:rsid w:val="00B3718B"/>
    <w:rsid w:val="00B3745F"/>
    <w:rsid w:val="00B4632A"/>
    <w:rsid w:val="00B46C53"/>
    <w:rsid w:val="00B51F5E"/>
    <w:rsid w:val="00B530F1"/>
    <w:rsid w:val="00B536D3"/>
    <w:rsid w:val="00B557AE"/>
    <w:rsid w:val="00B6216E"/>
    <w:rsid w:val="00B70F67"/>
    <w:rsid w:val="00B7611F"/>
    <w:rsid w:val="00B763A9"/>
    <w:rsid w:val="00B83A45"/>
    <w:rsid w:val="00B8404E"/>
    <w:rsid w:val="00B91F50"/>
    <w:rsid w:val="00B93D7F"/>
    <w:rsid w:val="00BA0F66"/>
    <w:rsid w:val="00BA276C"/>
    <w:rsid w:val="00BA5CDA"/>
    <w:rsid w:val="00BA7F3F"/>
    <w:rsid w:val="00BB019D"/>
    <w:rsid w:val="00BB03F0"/>
    <w:rsid w:val="00BB1854"/>
    <w:rsid w:val="00BB306F"/>
    <w:rsid w:val="00BB75D6"/>
    <w:rsid w:val="00BD0FF5"/>
    <w:rsid w:val="00BD1450"/>
    <w:rsid w:val="00BD4B89"/>
    <w:rsid w:val="00BD5922"/>
    <w:rsid w:val="00BD6300"/>
    <w:rsid w:val="00BF02CB"/>
    <w:rsid w:val="00BF3282"/>
    <w:rsid w:val="00BF56E9"/>
    <w:rsid w:val="00BF6FD8"/>
    <w:rsid w:val="00C018DD"/>
    <w:rsid w:val="00C02E3F"/>
    <w:rsid w:val="00C02F86"/>
    <w:rsid w:val="00C03680"/>
    <w:rsid w:val="00C054DF"/>
    <w:rsid w:val="00C0706C"/>
    <w:rsid w:val="00C1308A"/>
    <w:rsid w:val="00C21762"/>
    <w:rsid w:val="00C21FEF"/>
    <w:rsid w:val="00C23BA4"/>
    <w:rsid w:val="00C24543"/>
    <w:rsid w:val="00C256A2"/>
    <w:rsid w:val="00C25ADB"/>
    <w:rsid w:val="00C3178B"/>
    <w:rsid w:val="00C460DC"/>
    <w:rsid w:val="00C51515"/>
    <w:rsid w:val="00C553C8"/>
    <w:rsid w:val="00C55CF5"/>
    <w:rsid w:val="00C560D7"/>
    <w:rsid w:val="00C5660B"/>
    <w:rsid w:val="00C64184"/>
    <w:rsid w:val="00C66B72"/>
    <w:rsid w:val="00C73122"/>
    <w:rsid w:val="00C74538"/>
    <w:rsid w:val="00C77DA6"/>
    <w:rsid w:val="00C813E5"/>
    <w:rsid w:val="00C820E4"/>
    <w:rsid w:val="00C8634E"/>
    <w:rsid w:val="00C87AC4"/>
    <w:rsid w:val="00C9567A"/>
    <w:rsid w:val="00CA1B4F"/>
    <w:rsid w:val="00CB212D"/>
    <w:rsid w:val="00CB2660"/>
    <w:rsid w:val="00CC182A"/>
    <w:rsid w:val="00CC5E90"/>
    <w:rsid w:val="00CC660D"/>
    <w:rsid w:val="00CC7E8A"/>
    <w:rsid w:val="00CD046C"/>
    <w:rsid w:val="00CD4825"/>
    <w:rsid w:val="00CD5692"/>
    <w:rsid w:val="00CD677D"/>
    <w:rsid w:val="00CE076C"/>
    <w:rsid w:val="00CE5199"/>
    <w:rsid w:val="00CE5F11"/>
    <w:rsid w:val="00CE6039"/>
    <w:rsid w:val="00CE66D5"/>
    <w:rsid w:val="00CE7244"/>
    <w:rsid w:val="00CF5362"/>
    <w:rsid w:val="00CF539C"/>
    <w:rsid w:val="00CF637A"/>
    <w:rsid w:val="00D00A21"/>
    <w:rsid w:val="00D054FF"/>
    <w:rsid w:val="00D059DE"/>
    <w:rsid w:val="00D05ABD"/>
    <w:rsid w:val="00D06858"/>
    <w:rsid w:val="00D07EB0"/>
    <w:rsid w:val="00D13FCE"/>
    <w:rsid w:val="00D148D5"/>
    <w:rsid w:val="00D22267"/>
    <w:rsid w:val="00D240CC"/>
    <w:rsid w:val="00D306D1"/>
    <w:rsid w:val="00D30800"/>
    <w:rsid w:val="00D32537"/>
    <w:rsid w:val="00D34786"/>
    <w:rsid w:val="00D34DC9"/>
    <w:rsid w:val="00D36288"/>
    <w:rsid w:val="00D36727"/>
    <w:rsid w:val="00D37BFC"/>
    <w:rsid w:val="00D37FE3"/>
    <w:rsid w:val="00D416E7"/>
    <w:rsid w:val="00D44F06"/>
    <w:rsid w:val="00D47A8E"/>
    <w:rsid w:val="00D52D14"/>
    <w:rsid w:val="00D66749"/>
    <w:rsid w:val="00D712D3"/>
    <w:rsid w:val="00D71422"/>
    <w:rsid w:val="00D71904"/>
    <w:rsid w:val="00D72DC6"/>
    <w:rsid w:val="00D72E79"/>
    <w:rsid w:val="00D73466"/>
    <w:rsid w:val="00D7558D"/>
    <w:rsid w:val="00D81D92"/>
    <w:rsid w:val="00D8377F"/>
    <w:rsid w:val="00D86C54"/>
    <w:rsid w:val="00D86E5E"/>
    <w:rsid w:val="00D876F9"/>
    <w:rsid w:val="00D921FB"/>
    <w:rsid w:val="00DA0210"/>
    <w:rsid w:val="00DA08DD"/>
    <w:rsid w:val="00DA7B5F"/>
    <w:rsid w:val="00DA7BEC"/>
    <w:rsid w:val="00DB3020"/>
    <w:rsid w:val="00DB6457"/>
    <w:rsid w:val="00DB74AD"/>
    <w:rsid w:val="00DC11E7"/>
    <w:rsid w:val="00DC24E3"/>
    <w:rsid w:val="00DC334A"/>
    <w:rsid w:val="00DC4060"/>
    <w:rsid w:val="00DC50B4"/>
    <w:rsid w:val="00DC7023"/>
    <w:rsid w:val="00DC769A"/>
    <w:rsid w:val="00DD3D86"/>
    <w:rsid w:val="00DD4AD2"/>
    <w:rsid w:val="00DE2862"/>
    <w:rsid w:val="00DE5446"/>
    <w:rsid w:val="00DE7EDD"/>
    <w:rsid w:val="00DF1EC4"/>
    <w:rsid w:val="00DF4C4B"/>
    <w:rsid w:val="00E0340B"/>
    <w:rsid w:val="00E04A90"/>
    <w:rsid w:val="00E0551F"/>
    <w:rsid w:val="00E072BC"/>
    <w:rsid w:val="00E07763"/>
    <w:rsid w:val="00E113D1"/>
    <w:rsid w:val="00E11C08"/>
    <w:rsid w:val="00E219C7"/>
    <w:rsid w:val="00E21AEB"/>
    <w:rsid w:val="00E31D7B"/>
    <w:rsid w:val="00E3317D"/>
    <w:rsid w:val="00E4118C"/>
    <w:rsid w:val="00E43157"/>
    <w:rsid w:val="00E461CE"/>
    <w:rsid w:val="00E51E46"/>
    <w:rsid w:val="00E5467D"/>
    <w:rsid w:val="00E549B0"/>
    <w:rsid w:val="00E569B6"/>
    <w:rsid w:val="00E573E4"/>
    <w:rsid w:val="00E57770"/>
    <w:rsid w:val="00E64C3D"/>
    <w:rsid w:val="00E720CA"/>
    <w:rsid w:val="00E75373"/>
    <w:rsid w:val="00E75B94"/>
    <w:rsid w:val="00E76BCF"/>
    <w:rsid w:val="00E838D1"/>
    <w:rsid w:val="00E84EB5"/>
    <w:rsid w:val="00E85662"/>
    <w:rsid w:val="00E85968"/>
    <w:rsid w:val="00E87682"/>
    <w:rsid w:val="00E8789F"/>
    <w:rsid w:val="00E9021E"/>
    <w:rsid w:val="00E96AAE"/>
    <w:rsid w:val="00E97B71"/>
    <w:rsid w:val="00E97C69"/>
    <w:rsid w:val="00EA028C"/>
    <w:rsid w:val="00EA24D1"/>
    <w:rsid w:val="00EA3D34"/>
    <w:rsid w:val="00EB3611"/>
    <w:rsid w:val="00EB454D"/>
    <w:rsid w:val="00EB45B9"/>
    <w:rsid w:val="00EB6DA8"/>
    <w:rsid w:val="00EB6EC0"/>
    <w:rsid w:val="00EB79E6"/>
    <w:rsid w:val="00EC68E2"/>
    <w:rsid w:val="00EC7F7F"/>
    <w:rsid w:val="00EC7FE1"/>
    <w:rsid w:val="00ED549D"/>
    <w:rsid w:val="00ED5E10"/>
    <w:rsid w:val="00ED76BE"/>
    <w:rsid w:val="00EE00E9"/>
    <w:rsid w:val="00EE7EC8"/>
    <w:rsid w:val="00EF02F1"/>
    <w:rsid w:val="00EF1AAA"/>
    <w:rsid w:val="00EF4DE3"/>
    <w:rsid w:val="00EF619B"/>
    <w:rsid w:val="00F00B55"/>
    <w:rsid w:val="00F02AD1"/>
    <w:rsid w:val="00F0456F"/>
    <w:rsid w:val="00F06CB5"/>
    <w:rsid w:val="00F07E01"/>
    <w:rsid w:val="00F13B02"/>
    <w:rsid w:val="00F14ACB"/>
    <w:rsid w:val="00F1584B"/>
    <w:rsid w:val="00F21522"/>
    <w:rsid w:val="00F253CC"/>
    <w:rsid w:val="00F27D46"/>
    <w:rsid w:val="00F325FB"/>
    <w:rsid w:val="00F330CC"/>
    <w:rsid w:val="00F37106"/>
    <w:rsid w:val="00F40B82"/>
    <w:rsid w:val="00F42436"/>
    <w:rsid w:val="00F44E25"/>
    <w:rsid w:val="00F46049"/>
    <w:rsid w:val="00F51018"/>
    <w:rsid w:val="00F519CF"/>
    <w:rsid w:val="00F56490"/>
    <w:rsid w:val="00F56772"/>
    <w:rsid w:val="00F56BA5"/>
    <w:rsid w:val="00F56ECB"/>
    <w:rsid w:val="00F57B56"/>
    <w:rsid w:val="00F6093F"/>
    <w:rsid w:val="00F60E22"/>
    <w:rsid w:val="00F62449"/>
    <w:rsid w:val="00F66151"/>
    <w:rsid w:val="00F73B5E"/>
    <w:rsid w:val="00F81395"/>
    <w:rsid w:val="00F81BB8"/>
    <w:rsid w:val="00F8278F"/>
    <w:rsid w:val="00F84B62"/>
    <w:rsid w:val="00F90763"/>
    <w:rsid w:val="00F90C64"/>
    <w:rsid w:val="00F91495"/>
    <w:rsid w:val="00F917D1"/>
    <w:rsid w:val="00F929D3"/>
    <w:rsid w:val="00F9653B"/>
    <w:rsid w:val="00FB2971"/>
    <w:rsid w:val="00FB62CF"/>
    <w:rsid w:val="00FC0314"/>
    <w:rsid w:val="00FD0A06"/>
    <w:rsid w:val="00FD3C3B"/>
    <w:rsid w:val="00FE07DD"/>
    <w:rsid w:val="00FE4F38"/>
    <w:rsid w:val="00FE68A3"/>
    <w:rsid w:val="00FE6B45"/>
    <w:rsid w:val="00FF55F3"/>
    <w:rsid w:val="00FF5851"/>
    <w:rsid w:val="00FF693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0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styleId="NormalWeb">
    <w:name w:val="Normal (Web)"/>
    <w:basedOn w:val="Normal"/>
    <w:uiPriority w:val="99"/>
    <w:semiHidden/>
    <w:unhideWhenUsed/>
    <w:rsid w:val="005E64B5"/>
    <w:pPr>
      <w:spacing w:before="100" w:beforeAutospacing="1" w:after="100" w:afterAutospacing="1"/>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50FD"/>
    <w:rPr>
      <w:color w:val="605E5C"/>
      <w:shd w:val="clear" w:color="auto" w:fill="E1DFDD"/>
    </w:rPr>
  </w:style>
  <w:style w:type="paragraph" w:customStyle="1" w:styleId="Char2">
    <w:name w:val="Char2"/>
    <w:basedOn w:val="Normal"/>
    <w:link w:val="FootnoteReference"/>
    <w:rsid w:val="00154D2A"/>
    <w:pPr>
      <w:spacing w:after="160" w:line="240" w:lineRule="exact"/>
    </w:pPr>
    <w:rPr>
      <w:rFonts w:eastAsia="Arial Unicode MS"/>
      <w:sz w:val="20"/>
      <w:szCs w:val="20"/>
      <w:bdr w:val="nil"/>
      <w:vertAlign w:val="superscript"/>
      <w:lang w:val="es-ES" w:eastAsia="es-ES"/>
    </w:rPr>
  </w:style>
  <w:style w:type="character" w:styleId="CommentReference">
    <w:name w:val="annotation reference"/>
    <w:basedOn w:val="DefaultParagraphFont"/>
    <w:uiPriority w:val="99"/>
    <w:semiHidden/>
    <w:unhideWhenUsed/>
    <w:rsid w:val="00861E23"/>
    <w:rPr>
      <w:sz w:val="16"/>
      <w:szCs w:val="16"/>
    </w:rPr>
  </w:style>
  <w:style w:type="paragraph" w:styleId="CommentText">
    <w:name w:val="annotation text"/>
    <w:basedOn w:val="Normal"/>
    <w:link w:val="CommentTextChar"/>
    <w:uiPriority w:val="99"/>
    <w:semiHidden/>
    <w:unhideWhenUsed/>
    <w:rsid w:val="00861E23"/>
    <w:rPr>
      <w:sz w:val="20"/>
      <w:szCs w:val="20"/>
    </w:rPr>
  </w:style>
  <w:style w:type="character" w:customStyle="1" w:styleId="CommentTextChar">
    <w:name w:val="Comment Text Char"/>
    <w:basedOn w:val="DefaultParagraphFont"/>
    <w:link w:val="CommentText"/>
    <w:uiPriority w:val="99"/>
    <w:semiHidden/>
    <w:rsid w:val="00861E23"/>
    <w:rPr>
      <w:rFonts w:eastAsia="Times New Roman"/>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861E23"/>
    <w:rPr>
      <w:b/>
      <w:bCs/>
    </w:rPr>
  </w:style>
  <w:style w:type="character" w:customStyle="1" w:styleId="CommentSubjectChar">
    <w:name w:val="Comment Subject Char"/>
    <w:basedOn w:val="CommentTextChar"/>
    <w:link w:val="CommentSubject"/>
    <w:uiPriority w:val="99"/>
    <w:semiHidden/>
    <w:rsid w:val="00861E23"/>
    <w:rPr>
      <w:rFonts w:eastAsia="Times New Roman"/>
      <w:b/>
      <w:bCs/>
      <w:bdr w:val="none" w:sz="0" w:space="0" w:color="auto"/>
      <w:lang w:val="en-US" w:eastAsia="en-US"/>
    </w:rPr>
  </w:style>
  <w:style w:type="paragraph" w:styleId="Revision">
    <w:name w:val="Revision"/>
    <w:hidden/>
    <w:uiPriority w:val="99"/>
    <w:semiHidden/>
    <w:rsid w:val="009D397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character" w:customStyle="1" w:styleId="contentpasted0">
    <w:name w:val="contentpasted0"/>
    <w:basedOn w:val="DefaultParagraphFont"/>
    <w:rsid w:val="002F6D3B"/>
  </w:style>
  <w:style w:type="paragraph" w:customStyle="1" w:styleId="paragraph">
    <w:name w:val="paragraph"/>
    <w:basedOn w:val="Normal"/>
    <w:rsid w:val="00FE68A3"/>
    <w:pPr>
      <w:spacing w:before="100" w:beforeAutospacing="1" w:after="100" w:afterAutospacing="1"/>
    </w:pPr>
  </w:style>
  <w:style w:type="character" w:customStyle="1" w:styleId="normaltextrun">
    <w:name w:val="normaltextrun"/>
    <w:basedOn w:val="DefaultParagraphFont"/>
    <w:rsid w:val="00FE68A3"/>
  </w:style>
  <w:style w:type="character" w:customStyle="1" w:styleId="eop">
    <w:name w:val="eop"/>
    <w:basedOn w:val="DefaultParagraphFont"/>
    <w:rsid w:val="00FE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2710">
      <w:bodyDiv w:val="1"/>
      <w:marLeft w:val="0"/>
      <w:marRight w:val="0"/>
      <w:marTop w:val="0"/>
      <w:marBottom w:val="0"/>
      <w:divBdr>
        <w:top w:val="none" w:sz="0" w:space="0" w:color="auto"/>
        <w:left w:val="none" w:sz="0" w:space="0" w:color="auto"/>
        <w:bottom w:val="none" w:sz="0" w:space="0" w:color="auto"/>
        <w:right w:val="none" w:sz="0" w:space="0" w:color="auto"/>
      </w:divBdr>
    </w:div>
    <w:div w:id="670374434">
      <w:bodyDiv w:val="1"/>
      <w:marLeft w:val="0"/>
      <w:marRight w:val="0"/>
      <w:marTop w:val="0"/>
      <w:marBottom w:val="0"/>
      <w:divBdr>
        <w:top w:val="none" w:sz="0" w:space="0" w:color="auto"/>
        <w:left w:val="none" w:sz="0" w:space="0" w:color="auto"/>
        <w:bottom w:val="none" w:sz="0" w:space="0" w:color="auto"/>
        <w:right w:val="none" w:sz="0" w:space="0" w:color="auto"/>
      </w:divBdr>
      <w:divsChild>
        <w:div w:id="604460386">
          <w:marLeft w:val="0"/>
          <w:marRight w:val="0"/>
          <w:marTop w:val="0"/>
          <w:marBottom w:val="0"/>
          <w:divBdr>
            <w:top w:val="none" w:sz="0" w:space="0" w:color="auto"/>
            <w:left w:val="none" w:sz="0" w:space="0" w:color="auto"/>
            <w:bottom w:val="none" w:sz="0" w:space="0" w:color="auto"/>
            <w:right w:val="none" w:sz="0" w:space="0" w:color="auto"/>
          </w:divBdr>
          <w:divsChild>
            <w:div w:id="1771194064">
              <w:marLeft w:val="0"/>
              <w:marRight w:val="0"/>
              <w:marTop w:val="0"/>
              <w:marBottom w:val="0"/>
              <w:divBdr>
                <w:top w:val="none" w:sz="0" w:space="0" w:color="auto"/>
                <w:left w:val="none" w:sz="0" w:space="0" w:color="auto"/>
                <w:bottom w:val="none" w:sz="0" w:space="0" w:color="auto"/>
                <w:right w:val="none" w:sz="0" w:space="0" w:color="auto"/>
              </w:divBdr>
              <w:divsChild>
                <w:div w:id="440686576">
                  <w:marLeft w:val="0"/>
                  <w:marRight w:val="0"/>
                  <w:marTop w:val="0"/>
                  <w:marBottom w:val="0"/>
                  <w:divBdr>
                    <w:top w:val="none" w:sz="0" w:space="0" w:color="auto"/>
                    <w:left w:val="none" w:sz="0" w:space="0" w:color="auto"/>
                    <w:bottom w:val="none" w:sz="0" w:space="0" w:color="auto"/>
                    <w:right w:val="none" w:sz="0" w:space="0" w:color="auto"/>
                  </w:divBdr>
                  <w:divsChild>
                    <w:div w:id="254628243">
                      <w:marLeft w:val="0"/>
                      <w:marRight w:val="0"/>
                      <w:marTop w:val="0"/>
                      <w:marBottom w:val="0"/>
                      <w:divBdr>
                        <w:top w:val="none" w:sz="0" w:space="0" w:color="auto"/>
                        <w:left w:val="none" w:sz="0" w:space="0" w:color="auto"/>
                        <w:bottom w:val="none" w:sz="0" w:space="0" w:color="auto"/>
                        <w:right w:val="none" w:sz="0" w:space="0" w:color="auto"/>
                      </w:divBdr>
                      <w:divsChild>
                        <w:div w:id="14228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8782">
                  <w:marLeft w:val="0"/>
                  <w:marRight w:val="0"/>
                  <w:marTop w:val="0"/>
                  <w:marBottom w:val="0"/>
                  <w:divBdr>
                    <w:top w:val="none" w:sz="0" w:space="0" w:color="auto"/>
                    <w:left w:val="none" w:sz="0" w:space="0" w:color="auto"/>
                    <w:bottom w:val="none" w:sz="0" w:space="0" w:color="auto"/>
                    <w:right w:val="none" w:sz="0" w:space="0" w:color="auto"/>
                  </w:divBdr>
                  <w:divsChild>
                    <w:div w:id="1365448627">
                      <w:marLeft w:val="0"/>
                      <w:marRight w:val="0"/>
                      <w:marTop w:val="0"/>
                      <w:marBottom w:val="0"/>
                      <w:divBdr>
                        <w:top w:val="none" w:sz="0" w:space="0" w:color="auto"/>
                        <w:left w:val="none" w:sz="0" w:space="0" w:color="auto"/>
                        <w:bottom w:val="none" w:sz="0" w:space="0" w:color="auto"/>
                        <w:right w:val="none" w:sz="0" w:space="0" w:color="auto"/>
                      </w:divBdr>
                      <w:divsChild>
                        <w:div w:id="7620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27250736">
      <w:bodyDiv w:val="1"/>
      <w:marLeft w:val="0"/>
      <w:marRight w:val="0"/>
      <w:marTop w:val="0"/>
      <w:marBottom w:val="0"/>
      <w:divBdr>
        <w:top w:val="none" w:sz="0" w:space="0" w:color="auto"/>
        <w:left w:val="none" w:sz="0" w:space="0" w:color="auto"/>
        <w:bottom w:val="none" w:sz="0" w:space="0" w:color="auto"/>
        <w:right w:val="none" w:sz="0" w:space="0" w:color="auto"/>
      </w:divBdr>
      <w:divsChild>
        <w:div w:id="1222787600">
          <w:marLeft w:val="0"/>
          <w:marRight w:val="0"/>
          <w:marTop w:val="0"/>
          <w:marBottom w:val="0"/>
          <w:divBdr>
            <w:top w:val="none" w:sz="0" w:space="0" w:color="auto"/>
            <w:left w:val="none" w:sz="0" w:space="0" w:color="auto"/>
            <w:bottom w:val="none" w:sz="0" w:space="0" w:color="auto"/>
            <w:right w:val="none" w:sz="0" w:space="0" w:color="auto"/>
          </w:divBdr>
          <w:divsChild>
            <w:div w:id="376317429">
              <w:marLeft w:val="0"/>
              <w:marRight w:val="0"/>
              <w:marTop w:val="0"/>
              <w:marBottom w:val="0"/>
              <w:divBdr>
                <w:top w:val="none" w:sz="0" w:space="0" w:color="auto"/>
                <w:left w:val="none" w:sz="0" w:space="0" w:color="auto"/>
                <w:bottom w:val="none" w:sz="0" w:space="0" w:color="auto"/>
                <w:right w:val="none" w:sz="0" w:space="0" w:color="auto"/>
              </w:divBdr>
              <w:divsChild>
                <w:div w:id="101413369">
                  <w:marLeft w:val="0"/>
                  <w:marRight w:val="0"/>
                  <w:marTop w:val="0"/>
                  <w:marBottom w:val="0"/>
                  <w:divBdr>
                    <w:top w:val="none" w:sz="0" w:space="0" w:color="auto"/>
                    <w:left w:val="none" w:sz="0" w:space="0" w:color="auto"/>
                    <w:bottom w:val="none" w:sz="0" w:space="0" w:color="auto"/>
                    <w:right w:val="none" w:sz="0" w:space="0" w:color="auto"/>
                  </w:divBdr>
                  <w:divsChild>
                    <w:div w:id="618267612">
                      <w:marLeft w:val="0"/>
                      <w:marRight w:val="0"/>
                      <w:marTop w:val="0"/>
                      <w:marBottom w:val="0"/>
                      <w:divBdr>
                        <w:top w:val="none" w:sz="0" w:space="0" w:color="auto"/>
                        <w:left w:val="none" w:sz="0" w:space="0" w:color="auto"/>
                        <w:bottom w:val="none" w:sz="0" w:space="0" w:color="auto"/>
                        <w:right w:val="none" w:sz="0" w:space="0" w:color="auto"/>
                      </w:divBdr>
                      <w:divsChild>
                        <w:div w:id="9139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1925">
                  <w:marLeft w:val="0"/>
                  <w:marRight w:val="0"/>
                  <w:marTop w:val="0"/>
                  <w:marBottom w:val="0"/>
                  <w:divBdr>
                    <w:top w:val="none" w:sz="0" w:space="0" w:color="auto"/>
                    <w:left w:val="none" w:sz="0" w:space="0" w:color="auto"/>
                    <w:bottom w:val="none" w:sz="0" w:space="0" w:color="auto"/>
                    <w:right w:val="none" w:sz="0" w:space="0" w:color="auto"/>
                  </w:divBdr>
                  <w:divsChild>
                    <w:div w:id="790055328">
                      <w:marLeft w:val="0"/>
                      <w:marRight w:val="0"/>
                      <w:marTop w:val="0"/>
                      <w:marBottom w:val="0"/>
                      <w:divBdr>
                        <w:top w:val="none" w:sz="0" w:space="0" w:color="auto"/>
                        <w:left w:val="none" w:sz="0" w:space="0" w:color="auto"/>
                        <w:bottom w:val="none" w:sz="0" w:space="0" w:color="auto"/>
                        <w:right w:val="none" w:sz="0" w:space="0" w:color="auto"/>
                      </w:divBdr>
                      <w:divsChild>
                        <w:div w:id="21415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3E6B"/>
    <w:rsid w:val="000C1C4C"/>
    <w:rsid w:val="00200821"/>
    <w:rsid w:val="0025245B"/>
    <w:rsid w:val="002A031B"/>
    <w:rsid w:val="002A3923"/>
    <w:rsid w:val="002D7873"/>
    <w:rsid w:val="00336BF2"/>
    <w:rsid w:val="0036199C"/>
    <w:rsid w:val="00394049"/>
    <w:rsid w:val="0039635F"/>
    <w:rsid w:val="003A1A48"/>
    <w:rsid w:val="003B0C71"/>
    <w:rsid w:val="004B5BBB"/>
    <w:rsid w:val="004F2DF8"/>
    <w:rsid w:val="00517E2A"/>
    <w:rsid w:val="006D3128"/>
    <w:rsid w:val="006F24A1"/>
    <w:rsid w:val="0072755C"/>
    <w:rsid w:val="00751571"/>
    <w:rsid w:val="00756FAF"/>
    <w:rsid w:val="008058BC"/>
    <w:rsid w:val="00875B8A"/>
    <w:rsid w:val="008953BC"/>
    <w:rsid w:val="00941EBF"/>
    <w:rsid w:val="00987715"/>
    <w:rsid w:val="009A261B"/>
    <w:rsid w:val="00AA2E17"/>
    <w:rsid w:val="00AC15A4"/>
    <w:rsid w:val="00AD78E1"/>
    <w:rsid w:val="00B0336C"/>
    <w:rsid w:val="00BF4C16"/>
    <w:rsid w:val="00C05E6A"/>
    <w:rsid w:val="00CE465E"/>
    <w:rsid w:val="00CE5C52"/>
    <w:rsid w:val="00D241E9"/>
    <w:rsid w:val="00D418C9"/>
    <w:rsid w:val="00D7750D"/>
    <w:rsid w:val="00DD1FFE"/>
    <w:rsid w:val="00E174E1"/>
    <w:rsid w:val="00EB1113"/>
    <w:rsid w:val="00F00D2F"/>
    <w:rsid w:val="00F128DF"/>
    <w:rsid w:val="00F50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36A49E-4EA4-174B-8672-FE011B6E02B5}">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4696</Words>
  <Characters>26773</Characters>
  <Application>Microsoft Office Word</Application>
  <DocSecurity>0</DocSecurity>
  <Lines>223</Lines>
  <Paragraphs>62</Paragraphs>
  <ScaleCrop>false</ScaleCrop>
  <Company/>
  <LinksUpToDate>false</LinksUpToDate>
  <CharactersWithSpaces>31407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2023-04-12T22:01:00Z</dcterms:created>
  <dcterms:modified xsi:type="dcterms:W3CDTF">2023-04-12T22:01:00Z</dcterms:modified>
</cp:coreProperties>
</file>