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00F9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57FD069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01FFE">
                              <w:rPr>
                                <w:rFonts w:asciiTheme="majorHAnsi" w:hAnsiTheme="majorHAnsi" w:cs="Arial"/>
                                <w:b/>
                                <w:bCs/>
                                <w:color w:val="0D0D0D" w:themeColor="text1" w:themeTint="F2"/>
                                <w:sz w:val="36"/>
                                <w:szCs w:val="22"/>
                                <w:lang w:val="es-ES_tradnl"/>
                              </w:rPr>
                              <w:t>311</w:t>
                            </w:r>
                            <w:r w:rsidR="007B05C4">
                              <w:rPr>
                                <w:rFonts w:asciiTheme="majorHAnsi" w:hAnsiTheme="majorHAnsi" w:cs="Arial"/>
                                <w:b/>
                                <w:bCs/>
                                <w:color w:val="0D0D0D" w:themeColor="text1" w:themeTint="F2"/>
                                <w:sz w:val="36"/>
                                <w:szCs w:val="22"/>
                                <w:lang w:val="es-ES_tradnl"/>
                              </w:rPr>
                              <w:t>/</w:t>
                            </w:r>
                            <w:r w:rsidR="001648C0">
                              <w:rPr>
                                <w:rFonts w:asciiTheme="majorHAnsi" w:hAnsiTheme="majorHAnsi" w:cs="Arial"/>
                                <w:b/>
                                <w:bCs/>
                                <w:color w:val="0D0D0D" w:themeColor="text1" w:themeTint="F2"/>
                                <w:sz w:val="36"/>
                                <w:szCs w:val="22"/>
                                <w:lang w:val="es-ES_tradnl"/>
                              </w:rPr>
                              <w:t>22</w:t>
                            </w:r>
                          </w:p>
                          <w:p w14:paraId="45F30ECA" w14:textId="08A561E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72671">
                              <w:rPr>
                                <w:rFonts w:asciiTheme="majorHAnsi" w:hAnsiTheme="majorHAnsi" w:cs="Arial"/>
                                <w:b/>
                                <w:color w:val="0D0D0D" w:themeColor="text1" w:themeTint="F2"/>
                                <w:sz w:val="36"/>
                                <w:szCs w:val="22"/>
                                <w:lang w:val="es-ES_tradnl"/>
                              </w:rPr>
                              <w:t>1299</w:t>
                            </w:r>
                            <w:r w:rsidR="00246D1F" w:rsidRPr="004E2649">
                              <w:rPr>
                                <w:rFonts w:asciiTheme="majorHAnsi" w:hAnsiTheme="majorHAnsi" w:cs="Arial"/>
                                <w:b/>
                                <w:color w:val="0D0D0D" w:themeColor="text1" w:themeTint="F2"/>
                                <w:sz w:val="36"/>
                                <w:szCs w:val="22"/>
                                <w:lang w:val="es-ES_tradnl"/>
                              </w:rPr>
                              <w:t>-</w:t>
                            </w:r>
                            <w:r w:rsidR="00F72671">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188B4303" w14:textId="1A947C3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38B7A799" w:rsidR="005B52B0" w:rsidRPr="0010736F" w:rsidRDefault="00F7267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JAIME DAVID ABANTO TORRES</w:t>
                            </w:r>
                            <w:r w:rsidR="00F40629">
                              <w:rPr>
                                <w:rFonts w:asciiTheme="majorHAnsi" w:hAnsiTheme="majorHAnsi" w:cs="Arial"/>
                                <w:color w:val="0D0D0D" w:themeColor="text1" w:themeTint="F2"/>
                                <w:szCs w:val="22"/>
                                <w:lang w:val="es-ES_tradnl"/>
                              </w:rPr>
                              <w:t xml:space="preserve"> Y OTROS</w:t>
                            </w:r>
                          </w:p>
                          <w:bookmarkEnd w:id="0"/>
                          <w:p w14:paraId="0B9F7D22" w14:textId="5C3122C9" w:rsidR="005B52B0" w:rsidRPr="00F56ECB" w:rsidRDefault="005B52B0" w:rsidP="00F56ECB">
                            <w:pPr>
                              <w:spacing w:line="276" w:lineRule="auto"/>
                              <w:rPr>
                                <w:rFonts w:asciiTheme="majorHAnsi" w:hAnsiTheme="majorHAnsi" w:cs="Arial"/>
                                <w:color w:val="0D0D0D" w:themeColor="text1" w:themeTint="F2"/>
                                <w:szCs w:val="22"/>
                                <w:lang w:val="es-ES"/>
                              </w:rPr>
                            </w:pPr>
                            <w:r w:rsidRPr="0010736F">
                              <w:rPr>
                                <w:rFonts w:asciiTheme="majorHAnsi" w:hAnsiTheme="majorHAnsi" w:cs="Arial"/>
                                <w:color w:val="0D0D0D" w:themeColor="text1" w:themeTint="F2"/>
                                <w:szCs w:val="22"/>
                                <w:lang w:val="es-ES_tradnl"/>
                              </w:rPr>
                              <w:t>P</w:t>
                            </w:r>
                            <w:r w:rsidR="00F72671">
                              <w:rPr>
                                <w:rFonts w:asciiTheme="majorHAnsi" w:hAnsiTheme="majorHAnsi" w:cs="Arial"/>
                                <w:color w:val="0D0D0D" w:themeColor="text1" w:themeTint="F2"/>
                                <w:szCs w:val="22"/>
                                <w:lang w:val="es-ES_tradnl"/>
                              </w:rPr>
                              <w:t>ERÚ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57FD069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01FFE">
                        <w:rPr>
                          <w:rFonts w:asciiTheme="majorHAnsi" w:hAnsiTheme="majorHAnsi" w:cs="Arial"/>
                          <w:b/>
                          <w:bCs/>
                          <w:color w:val="0D0D0D" w:themeColor="text1" w:themeTint="F2"/>
                          <w:sz w:val="36"/>
                          <w:szCs w:val="22"/>
                          <w:lang w:val="es-ES_tradnl"/>
                        </w:rPr>
                        <w:t>311</w:t>
                      </w:r>
                      <w:r w:rsidR="007B05C4">
                        <w:rPr>
                          <w:rFonts w:asciiTheme="majorHAnsi" w:hAnsiTheme="majorHAnsi" w:cs="Arial"/>
                          <w:b/>
                          <w:bCs/>
                          <w:color w:val="0D0D0D" w:themeColor="text1" w:themeTint="F2"/>
                          <w:sz w:val="36"/>
                          <w:szCs w:val="22"/>
                          <w:lang w:val="es-ES_tradnl"/>
                        </w:rPr>
                        <w:t>/</w:t>
                      </w:r>
                      <w:r w:rsidR="001648C0">
                        <w:rPr>
                          <w:rFonts w:asciiTheme="majorHAnsi" w:hAnsiTheme="majorHAnsi" w:cs="Arial"/>
                          <w:b/>
                          <w:bCs/>
                          <w:color w:val="0D0D0D" w:themeColor="text1" w:themeTint="F2"/>
                          <w:sz w:val="36"/>
                          <w:szCs w:val="22"/>
                          <w:lang w:val="es-ES_tradnl"/>
                        </w:rPr>
                        <w:t>22</w:t>
                      </w:r>
                    </w:p>
                    <w:p w14:paraId="45F30ECA" w14:textId="08A561E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72671">
                        <w:rPr>
                          <w:rFonts w:asciiTheme="majorHAnsi" w:hAnsiTheme="majorHAnsi" w:cs="Arial"/>
                          <w:b/>
                          <w:color w:val="0D0D0D" w:themeColor="text1" w:themeTint="F2"/>
                          <w:sz w:val="36"/>
                          <w:szCs w:val="22"/>
                          <w:lang w:val="es-ES_tradnl"/>
                        </w:rPr>
                        <w:t>1299</w:t>
                      </w:r>
                      <w:r w:rsidR="00246D1F" w:rsidRPr="004E2649">
                        <w:rPr>
                          <w:rFonts w:asciiTheme="majorHAnsi" w:hAnsiTheme="majorHAnsi" w:cs="Arial"/>
                          <w:b/>
                          <w:color w:val="0D0D0D" w:themeColor="text1" w:themeTint="F2"/>
                          <w:sz w:val="36"/>
                          <w:szCs w:val="22"/>
                          <w:lang w:val="es-ES_tradnl"/>
                        </w:rPr>
                        <w:t>-</w:t>
                      </w:r>
                      <w:r w:rsidR="00F72671">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188B4303" w14:textId="1A947C3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38B7A799" w:rsidR="005B52B0" w:rsidRPr="0010736F" w:rsidRDefault="00F7267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JAIME DAVID ABANTO TORRES</w:t>
                      </w:r>
                      <w:r w:rsidR="00F40629">
                        <w:rPr>
                          <w:rFonts w:asciiTheme="majorHAnsi" w:hAnsiTheme="majorHAnsi" w:cs="Arial"/>
                          <w:color w:val="0D0D0D" w:themeColor="text1" w:themeTint="F2"/>
                          <w:szCs w:val="22"/>
                          <w:lang w:val="es-ES_tradnl"/>
                        </w:rPr>
                        <w:t xml:space="preserve"> Y OTROS</w:t>
                      </w:r>
                    </w:p>
                    <w:bookmarkEnd w:id="1"/>
                    <w:p w14:paraId="0B9F7D22" w14:textId="5C3122C9" w:rsidR="005B52B0" w:rsidRPr="00F56ECB" w:rsidRDefault="005B52B0" w:rsidP="00F56ECB">
                      <w:pPr>
                        <w:spacing w:line="276" w:lineRule="auto"/>
                        <w:rPr>
                          <w:rFonts w:asciiTheme="majorHAnsi" w:hAnsiTheme="majorHAnsi" w:cs="Arial"/>
                          <w:color w:val="0D0D0D" w:themeColor="text1" w:themeTint="F2"/>
                          <w:szCs w:val="22"/>
                          <w:lang w:val="es-ES"/>
                        </w:rPr>
                      </w:pPr>
                      <w:r w:rsidRPr="0010736F">
                        <w:rPr>
                          <w:rFonts w:asciiTheme="majorHAnsi" w:hAnsiTheme="majorHAnsi" w:cs="Arial"/>
                          <w:color w:val="0D0D0D" w:themeColor="text1" w:themeTint="F2"/>
                          <w:szCs w:val="22"/>
                          <w:lang w:val="es-ES_tradnl"/>
                        </w:rPr>
                        <w:t>P</w:t>
                      </w:r>
                      <w:r w:rsidR="00F72671">
                        <w:rPr>
                          <w:rFonts w:asciiTheme="majorHAnsi" w:hAnsiTheme="majorHAnsi" w:cs="Arial"/>
                          <w:color w:val="0D0D0D" w:themeColor="text1" w:themeTint="F2"/>
                          <w:szCs w:val="22"/>
                          <w:lang w:val="es-ES_tradnl"/>
                        </w:rPr>
                        <w:t>ERÚ</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20F27DB0" w:rsidR="00627C9F" w:rsidRPr="0012763C" w:rsidRDefault="00834D49" w:rsidP="007A5817">
                            <w:pPr>
                              <w:spacing w:line="276" w:lineRule="auto"/>
                              <w:jc w:val="right"/>
                              <w:rPr>
                                <w:rFonts w:asciiTheme="minorHAnsi" w:hAnsiTheme="minorHAnsi"/>
                                <w:color w:val="FFFFFF" w:themeColor="background1"/>
                                <w:sz w:val="22"/>
                                <w:lang w:val="es-AR"/>
                              </w:rPr>
                            </w:pPr>
                            <w:r w:rsidRPr="0012763C">
                              <w:rPr>
                                <w:rFonts w:asciiTheme="minorHAnsi" w:hAnsiTheme="minorHAnsi"/>
                                <w:color w:val="FFFFFF" w:themeColor="background1"/>
                                <w:sz w:val="22"/>
                                <w:lang w:val="es-AR"/>
                              </w:rPr>
                              <w:t>OEA/Ser.L/V/II</w:t>
                            </w:r>
                          </w:p>
                          <w:p w14:paraId="71D2D5D2" w14:textId="179C953E" w:rsidR="00627C9F" w:rsidRPr="0012763C" w:rsidRDefault="00627C9F" w:rsidP="007A5817">
                            <w:pPr>
                              <w:spacing w:line="276" w:lineRule="auto"/>
                              <w:jc w:val="right"/>
                              <w:rPr>
                                <w:rFonts w:asciiTheme="minorHAnsi" w:hAnsiTheme="minorHAnsi"/>
                                <w:color w:val="FFFFFF" w:themeColor="background1"/>
                                <w:sz w:val="22"/>
                                <w:lang w:val="es-AR"/>
                              </w:rPr>
                            </w:pPr>
                            <w:r w:rsidRPr="0012763C">
                              <w:rPr>
                                <w:rFonts w:asciiTheme="minorHAnsi" w:hAnsiTheme="minorHAnsi"/>
                                <w:color w:val="FFFFFF" w:themeColor="background1"/>
                                <w:sz w:val="22"/>
                                <w:lang w:val="es-AR"/>
                              </w:rPr>
                              <w:t xml:space="preserve">Doc. </w:t>
                            </w:r>
                            <w:r w:rsidR="00E01FFE" w:rsidRPr="0012763C">
                              <w:rPr>
                                <w:rFonts w:asciiTheme="minorHAnsi" w:hAnsiTheme="minorHAnsi"/>
                                <w:color w:val="FFFFFF" w:themeColor="background1"/>
                                <w:sz w:val="22"/>
                                <w:lang w:val="es-AR"/>
                              </w:rPr>
                              <w:t>318</w:t>
                            </w:r>
                          </w:p>
                          <w:p w14:paraId="4061DBBD" w14:textId="08C82128" w:rsidR="00627C9F" w:rsidRPr="00C25ADB" w:rsidRDefault="00E01FF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25 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F72671">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20F27DB0" w:rsidR="00627C9F" w:rsidRPr="0012763C" w:rsidRDefault="00834D49" w:rsidP="007A5817">
                      <w:pPr>
                        <w:spacing w:line="276" w:lineRule="auto"/>
                        <w:jc w:val="right"/>
                        <w:rPr>
                          <w:rFonts w:asciiTheme="minorHAnsi" w:hAnsiTheme="minorHAnsi"/>
                          <w:color w:val="FFFFFF" w:themeColor="background1"/>
                          <w:sz w:val="22"/>
                          <w:lang w:val="es-AR"/>
                        </w:rPr>
                      </w:pPr>
                      <w:r w:rsidRPr="0012763C">
                        <w:rPr>
                          <w:rFonts w:asciiTheme="minorHAnsi" w:hAnsiTheme="minorHAnsi"/>
                          <w:color w:val="FFFFFF" w:themeColor="background1"/>
                          <w:sz w:val="22"/>
                          <w:lang w:val="es-AR"/>
                        </w:rPr>
                        <w:t>OEA/Ser.L/V/II</w:t>
                      </w:r>
                    </w:p>
                    <w:p w14:paraId="71D2D5D2" w14:textId="179C953E" w:rsidR="00627C9F" w:rsidRPr="0012763C" w:rsidRDefault="00627C9F" w:rsidP="007A5817">
                      <w:pPr>
                        <w:spacing w:line="276" w:lineRule="auto"/>
                        <w:jc w:val="right"/>
                        <w:rPr>
                          <w:rFonts w:asciiTheme="minorHAnsi" w:hAnsiTheme="minorHAnsi"/>
                          <w:color w:val="FFFFFF" w:themeColor="background1"/>
                          <w:sz w:val="22"/>
                          <w:lang w:val="es-AR"/>
                        </w:rPr>
                      </w:pPr>
                      <w:r w:rsidRPr="0012763C">
                        <w:rPr>
                          <w:rFonts w:asciiTheme="minorHAnsi" w:hAnsiTheme="minorHAnsi"/>
                          <w:color w:val="FFFFFF" w:themeColor="background1"/>
                          <w:sz w:val="22"/>
                          <w:lang w:val="es-AR"/>
                        </w:rPr>
                        <w:t xml:space="preserve">Doc. </w:t>
                      </w:r>
                      <w:r w:rsidR="00E01FFE" w:rsidRPr="0012763C">
                        <w:rPr>
                          <w:rFonts w:asciiTheme="minorHAnsi" w:hAnsiTheme="minorHAnsi"/>
                          <w:color w:val="FFFFFF" w:themeColor="background1"/>
                          <w:sz w:val="22"/>
                          <w:lang w:val="es-AR"/>
                        </w:rPr>
                        <w:t>318</w:t>
                      </w:r>
                    </w:p>
                    <w:p w14:paraId="4061DBBD" w14:textId="08C82128" w:rsidR="00627C9F" w:rsidRPr="00C25ADB" w:rsidRDefault="00E01FF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25 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F72671">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6E2A361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E01FFE">
                              <w:rPr>
                                <w:rFonts w:asciiTheme="majorHAnsi" w:hAnsiTheme="majorHAnsi"/>
                                <w:color w:val="0D0D0D" w:themeColor="text1" w:themeTint="F2"/>
                                <w:sz w:val="18"/>
                                <w:szCs w:val="22"/>
                                <w:lang w:val="es-ES"/>
                              </w:rPr>
                              <w:t>25</w:t>
                            </w:r>
                            <w:r w:rsidRPr="00890650">
                              <w:rPr>
                                <w:rFonts w:asciiTheme="majorHAnsi" w:hAnsiTheme="majorHAnsi"/>
                                <w:color w:val="0D0D0D" w:themeColor="text1" w:themeTint="F2"/>
                                <w:sz w:val="18"/>
                                <w:szCs w:val="22"/>
                                <w:lang w:val="es-ES"/>
                              </w:rPr>
                              <w:t xml:space="preserve"> de </w:t>
                            </w:r>
                            <w:r w:rsidR="00E01FFE">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F72671">
                              <w:rPr>
                                <w:rFonts w:asciiTheme="majorHAnsi" w:hAnsiTheme="majorHAnsi"/>
                                <w:color w:val="0D0D0D" w:themeColor="text1" w:themeTint="F2"/>
                                <w:sz w:val="18"/>
                                <w:szCs w:val="22"/>
                                <w:lang w:val="es-ES"/>
                              </w:rPr>
                              <w:t>2</w:t>
                            </w:r>
                            <w:r w:rsidR="00E01FFE">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6E2A361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E01FFE">
                        <w:rPr>
                          <w:rFonts w:asciiTheme="majorHAnsi" w:hAnsiTheme="majorHAnsi"/>
                          <w:color w:val="0D0D0D" w:themeColor="text1" w:themeTint="F2"/>
                          <w:sz w:val="18"/>
                          <w:szCs w:val="22"/>
                          <w:lang w:val="es-ES"/>
                        </w:rPr>
                        <w:t>25</w:t>
                      </w:r>
                      <w:r w:rsidRPr="00890650">
                        <w:rPr>
                          <w:rFonts w:asciiTheme="majorHAnsi" w:hAnsiTheme="majorHAnsi"/>
                          <w:color w:val="0D0D0D" w:themeColor="text1" w:themeTint="F2"/>
                          <w:sz w:val="18"/>
                          <w:szCs w:val="22"/>
                          <w:lang w:val="es-ES"/>
                        </w:rPr>
                        <w:t xml:space="preserve"> de </w:t>
                      </w:r>
                      <w:r w:rsidR="00E01FFE">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F72671">
                        <w:rPr>
                          <w:rFonts w:asciiTheme="majorHAnsi" w:hAnsiTheme="majorHAnsi"/>
                          <w:color w:val="0D0D0D" w:themeColor="text1" w:themeTint="F2"/>
                          <w:sz w:val="18"/>
                          <w:szCs w:val="22"/>
                          <w:lang w:val="es-ES"/>
                        </w:rPr>
                        <w:t>2</w:t>
                      </w:r>
                      <w:r w:rsidR="00E01FFE">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04C1EE36"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40629" w:rsidRPr="00F40629">
                              <w:rPr>
                                <w:rFonts w:asciiTheme="majorHAnsi" w:hAnsiTheme="majorHAnsi"/>
                                <w:color w:val="595959" w:themeColor="text1" w:themeTint="A6"/>
                                <w:sz w:val="18"/>
                                <w:szCs w:val="18"/>
                                <w:lang w:val="pt-BR"/>
                              </w:rPr>
                              <w:t>311</w:t>
                            </w:r>
                            <w:r w:rsidR="007B05C4" w:rsidRPr="00F40629">
                              <w:rPr>
                                <w:rFonts w:asciiTheme="majorHAnsi" w:hAnsiTheme="majorHAnsi"/>
                                <w:color w:val="595959" w:themeColor="text1" w:themeTint="A6"/>
                                <w:sz w:val="18"/>
                                <w:szCs w:val="18"/>
                                <w:lang w:val="pt-BR"/>
                              </w:rPr>
                              <w:t>/</w:t>
                            </w:r>
                            <w:r w:rsidR="00F40629" w:rsidRPr="00F40629">
                              <w:rPr>
                                <w:rFonts w:asciiTheme="majorHAnsi" w:hAnsiTheme="majorHAnsi"/>
                                <w:color w:val="595959" w:themeColor="text1" w:themeTint="A6"/>
                                <w:sz w:val="18"/>
                                <w:szCs w:val="18"/>
                                <w:lang w:val="pt-BR"/>
                              </w:rPr>
                              <w:t>22</w:t>
                            </w:r>
                            <w:r w:rsidRPr="00F40629">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F72671">
                              <w:rPr>
                                <w:rFonts w:asciiTheme="majorHAnsi" w:hAnsiTheme="majorHAnsi"/>
                                <w:color w:val="595959" w:themeColor="text1" w:themeTint="A6"/>
                                <w:sz w:val="18"/>
                                <w:szCs w:val="18"/>
                                <w:lang w:val="es-ES"/>
                              </w:rPr>
                              <w:t>1299</w:t>
                            </w:r>
                            <w:r w:rsidR="000433C9">
                              <w:rPr>
                                <w:rFonts w:asciiTheme="majorHAnsi" w:hAnsiTheme="majorHAnsi"/>
                                <w:color w:val="595959" w:themeColor="text1" w:themeTint="A6"/>
                                <w:sz w:val="18"/>
                                <w:szCs w:val="18"/>
                                <w:lang w:val="es-ES"/>
                              </w:rPr>
                              <w:t>-</w:t>
                            </w:r>
                            <w:r w:rsidR="00F72671">
                              <w:rPr>
                                <w:rFonts w:asciiTheme="majorHAnsi" w:hAnsiTheme="majorHAnsi"/>
                                <w:color w:val="595959" w:themeColor="text1" w:themeTint="A6"/>
                                <w:sz w:val="18"/>
                                <w:szCs w:val="18"/>
                                <w:lang w:val="es-ES"/>
                              </w:rPr>
                              <w:t>13</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F72671">
                              <w:rPr>
                                <w:rFonts w:asciiTheme="majorHAnsi" w:hAnsiTheme="majorHAnsi"/>
                                <w:color w:val="595959" w:themeColor="text1" w:themeTint="A6"/>
                                <w:sz w:val="18"/>
                                <w:szCs w:val="18"/>
                                <w:lang w:val="es-ES_tradnl"/>
                              </w:rPr>
                              <w:t>Jaime David Abanto Torres y otros</w:t>
                            </w:r>
                            <w:r w:rsidRPr="00890650">
                              <w:rPr>
                                <w:rFonts w:asciiTheme="majorHAnsi" w:hAnsiTheme="majorHAnsi"/>
                                <w:color w:val="595959" w:themeColor="text1" w:themeTint="A6"/>
                                <w:sz w:val="18"/>
                                <w:szCs w:val="18"/>
                                <w:lang w:val="es-ES_tradnl"/>
                              </w:rPr>
                              <w:t xml:space="preserve">. </w:t>
                            </w:r>
                            <w:r w:rsidR="00F72671">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F40629">
                              <w:rPr>
                                <w:rFonts w:asciiTheme="majorHAnsi" w:hAnsiTheme="majorHAnsi"/>
                                <w:color w:val="595959" w:themeColor="text1" w:themeTint="A6"/>
                                <w:sz w:val="18"/>
                                <w:szCs w:val="18"/>
                                <w:lang w:val="es-ES"/>
                              </w:rPr>
                              <w:t>25 de noviembre de 2022</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04C1EE36"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40629" w:rsidRPr="00F40629">
                        <w:rPr>
                          <w:rFonts w:asciiTheme="majorHAnsi" w:hAnsiTheme="majorHAnsi"/>
                          <w:color w:val="595959" w:themeColor="text1" w:themeTint="A6"/>
                          <w:sz w:val="18"/>
                          <w:szCs w:val="18"/>
                          <w:lang w:val="pt-BR"/>
                        </w:rPr>
                        <w:t>311</w:t>
                      </w:r>
                      <w:r w:rsidR="007B05C4" w:rsidRPr="00F40629">
                        <w:rPr>
                          <w:rFonts w:asciiTheme="majorHAnsi" w:hAnsiTheme="majorHAnsi"/>
                          <w:color w:val="595959" w:themeColor="text1" w:themeTint="A6"/>
                          <w:sz w:val="18"/>
                          <w:szCs w:val="18"/>
                          <w:lang w:val="pt-BR"/>
                        </w:rPr>
                        <w:t>/</w:t>
                      </w:r>
                      <w:r w:rsidR="00F40629" w:rsidRPr="00F40629">
                        <w:rPr>
                          <w:rFonts w:asciiTheme="majorHAnsi" w:hAnsiTheme="majorHAnsi"/>
                          <w:color w:val="595959" w:themeColor="text1" w:themeTint="A6"/>
                          <w:sz w:val="18"/>
                          <w:szCs w:val="18"/>
                          <w:lang w:val="pt-BR"/>
                        </w:rPr>
                        <w:t>22</w:t>
                      </w:r>
                      <w:r w:rsidRPr="00F40629">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F72671">
                        <w:rPr>
                          <w:rFonts w:asciiTheme="majorHAnsi" w:hAnsiTheme="majorHAnsi"/>
                          <w:color w:val="595959" w:themeColor="text1" w:themeTint="A6"/>
                          <w:sz w:val="18"/>
                          <w:szCs w:val="18"/>
                          <w:lang w:val="es-ES"/>
                        </w:rPr>
                        <w:t>1299</w:t>
                      </w:r>
                      <w:r w:rsidR="000433C9">
                        <w:rPr>
                          <w:rFonts w:asciiTheme="majorHAnsi" w:hAnsiTheme="majorHAnsi"/>
                          <w:color w:val="595959" w:themeColor="text1" w:themeTint="A6"/>
                          <w:sz w:val="18"/>
                          <w:szCs w:val="18"/>
                          <w:lang w:val="es-ES"/>
                        </w:rPr>
                        <w:t>-</w:t>
                      </w:r>
                      <w:r w:rsidR="00F72671">
                        <w:rPr>
                          <w:rFonts w:asciiTheme="majorHAnsi" w:hAnsiTheme="majorHAnsi"/>
                          <w:color w:val="595959" w:themeColor="text1" w:themeTint="A6"/>
                          <w:sz w:val="18"/>
                          <w:szCs w:val="18"/>
                          <w:lang w:val="es-ES"/>
                        </w:rPr>
                        <w:t>13</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F72671">
                        <w:rPr>
                          <w:rFonts w:asciiTheme="majorHAnsi" w:hAnsiTheme="majorHAnsi"/>
                          <w:color w:val="595959" w:themeColor="text1" w:themeTint="A6"/>
                          <w:sz w:val="18"/>
                          <w:szCs w:val="18"/>
                          <w:lang w:val="es-ES_tradnl"/>
                        </w:rPr>
                        <w:t>Jaime David Abanto Torres y otros</w:t>
                      </w:r>
                      <w:r w:rsidRPr="00890650">
                        <w:rPr>
                          <w:rFonts w:asciiTheme="majorHAnsi" w:hAnsiTheme="majorHAnsi"/>
                          <w:color w:val="595959" w:themeColor="text1" w:themeTint="A6"/>
                          <w:sz w:val="18"/>
                          <w:szCs w:val="18"/>
                          <w:lang w:val="es-ES_tradnl"/>
                        </w:rPr>
                        <w:t xml:space="preserve">. </w:t>
                      </w:r>
                      <w:r w:rsidR="00F72671">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F40629">
                        <w:rPr>
                          <w:rFonts w:asciiTheme="majorHAnsi" w:hAnsiTheme="majorHAnsi"/>
                          <w:color w:val="595959" w:themeColor="text1" w:themeTint="A6"/>
                          <w:sz w:val="18"/>
                          <w:szCs w:val="18"/>
                          <w:lang w:val="es-ES"/>
                        </w:rPr>
                        <w:t>25 de noviembre de 2022</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12763C"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07DAAE2E" w14:textId="30A53A98" w:rsidR="003239B8" w:rsidRPr="00F65A42" w:rsidRDefault="00F65A42" w:rsidP="008D2290">
            <w:pPr>
              <w:jc w:val="both"/>
              <w:rPr>
                <w:rFonts w:ascii="Cambria" w:hAnsi="Cambria"/>
                <w:bCs/>
                <w:sz w:val="20"/>
                <w:szCs w:val="20"/>
                <w:lang w:val="es-ES"/>
              </w:rPr>
            </w:pPr>
            <w:r w:rsidRPr="00F65A42">
              <w:rPr>
                <w:rFonts w:ascii="Cambria" w:hAnsi="Cambria"/>
                <w:bCs/>
                <w:sz w:val="20"/>
                <w:szCs w:val="20"/>
                <w:lang w:val="es-ES"/>
              </w:rPr>
              <w:t>Carolina Maida Loayza Tamayo</w:t>
            </w:r>
            <w:r>
              <w:rPr>
                <w:rFonts w:ascii="Cambria" w:hAnsi="Cambria"/>
                <w:bCs/>
                <w:sz w:val="20"/>
                <w:szCs w:val="20"/>
                <w:lang w:val="es-ES"/>
              </w:rPr>
              <w:t xml:space="preserve">, </w:t>
            </w:r>
            <w:r w:rsidRPr="00F65A42">
              <w:rPr>
                <w:rFonts w:ascii="Cambria" w:hAnsi="Cambria"/>
                <w:bCs/>
                <w:sz w:val="20"/>
                <w:szCs w:val="20"/>
                <w:lang w:val="es-ES"/>
              </w:rPr>
              <w:t>Jaime David Abanto</w:t>
            </w:r>
            <w:r>
              <w:rPr>
                <w:rFonts w:ascii="Cambria" w:hAnsi="Cambria"/>
                <w:bCs/>
                <w:sz w:val="20"/>
                <w:szCs w:val="20"/>
                <w:lang w:val="es-ES"/>
              </w:rPr>
              <w:t xml:space="preserve"> Torres y Silvia Ysabel Núñez</w:t>
            </w:r>
          </w:p>
        </w:tc>
      </w:tr>
      <w:tr w:rsidR="003239B8" w:rsidRPr="0012763C"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A54222"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143D44A8" w14:textId="5D1F6112" w:rsidR="003239B8" w:rsidRPr="000D05CB" w:rsidRDefault="00F65A42" w:rsidP="008D2290">
            <w:pPr>
              <w:jc w:val="both"/>
              <w:rPr>
                <w:rFonts w:ascii="Cambria" w:hAnsi="Cambria"/>
                <w:bCs/>
                <w:sz w:val="20"/>
                <w:szCs w:val="20"/>
                <w:lang w:val="es-ES"/>
              </w:rPr>
            </w:pPr>
            <w:r>
              <w:rPr>
                <w:rFonts w:ascii="Cambria" w:hAnsi="Cambria"/>
                <w:bCs/>
                <w:sz w:val="20"/>
                <w:szCs w:val="20"/>
                <w:lang w:val="es-ES"/>
              </w:rPr>
              <w:t>Jaime David Abanto Torres y otros</w:t>
            </w:r>
            <w:r w:rsidR="006B5F92">
              <w:rPr>
                <w:rFonts w:ascii="Cambria" w:hAnsi="Cambria"/>
                <w:bCs/>
                <w:sz w:val="20"/>
                <w:szCs w:val="20"/>
                <w:lang w:val="es-ES"/>
              </w:rPr>
              <w:t xml:space="preserve"> (25 presuntas víctimas identificadas en el anexo</w:t>
            </w:r>
            <w:r w:rsidR="00A719D2">
              <w:rPr>
                <w:rFonts w:ascii="Cambria" w:hAnsi="Cambria"/>
                <w:bCs/>
                <w:sz w:val="20"/>
                <w:szCs w:val="20"/>
                <w:lang w:val="es-ES"/>
              </w:rPr>
              <w:t xml:space="preserve"> 1</w:t>
            </w:r>
          </w:p>
        </w:tc>
      </w:tr>
      <w:tr w:rsidR="003239B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5D0EC05D" w14:textId="0123EBB5" w:rsidR="003239B8" w:rsidRPr="000D05CB" w:rsidRDefault="00F72671" w:rsidP="008D2290">
            <w:pPr>
              <w:jc w:val="both"/>
              <w:rPr>
                <w:rFonts w:ascii="Cambria" w:hAnsi="Cambria"/>
                <w:bCs/>
                <w:sz w:val="20"/>
                <w:szCs w:val="20"/>
              </w:rPr>
            </w:pPr>
            <w:r w:rsidRPr="00E17FA2">
              <w:rPr>
                <w:rFonts w:ascii="Cambria" w:hAnsi="Cambria"/>
                <w:bCs/>
                <w:sz w:val="20"/>
                <w:szCs w:val="20"/>
              </w:rPr>
              <w:t>Perú</w:t>
            </w:r>
            <w:r w:rsidRPr="000D05CB">
              <w:rPr>
                <w:rStyle w:val="FootnoteReference"/>
                <w:rFonts w:ascii="Cambria" w:hAnsi="Cambria"/>
                <w:bCs/>
                <w:sz w:val="20"/>
                <w:szCs w:val="20"/>
              </w:rPr>
              <w:footnoteReference w:id="2"/>
            </w:r>
          </w:p>
        </w:tc>
      </w:tr>
      <w:tr w:rsidR="00223A29" w:rsidRPr="0012763C"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52B28392" w14:textId="6A9D684C" w:rsidR="00223A29" w:rsidRPr="003E53E8" w:rsidRDefault="003E53E8" w:rsidP="008D2290">
            <w:pPr>
              <w:jc w:val="both"/>
              <w:rPr>
                <w:rFonts w:ascii="Cambria" w:hAnsi="Cambria"/>
                <w:bCs/>
                <w:sz w:val="20"/>
                <w:szCs w:val="20"/>
                <w:lang w:val="es-PE"/>
              </w:rPr>
            </w:pPr>
            <w:r w:rsidRPr="003E53E8">
              <w:rPr>
                <w:rFonts w:ascii="Cambria" w:hAnsi="Cambria"/>
                <w:bCs/>
                <w:sz w:val="20"/>
                <w:szCs w:val="20"/>
                <w:lang w:val="es-ES"/>
              </w:rPr>
              <w:t xml:space="preserve">Artículos 8 (garantías judiciales), 21 (propiedad </w:t>
            </w:r>
            <w:r w:rsidR="00E748F9">
              <w:rPr>
                <w:rFonts w:ascii="Cambria" w:hAnsi="Cambria"/>
                <w:bCs/>
                <w:sz w:val="20"/>
                <w:szCs w:val="20"/>
                <w:lang w:val="es-ES"/>
              </w:rPr>
              <w:t>privada</w:t>
            </w:r>
            <w:r>
              <w:rPr>
                <w:rFonts w:ascii="Cambria" w:hAnsi="Cambria"/>
                <w:bCs/>
                <w:sz w:val="20"/>
                <w:szCs w:val="20"/>
                <w:lang w:val="es-ES"/>
              </w:rPr>
              <w:t>), 24 (igualdad ante la ley) y 25 (protección judicial) de la Convención Americana sobre Derechos Humanos</w:t>
            </w:r>
            <w:r>
              <w:rPr>
                <w:rStyle w:val="FootnoteReference"/>
                <w:rFonts w:ascii="Cambria" w:hAnsi="Cambria"/>
                <w:bCs/>
                <w:sz w:val="20"/>
                <w:szCs w:val="20"/>
                <w:lang w:val="es-PE"/>
              </w:rPr>
              <w:footnoteReference w:id="3"/>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883A5F8" w14:textId="1922961C" w:rsidR="004C2312" w:rsidRPr="003239B8" w:rsidRDefault="002063B5" w:rsidP="002625EA">
            <w:pPr>
              <w:jc w:val="both"/>
              <w:rPr>
                <w:rFonts w:ascii="Cambria" w:hAnsi="Cambria"/>
                <w:bCs/>
                <w:sz w:val="20"/>
                <w:szCs w:val="20"/>
                <w:lang w:val="es-ES"/>
              </w:rPr>
            </w:pPr>
            <w:r>
              <w:rPr>
                <w:rFonts w:ascii="Cambria" w:hAnsi="Cambria"/>
                <w:bCs/>
                <w:sz w:val="20"/>
                <w:szCs w:val="20"/>
                <w:lang w:val="es-ES"/>
              </w:rPr>
              <w:t>10 de agosto de 2013</w:t>
            </w:r>
          </w:p>
        </w:tc>
      </w:tr>
      <w:tr w:rsidR="00131425" w:rsidRPr="0012763C"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65CBC29E" w14:textId="44367AFA" w:rsidR="00131425" w:rsidRPr="003239B8" w:rsidRDefault="00DC7997" w:rsidP="002625EA">
            <w:pPr>
              <w:jc w:val="both"/>
              <w:rPr>
                <w:rFonts w:ascii="Cambria" w:hAnsi="Cambria"/>
                <w:bCs/>
                <w:sz w:val="20"/>
                <w:szCs w:val="20"/>
                <w:lang w:val="es-ES"/>
              </w:rPr>
            </w:pPr>
            <w:r>
              <w:rPr>
                <w:rFonts w:ascii="Cambria" w:hAnsi="Cambria"/>
                <w:bCs/>
                <w:sz w:val="20"/>
                <w:szCs w:val="20"/>
                <w:lang w:val="es-ES"/>
              </w:rPr>
              <w:t>21 de agosto de 2013, 7 de junio de 2016</w:t>
            </w:r>
            <w:r w:rsidR="00253044">
              <w:rPr>
                <w:rFonts w:ascii="Cambria" w:hAnsi="Cambria"/>
                <w:bCs/>
                <w:sz w:val="20"/>
                <w:szCs w:val="20"/>
                <w:lang w:val="es-ES"/>
              </w:rPr>
              <w:t xml:space="preserve">, 8 de agosto de 2016 </w:t>
            </w:r>
            <w:r w:rsidR="005C13B7">
              <w:rPr>
                <w:rFonts w:ascii="Cambria" w:hAnsi="Cambria"/>
                <w:bCs/>
                <w:sz w:val="20"/>
                <w:szCs w:val="20"/>
                <w:lang w:val="es-ES"/>
              </w:rPr>
              <w:t xml:space="preserve">y </w:t>
            </w:r>
            <w:r w:rsidR="00253044">
              <w:rPr>
                <w:rFonts w:ascii="Cambria" w:hAnsi="Cambria"/>
                <w:bCs/>
                <w:sz w:val="20"/>
                <w:szCs w:val="20"/>
                <w:lang w:val="es-ES"/>
              </w:rPr>
              <w:t xml:space="preserve">1 de marzo de 2017 </w:t>
            </w:r>
          </w:p>
        </w:tc>
      </w:tr>
      <w:tr w:rsidR="004C2312" w:rsidRPr="00DC7997"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58485921" w14:textId="6B3D4C06" w:rsidR="004C2312" w:rsidRPr="003239B8" w:rsidRDefault="00253044" w:rsidP="008D2290">
            <w:pPr>
              <w:jc w:val="both"/>
              <w:rPr>
                <w:rFonts w:ascii="Cambria" w:hAnsi="Cambria"/>
                <w:bCs/>
                <w:sz w:val="20"/>
                <w:szCs w:val="20"/>
                <w:lang w:val="es-ES"/>
              </w:rPr>
            </w:pPr>
            <w:r>
              <w:rPr>
                <w:rFonts w:ascii="Cambria" w:hAnsi="Cambria"/>
                <w:bCs/>
                <w:sz w:val="20"/>
                <w:szCs w:val="20"/>
                <w:lang w:val="es-ES"/>
              </w:rPr>
              <w:t>1 de mayo de 2018</w:t>
            </w:r>
          </w:p>
        </w:tc>
      </w:tr>
      <w:tr w:rsidR="004C2312" w:rsidRPr="004A6A54"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6B47064C" w14:textId="664E74FA" w:rsidR="004C2312" w:rsidRPr="003239B8" w:rsidRDefault="00253044" w:rsidP="008D2290">
            <w:pPr>
              <w:jc w:val="both"/>
              <w:rPr>
                <w:rFonts w:ascii="Cambria" w:hAnsi="Cambria"/>
                <w:bCs/>
                <w:sz w:val="20"/>
                <w:szCs w:val="20"/>
                <w:lang w:val="es-ES"/>
              </w:rPr>
            </w:pPr>
            <w:r>
              <w:rPr>
                <w:rFonts w:ascii="Cambria" w:hAnsi="Cambria"/>
                <w:bCs/>
                <w:sz w:val="20"/>
                <w:szCs w:val="20"/>
                <w:lang w:val="es-ES"/>
              </w:rPr>
              <w:t>2 de agosto de 2018</w:t>
            </w:r>
          </w:p>
        </w:tc>
      </w:tr>
      <w:tr w:rsidR="004C2312" w:rsidRPr="0012763C"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647" w:type="dxa"/>
            <w:vAlign w:val="center"/>
          </w:tcPr>
          <w:p w14:paraId="66A99206" w14:textId="31F3CF4F" w:rsidR="004C2312" w:rsidRPr="003239B8" w:rsidRDefault="00DA776C" w:rsidP="008D2290">
            <w:pPr>
              <w:jc w:val="both"/>
              <w:rPr>
                <w:rFonts w:ascii="Cambria" w:hAnsi="Cambria"/>
                <w:bCs/>
                <w:sz w:val="20"/>
                <w:szCs w:val="20"/>
                <w:lang w:val="es-ES"/>
              </w:rPr>
            </w:pPr>
            <w:r>
              <w:rPr>
                <w:rFonts w:ascii="Cambria" w:hAnsi="Cambria"/>
                <w:bCs/>
                <w:sz w:val="20"/>
                <w:szCs w:val="20"/>
                <w:lang w:val="es-ES"/>
              </w:rPr>
              <w:t>22 de enero de 2019</w:t>
            </w:r>
            <w:r w:rsidR="00F65A42">
              <w:rPr>
                <w:rFonts w:ascii="Cambria" w:hAnsi="Cambria"/>
                <w:bCs/>
                <w:sz w:val="20"/>
                <w:szCs w:val="20"/>
                <w:lang w:val="es-ES"/>
              </w:rPr>
              <w:t xml:space="preserve"> y 13 de junio de 2022</w:t>
            </w:r>
          </w:p>
        </w:tc>
      </w:tr>
      <w:tr w:rsidR="004C2312" w:rsidRPr="0012763C" w14:paraId="30D2D9CB" w14:textId="77777777" w:rsidTr="00394073">
        <w:tc>
          <w:tcPr>
            <w:tcW w:w="3600" w:type="dxa"/>
            <w:tcBorders>
              <w:top w:val="single" w:sz="6" w:space="0" w:color="auto"/>
              <w:bottom w:val="single" w:sz="6" w:space="0" w:color="auto"/>
            </w:tcBorders>
            <w:shd w:val="clear" w:color="auto" w:fill="386294"/>
            <w:vAlign w:val="center"/>
          </w:tcPr>
          <w:p w14:paraId="35799C78"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647" w:type="dxa"/>
            <w:vAlign w:val="center"/>
          </w:tcPr>
          <w:p w14:paraId="15747C57" w14:textId="7CE2D711" w:rsidR="004C2312" w:rsidRPr="00F65A42" w:rsidRDefault="00DA776C" w:rsidP="008D2290">
            <w:pPr>
              <w:jc w:val="both"/>
              <w:rPr>
                <w:rFonts w:ascii="Cambria" w:hAnsi="Cambria"/>
                <w:bCs/>
                <w:sz w:val="20"/>
                <w:szCs w:val="20"/>
                <w:lang w:val="es-ES"/>
              </w:rPr>
            </w:pPr>
            <w:r w:rsidRPr="00F65A42">
              <w:rPr>
                <w:rFonts w:ascii="Cambria" w:hAnsi="Cambria"/>
                <w:bCs/>
                <w:sz w:val="20"/>
                <w:szCs w:val="20"/>
                <w:lang w:val="es-ES"/>
              </w:rPr>
              <w:t>22 de noviembre de 2019</w:t>
            </w:r>
            <w:r w:rsidR="00F65A42" w:rsidRPr="00F65A42">
              <w:rPr>
                <w:rFonts w:ascii="Cambria" w:hAnsi="Cambria"/>
                <w:bCs/>
                <w:sz w:val="20"/>
                <w:szCs w:val="20"/>
                <w:lang w:val="es-ES"/>
              </w:rPr>
              <w:t xml:space="preserve"> y 27 de abril de 2022</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B5DB3" w:rsidRDefault="003239B8" w:rsidP="008D2290">
            <w:pPr>
              <w:jc w:val="center"/>
              <w:rPr>
                <w:rFonts w:ascii="Cambria" w:hAnsi="Cambria"/>
                <w:b/>
                <w:bCs/>
                <w:i/>
                <w:color w:val="FFFFFF" w:themeColor="background1"/>
                <w:sz w:val="20"/>
                <w:szCs w:val="20"/>
                <w:lang w:val="es-ES"/>
              </w:rPr>
            </w:pPr>
            <w:r w:rsidRPr="00BB5DB3">
              <w:rPr>
                <w:rFonts w:ascii="Cambria" w:hAnsi="Cambria"/>
                <w:b/>
                <w:bCs/>
                <w:color w:val="FFFFFF" w:themeColor="background1"/>
                <w:sz w:val="20"/>
                <w:szCs w:val="20"/>
                <w:lang w:val="es-ES"/>
              </w:rPr>
              <w:t>Competencia</w:t>
            </w:r>
            <w:r w:rsidRPr="00BB5DB3">
              <w:rPr>
                <w:rFonts w:ascii="Cambria" w:hAnsi="Cambria"/>
                <w:b/>
                <w:bCs/>
                <w:i/>
                <w:color w:val="FFFFFF" w:themeColor="background1"/>
                <w:sz w:val="20"/>
                <w:szCs w:val="20"/>
                <w:lang w:val="es-ES"/>
              </w:rPr>
              <w:t xml:space="preserve"> Ratione personae:</w:t>
            </w:r>
          </w:p>
        </w:tc>
        <w:tc>
          <w:tcPr>
            <w:tcW w:w="5760" w:type="dxa"/>
            <w:vAlign w:val="center"/>
          </w:tcPr>
          <w:p w14:paraId="1E494D5D" w14:textId="03498E1B" w:rsidR="003239B8" w:rsidRPr="00BB5DB3" w:rsidRDefault="00F65A42" w:rsidP="008D2290">
            <w:pPr>
              <w:rPr>
                <w:rFonts w:ascii="Cambria" w:hAnsi="Cambria"/>
                <w:bCs/>
                <w:sz w:val="20"/>
                <w:szCs w:val="20"/>
                <w:lang w:val="es-ES"/>
              </w:rPr>
            </w:pPr>
            <w:r w:rsidRPr="00BB5DB3">
              <w:rPr>
                <w:rFonts w:ascii="Cambria" w:hAnsi="Cambria"/>
                <w:bCs/>
                <w:sz w:val="20"/>
                <w:szCs w:val="20"/>
                <w:lang w:val="es-ES"/>
              </w:rPr>
              <w:t>Sí</w:t>
            </w:r>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B5DB3" w:rsidRDefault="003239B8" w:rsidP="008D2290">
            <w:pPr>
              <w:jc w:val="center"/>
              <w:rPr>
                <w:rFonts w:ascii="Cambria" w:hAnsi="Cambria"/>
                <w:b/>
                <w:bCs/>
                <w:color w:val="FFFFFF" w:themeColor="background1"/>
                <w:sz w:val="20"/>
                <w:szCs w:val="20"/>
                <w:lang w:val="es-ES"/>
              </w:rPr>
            </w:pPr>
            <w:r w:rsidRPr="00BB5DB3">
              <w:rPr>
                <w:rFonts w:ascii="Cambria" w:hAnsi="Cambria"/>
                <w:b/>
                <w:bCs/>
                <w:color w:val="FFFFFF" w:themeColor="background1"/>
                <w:sz w:val="20"/>
                <w:szCs w:val="20"/>
                <w:lang w:val="es-ES"/>
              </w:rPr>
              <w:t>Competencia</w:t>
            </w:r>
            <w:r w:rsidRPr="00BB5DB3">
              <w:rPr>
                <w:rFonts w:ascii="Cambria" w:hAnsi="Cambria"/>
                <w:b/>
                <w:bCs/>
                <w:i/>
                <w:color w:val="FFFFFF" w:themeColor="background1"/>
                <w:sz w:val="20"/>
                <w:szCs w:val="20"/>
                <w:lang w:val="es-ES"/>
              </w:rPr>
              <w:t xml:space="preserve"> Ratione loci</w:t>
            </w:r>
            <w:r w:rsidRPr="00BB5DB3">
              <w:rPr>
                <w:rFonts w:ascii="Cambria" w:hAnsi="Cambria"/>
                <w:b/>
                <w:bCs/>
                <w:color w:val="FFFFFF" w:themeColor="background1"/>
                <w:sz w:val="20"/>
                <w:szCs w:val="20"/>
                <w:lang w:val="es-ES"/>
              </w:rPr>
              <w:t>:</w:t>
            </w:r>
          </w:p>
        </w:tc>
        <w:tc>
          <w:tcPr>
            <w:tcW w:w="5760" w:type="dxa"/>
            <w:vAlign w:val="center"/>
          </w:tcPr>
          <w:p w14:paraId="77C8256A" w14:textId="3986B830" w:rsidR="003239B8" w:rsidRPr="00BB5DB3" w:rsidRDefault="00F65A42" w:rsidP="008D2290">
            <w:pPr>
              <w:rPr>
                <w:rFonts w:ascii="Cambria" w:hAnsi="Cambria"/>
                <w:bCs/>
                <w:sz w:val="20"/>
                <w:szCs w:val="20"/>
                <w:lang w:val="es-ES"/>
              </w:rPr>
            </w:pPr>
            <w:r w:rsidRPr="00BB5DB3">
              <w:rPr>
                <w:rFonts w:ascii="Cambria" w:hAnsi="Cambria"/>
                <w:bCs/>
                <w:sz w:val="20"/>
                <w:szCs w:val="20"/>
                <w:lang w:val="es-ES"/>
              </w:rPr>
              <w:t>Sí</w:t>
            </w:r>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B5DB3" w:rsidRDefault="003239B8" w:rsidP="008D2290">
            <w:pPr>
              <w:jc w:val="center"/>
              <w:rPr>
                <w:rFonts w:ascii="Cambria" w:hAnsi="Cambria"/>
                <w:b/>
                <w:bCs/>
                <w:color w:val="FFFFFF" w:themeColor="background1"/>
                <w:sz w:val="20"/>
                <w:szCs w:val="20"/>
                <w:lang w:val="es-ES"/>
              </w:rPr>
            </w:pPr>
            <w:r w:rsidRPr="00BB5DB3">
              <w:rPr>
                <w:rFonts w:ascii="Cambria" w:hAnsi="Cambria"/>
                <w:b/>
                <w:bCs/>
                <w:color w:val="FFFFFF" w:themeColor="background1"/>
                <w:sz w:val="20"/>
                <w:szCs w:val="20"/>
                <w:lang w:val="es-ES"/>
              </w:rPr>
              <w:t>Competencia</w:t>
            </w:r>
            <w:r w:rsidRPr="00BB5DB3">
              <w:rPr>
                <w:rFonts w:ascii="Cambria" w:hAnsi="Cambria"/>
                <w:b/>
                <w:bCs/>
                <w:i/>
                <w:color w:val="FFFFFF" w:themeColor="background1"/>
                <w:sz w:val="20"/>
                <w:szCs w:val="20"/>
                <w:lang w:val="es-ES"/>
              </w:rPr>
              <w:t xml:space="preserve"> Ratione temporis</w:t>
            </w:r>
            <w:r w:rsidRPr="00BB5DB3">
              <w:rPr>
                <w:rFonts w:ascii="Cambria" w:hAnsi="Cambria"/>
                <w:b/>
                <w:bCs/>
                <w:color w:val="FFFFFF" w:themeColor="background1"/>
                <w:sz w:val="20"/>
                <w:szCs w:val="20"/>
                <w:lang w:val="es-ES"/>
              </w:rPr>
              <w:t>:</w:t>
            </w:r>
          </w:p>
        </w:tc>
        <w:tc>
          <w:tcPr>
            <w:tcW w:w="5760" w:type="dxa"/>
            <w:vAlign w:val="center"/>
          </w:tcPr>
          <w:p w14:paraId="523F6BD6" w14:textId="5BC5CC37" w:rsidR="003239B8" w:rsidRPr="00BB5DB3" w:rsidRDefault="00F65A42" w:rsidP="008D2290">
            <w:pPr>
              <w:rPr>
                <w:rFonts w:ascii="Cambria" w:hAnsi="Cambria"/>
                <w:bCs/>
                <w:sz w:val="20"/>
                <w:szCs w:val="20"/>
                <w:lang w:val="es-ES"/>
              </w:rPr>
            </w:pPr>
            <w:r w:rsidRPr="00BB5DB3">
              <w:rPr>
                <w:rFonts w:ascii="Cambria" w:hAnsi="Cambria"/>
                <w:bCs/>
                <w:sz w:val="20"/>
                <w:szCs w:val="20"/>
                <w:lang w:val="es-ES"/>
              </w:rPr>
              <w:t>Sí</w:t>
            </w:r>
          </w:p>
        </w:tc>
      </w:tr>
      <w:tr w:rsidR="003239B8" w:rsidRPr="0012763C"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B5DB3" w:rsidRDefault="003239B8" w:rsidP="008D2290">
            <w:pPr>
              <w:jc w:val="center"/>
              <w:rPr>
                <w:rFonts w:ascii="Cambria" w:hAnsi="Cambria"/>
                <w:b/>
                <w:bCs/>
                <w:color w:val="FFFFFF" w:themeColor="background1"/>
                <w:sz w:val="20"/>
                <w:szCs w:val="20"/>
                <w:lang w:val="es-ES"/>
              </w:rPr>
            </w:pPr>
            <w:r w:rsidRPr="00BB5DB3">
              <w:rPr>
                <w:rFonts w:ascii="Cambria" w:hAnsi="Cambria"/>
                <w:b/>
                <w:bCs/>
                <w:color w:val="FFFFFF" w:themeColor="background1"/>
                <w:sz w:val="20"/>
                <w:szCs w:val="20"/>
                <w:lang w:val="es-ES"/>
              </w:rPr>
              <w:t>Competencia</w:t>
            </w:r>
            <w:r w:rsidRPr="00BB5DB3">
              <w:rPr>
                <w:rFonts w:ascii="Cambria" w:hAnsi="Cambria"/>
                <w:b/>
                <w:bCs/>
                <w:i/>
                <w:color w:val="FFFFFF" w:themeColor="background1"/>
                <w:sz w:val="20"/>
                <w:szCs w:val="20"/>
                <w:lang w:val="es-ES"/>
              </w:rPr>
              <w:t xml:space="preserve"> Ratione materia</w:t>
            </w:r>
            <w:r w:rsidR="00EE00E9" w:rsidRPr="00BB5DB3">
              <w:rPr>
                <w:rFonts w:ascii="Cambria" w:hAnsi="Cambria"/>
                <w:b/>
                <w:bCs/>
                <w:i/>
                <w:color w:val="FFFFFF" w:themeColor="background1"/>
                <w:sz w:val="20"/>
                <w:szCs w:val="20"/>
                <w:lang w:val="es-ES"/>
              </w:rPr>
              <w:t>e</w:t>
            </w:r>
            <w:r w:rsidRPr="00BB5DB3">
              <w:rPr>
                <w:rFonts w:ascii="Cambria" w:hAnsi="Cambria"/>
                <w:b/>
                <w:bCs/>
                <w:color w:val="FFFFFF" w:themeColor="background1"/>
                <w:sz w:val="20"/>
                <w:szCs w:val="20"/>
                <w:lang w:val="es-ES"/>
              </w:rPr>
              <w:t>:</w:t>
            </w:r>
          </w:p>
        </w:tc>
        <w:tc>
          <w:tcPr>
            <w:tcW w:w="5760" w:type="dxa"/>
            <w:vAlign w:val="center"/>
          </w:tcPr>
          <w:p w14:paraId="257C8337" w14:textId="77FF5680" w:rsidR="003239B8" w:rsidRPr="00BB5DB3" w:rsidRDefault="00F65A42" w:rsidP="008D2290">
            <w:pPr>
              <w:jc w:val="both"/>
              <w:rPr>
                <w:rFonts w:ascii="Cambria" w:hAnsi="Cambria"/>
                <w:bCs/>
                <w:sz w:val="20"/>
                <w:szCs w:val="20"/>
                <w:lang w:val="es-ES"/>
              </w:rPr>
            </w:pPr>
            <w:r w:rsidRPr="00BB5DB3">
              <w:rPr>
                <w:rFonts w:ascii="Cambria" w:hAnsi="Cambria"/>
                <w:bCs/>
                <w:sz w:val="20"/>
                <w:szCs w:val="20"/>
                <w:lang w:val="es-ES"/>
              </w:rPr>
              <w:t>Sí, Convención Americana (depósito del instrumento de ratificación realizado el 28 de julio de 1978)</w:t>
            </w:r>
          </w:p>
        </w:tc>
      </w:tr>
    </w:tbl>
    <w:p w14:paraId="299A3868" w14:textId="1AFB8AB0"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F65A42" w:rsidRPr="003239B8">
        <w:rPr>
          <w:rFonts w:asciiTheme="majorHAnsi" w:hAnsiTheme="majorHAnsi"/>
          <w:b/>
          <w:bCs/>
          <w:sz w:val="20"/>
          <w:szCs w:val="20"/>
          <w:lang w:val="es-ES"/>
        </w:rPr>
        <w:t>INTERNACIONAL</w:t>
      </w:r>
      <w:r w:rsidR="00F65A42">
        <w:rPr>
          <w:rFonts w:asciiTheme="majorHAnsi" w:hAnsiTheme="majorHAnsi"/>
          <w:b/>
          <w:bCs/>
          <w:sz w:val="20"/>
          <w:szCs w:val="20"/>
          <w:lang w:val="es-ES"/>
        </w:rPr>
        <w:t xml:space="preserve">, </w:t>
      </w:r>
      <w:r w:rsidR="00F65A42"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12763C"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0ED2A209" w:rsidR="00EE00E9" w:rsidRPr="00DC24E3" w:rsidRDefault="00D36BFA" w:rsidP="008D2290">
            <w:pPr>
              <w:jc w:val="both"/>
              <w:rPr>
                <w:rFonts w:ascii="Cambria" w:hAnsi="Cambria"/>
                <w:bCs/>
                <w:sz w:val="20"/>
                <w:szCs w:val="20"/>
                <w:lang w:val="es-ES"/>
              </w:rPr>
            </w:pPr>
            <w:r>
              <w:rPr>
                <w:rFonts w:ascii="Cambria" w:hAnsi="Cambria"/>
                <w:bCs/>
                <w:sz w:val="20"/>
                <w:szCs w:val="20"/>
                <w:lang w:val="es-ES"/>
              </w:rPr>
              <w:t>No</w:t>
            </w:r>
            <w:r w:rsidR="003E41C0">
              <w:rPr>
                <w:rFonts w:ascii="Cambria" w:hAnsi="Cambria"/>
                <w:bCs/>
                <w:sz w:val="20"/>
                <w:szCs w:val="20"/>
                <w:lang w:val="es-ES"/>
              </w:rPr>
              <w:t>, en los términos de la sección VI</w:t>
            </w:r>
          </w:p>
        </w:tc>
      </w:tr>
      <w:tr w:rsidR="003239B8" w:rsidRPr="0012763C"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4DAE9D4D" w14:textId="13EDA9B0" w:rsidR="003239B8" w:rsidRPr="00920A94" w:rsidRDefault="00920A94" w:rsidP="008D2290">
            <w:pPr>
              <w:jc w:val="both"/>
              <w:rPr>
                <w:rFonts w:ascii="Cambria" w:hAnsi="Cambria"/>
                <w:bCs/>
                <w:sz w:val="20"/>
                <w:szCs w:val="20"/>
                <w:lang w:val="es-ES"/>
              </w:rPr>
            </w:pPr>
            <w:r w:rsidRPr="003E53E8">
              <w:rPr>
                <w:rFonts w:ascii="Cambria" w:hAnsi="Cambria"/>
                <w:bCs/>
                <w:sz w:val="20"/>
                <w:szCs w:val="20"/>
                <w:lang w:val="es-ES"/>
              </w:rPr>
              <w:t xml:space="preserve">Artículos 8 (garantías judiciales), 21 (propiedad </w:t>
            </w:r>
            <w:r w:rsidR="001D36F9">
              <w:rPr>
                <w:rFonts w:ascii="Cambria" w:hAnsi="Cambria"/>
                <w:bCs/>
                <w:sz w:val="20"/>
                <w:szCs w:val="20"/>
                <w:lang w:val="es-ES"/>
              </w:rPr>
              <w:t>privada</w:t>
            </w:r>
            <w:r>
              <w:rPr>
                <w:rFonts w:ascii="Cambria" w:hAnsi="Cambria"/>
                <w:bCs/>
                <w:sz w:val="20"/>
                <w:szCs w:val="20"/>
                <w:lang w:val="es-ES"/>
              </w:rPr>
              <w:t>), 24 (igualdad ante la ley), 25 (protección judicial) y 26 (derechos económicos, sociales y culturales) de la Convención Americana</w:t>
            </w:r>
            <w:r w:rsidR="001648C0">
              <w:rPr>
                <w:rFonts w:ascii="Cambria" w:hAnsi="Cambria"/>
                <w:bCs/>
                <w:sz w:val="20"/>
                <w:szCs w:val="20"/>
                <w:lang w:val="es-ES"/>
              </w:rPr>
              <w:t>, en conexión con sus artículos 1.1 (obligación de respetar</w:t>
            </w:r>
            <w:r w:rsidR="00BC78DA">
              <w:rPr>
                <w:rFonts w:ascii="Cambria" w:hAnsi="Cambria"/>
                <w:bCs/>
                <w:sz w:val="20"/>
                <w:szCs w:val="20"/>
                <w:lang w:val="es-ES"/>
              </w:rPr>
              <w:t xml:space="preserve"> y garantizar</w:t>
            </w:r>
            <w:r w:rsidR="001648C0">
              <w:rPr>
                <w:rFonts w:ascii="Cambria" w:hAnsi="Cambria"/>
                <w:bCs/>
                <w:sz w:val="20"/>
                <w:szCs w:val="20"/>
                <w:lang w:val="es-ES"/>
              </w:rPr>
              <w:t xml:space="preserve"> los derechos) y </w:t>
            </w:r>
            <w:r w:rsidR="001648C0" w:rsidRPr="00712592">
              <w:rPr>
                <w:rFonts w:asciiTheme="majorHAnsi" w:hAnsiTheme="majorHAnsi"/>
                <w:bCs/>
                <w:sz w:val="20"/>
                <w:szCs w:val="20"/>
                <w:lang w:val="es-ES_tradnl"/>
              </w:rPr>
              <w:t>2 (deber de adoptar disposiciones de derecho interno)</w:t>
            </w:r>
          </w:p>
        </w:tc>
      </w:tr>
      <w:tr w:rsidR="003239B8" w:rsidRPr="0012763C"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79B84EDA" w:rsidR="003239B8" w:rsidRPr="00DC24E3" w:rsidRDefault="003E41C0" w:rsidP="008D2290">
            <w:pPr>
              <w:rPr>
                <w:rFonts w:ascii="Cambria" w:hAnsi="Cambria"/>
                <w:bCs/>
                <w:sz w:val="20"/>
                <w:szCs w:val="20"/>
                <w:lang w:val="es-ES"/>
              </w:rPr>
            </w:pPr>
            <w:r>
              <w:rPr>
                <w:rFonts w:ascii="Cambria" w:hAnsi="Cambria"/>
                <w:bCs/>
                <w:sz w:val="20"/>
                <w:szCs w:val="20"/>
                <w:lang w:val="es-ES"/>
              </w:rPr>
              <w:t>Sí, aplica la excepción prevista en el artículo 46.2.c)</w:t>
            </w:r>
          </w:p>
        </w:tc>
      </w:tr>
      <w:tr w:rsidR="003239B8" w:rsidRPr="0012763C"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2AF0FC69" w14:textId="1C0AB515" w:rsidR="003239B8" w:rsidRPr="003E41C0" w:rsidRDefault="003E41C0" w:rsidP="008D2290">
            <w:pPr>
              <w:rPr>
                <w:rFonts w:ascii="Cambria" w:hAnsi="Cambria"/>
                <w:bCs/>
                <w:sz w:val="20"/>
                <w:szCs w:val="20"/>
                <w:lang w:val="es-ES"/>
              </w:rPr>
            </w:pPr>
            <w:r w:rsidRPr="003E41C0">
              <w:rPr>
                <w:rFonts w:ascii="Cambria" w:hAnsi="Cambria"/>
                <w:bCs/>
                <w:sz w:val="20"/>
                <w:szCs w:val="20"/>
                <w:lang w:val="es-ES"/>
              </w:rPr>
              <w:t>Sí, en los términos de la secci</w:t>
            </w:r>
            <w:r>
              <w:rPr>
                <w:rFonts w:ascii="Cambria" w:hAnsi="Cambria"/>
                <w:bCs/>
                <w:sz w:val="20"/>
                <w:szCs w:val="20"/>
                <w:lang w:val="es-ES"/>
              </w:rPr>
              <w:t>ón VI</w:t>
            </w:r>
          </w:p>
        </w:tc>
      </w:tr>
    </w:tbl>
    <w:p w14:paraId="79A7710D" w14:textId="77777777" w:rsidR="001648C0" w:rsidRDefault="001648C0" w:rsidP="001648C0">
      <w:pPr>
        <w:spacing w:before="240" w:after="240"/>
        <w:jc w:val="both"/>
        <w:rPr>
          <w:rFonts w:asciiTheme="majorHAnsi" w:hAnsiTheme="majorHAnsi"/>
          <w:b/>
          <w:sz w:val="20"/>
          <w:szCs w:val="20"/>
          <w:lang w:val="es-ES_tradnl"/>
        </w:rPr>
      </w:pPr>
    </w:p>
    <w:p w14:paraId="56FD5D57" w14:textId="433C4171" w:rsidR="003239B8" w:rsidRPr="003D3532" w:rsidRDefault="00223A29" w:rsidP="003239B8">
      <w:pPr>
        <w:spacing w:before="240" w:after="240"/>
        <w:ind w:firstLine="720"/>
        <w:jc w:val="both"/>
        <w:rPr>
          <w:rFonts w:ascii="Cambria" w:hAnsi="Cambria"/>
          <w:b/>
          <w:sz w:val="20"/>
          <w:szCs w:val="20"/>
          <w:lang w:val="es-ES_tradnl"/>
        </w:rPr>
      </w:pPr>
      <w:r w:rsidRPr="003D3532">
        <w:rPr>
          <w:rFonts w:ascii="Cambria" w:hAnsi="Cambria"/>
          <w:b/>
          <w:sz w:val="20"/>
          <w:szCs w:val="20"/>
          <w:lang w:val="es-ES_tradnl"/>
        </w:rPr>
        <w:lastRenderedPageBreak/>
        <w:t xml:space="preserve">V. </w:t>
      </w:r>
      <w:r w:rsidRPr="003D3532">
        <w:rPr>
          <w:rFonts w:ascii="Cambria" w:hAnsi="Cambria"/>
          <w:b/>
          <w:sz w:val="20"/>
          <w:szCs w:val="20"/>
          <w:lang w:val="es-ES_tradnl"/>
        </w:rPr>
        <w:tab/>
      </w:r>
      <w:r w:rsidR="004241A0" w:rsidRPr="003D3532">
        <w:rPr>
          <w:rFonts w:ascii="Cambria" w:hAnsi="Cambria"/>
          <w:b/>
          <w:sz w:val="20"/>
          <w:szCs w:val="20"/>
          <w:lang w:val="es-ES_tradnl"/>
        </w:rPr>
        <w:t>POSICIÓN DE LAS PARTES</w:t>
      </w:r>
      <w:r w:rsidR="003239B8" w:rsidRPr="003D3532">
        <w:rPr>
          <w:rFonts w:ascii="Cambria" w:hAnsi="Cambria"/>
          <w:b/>
          <w:sz w:val="20"/>
          <w:szCs w:val="20"/>
          <w:lang w:val="es-ES_tradnl"/>
        </w:rPr>
        <w:t xml:space="preserve"> </w:t>
      </w:r>
    </w:p>
    <w:p w14:paraId="71D82D96" w14:textId="77777777" w:rsidR="006E0437" w:rsidRPr="003D3532" w:rsidRDefault="006E0437" w:rsidP="006E0437">
      <w:pPr>
        <w:spacing w:before="240" w:after="240"/>
        <w:ind w:firstLine="720"/>
        <w:jc w:val="both"/>
        <w:rPr>
          <w:rFonts w:ascii="Cambria" w:hAnsi="Cambria"/>
          <w:bCs/>
          <w:i/>
          <w:iCs/>
          <w:sz w:val="20"/>
          <w:szCs w:val="20"/>
          <w:lang w:val="es-ES_tradnl"/>
        </w:rPr>
      </w:pPr>
      <w:bookmarkStart w:id="2" w:name="_Hlk115168610"/>
      <w:r w:rsidRPr="003D3532">
        <w:rPr>
          <w:rFonts w:ascii="Cambria" w:hAnsi="Cambria"/>
          <w:bCs/>
          <w:i/>
          <w:iCs/>
          <w:sz w:val="20"/>
          <w:szCs w:val="20"/>
          <w:lang w:val="es-ES_tradnl"/>
        </w:rPr>
        <w:t>Alegatos de la parte peticionaria</w:t>
      </w:r>
    </w:p>
    <w:p w14:paraId="150EDF2B" w14:textId="148AD70D" w:rsidR="009F4570" w:rsidRPr="003D3532" w:rsidRDefault="009F4570" w:rsidP="0009008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3D3532">
        <w:rPr>
          <w:rFonts w:ascii="Cambria" w:hAnsi="Cambria"/>
          <w:sz w:val="20"/>
          <w:szCs w:val="20"/>
          <w:lang w:val="es-ES_tradnl"/>
        </w:rPr>
        <w:t xml:space="preserve">La parte peticionaria denuncia que el Estado se niega a cumplir una </w:t>
      </w:r>
      <w:r w:rsidR="00642121" w:rsidRPr="003D3532">
        <w:rPr>
          <w:rFonts w:ascii="Cambria" w:hAnsi="Cambria"/>
          <w:sz w:val="20"/>
          <w:szCs w:val="20"/>
          <w:lang w:val="es-ES_tradnl"/>
        </w:rPr>
        <w:t xml:space="preserve">decisión </w:t>
      </w:r>
      <w:r w:rsidRPr="003D3532">
        <w:rPr>
          <w:rFonts w:ascii="Cambria" w:hAnsi="Cambria"/>
          <w:sz w:val="20"/>
          <w:szCs w:val="20"/>
          <w:lang w:val="es-ES_tradnl"/>
        </w:rPr>
        <w:t>judicial que ordena homologar</w:t>
      </w:r>
      <w:r w:rsidR="00BC6F65" w:rsidRPr="003D3532">
        <w:rPr>
          <w:rFonts w:ascii="Cambria" w:hAnsi="Cambria"/>
          <w:sz w:val="20"/>
          <w:szCs w:val="20"/>
          <w:lang w:val="es-ES_tradnl"/>
        </w:rPr>
        <w:t xml:space="preserve"> o nivelar</w:t>
      </w:r>
      <w:r w:rsidRPr="003D3532">
        <w:rPr>
          <w:rFonts w:ascii="Cambria" w:hAnsi="Cambria"/>
          <w:sz w:val="20"/>
          <w:szCs w:val="20"/>
          <w:lang w:val="es-ES_tradnl"/>
        </w:rPr>
        <w:t xml:space="preserve"> los salarios de las presuntas víctimas, en su condición de </w:t>
      </w:r>
      <w:r w:rsidR="000C3B99" w:rsidRPr="003D3532">
        <w:rPr>
          <w:rFonts w:ascii="Cambria" w:hAnsi="Cambria"/>
          <w:sz w:val="20"/>
          <w:szCs w:val="20"/>
          <w:lang w:val="es-ES_tradnl"/>
        </w:rPr>
        <w:t>magistrados y</w:t>
      </w:r>
      <w:r w:rsidR="0009008A" w:rsidRPr="003D3532">
        <w:rPr>
          <w:rFonts w:ascii="Cambria" w:hAnsi="Cambria"/>
          <w:sz w:val="20"/>
          <w:szCs w:val="20"/>
          <w:lang w:val="es-ES_tradnl"/>
        </w:rPr>
        <w:t xml:space="preserve"> magistradas</w:t>
      </w:r>
      <w:r w:rsidRPr="003D3532">
        <w:rPr>
          <w:rFonts w:ascii="Cambria" w:hAnsi="Cambria"/>
          <w:sz w:val="20"/>
          <w:szCs w:val="20"/>
          <w:lang w:val="es-ES_tradnl"/>
        </w:rPr>
        <w:t>, conforme a las proporciones que estuvieron previstas en la Ley Orgánica del Poder Judicial. Detalla que</w:t>
      </w:r>
      <w:r w:rsidR="00642121" w:rsidRPr="003D3532">
        <w:rPr>
          <w:rFonts w:ascii="Cambria" w:hAnsi="Cambria"/>
          <w:sz w:val="20"/>
          <w:szCs w:val="20"/>
          <w:lang w:val="es-ES_tradnl"/>
        </w:rPr>
        <w:t>,</w:t>
      </w:r>
      <w:r w:rsidRPr="003D3532">
        <w:rPr>
          <w:rFonts w:ascii="Cambria" w:hAnsi="Cambria"/>
          <w:sz w:val="20"/>
          <w:szCs w:val="20"/>
          <w:lang w:val="es-ES_tradnl"/>
        </w:rPr>
        <w:t xml:space="preserve"> a pesar de que ya han transcurrido once años desde la citada sentencia, las presuntas víctimas no han recibido los haberes que les corresponderían. </w:t>
      </w:r>
    </w:p>
    <w:p w14:paraId="4649D162" w14:textId="63C2EA41" w:rsidR="006E0437" w:rsidRPr="003D3532" w:rsidRDefault="006E0437" w:rsidP="006E043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i/>
          <w:iCs/>
          <w:sz w:val="20"/>
          <w:szCs w:val="20"/>
          <w:lang w:val="es-ES_tradnl"/>
        </w:rPr>
      </w:pPr>
      <w:r w:rsidRPr="003D3532">
        <w:rPr>
          <w:rFonts w:ascii="Cambria" w:hAnsi="Cambria"/>
          <w:i/>
          <w:iCs/>
          <w:sz w:val="20"/>
          <w:szCs w:val="20"/>
          <w:lang w:val="es-ES_tradnl"/>
        </w:rPr>
        <w:t xml:space="preserve">La ausencia de homologación salarial de </w:t>
      </w:r>
      <w:r w:rsidR="00FD6E67" w:rsidRPr="003D3532">
        <w:rPr>
          <w:rFonts w:ascii="Cambria" w:hAnsi="Cambria"/>
          <w:i/>
          <w:iCs/>
          <w:sz w:val="20"/>
          <w:szCs w:val="20"/>
          <w:lang w:val="es-ES_tradnl"/>
        </w:rPr>
        <w:t>l</w:t>
      </w:r>
      <w:r w:rsidR="000C3B99" w:rsidRPr="003D3532">
        <w:rPr>
          <w:rFonts w:ascii="Cambria" w:hAnsi="Cambria"/>
          <w:i/>
          <w:iCs/>
          <w:sz w:val="20"/>
          <w:szCs w:val="20"/>
          <w:lang w:val="es-ES_tradnl"/>
        </w:rPr>
        <w:t>o</w:t>
      </w:r>
      <w:r w:rsidR="00FD6E67" w:rsidRPr="003D3532">
        <w:rPr>
          <w:rFonts w:ascii="Cambria" w:hAnsi="Cambria"/>
          <w:i/>
          <w:iCs/>
          <w:sz w:val="20"/>
          <w:szCs w:val="20"/>
          <w:lang w:val="es-ES_tradnl"/>
        </w:rPr>
        <w:t xml:space="preserve">s </w:t>
      </w:r>
      <w:r w:rsidR="000C3B99" w:rsidRPr="003D3532">
        <w:rPr>
          <w:rFonts w:ascii="Cambria" w:hAnsi="Cambria"/>
          <w:i/>
          <w:iCs/>
          <w:sz w:val="20"/>
          <w:szCs w:val="20"/>
          <w:lang w:val="es-ES_tradnl"/>
        </w:rPr>
        <w:t>magistrados y</w:t>
      </w:r>
      <w:r w:rsidR="00FD6E67" w:rsidRPr="003D3532">
        <w:rPr>
          <w:rFonts w:ascii="Cambria" w:hAnsi="Cambria"/>
          <w:i/>
          <w:iCs/>
          <w:sz w:val="20"/>
          <w:szCs w:val="20"/>
          <w:lang w:val="es-ES_tradnl"/>
        </w:rPr>
        <w:t xml:space="preserve"> magistradas</w:t>
      </w:r>
    </w:p>
    <w:p w14:paraId="18F26AAE" w14:textId="186D9F19" w:rsidR="006E0437" w:rsidRPr="003D3532" w:rsidRDefault="00696289" w:rsidP="006E043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3D3532">
        <w:rPr>
          <w:rFonts w:ascii="Cambria" w:hAnsi="Cambria"/>
          <w:sz w:val="20"/>
          <w:szCs w:val="20"/>
          <w:lang w:val="es-ES_tradnl"/>
        </w:rPr>
        <w:t>Los peticionarios narran</w:t>
      </w:r>
      <w:r w:rsidR="006E0437" w:rsidRPr="003D3532">
        <w:rPr>
          <w:rFonts w:ascii="Cambria" w:hAnsi="Cambria"/>
          <w:sz w:val="20"/>
          <w:szCs w:val="20"/>
          <w:lang w:val="es-ES_tradnl"/>
        </w:rPr>
        <w:t xml:space="preserve"> que el 3 de junio de 1993 se publicó el Texto Único Ordenado de la nueva Ley Orgánica del Poder Judicial, cuyo artículo 186°, numeral 5, incisos b) y c), estableció que </w:t>
      </w:r>
      <w:r w:rsidR="000C3B99" w:rsidRPr="003D3532">
        <w:rPr>
          <w:rFonts w:ascii="Cambria" w:hAnsi="Cambria"/>
          <w:sz w:val="20"/>
          <w:szCs w:val="20"/>
          <w:lang w:val="es-ES_tradnl"/>
        </w:rPr>
        <w:t>los</w:t>
      </w:r>
      <w:r w:rsidR="001E082D">
        <w:rPr>
          <w:rFonts w:ascii="Cambria" w:hAnsi="Cambria"/>
          <w:sz w:val="20"/>
          <w:szCs w:val="20"/>
          <w:lang w:val="es-ES_tradnl"/>
        </w:rPr>
        <w:t xml:space="preserve"> magistrados y magistradas</w:t>
      </w:r>
      <w:r w:rsidR="006E0437" w:rsidRPr="003D3532">
        <w:rPr>
          <w:rFonts w:ascii="Cambria" w:hAnsi="Cambria"/>
          <w:sz w:val="20"/>
          <w:szCs w:val="20"/>
          <w:lang w:val="es-ES_tradnl"/>
        </w:rPr>
        <w:t xml:space="preserve"> </w:t>
      </w:r>
      <w:r w:rsidR="007A7233" w:rsidRPr="003D3532">
        <w:rPr>
          <w:rFonts w:ascii="Cambria" w:hAnsi="Cambria"/>
          <w:sz w:val="20"/>
          <w:szCs w:val="20"/>
          <w:lang w:val="es-ES_tradnl"/>
        </w:rPr>
        <w:t xml:space="preserve">tenían </w:t>
      </w:r>
      <w:r w:rsidR="006E0437" w:rsidRPr="003D3532">
        <w:rPr>
          <w:rFonts w:ascii="Cambria" w:hAnsi="Cambria"/>
          <w:sz w:val="20"/>
          <w:szCs w:val="20"/>
          <w:lang w:val="es-ES_tradnl"/>
        </w:rPr>
        <w:t>derecho de percibir una remuneración acorde con su función, dignidad y jerarquía</w:t>
      </w:r>
      <w:r w:rsidR="007A7233" w:rsidRPr="003D3532">
        <w:rPr>
          <w:rFonts w:ascii="Cambria" w:hAnsi="Cambria"/>
          <w:sz w:val="20"/>
          <w:szCs w:val="20"/>
          <w:lang w:val="es-ES_tradnl"/>
        </w:rPr>
        <w:t>. La ley</w:t>
      </w:r>
      <w:r w:rsidR="00BE030C" w:rsidRPr="003D3532">
        <w:rPr>
          <w:rFonts w:ascii="Cambria" w:hAnsi="Cambria"/>
          <w:sz w:val="20"/>
          <w:szCs w:val="20"/>
          <w:lang w:val="es-ES_tradnl"/>
        </w:rPr>
        <w:t xml:space="preserve"> precisa</w:t>
      </w:r>
      <w:r w:rsidR="007A7233" w:rsidRPr="003D3532">
        <w:rPr>
          <w:rFonts w:ascii="Cambria" w:hAnsi="Cambria"/>
          <w:sz w:val="20"/>
          <w:szCs w:val="20"/>
          <w:lang w:val="es-ES_tradnl"/>
        </w:rPr>
        <w:t>ba</w:t>
      </w:r>
      <w:r w:rsidR="00BE030C" w:rsidRPr="003D3532">
        <w:rPr>
          <w:rFonts w:ascii="Cambria" w:hAnsi="Cambria"/>
          <w:sz w:val="20"/>
          <w:szCs w:val="20"/>
          <w:lang w:val="es-ES_tradnl"/>
        </w:rPr>
        <w:t xml:space="preserve"> que la remuneración</w:t>
      </w:r>
      <w:r w:rsidR="006E0437" w:rsidRPr="003D3532">
        <w:rPr>
          <w:rFonts w:ascii="Cambria" w:hAnsi="Cambria"/>
          <w:sz w:val="20"/>
          <w:szCs w:val="20"/>
          <w:lang w:val="es-ES_tradnl"/>
        </w:rPr>
        <w:t xml:space="preserve"> no podría ser disminuida de manera alguna. Informa que, para ello, </w:t>
      </w:r>
      <w:r w:rsidR="008377F2" w:rsidRPr="003D3532">
        <w:rPr>
          <w:rFonts w:ascii="Cambria" w:hAnsi="Cambria"/>
          <w:sz w:val="20"/>
          <w:szCs w:val="20"/>
          <w:lang w:val="es-ES_tradnl"/>
        </w:rPr>
        <w:t xml:space="preserve">esa </w:t>
      </w:r>
      <w:r w:rsidR="006E0437" w:rsidRPr="003D3532">
        <w:rPr>
          <w:rFonts w:ascii="Cambria" w:hAnsi="Cambria"/>
          <w:sz w:val="20"/>
          <w:szCs w:val="20"/>
          <w:lang w:val="es-ES_tradnl"/>
        </w:rPr>
        <w:t xml:space="preserve">norma dispuso, entre otros puntos, que </w:t>
      </w:r>
      <w:r w:rsidR="001E082D">
        <w:rPr>
          <w:rFonts w:ascii="Cambria" w:hAnsi="Cambria"/>
          <w:sz w:val="20"/>
          <w:szCs w:val="20"/>
          <w:lang w:val="es-ES_tradnl"/>
        </w:rPr>
        <w:t>los magistrados</w:t>
      </w:r>
      <w:r w:rsidR="006E0437" w:rsidRPr="003D3532">
        <w:rPr>
          <w:rFonts w:ascii="Cambria" w:hAnsi="Cambria"/>
          <w:sz w:val="20"/>
          <w:szCs w:val="20"/>
          <w:lang w:val="es-ES_tradnl"/>
        </w:rPr>
        <w:t xml:space="preserve"> que </w:t>
      </w:r>
      <w:r w:rsidR="00987947" w:rsidRPr="003D3532">
        <w:rPr>
          <w:rFonts w:ascii="Cambria" w:hAnsi="Cambria"/>
          <w:sz w:val="20"/>
          <w:szCs w:val="20"/>
          <w:lang w:val="es-ES_tradnl"/>
        </w:rPr>
        <w:t xml:space="preserve">ocuparan </w:t>
      </w:r>
      <w:r w:rsidR="006E0437" w:rsidRPr="003D3532">
        <w:rPr>
          <w:rFonts w:ascii="Cambria" w:hAnsi="Cambria"/>
          <w:sz w:val="20"/>
          <w:szCs w:val="20"/>
          <w:lang w:val="es-ES_tradnl"/>
        </w:rPr>
        <w:t xml:space="preserve">los cargos de Vocal Superior, Juez/a Especializado/a y Juez/a de Paz Letrado/a </w:t>
      </w:r>
      <w:r w:rsidR="00987947" w:rsidRPr="003D3532">
        <w:rPr>
          <w:rFonts w:ascii="Cambria" w:hAnsi="Cambria"/>
          <w:sz w:val="20"/>
          <w:szCs w:val="20"/>
          <w:lang w:val="es-ES_tradnl"/>
        </w:rPr>
        <w:t xml:space="preserve">recibirían </w:t>
      </w:r>
      <w:r w:rsidR="006E0437" w:rsidRPr="003D3532">
        <w:rPr>
          <w:rFonts w:ascii="Cambria" w:hAnsi="Cambria"/>
          <w:sz w:val="20"/>
          <w:szCs w:val="20"/>
          <w:lang w:val="es-ES_tradnl"/>
        </w:rPr>
        <w:t xml:space="preserve">el 90%, 80% y 70%, respectivamente, de lo que recibe alguien en el cargo de Vocal Supremo. </w:t>
      </w:r>
    </w:p>
    <w:p w14:paraId="26F35307" w14:textId="0587F6A8" w:rsidR="006E0437" w:rsidRPr="003D3532" w:rsidRDefault="006E0437" w:rsidP="006E043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3D3532">
        <w:rPr>
          <w:rFonts w:ascii="Cambria" w:hAnsi="Cambria"/>
          <w:sz w:val="20"/>
          <w:szCs w:val="20"/>
          <w:lang w:val="es-ES_tradnl"/>
        </w:rPr>
        <w:t>Afirma que a pesar de que el numeral 23) del artículo 82 de la citada ley encargó al Consejo Ejecutivo del Poder Judicial asegurar que la disposición antes descrita se ejecutara cabalmente, durante casi veinte años las autoridades ignoraron completamente la referida escala de porcentajes</w:t>
      </w:r>
      <w:r w:rsidR="00E23BE2" w:rsidRPr="003D3532">
        <w:rPr>
          <w:rFonts w:ascii="Cambria" w:hAnsi="Cambria"/>
          <w:sz w:val="20"/>
          <w:szCs w:val="20"/>
          <w:lang w:val="es-ES_tradnl"/>
        </w:rPr>
        <w:t xml:space="preserve"> de remuneración</w:t>
      </w:r>
      <w:r w:rsidRPr="003D3532">
        <w:rPr>
          <w:rFonts w:ascii="Cambria" w:hAnsi="Cambria"/>
          <w:sz w:val="20"/>
          <w:szCs w:val="20"/>
          <w:lang w:val="es-ES_tradnl"/>
        </w:rPr>
        <w:t xml:space="preserve">, a pesar de los constantes reclamos de </w:t>
      </w:r>
      <w:r w:rsidR="001E082D">
        <w:rPr>
          <w:rFonts w:ascii="Cambria" w:hAnsi="Cambria"/>
          <w:sz w:val="20"/>
          <w:szCs w:val="20"/>
          <w:lang w:val="es-ES_tradnl"/>
        </w:rPr>
        <w:t>los magistrados</w:t>
      </w:r>
      <w:r w:rsidRPr="003D3532">
        <w:rPr>
          <w:rFonts w:ascii="Cambria" w:hAnsi="Cambria"/>
          <w:sz w:val="20"/>
          <w:szCs w:val="20"/>
          <w:lang w:val="es-ES_tradnl"/>
        </w:rPr>
        <w:t xml:space="preserve">. </w:t>
      </w:r>
    </w:p>
    <w:p w14:paraId="5FC507C3" w14:textId="77777777" w:rsidR="006E0437" w:rsidRPr="003D3532" w:rsidRDefault="006E0437" w:rsidP="006E043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i/>
          <w:iCs/>
          <w:sz w:val="20"/>
          <w:szCs w:val="20"/>
          <w:lang w:val="es-ES_tradnl"/>
        </w:rPr>
      </w:pPr>
      <w:r w:rsidRPr="003D3532">
        <w:rPr>
          <w:rFonts w:ascii="Cambria" w:hAnsi="Cambria"/>
          <w:i/>
          <w:iCs/>
          <w:sz w:val="20"/>
          <w:szCs w:val="20"/>
          <w:lang w:val="es-ES_tradnl"/>
        </w:rPr>
        <w:t>Acción de cumplimiento reclamando la referida homologación salarial</w:t>
      </w:r>
    </w:p>
    <w:p w14:paraId="24C7A3FA" w14:textId="57FFA43A" w:rsidR="006E0437" w:rsidRPr="003D3532" w:rsidRDefault="00E23BE2" w:rsidP="006E043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3D3532">
        <w:rPr>
          <w:rFonts w:ascii="Cambria" w:hAnsi="Cambria"/>
          <w:sz w:val="20"/>
          <w:szCs w:val="20"/>
          <w:lang w:val="es-ES_tradnl"/>
        </w:rPr>
        <w:t>Por lo anterior</w:t>
      </w:r>
      <w:r w:rsidR="006E0437" w:rsidRPr="003D3532">
        <w:rPr>
          <w:rFonts w:ascii="Cambria" w:hAnsi="Cambria"/>
          <w:sz w:val="20"/>
          <w:szCs w:val="20"/>
          <w:lang w:val="es-ES_tradnl"/>
        </w:rPr>
        <w:t>,</w:t>
      </w:r>
      <w:r w:rsidRPr="003D3532">
        <w:rPr>
          <w:rFonts w:ascii="Cambria" w:hAnsi="Cambria"/>
          <w:sz w:val="20"/>
          <w:szCs w:val="20"/>
          <w:lang w:val="es-ES_tradnl"/>
        </w:rPr>
        <w:t xml:space="preserve"> la parte peticionaria</w:t>
      </w:r>
      <w:r w:rsidR="006E0437" w:rsidRPr="003D3532">
        <w:rPr>
          <w:rFonts w:ascii="Cambria" w:hAnsi="Cambria"/>
          <w:sz w:val="20"/>
          <w:szCs w:val="20"/>
          <w:lang w:val="es-ES_tradnl"/>
        </w:rPr>
        <w:t xml:space="preserve"> indica que el 23 de febrero de 2009 la </w:t>
      </w:r>
      <w:r w:rsidR="009F4570" w:rsidRPr="003D3532">
        <w:rPr>
          <w:rFonts w:ascii="Cambria" w:hAnsi="Cambria"/>
          <w:sz w:val="20"/>
          <w:szCs w:val="20"/>
          <w:lang w:val="es-ES_tradnl"/>
        </w:rPr>
        <w:t xml:space="preserve">Asociación Nacional de Magistrados del Perú (en adelante, </w:t>
      </w:r>
      <w:r w:rsidR="006E0437" w:rsidRPr="003D3532">
        <w:rPr>
          <w:rFonts w:ascii="Cambria" w:hAnsi="Cambria"/>
          <w:sz w:val="20"/>
          <w:szCs w:val="20"/>
          <w:lang w:val="es-ES_tradnl"/>
        </w:rPr>
        <w:t>ANMP</w:t>
      </w:r>
      <w:r w:rsidR="009F4570" w:rsidRPr="003D3532">
        <w:rPr>
          <w:rStyle w:val="FootnoteReference"/>
          <w:rFonts w:ascii="Cambria" w:hAnsi="Cambria"/>
          <w:sz w:val="20"/>
          <w:szCs w:val="20"/>
          <w:lang w:val="es-ES_tradnl"/>
        </w:rPr>
        <w:footnoteReference w:id="5"/>
      </w:r>
      <w:r w:rsidR="009F4570" w:rsidRPr="003D3532">
        <w:rPr>
          <w:rFonts w:ascii="Cambria" w:hAnsi="Cambria"/>
          <w:sz w:val="20"/>
          <w:szCs w:val="20"/>
          <w:lang w:val="es-ES_tradnl"/>
        </w:rPr>
        <w:t>)</w:t>
      </w:r>
      <w:r w:rsidR="006E0437" w:rsidRPr="003D3532">
        <w:rPr>
          <w:rFonts w:ascii="Cambria" w:hAnsi="Cambria"/>
          <w:sz w:val="20"/>
          <w:szCs w:val="20"/>
          <w:lang w:val="es-ES_tradnl"/>
        </w:rPr>
        <w:t xml:space="preserve"> inició un proceso constitucional de cumplimiento contra el Consejo Ejecutivo del Poder Judicial, a fin de que este </w:t>
      </w:r>
      <w:r w:rsidR="00364453" w:rsidRPr="003D3532">
        <w:rPr>
          <w:rFonts w:ascii="Cambria" w:hAnsi="Cambria"/>
          <w:sz w:val="20"/>
          <w:szCs w:val="20"/>
          <w:lang w:val="es-ES_tradnl"/>
        </w:rPr>
        <w:t>homologara</w:t>
      </w:r>
      <w:r w:rsidR="006E0437" w:rsidRPr="003D3532">
        <w:rPr>
          <w:rFonts w:ascii="Cambria" w:hAnsi="Cambria"/>
          <w:sz w:val="20"/>
          <w:szCs w:val="20"/>
          <w:lang w:val="es-ES_tradnl"/>
        </w:rPr>
        <w:t xml:space="preserve"> las remuneraciones de </w:t>
      </w:r>
      <w:r w:rsidR="001E082D">
        <w:rPr>
          <w:rFonts w:ascii="Cambria" w:hAnsi="Cambria"/>
          <w:sz w:val="20"/>
          <w:szCs w:val="20"/>
          <w:lang w:val="es-ES_tradnl"/>
        </w:rPr>
        <w:t>los magistrados</w:t>
      </w:r>
      <w:r w:rsidR="006E0437" w:rsidRPr="003D3532">
        <w:rPr>
          <w:rFonts w:ascii="Cambria" w:hAnsi="Cambria"/>
          <w:sz w:val="20"/>
          <w:szCs w:val="20"/>
          <w:lang w:val="es-ES_tradnl"/>
        </w:rPr>
        <w:t>, conforme a la escala porcentual descrita en el artículo 186° del Texto Único Ordenado de la nueva Ley Orgánica del Poder Judicial. Así, informa que</w:t>
      </w:r>
      <w:r w:rsidR="004C45C4" w:rsidRPr="003D3532">
        <w:rPr>
          <w:rFonts w:ascii="Cambria" w:hAnsi="Cambria"/>
          <w:sz w:val="20"/>
          <w:szCs w:val="20"/>
          <w:lang w:val="es-ES_tradnl"/>
        </w:rPr>
        <w:t>,</w:t>
      </w:r>
      <w:r w:rsidR="006E0437" w:rsidRPr="003D3532">
        <w:rPr>
          <w:rFonts w:ascii="Cambria" w:hAnsi="Cambria"/>
          <w:sz w:val="20"/>
          <w:szCs w:val="20"/>
          <w:lang w:val="es-ES_tradnl"/>
        </w:rPr>
        <w:t xml:space="preserve"> el 18 de noviembre de 2010</w:t>
      </w:r>
      <w:r w:rsidR="004C45C4" w:rsidRPr="003D3532">
        <w:rPr>
          <w:rFonts w:ascii="Cambria" w:hAnsi="Cambria"/>
          <w:sz w:val="20"/>
          <w:szCs w:val="20"/>
          <w:lang w:val="es-ES_tradnl"/>
        </w:rPr>
        <w:t>,</w:t>
      </w:r>
      <w:r w:rsidR="006E0437" w:rsidRPr="003D3532">
        <w:rPr>
          <w:rFonts w:ascii="Cambria" w:hAnsi="Cambria"/>
          <w:sz w:val="20"/>
          <w:szCs w:val="20"/>
          <w:lang w:val="es-ES_tradnl"/>
        </w:rPr>
        <w:t xml:space="preserve"> el Quinto Juzgado Especializado en lo Constitucional de Lima declaró fundada la demanda y, en consecuencia, ordenó al Consejo Ejecutivo del Poder Judicial que, en el plazo de diez días, </w:t>
      </w:r>
      <w:r w:rsidR="004C45C4" w:rsidRPr="003D3532">
        <w:rPr>
          <w:rFonts w:ascii="Cambria" w:hAnsi="Cambria"/>
          <w:sz w:val="20"/>
          <w:szCs w:val="20"/>
          <w:lang w:val="es-ES_tradnl"/>
        </w:rPr>
        <w:t xml:space="preserve">cumpliera </w:t>
      </w:r>
      <w:r w:rsidR="006E0437" w:rsidRPr="003D3532">
        <w:rPr>
          <w:rFonts w:ascii="Cambria" w:hAnsi="Cambria"/>
          <w:sz w:val="20"/>
          <w:szCs w:val="20"/>
          <w:lang w:val="es-ES_tradnl"/>
        </w:rPr>
        <w:t xml:space="preserve">con: </w:t>
      </w:r>
    </w:p>
    <w:p w14:paraId="19EA6306" w14:textId="4B8E799A" w:rsidR="006E0437" w:rsidRPr="003D3532" w:rsidRDefault="00E948F2" w:rsidP="0069628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right="720"/>
        <w:jc w:val="both"/>
        <w:rPr>
          <w:rFonts w:ascii="Cambria" w:hAnsi="Cambria"/>
          <w:sz w:val="20"/>
          <w:szCs w:val="20"/>
          <w:lang w:val="es-ES_tradnl"/>
        </w:rPr>
      </w:pPr>
      <w:r w:rsidRPr="003D3532">
        <w:rPr>
          <w:rFonts w:ascii="Cambria" w:hAnsi="Cambria"/>
          <w:sz w:val="20"/>
          <w:szCs w:val="20"/>
          <w:lang w:val="es-ES_tradnl"/>
        </w:rPr>
        <w:t>“</w:t>
      </w:r>
      <w:r w:rsidR="006E0437" w:rsidRPr="003D3532">
        <w:rPr>
          <w:rFonts w:ascii="Cambria" w:hAnsi="Cambria"/>
          <w:sz w:val="20"/>
          <w:szCs w:val="20"/>
          <w:lang w:val="es-ES_tradnl"/>
        </w:rPr>
        <w:t>i) eliminar las discriminaciones existentes en los distintos conceptos recibidos por los magistrados antes referidos que impliquen la perdida de la naturaleza remunerativa de lo percibido; debiendo entregarse lo ordenado como una unidad remunerativa, según lo expuesto en los considerandos precedentes,</w:t>
      </w:r>
    </w:p>
    <w:p w14:paraId="4FE58F4E" w14:textId="19D12B82" w:rsidR="006E0437" w:rsidRPr="003D3532" w:rsidRDefault="006E0437" w:rsidP="0069628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right="720"/>
        <w:jc w:val="both"/>
        <w:rPr>
          <w:rFonts w:ascii="Cambria" w:hAnsi="Cambria"/>
          <w:sz w:val="20"/>
          <w:szCs w:val="20"/>
          <w:lang w:val="es-ES_tradnl"/>
        </w:rPr>
      </w:pPr>
      <w:r w:rsidRPr="003D3532">
        <w:rPr>
          <w:rFonts w:ascii="Cambria" w:hAnsi="Cambria"/>
          <w:sz w:val="20"/>
          <w:szCs w:val="20"/>
          <w:lang w:val="es-ES_tradnl"/>
        </w:rPr>
        <w:t xml:space="preserve">ii) entregar a los magistrados de los distintos grados del Poder Judicial una remuneración que respete la siguiente proporción: a) el Vocal Superior por el 90% de haber de un Vocal Supremo; b) el Juez Especializado o Mixto por el 80% del haber total de un Vocal Supremo; y c) el Juez </w:t>
      </w:r>
      <w:r w:rsidR="002A258D" w:rsidRPr="003D3532">
        <w:rPr>
          <w:rFonts w:ascii="Cambria" w:hAnsi="Cambria"/>
          <w:sz w:val="20"/>
          <w:szCs w:val="20"/>
          <w:lang w:val="es-ES_tradnl"/>
        </w:rPr>
        <w:t>Letrado</w:t>
      </w:r>
      <w:r w:rsidRPr="003D3532">
        <w:rPr>
          <w:rFonts w:ascii="Cambria" w:hAnsi="Cambria"/>
          <w:sz w:val="20"/>
          <w:szCs w:val="20"/>
          <w:lang w:val="es-ES_tradnl"/>
        </w:rPr>
        <w:t xml:space="preserve"> por el 70% del haber total de un Vocal Supremo </w:t>
      </w:r>
      <w:r w:rsidR="00696289" w:rsidRPr="003D3532">
        <w:rPr>
          <w:rFonts w:ascii="Cambria" w:hAnsi="Cambria"/>
          <w:sz w:val="20"/>
          <w:szCs w:val="20"/>
          <w:lang w:val="es-ES_tradnl"/>
        </w:rPr>
        <w:t>[</w:t>
      </w:r>
      <w:r w:rsidRPr="003D3532">
        <w:rPr>
          <w:rFonts w:ascii="Cambria" w:hAnsi="Cambria"/>
          <w:sz w:val="20"/>
          <w:szCs w:val="20"/>
          <w:lang w:val="es-ES_tradnl"/>
        </w:rPr>
        <w:t>…</w:t>
      </w:r>
      <w:r w:rsidR="00696289" w:rsidRPr="003D3532">
        <w:rPr>
          <w:rFonts w:ascii="Cambria" w:hAnsi="Cambria"/>
          <w:sz w:val="20"/>
          <w:szCs w:val="20"/>
          <w:lang w:val="es-ES_tradnl"/>
        </w:rPr>
        <w:t>]</w:t>
      </w:r>
      <w:r w:rsidR="00E948F2" w:rsidRPr="003D3532">
        <w:rPr>
          <w:rFonts w:ascii="Cambria" w:hAnsi="Cambria"/>
          <w:sz w:val="20"/>
          <w:szCs w:val="20"/>
          <w:lang w:val="es-ES_tradnl"/>
        </w:rPr>
        <w:t>”</w:t>
      </w:r>
    </w:p>
    <w:p w14:paraId="34B79108" w14:textId="2E6F12B3" w:rsidR="006E0437" w:rsidRPr="003D3532" w:rsidRDefault="006E0437" w:rsidP="006E043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3D3532">
        <w:rPr>
          <w:rFonts w:ascii="Cambria" w:hAnsi="Cambria"/>
          <w:sz w:val="20"/>
          <w:szCs w:val="20"/>
          <w:lang w:val="es-ES_tradnl"/>
        </w:rPr>
        <w:t xml:space="preserve">Refiere que el 10 de agosto de 2011 la Tercera Sala Civil de la Corte Superior de Justicia </w:t>
      </w:r>
      <w:r w:rsidR="00B204A3" w:rsidRPr="003D3532">
        <w:rPr>
          <w:rFonts w:ascii="Cambria" w:hAnsi="Cambria"/>
          <w:sz w:val="20"/>
          <w:szCs w:val="20"/>
          <w:lang w:val="es-ES_tradnl"/>
        </w:rPr>
        <w:t>confirmó integralmente esta decisión</w:t>
      </w:r>
      <w:r w:rsidRPr="003D3532">
        <w:rPr>
          <w:rFonts w:ascii="Cambria" w:hAnsi="Cambria"/>
          <w:sz w:val="20"/>
          <w:szCs w:val="20"/>
          <w:lang w:val="es-ES_tradnl"/>
        </w:rPr>
        <w:t xml:space="preserve">. De este modo, sostiene que la sentencia adquirió calidad de cosa juzgada y se procedió con la etapa de ejecución del fallo. </w:t>
      </w:r>
    </w:p>
    <w:p w14:paraId="12C8BDC6" w14:textId="77777777" w:rsidR="00CB36FC" w:rsidRDefault="00CB36FC" w:rsidP="00C74B8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i/>
          <w:iCs/>
          <w:sz w:val="20"/>
          <w:szCs w:val="20"/>
          <w:lang w:val="es-ES_tradnl"/>
        </w:rPr>
      </w:pPr>
    </w:p>
    <w:p w14:paraId="64B71C91" w14:textId="0525B621" w:rsidR="00C74B84" w:rsidRPr="003D3532" w:rsidRDefault="00C74B84" w:rsidP="00C74B8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i/>
          <w:iCs/>
          <w:sz w:val="20"/>
          <w:szCs w:val="20"/>
          <w:lang w:val="es-ES_tradnl"/>
        </w:rPr>
      </w:pPr>
      <w:r w:rsidRPr="003D3532">
        <w:rPr>
          <w:rFonts w:ascii="Cambria" w:hAnsi="Cambria"/>
          <w:i/>
          <w:iCs/>
          <w:sz w:val="20"/>
          <w:szCs w:val="20"/>
          <w:lang w:val="es-ES_tradnl"/>
        </w:rPr>
        <w:lastRenderedPageBreak/>
        <w:t>Segunda acción de cumplimiento presentada por terceros y decisión del Tribunal Constitucional</w:t>
      </w:r>
    </w:p>
    <w:p w14:paraId="5B223309" w14:textId="223B231D" w:rsidR="00C74B84" w:rsidRPr="003D3532" w:rsidRDefault="00C74B84" w:rsidP="006E043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3D3532">
        <w:rPr>
          <w:rFonts w:ascii="Cambria" w:hAnsi="Cambria"/>
          <w:sz w:val="20"/>
          <w:szCs w:val="20"/>
          <w:lang w:val="es-ES_tradnl"/>
        </w:rPr>
        <w:t xml:space="preserve">Agrega que </w:t>
      </w:r>
      <w:r w:rsidR="00F4431D" w:rsidRPr="003D3532">
        <w:rPr>
          <w:rFonts w:ascii="Cambria" w:hAnsi="Cambria"/>
          <w:sz w:val="20"/>
          <w:szCs w:val="20"/>
          <w:lang w:val="es-ES_tradnl"/>
        </w:rPr>
        <w:t xml:space="preserve">el 6 de marzo de 2010 </w:t>
      </w:r>
      <w:r w:rsidR="001E082D">
        <w:rPr>
          <w:rFonts w:ascii="Cambria" w:hAnsi="Cambria"/>
          <w:sz w:val="20"/>
          <w:szCs w:val="20"/>
          <w:lang w:val="es-ES_tradnl"/>
        </w:rPr>
        <w:t>otros magistrados</w:t>
      </w:r>
      <w:r w:rsidR="00231E89" w:rsidRPr="003D3532">
        <w:rPr>
          <w:rFonts w:ascii="Cambria" w:hAnsi="Cambria"/>
          <w:sz w:val="20"/>
          <w:szCs w:val="20"/>
          <w:lang w:val="es-ES_tradnl"/>
        </w:rPr>
        <w:t xml:space="preserve"> </w:t>
      </w:r>
      <w:r w:rsidR="00F4431D" w:rsidRPr="003D3532">
        <w:rPr>
          <w:rFonts w:ascii="Cambria" w:hAnsi="Cambria"/>
          <w:sz w:val="20"/>
          <w:szCs w:val="20"/>
          <w:lang w:val="es-ES_tradnl"/>
        </w:rPr>
        <w:t xml:space="preserve">de la Corte Superior de Justicia de Lambayeque interpusieron un nuevo proceso de cumplimiento, solicitando que se </w:t>
      </w:r>
      <w:r w:rsidR="00BA7022" w:rsidRPr="003D3532">
        <w:rPr>
          <w:rFonts w:ascii="Cambria" w:hAnsi="Cambria"/>
          <w:sz w:val="20"/>
          <w:szCs w:val="20"/>
          <w:lang w:val="es-ES_tradnl"/>
        </w:rPr>
        <w:t xml:space="preserve">ordenara </w:t>
      </w:r>
      <w:r w:rsidR="00F4431D" w:rsidRPr="003D3532">
        <w:rPr>
          <w:rFonts w:ascii="Cambria" w:hAnsi="Cambria"/>
          <w:sz w:val="20"/>
          <w:szCs w:val="20"/>
          <w:lang w:val="es-ES_tradnl"/>
        </w:rPr>
        <w:t xml:space="preserve">al Consejo Ejecutivo del Poder Judicial, entre </w:t>
      </w:r>
      <w:r w:rsidR="005A46D4" w:rsidRPr="003D3532">
        <w:rPr>
          <w:rFonts w:ascii="Cambria" w:hAnsi="Cambria"/>
          <w:sz w:val="20"/>
          <w:szCs w:val="20"/>
          <w:lang w:val="es-ES_tradnl"/>
        </w:rPr>
        <w:t xml:space="preserve">otros </w:t>
      </w:r>
      <w:r w:rsidR="00F4431D" w:rsidRPr="003D3532">
        <w:rPr>
          <w:rFonts w:ascii="Cambria" w:hAnsi="Cambria"/>
          <w:sz w:val="20"/>
          <w:szCs w:val="20"/>
          <w:lang w:val="es-ES_tradnl"/>
        </w:rPr>
        <w:t xml:space="preserve">puntos, </w:t>
      </w:r>
      <w:r w:rsidR="005A46D4" w:rsidRPr="003D3532">
        <w:rPr>
          <w:rFonts w:ascii="Cambria" w:hAnsi="Cambria"/>
          <w:sz w:val="20"/>
          <w:szCs w:val="20"/>
          <w:lang w:val="es-ES_tradnl"/>
        </w:rPr>
        <w:t xml:space="preserve">cumplir </w:t>
      </w:r>
      <w:r w:rsidR="00F4431D" w:rsidRPr="003D3532">
        <w:rPr>
          <w:rFonts w:ascii="Cambria" w:hAnsi="Cambria"/>
          <w:sz w:val="20"/>
          <w:szCs w:val="20"/>
          <w:lang w:val="es-ES_tradnl"/>
        </w:rPr>
        <w:t xml:space="preserve">lo dispuesto por el artículo 186, inciso 5), literal b) de la Ley Orgánica del Poder Judicial y, en consecuencia, nivelar de manera porcentual y automática las remuneraciones y el bono por </w:t>
      </w:r>
      <w:r w:rsidR="000D056F" w:rsidRPr="003D3532">
        <w:rPr>
          <w:rFonts w:ascii="Cambria" w:hAnsi="Cambria"/>
          <w:sz w:val="20"/>
          <w:szCs w:val="20"/>
          <w:lang w:val="es-ES_tradnl"/>
        </w:rPr>
        <w:t xml:space="preserve">funciones </w:t>
      </w:r>
      <w:r w:rsidR="00F4431D" w:rsidRPr="003D3532">
        <w:rPr>
          <w:rFonts w:ascii="Cambria" w:hAnsi="Cambria"/>
          <w:sz w:val="20"/>
          <w:szCs w:val="20"/>
          <w:lang w:val="es-ES_tradnl"/>
        </w:rPr>
        <w:t>jurisdiccionales de los demandantes. Así,</w:t>
      </w:r>
      <w:r w:rsidR="000D056F" w:rsidRPr="003D3532">
        <w:rPr>
          <w:rFonts w:ascii="Cambria" w:hAnsi="Cambria"/>
          <w:sz w:val="20"/>
          <w:szCs w:val="20"/>
          <w:lang w:val="es-ES_tradnl"/>
        </w:rPr>
        <w:t xml:space="preserve"> la parte peticionaria</w:t>
      </w:r>
      <w:r w:rsidR="00F4431D" w:rsidRPr="003D3532">
        <w:rPr>
          <w:rFonts w:ascii="Cambria" w:hAnsi="Cambria"/>
          <w:sz w:val="20"/>
          <w:szCs w:val="20"/>
          <w:lang w:val="es-ES_tradnl"/>
        </w:rPr>
        <w:t xml:space="preserve"> explica que, tras dos decisiones previas, el 11 de septiembre de 2012 el Tribunal Constitucional, mediante sentencia recaída en el expediente N.º 03919-2010-PC/TC</w:t>
      </w:r>
      <w:r w:rsidR="000D056F" w:rsidRPr="003D3532">
        <w:rPr>
          <w:rFonts w:ascii="Cambria" w:hAnsi="Cambria"/>
          <w:sz w:val="20"/>
          <w:szCs w:val="20"/>
          <w:lang w:val="es-ES_tradnl"/>
        </w:rPr>
        <w:t>,</w:t>
      </w:r>
      <w:r w:rsidR="00F4431D" w:rsidRPr="003D3532">
        <w:rPr>
          <w:rFonts w:ascii="Cambria" w:hAnsi="Cambria"/>
          <w:sz w:val="20"/>
          <w:szCs w:val="20"/>
          <w:lang w:val="es-ES_tradnl"/>
        </w:rPr>
        <w:t xml:space="preserve"> declaró fundada la demanda y, en consecuencia, ordenó al Consejo Ejecutivo del Poder Judicial que </w:t>
      </w:r>
      <w:r w:rsidR="000D056F" w:rsidRPr="003D3532">
        <w:rPr>
          <w:rFonts w:ascii="Cambria" w:hAnsi="Cambria"/>
          <w:sz w:val="20"/>
          <w:szCs w:val="20"/>
          <w:lang w:val="es-ES_tradnl"/>
        </w:rPr>
        <w:t xml:space="preserve">procediera </w:t>
      </w:r>
      <w:r w:rsidR="00F4431D" w:rsidRPr="003D3532">
        <w:rPr>
          <w:rFonts w:ascii="Cambria" w:hAnsi="Cambria"/>
          <w:sz w:val="20"/>
          <w:szCs w:val="20"/>
          <w:lang w:val="es-ES_tradnl"/>
        </w:rPr>
        <w:t xml:space="preserve">a efectuar la nivelación de </w:t>
      </w:r>
      <w:r w:rsidR="001E082D">
        <w:rPr>
          <w:rFonts w:ascii="Cambria" w:hAnsi="Cambria"/>
          <w:sz w:val="20"/>
          <w:szCs w:val="20"/>
          <w:lang w:val="es-ES_tradnl"/>
        </w:rPr>
        <w:t>los magistrados</w:t>
      </w:r>
      <w:r w:rsidR="001E082D" w:rsidRPr="003D3532">
        <w:rPr>
          <w:rFonts w:ascii="Cambria" w:hAnsi="Cambria"/>
          <w:sz w:val="20"/>
          <w:szCs w:val="20"/>
          <w:lang w:val="es-ES_tradnl"/>
        </w:rPr>
        <w:t xml:space="preserve"> </w:t>
      </w:r>
      <w:r w:rsidR="00F4431D" w:rsidRPr="003D3532">
        <w:rPr>
          <w:rFonts w:ascii="Cambria" w:hAnsi="Cambria"/>
          <w:sz w:val="20"/>
          <w:szCs w:val="20"/>
          <w:lang w:val="es-ES_tradnl"/>
        </w:rPr>
        <w:t>demandantes.</w:t>
      </w:r>
      <w:r w:rsidR="00C976C8" w:rsidRPr="003D3532">
        <w:rPr>
          <w:rFonts w:ascii="Cambria" w:hAnsi="Cambria"/>
          <w:sz w:val="20"/>
          <w:szCs w:val="20"/>
          <w:lang w:val="es-ES_tradnl"/>
        </w:rPr>
        <w:t xml:space="preserve"> La parte peticionaria resalta que, de es</w:t>
      </w:r>
      <w:r w:rsidR="009F4570" w:rsidRPr="003D3532">
        <w:rPr>
          <w:rFonts w:ascii="Cambria" w:hAnsi="Cambria"/>
          <w:sz w:val="20"/>
          <w:szCs w:val="20"/>
          <w:lang w:val="es-ES_tradnl"/>
        </w:rPr>
        <w:t>t</w:t>
      </w:r>
      <w:r w:rsidR="00C976C8" w:rsidRPr="003D3532">
        <w:rPr>
          <w:rFonts w:ascii="Cambria" w:hAnsi="Cambria"/>
          <w:sz w:val="20"/>
          <w:szCs w:val="20"/>
          <w:lang w:val="es-ES_tradnl"/>
        </w:rPr>
        <w:t xml:space="preserve">e modo, el máximo órgano de justicia constitucional del país también </w:t>
      </w:r>
      <w:r w:rsidR="005440CE" w:rsidRPr="003D3532">
        <w:rPr>
          <w:rFonts w:ascii="Cambria" w:hAnsi="Cambria"/>
          <w:sz w:val="20"/>
          <w:szCs w:val="20"/>
          <w:lang w:val="es-ES_tradnl"/>
        </w:rPr>
        <w:t>ordenó</w:t>
      </w:r>
      <w:r w:rsidR="00C976C8" w:rsidRPr="003D3532">
        <w:rPr>
          <w:rFonts w:ascii="Cambria" w:hAnsi="Cambria"/>
          <w:sz w:val="20"/>
          <w:szCs w:val="20"/>
          <w:lang w:val="es-ES_tradnl"/>
        </w:rPr>
        <w:t xml:space="preserve"> que se cumpla con homologar los salari</w:t>
      </w:r>
      <w:r w:rsidR="009F4570" w:rsidRPr="003D3532">
        <w:rPr>
          <w:rFonts w:ascii="Cambria" w:hAnsi="Cambria"/>
          <w:sz w:val="20"/>
          <w:szCs w:val="20"/>
          <w:lang w:val="es-ES_tradnl"/>
        </w:rPr>
        <w:t>o</w:t>
      </w:r>
      <w:r w:rsidR="00C976C8" w:rsidRPr="003D3532">
        <w:rPr>
          <w:rFonts w:ascii="Cambria" w:hAnsi="Cambria"/>
          <w:sz w:val="20"/>
          <w:szCs w:val="20"/>
          <w:lang w:val="es-ES_tradnl"/>
        </w:rPr>
        <w:t xml:space="preserve">s de </w:t>
      </w:r>
      <w:r w:rsidR="001E082D">
        <w:rPr>
          <w:rFonts w:ascii="Cambria" w:hAnsi="Cambria"/>
          <w:sz w:val="20"/>
          <w:szCs w:val="20"/>
          <w:lang w:val="es-ES_tradnl"/>
        </w:rPr>
        <w:t>los magistrados</w:t>
      </w:r>
      <w:r w:rsidR="00691DB3" w:rsidRPr="003D3532">
        <w:rPr>
          <w:rFonts w:ascii="Cambria" w:hAnsi="Cambria"/>
          <w:sz w:val="20"/>
          <w:szCs w:val="20"/>
          <w:lang w:val="es-ES_tradnl"/>
        </w:rPr>
        <w:t>.</w:t>
      </w:r>
    </w:p>
    <w:p w14:paraId="0143B6C1" w14:textId="77777777" w:rsidR="006E0437" w:rsidRPr="003D3532" w:rsidRDefault="006E0437" w:rsidP="006E043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i/>
          <w:iCs/>
          <w:sz w:val="20"/>
          <w:szCs w:val="20"/>
          <w:lang w:val="es-ES_tradnl"/>
        </w:rPr>
      </w:pPr>
      <w:r w:rsidRPr="003D3532">
        <w:rPr>
          <w:rFonts w:ascii="Cambria" w:hAnsi="Cambria"/>
          <w:i/>
          <w:iCs/>
          <w:sz w:val="20"/>
          <w:szCs w:val="20"/>
          <w:lang w:val="es-ES_tradnl"/>
        </w:rPr>
        <w:t>Problemas en la etapa de ejecución del fallo</w:t>
      </w:r>
    </w:p>
    <w:p w14:paraId="1DC6AB3C" w14:textId="616EABC0" w:rsidR="006E0437" w:rsidRPr="003D3532" w:rsidRDefault="00D81887" w:rsidP="006E043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bookmarkStart w:id="3" w:name="_Hlk115169744"/>
      <w:r w:rsidRPr="003D3532">
        <w:rPr>
          <w:rFonts w:ascii="Cambria" w:hAnsi="Cambria"/>
          <w:sz w:val="20"/>
          <w:szCs w:val="20"/>
          <w:lang w:val="es-ES_tradnl"/>
        </w:rPr>
        <w:t xml:space="preserve">La parte peticionaria afirma </w:t>
      </w:r>
      <w:r w:rsidR="009F4570" w:rsidRPr="003D3532">
        <w:rPr>
          <w:rFonts w:ascii="Cambria" w:hAnsi="Cambria"/>
          <w:sz w:val="20"/>
          <w:szCs w:val="20"/>
          <w:lang w:val="es-ES_tradnl"/>
        </w:rPr>
        <w:t>que</w:t>
      </w:r>
      <w:r w:rsidRPr="003D3532">
        <w:rPr>
          <w:rFonts w:ascii="Cambria" w:hAnsi="Cambria"/>
          <w:sz w:val="20"/>
          <w:szCs w:val="20"/>
          <w:lang w:val="es-ES_tradnl"/>
        </w:rPr>
        <w:t>,</w:t>
      </w:r>
      <w:r w:rsidR="009F4570" w:rsidRPr="003D3532">
        <w:rPr>
          <w:rFonts w:ascii="Cambria" w:hAnsi="Cambria"/>
          <w:sz w:val="20"/>
          <w:szCs w:val="20"/>
          <w:lang w:val="es-ES_tradnl"/>
        </w:rPr>
        <w:t xml:space="preserve"> en respuesta</w:t>
      </w:r>
      <w:r w:rsidR="006E0437" w:rsidRPr="003D3532">
        <w:rPr>
          <w:rFonts w:ascii="Cambria" w:hAnsi="Cambria"/>
          <w:sz w:val="20"/>
          <w:szCs w:val="20"/>
          <w:lang w:val="es-ES_tradnl"/>
        </w:rPr>
        <w:t xml:space="preserve"> a </w:t>
      </w:r>
      <w:r w:rsidR="00DA6A1C" w:rsidRPr="003D3532">
        <w:rPr>
          <w:rFonts w:ascii="Cambria" w:hAnsi="Cambria"/>
          <w:sz w:val="20"/>
          <w:szCs w:val="20"/>
          <w:lang w:val="es-ES_tradnl"/>
        </w:rPr>
        <w:t>la</w:t>
      </w:r>
      <w:r w:rsidR="006E0437" w:rsidRPr="003D3532">
        <w:rPr>
          <w:rFonts w:ascii="Cambria" w:hAnsi="Cambria"/>
          <w:sz w:val="20"/>
          <w:szCs w:val="20"/>
          <w:lang w:val="es-ES_tradnl"/>
        </w:rPr>
        <w:t xml:space="preserve"> decisión</w:t>
      </w:r>
      <w:r w:rsidR="00DA6A1C" w:rsidRPr="003D3532">
        <w:rPr>
          <w:rFonts w:ascii="Cambria" w:hAnsi="Cambria"/>
          <w:sz w:val="20"/>
          <w:szCs w:val="20"/>
          <w:lang w:val="es-ES_tradnl"/>
        </w:rPr>
        <w:t xml:space="preserve"> emitida por la Tercera Sala Civil de la Corte Superior de Justicia</w:t>
      </w:r>
      <w:bookmarkEnd w:id="3"/>
      <w:r w:rsidR="006E0437" w:rsidRPr="003D3532">
        <w:rPr>
          <w:rFonts w:ascii="Cambria" w:hAnsi="Cambria"/>
          <w:sz w:val="20"/>
          <w:szCs w:val="20"/>
          <w:lang w:val="es-ES_tradnl"/>
        </w:rPr>
        <w:t xml:space="preserve">, el </w:t>
      </w:r>
      <w:r w:rsidR="00147CCF" w:rsidRPr="003D3532">
        <w:rPr>
          <w:rFonts w:ascii="Cambria" w:hAnsi="Cambria"/>
          <w:sz w:val="20"/>
          <w:szCs w:val="20"/>
          <w:lang w:val="es-ES_tradnl"/>
        </w:rPr>
        <w:t xml:space="preserve">27 de noviembre de 2012 el </w:t>
      </w:r>
      <w:r w:rsidR="006E0437" w:rsidRPr="003D3532">
        <w:rPr>
          <w:rFonts w:ascii="Cambria" w:hAnsi="Cambria"/>
          <w:sz w:val="20"/>
          <w:szCs w:val="20"/>
          <w:lang w:val="es-ES_tradnl"/>
        </w:rPr>
        <w:t>Poder Judicial, por medio de la Resolución 235-2012-CE-PJ, resolvió lo siguiente:</w:t>
      </w:r>
    </w:p>
    <w:p w14:paraId="69A3DB36" w14:textId="6E5E25F9" w:rsidR="006E0437" w:rsidRPr="003D3532" w:rsidRDefault="006E0437" w:rsidP="001648C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right="720"/>
        <w:jc w:val="both"/>
        <w:rPr>
          <w:rFonts w:ascii="Cambria" w:hAnsi="Cambria"/>
          <w:sz w:val="20"/>
          <w:szCs w:val="20"/>
          <w:lang w:val="es-ES_tradnl"/>
        </w:rPr>
      </w:pPr>
      <w:r w:rsidRPr="003D3532">
        <w:rPr>
          <w:rFonts w:ascii="Cambria" w:hAnsi="Cambria"/>
          <w:sz w:val="20"/>
          <w:szCs w:val="20"/>
          <w:lang w:val="es-ES_tradnl"/>
        </w:rPr>
        <w:t>Artículo Primero. – Nivelar, en cumplimiento del mandato judicial dictado por el Quinto Juzgado Especializado Constitucional de Lima, las remuneraciones de los Jueces Superiores, Jueces Especializados y Mixtos, y Jueces de Paz Letrados de toda la República, aplicando los porcentajes contemplados en el artículo 186º, inciso 5, literal b) del texto Único Ordenado de la Ley Orgánica del Poder Judicial (…)</w:t>
      </w:r>
    </w:p>
    <w:p w14:paraId="4E1D97B9" w14:textId="77777777" w:rsidR="006E0437" w:rsidRPr="003D3532" w:rsidRDefault="006E0437" w:rsidP="001648C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right="720"/>
        <w:jc w:val="both"/>
        <w:rPr>
          <w:rFonts w:ascii="Cambria" w:hAnsi="Cambria"/>
          <w:sz w:val="20"/>
          <w:szCs w:val="20"/>
          <w:lang w:val="es-ES_tradnl"/>
        </w:rPr>
      </w:pPr>
      <w:r w:rsidRPr="003D3532">
        <w:rPr>
          <w:rFonts w:ascii="Cambria" w:hAnsi="Cambria"/>
          <w:sz w:val="20"/>
          <w:szCs w:val="20"/>
          <w:lang w:val="es-ES_tradnl"/>
        </w:rPr>
        <w:t xml:space="preserve">Artículo Segundo. – Requerir al Ministerio de Economía y Finanzas para que proceda a asignar y transferir los recursos adicionales del Tesoro Público, para el cumplimiento efectivo de las escalas remunerativas fijadas en la presente resolución en aplicación de la sentencia dictada en el proceso constitucional de cumplimiento seguido ante el Quinto Juzgado Especializado Constitucional de Lima, y que tiene autoridad de cosa juzgada. </w:t>
      </w:r>
    </w:p>
    <w:p w14:paraId="605261FB" w14:textId="77777777" w:rsidR="006E0437" w:rsidRPr="003D3532" w:rsidRDefault="006E0437" w:rsidP="001648C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right="720"/>
        <w:jc w:val="both"/>
        <w:rPr>
          <w:rFonts w:ascii="Cambria" w:hAnsi="Cambria"/>
          <w:sz w:val="20"/>
          <w:szCs w:val="20"/>
          <w:lang w:val="es-ES_tradnl"/>
        </w:rPr>
      </w:pPr>
      <w:r w:rsidRPr="003D3532">
        <w:rPr>
          <w:rFonts w:ascii="Cambria" w:hAnsi="Cambria"/>
          <w:sz w:val="20"/>
          <w:szCs w:val="20"/>
          <w:lang w:val="es-ES_tradnl"/>
        </w:rPr>
        <w:t xml:space="preserve">Artículo Tercero. – Disponer que la Gerencia del Poder Judicial proceda a incluir los montos señalados en el artículo primero de la presente resolución en la formulación del presupuesto institucional para los siguientes ejercicios presupuestales. </w:t>
      </w:r>
    </w:p>
    <w:p w14:paraId="5385C8DA" w14:textId="3902A5CC" w:rsidR="006E0437" w:rsidRPr="003D3532" w:rsidRDefault="006E0437" w:rsidP="006E043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3D3532">
        <w:rPr>
          <w:rFonts w:ascii="Cambria" w:hAnsi="Cambria"/>
          <w:sz w:val="20"/>
          <w:szCs w:val="20"/>
          <w:lang w:val="es-ES_tradnl"/>
        </w:rPr>
        <w:t xml:space="preserve">No obstante, señala que la ANMP cuestionó ante el juez de la causa que aún no se habían homologado completamente los haberes requeridos, en la medida en </w:t>
      </w:r>
      <w:r w:rsidR="00120FCF" w:rsidRPr="003D3532">
        <w:rPr>
          <w:rFonts w:ascii="Cambria" w:hAnsi="Cambria"/>
          <w:sz w:val="20"/>
          <w:szCs w:val="20"/>
          <w:lang w:val="es-ES_tradnl"/>
        </w:rPr>
        <w:t xml:space="preserve">la </w:t>
      </w:r>
      <w:r w:rsidRPr="003D3532">
        <w:rPr>
          <w:rFonts w:ascii="Cambria" w:hAnsi="Cambria"/>
          <w:sz w:val="20"/>
          <w:szCs w:val="20"/>
          <w:lang w:val="es-ES_tradnl"/>
        </w:rPr>
        <w:t>que la referida resolución no contemplaba el “bono por alta función jurisdiccional”, el cual conforme a la jurisprudencia del Tribunal Constitucional corresponde a tod</w:t>
      </w:r>
      <w:r w:rsidR="001937EF" w:rsidRPr="003D3532">
        <w:rPr>
          <w:rFonts w:ascii="Cambria" w:hAnsi="Cambria"/>
          <w:sz w:val="20"/>
          <w:szCs w:val="20"/>
          <w:lang w:val="es-ES_tradnl"/>
        </w:rPr>
        <w:t>o</w:t>
      </w:r>
      <w:r w:rsidRPr="003D3532">
        <w:rPr>
          <w:rFonts w:ascii="Cambria" w:hAnsi="Cambria"/>
          <w:sz w:val="20"/>
          <w:szCs w:val="20"/>
          <w:lang w:val="es-ES_tradnl"/>
        </w:rPr>
        <w:t xml:space="preserve">s </w:t>
      </w:r>
      <w:r w:rsidR="001E082D">
        <w:rPr>
          <w:rFonts w:ascii="Cambria" w:hAnsi="Cambria"/>
          <w:sz w:val="20"/>
          <w:szCs w:val="20"/>
          <w:lang w:val="es-ES_tradnl"/>
        </w:rPr>
        <w:t>los magistrados</w:t>
      </w:r>
      <w:r w:rsidRPr="003D3532">
        <w:rPr>
          <w:rFonts w:ascii="Cambria" w:hAnsi="Cambria"/>
          <w:sz w:val="20"/>
          <w:szCs w:val="20"/>
          <w:lang w:val="es-ES_tradnl"/>
        </w:rPr>
        <w:t xml:space="preserve">. En consecuencia, indica que el 6 de marzo de 2013 el juez del caso, mediante resolución N.º 88, dispuso que aún no se había cumplido con la ejecución del fallo y requirió al Consejo Ejecutivo del Poder Judicial que, en el plazo de 15 días naturales, emitiera una nueva resolución administrativa, incluyendo la referida asignación especial dentro de los haberes de </w:t>
      </w:r>
      <w:r w:rsidR="001E082D">
        <w:rPr>
          <w:rFonts w:ascii="Cambria" w:hAnsi="Cambria"/>
          <w:sz w:val="20"/>
          <w:szCs w:val="20"/>
          <w:lang w:val="es-ES_tradnl"/>
        </w:rPr>
        <w:t>los magistrados</w:t>
      </w:r>
      <w:r w:rsidRPr="003D3532">
        <w:rPr>
          <w:rFonts w:ascii="Cambria" w:hAnsi="Cambria"/>
          <w:sz w:val="20"/>
          <w:szCs w:val="20"/>
          <w:lang w:val="es-ES_tradnl"/>
        </w:rPr>
        <w:t xml:space="preserve">. </w:t>
      </w:r>
    </w:p>
    <w:p w14:paraId="6FBC3BB7" w14:textId="3C001BFF" w:rsidR="00C74B84" w:rsidRPr="003D3532" w:rsidRDefault="00D75889" w:rsidP="00691DB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3D3532">
        <w:rPr>
          <w:rFonts w:ascii="Cambria" w:hAnsi="Cambria"/>
          <w:sz w:val="20"/>
          <w:szCs w:val="20"/>
          <w:lang w:val="es-ES_tradnl"/>
        </w:rPr>
        <w:t>A</w:t>
      </w:r>
      <w:r w:rsidR="006E0437" w:rsidRPr="003D3532">
        <w:rPr>
          <w:rFonts w:ascii="Cambria" w:hAnsi="Cambria"/>
          <w:sz w:val="20"/>
          <w:szCs w:val="20"/>
          <w:lang w:val="es-ES_tradnl"/>
        </w:rPr>
        <w:t>nte el incumplimiento de esta última decisión, el 26 de octubre de 201</w:t>
      </w:r>
      <w:r w:rsidR="00AE61FD" w:rsidRPr="003D3532">
        <w:rPr>
          <w:rFonts w:ascii="Cambria" w:hAnsi="Cambria"/>
          <w:sz w:val="20"/>
          <w:szCs w:val="20"/>
          <w:lang w:val="es-ES_tradnl"/>
        </w:rPr>
        <w:t>3</w:t>
      </w:r>
      <w:r w:rsidR="006E0437" w:rsidRPr="003D3532">
        <w:rPr>
          <w:rFonts w:ascii="Cambria" w:hAnsi="Cambria"/>
          <w:sz w:val="20"/>
          <w:szCs w:val="20"/>
          <w:lang w:val="es-ES_tradnl"/>
        </w:rPr>
        <w:t xml:space="preserve"> la ANMP solicitó al juez ejecutor dictar una sentencia ampliatoria, a efectos de incluir al Ministerio de Economía y Finanzas en el proceso, </w:t>
      </w:r>
      <w:r w:rsidRPr="003D3532">
        <w:rPr>
          <w:rFonts w:ascii="Cambria" w:hAnsi="Cambria"/>
          <w:sz w:val="20"/>
          <w:szCs w:val="20"/>
          <w:lang w:val="es-ES_tradnl"/>
        </w:rPr>
        <w:t xml:space="preserve">porque </w:t>
      </w:r>
      <w:r w:rsidR="00FC03CA" w:rsidRPr="003D3532">
        <w:rPr>
          <w:rFonts w:ascii="Cambria" w:hAnsi="Cambria"/>
          <w:sz w:val="20"/>
          <w:szCs w:val="20"/>
          <w:lang w:val="es-ES_tradnl"/>
        </w:rPr>
        <w:t xml:space="preserve">era </w:t>
      </w:r>
      <w:r w:rsidR="006E0437" w:rsidRPr="003D3532">
        <w:rPr>
          <w:rFonts w:ascii="Cambria" w:hAnsi="Cambria"/>
          <w:sz w:val="20"/>
          <w:szCs w:val="20"/>
          <w:lang w:val="es-ES_tradnl"/>
        </w:rPr>
        <w:t xml:space="preserve">el ente competente para habilitar a las demás entidades del Estado los recursos que estas requieren para la atención de sus obligaciones. Como resultado, el 14 de marzo de 2013 el Quinto Juzgado Especializado en lo Constitucional de Lima, mediante resolución N.º 91, declaró fundada tal solicitud y dispuso la incorporación del Ministerio de Economía y Finanzas, a fin de que </w:t>
      </w:r>
      <w:r w:rsidR="005B4F9D" w:rsidRPr="003D3532">
        <w:rPr>
          <w:rFonts w:ascii="Cambria" w:hAnsi="Cambria"/>
          <w:sz w:val="20"/>
          <w:szCs w:val="20"/>
          <w:lang w:val="es-ES_tradnl"/>
        </w:rPr>
        <w:t xml:space="preserve">brindara </w:t>
      </w:r>
      <w:r w:rsidR="006E0437" w:rsidRPr="003D3532">
        <w:rPr>
          <w:rFonts w:ascii="Cambria" w:hAnsi="Cambria"/>
          <w:sz w:val="20"/>
          <w:szCs w:val="20"/>
          <w:lang w:val="es-ES_tradnl"/>
        </w:rPr>
        <w:t xml:space="preserve">facilidades para que el Poder Judicial </w:t>
      </w:r>
      <w:r w:rsidR="00D917AF" w:rsidRPr="003D3532">
        <w:rPr>
          <w:rFonts w:ascii="Cambria" w:hAnsi="Cambria"/>
          <w:sz w:val="20"/>
          <w:szCs w:val="20"/>
          <w:lang w:val="es-ES_tradnl"/>
        </w:rPr>
        <w:t xml:space="preserve">cumpliera </w:t>
      </w:r>
      <w:r w:rsidR="006E0437" w:rsidRPr="003D3532">
        <w:rPr>
          <w:rFonts w:ascii="Cambria" w:hAnsi="Cambria"/>
          <w:sz w:val="20"/>
          <w:szCs w:val="20"/>
          <w:lang w:val="es-ES_tradnl"/>
        </w:rPr>
        <w:t>la sentencia</w:t>
      </w:r>
      <w:r w:rsidR="00D24537" w:rsidRPr="003D3532">
        <w:rPr>
          <w:rFonts w:ascii="Cambria" w:hAnsi="Cambria"/>
          <w:sz w:val="20"/>
          <w:szCs w:val="20"/>
          <w:lang w:val="es-ES_tradnl"/>
        </w:rPr>
        <w:t xml:space="preserve"> en</w:t>
      </w:r>
      <w:r w:rsidR="006E0437" w:rsidRPr="003D3532">
        <w:rPr>
          <w:rFonts w:ascii="Cambria" w:hAnsi="Cambria"/>
          <w:sz w:val="20"/>
          <w:szCs w:val="20"/>
          <w:lang w:val="es-ES_tradnl"/>
        </w:rPr>
        <w:t xml:space="preserve"> firme. </w:t>
      </w:r>
      <w:r w:rsidRPr="003D3532">
        <w:rPr>
          <w:rFonts w:ascii="Cambria" w:hAnsi="Cambria"/>
          <w:sz w:val="20"/>
          <w:szCs w:val="20"/>
          <w:lang w:val="es-ES_tradnl"/>
        </w:rPr>
        <w:t>E</w:t>
      </w:r>
      <w:r w:rsidR="006E0437" w:rsidRPr="003D3532">
        <w:rPr>
          <w:rFonts w:ascii="Cambria" w:hAnsi="Cambria"/>
          <w:sz w:val="20"/>
          <w:szCs w:val="20"/>
          <w:lang w:val="es-ES_tradnl"/>
        </w:rPr>
        <w:t xml:space="preserve">l 22 de abril de 2013, </w:t>
      </w:r>
      <w:r w:rsidR="00D24537" w:rsidRPr="003D3532">
        <w:rPr>
          <w:rFonts w:ascii="Cambria" w:hAnsi="Cambria"/>
          <w:sz w:val="20"/>
          <w:szCs w:val="20"/>
          <w:lang w:val="es-ES_tradnl"/>
        </w:rPr>
        <w:t>con el fin</w:t>
      </w:r>
      <w:r w:rsidRPr="003D3532">
        <w:rPr>
          <w:rFonts w:ascii="Cambria" w:hAnsi="Cambria"/>
          <w:sz w:val="20"/>
          <w:szCs w:val="20"/>
          <w:lang w:val="es-ES_tradnl"/>
        </w:rPr>
        <w:t xml:space="preserve"> de lograr el cumplimiento efectivo de esta decisión, </w:t>
      </w:r>
      <w:r w:rsidR="006E0437" w:rsidRPr="003D3532">
        <w:rPr>
          <w:rFonts w:ascii="Cambria" w:hAnsi="Cambria"/>
          <w:sz w:val="20"/>
          <w:szCs w:val="20"/>
          <w:lang w:val="es-ES_tradnl"/>
        </w:rPr>
        <w:t>el citado juzgado</w:t>
      </w:r>
      <w:r w:rsidRPr="003D3532">
        <w:rPr>
          <w:rFonts w:ascii="Cambria" w:hAnsi="Cambria"/>
          <w:sz w:val="20"/>
          <w:szCs w:val="20"/>
          <w:lang w:val="es-ES_tradnl"/>
        </w:rPr>
        <w:t xml:space="preserve"> ordenó </w:t>
      </w:r>
      <w:r w:rsidR="006E0437" w:rsidRPr="003D3532">
        <w:rPr>
          <w:rFonts w:ascii="Cambria" w:hAnsi="Cambria"/>
          <w:sz w:val="20"/>
          <w:szCs w:val="20"/>
          <w:lang w:val="es-ES_tradnl"/>
        </w:rPr>
        <w:t>al Director General del Ministerio de Economía y Finanzas</w:t>
      </w:r>
      <w:r w:rsidRPr="003D3532">
        <w:rPr>
          <w:rFonts w:ascii="Cambria" w:hAnsi="Cambria"/>
          <w:sz w:val="20"/>
          <w:szCs w:val="20"/>
          <w:lang w:val="es-ES_tradnl"/>
        </w:rPr>
        <w:t>, mediante la resolución N.º 95,</w:t>
      </w:r>
      <w:r w:rsidR="006E0437" w:rsidRPr="003D3532">
        <w:rPr>
          <w:rFonts w:ascii="Cambria" w:hAnsi="Cambria"/>
          <w:sz w:val="20"/>
          <w:szCs w:val="20"/>
          <w:lang w:val="es-ES_tradnl"/>
        </w:rPr>
        <w:t xml:space="preserve"> que en el plazo de 5 días</w:t>
      </w:r>
      <w:r w:rsidRPr="003D3532">
        <w:rPr>
          <w:rFonts w:ascii="Cambria" w:hAnsi="Cambria"/>
          <w:sz w:val="20"/>
          <w:szCs w:val="20"/>
          <w:lang w:val="es-ES_tradnl"/>
        </w:rPr>
        <w:t xml:space="preserve"> entregara</w:t>
      </w:r>
      <w:r w:rsidR="006E0437" w:rsidRPr="003D3532">
        <w:rPr>
          <w:rFonts w:ascii="Cambria" w:hAnsi="Cambria"/>
          <w:sz w:val="20"/>
          <w:szCs w:val="20"/>
          <w:lang w:val="es-ES_tradnl"/>
        </w:rPr>
        <w:t xml:space="preserve"> al Poder Judicial </w:t>
      </w:r>
      <w:r w:rsidRPr="003D3532">
        <w:rPr>
          <w:rFonts w:ascii="Cambria" w:hAnsi="Cambria"/>
          <w:sz w:val="20"/>
          <w:szCs w:val="20"/>
          <w:lang w:val="es-ES_tradnl"/>
        </w:rPr>
        <w:t xml:space="preserve">los fondos </w:t>
      </w:r>
      <w:r w:rsidR="006E0437" w:rsidRPr="003D3532">
        <w:rPr>
          <w:rFonts w:ascii="Cambria" w:hAnsi="Cambria"/>
          <w:sz w:val="20"/>
          <w:szCs w:val="20"/>
          <w:lang w:val="es-ES_tradnl"/>
        </w:rPr>
        <w:t xml:space="preserve">del Fondo de Reserva de Contingencia a cargo </w:t>
      </w:r>
      <w:r w:rsidR="00D42CFE" w:rsidRPr="003D3532">
        <w:rPr>
          <w:rFonts w:ascii="Cambria" w:hAnsi="Cambria"/>
          <w:sz w:val="20"/>
          <w:szCs w:val="20"/>
          <w:lang w:val="es-ES_tradnl"/>
        </w:rPr>
        <w:t>del mismo Ministerio</w:t>
      </w:r>
      <w:r w:rsidR="006E0437" w:rsidRPr="003D3532">
        <w:rPr>
          <w:rFonts w:ascii="Cambria" w:hAnsi="Cambria"/>
          <w:sz w:val="20"/>
          <w:szCs w:val="20"/>
          <w:lang w:val="es-ES_tradnl"/>
        </w:rPr>
        <w:t xml:space="preserve">, a efectos de nivelar inmediatamente las remuneraciones de </w:t>
      </w:r>
      <w:r w:rsidR="001E082D">
        <w:rPr>
          <w:rFonts w:ascii="Cambria" w:hAnsi="Cambria"/>
          <w:sz w:val="20"/>
          <w:szCs w:val="20"/>
          <w:lang w:val="es-ES_tradnl"/>
        </w:rPr>
        <w:t>los magistrados</w:t>
      </w:r>
      <w:r w:rsidR="006E0437" w:rsidRPr="003D3532">
        <w:rPr>
          <w:rFonts w:ascii="Cambria" w:hAnsi="Cambria"/>
          <w:sz w:val="20"/>
          <w:szCs w:val="20"/>
          <w:lang w:val="es-ES_tradnl"/>
        </w:rPr>
        <w:t xml:space="preserve">. </w:t>
      </w:r>
    </w:p>
    <w:p w14:paraId="4EA85130" w14:textId="269C26BD" w:rsidR="006E0437" w:rsidRPr="003D3532" w:rsidRDefault="006E0437" w:rsidP="006E043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i/>
          <w:iCs/>
          <w:sz w:val="20"/>
          <w:szCs w:val="20"/>
          <w:lang w:val="es-ES_tradnl"/>
        </w:rPr>
      </w:pPr>
      <w:r w:rsidRPr="003D3532">
        <w:rPr>
          <w:rFonts w:ascii="Cambria" w:hAnsi="Cambria"/>
          <w:i/>
          <w:iCs/>
          <w:sz w:val="20"/>
          <w:szCs w:val="20"/>
          <w:lang w:val="es-ES_tradnl"/>
        </w:rPr>
        <w:lastRenderedPageBreak/>
        <w:t>Alegadas acciones emprendidas por las autoridades para frustrar la ejecución de la sentencia</w:t>
      </w:r>
    </w:p>
    <w:p w14:paraId="2A3F8817" w14:textId="74F5B0C1" w:rsidR="006E0437" w:rsidRPr="003D3532" w:rsidRDefault="000D749E" w:rsidP="006E043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3D3532">
        <w:rPr>
          <w:rFonts w:ascii="Cambria" w:hAnsi="Cambria"/>
          <w:sz w:val="20"/>
          <w:szCs w:val="20"/>
          <w:lang w:val="es-ES_tradnl"/>
        </w:rPr>
        <w:t>Los peticionarios sostienen</w:t>
      </w:r>
      <w:r w:rsidR="006E0437" w:rsidRPr="003D3532">
        <w:rPr>
          <w:rFonts w:ascii="Cambria" w:hAnsi="Cambria"/>
          <w:sz w:val="20"/>
          <w:szCs w:val="20"/>
          <w:lang w:val="es-ES_tradnl"/>
        </w:rPr>
        <w:t xml:space="preserve"> que lejos de </w:t>
      </w:r>
      <w:r w:rsidRPr="003D3532">
        <w:rPr>
          <w:rFonts w:ascii="Cambria" w:hAnsi="Cambria"/>
          <w:sz w:val="20"/>
          <w:szCs w:val="20"/>
          <w:lang w:val="es-ES_tradnl"/>
        </w:rPr>
        <w:t>cumplir con</w:t>
      </w:r>
      <w:r w:rsidR="006E0437" w:rsidRPr="003D3532">
        <w:rPr>
          <w:rFonts w:ascii="Cambria" w:hAnsi="Cambria"/>
          <w:sz w:val="20"/>
          <w:szCs w:val="20"/>
          <w:lang w:val="es-ES_tradnl"/>
        </w:rPr>
        <w:t xml:space="preserve"> las resoluciones previamente explicadas, el Poder Ejecutivo viene llevando a cabo una serie de acciones cuya única y deliberada finalidad es frustrar la ejecución de las sentencias </w:t>
      </w:r>
      <w:r w:rsidR="00AD3098" w:rsidRPr="003D3532">
        <w:rPr>
          <w:rFonts w:ascii="Cambria" w:hAnsi="Cambria"/>
          <w:sz w:val="20"/>
          <w:szCs w:val="20"/>
          <w:lang w:val="es-ES_tradnl"/>
        </w:rPr>
        <w:t xml:space="preserve">en firme </w:t>
      </w:r>
      <w:r w:rsidR="006E0437" w:rsidRPr="003D3532">
        <w:rPr>
          <w:rFonts w:ascii="Cambria" w:hAnsi="Cambria"/>
          <w:sz w:val="20"/>
          <w:szCs w:val="20"/>
          <w:lang w:val="es-ES_tradnl"/>
        </w:rPr>
        <w:t>y con calidad de cosa juzgada que amparan los derechos de las presuntas víctimas. Así, señala que las autoridades han interpuesto dos demandas de amparo contra la ANMP y el Quinto Juzgado Constitucional, cuyo objeto es entorpecer y dilatar la ejecución de las sentencias.</w:t>
      </w:r>
    </w:p>
    <w:p w14:paraId="6254922D" w14:textId="3B8BD1A7" w:rsidR="006E0437" w:rsidRPr="003D3532" w:rsidRDefault="006E0437" w:rsidP="006E043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3D3532">
        <w:rPr>
          <w:rFonts w:ascii="Cambria" w:hAnsi="Cambria"/>
          <w:sz w:val="20"/>
          <w:szCs w:val="20"/>
          <w:lang w:val="es-ES_tradnl"/>
        </w:rPr>
        <w:t>Además, alega</w:t>
      </w:r>
      <w:r w:rsidR="00E97FC3" w:rsidRPr="003D3532">
        <w:rPr>
          <w:rFonts w:ascii="Cambria" w:hAnsi="Cambria"/>
          <w:sz w:val="20"/>
          <w:szCs w:val="20"/>
          <w:lang w:val="es-ES_tradnl"/>
        </w:rPr>
        <w:t>n</w:t>
      </w:r>
      <w:r w:rsidRPr="003D3532">
        <w:rPr>
          <w:rFonts w:ascii="Cambria" w:hAnsi="Cambria"/>
          <w:sz w:val="20"/>
          <w:szCs w:val="20"/>
          <w:lang w:val="es-ES_tradnl"/>
        </w:rPr>
        <w:t xml:space="preserve"> que el Ministerio de Justicia y Derechos Humanos, en representación de Poder Ejecutivo, interpuso una demanda de conflicto de competencial </w:t>
      </w:r>
      <w:r w:rsidR="00532733" w:rsidRPr="003D3532">
        <w:rPr>
          <w:rFonts w:ascii="Cambria" w:hAnsi="Cambria"/>
          <w:sz w:val="20"/>
          <w:szCs w:val="20"/>
          <w:lang w:val="es-ES_tradnl"/>
        </w:rPr>
        <w:t>con la que pidió</w:t>
      </w:r>
      <w:r w:rsidRPr="003D3532">
        <w:rPr>
          <w:rFonts w:ascii="Cambria" w:hAnsi="Cambria"/>
          <w:sz w:val="20"/>
          <w:szCs w:val="20"/>
          <w:lang w:val="es-ES_tradnl"/>
        </w:rPr>
        <w:t xml:space="preserve"> la nulidad de la Resolución 235-2012-CE-PJ y las decisiones judiciales que integraron al Ministerio de Economía y Finanzas al proceso de ejecución. </w:t>
      </w:r>
      <w:r w:rsidR="00E97FC3" w:rsidRPr="003D3532">
        <w:rPr>
          <w:rFonts w:ascii="Cambria" w:hAnsi="Cambria"/>
          <w:sz w:val="20"/>
          <w:szCs w:val="20"/>
          <w:lang w:val="es-ES_tradnl"/>
        </w:rPr>
        <w:t>P</w:t>
      </w:r>
      <w:r w:rsidRPr="003D3532">
        <w:rPr>
          <w:rFonts w:ascii="Cambria" w:hAnsi="Cambria"/>
          <w:sz w:val="20"/>
          <w:szCs w:val="20"/>
          <w:lang w:val="es-ES_tradnl"/>
        </w:rPr>
        <w:t xml:space="preserve">roducto de esta actuación el 27 de noviembre de 2013 el Tribunal Constitucional declaró parcialmente fundada la demanda y resolvió que </w:t>
      </w:r>
      <w:r w:rsidR="00532733" w:rsidRPr="003D3532">
        <w:rPr>
          <w:rFonts w:ascii="Cambria" w:hAnsi="Cambria"/>
          <w:sz w:val="20"/>
          <w:szCs w:val="20"/>
          <w:lang w:val="es-ES_tradnl"/>
        </w:rPr>
        <w:t xml:space="preserve">era </w:t>
      </w:r>
      <w:r w:rsidRPr="003D3532">
        <w:rPr>
          <w:rFonts w:ascii="Cambria" w:hAnsi="Cambria"/>
          <w:sz w:val="20"/>
          <w:szCs w:val="20"/>
          <w:lang w:val="es-ES_tradnl"/>
        </w:rPr>
        <w:t xml:space="preserve">competencia del Ministerio de Economía y Finanzas, y no del Poder Judicial, administrar la hacienda pública, así como la reserva de contingencia. Sin perjuicio de ello, el Tribunal Constitucional consideró que no correspondía declarar la nulidad de las resoluciones cuestionadas y resaltó lo siguiente: </w:t>
      </w:r>
    </w:p>
    <w:p w14:paraId="6178AE8C" w14:textId="51AD541E" w:rsidR="006E0437" w:rsidRPr="003D3532" w:rsidRDefault="00E97FC3" w:rsidP="00E97FC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right="720"/>
        <w:jc w:val="both"/>
        <w:rPr>
          <w:rFonts w:ascii="Cambria" w:hAnsi="Cambria"/>
          <w:sz w:val="20"/>
          <w:szCs w:val="20"/>
          <w:lang w:val="es-ES_tradnl"/>
        </w:rPr>
      </w:pPr>
      <w:r w:rsidRPr="003D3532">
        <w:rPr>
          <w:rFonts w:ascii="Cambria" w:hAnsi="Cambria"/>
          <w:sz w:val="20"/>
          <w:szCs w:val="20"/>
          <w:lang w:val="es-ES_tradnl"/>
        </w:rPr>
        <w:t>[</w:t>
      </w:r>
      <w:r w:rsidR="006E0437" w:rsidRPr="003D3532">
        <w:rPr>
          <w:rFonts w:ascii="Cambria" w:hAnsi="Cambria"/>
          <w:sz w:val="20"/>
          <w:szCs w:val="20"/>
          <w:lang w:val="es-ES_tradnl"/>
        </w:rPr>
        <w:t>…</w:t>
      </w:r>
      <w:r w:rsidRPr="003D3532">
        <w:rPr>
          <w:rFonts w:ascii="Cambria" w:hAnsi="Cambria"/>
          <w:sz w:val="20"/>
          <w:szCs w:val="20"/>
          <w:lang w:val="es-ES_tradnl"/>
        </w:rPr>
        <w:t>]</w:t>
      </w:r>
      <w:r w:rsidR="006E0437" w:rsidRPr="003D3532">
        <w:rPr>
          <w:rFonts w:ascii="Cambria" w:hAnsi="Cambria"/>
          <w:sz w:val="20"/>
          <w:szCs w:val="20"/>
          <w:lang w:val="es-ES_tradnl"/>
        </w:rPr>
        <w:t xml:space="preserve"> resulta patente y manifiesto el incumplimiento de satisfacción del derecho reconocido en el artículo 186º, inciso 5, literal b), del Texto Único Ordenado de la Ley Orgánica del Poder Judicial, pues han transcurrido más de 20 años desde que se publicó el Decreto Supremo N.º 017-93-JUS y hasta la fecha los jueces no perciben la remuneración que por ley les corresponde, situación que no solo afecta su derecho a una remuneración equitativa y suficiente, sino que también es contraria al mandato previsto en el artículo 38º de la Constitución que impone la obligación de “respetar, cumplir y defender la Constitución y el ordenamiento jurídico de la Nación. </w:t>
      </w:r>
    </w:p>
    <w:p w14:paraId="6DCD27C5" w14:textId="25C84EC6" w:rsidR="006E0437" w:rsidRPr="003D3532" w:rsidRDefault="00E97FC3" w:rsidP="00E97FC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right="720"/>
        <w:jc w:val="both"/>
        <w:rPr>
          <w:rFonts w:ascii="Cambria" w:hAnsi="Cambria"/>
          <w:sz w:val="20"/>
          <w:szCs w:val="20"/>
          <w:lang w:val="es-ES_tradnl"/>
        </w:rPr>
      </w:pPr>
      <w:r w:rsidRPr="003D3532">
        <w:rPr>
          <w:rFonts w:ascii="Cambria" w:hAnsi="Cambria"/>
          <w:sz w:val="20"/>
          <w:szCs w:val="20"/>
          <w:lang w:val="es-ES_tradnl"/>
        </w:rPr>
        <w:t>[..</w:t>
      </w:r>
      <w:r w:rsidR="006E0437" w:rsidRPr="003D3532">
        <w:rPr>
          <w:rFonts w:ascii="Cambria" w:hAnsi="Cambria"/>
          <w:sz w:val="20"/>
          <w:szCs w:val="20"/>
          <w:lang w:val="es-ES_tradnl"/>
        </w:rPr>
        <w:t>.</w:t>
      </w:r>
      <w:r w:rsidRPr="003D3532">
        <w:rPr>
          <w:rFonts w:ascii="Cambria" w:hAnsi="Cambria"/>
          <w:sz w:val="20"/>
          <w:szCs w:val="20"/>
          <w:lang w:val="es-ES_tradnl"/>
        </w:rPr>
        <w:t>]</w:t>
      </w:r>
    </w:p>
    <w:p w14:paraId="727B9485" w14:textId="7DF6D838" w:rsidR="006E0437" w:rsidRPr="003D3532" w:rsidRDefault="006E0437" w:rsidP="00E97FC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right="720"/>
        <w:jc w:val="both"/>
        <w:rPr>
          <w:rFonts w:ascii="Cambria" w:hAnsi="Cambria"/>
          <w:sz w:val="20"/>
          <w:szCs w:val="20"/>
          <w:lang w:val="es-ES_tradnl"/>
        </w:rPr>
      </w:pPr>
      <w:r w:rsidRPr="003D3532">
        <w:rPr>
          <w:rFonts w:ascii="Cambria" w:hAnsi="Cambria"/>
          <w:sz w:val="20"/>
          <w:szCs w:val="20"/>
          <w:lang w:val="es-ES_tradnl"/>
        </w:rPr>
        <w:t xml:space="preserve">Consecuentemente, el Poder Judicial cuando le requiere al Ministerio de Economía y Finanzas que proceda a asignar y transferir los recursos a través de la Resolución Administrativa N.º 235-2012-CE-PJ no le ordena que se disponga la reserva de contingencia, sino que en realidad le está solicitando que le deposite los S/. 87 millones que le corresponde y que no le fueron dados porque el proyecto de ley citado no fue aprobado por el Congreso de la República. En estricto, se evidencia que dichos fondos no forman parte de una naturaleza contingencia, </w:t>
      </w:r>
      <w:r w:rsidR="007834F1" w:rsidRPr="003D3532">
        <w:rPr>
          <w:rFonts w:ascii="Cambria" w:hAnsi="Cambria"/>
          <w:sz w:val="20"/>
          <w:szCs w:val="20"/>
          <w:lang w:val="es-ES_tradnl"/>
        </w:rPr>
        <w:t>sino</w:t>
      </w:r>
      <w:r w:rsidRPr="003D3532">
        <w:rPr>
          <w:rFonts w:ascii="Cambria" w:hAnsi="Cambria"/>
          <w:sz w:val="20"/>
          <w:szCs w:val="20"/>
          <w:lang w:val="es-ES_tradnl"/>
        </w:rPr>
        <w:t xml:space="preserve">, antes bien son fondos propios de la homologación de jueces. </w:t>
      </w:r>
    </w:p>
    <w:p w14:paraId="09FD9826" w14:textId="218DF5F5" w:rsidR="006E0437" w:rsidRPr="003D3532" w:rsidRDefault="006E0437" w:rsidP="006E043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3D3532">
        <w:rPr>
          <w:rFonts w:ascii="Cambria" w:hAnsi="Cambria"/>
          <w:sz w:val="20"/>
          <w:szCs w:val="20"/>
          <w:lang w:val="es-ES_tradnl"/>
        </w:rPr>
        <w:t>Ante ello, a pesar de los fundamentos previamente citados, el 12 de diciembre de 2013 la mayoría oficialista en el Congreso,</w:t>
      </w:r>
      <w:r w:rsidR="00285A79" w:rsidRPr="003D3532">
        <w:rPr>
          <w:rFonts w:ascii="Cambria" w:hAnsi="Cambria"/>
          <w:sz w:val="20"/>
          <w:szCs w:val="20"/>
          <w:lang w:val="es-ES_tradnl"/>
        </w:rPr>
        <w:t xml:space="preserve"> </w:t>
      </w:r>
      <w:r w:rsidR="00C16AB2" w:rsidRPr="003D3532">
        <w:rPr>
          <w:rFonts w:ascii="Cambria" w:hAnsi="Cambria"/>
          <w:sz w:val="20"/>
          <w:szCs w:val="20"/>
          <w:lang w:val="es-ES_tradnl"/>
        </w:rPr>
        <w:t>en concepto de la parte peticionaria,</w:t>
      </w:r>
      <w:r w:rsidRPr="003D3532">
        <w:rPr>
          <w:rFonts w:ascii="Cambria" w:hAnsi="Cambria"/>
          <w:sz w:val="20"/>
          <w:szCs w:val="20"/>
          <w:lang w:val="es-ES_tradnl"/>
        </w:rPr>
        <w:t xml:space="preserve"> a efectos de evitar pagar a las presuntas víctimas lo que les corresponde, aprobó la Ley N.º 30125, la cual modificó el numeral 5) del artículo 186° del Texto Único Ordenado de la nueva Ley Orgánica del Poder Judicial</w:t>
      </w:r>
      <w:r w:rsidR="00E97FC3" w:rsidRPr="003D3532">
        <w:rPr>
          <w:rFonts w:ascii="Cambria" w:hAnsi="Cambria"/>
          <w:sz w:val="20"/>
          <w:szCs w:val="20"/>
          <w:lang w:val="es-ES_tradnl"/>
        </w:rPr>
        <w:t>;</w:t>
      </w:r>
      <w:r w:rsidRPr="003D3532">
        <w:rPr>
          <w:rFonts w:ascii="Cambria" w:hAnsi="Cambria"/>
          <w:sz w:val="20"/>
          <w:szCs w:val="20"/>
          <w:lang w:val="es-ES_tradnl"/>
        </w:rPr>
        <w:t xml:space="preserve"> y de este modo cambió la escala remunerativa de </w:t>
      </w:r>
      <w:r w:rsidR="001E082D">
        <w:rPr>
          <w:rFonts w:ascii="Cambria" w:hAnsi="Cambria"/>
          <w:sz w:val="20"/>
          <w:szCs w:val="20"/>
          <w:lang w:val="es-ES_tradnl"/>
        </w:rPr>
        <w:t>los magistrados</w:t>
      </w:r>
      <w:r w:rsidRPr="003D3532">
        <w:rPr>
          <w:rFonts w:ascii="Cambria" w:hAnsi="Cambria"/>
          <w:sz w:val="20"/>
          <w:szCs w:val="20"/>
          <w:lang w:val="es-ES_tradnl"/>
        </w:rPr>
        <w:t xml:space="preserve">. </w:t>
      </w:r>
      <w:r w:rsidR="00E97FC3" w:rsidRPr="003D3532">
        <w:rPr>
          <w:rFonts w:ascii="Cambria" w:hAnsi="Cambria"/>
          <w:sz w:val="20"/>
          <w:szCs w:val="20"/>
          <w:lang w:val="es-ES_tradnl"/>
        </w:rPr>
        <w:t>Los peticionarios</w:t>
      </w:r>
      <w:r w:rsidRPr="003D3532">
        <w:rPr>
          <w:rFonts w:ascii="Cambria" w:hAnsi="Cambria"/>
          <w:sz w:val="20"/>
          <w:szCs w:val="20"/>
          <w:lang w:val="es-ES_tradnl"/>
        </w:rPr>
        <w:t xml:space="preserve"> </w:t>
      </w:r>
      <w:r w:rsidR="00E97FC3" w:rsidRPr="003D3532">
        <w:rPr>
          <w:rFonts w:ascii="Cambria" w:hAnsi="Cambria"/>
          <w:sz w:val="20"/>
          <w:szCs w:val="20"/>
          <w:lang w:val="es-ES_tradnl"/>
        </w:rPr>
        <w:t xml:space="preserve">alegan que </w:t>
      </w:r>
      <w:r w:rsidRPr="003D3532">
        <w:rPr>
          <w:rFonts w:ascii="Cambria" w:hAnsi="Cambria"/>
          <w:sz w:val="20"/>
          <w:szCs w:val="20"/>
          <w:lang w:val="es-ES_tradnl"/>
        </w:rPr>
        <w:t xml:space="preserve">con esta nueva ley </w:t>
      </w:r>
      <w:r w:rsidR="001E082D">
        <w:rPr>
          <w:rFonts w:ascii="Cambria" w:hAnsi="Cambria"/>
          <w:sz w:val="20"/>
          <w:szCs w:val="20"/>
          <w:lang w:val="es-ES_tradnl"/>
        </w:rPr>
        <w:t>los magistrados</w:t>
      </w:r>
      <w:r w:rsidR="001E082D" w:rsidRPr="003D3532">
        <w:rPr>
          <w:rFonts w:ascii="Cambria" w:hAnsi="Cambria"/>
          <w:sz w:val="20"/>
          <w:szCs w:val="20"/>
          <w:lang w:val="es-ES_tradnl"/>
        </w:rPr>
        <w:t xml:space="preserve"> </w:t>
      </w:r>
      <w:r w:rsidRPr="003D3532">
        <w:rPr>
          <w:rFonts w:ascii="Cambria" w:hAnsi="Cambria"/>
          <w:sz w:val="20"/>
          <w:szCs w:val="20"/>
          <w:lang w:val="es-ES_tradnl"/>
        </w:rPr>
        <w:t>que ocupen los cargos de Vocal Superior, Juez/a Especializado/a</w:t>
      </w:r>
      <w:r w:rsidR="001E082D">
        <w:rPr>
          <w:rFonts w:ascii="Cambria" w:hAnsi="Cambria"/>
          <w:sz w:val="20"/>
          <w:szCs w:val="20"/>
          <w:lang w:val="es-ES_tradnl"/>
        </w:rPr>
        <w:t>,</w:t>
      </w:r>
      <w:r w:rsidRPr="003D3532">
        <w:rPr>
          <w:rFonts w:ascii="Cambria" w:hAnsi="Cambria"/>
          <w:sz w:val="20"/>
          <w:szCs w:val="20"/>
          <w:lang w:val="es-ES_tradnl"/>
        </w:rPr>
        <w:t xml:space="preserve"> y Juez/a de Paz Letrado/a recibirán el 80%, 62% y 40%, respectivamente, del salario que percibe alguien con el cargo de Vocal Supremo. </w:t>
      </w:r>
    </w:p>
    <w:p w14:paraId="60C29796" w14:textId="4480EFB5" w:rsidR="006E0437" w:rsidRPr="003D3532" w:rsidRDefault="006E0437" w:rsidP="006E043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3D3532">
        <w:rPr>
          <w:rFonts w:ascii="Cambria" w:hAnsi="Cambria"/>
          <w:sz w:val="20"/>
          <w:szCs w:val="20"/>
          <w:lang w:val="es-ES_tradnl"/>
        </w:rPr>
        <w:t xml:space="preserve">A juicio de la parte peticionaria, las autoridades modificaron deliberadamente la disposición cuyo cumplimiento había sido exigido judicialmente mediante la sentencia que resolvió la acción de cumplimiento, a efectos de disminuir los porcentajes de equivalencia de </w:t>
      </w:r>
      <w:r w:rsidR="001E082D">
        <w:rPr>
          <w:rFonts w:ascii="Cambria" w:hAnsi="Cambria"/>
          <w:sz w:val="20"/>
          <w:szCs w:val="20"/>
          <w:lang w:val="es-ES_tradnl"/>
        </w:rPr>
        <w:t>los magistrados</w:t>
      </w:r>
      <w:r w:rsidRPr="003D3532">
        <w:rPr>
          <w:rFonts w:ascii="Cambria" w:hAnsi="Cambria"/>
          <w:sz w:val="20"/>
          <w:szCs w:val="20"/>
          <w:lang w:val="es-ES_tradnl"/>
        </w:rPr>
        <w:t xml:space="preserve">. Asimismo, </w:t>
      </w:r>
      <w:r w:rsidR="00AF6382" w:rsidRPr="003D3532">
        <w:rPr>
          <w:rFonts w:ascii="Cambria" w:hAnsi="Cambria"/>
          <w:sz w:val="20"/>
          <w:szCs w:val="20"/>
          <w:lang w:val="es-ES_tradnl"/>
        </w:rPr>
        <w:t xml:space="preserve">la parte peticionaria sostiene </w:t>
      </w:r>
      <w:r w:rsidRPr="003D3532">
        <w:rPr>
          <w:rFonts w:ascii="Cambria" w:hAnsi="Cambria"/>
          <w:sz w:val="20"/>
          <w:szCs w:val="20"/>
          <w:lang w:val="es-ES_tradnl"/>
        </w:rPr>
        <w:t xml:space="preserve">que </w:t>
      </w:r>
      <w:r w:rsidR="00AF6382" w:rsidRPr="003D3532">
        <w:rPr>
          <w:rFonts w:ascii="Cambria" w:hAnsi="Cambria"/>
          <w:sz w:val="20"/>
          <w:szCs w:val="20"/>
          <w:lang w:val="es-ES_tradnl"/>
        </w:rPr>
        <w:t xml:space="preserve">esa </w:t>
      </w:r>
      <w:r w:rsidRPr="003D3532">
        <w:rPr>
          <w:rFonts w:ascii="Cambria" w:hAnsi="Cambria"/>
          <w:sz w:val="20"/>
          <w:szCs w:val="20"/>
          <w:lang w:val="es-ES_tradnl"/>
        </w:rPr>
        <w:t>ley estableció que los incrementos remunerativos que se otorgue</w:t>
      </w:r>
      <w:r w:rsidR="00AF6382" w:rsidRPr="003D3532">
        <w:rPr>
          <w:rFonts w:ascii="Cambria" w:hAnsi="Cambria"/>
          <w:sz w:val="20"/>
          <w:szCs w:val="20"/>
          <w:lang w:val="es-ES_tradnl"/>
        </w:rPr>
        <w:t>n</w:t>
      </w:r>
      <w:r w:rsidRPr="003D3532">
        <w:rPr>
          <w:rFonts w:ascii="Cambria" w:hAnsi="Cambria"/>
          <w:sz w:val="20"/>
          <w:szCs w:val="20"/>
          <w:lang w:val="es-ES_tradnl"/>
        </w:rPr>
        <w:t xml:space="preserve"> en el futuro a </w:t>
      </w:r>
      <w:r w:rsidR="001E082D">
        <w:rPr>
          <w:rFonts w:ascii="Cambria" w:hAnsi="Cambria"/>
          <w:sz w:val="20"/>
          <w:szCs w:val="20"/>
          <w:lang w:val="es-ES_tradnl"/>
        </w:rPr>
        <w:t>los magistrados</w:t>
      </w:r>
      <w:r w:rsidR="001E082D" w:rsidRPr="003D3532">
        <w:rPr>
          <w:rFonts w:ascii="Cambria" w:hAnsi="Cambria"/>
          <w:sz w:val="20"/>
          <w:szCs w:val="20"/>
          <w:lang w:val="es-ES_tradnl"/>
        </w:rPr>
        <w:t xml:space="preserve"> </w:t>
      </w:r>
      <w:r w:rsidRPr="003D3532">
        <w:rPr>
          <w:rFonts w:ascii="Cambria" w:hAnsi="Cambria"/>
          <w:sz w:val="20"/>
          <w:szCs w:val="20"/>
          <w:lang w:val="es-ES_tradnl"/>
        </w:rPr>
        <w:t xml:space="preserve">quedarán supeditados a un proceso de evaluación y a la decisión final del Ministerio de Economía y Finanzas, por medio de un decreto supremo. De este modo, </w:t>
      </w:r>
      <w:r w:rsidR="00E6634A" w:rsidRPr="003D3532">
        <w:rPr>
          <w:rFonts w:ascii="Cambria" w:hAnsi="Cambria"/>
          <w:sz w:val="20"/>
          <w:szCs w:val="20"/>
          <w:lang w:val="es-ES_tradnl"/>
        </w:rPr>
        <w:t xml:space="preserve">afirma </w:t>
      </w:r>
      <w:r w:rsidRPr="003D3532">
        <w:rPr>
          <w:rFonts w:ascii="Cambria" w:hAnsi="Cambria"/>
          <w:sz w:val="20"/>
          <w:szCs w:val="20"/>
          <w:lang w:val="es-ES_tradnl"/>
        </w:rPr>
        <w:t>que esta acción vulneró el derecho a la cosa juzgada de las presuntas víctimas.</w:t>
      </w:r>
    </w:p>
    <w:p w14:paraId="243E2EA9" w14:textId="621FA392" w:rsidR="006E0437" w:rsidRPr="003D3532" w:rsidRDefault="006E0437" w:rsidP="006E043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3D3532">
        <w:rPr>
          <w:rFonts w:ascii="Cambria" w:hAnsi="Cambria"/>
          <w:sz w:val="20"/>
          <w:szCs w:val="20"/>
          <w:lang w:val="es-ES_tradnl"/>
        </w:rPr>
        <w:t>Destaca que si bien en el 2019 el Colegio de Abogados de Arequipa present</w:t>
      </w:r>
      <w:r w:rsidR="00E97FC3" w:rsidRPr="003D3532">
        <w:rPr>
          <w:rFonts w:ascii="Cambria" w:hAnsi="Cambria"/>
          <w:sz w:val="20"/>
          <w:szCs w:val="20"/>
          <w:lang w:val="es-ES_tradnl"/>
        </w:rPr>
        <w:t>ó</w:t>
      </w:r>
      <w:r w:rsidRPr="003D3532">
        <w:rPr>
          <w:rFonts w:ascii="Cambria" w:hAnsi="Cambria"/>
          <w:sz w:val="20"/>
          <w:szCs w:val="20"/>
          <w:lang w:val="es-ES_tradnl"/>
        </w:rPr>
        <w:t xml:space="preserve"> una acción de inconstitucionalidad contra la referida Ley N.º 30125, alegando la transgresión del deber de progresividad que </w:t>
      </w:r>
      <w:r w:rsidR="00E6634A" w:rsidRPr="003D3532">
        <w:rPr>
          <w:rFonts w:ascii="Cambria" w:hAnsi="Cambria"/>
          <w:sz w:val="20"/>
          <w:szCs w:val="20"/>
          <w:lang w:val="es-ES_tradnl"/>
        </w:rPr>
        <w:t xml:space="preserve">aplica </w:t>
      </w:r>
      <w:r w:rsidRPr="003D3532">
        <w:rPr>
          <w:rFonts w:ascii="Cambria" w:hAnsi="Cambria"/>
          <w:sz w:val="20"/>
          <w:szCs w:val="20"/>
          <w:lang w:val="es-ES_tradnl"/>
        </w:rPr>
        <w:t xml:space="preserve">a los derechos económicos, sociales y culturales, el 27 de noviembre de 2020 el Tribunal Constitucional, </w:t>
      </w:r>
      <w:r w:rsidRPr="003D3532">
        <w:rPr>
          <w:rFonts w:ascii="Cambria" w:hAnsi="Cambria"/>
          <w:sz w:val="20"/>
          <w:szCs w:val="20"/>
          <w:lang w:val="es-ES_tradnl"/>
        </w:rPr>
        <w:lastRenderedPageBreak/>
        <w:t xml:space="preserve">mediante sentencia recaída en el expediente N.º 00020-2019-PI/TC, confirmó la constitucionalidad de </w:t>
      </w:r>
      <w:r w:rsidR="00E6634A" w:rsidRPr="003D3532">
        <w:rPr>
          <w:rFonts w:ascii="Cambria" w:hAnsi="Cambria"/>
          <w:sz w:val="20"/>
          <w:szCs w:val="20"/>
          <w:lang w:val="es-ES_tradnl"/>
        </w:rPr>
        <w:t xml:space="preserve">la </w:t>
      </w:r>
      <w:r w:rsidRPr="003D3532">
        <w:rPr>
          <w:rFonts w:ascii="Cambria" w:hAnsi="Cambria"/>
          <w:sz w:val="20"/>
          <w:szCs w:val="20"/>
          <w:lang w:val="es-ES_tradnl"/>
        </w:rPr>
        <w:t>normativa, al considerar que no infringía el citado principio de progresividad. En particular, el tribunal resaltó que “</w:t>
      </w:r>
      <w:r w:rsidRPr="003D3532">
        <w:rPr>
          <w:rFonts w:ascii="Cambria" w:hAnsi="Cambria"/>
          <w:i/>
          <w:iCs/>
          <w:sz w:val="20"/>
          <w:szCs w:val="20"/>
          <w:lang w:val="es-ES_tradnl"/>
        </w:rPr>
        <w:t>el monto de las remuneraciones de los funcionarios y servidores públicos debe guardar armonía con la posibilidad de la economía nacionales</w:t>
      </w:r>
      <w:r w:rsidRPr="003D3532">
        <w:rPr>
          <w:rFonts w:ascii="Cambria" w:hAnsi="Cambria"/>
          <w:sz w:val="20"/>
          <w:szCs w:val="20"/>
          <w:lang w:val="es-ES_tradnl"/>
        </w:rPr>
        <w:t>”</w:t>
      </w:r>
      <w:r w:rsidR="00E97FC3" w:rsidRPr="003D3532">
        <w:rPr>
          <w:rFonts w:ascii="Cambria" w:hAnsi="Cambria"/>
          <w:sz w:val="20"/>
          <w:szCs w:val="20"/>
          <w:lang w:val="es-ES_tradnl"/>
        </w:rPr>
        <w:t>;</w:t>
      </w:r>
      <w:r w:rsidRPr="003D3532">
        <w:rPr>
          <w:rFonts w:ascii="Cambria" w:hAnsi="Cambria"/>
          <w:sz w:val="20"/>
          <w:szCs w:val="20"/>
          <w:lang w:val="es-ES_tradnl"/>
        </w:rPr>
        <w:t xml:space="preserve"> y que “</w:t>
      </w:r>
      <w:r w:rsidRPr="003D3532">
        <w:rPr>
          <w:rFonts w:ascii="Cambria" w:hAnsi="Cambria"/>
          <w:i/>
          <w:iCs/>
          <w:sz w:val="20"/>
          <w:szCs w:val="20"/>
          <w:lang w:val="es-ES_tradnl"/>
        </w:rPr>
        <w:t>la remuneración prevista en la ley como un porcentaje que oscila entre el 80% y el 40% del ingreso que perciben los Vocales de la Corte Suprema por todo concepto, en el contexto actual, no afecta el principio constitucionalmente establecido de que la remuneración debe resultar digna de su misión y jerarquía</w:t>
      </w:r>
      <w:r w:rsidRPr="003D3532">
        <w:rPr>
          <w:rFonts w:ascii="Cambria" w:hAnsi="Cambria"/>
          <w:sz w:val="20"/>
          <w:szCs w:val="20"/>
          <w:lang w:val="es-ES_tradnl"/>
        </w:rPr>
        <w:t xml:space="preserve">”. </w:t>
      </w:r>
    </w:p>
    <w:p w14:paraId="0090C2B8" w14:textId="5476AD13" w:rsidR="006E0437" w:rsidRPr="003D3532" w:rsidRDefault="006E0437" w:rsidP="006E043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3D3532">
        <w:rPr>
          <w:rFonts w:ascii="Cambria" w:hAnsi="Cambria"/>
          <w:sz w:val="20"/>
          <w:szCs w:val="20"/>
          <w:lang w:val="es-ES_tradnl"/>
        </w:rPr>
        <w:t>Finalmente, resalta que</w:t>
      </w:r>
      <w:r w:rsidR="000D7FFD" w:rsidRPr="003D3532">
        <w:rPr>
          <w:rFonts w:ascii="Cambria" w:hAnsi="Cambria"/>
          <w:sz w:val="20"/>
          <w:szCs w:val="20"/>
          <w:lang w:val="es-ES_tradnl"/>
        </w:rPr>
        <w:t>,</w:t>
      </w:r>
      <w:r w:rsidRPr="003D3532">
        <w:rPr>
          <w:rFonts w:ascii="Cambria" w:hAnsi="Cambria"/>
          <w:sz w:val="20"/>
          <w:szCs w:val="20"/>
          <w:lang w:val="es-ES_tradnl"/>
        </w:rPr>
        <w:t xml:space="preserve"> a pesar de que el 3 de enero de 2014 el Procurador del Ministerio de Economía y Finanzas solicitó al Quinto Juzgado Constitucional de Lima que diera por concluida la ejecución de la sentencia de cumplimiento, al considerar que la pretensión demandada por las presuntas víctimas había sido atendida en el marco de la normatividad vigente, el 25 de julio de 2014 </w:t>
      </w:r>
      <w:r w:rsidR="000D7FFD" w:rsidRPr="003D3532">
        <w:rPr>
          <w:rFonts w:ascii="Cambria" w:hAnsi="Cambria"/>
          <w:sz w:val="20"/>
          <w:szCs w:val="20"/>
          <w:lang w:val="es-ES_tradnl"/>
        </w:rPr>
        <w:t xml:space="preserve">ese </w:t>
      </w:r>
      <w:r w:rsidRPr="003D3532">
        <w:rPr>
          <w:rFonts w:ascii="Cambria" w:hAnsi="Cambria"/>
          <w:sz w:val="20"/>
          <w:szCs w:val="20"/>
          <w:lang w:val="es-ES_tradnl"/>
        </w:rPr>
        <w:t xml:space="preserve">juez declaró infundado el pedido y aplicó al referido Ministerio una multa de dos Unidades de Referencia Procesal por no haber cumplido el mandato judicial. Además, </w:t>
      </w:r>
      <w:r w:rsidR="00B44671" w:rsidRPr="003D3532">
        <w:rPr>
          <w:rFonts w:ascii="Cambria" w:hAnsi="Cambria"/>
          <w:sz w:val="20"/>
          <w:szCs w:val="20"/>
          <w:lang w:val="es-ES_tradnl"/>
        </w:rPr>
        <w:t>con base en</w:t>
      </w:r>
      <w:r w:rsidRPr="003D3532">
        <w:rPr>
          <w:rFonts w:ascii="Cambria" w:hAnsi="Cambria"/>
          <w:sz w:val="20"/>
          <w:szCs w:val="20"/>
          <w:lang w:val="es-ES_tradnl"/>
        </w:rPr>
        <w:t xml:space="preserve"> esta decisión, </w:t>
      </w:r>
      <w:r w:rsidR="00B44671" w:rsidRPr="003D3532">
        <w:rPr>
          <w:rFonts w:ascii="Cambria" w:hAnsi="Cambria"/>
          <w:sz w:val="20"/>
          <w:szCs w:val="20"/>
          <w:lang w:val="es-ES_tradnl"/>
        </w:rPr>
        <w:t xml:space="preserve">la parte peticionaria </w:t>
      </w:r>
      <w:r w:rsidRPr="003D3532">
        <w:rPr>
          <w:rFonts w:ascii="Cambria" w:hAnsi="Cambria"/>
          <w:sz w:val="20"/>
          <w:szCs w:val="20"/>
          <w:lang w:val="es-ES_tradnl"/>
        </w:rPr>
        <w:t xml:space="preserve">resalta que la representación de las presuntas víctimas solicitó que se </w:t>
      </w:r>
      <w:r w:rsidR="00B44671" w:rsidRPr="003D3532">
        <w:rPr>
          <w:rFonts w:ascii="Cambria" w:hAnsi="Cambria"/>
          <w:sz w:val="20"/>
          <w:szCs w:val="20"/>
          <w:lang w:val="es-ES_tradnl"/>
        </w:rPr>
        <w:t xml:space="preserve">precisara </w:t>
      </w:r>
      <w:r w:rsidRPr="003D3532">
        <w:rPr>
          <w:rFonts w:ascii="Cambria" w:hAnsi="Cambria"/>
          <w:sz w:val="20"/>
          <w:szCs w:val="20"/>
          <w:lang w:val="es-ES_tradnl"/>
        </w:rPr>
        <w:t xml:space="preserve">que cada </w:t>
      </w:r>
      <w:r w:rsidR="00E97FC3" w:rsidRPr="003D3532">
        <w:rPr>
          <w:rFonts w:ascii="Cambria" w:hAnsi="Cambria"/>
          <w:sz w:val="20"/>
          <w:szCs w:val="20"/>
          <w:lang w:val="es-ES_tradnl"/>
        </w:rPr>
        <w:t xml:space="preserve">magistrado y </w:t>
      </w:r>
      <w:r w:rsidRPr="003D3532">
        <w:rPr>
          <w:rFonts w:ascii="Cambria" w:hAnsi="Cambria"/>
          <w:sz w:val="20"/>
          <w:szCs w:val="20"/>
          <w:lang w:val="es-ES_tradnl"/>
        </w:rPr>
        <w:t>magistrada debía recibir el reintegro de las remuneraciones que le correspondía en la proporción ordenada en la sentencia hasta antes de la modificatoria establecida en la Ley Nº 30125. Como resultado de esta petición, el 30 de marzo de 2015 el Quinto Juzgado Especializado en lo Constitucional de Lima, mediante la resolución N° 147, dispuso “</w:t>
      </w:r>
      <w:r w:rsidRPr="003D3532">
        <w:rPr>
          <w:rFonts w:ascii="Cambria" w:hAnsi="Cambria"/>
          <w:i/>
          <w:iCs/>
          <w:sz w:val="20"/>
          <w:szCs w:val="20"/>
          <w:lang w:val="es-ES_tradnl"/>
        </w:rPr>
        <w:t>remitir actuados al Equipo Técnico Pericial, a fin de que se practique la liquidación de adeudos de remuneraciones de cada persona magistrada, de acuerdo con su fecha de ingreso a la carrera judicial y el puesto que desempeñaba”</w:t>
      </w:r>
      <w:r w:rsidRPr="003D3532">
        <w:rPr>
          <w:rFonts w:ascii="Cambria" w:hAnsi="Cambria"/>
          <w:sz w:val="20"/>
          <w:szCs w:val="20"/>
          <w:lang w:val="es-ES_tradnl"/>
        </w:rPr>
        <w:t>. Agrega que el 13 de julio de 2017 la Tercera Sala Civil de la Corte Superior de Justicia, mediante resolución N.º 09, confirmó esta decisión.</w:t>
      </w:r>
    </w:p>
    <w:p w14:paraId="4C8ABE98" w14:textId="18E48F36" w:rsidR="006E0437" w:rsidRPr="003D3532" w:rsidRDefault="006E0437" w:rsidP="006E043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3D3532">
        <w:rPr>
          <w:rFonts w:ascii="Cambria" w:hAnsi="Cambria"/>
          <w:sz w:val="20"/>
          <w:szCs w:val="20"/>
          <w:lang w:val="es-ES_tradnl"/>
        </w:rPr>
        <w:t>A juicio de la parte peticionaria, las referidas resoluciones demuestran que el proceso aún se encuentra en etapa de ejecución, dado que las autoridades se rehúsan a acatar lo dispuesto judicialmente</w:t>
      </w:r>
      <w:r w:rsidR="00B63AE6" w:rsidRPr="003D3532">
        <w:rPr>
          <w:rFonts w:ascii="Cambria" w:hAnsi="Cambria"/>
          <w:sz w:val="20"/>
          <w:szCs w:val="20"/>
          <w:lang w:val="es-ES_tradnl"/>
        </w:rPr>
        <w:t>.</w:t>
      </w:r>
      <w:r w:rsidRPr="003D3532">
        <w:rPr>
          <w:rFonts w:ascii="Cambria" w:hAnsi="Cambria"/>
          <w:sz w:val="20"/>
          <w:szCs w:val="20"/>
          <w:lang w:val="es-ES_tradnl"/>
        </w:rPr>
        <w:t xml:space="preserve"> </w:t>
      </w:r>
    </w:p>
    <w:p w14:paraId="01BEBE71" w14:textId="77777777" w:rsidR="006E0437" w:rsidRPr="003D3532" w:rsidRDefault="006E0437" w:rsidP="006E043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i/>
          <w:iCs/>
          <w:sz w:val="20"/>
          <w:szCs w:val="20"/>
          <w:lang w:val="es-ES_tradnl"/>
        </w:rPr>
      </w:pPr>
      <w:r w:rsidRPr="003D3532">
        <w:rPr>
          <w:rFonts w:ascii="Cambria" w:hAnsi="Cambria"/>
          <w:i/>
          <w:iCs/>
          <w:sz w:val="20"/>
          <w:szCs w:val="20"/>
          <w:lang w:val="es-ES_tradnl"/>
        </w:rPr>
        <w:t>Consideraciones finales</w:t>
      </w:r>
    </w:p>
    <w:p w14:paraId="0D9C9F3D" w14:textId="4688E5B0" w:rsidR="006E0437" w:rsidRPr="003D3532" w:rsidRDefault="006E0437" w:rsidP="006E043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3D3532">
        <w:rPr>
          <w:rFonts w:ascii="Cambria" w:hAnsi="Cambria"/>
          <w:sz w:val="20"/>
          <w:szCs w:val="20"/>
          <w:lang w:val="es-ES_tradnl"/>
        </w:rPr>
        <w:t xml:space="preserve"> </w:t>
      </w:r>
      <w:r w:rsidR="00B63AE6" w:rsidRPr="003D3532">
        <w:rPr>
          <w:rFonts w:ascii="Cambria" w:hAnsi="Cambria"/>
          <w:sz w:val="20"/>
          <w:szCs w:val="20"/>
          <w:lang w:val="es-ES_tradnl"/>
        </w:rPr>
        <w:t>L</w:t>
      </w:r>
      <w:r w:rsidRPr="003D3532">
        <w:rPr>
          <w:rFonts w:ascii="Cambria" w:hAnsi="Cambria"/>
          <w:sz w:val="20"/>
          <w:szCs w:val="20"/>
          <w:lang w:val="es-ES_tradnl"/>
        </w:rPr>
        <w:t xml:space="preserve">a parte peticionaria </w:t>
      </w:r>
      <w:r w:rsidR="00B63AE6" w:rsidRPr="003D3532">
        <w:rPr>
          <w:rFonts w:ascii="Cambria" w:hAnsi="Cambria"/>
          <w:sz w:val="20"/>
          <w:szCs w:val="20"/>
          <w:lang w:val="es-ES_tradnl"/>
        </w:rPr>
        <w:t>aduce</w:t>
      </w:r>
      <w:r w:rsidRPr="003D3532">
        <w:rPr>
          <w:rFonts w:ascii="Cambria" w:hAnsi="Cambria"/>
          <w:sz w:val="20"/>
          <w:szCs w:val="20"/>
          <w:lang w:val="es-ES_tradnl"/>
        </w:rPr>
        <w:t xml:space="preserve"> que el Estado viola los derechos de las presuntas víctimas al no cumplir con la sentencia en su favor que ordena la homologación y pago de sus remuneraciones, bajo la excusa que esta se ha vuelto inejecutable. </w:t>
      </w:r>
      <w:r w:rsidR="00B63AE6" w:rsidRPr="003D3532">
        <w:rPr>
          <w:rFonts w:ascii="Cambria" w:hAnsi="Cambria"/>
          <w:sz w:val="20"/>
          <w:szCs w:val="20"/>
          <w:lang w:val="es-ES_tradnl"/>
        </w:rPr>
        <w:t>Alega</w:t>
      </w:r>
      <w:r w:rsidRPr="003D3532">
        <w:rPr>
          <w:rFonts w:ascii="Cambria" w:hAnsi="Cambria"/>
          <w:sz w:val="20"/>
          <w:szCs w:val="20"/>
          <w:lang w:val="es-ES_tradnl"/>
        </w:rPr>
        <w:t xml:space="preserve"> que las autoridades pretenden justificar su accionar argumentando que la Ley Orgánica del Poder Judicial ha sido modificada tras la emisión de tal sentencia y que el Tribunal Constitucional ha dejado claro que la administración de la reserva de contingencia es intangible y únicamente puede ser administrada por el Ministerio de Economía y Finanzas. Sin embargo, a juicio de la parte peticionaria, la modificación a la referida ley </w:t>
      </w:r>
      <w:r w:rsidR="00B63AE6" w:rsidRPr="003D3532">
        <w:rPr>
          <w:rFonts w:ascii="Cambria" w:hAnsi="Cambria"/>
          <w:sz w:val="20"/>
          <w:szCs w:val="20"/>
          <w:lang w:val="es-ES_tradnl"/>
        </w:rPr>
        <w:t>es</w:t>
      </w:r>
      <w:r w:rsidRPr="003D3532">
        <w:rPr>
          <w:rFonts w:ascii="Cambria" w:hAnsi="Cambria"/>
          <w:sz w:val="20"/>
          <w:szCs w:val="20"/>
          <w:lang w:val="es-ES_tradnl"/>
        </w:rPr>
        <w:t xml:space="preserve"> inconstitucional y viola los derechos de las presuntas víctimas a la cosa juzgada, a la independencia judicial y a la no regresividad de sus derechos sociales. Además, resalta que, si bien el Tribunal Constitucional confirmó la constitucionalidad de </w:t>
      </w:r>
      <w:r w:rsidR="00F428FF" w:rsidRPr="003D3532">
        <w:rPr>
          <w:rFonts w:ascii="Cambria" w:hAnsi="Cambria"/>
          <w:sz w:val="20"/>
          <w:szCs w:val="20"/>
          <w:lang w:val="es-ES_tradnl"/>
        </w:rPr>
        <w:t>la Ley Nº 30125</w:t>
      </w:r>
      <w:r w:rsidRPr="003D3532">
        <w:rPr>
          <w:rFonts w:ascii="Cambria" w:hAnsi="Cambria"/>
          <w:sz w:val="20"/>
          <w:szCs w:val="20"/>
          <w:lang w:val="es-ES_tradnl"/>
        </w:rPr>
        <w:t xml:space="preserve">, tal órgano nunca demostró las razones de interés nacional que justificaran la regresión producida respectivo del nivel remunerativo reconocido inicialmente en el artículo 186, inciso 5, literal b) de la Ley Orgánica del Poder Judicial. </w:t>
      </w:r>
    </w:p>
    <w:p w14:paraId="3F3F7DCF" w14:textId="323F558A" w:rsidR="00BB5DB3" w:rsidRPr="003D3532" w:rsidRDefault="00BB5DB3" w:rsidP="006E043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3D3532">
        <w:rPr>
          <w:rFonts w:ascii="Cambria" w:hAnsi="Cambria"/>
          <w:sz w:val="20"/>
          <w:szCs w:val="20"/>
          <w:lang w:val="es-ES_tradnl"/>
        </w:rPr>
        <w:t>Agrega que esta ausencia de cumplimiento del fallo y la consecuente</w:t>
      </w:r>
      <w:r w:rsidR="005B4BF2" w:rsidRPr="003D3532">
        <w:rPr>
          <w:rFonts w:ascii="Cambria" w:hAnsi="Cambria"/>
          <w:sz w:val="20"/>
          <w:szCs w:val="20"/>
          <w:lang w:val="es-ES_tradnl"/>
        </w:rPr>
        <w:t xml:space="preserve"> falta de</w:t>
      </w:r>
      <w:r w:rsidRPr="003D3532">
        <w:rPr>
          <w:rFonts w:ascii="Cambria" w:hAnsi="Cambria"/>
          <w:sz w:val="20"/>
          <w:szCs w:val="20"/>
          <w:lang w:val="es-ES_tradnl"/>
        </w:rPr>
        <w:t xml:space="preserve"> homologación de salarios provoca una afectación al derecho a la igualdad, en tanto no </w:t>
      </w:r>
      <w:r w:rsidR="00B63AE6" w:rsidRPr="003D3532">
        <w:rPr>
          <w:rFonts w:ascii="Cambria" w:hAnsi="Cambria"/>
          <w:sz w:val="20"/>
          <w:szCs w:val="20"/>
          <w:lang w:val="es-ES_tradnl"/>
        </w:rPr>
        <w:t>existiría</w:t>
      </w:r>
      <w:r w:rsidRPr="003D3532">
        <w:rPr>
          <w:rFonts w:ascii="Cambria" w:hAnsi="Cambria"/>
          <w:sz w:val="20"/>
          <w:szCs w:val="20"/>
          <w:lang w:val="es-ES_tradnl"/>
        </w:rPr>
        <w:t xml:space="preserve"> razón que justifique que </w:t>
      </w:r>
      <w:r w:rsidR="008D454D" w:rsidRPr="003D3532">
        <w:rPr>
          <w:rFonts w:ascii="Cambria" w:hAnsi="Cambria"/>
          <w:sz w:val="20"/>
          <w:szCs w:val="20"/>
          <w:lang w:val="es-ES_tradnl"/>
        </w:rPr>
        <w:t>quienes ocupan el cargo de vocales</w:t>
      </w:r>
      <w:r w:rsidRPr="003D3532">
        <w:rPr>
          <w:rFonts w:ascii="Cambria" w:hAnsi="Cambria"/>
          <w:sz w:val="20"/>
          <w:szCs w:val="20"/>
          <w:lang w:val="es-ES_tradnl"/>
        </w:rPr>
        <w:t xml:space="preserve"> supremos sí reciban su remuneración conforme a ley</w:t>
      </w:r>
      <w:r w:rsidR="00B63AE6" w:rsidRPr="003D3532">
        <w:rPr>
          <w:rFonts w:ascii="Cambria" w:hAnsi="Cambria"/>
          <w:sz w:val="20"/>
          <w:szCs w:val="20"/>
          <w:lang w:val="es-ES_tradnl"/>
        </w:rPr>
        <w:t>,</w:t>
      </w:r>
      <w:r w:rsidR="008D454D" w:rsidRPr="003D3532">
        <w:rPr>
          <w:rFonts w:ascii="Cambria" w:hAnsi="Cambria"/>
          <w:sz w:val="20"/>
          <w:szCs w:val="20"/>
          <w:lang w:val="es-ES_tradnl"/>
        </w:rPr>
        <w:t xml:space="preserve"> y que el resto de </w:t>
      </w:r>
      <w:r w:rsidR="001E082D">
        <w:rPr>
          <w:rFonts w:ascii="Cambria" w:hAnsi="Cambria"/>
          <w:sz w:val="20"/>
          <w:szCs w:val="20"/>
          <w:lang w:val="es-ES_tradnl"/>
        </w:rPr>
        <w:t>los magistrados</w:t>
      </w:r>
      <w:r w:rsidR="001E082D" w:rsidRPr="003D3532">
        <w:rPr>
          <w:rFonts w:ascii="Cambria" w:hAnsi="Cambria"/>
          <w:sz w:val="20"/>
          <w:szCs w:val="20"/>
          <w:lang w:val="es-ES_tradnl"/>
        </w:rPr>
        <w:t xml:space="preserve"> </w:t>
      </w:r>
      <w:r w:rsidR="008D454D" w:rsidRPr="003D3532">
        <w:rPr>
          <w:rFonts w:ascii="Cambria" w:hAnsi="Cambria"/>
          <w:sz w:val="20"/>
          <w:szCs w:val="20"/>
          <w:lang w:val="es-ES_tradnl"/>
        </w:rPr>
        <w:t xml:space="preserve">no obtengan lo que les corresponde. </w:t>
      </w:r>
    </w:p>
    <w:p w14:paraId="4C95A4C1" w14:textId="77777777" w:rsidR="006E0437" w:rsidRPr="003D3532" w:rsidRDefault="006E0437" w:rsidP="006E043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3D3532">
        <w:rPr>
          <w:rFonts w:ascii="Cambria" w:hAnsi="Cambria"/>
          <w:sz w:val="20"/>
          <w:szCs w:val="20"/>
          <w:lang w:val="es-ES_tradnl"/>
        </w:rPr>
        <w:t xml:space="preserve">Respecto a la situación de duplicidad procesal alegada por el Estado, afirman que ambas peticiones deberían acumularse, de conformidad con lo dispuesto por el artículo 29, inciso 5, del Reglamento de la CIDH. No obstante, en caso se descarte esta posibilidad, solicita que se mantenga el trámite de la presente petición, en tanto cuenta con la legitimidad de haber sido presentada por el presidente de la ANMP. </w:t>
      </w:r>
    </w:p>
    <w:p w14:paraId="23DE566F" w14:textId="4DC1AF31" w:rsidR="006E0437" w:rsidRPr="003D3532" w:rsidRDefault="006E0437" w:rsidP="006E043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3D3532">
        <w:rPr>
          <w:rFonts w:ascii="Cambria" w:hAnsi="Cambria"/>
          <w:sz w:val="20"/>
          <w:szCs w:val="20"/>
          <w:lang w:val="es-ES_tradnl"/>
        </w:rPr>
        <w:t xml:space="preserve">Finalmente, afirma que es falso que las presuntas víctimas hayan pretendido variar el contenido de la sentencia de cumplimiento al requerir el pago de devengados. Sostiene que </w:t>
      </w:r>
      <w:r w:rsidR="001E082D">
        <w:rPr>
          <w:rFonts w:ascii="Cambria" w:hAnsi="Cambria"/>
          <w:sz w:val="20"/>
          <w:szCs w:val="20"/>
          <w:lang w:val="es-ES_tradnl"/>
        </w:rPr>
        <w:t>los magistrados</w:t>
      </w:r>
      <w:r w:rsidR="001E082D" w:rsidRPr="003D3532">
        <w:rPr>
          <w:rFonts w:ascii="Cambria" w:hAnsi="Cambria"/>
          <w:sz w:val="20"/>
          <w:szCs w:val="20"/>
          <w:lang w:val="es-ES_tradnl"/>
        </w:rPr>
        <w:t xml:space="preserve"> </w:t>
      </w:r>
      <w:r w:rsidRPr="003D3532">
        <w:rPr>
          <w:rFonts w:ascii="Cambria" w:hAnsi="Cambria"/>
          <w:sz w:val="20"/>
          <w:szCs w:val="20"/>
          <w:lang w:val="es-ES_tradnl"/>
        </w:rPr>
        <w:t xml:space="preserve">únicamente han solicitado que se cumpla con pagar las remuneraciones no percibidas mientras el antiguo artículo 186° de la Ley Orgánica del Poder Judicial estaba en vigor, a efectos de eliminar las discriminaciones </w:t>
      </w:r>
      <w:r w:rsidRPr="003D3532">
        <w:rPr>
          <w:rFonts w:ascii="Cambria" w:hAnsi="Cambria"/>
          <w:sz w:val="20"/>
          <w:szCs w:val="20"/>
          <w:lang w:val="es-ES_tradnl"/>
        </w:rPr>
        <w:lastRenderedPageBreak/>
        <w:t xml:space="preserve">salariales. En consecuencia, afirma que lo solicitado por </w:t>
      </w:r>
      <w:r w:rsidR="001E082D">
        <w:rPr>
          <w:rFonts w:ascii="Cambria" w:hAnsi="Cambria"/>
          <w:sz w:val="20"/>
          <w:szCs w:val="20"/>
          <w:lang w:val="es-ES_tradnl"/>
        </w:rPr>
        <w:t>los magistrados</w:t>
      </w:r>
      <w:r w:rsidR="001E082D" w:rsidRPr="003D3532">
        <w:rPr>
          <w:rFonts w:ascii="Cambria" w:hAnsi="Cambria"/>
          <w:sz w:val="20"/>
          <w:szCs w:val="20"/>
          <w:lang w:val="es-ES_tradnl"/>
        </w:rPr>
        <w:t xml:space="preserve"> </w:t>
      </w:r>
      <w:r w:rsidRPr="003D3532">
        <w:rPr>
          <w:rFonts w:ascii="Cambria" w:hAnsi="Cambria"/>
          <w:sz w:val="20"/>
          <w:szCs w:val="20"/>
          <w:lang w:val="es-ES_tradnl"/>
        </w:rPr>
        <w:t xml:space="preserve">está dentro de los alcances de lo dispuesto por la sentencia y no se ha tergiversado la cosa juzgada.  </w:t>
      </w:r>
    </w:p>
    <w:bookmarkEnd w:id="2"/>
    <w:p w14:paraId="38CB7F1C" w14:textId="3F59D1C7" w:rsidR="006E0437" w:rsidRPr="003D3532" w:rsidRDefault="006E0437" w:rsidP="003239B8">
      <w:pPr>
        <w:spacing w:before="240" w:after="240"/>
        <w:ind w:firstLine="720"/>
        <w:jc w:val="both"/>
        <w:rPr>
          <w:rFonts w:ascii="Cambria" w:hAnsi="Cambria"/>
          <w:bCs/>
          <w:i/>
          <w:iCs/>
          <w:sz w:val="20"/>
          <w:szCs w:val="20"/>
          <w:lang w:val="es-ES_tradnl"/>
        </w:rPr>
      </w:pPr>
      <w:r w:rsidRPr="003D3532">
        <w:rPr>
          <w:rFonts w:ascii="Cambria" w:hAnsi="Cambria"/>
          <w:bCs/>
          <w:i/>
          <w:iCs/>
          <w:sz w:val="20"/>
          <w:szCs w:val="20"/>
          <w:lang w:val="es-ES_tradnl"/>
        </w:rPr>
        <w:t>Alegatos del Estado</w:t>
      </w:r>
    </w:p>
    <w:p w14:paraId="020B28F0" w14:textId="4C33EB41" w:rsidR="00F65A42" w:rsidRPr="003D3532" w:rsidRDefault="00A36773" w:rsidP="00F65A4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3D3532">
        <w:rPr>
          <w:rFonts w:ascii="Cambria" w:hAnsi="Cambria"/>
          <w:sz w:val="20"/>
          <w:szCs w:val="20"/>
          <w:lang w:val="es-ES_tradnl"/>
        </w:rPr>
        <w:t>El Estado</w:t>
      </w:r>
      <w:r w:rsidR="00B63AE6" w:rsidRPr="003D3532">
        <w:rPr>
          <w:rFonts w:ascii="Cambria" w:hAnsi="Cambria"/>
          <w:sz w:val="20"/>
          <w:szCs w:val="20"/>
          <w:lang w:val="es-ES_tradnl"/>
        </w:rPr>
        <w:t xml:space="preserve"> peruano</w:t>
      </w:r>
      <w:r w:rsidR="0015641D" w:rsidRPr="003D3532">
        <w:rPr>
          <w:rFonts w:ascii="Cambria" w:hAnsi="Cambria"/>
          <w:sz w:val="20"/>
          <w:szCs w:val="20"/>
          <w:lang w:val="es-ES_tradnl"/>
        </w:rPr>
        <w:t xml:space="preserve"> </w:t>
      </w:r>
      <w:r w:rsidR="00B63AE6" w:rsidRPr="003D3532">
        <w:rPr>
          <w:rFonts w:ascii="Cambria" w:hAnsi="Cambria"/>
          <w:sz w:val="20"/>
          <w:szCs w:val="20"/>
          <w:lang w:val="es-ES_tradnl"/>
        </w:rPr>
        <w:t>alega</w:t>
      </w:r>
      <w:r w:rsidRPr="003D3532">
        <w:rPr>
          <w:rFonts w:ascii="Cambria" w:hAnsi="Cambria"/>
          <w:sz w:val="20"/>
          <w:szCs w:val="20"/>
          <w:lang w:val="es-ES_tradnl"/>
        </w:rPr>
        <w:t xml:space="preserve"> que la petición debe ser declarada inadmisible, </w:t>
      </w:r>
      <w:r w:rsidR="0015641D" w:rsidRPr="003D3532">
        <w:rPr>
          <w:rFonts w:ascii="Cambria" w:hAnsi="Cambria"/>
          <w:sz w:val="20"/>
          <w:szCs w:val="20"/>
          <w:lang w:val="es-ES_tradnl"/>
        </w:rPr>
        <w:t>porque considera</w:t>
      </w:r>
      <w:r w:rsidRPr="003D3532">
        <w:rPr>
          <w:rFonts w:ascii="Cambria" w:hAnsi="Cambria"/>
          <w:sz w:val="20"/>
          <w:szCs w:val="20"/>
          <w:lang w:val="es-ES_tradnl"/>
        </w:rPr>
        <w:t xml:space="preserve"> que </w:t>
      </w:r>
      <w:r w:rsidR="00CF2AA2" w:rsidRPr="003D3532">
        <w:rPr>
          <w:rFonts w:ascii="Cambria" w:hAnsi="Cambria"/>
          <w:sz w:val="20"/>
          <w:szCs w:val="20"/>
          <w:lang w:val="es-ES_tradnl"/>
        </w:rPr>
        <w:t>las presuntas víctimas no</w:t>
      </w:r>
      <w:r w:rsidRPr="003D3532">
        <w:rPr>
          <w:rFonts w:ascii="Cambria" w:hAnsi="Cambria"/>
          <w:sz w:val="20"/>
          <w:szCs w:val="20"/>
          <w:lang w:val="es-ES_tradnl"/>
        </w:rPr>
        <w:t xml:space="preserve"> </w:t>
      </w:r>
      <w:r w:rsidR="00CF2AA2" w:rsidRPr="003D3532">
        <w:rPr>
          <w:rFonts w:ascii="Cambria" w:hAnsi="Cambria"/>
          <w:sz w:val="20"/>
          <w:szCs w:val="20"/>
          <w:lang w:val="es-ES_tradnl"/>
        </w:rPr>
        <w:t xml:space="preserve">agotaron </w:t>
      </w:r>
      <w:r w:rsidRPr="003D3532">
        <w:rPr>
          <w:rFonts w:ascii="Cambria" w:hAnsi="Cambria"/>
          <w:sz w:val="20"/>
          <w:szCs w:val="20"/>
          <w:lang w:val="es-ES_tradnl"/>
        </w:rPr>
        <w:t>los recursos de la jurisdicción interna.</w:t>
      </w:r>
      <w:r w:rsidR="00875F86" w:rsidRPr="003D3532">
        <w:rPr>
          <w:rFonts w:ascii="Cambria" w:hAnsi="Cambria"/>
          <w:sz w:val="20"/>
          <w:szCs w:val="20"/>
          <w:lang w:val="es-ES_tradnl"/>
        </w:rPr>
        <w:t xml:space="preserve"> Sostiene que</w:t>
      </w:r>
      <w:r w:rsidR="00532DFC" w:rsidRPr="003D3532">
        <w:rPr>
          <w:rFonts w:ascii="Cambria" w:hAnsi="Cambria"/>
          <w:sz w:val="20"/>
          <w:szCs w:val="20"/>
          <w:lang w:val="es-ES_tradnl"/>
        </w:rPr>
        <w:t>,</w:t>
      </w:r>
      <w:r w:rsidR="00875F86" w:rsidRPr="003D3532">
        <w:rPr>
          <w:rFonts w:ascii="Cambria" w:hAnsi="Cambria"/>
          <w:sz w:val="20"/>
          <w:szCs w:val="20"/>
          <w:lang w:val="es-ES_tradnl"/>
        </w:rPr>
        <w:t xml:space="preserve"> al momento de presentación de la petición</w:t>
      </w:r>
      <w:r w:rsidR="00532DFC" w:rsidRPr="003D3532">
        <w:rPr>
          <w:rFonts w:ascii="Cambria" w:hAnsi="Cambria"/>
          <w:sz w:val="20"/>
          <w:szCs w:val="20"/>
          <w:lang w:val="es-ES_tradnl"/>
        </w:rPr>
        <w:t>,</w:t>
      </w:r>
      <w:r w:rsidR="00875F86" w:rsidRPr="003D3532">
        <w:rPr>
          <w:rFonts w:ascii="Cambria" w:hAnsi="Cambria"/>
          <w:sz w:val="20"/>
          <w:szCs w:val="20"/>
          <w:lang w:val="es-ES_tradnl"/>
        </w:rPr>
        <w:t xml:space="preserve"> aún estaba pendiente de decisión </w:t>
      </w:r>
      <w:r w:rsidR="009811A4" w:rsidRPr="003D3532">
        <w:rPr>
          <w:rFonts w:ascii="Cambria" w:hAnsi="Cambria"/>
          <w:sz w:val="20"/>
          <w:szCs w:val="20"/>
          <w:lang w:val="es-ES_tradnl"/>
        </w:rPr>
        <w:t xml:space="preserve">la </w:t>
      </w:r>
      <w:r w:rsidR="00875F86" w:rsidRPr="003D3532">
        <w:rPr>
          <w:rFonts w:ascii="Cambria" w:hAnsi="Cambria"/>
          <w:sz w:val="20"/>
          <w:szCs w:val="20"/>
          <w:lang w:val="es-ES_tradnl"/>
        </w:rPr>
        <w:t xml:space="preserve">solicitud de intervención litisconsorcial facultativa presentada por las presuntas víctimas en el proceso competencial entre el Poder Judicial y el Poder Ejecutivo. En consecuencia, afirma que era trascendente que las presuntas víctimas </w:t>
      </w:r>
      <w:r w:rsidR="00721E03" w:rsidRPr="003D3532">
        <w:rPr>
          <w:rFonts w:ascii="Cambria" w:hAnsi="Cambria"/>
          <w:sz w:val="20"/>
          <w:szCs w:val="20"/>
          <w:lang w:val="es-ES_tradnl"/>
        </w:rPr>
        <w:t xml:space="preserve">hubieran </w:t>
      </w:r>
      <w:r w:rsidR="00875F86" w:rsidRPr="003D3532">
        <w:rPr>
          <w:rFonts w:ascii="Cambria" w:hAnsi="Cambria"/>
          <w:sz w:val="20"/>
          <w:szCs w:val="20"/>
          <w:lang w:val="es-ES_tradnl"/>
        </w:rPr>
        <w:t xml:space="preserve">esperado el pronunciamiento del tribunal interno y, de esa manera, agotar cabalmente los recursos interpuestos a nivel interno. </w:t>
      </w:r>
    </w:p>
    <w:p w14:paraId="7DD1E91F" w14:textId="1301CE63" w:rsidR="009811A4" w:rsidRPr="003D3532" w:rsidRDefault="009811A4" w:rsidP="009811A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3D3532">
        <w:rPr>
          <w:rFonts w:ascii="Cambria" w:hAnsi="Cambria"/>
          <w:sz w:val="20"/>
          <w:szCs w:val="20"/>
          <w:lang w:val="es-ES_tradnl"/>
        </w:rPr>
        <w:t>Agrega que el proceso de ejecución aún se encuentra en trámite</w:t>
      </w:r>
      <w:r w:rsidR="0015641D" w:rsidRPr="003D3532">
        <w:rPr>
          <w:rFonts w:ascii="Cambria" w:hAnsi="Cambria"/>
          <w:sz w:val="20"/>
          <w:szCs w:val="20"/>
          <w:lang w:val="es-ES_tradnl"/>
        </w:rPr>
        <w:t>,</w:t>
      </w:r>
      <w:r w:rsidRPr="003D3532">
        <w:rPr>
          <w:rFonts w:ascii="Cambria" w:hAnsi="Cambria"/>
          <w:sz w:val="20"/>
          <w:szCs w:val="20"/>
          <w:lang w:val="es-ES_tradnl"/>
        </w:rPr>
        <w:t xml:space="preserve"> y que prueba de ello es que existen medios impugnatorios presentados por las autoridades en sede interna que aún no han sido resueltos en el marco del proceso de ejecución. Además, resalta que procesalmente las propias presuntas víctimas cuentan con la potestad de apelar las resoluciones judiciales con las que no se encuentren de acuerdo, hasta que se disipen las controversias suscitadas en la ejecución del proceso de cumplimiento. En consecuencia, afirma que los peticionarios presentaron la petición cuando la ejecución de la sentencia de cumplimiento aún estaba en trámite. </w:t>
      </w:r>
    </w:p>
    <w:p w14:paraId="78E952B4" w14:textId="0A152077" w:rsidR="009811A4" w:rsidRPr="003D3532" w:rsidRDefault="009811A4" w:rsidP="009811A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3D3532">
        <w:rPr>
          <w:rFonts w:ascii="Cambria" w:hAnsi="Cambria"/>
          <w:sz w:val="20"/>
          <w:szCs w:val="20"/>
          <w:lang w:val="es-ES_tradnl"/>
        </w:rPr>
        <w:t xml:space="preserve">Complementariamente, </w:t>
      </w:r>
      <w:r w:rsidR="0015641D" w:rsidRPr="003D3532">
        <w:rPr>
          <w:rFonts w:ascii="Cambria" w:hAnsi="Cambria"/>
          <w:sz w:val="20"/>
          <w:szCs w:val="20"/>
          <w:lang w:val="es-ES_tradnl"/>
        </w:rPr>
        <w:t>aduce</w:t>
      </w:r>
      <w:r w:rsidRPr="003D3532">
        <w:rPr>
          <w:rFonts w:ascii="Cambria" w:hAnsi="Cambria"/>
          <w:sz w:val="20"/>
          <w:szCs w:val="20"/>
          <w:lang w:val="es-ES_tradnl"/>
        </w:rPr>
        <w:t xml:space="preserve"> que</w:t>
      </w:r>
      <w:r w:rsidR="009E47ED" w:rsidRPr="003D3532">
        <w:rPr>
          <w:rFonts w:ascii="Cambria" w:hAnsi="Cambria"/>
          <w:sz w:val="20"/>
          <w:szCs w:val="20"/>
          <w:lang w:val="es-ES_tradnl"/>
        </w:rPr>
        <w:t>,</w:t>
      </w:r>
      <w:r w:rsidRPr="003D3532">
        <w:rPr>
          <w:rFonts w:ascii="Cambria" w:hAnsi="Cambria"/>
          <w:sz w:val="20"/>
          <w:szCs w:val="20"/>
          <w:lang w:val="es-ES_tradnl"/>
        </w:rPr>
        <w:t xml:space="preserve"> a efectos de conseguir el pago de las remuneraciones devengadas, las presuntas víctimas pudieron activar el proceso ordinario laboral como vía idónea para materializar esta pretensión, </w:t>
      </w:r>
      <w:r w:rsidR="007E6938" w:rsidRPr="003D3532">
        <w:rPr>
          <w:rFonts w:ascii="Cambria" w:hAnsi="Cambria"/>
          <w:sz w:val="20"/>
          <w:szCs w:val="20"/>
          <w:lang w:val="es-ES_tradnl"/>
        </w:rPr>
        <w:t>pues ese proceso permite la actuación</w:t>
      </w:r>
      <w:r w:rsidRPr="003D3532">
        <w:rPr>
          <w:rFonts w:ascii="Cambria" w:hAnsi="Cambria"/>
          <w:sz w:val="20"/>
          <w:szCs w:val="20"/>
          <w:lang w:val="es-ES_tradnl"/>
        </w:rPr>
        <w:t xml:space="preserve"> probatoria y los cálculos que resulten pertinentes. A pesar de ello, señala que </w:t>
      </w:r>
      <w:r w:rsidR="007E6938" w:rsidRPr="003D3532">
        <w:rPr>
          <w:rFonts w:ascii="Cambria" w:hAnsi="Cambria"/>
          <w:sz w:val="20"/>
          <w:szCs w:val="20"/>
          <w:lang w:val="es-ES_tradnl"/>
        </w:rPr>
        <w:t>las presuntas víctimas no usaron ese proceso</w:t>
      </w:r>
      <w:r w:rsidRPr="003D3532">
        <w:rPr>
          <w:rFonts w:ascii="Cambria" w:hAnsi="Cambria"/>
          <w:sz w:val="20"/>
          <w:szCs w:val="20"/>
          <w:lang w:val="es-ES_tradnl"/>
        </w:rPr>
        <w:t xml:space="preserve">. En consecuencia, solicita que </w:t>
      </w:r>
      <w:r w:rsidR="00E31585" w:rsidRPr="003D3532">
        <w:rPr>
          <w:rFonts w:ascii="Cambria" w:hAnsi="Cambria"/>
          <w:sz w:val="20"/>
          <w:szCs w:val="20"/>
          <w:lang w:val="es-ES_tradnl"/>
        </w:rPr>
        <w:t>la CIDH inadmita esta petición</w:t>
      </w:r>
      <w:r w:rsidRPr="003D3532">
        <w:rPr>
          <w:rFonts w:ascii="Cambria" w:hAnsi="Cambria"/>
          <w:sz w:val="20"/>
          <w:szCs w:val="20"/>
          <w:lang w:val="es-ES_tradnl"/>
        </w:rPr>
        <w:t xml:space="preserve"> por </w:t>
      </w:r>
      <w:r w:rsidR="00E31585" w:rsidRPr="003D3532">
        <w:rPr>
          <w:rFonts w:ascii="Cambria" w:hAnsi="Cambria"/>
          <w:sz w:val="20"/>
          <w:szCs w:val="20"/>
          <w:lang w:val="es-ES_tradnl"/>
        </w:rPr>
        <w:t>incumplir el</w:t>
      </w:r>
      <w:r w:rsidRPr="003D3532">
        <w:rPr>
          <w:rFonts w:ascii="Cambria" w:hAnsi="Cambria"/>
          <w:sz w:val="20"/>
          <w:szCs w:val="20"/>
          <w:lang w:val="es-ES_tradnl"/>
        </w:rPr>
        <w:t xml:space="preserve"> requisito </w:t>
      </w:r>
      <w:r w:rsidR="00E31585" w:rsidRPr="003D3532">
        <w:rPr>
          <w:rFonts w:ascii="Cambria" w:hAnsi="Cambria"/>
          <w:sz w:val="20"/>
          <w:szCs w:val="20"/>
          <w:lang w:val="es-ES_tradnl"/>
        </w:rPr>
        <w:t>que prevé</w:t>
      </w:r>
      <w:r w:rsidRPr="003D3532">
        <w:rPr>
          <w:rFonts w:ascii="Cambria" w:hAnsi="Cambria"/>
          <w:sz w:val="20"/>
          <w:szCs w:val="20"/>
          <w:lang w:val="es-ES_tradnl"/>
        </w:rPr>
        <w:t xml:space="preserve"> el artículo 46.1.a) de la Convención.</w:t>
      </w:r>
    </w:p>
    <w:p w14:paraId="648BEF52" w14:textId="60E4B694" w:rsidR="009811A4" w:rsidRPr="003D3532" w:rsidRDefault="009811A4" w:rsidP="009811A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3D3532">
        <w:rPr>
          <w:rFonts w:ascii="Cambria" w:hAnsi="Cambria"/>
          <w:sz w:val="20"/>
          <w:szCs w:val="20"/>
          <w:lang w:val="es-ES_tradnl"/>
        </w:rPr>
        <w:t xml:space="preserve">Por otra parte, sostiene que existe duplicidad de procedimientos. En particular, afirma que catorce personas identificadas como presuntas víctimas en </w:t>
      </w:r>
      <w:r w:rsidR="00303F3F" w:rsidRPr="003D3532">
        <w:rPr>
          <w:rFonts w:ascii="Cambria" w:hAnsi="Cambria"/>
          <w:sz w:val="20"/>
          <w:szCs w:val="20"/>
          <w:lang w:val="es-ES_tradnl"/>
        </w:rPr>
        <w:t>este</w:t>
      </w:r>
      <w:r w:rsidRPr="003D3532">
        <w:rPr>
          <w:rFonts w:ascii="Cambria" w:hAnsi="Cambria"/>
          <w:sz w:val="20"/>
          <w:szCs w:val="20"/>
          <w:lang w:val="es-ES_tradnl"/>
        </w:rPr>
        <w:t xml:space="preserve"> asunto también tiene</w:t>
      </w:r>
      <w:r w:rsidR="00303F3F" w:rsidRPr="003D3532">
        <w:rPr>
          <w:rFonts w:ascii="Cambria" w:hAnsi="Cambria"/>
          <w:sz w:val="20"/>
          <w:szCs w:val="20"/>
          <w:lang w:val="es-ES_tradnl"/>
        </w:rPr>
        <w:t>n</w:t>
      </w:r>
      <w:r w:rsidRPr="003D3532">
        <w:rPr>
          <w:rFonts w:ascii="Cambria" w:hAnsi="Cambria"/>
          <w:sz w:val="20"/>
          <w:szCs w:val="20"/>
          <w:lang w:val="es-ES_tradnl"/>
        </w:rPr>
        <w:t xml:space="preserve"> </w:t>
      </w:r>
      <w:r w:rsidR="00321906" w:rsidRPr="003D3532">
        <w:rPr>
          <w:rFonts w:ascii="Cambria" w:hAnsi="Cambria"/>
          <w:sz w:val="20"/>
          <w:szCs w:val="20"/>
          <w:lang w:val="es-ES_tradnl"/>
        </w:rPr>
        <w:t>esa</w:t>
      </w:r>
      <w:r w:rsidRPr="003D3532">
        <w:rPr>
          <w:rFonts w:ascii="Cambria" w:hAnsi="Cambria"/>
          <w:sz w:val="20"/>
          <w:szCs w:val="20"/>
          <w:lang w:val="es-ES_tradnl"/>
        </w:rPr>
        <w:t xml:space="preserve"> condición en la petición 1422-13, por los mismos hechos y derechos denunciados</w:t>
      </w:r>
      <w:r w:rsidRPr="003D3532">
        <w:rPr>
          <w:rStyle w:val="FootnoteReference"/>
          <w:rFonts w:ascii="Cambria" w:hAnsi="Cambria"/>
          <w:sz w:val="20"/>
          <w:szCs w:val="20"/>
          <w:lang w:val="es-ES_tradnl"/>
        </w:rPr>
        <w:footnoteReference w:id="6"/>
      </w:r>
      <w:r w:rsidRPr="003D3532">
        <w:rPr>
          <w:rFonts w:ascii="Cambria" w:hAnsi="Cambria"/>
          <w:sz w:val="20"/>
          <w:szCs w:val="20"/>
          <w:lang w:val="es-ES_tradnl"/>
        </w:rPr>
        <w:t xml:space="preserve">. Por ello, solicita a la CIDH que declare la inadmisibilidad de una de las peticiones, bajo los criterios que considere pertinentes. </w:t>
      </w:r>
    </w:p>
    <w:p w14:paraId="15A709D3" w14:textId="65705398" w:rsidR="009811A4" w:rsidRPr="003D3532" w:rsidRDefault="009811A4" w:rsidP="009811A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3D3532">
        <w:rPr>
          <w:rFonts w:ascii="Cambria" w:hAnsi="Cambria"/>
          <w:sz w:val="20"/>
          <w:szCs w:val="20"/>
          <w:lang w:val="es-ES_tradnl"/>
        </w:rPr>
        <w:t xml:space="preserve">Sin perjuicio de ello, agrega que los hechos denunciados no caracterizan una violación de derechos humanos que le sea atribuible. Así, respecto a la presunta afectación a las garantías judiciales y a la protección judicial, señala </w:t>
      </w:r>
      <w:r w:rsidR="00E43A5C" w:rsidRPr="003D3532">
        <w:rPr>
          <w:rFonts w:ascii="Cambria" w:hAnsi="Cambria"/>
          <w:sz w:val="20"/>
          <w:szCs w:val="20"/>
          <w:lang w:val="es-ES_tradnl"/>
        </w:rPr>
        <w:t xml:space="preserve">que </w:t>
      </w:r>
      <w:r w:rsidRPr="003D3532">
        <w:rPr>
          <w:rFonts w:ascii="Cambria" w:hAnsi="Cambria"/>
          <w:sz w:val="20"/>
          <w:szCs w:val="20"/>
          <w:lang w:val="es-ES_tradnl"/>
        </w:rPr>
        <w:t>las autoridades competentes han respetado los derechos de las presuntas víctimas, ya que vienen ejecutando la sentencia que ampara los derechos de la ANMP. En particular, resalta que</w:t>
      </w:r>
      <w:r w:rsidR="00F14041" w:rsidRPr="003D3532">
        <w:rPr>
          <w:rFonts w:ascii="Cambria" w:hAnsi="Cambria"/>
          <w:sz w:val="20"/>
          <w:szCs w:val="20"/>
          <w:lang w:val="es-ES_tradnl"/>
        </w:rPr>
        <w:t>,</w:t>
      </w:r>
      <w:r w:rsidRPr="003D3532">
        <w:rPr>
          <w:rFonts w:ascii="Cambria" w:hAnsi="Cambria"/>
          <w:sz w:val="20"/>
          <w:szCs w:val="20"/>
          <w:lang w:val="es-ES_tradnl"/>
        </w:rPr>
        <w:t xml:space="preserve"> en su demanda de cumplimiento en contra del Consejo Ejecutivo del Poder Judicial, </w:t>
      </w:r>
      <w:r w:rsidR="00E43A5C" w:rsidRPr="003D3532">
        <w:rPr>
          <w:rFonts w:ascii="Cambria" w:hAnsi="Cambria"/>
          <w:sz w:val="20"/>
          <w:szCs w:val="20"/>
          <w:lang w:val="es-ES_tradnl"/>
        </w:rPr>
        <w:t>la ANMP</w:t>
      </w:r>
      <w:r w:rsidRPr="003D3532">
        <w:rPr>
          <w:rFonts w:ascii="Cambria" w:hAnsi="Cambria"/>
          <w:sz w:val="20"/>
          <w:szCs w:val="20"/>
          <w:lang w:val="es-ES_tradnl"/>
        </w:rPr>
        <w:t xml:space="preserve"> presentó como </w:t>
      </w:r>
      <w:r w:rsidR="00712592" w:rsidRPr="003D3532">
        <w:rPr>
          <w:rFonts w:ascii="Cambria" w:hAnsi="Cambria"/>
          <w:sz w:val="20"/>
          <w:szCs w:val="20"/>
          <w:lang w:val="es-ES_tradnl"/>
        </w:rPr>
        <w:t>petitorio</w:t>
      </w:r>
      <w:r w:rsidRPr="003D3532">
        <w:rPr>
          <w:rFonts w:ascii="Cambria" w:hAnsi="Cambria"/>
          <w:sz w:val="20"/>
          <w:szCs w:val="20"/>
          <w:lang w:val="es-ES_tradnl"/>
        </w:rPr>
        <w:t xml:space="preserve"> expreso “</w:t>
      </w:r>
      <w:r w:rsidRPr="003D3532">
        <w:rPr>
          <w:rFonts w:ascii="Cambria" w:hAnsi="Cambria"/>
          <w:i/>
          <w:iCs/>
          <w:sz w:val="20"/>
          <w:szCs w:val="20"/>
          <w:lang w:val="es-ES_tradnl"/>
        </w:rPr>
        <w:t>que los demandados se sirvan dar cumplimiento a lo dispuesto en el inciso 23) del artículo 82, inciso 5, literales b y c del Artículo 186º y Artículo 193º del Texto Único Ordenado de la Ley Orgánica del Poder Judicial</w:t>
      </w:r>
      <w:r w:rsidRPr="003D3532">
        <w:rPr>
          <w:rFonts w:ascii="Cambria" w:hAnsi="Cambria"/>
          <w:sz w:val="20"/>
          <w:szCs w:val="20"/>
          <w:lang w:val="es-ES_tradnl"/>
        </w:rPr>
        <w:t xml:space="preserve">”. Refiere que, tras una decisión favorable de primera instancia, el 10 de enero de 2012 la Tercera Sala Civil de la Corte Superior de Justicia de Lima confirmó declarar </w:t>
      </w:r>
      <w:r w:rsidR="00712592" w:rsidRPr="003D3532">
        <w:rPr>
          <w:rFonts w:ascii="Cambria" w:hAnsi="Cambria"/>
          <w:sz w:val="20"/>
          <w:szCs w:val="20"/>
          <w:lang w:val="es-ES_tradnl"/>
        </w:rPr>
        <w:t>fundada</w:t>
      </w:r>
      <w:r w:rsidRPr="003D3532">
        <w:rPr>
          <w:rFonts w:ascii="Cambria" w:hAnsi="Cambria"/>
          <w:sz w:val="20"/>
          <w:szCs w:val="20"/>
          <w:lang w:val="es-ES_tradnl"/>
        </w:rPr>
        <w:t xml:space="preserve"> la acción. </w:t>
      </w:r>
    </w:p>
    <w:p w14:paraId="4430AE6E" w14:textId="43E55083" w:rsidR="009811A4" w:rsidRPr="003D3532" w:rsidRDefault="009811A4" w:rsidP="009811A4">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sz w:val="20"/>
          <w:szCs w:val="20"/>
          <w:lang w:val="es-ES_tradnl"/>
        </w:rPr>
      </w:pPr>
      <w:r w:rsidRPr="003D3532">
        <w:rPr>
          <w:sz w:val="20"/>
          <w:szCs w:val="20"/>
          <w:lang w:val="es-ES_tradnl"/>
        </w:rPr>
        <w:t>Afirma que</w:t>
      </w:r>
      <w:r w:rsidR="003E1C78" w:rsidRPr="003D3532">
        <w:rPr>
          <w:sz w:val="20"/>
          <w:szCs w:val="20"/>
          <w:lang w:val="es-ES_tradnl"/>
        </w:rPr>
        <w:t>,</w:t>
      </w:r>
      <w:r w:rsidRPr="003D3532">
        <w:rPr>
          <w:sz w:val="20"/>
          <w:szCs w:val="20"/>
          <w:lang w:val="es-ES_tradnl"/>
        </w:rPr>
        <w:t xml:space="preserve"> si bien </w:t>
      </w:r>
      <w:r w:rsidR="002D6D28" w:rsidRPr="003D3532">
        <w:rPr>
          <w:sz w:val="20"/>
          <w:szCs w:val="20"/>
          <w:lang w:val="es-ES_tradnl"/>
        </w:rPr>
        <w:t>s</w:t>
      </w:r>
      <w:r w:rsidRPr="003D3532">
        <w:rPr>
          <w:sz w:val="20"/>
          <w:szCs w:val="20"/>
          <w:lang w:val="es-ES_tradnl"/>
        </w:rPr>
        <w:t xml:space="preserve">e trataba de un proceso culminado, se produjeron complicaciones durante la etapa de ejecución de la sentencia, suscitadas por controversias sobre la interpretación de los alcances de la sentencia y no ocasionadas por alguna actuación de mala fe por parte de las autoridades. En particular, sostiene que las presuntas víctimas presentaron un escrito a efectos </w:t>
      </w:r>
      <w:r w:rsidR="00D11E29" w:rsidRPr="003D3532">
        <w:rPr>
          <w:sz w:val="20"/>
          <w:szCs w:val="20"/>
          <w:lang w:val="es-ES_tradnl"/>
        </w:rPr>
        <w:t xml:space="preserve">de </w:t>
      </w:r>
      <w:r w:rsidRPr="003D3532">
        <w:rPr>
          <w:sz w:val="20"/>
          <w:szCs w:val="20"/>
          <w:lang w:val="es-ES_tradnl"/>
        </w:rPr>
        <w:t>que también se les otorg</w:t>
      </w:r>
      <w:r w:rsidR="0084356B" w:rsidRPr="003D3532">
        <w:rPr>
          <w:sz w:val="20"/>
          <w:szCs w:val="20"/>
          <w:lang w:val="es-ES_tradnl"/>
        </w:rPr>
        <w:t>ara</w:t>
      </w:r>
      <w:r w:rsidRPr="003D3532">
        <w:rPr>
          <w:sz w:val="20"/>
          <w:szCs w:val="20"/>
          <w:lang w:val="es-ES_tradnl"/>
        </w:rPr>
        <w:t xml:space="preserve"> el pago de las remuneraciones devengadas como parte de la ejecución de la sentencia</w:t>
      </w:r>
      <w:r w:rsidR="00D11E29" w:rsidRPr="003D3532">
        <w:rPr>
          <w:sz w:val="20"/>
          <w:szCs w:val="20"/>
          <w:lang w:val="es-ES_tradnl"/>
        </w:rPr>
        <w:t>;</w:t>
      </w:r>
      <w:r w:rsidRPr="003D3532">
        <w:rPr>
          <w:sz w:val="20"/>
          <w:szCs w:val="20"/>
          <w:lang w:val="es-ES_tradnl"/>
        </w:rPr>
        <w:t xml:space="preserve"> y producto de ello, el 30 de marzo de 2015, el Quinto Juzgado Especializado en lo Constitucional de Lima, mediante la resolución N° 147, dispuso </w:t>
      </w:r>
      <w:r w:rsidRPr="003D3532">
        <w:rPr>
          <w:sz w:val="20"/>
          <w:szCs w:val="20"/>
          <w:lang w:val="es-ES_tradnl"/>
        </w:rPr>
        <w:lastRenderedPageBreak/>
        <w:t xml:space="preserve">remitir </w:t>
      </w:r>
      <w:r w:rsidR="00D11E29" w:rsidRPr="003D3532">
        <w:rPr>
          <w:sz w:val="20"/>
          <w:szCs w:val="20"/>
          <w:lang w:val="es-ES_tradnl"/>
        </w:rPr>
        <w:t xml:space="preserve">los </w:t>
      </w:r>
      <w:r w:rsidRPr="003D3532">
        <w:rPr>
          <w:sz w:val="20"/>
          <w:szCs w:val="20"/>
          <w:lang w:val="es-ES_tradnl"/>
        </w:rPr>
        <w:t>actuados al Equipo Té</w:t>
      </w:r>
      <w:r w:rsidR="00D11E29" w:rsidRPr="003D3532">
        <w:rPr>
          <w:sz w:val="20"/>
          <w:szCs w:val="20"/>
          <w:lang w:val="es-ES_tradnl"/>
        </w:rPr>
        <w:t>c</w:t>
      </w:r>
      <w:r w:rsidRPr="003D3532">
        <w:rPr>
          <w:sz w:val="20"/>
          <w:szCs w:val="20"/>
          <w:lang w:val="es-ES_tradnl"/>
        </w:rPr>
        <w:t xml:space="preserve">nico Pericial, a fin </w:t>
      </w:r>
      <w:r w:rsidR="00D11E29" w:rsidRPr="003D3532">
        <w:rPr>
          <w:sz w:val="20"/>
          <w:szCs w:val="20"/>
          <w:lang w:val="es-ES_tradnl"/>
        </w:rPr>
        <w:t xml:space="preserve">de </w:t>
      </w:r>
      <w:r w:rsidRPr="003D3532">
        <w:rPr>
          <w:sz w:val="20"/>
          <w:szCs w:val="20"/>
          <w:lang w:val="es-ES_tradnl"/>
        </w:rPr>
        <w:t xml:space="preserve">que se </w:t>
      </w:r>
      <w:r w:rsidR="0084356B" w:rsidRPr="003D3532">
        <w:rPr>
          <w:sz w:val="20"/>
          <w:szCs w:val="20"/>
          <w:lang w:val="es-ES_tradnl"/>
        </w:rPr>
        <w:t xml:space="preserve">practicara </w:t>
      </w:r>
      <w:r w:rsidRPr="003D3532">
        <w:rPr>
          <w:sz w:val="20"/>
          <w:szCs w:val="20"/>
          <w:lang w:val="es-ES_tradnl"/>
        </w:rPr>
        <w:t>la liquidación de los adeudos de cada magistrad</w:t>
      </w:r>
      <w:r w:rsidR="00D11E29" w:rsidRPr="003D3532">
        <w:rPr>
          <w:sz w:val="20"/>
          <w:szCs w:val="20"/>
          <w:lang w:val="es-ES_tradnl"/>
        </w:rPr>
        <w:t>o</w:t>
      </w:r>
      <w:r w:rsidRPr="003D3532">
        <w:rPr>
          <w:sz w:val="20"/>
          <w:szCs w:val="20"/>
          <w:lang w:val="es-ES_tradnl"/>
        </w:rPr>
        <w:t xml:space="preserve">, de acuerdo </w:t>
      </w:r>
      <w:r w:rsidR="00D11E29" w:rsidRPr="003D3532">
        <w:rPr>
          <w:sz w:val="20"/>
          <w:szCs w:val="20"/>
          <w:lang w:val="es-ES_tradnl"/>
        </w:rPr>
        <w:t>con</w:t>
      </w:r>
      <w:r w:rsidRPr="003D3532">
        <w:rPr>
          <w:sz w:val="20"/>
          <w:szCs w:val="20"/>
          <w:lang w:val="es-ES_tradnl"/>
        </w:rPr>
        <w:t xml:space="preserve"> su fecha de ingreso a la carrera judicial y el puesto que desempeñaba. </w:t>
      </w:r>
    </w:p>
    <w:p w14:paraId="1AA09671" w14:textId="0CAD7D43" w:rsidR="009811A4" w:rsidRPr="003D3532" w:rsidRDefault="009811A4" w:rsidP="009811A4">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sz w:val="20"/>
          <w:szCs w:val="20"/>
          <w:lang w:val="es-ES_tradnl"/>
        </w:rPr>
      </w:pPr>
      <w:r w:rsidRPr="003D3532">
        <w:rPr>
          <w:sz w:val="20"/>
          <w:szCs w:val="20"/>
          <w:lang w:val="es-ES_tradnl"/>
        </w:rPr>
        <w:t xml:space="preserve">Al respecto resalta que las Procuradurías Públicas del Poder </w:t>
      </w:r>
      <w:r w:rsidR="00712592" w:rsidRPr="003D3532">
        <w:rPr>
          <w:sz w:val="20"/>
          <w:szCs w:val="20"/>
          <w:lang w:val="es-ES_tradnl"/>
        </w:rPr>
        <w:t>Judicial</w:t>
      </w:r>
      <w:r w:rsidRPr="003D3532">
        <w:rPr>
          <w:sz w:val="20"/>
          <w:szCs w:val="20"/>
          <w:lang w:val="es-ES_tradnl"/>
        </w:rPr>
        <w:t xml:space="preserve"> y del Ministerio de Economía y Finanzas cuestionaron que en ningún extremo de la demanda inicial se solicitó el pago del tal concepto</w:t>
      </w:r>
      <w:r w:rsidR="00086908" w:rsidRPr="003D3532">
        <w:rPr>
          <w:sz w:val="20"/>
          <w:szCs w:val="20"/>
          <w:lang w:val="es-ES_tradnl"/>
        </w:rPr>
        <w:t>;</w:t>
      </w:r>
      <w:r w:rsidRPr="003D3532">
        <w:rPr>
          <w:sz w:val="20"/>
          <w:szCs w:val="20"/>
          <w:lang w:val="es-ES_tradnl"/>
        </w:rPr>
        <w:t xml:space="preserve"> y por el contrario, el objetivo del proceso únicamente era nivelar las remuneraciones de </w:t>
      </w:r>
      <w:r w:rsidR="001E082D">
        <w:rPr>
          <w:sz w:val="20"/>
          <w:szCs w:val="20"/>
          <w:lang w:val="es-ES_tradnl"/>
        </w:rPr>
        <w:t>los magistrados</w:t>
      </w:r>
      <w:r w:rsidR="001E082D" w:rsidRPr="003D3532">
        <w:rPr>
          <w:sz w:val="20"/>
          <w:szCs w:val="20"/>
          <w:lang w:val="es-ES_tradnl"/>
        </w:rPr>
        <w:t xml:space="preserve"> </w:t>
      </w:r>
      <w:r w:rsidRPr="003D3532">
        <w:rPr>
          <w:sz w:val="20"/>
          <w:szCs w:val="20"/>
          <w:lang w:val="es-ES_tradnl"/>
        </w:rPr>
        <w:t>en los porcentajes establecidos en el artículo 186º de la Ley Orgánica del Poder Judicial. En consecuencia, argumentaron que no resultaba posible que en etapa de ejecución se interprete una resolución firme y se incluyan conceptos no demandados, dado que esto vulnera claramente el derecho a la cosa juzgada. No obstante, resalta que el 21 de junio de 2017 el Quinto Juzgado Especializado en lo Constitucional, mediante resolución N° 202, decidió declarar infundadas las observaciones presentadas por las citadas entidades estatales. Posteriormente, el 15 de diciembre de 201</w:t>
      </w:r>
      <w:r w:rsidR="00874A7F" w:rsidRPr="003D3532">
        <w:rPr>
          <w:sz w:val="20"/>
          <w:szCs w:val="20"/>
          <w:lang w:val="es-ES_tradnl"/>
        </w:rPr>
        <w:t>7</w:t>
      </w:r>
      <w:r w:rsidRPr="003D3532">
        <w:rPr>
          <w:sz w:val="20"/>
          <w:szCs w:val="20"/>
          <w:lang w:val="es-ES_tradnl"/>
        </w:rPr>
        <w:t xml:space="preserve"> la Quinta Sala Civil, mediante Resolución N° 2, confirmó esta decisión. </w:t>
      </w:r>
    </w:p>
    <w:p w14:paraId="1DB836C8" w14:textId="4206B040" w:rsidR="009811A4" w:rsidRPr="003D3532" w:rsidRDefault="009811A4" w:rsidP="009811A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3D3532">
        <w:rPr>
          <w:rFonts w:ascii="Cambria" w:hAnsi="Cambria"/>
          <w:sz w:val="20"/>
          <w:szCs w:val="20"/>
          <w:lang w:val="es-ES_tradnl"/>
        </w:rPr>
        <w:t xml:space="preserve">Como consecuencia de ello, informa que se iniciaron 33 cuadernos de ejecución que comprenden a más de </w:t>
      </w:r>
      <w:r w:rsidR="001E082D">
        <w:rPr>
          <w:rFonts w:ascii="Cambria" w:hAnsi="Cambria"/>
          <w:sz w:val="20"/>
          <w:szCs w:val="20"/>
          <w:lang w:val="es-ES_tradnl"/>
        </w:rPr>
        <w:t>tres mil</w:t>
      </w:r>
      <w:r w:rsidR="00C31C07" w:rsidRPr="003D3532">
        <w:rPr>
          <w:rFonts w:ascii="Cambria" w:hAnsi="Cambria"/>
          <w:sz w:val="20"/>
          <w:szCs w:val="20"/>
          <w:lang w:val="es-ES_tradnl"/>
        </w:rPr>
        <w:t xml:space="preserve"> </w:t>
      </w:r>
      <w:r w:rsidR="001E082D">
        <w:rPr>
          <w:rFonts w:ascii="Cambria" w:hAnsi="Cambria"/>
          <w:sz w:val="20"/>
          <w:szCs w:val="20"/>
          <w:lang w:val="es-ES_tradnl"/>
        </w:rPr>
        <w:t>magistrados</w:t>
      </w:r>
      <w:r w:rsidRPr="003D3532">
        <w:rPr>
          <w:rFonts w:ascii="Cambria" w:hAnsi="Cambria"/>
          <w:sz w:val="20"/>
          <w:szCs w:val="20"/>
          <w:lang w:val="es-ES_tradnl"/>
        </w:rPr>
        <w:t xml:space="preserve"> </w:t>
      </w:r>
      <w:r w:rsidR="001D44F9" w:rsidRPr="003D3532">
        <w:rPr>
          <w:rFonts w:ascii="Cambria" w:hAnsi="Cambria"/>
          <w:sz w:val="20"/>
          <w:szCs w:val="20"/>
          <w:lang w:val="es-ES_tradnl"/>
        </w:rPr>
        <w:t>de acuerdo con</w:t>
      </w:r>
      <w:r w:rsidRPr="003D3532">
        <w:rPr>
          <w:rFonts w:ascii="Cambria" w:hAnsi="Cambria"/>
          <w:sz w:val="20"/>
          <w:szCs w:val="20"/>
          <w:lang w:val="es-ES_tradnl"/>
        </w:rPr>
        <w:t xml:space="preserve"> los Distritos Judiciales a los que </w:t>
      </w:r>
      <w:r w:rsidR="00712592" w:rsidRPr="003D3532">
        <w:rPr>
          <w:rFonts w:ascii="Cambria" w:hAnsi="Cambria"/>
          <w:sz w:val="20"/>
          <w:szCs w:val="20"/>
          <w:lang w:val="es-ES_tradnl"/>
        </w:rPr>
        <w:t>pertenecen</w:t>
      </w:r>
      <w:r w:rsidRPr="003D3532">
        <w:rPr>
          <w:rFonts w:ascii="Cambria" w:hAnsi="Cambria"/>
          <w:sz w:val="20"/>
          <w:szCs w:val="20"/>
          <w:lang w:val="es-ES_tradnl"/>
        </w:rPr>
        <w:t>, encontrándose algunas de estas personas con Informes Periciales emitidos por el Equipo Técnico Pericial del Poder Judicial.</w:t>
      </w:r>
    </w:p>
    <w:p w14:paraId="3F1A664E" w14:textId="06A73F84" w:rsidR="009811A4" w:rsidRPr="003D3532" w:rsidRDefault="00131111" w:rsidP="009811A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3D3532">
        <w:rPr>
          <w:rFonts w:ascii="Cambria" w:hAnsi="Cambria"/>
          <w:sz w:val="20"/>
          <w:szCs w:val="20"/>
          <w:lang w:val="es-ES_tradnl"/>
        </w:rPr>
        <w:t>Con base en esto</w:t>
      </w:r>
      <w:r w:rsidR="009811A4" w:rsidRPr="003D3532">
        <w:rPr>
          <w:rFonts w:ascii="Cambria" w:hAnsi="Cambria"/>
          <w:sz w:val="20"/>
          <w:szCs w:val="20"/>
          <w:lang w:val="es-ES_tradnl"/>
        </w:rPr>
        <w:t xml:space="preserve">, el Estado resalta que la conducta procesal de las presuntas víctimas ocasionó que, por un lado, la ejecución de la sentencia cumplimiento se haya tornado más compleja y se haya extendido </w:t>
      </w:r>
      <w:r w:rsidR="001D44F9" w:rsidRPr="003D3532">
        <w:rPr>
          <w:rFonts w:ascii="Cambria" w:hAnsi="Cambria"/>
          <w:sz w:val="20"/>
          <w:szCs w:val="20"/>
          <w:lang w:val="es-ES_tradnl"/>
        </w:rPr>
        <w:t>en</w:t>
      </w:r>
      <w:r w:rsidR="009811A4" w:rsidRPr="003D3532">
        <w:rPr>
          <w:rFonts w:ascii="Cambria" w:hAnsi="Cambria"/>
          <w:sz w:val="20"/>
          <w:szCs w:val="20"/>
          <w:lang w:val="es-ES_tradnl"/>
        </w:rPr>
        <w:t xml:space="preserve"> el tiempo; y adicionalmente pone en evidencia que la parte accionante podía </w:t>
      </w:r>
      <w:r w:rsidR="00361791" w:rsidRPr="003D3532">
        <w:rPr>
          <w:rFonts w:ascii="Cambria" w:hAnsi="Cambria"/>
          <w:sz w:val="20"/>
          <w:szCs w:val="20"/>
          <w:lang w:val="es-ES_tradnl"/>
        </w:rPr>
        <w:t>usar</w:t>
      </w:r>
      <w:r w:rsidR="009811A4" w:rsidRPr="003D3532">
        <w:rPr>
          <w:rFonts w:ascii="Cambria" w:hAnsi="Cambria"/>
          <w:sz w:val="20"/>
          <w:szCs w:val="20"/>
          <w:lang w:val="es-ES_tradnl"/>
        </w:rPr>
        <w:t xml:space="preserve"> otra vía (proceso ordinario laboral) para solicitar el pago de remuneraciones devengadas. Frente a ello, indica que la defensa jurídica estatal en sede interna, conforme a sus competencias, ha solicitado la nulidad de resoluciones que, a su criterio, </w:t>
      </w:r>
      <w:r w:rsidR="00712592" w:rsidRPr="003D3532">
        <w:rPr>
          <w:rFonts w:ascii="Cambria" w:hAnsi="Cambria"/>
          <w:sz w:val="20"/>
          <w:szCs w:val="20"/>
          <w:lang w:val="es-ES_tradnl"/>
        </w:rPr>
        <w:t>contravienen</w:t>
      </w:r>
      <w:r w:rsidR="009811A4" w:rsidRPr="003D3532">
        <w:rPr>
          <w:rFonts w:ascii="Cambria" w:hAnsi="Cambria"/>
          <w:sz w:val="20"/>
          <w:szCs w:val="20"/>
          <w:lang w:val="es-ES_tradnl"/>
        </w:rPr>
        <w:t xml:space="preserve"> la cosa juzgada, al buscar ampliar el contenido y alcance de la sentencia de cumplimiento en fase de </w:t>
      </w:r>
      <w:r w:rsidR="00712592" w:rsidRPr="003D3532">
        <w:rPr>
          <w:rFonts w:ascii="Cambria" w:hAnsi="Cambria"/>
          <w:sz w:val="20"/>
          <w:szCs w:val="20"/>
          <w:lang w:val="es-ES_tradnl"/>
        </w:rPr>
        <w:t>ejecución</w:t>
      </w:r>
      <w:r w:rsidR="009811A4" w:rsidRPr="003D3532">
        <w:rPr>
          <w:rFonts w:ascii="Cambria" w:hAnsi="Cambria"/>
          <w:sz w:val="20"/>
          <w:szCs w:val="20"/>
          <w:lang w:val="es-ES_tradnl"/>
        </w:rPr>
        <w:t xml:space="preserve">, y contravienen la intangibilidad de la Reserva de </w:t>
      </w:r>
      <w:r w:rsidR="00712592" w:rsidRPr="003D3532">
        <w:rPr>
          <w:rFonts w:ascii="Cambria" w:hAnsi="Cambria"/>
          <w:sz w:val="20"/>
          <w:szCs w:val="20"/>
          <w:lang w:val="es-ES_tradnl"/>
        </w:rPr>
        <w:t>Contingencia</w:t>
      </w:r>
      <w:r w:rsidR="009811A4" w:rsidRPr="003D3532">
        <w:rPr>
          <w:rFonts w:ascii="Cambria" w:hAnsi="Cambria"/>
          <w:sz w:val="20"/>
          <w:szCs w:val="20"/>
          <w:lang w:val="es-ES_tradnl"/>
        </w:rPr>
        <w:t xml:space="preserve"> de la Nación. En particular, el Estado informa que se iniciaron las siguientes acciones:</w:t>
      </w:r>
    </w:p>
    <w:tbl>
      <w:tblPr>
        <w:tblStyle w:val="TableGrid"/>
        <w:tblW w:w="0" w:type="auto"/>
        <w:jc w:val="center"/>
        <w:tblLook w:val="04A0" w:firstRow="1" w:lastRow="0" w:firstColumn="1" w:lastColumn="0" w:noHBand="0" w:noVBand="1"/>
      </w:tblPr>
      <w:tblGrid>
        <w:gridCol w:w="1251"/>
        <w:gridCol w:w="4288"/>
        <w:gridCol w:w="1355"/>
        <w:gridCol w:w="1953"/>
      </w:tblGrid>
      <w:tr w:rsidR="009811A4" w:rsidRPr="003D3532" w14:paraId="60B83D31" w14:textId="77777777" w:rsidTr="001D44F9">
        <w:trPr>
          <w:jc w:val="center"/>
        </w:trPr>
        <w:tc>
          <w:tcPr>
            <w:tcW w:w="1148" w:type="dxa"/>
            <w:shd w:val="clear" w:color="auto" w:fill="4F81BD" w:themeFill="accent1"/>
          </w:tcPr>
          <w:p w14:paraId="72D39B65" w14:textId="77777777" w:rsidR="009811A4" w:rsidRPr="003D3532" w:rsidRDefault="009811A4" w:rsidP="00FD781C">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Cambria" w:hAnsi="Cambria"/>
                <w:b/>
                <w:bCs/>
                <w:color w:val="FFFFFF" w:themeColor="background1"/>
                <w:sz w:val="20"/>
                <w:szCs w:val="20"/>
                <w:lang w:val="es-ES_tradnl"/>
              </w:rPr>
            </w:pPr>
            <w:r w:rsidRPr="003D3532">
              <w:rPr>
                <w:rFonts w:ascii="Cambria" w:hAnsi="Cambria"/>
                <w:b/>
                <w:bCs/>
                <w:color w:val="FFFFFF" w:themeColor="background1"/>
                <w:sz w:val="20"/>
                <w:szCs w:val="20"/>
                <w:lang w:val="es-ES_tradnl"/>
              </w:rPr>
              <w:t>Expediente</w:t>
            </w:r>
          </w:p>
        </w:tc>
        <w:tc>
          <w:tcPr>
            <w:tcW w:w="4288" w:type="dxa"/>
            <w:shd w:val="clear" w:color="auto" w:fill="4F81BD" w:themeFill="accent1"/>
          </w:tcPr>
          <w:p w14:paraId="3AFD6276" w14:textId="77777777" w:rsidR="009811A4" w:rsidRPr="003D3532" w:rsidRDefault="009811A4" w:rsidP="00FD781C">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Cambria" w:hAnsi="Cambria"/>
                <w:b/>
                <w:bCs/>
                <w:color w:val="FFFFFF" w:themeColor="background1"/>
                <w:sz w:val="20"/>
                <w:szCs w:val="20"/>
                <w:lang w:val="es-ES_tradnl"/>
              </w:rPr>
            </w:pPr>
            <w:r w:rsidRPr="003D3532">
              <w:rPr>
                <w:rFonts w:ascii="Cambria" w:hAnsi="Cambria"/>
                <w:b/>
                <w:bCs/>
                <w:color w:val="FFFFFF" w:themeColor="background1"/>
                <w:sz w:val="20"/>
                <w:szCs w:val="20"/>
                <w:lang w:val="es-ES_tradnl"/>
              </w:rPr>
              <w:t>Materia/Pretensión</w:t>
            </w:r>
          </w:p>
        </w:tc>
        <w:tc>
          <w:tcPr>
            <w:tcW w:w="1241" w:type="dxa"/>
            <w:shd w:val="clear" w:color="auto" w:fill="4F81BD" w:themeFill="accent1"/>
          </w:tcPr>
          <w:p w14:paraId="25B70A95" w14:textId="77777777" w:rsidR="009811A4" w:rsidRPr="003D3532" w:rsidRDefault="009811A4" w:rsidP="00FD781C">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Cambria" w:hAnsi="Cambria"/>
                <w:b/>
                <w:bCs/>
                <w:color w:val="FFFFFF" w:themeColor="background1"/>
                <w:sz w:val="20"/>
                <w:szCs w:val="20"/>
                <w:lang w:val="es-ES_tradnl"/>
              </w:rPr>
            </w:pPr>
            <w:r w:rsidRPr="003D3532">
              <w:rPr>
                <w:rFonts w:ascii="Cambria" w:hAnsi="Cambria"/>
                <w:b/>
                <w:bCs/>
                <w:color w:val="FFFFFF" w:themeColor="background1"/>
                <w:sz w:val="20"/>
                <w:szCs w:val="20"/>
                <w:lang w:val="es-ES_tradnl"/>
              </w:rPr>
              <w:t>Accionante</w:t>
            </w:r>
          </w:p>
        </w:tc>
        <w:tc>
          <w:tcPr>
            <w:tcW w:w="1953" w:type="dxa"/>
            <w:shd w:val="clear" w:color="auto" w:fill="4F81BD" w:themeFill="accent1"/>
          </w:tcPr>
          <w:p w14:paraId="7A1DB511" w14:textId="77777777" w:rsidR="009811A4" w:rsidRPr="003D3532" w:rsidRDefault="009811A4" w:rsidP="00FD781C">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Cambria" w:hAnsi="Cambria"/>
                <w:b/>
                <w:bCs/>
                <w:color w:val="FFFFFF" w:themeColor="background1"/>
                <w:sz w:val="20"/>
                <w:szCs w:val="20"/>
                <w:lang w:val="es-ES_tradnl"/>
              </w:rPr>
            </w:pPr>
            <w:r w:rsidRPr="003D3532">
              <w:rPr>
                <w:rFonts w:ascii="Cambria" w:hAnsi="Cambria"/>
                <w:b/>
                <w:bCs/>
                <w:color w:val="FFFFFF" w:themeColor="background1"/>
                <w:sz w:val="20"/>
                <w:szCs w:val="20"/>
                <w:lang w:val="es-ES_tradnl"/>
              </w:rPr>
              <w:t>Situación procesal</w:t>
            </w:r>
          </w:p>
        </w:tc>
      </w:tr>
      <w:tr w:rsidR="009811A4" w:rsidRPr="0012763C" w14:paraId="0B969E55" w14:textId="77777777" w:rsidTr="001D44F9">
        <w:trPr>
          <w:jc w:val="center"/>
        </w:trPr>
        <w:tc>
          <w:tcPr>
            <w:tcW w:w="1148" w:type="dxa"/>
          </w:tcPr>
          <w:p w14:paraId="17106FEC" w14:textId="77777777" w:rsidR="009811A4" w:rsidRPr="003D3532" w:rsidRDefault="009811A4" w:rsidP="00FD781C">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Cambria" w:hAnsi="Cambria"/>
                <w:sz w:val="20"/>
                <w:szCs w:val="20"/>
                <w:lang w:val="es-ES_tradnl"/>
              </w:rPr>
            </w:pPr>
          </w:p>
          <w:p w14:paraId="6CA27285" w14:textId="77777777" w:rsidR="009811A4" w:rsidRPr="003D3532" w:rsidRDefault="009811A4" w:rsidP="00FD781C">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Cambria" w:hAnsi="Cambria"/>
                <w:sz w:val="20"/>
                <w:szCs w:val="20"/>
                <w:lang w:val="es-ES_tradnl"/>
              </w:rPr>
            </w:pPr>
            <w:r w:rsidRPr="003D3532">
              <w:rPr>
                <w:rFonts w:ascii="Cambria" w:hAnsi="Cambria"/>
                <w:sz w:val="20"/>
                <w:szCs w:val="20"/>
                <w:lang w:val="es-ES_tradnl"/>
              </w:rPr>
              <w:t>0002-2013-PCC/TC</w:t>
            </w:r>
          </w:p>
        </w:tc>
        <w:tc>
          <w:tcPr>
            <w:tcW w:w="4288" w:type="dxa"/>
          </w:tcPr>
          <w:p w14:paraId="2F104497" w14:textId="77777777" w:rsidR="009811A4" w:rsidRPr="003D3532" w:rsidRDefault="009811A4" w:rsidP="00FD781C">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Cambria" w:hAnsi="Cambria"/>
                <w:sz w:val="20"/>
                <w:szCs w:val="20"/>
                <w:lang w:val="es-ES_tradnl"/>
              </w:rPr>
            </w:pPr>
            <w:r w:rsidRPr="003D3532">
              <w:rPr>
                <w:rFonts w:ascii="Cambria" w:hAnsi="Cambria"/>
                <w:sz w:val="20"/>
                <w:szCs w:val="20"/>
                <w:lang w:val="es-ES_tradnl"/>
              </w:rPr>
              <w:t>Proceso competencial. Presentado para que se declare que es competencia exclusiva del Poder Ejecutivo, a través del MEF, administrar la Hacienda Pública, así como la Reserva de Contingencia.</w:t>
            </w:r>
          </w:p>
        </w:tc>
        <w:tc>
          <w:tcPr>
            <w:tcW w:w="1241" w:type="dxa"/>
          </w:tcPr>
          <w:p w14:paraId="1E241A77" w14:textId="77777777" w:rsidR="009811A4" w:rsidRPr="003D3532" w:rsidRDefault="009811A4" w:rsidP="00FD781C">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Cambria" w:hAnsi="Cambria"/>
                <w:sz w:val="20"/>
                <w:szCs w:val="20"/>
                <w:lang w:val="es-ES_tradnl"/>
              </w:rPr>
            </w:pPr>
          </w:p>
          <w:p w14:paraId="6A181740" w14:textId="77777777" w:rsidR="009811A4" w:rsidRPr="003D3532" w:rsidRDefault="009811A4" w:rsidP="00FD781C">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Cambria" w:hAnsi="Cambria"/>
                <w:sz w:val="20"/>
                <w:szCs w:val="20"/>
                <w:lang w:val="es-ES_tradnl"/>
              </w:rPr>
            </w:pPr>
            <w:r w:rsidRPr="003D3532">
              <w:rPr>
                <w:rFonts w:ascii="Cambria" w:hAnsi="Cambria"/>
                <w:sz w:val="20"/>
                <w:szCs w:val="20"/>
                <w:lang w:val="es-ES_tradnl"/>
              </w:rPr>
              <w:t>Ministerio de Economía y Finanzas</w:t>
            </w:r>
          </w:p>
        </w:tc>
        <w:tc>
          <w:tcPr>
            <w:tcW w:w="1953" w:type="dxa"/>
          </w:tcPr>
          <w:p w14:paraId="3940F227" w14:textId="6E24FCB8" w:rsidR="009811A4" w:rsidRPr="003D3532" w:rsidRDefault="00712592" w:rsidP="00FD781C">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Cambria" w:hAnsi="Cambria"/>
                <w:sz w:val="20"/>
                <w:szCs w:val="20"/>
                <w:lang w:val="es-ES_tradnl"/>
              </w:rPr>
            </w:pPr>
            <w:r w:rsidRPr="003D3532">
              <w:rPr>
                <w:rFonts w:ascii="Cambria" w:hAnsi="Cambria"/>
                <w:sz w:val="20"/>
                <w:szCs w:val="20"/>
                <w:lang w:val="es-ES_tradnl"/>
              </w:rPr>
              <w:t>Concluido</w:t>
            </w:r>
            <w:r w:rsidR="009811A4" w:rsidRPr="003D3532">
              <w:rPr>
                <w:rFonts w:ascii="Cambria" w:hAnsi="Cambria"/>
                <w:sz w:val="20"/>
                <w:szCs w:val="20"/>
                <w:lang w:val="es-ES_tradnl"/>
              </w:rPr>
              <w:t xml:space="preserve"> el 27 de noviembre de 2013, con sentencia del Tribunal Constitucional</w:t>
            </w:r>
          </w:p>
        </w:tc>
      </w:tr>
      <w:tr w:rsidR="009811A4" w:rsidRPr="003D3532" w14:paraId="39567C6B" w14:textId="77777777" w:rsidTr="001D44F9">
        <w:trPr>
          <w:trHeight w:val="718"/>
          <w:jc w:val="center"/>
        </w:trPr>
        <w:tc>
          <w:tcPr>
            <w:tcW w:w="1148" w:type="dxa"/>
          </w:tcPr>
          <w:p w14:paraId="2C44E664" w14:textId="68FE9B47" w:rsidR="009811A4" w:rsidRPr="003D3532" w:rsidRDefault="00712592" w:rsidP="00FD781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center"/>
              <w:rPr>
                <w:rFonts w:ascii="Cambria" w:hAnsi="Cambria"/>
                <w:sz w:val="20"/>
                <w:szCs w:val="20"/>
                <w:lang w:val="es-ES_tradnl"/>
              </w:rPr>
            </w:pPr>
            <w:r w:rsidRPr="003D3532">
              <w:rPr>
                <w:rFonts w:ascii="Cambria" w:hAnsi="Cambria"/>
                <w:sz w:val="20"/>
                <w:szCs w:val="20"/>
                <w:lang w:val="es-ES_tradnl"/>
              </w:rPr>
              <w:t>N.º</w:t>
            </w:r>
            <w:r w:rsidR="009811A4" w:rsidRPr="003D3532">
              <w:rPr>
                <w:rFonts w:ascii="Cambria" w:hAnsi="Cambria"/>
                <w:sz w:val="20"/>
                <w:szCs w:val="20"/>
                <w:lang w:val="es-ES_tradnl"/>
              </w:rPr>
              <w:t xml:space="preserve"> 15114-2018-1801-JR-CI-03</w:t>
            </w:r>
          </w:p>
        </w:tc>
        <w:tc>
          <w:tcPr>
            <w:tcW w:w="4288" w:type="dxa"/>
          </w:tcPr>
          <w:p w14:paraId="6A47570D" w14:textId="77777777" w:rsidR="009811A4" w:rsidRPr="003D3532" w:rsidRDefault="009811A4" w:rsidP="00FD781C">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Cambria" w:hAnsi="Cambria"/>
                <w:sz w:val="20"/>
                <w:szCs w:val="20"/>
                <w:lang w:val="es-ES_tradnl"/>
              </w:rPr>
            </w:pPr>
            <w:r w:rsidRPr="003D3532">
              <w:rPr>
                <w:rFonts w:ascii="Cambria" w:hAnsi="Cambria"/>
                <w:sz w:val="20"/>
                <w:szCs w:val="20"/>
                <w:lang w:val="es-ES_tradnl"/>
              </w:rPr>
              <w:t>Proceso de amparo. Presentado para que se declare la nulidad de la Resolución N° 147, la cual incluyo en la etapa de ejecución del proceso de cumplimiento el pago de salarios devengados.</w:t>
            </w:r>
          </w:p>
        </w:tc>
        <w:tc>
          <w:tcPr>
            <w:tcW w:w="1241" w:type="dxa"/>
          </w:tcPr>
          <w:p w14:paraId="4DE38DED" w14:textId="77777777" w:rsidR="009811A4" w:rsidRPr="003D3532" w:rsidRDefault="009811A4" w:rsidP="00FD781C">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Cambria" w:hAnsi="Cambria"/>
                <w:sz w:val="20"/>
                <w:szCs w:val="20"/>
                <w:lang w:val="es-ES_tradnl"/>
              </w:rPr>
            </w:pPr>
          </w:p>
          <w:p w14:paraId="2DC88EC5" w14:textId="77777777" w:rsidR="009811A4" w:rsidRPr="003D3532" w:rsidRDefault="009811A4" w:rsidP="00FD781C">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Cambria" w:hAnsi="Cambria"/>
                <w:sz w:val="20"/>
                <w:szCs w:val="20"/>
                <w:lang w:val="es-ES_tradnl"/>
              </w:rPr>
            </w:pPr>
            <w:r w:rsidRPr="003D3532">
              <w:rPr>
                <w:rFonts w:ascii="Cambria" w:hAnsi="Cambria"/>
                <w:sz w:val="20"/>
                <w:szCs w:val="20"/>
                <w:lang w:val="es-ES_tradnl"/>
              </w:rPr>
              <w:t>Procuraduría del Poder Judicial</w:t>
            </w:r>
          </w:p>
        </w:tc>
        <w:tc>
          <w:tcPr>
            <w:tcW w:w="1953" w:type="dxa"/>
          </w:tcPr>
          <w:p w14:paraId="0219F4F6" w14:textId="77777777" w:rsidR="009811A4" w:rsidRPr="003D3532" w:rsidRDefault="009811A4" w:rsidP="00FD781C">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Cambria" w:hAnsi="Cambria"/>
                <w:sz w:val="20"/>
                <w:szCs w:val="20"/>
                <w:lang w:val="es-ES_tradnl"/>
              </w:rPr>
            </w:pPr>
          </w:p>
          <w:p w14:paraId="38D7293B" w14:textId="77777777" w:rsidR="009811A4" w:rsidRPr="003D3532" w:rsidRDefault="009811A4" w:rsidP="00FD781C">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Cambria" w:hAnsi="Cambria"/>
                <w:sz w:val="20"/>
                <w:szCs w:val="20"/>
                <w:lang w:val="es-ES_tradnl"/>
              </w:rPr>
            </w:pPr>
          </w:p>
          <w:p w14:paraId="31558831" w14:textId="77777777" w:rsidR="009811A4" w:rsidRPr="003D3532" w:rsidRDefault="009811A4" w:rsidP="00FD781C">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Cambria" w:hAnsi="Cambria"/>
                <w:sz w:val="20"/>
                <w:szCs w:val="20"/>
                <w:lang w:val="es-ES_tradnl"/>
              </w:rPr>
            </w:pPr>
            <w:r w:rsidRPr="003D3532">
              <w:rPr>
                <w:rFonts w:ascii="Cambria" w:hAnsi="Cambria"/>
                <w:sz w:val="20"/>
                <w:szCs w:val="20"/>
                <w:lang w:val="es-ES_tradnl"/>
              </w:rPr>
              <w:t>En trámite.</w:t>
            </w:r>
          </w:p>
        </w:tc>
      </w:tr>
      <w:tr w:rsidR="009811A4" w:rsidRPr="003D3532" w14:paraId="37A1AF6A" w14:textId="77777777" w:rsidTr="001D44F9">
        <w:trPr>
          <w:jc w:val="center"/>
        </w:trPr>
        <w:tc>
          <w:tcPr>
            <w:tcW w:w="1148" w:type="dxa"/>
          </w:tcPr>
          <w:p w14:paraId="45EFECB0" w14:textId="77777777" w:rsidR="009811A4" w:rsidRPr="003D3532" w:rsidRDefault="009811A4" w:rsidP="00FD781C">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Cambria" w:hAnsi="Cambria"/>
                <w:sz w:val="20"/>
                <w:szCs w:val="20"/>
                <w:lang w:val="es-ES_tradnl"/>
              </w:rPr>
            </w:pPr>
            <w:r w:rsidRPr="003D3532">
              <w:rPr>
                <w:rFonts w:ascii="Cambria" w:hAnsi="Cambria"/>
                <w:sz w:val="20"/>
                <w:szCs w:val="20"/>
                <w:lang w:val="es-ES_tradnl"/>
              </w:rPr>
              <w:t>Nº 13969-2013</w:t>
            </w:r>
          </w:p>
        </w:tc>
        <w:tc>
          <w:tcPr>
            <w:tcW w:w="4288" w:type="dxa"/>
          </w:tcPr>
          <w:p w14:paraId="2057F148" w14:textId="506CCFAC" w:rsidR="009811A4" w:rsidRPr="003D3532" w:rsidRDefault="009811A4" w:rsidP="00FD781C">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Cambria" w:hAnsi="Cambria"/>
                <w:sz w:val="20"/>
                <w:szCs w:val="20"/>
                <w:lang w:val="es-ES_tradnl"/>
              </w:rPr>
            </w:pPr>
            <w:r w:rsidRPr="003D3532">
              <w:rPr>
                <w:rFonts w:ascii="Cambria" w:hAnsi="Cambria"/>
                <w:sz w:val="20"/>
                <w:szCs w:val="20"/>
                <w:lang w:val="es-ES_tradnl"/>
              </w:rPr>
              <w:t xml:space="preserve">Proceso de amparo. Presentado para que se declaren nulas las resoluciones que ordenaron al Ministerio de Economía y Finanzas brinde las facilidades para que el Poder Judicial cumpla la sentencia firme y entregue fondos dinerarios del fondo de reserva de </w:t>
            </w:r>
            <w:r w:rsidR="00712592" w:rsidRPr="003D3532">
              <w:rPr>
                <w:rFonts w:ascii="Cambria" w:hAnsi="Cambria"/>
                <w:sz w:val="20"/>
                <w:szCs w:val="20"/>
                <w:lang w:val="es-ES_tradnl"/>
              </w:rPr>
              <w:t>contingencia</w:t>
            </w:r>
          </w:p>
        </w:tc>
        <w:tc>
          <w:tcPr>
            <w:tcW w:w="1241" w:type="dxa"/>
          </w:tcPr>
          <w:p w14:paraId="68D02CB9" w14:textId="77777777" w:rsidR="009811A4" w:rsidRPr="003D3532" w:rsidRDefault="009811A4" w:rsidP="00FD781C">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Cambria" w:hAnsi="Cambria"/>
                <w:sz w:val="20"/>
                <w:szCs w:val="20"/>
                <w:lang w:val="es-ES_tradnl"/>
              </w:rPr>
            </w:pPr>
          </w:p>
          <w:p w14:paraId="15509FAF" w14:textId="77777777" w:rsidR="009811A4" w:rsidRPr="003D3532" w:rsidRDefault="009811A4" w:rsidP="00FD781C">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Cambria" w:hAnsi="Cambria"/>
                <w:sz w:val="20"/>
                <w:szCs w:val="20"/>
                <w:lang w:val="es-ES_tradnl"/>
              </w:rPr>
            </w:pPr>
            <w:r w:rsidRPr="003D3532">
              <w:rPr>
                <w:rFonts w:ascii="Cambria" w:hAnsi="Cambria"/>
                <w:sz w:val="20"/>
                <w:szCs w:val="20"/>
                <w:lang w:val="es-ES_tradnl"/>
              </w:rPr>
              <w:t>Ministerio de Economía y Finanzas</w:t>
            </w:r>
          </w:p>
        </w:tc>
        <w:tc>
          <w:tcPr>
            <w:tcW w:w="1953" w:type="dxa"/>
          </w:tcPr>
          <w:p w14:paraId="510AB452" w14:textId="77777777" w:rsidR="009811A4" w:rsidRPr="003D3532" w:rsidRDefault="009811A4" w:rsidP="00FD781C">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Cambria" w:hAnsi="Cambria"/>
                <w:sz w:val="20"/>
                <w:szCs w:val="20"/>
                <w:lang w:val="es-ES_tradnl"/>
              </w:rPr>
            </w:pPr>
          </w:p>
          <w:p w14:paraId="22B48D06" w14:textId="77777777" w:rsidR="009811A4" w:rsidRPr="003D3532" w:rsidRDefault="009811A4" w:rsidP="00FD781C">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Cambria" w:hAnsi="Cambria"/>
                <w:sz w:val="20"/>
                <w:szCs w:val="20"/>
                <w:lang w:val="es-ES_tradnl"/>
              </w:rPr>
            </w:pPr>
          </w:p>
          <w:p w14:paraId="0392F3DA" w14:textId="77777777" w:rsidR="009811A4" w:rsidRPr="003D3532" w:rsidRDefault="009811A4" w:rsidP="00FD781C">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Cambria" w:hAnsi="Cambria"/>
                <w:sz w:val="20"/>
                <w:szCs w:val="20"/>
                <w:lang w:val="es-ES_tradnl"/>
              </w:rPr>
            </w:pPr>
            <w:r w:rsidRPr="003D3532">
              <w:rPr>
                <w:rFonts w:ascii="Cambria" w:hAnsi="Cambria"/>
                <w:sz w:val="20"/>
                <w:szCs w:val="20"/>
                <w:lang w:val="es-ES_tradnl"/>
              </w:rPr>
              <w:t>En trámite.</w:t>
            </w:r>
          </w:p>
        </w:tc>
      </w:tr>
    </w:tbl>
    <w:p w14:paraId="50D33858" w14:textId="77777777" w:rsidR="009811A4" w:rsidRPr="003D3532" w:rsidRDefault="009811A4" w:rsidP="009811A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7F78700F" w14:textId="2DCFF1F7" w:rsidR="00107B58" w:rsidRPr="003D3532" w:rsidRDefault="00107B58" w:rsidP="00107B5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D3532">
        <w:rPr>
          <w:rFonts w:ascii="Cambria" w:hAnsi="Cambria"/>
          <w:sz w:val="20"/>
          <w:szCs w:val="20"/>
          <w:lang w:val="es-ES_tradnl"/>
        </w:rPr>
        <w:t xml:space="preserve">Asimismo, agrega que existen extremos de la decisión que no pueden ser ejecutados, en tanto el Tribunal Constitucional ha declarado que la Reserva de Contingencia solo puede ser administrada por el </w:t>
      </w:r>
      <w:r w:rsidR="0005521A" w:rsidRPr="003D3532">
        <w:rPr>
          <w:rFonts w:ascii="Cambria" w:hAnsi="Cambria"/>
          <w:sz w:val="20"/>
          <w:szCs w:val="20"/>
          <w:lang w:val="es-ES_tradnl"/>
        </w:rPr>
        <w:t>Poder Ejecutivo</w:t>
      </w:r>
      <w:r w:rsidRPr="003D3532">
        <w:rPr>
          <w:rFonts w:ascii="Cambria" w:hAnsi="Cambria"/>
          <w:sz w:val="20"/>
          <w:szCs w:val="20"/>
          <w:lang w:val="es-ES_tradnl"/>
        </w:rPr>
        <w:t xml:space="preserve">. En consecuencia, no </w:t>
      </w:r>
      <w:r w:rsidR="00BE228E" w:rsidRPr="003D3532">
        <w:rPr>
          <w:rFonts w:ascii="Cambria" w:hAnsi="Cambria"/>
          <w:sz w:val="20"/>
          <w:szCs w:val="20"/>
          <w:lang w:val="es-ES_tradnl"/>
        </w:rPr>
        <w:t xml:space="preserve">es </w:t>
      </w:r>
      <w:r w:rsidRPr="003D3532">
        <w:rPr>
          <w:rFonts w:ascii="Cambria" w:hAnsi="Cambria"/>
          <w:sz w:val="20"/>
          <w:szCs w:val="20"/>
          <w:lang w:val="es-ES_tradnl"/>
        </w:rPr>
        <w:t>posible dar cumplimiento al fallo que ordena al Ministerio de Economía y Finanzas facilitar dinero de dicho fondo</w:t>
      </w:r>
      <w:r w:rsidR="0005521A" w:rsidRPr="003D3532">
        <w:rPr>
          <w:rFonts w:ascii="Cambria" w:hAnsi="Cambria"/>
          <w:sz w:val="20"/>
          <w:szCs w:val="20"/>
          <w:lang w:val="es-ES_tradnl"/>
        </w:rPr>
        <w:t xml:space="preserve"> al Poder Judicial</w:t>
      </w:r>
      <w:r w:rsidRPr="003D3532">
        <w:rPr>
          <w:rFonts w:ascii="Cambria" w:hAnsi="Cambria"/>
          <w:sz w:val="20"/>
          <w:szCs w:val="20"/>
          <w:lang w:val="es-ES_tradnl"/>
        </w:rPr>
        <w:t xml:space="preserve"> para cumplir la decisión. Finalmente, afirma que otra singularidad que ha complicado la ejecución del fallo está relacionada con la existencia de </w:t>
      </w:r>
      <w:r w:rsidR="001E082D">
        <w:rPr>
          <w:rFonts w:ascii="Cambria" w:hAnsi="Cambria"/>
          <w:sz w:val="20"/>
          <w:szCs w:val="20"/>
          <w:lang w:val="es-ES_tradnl"/>
        </w:rPr>
        <w:t>numerosos magistrados</w:t>
      </w:r>
      <w:r w:rsidRPr="003D3532">
        <w:rPr>
          <w:rFonts w:ascii="Cambria" w:hAnsi="Cambria"/>
          <w:sz w:val="20"/>
          <w:szCs w:val="20"/>
          <w:lang w:val="es-ES_tradnl"/>
        </w:rPr>
        <w:t xml:space="preserve"> que, en fase de ejecución, han formulado solicitud de abstención de conocer el caso, por cuanto son beneficiarias de tal decisión, en su condición de asociados a la ANMP. </w:t>
      </w:r>
    </w:p>
    <w:p w14:paraId="1C7ECDFF" w14:textId="380C43DA" w:rsidR="00107B58" w:rsidRPr="003D3532" w:rsidRDefault="00107B58" w:rsidP="00107B5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D3532">
        <w:rPr>
          <w:rFonts w:ascii="Cambria" w:hAnsi="Cambria"/>
          <w:sz w:val="20"/>
          <w:szCs w:val="20"/>
          <w:lang w:val="es-ES_tradnl"/>
        </w:rPr>
        <w:lastRenderedPageBreak/>
        <w:t xml:space="preserve">Sin perjuicio de lo previamente expuesto, </w:t>
      </w:r>
      <w:r w:rsidR="001401BB" w:rsidRPr="003D3532">
        <w:rPr>
          <w:rFonts w:ascii="Cambria" w:hAnsi="Cambria"/>
          <w:sz w:val="20"/>
          <w:szCs w:val="20"/>
          <w:lang w:val="es-ES_tradnl"/>
        </w:rPr>
        <w:t>el Estado indica</w:t>
      </w:r>
      <w:r w:rsidRPr="003D3532">
        <w:rPr>
          <w:rFonts w:ascii="Cambria" w:hAnsi="Cambria"/>
          <w:sz w:val="20"/>
          <w:szCs w:val="20"/>
          <w:lang w:val="es-ES_tradnl"/>
        </w:rPr>
        <w:t xml:space="preserve"> que a pesar de que aún no se cuenta con montos líquidos firmes para hacer los pagos correspondientes, dada la alteración de los términos de la resolución que resolvió el proceso de cumplimiento, en el marco del proceso de ejecución se han realizado avances a partir del establecimiento de algunos lineamientos para lograr el cumplimiento de las resoluciones. En concreto, el Estado resalta se han acordado los siguientes puntos</w:t>
      </w:r>
      <w:r w:rsidR="00332FF7" w:rsidRPr="003D3532">
        <w:rPr>
          <w:rFonts w:ascii="Cambria" w:hAnsi="Cambria"/>
          <w:sz w:val="20"/>
          <w:szCs w:val="20"/>
          <w:lang w:val="es-ES_tradnl"/>
        </w:rPr>
        <w:t>:</w:t>
      </w:r>
    </w:p>
    <w:p w14:paraId="7F489251" w14:textId="108B62CF" w:rsidR="009811A4" w:rsidRPr="003D3532" w:rsidRDefault="009811A4" w:rsidP="009811A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_tradnl"/>
        </w:rPr>
      </w:pPr>
      <w:r w:rsidRPr="003D3532">
        <w:rPr>
          <w:rFonts w:ascii="Cambria" w:hAnsi="Cambria"/>
          <w:sz w:val="20"/>
          <w:szCs w:val="20"/>
          <w:lang w:val="es-ES_tradnl"/>
        </w:rPr>
        <w:t xml:space="preserve">i) </w:t>
      </w:r>
      <w:r w:rsidR="005B03E1" w:rsidRPr="003D3532">
        <w:rPr>
          <w:rFonts w:ascii="Cambria" w:hAnsi="Cambria"/>
          <w:sz w:val="20"/>
          <w:szCs w:val="20"/>
          <w:lang w:val="es-ES_tradnl"/>
        </w:rPr>
        <w:tab/>
      </w:r>
      <w:r w:rsidRPr="003D3532">
        <w:rPr>
          <w:rFonts w:ascii="Cambria" w:hAnsi="Cambria"/>
          <w:sz w:val="20"/>
          <w:szCs w:val="20"/>
          <w:lang w:val="es-ES_tradnl"/>
        </w:rPr>
        <w:t>Que la ANMP es la única legitimada a impulsar el proceso;</w:t>
      </w:r>
    </w:p>
    <w:p w14:paraId="1E222217" w14:textId="4E5A58E5" w:rsidR="009811A4" w:rsidRPr="003D3532" w:rsidRDefault="009811A4" w:rsidP="005B03E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1440" w:hanging="720"/>
        <w:jc w:val="both"/>
        <w:rPr>
          <w:rFonts w:ascii="Cambria" w:hAnsi="Cambria"/>
          <w:sz w:val="20"/>
          <w:szCs w:val="20"/>
          <w:lang w:val="es-ES_tradnl"/>
        </w:rPr>
      </w:pPr>
      <w:r w:rsidRPr="003D3532">
        <w:rPr>
          <w:rFonts w:ascii="Cambria" w:hAnsi="Cambria"/>
          <w:sz w:val="20"/>
          <w:szCs w:val="20"/>
          <w:lang w:val="es-ES_tradnl"/>
        </w:rPr>
        <w:t xml:space="preserve">ii) </w:t>
      </w:r>
      <w:r w:rsidR="005B03E1" w:rsidRPr="003D3532">
        <w:rPr>
          <w:rFonts w:ascii="Cambria" w:hAnsi="Cambria"/>
          <w:sz w:val="20"/>
          <w:szCs w:val="20"/>
          <w:lang w:val="es-ES_tradnl"/>
        </w:rPr>
        <w:tab/>
      </w:r>
      <w:r w:rsidRPr="003D3532">
        <w:rPr>
          <w:rFonts w:ascii="Cambria" w:hAnsi="Cambria"/>
          <w:sz w:val="20"/>
          <w:szCs w:val="20"/>
          <w:lang w:val="es-ES_tradnl"/>
        </w:rPr>
        <w:t>Que la liquidación de devengados se realizará desde el 3 de junio de 1993 hasta el 13 de diciembre de 2013, teniendo en cuenta la fecha de ingreso al Poder Judicial en calidad de Juez titular de cada uno de los beneficiarios;</w:t>
      </w:r>
    </w:p>
    <w:p w14:paraId="1E829F27" w14:textId="7B111DC8" w:rsidR="009811A4" w:rsidRPr="003D3532" w:rsidRDefault="009811A4" w:rsidP="005B03E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1440" w:hanging="720"/>
        <w:jc w:val="both"/>
        <w:rPr>
          <w:rFonts w:ascii="Cambria" w:hAnsi="Cambria"/>
          <w:sz w:val="20"/>
          <w:szCs w:val="20"/>
          <w:lang w:val="es-ES_tradnl"/>
        </w:rPr>
      </w:pPr>
      <w:r w:rsidRPr="003D3532">
        <w:rPr>
          <w:rFonts w:ascii="Cambria" w:hAnsi="Cambria"/>
          <w:sz w:val="20"/>
          <w:szCs w:val="20"/>
          <w:lang w:val="es-ES_tradnl"/>
        </w:rPr>
        <w:t xml:space="preserve">iii) </w:t>
      </w:r>
      <w:r w:rsidR="005B03E1" w:rsidRPr="003D3532">
        <w:rPr>
          <w:rFonts w:ascii="Cambria" w:hAnsi="Cambria"/>
          <w:sz w:val="20"/>
          <w:szCs w:val="20"/>
          <w:lang w:val="es-ES_tradnl"/>
        </w:rPr>
        <w:tab/>
      </w:r>
      <w:r w:rsidRPr="003D3532">
        <w:rPr>
          <w:rFonts w:ascii="Cambria" w:hAnsi="Cambria"/>
          <w:sz w:val="20"/>
          <w:szCs w:val="20"/>
          <w:lang w:val="es-ES_tradnl"/>
        </w:rPr>
        <w:t>Que no se encuentra comprendido en las liquidaciones de devengados el pago de 16 remuneraciones anuales (escolaridad y vacaciones);</w:t>
      </w:r>
    </w:p>
    <w:p w14:paraId="142069FF" w14:textId="5AB084A1" w:rsidR="009811A4" w:rsidRPr="003D3532" w:rsidRDefault="009811A4" w:rsidP="009811A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_tradnl"/>
        </w:rPr>
      </w:pPr>
      <w:r w:rsidRPr="003D3532">
        <w:rPr>
          <w:rFonts w:ascii="Cambria" w:hAnsi="Cambria"/>
          <w:sz w:val="20"/>
          <w:szCs w:val="20"/>
          <w:lang w:val="es-ES_tradnl"/>
        </w:rPr>
        <w:t xml:space="preserve">iv) </w:t>
      </w:r>
      <w:r w:rsidR="005B03E1" w:rsidRPr="003D3532">
        <w:rPr>
          <w:rFonts w:ascii="Cambria" w:hAnsi="Cambria"/>
          <w:sz w:val="20"/>
          <w:szCs w:val="20"/>
          <w:lang w:val="es-ES_tradnl"/>
        </w:rPr>
        <w:tab/>
      </w:r>
      <w:r w:rsidRPr="003D3532">
        <w:rPr>
          <w:rFonts w:ascii="Cambria" w:hAnsi="Cambria"/>
          <w:sz w:val="20"/>
          <w:szCs w:val="20"/>
          <w:lang w:val="es-ES_tradnl"/>
        </w:rPr>
        <w:t>Que no se incluye el periodo desempeñado como jueces supernumerarios o suplentes;</w:t>
      </w:r>
    </w:p>
    <w:p w14:paraId="3A8F1269" w14:textId="40DD01CF" w:rsidR="009811A4" w:rsidRPr="003D3532" w:rsidRDefault="009811A4" w:rsidP="009811A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_tradnl"/>
        </w:rPr>
      </w:pPr>
      <w:r w:rsidRPr="003D3532">
        <w:rPr>
          <w:rFonts w:ascii="Cambria" w:hAnsi="Cambria"/>
          <w:sz w:val="20"/>
          <w:szCs w:val="20"/>
          <w:lang w:val="es-ES_tradnl"/>
        </w:rPr>
        <w:t xml:space="preserve">v) </w:t>
      </w:r>
      <w:r w:rsidR="005B03E1" w:rsidRPr="003D3532">
        <w:rPr>
          <w:rFonts w:ascii="Cambria" w:hAnsi="Cambria"/>
          <w:sz w:val="20"/>
          <w:szCs w:val="20"/>
          <w:lang w:val="es-ES_tradnl"/>
        </w:rPr>
        <w:tab/>
      </w:r>
      <w:r w:rsidRPr="003D3532">
        <w:rPr>
          <w:rFonts w:ascii="Cambria" w:hAnsi="Cambria"/>
          <w:sz w:val="20"/>
          <w:szCs w:val="20"/>
          <w:lang w:val="es-ES_tradnl"/>
        </w:rPr>
        <w:t xml:space="preserve">Que no se deben incluir beneficios laborales particulares. </w:t>
      </w:r>
    </w:p>
    <w:p w14:paraId="1DC21785" w14:textId="5BD638FF" w:rsidR="009811A4" w:rsidRPr="003D3532" w:rsidRDefault="009811A4" w:rsidP="009811A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3D3532">
        <w:rPr>
          <w:rFonts w:ascii="Cambria" w:hAnsi="Cambria"/>
          <w:sz w:val="20"/>
          <w:szCs w:val="20"/>
          <w:lang w:val="es-ES_tradnl"/>
        </w:rPr>
        <w:t xml:space="preserve">Además, destaca que el Ministerio de Economía y Finanzas viene cumpliendo con asignar las partidas correspondientes para el pago de remuneraciones a </w:t>
      </w:r>
      <w:r w:rsidR="001E082D">
        <w:rPr>
          <w:rFonts w:ascii="Cambria" w:hAnsi="Cambria"/>
          <w:sz w:val="20"/>
          <w:szCs w:val="20"/>
          <w:lang w:val="es-ES_tradnl"/>
        </w:rPr>
        <w:t>los magistrados</w:t>
      </w:r>
      <w:r w:rsidRPr="003D3532">
        <w:rPr>
          <w:rFonts w:ascii="Cambria" w:hAnsi="Cambria"/>
          <w:sz w:val="20"/>
          <w:szCs w:val="20"/>
          <w:lang w:val="es-ES_tradnl"/>
        </w:rPr>
        <w:t xml:space="preserve">. Al respecto, informa que en diciembre de 2013 se </w:t>
      </w:r>
      <w:r w:rsidR="00712592" w:rsidRPr="003D3532">
        <w:rPr>
          <w:rFonts w:ascii="Cambria" w:hAnsi="Cambria"/>
          <w:sz w:val="20"/>
          <w:szCs w:val="20"/>
          <w:lang w:val="es-ES_tradnl"/>
        </w:rPr>
        <w:t>publicó</w:t>
      </w:r>
      <w:r w:rsidRPr="003D3532">
        <w:rPr>
          <w:rFonts w:ascii="Cambria" w:hAnsi="Cambria"/>
          <w:sz w:val="20"/>
          <w:szCs w:val="20"/>
          <w:lang w:val="es-ES_tradnl"/>
        </w:rPr>
        <w:t xml:space="preserve"> la Leyº 30125, que establece medidas para el fortalecimiento del Poder Judicial, y mediante la cual se modificó el inciso 5 del artículo 186º de la Ley </w:t>
      </w:r>
      <w:r w:rsidR="00712592" w:rsidRPr="003D3532">
        <w:rPr>
          <w:rFonts w:ascii="Cambria" w:hAnsi="Cambria"/>
          <w:sz w:val="20"/>
          <w:szCs w:val="20"/>
          <w:lang w:val="es-ES_tradnl"/>
        </w:rPr>
        <w:t>Orgánica</w:t>
      </w:r>
      <w:r w:rsidRPr="003D3532">
        <w:rPr>
          <w:rFonts w:ascii="Cambria" w:hAnsi="Cambria"/>
          <w:sz w:val="20"/>
          <w:szCs w:val="20"/>
          <w:lang w:val="es-ES_tradnl"/>
        </w:rPr>
        <w:t xml:space="preserve"> del Poder Judicial que regulaba remuneración mensual de </w:t>
      </w:r>
      <w:r w:rsidR="001E082D">
        <w:rPr>
          <w:rFonts w:ascii="Cambria" w:hAnsi="Cambria"/>
          <w:sz w:val="20"/>
          <w:szCs w:val="20"/>
          <w:lang w:val="es-ES_tradnl"/>
        </w:rPr>
        <w:t>los magistrados</w:t>
      </w:r>
      <w:r w:rsidRPr="003D3532">
        <w:rPr>
          <w:rFonts w:ascii="Cambria" w:hAnsi="Cambria"/>
          <w:sz w:val="20"/>
          <w:szCs w:val="20"/>
          <w:lang w:val="es-ES_tradnl"/>
        </w:rPr>
        <w:t xml:space="preserve">. Resalta que la Primera Disposición Complementaria Transitoria de la citada ley estableció que los haberes de </w:t>
      </w:r>
      <w:r w:rsidR="001E082D">
        <w:rPr>
          <w:rFonts w:ascii="Cambria" w:hAnsi="Cambria"/>
          <w:sz w:val="20"/>
          <w:szCs w:val="20"/>
          <w:lang w:val="es-ES_tradnl"/>
        </w:rPr>
        <w:t>los magistrados</w:t>
      </w:r>
      <w:r w:rsidR="001E082D" w:rsidRPr="003D3532">
        <w:rPr>
          <w:rFonts w:ascii="Cambria" w:hAnsi="Cambria"/>
          <w:sz w:val="20"/>
          <w:szCs w:val="20"/>
          <w:lang w:val="es-ES_tradnl"/>
        </w:rPr>
        <w:t xml:space="preserve"> </w:t>
      </w:r>
      <w:r w:rsidRPr="003D3532">
        <w:rPr>
          <w:rFonts w:ascii="Cambria" w:hAnsi="Cambria"/>
          <w:sz w:val="20"/>
          <w:szCs w:val="20"/>
          <w:lang w:val="es-ES_tradnl"/>
        </w:rPr>
        <w:t xml:space="preserve">se tendrían que incrementar en los </w:t>
      </w:r>
      <w:r w:rsidR="00712592" w:rsidRPr="003D3532">
        <w:rPr>
          <w:rFonts w:ascii="Cambria" w:hAnsi="Cambria"/>
          <w:sz w:val="20"/>
          <w:szCs w:val="20"/>
          <w:lang w:val="es-ES_tradnl"/>
        </w:rPr>
        <w:t>siguientes</w:t>
      </w:r>
      <w:r w:rsidRPr="003D3532">
        <w:rPr>
          <w:rFonts w:ascii="Cambria" w:hAnsi="Cambria"/>
          <w:sz w:val="20"/>
          <w:szCs w:val="20"/>
          <w:lang w:val="es-ES_tradnl"/>
        </w:rPr>
        <w:t xml:space="preserve"> años, de forma progresiva en tres tramos. En virtud de esta regulación, sostiene que el 17 de </w:t>
      </w:r>
      <w:r w:rsidR="00712592" w:rsidRPr="003D3532">
        <w:rPr>
          <w:rFonts w:ascii="Cambria" w:hAnsi="Cambria"/>
          <w:sz w:val="20"/>
          <w:szCs w:val="20"/>
          <w:lang w:val="es-ES_tradnl"/>
        </w:rPr>
        <w:t>diciembre</w:t>
      </w:r>
      <w:r w:rsidRPr="003D3532">
        <w:rPr>
          <w:rFonts w:ascii="Cambria" w:hAnsi="Cambria"/>
          <w:sz w:val="20"/>
          <w:szCs w:val="20"/>
          <w:lang w:val="es-ES_tradnl"/>
        </w:rPr>
        <w:t xml:space="preserve"> de 2013, el 28 de diciembre de 2014 y el 25 de diciembre de 2015 se cumplió con el aumento las remuneraciones de </w:t>
      </w:r>
      <w:r w:rsidR="00D55AE4" w:rsidRPr="003D3532">
        <w:rPr>
          <w:rFonts w:ascii="Cambria" w:hAnsi="Cambria"/>
          <w:sz w:val="20"/>
          <w:szCs w:val="20"/>
          <w:lang w:val="es-ES_tradnl"/>
        </w:rPr>
        <w:t xml:space="preserve">todos </w:t>
      </w:r>
      <w:r w:rsidR="001E082D">
        <w:rPr>
          <w:rFonts w:ascii="Cambria" w:hAnsi="Cambria"/>
          <w:sz w:val="20"/>
          <w:szCs w:val="20"/>
          <w:lang w:val="es-ES_tradnl"/>
        </w:rPr>
        <w:t>los magistrados</w:t>
      </w:r>
      <w:r w:rsidR="001E082D" w:rsidRPr="003D3532">
        <w:rPr>
          <w:rFonts w:ascii="Cambria" w:hAnsi="Cambria"/>
          <w:sz w:val="20"/>
          <w:szCs w:val="20"/>
          <w:lang w:val="es-ES_tradnl"/>
        </w:rPr>
        <w:t xml:space="preserve"> </w:t>
      </w:r>
      <w:r w:rsidRPr="003D3532">
        <w:rPr>
          <w:rFonts w:ascii="Cambria" w:hAnsi="Cambria"/>
          <w:sz w:val="20"/>
          <w:szCs w:val="20"/>
          <w:lang w:val="es-ES_tradnl"/>
        </w:rPr>
        <w:t xml:space="preserve">en las tres etapas previstas. </w:t>
      </w:r>
    </w:p>
    <w:p w14:paraId="3A0D06D5" w14:textId="39DA5D52" w:rsidR="009811A4" w:rsidRPr="003D3532" w:rsidRDefault="00722458" w:rsidP="009811A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3D3532">
        <w:rPr>
          <w:rFonts w:ascii="Cambria" w:hAnsi="Cambria"/>
          <w:sz w:val="20"/>
          <w:szCs w:val="20"/>
          <w:lang w:val="es-ES_tradnl"/>
        </w:rPr>
        <w:t>Con base</w:t>
      </w:r>
      <w:r w:rsidR="00AE2D05" w:rsidRPr="003D3532">
        <w:rPr>
          <w:rFonts w:ascii="Cambria" w:hAnsi="Cambria"/>
          <w:sz w:val="20"/>
          <w:szCs w:val="20"/>
          <w:lang w:val="es-ES_tradnl"/>
        </w:rPr>
        <w:t xml:space="preserve"> en esto</w:t>
      </w:r>
      <w:r w:rsidR="009811A4" w:rsidRPr="003D3532">
        <w:rPr>
          <w:rFonts w:ascii="Cambria" w:hAnsi="Cambria"/>
          <w:sz w:val="20"/>
          <w:szCs w:val="20"/>
          <w:lang w:val="es-ES_tradnl"/>
        </w:rPr>
        <w:t>, resalta que</w:t>
      </w:r>
      <w:r w:rsidR="00AE2D05" w:rsidRPr="003D3532">
        <w:rPr>
          <w:rFonts w:ascii="Cambria" w:hAnsi="Cambria"/>
          <w:sz w:val="20"/>
          <w:szCs w:val="20"/>
          <w:lang w:val="es-ES_tradnl"/>
        </w:rPr>
        <w:t>,</w:t>
      </w:r>
      <w:r w:rsidR="009811A4" w:rsidRPr="003D3532">
        <w:rPr>
          <w:rFonts w:ascii="Cambria" w:hAnsi="Cambria"/>
          <w:sz w:val="20"/>
          <w:szCs w:val="20"/>
          <w:lang w:val="es-ES_tradnl"/>
        </w:rPr>
        <w:t xml:space="preserve"> si bien el proceso de cumplimiento </w:t>
      </w:r>
      <w:r w:rsidR="00AE2D05" w:rsidRPr="003D3532">
        <w:rPr>
          <w:rFonts w:ascii="Cambria" w:hAnsi="Cambria"/>
          <w:sz w:val="20"/>
          <w:szCs w:val="20"/>
          <w:lang w:val="es-ES_tradnl"/>
        </w:rPr>
        <w:t>que siguió</w:t>
      </w:r>
      <w:r w:rsidR="009811A4" w:rsidRPr="003D3532">
        <w:rPr>
          <w:rFonts w:ascii="Cambria" w:hAnsi="Cambria"/>
          <w:sz w:val="20"/>
          <w:szCs w:val="20"/>
          <w:lang w:val="es-ES_tradnl"/>
        </w:rPr>
        <w:t xml:space="preserve"> la ANMP </w:t>
      </w:r>
      <w:r w:rsidR="00AE2D05" w:rsidRPr="003D3532">
        <w:rPr>
          <w:rFonts w:ascii="Cambria" w:hAnsi="Cambria"/>
          <w:sz w:val="20"/>
          <w:szCs w:val="20"/>
          <w:lang w:val="es-ES_tradnl"/>
        </w:rPr>
        <w:t>está</w:t>
      </w:r>
      <w:r w:rsidR="009811A4" w:rsidRPr="003D3532">
        <w:rPr>
          <w:rFonts w:ascii="Cambria" w:hAnsi="Cambria"/>
          <w:sz w:val="20"/>
          <w:szCs w:val="20"/>
          <w:lang w:val="es-ES_tradnl"/>
        </w:rPr>
        <w:t xml:space="preserve"> en etapa de ejecución de sentencia a nivel interno, se debe tener en cuenta que la demanda inicial tenía como única pretensión nivelar las remuneraciones de </w:t>
      </w:r>
      <w:r w:rsidR="001E082D">
        <w:rPr>
          <w:rFonts w:ascii="Cambria" w:hAnsi="Cambria"/>
          <w:sz w:val="20"/>
          <w:szCs w:val="20"/>
          <w:lang w:val="es-ES_tradnl"/>
        </w:rPr>
        <w:t>los magistrados</w:t>
      </w:r>
      <w:r w:rsidR="001E082D" w:rsidRPr="003D3532">
        <w:rPr>
          <w:rFonts w:ascii="Cambria" w:hAnsi="Cambria"/>
          <w:sz w:val="20"/>
          <w:szCs w:val="20"/>
          <w:lang w:val="es-ES_tradnl"/>
        </w:rPr>
        <w:t xml:space="preserve"> </w:t>
      </w:r>
      <w:r w:rsidR="009811A4" w:rsidRPr="003D3532">
        <w:rPr>
          <w:rFonts w:ascii="Cambria" w:hAnsi="Cambria"/>
          <w:sz w:val="20"/>
          <w:szCs w:val="20"/>
          <w:lang w:val="es-ES_tradnl"/>
        </w:rPr>
        <w:t xml:space="preserve">del Poder Judicial, en virtud del artículo 186 de la Ley Orgánica del Poder Judicial. En consecuencia, </w:t>
      </w:r>
      <w:r w:rsidR="00AA46FB" w:rsidRPr="003D3532">
        <w:rPr>
          <w:rFonts w:ascii="Cambria" w:hAnsi="Cambria"/>
          <w:sz w:val="20"/>
          <w:szCs w:val="20"/>
          <w:lang w:val="es-ES_tradnl"/>
        </w:rPr>
        <w:t>con base en e</w:t>
      </w:r>
      <w:r w:rsidR="009811A4" w:rsidRPr="003D3532">
        <w:rPr>
          <w:rFonts w:ascii="Cambria" w:hAnsi="Cambria"/>
          <w:sz w:val="20"/>
          <w:szCs w:val="20"/>
          <w:lang w:val="es-ES_tradnl"/>
        </w:rPr>
        <w:t xml:space="preserve">l pago progresivo realizado en los últimos años, el Estado considera que el objeto inicial del proceso de cumplimiento, referido a la nivelación de las remuneraciones de </w:t>
      </w:r>
      <w:r w:rsidR="001E082D">
        <w:rPr>
          <w:rFonts w:ascii="Cambria" w:hAnsi="Cambria"/>
          <w:sz w:val="20"/>
          <w:szCs w:val="20"/>
          <w:lang w:val="es-ES_tradnl"/>
        </w:rPr>
        <w:t>los magistrados</w:t>
      </w:r>
      <w:r w:rsidR="009811A4" w:rsidRPr="003D3532">
        <w:rPr>
          <w:rFonts w:ascii="Cambria" w:hAnsi="Cambria"/>
          <w:sz w:val="20"/>
          <w:szCs w:val="20"/>
          <w:lang w:val="es-ES_tradnl"/>
        </w:rPr>
        <w:t xml:space="preserve">, ha sido satisfecho, por lo que no existe una vulneración de los derechos contenidos en los artículos 8 y 25 de la Convención. Así, a su juicio, exigir que se paguen adicionalmente las remuneraciones devengadas representa una clara transgresión al principio de cosa juzgada, el cual está siendo resuelto en sede interna. </w:t>
      </w:r>
    </w:p>
    <w:p w14:paraId="20CBF817" w14:textId="79669F06" w:rsidR="009811A4" w:rsidRPr="003D3532" w:rsidRDefault="009811A4" w:rsidP="009811A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3D3532">
        <w:rPr>
          <w:rFonts w:ascii="Cambria" w:hAnsi="Cambria"/>
          <w:sz w:val="20"/>
          <w:szCs w:val="20"/>
          <w:lang w:val="es-ES_tradnl"/>
        </w:rPr>
        <w:t xml:space="preserve">Finalmente, </w:t>
      </w:r>
      <w:r w:rsidR="00D55AE4" w:rsidRPr="003D3532">
        <w:rPr>
          <w:rFonts w:ascii="Cambria" w:hAnsi="Cambria"/>
          <w:sz w:val="20"/>
          <w:szCs w:val="20"/>
          <w:lang w:val="es-ES_tradnl"/>
        </w:rPr>
        <w:t>Perú</w:t>
      </w:r>
      <w:r w:rsidRPr="003D3532">
        <w:rPr>
          <w:rFonts w:ascii="Cambria" w:hAnsi="Cambria"/>
          <w:sz w:val="20"/>
          <w:szCs w:val="20"/>
          <w:lang w:val="es-ES_tradnl"/>
        </w:rPr>
        <w:t xml:space="preserve"> advierte que existen indicios de corrupción en la ejecución de la sentencia que resolvió la acción de cumplimiento. En particular</w:t>
      </w:r>
      <w:r w:rsidR="00BE1E11" w:rsidRPr="003D3532">
        <w:rPr>
          <w:rFonts w:ascii="Cambria" w:hAnsi="Cambria"/>
          <w:sz w:val="20"/>
          <w:szCs w:val="20"/>
          <w:lang w:val="es-ES_tradnl"/>
        </w:rPr>
        <w:t>,</w:t>
      </w:r>
      <w:r w:rsidRPr="003D3532">
        <w:rPr>
          <w:rFonts w:ascii="Cambria" w:hAnsi="Cambria"/>
          <w:sz w:val="20"/>
          <w:szCs w:val="20"/>
          <w:lang w:val="es-ES_tradnl"/>
        </w:rPr>
        <w:t xml:space="preserve"> destaca que en la prensa se han publicado audios que demostrarían que </w:t>
      </w:r>
      <w:r w:rsidR="00D55AE4" w:rsidRPr="003D3532">
        <w:rPr>
          <w:rFonts w:ascii="Cambria" w:hAnsi="Cambria"/>
          <w:sz w:val="20"/>
          <w:szCs w:val="20"/>
          <w:lang w:val="es-ES_tradnl"/>
        </w:rPr>
        <w:t xml:space="preserve">el </w:t>
      </w:r>
      <w:r w:rsidRPr="003D3532">
        <w:rPr>
          <w:rFonts w:ascii="Cambria" w:hAnsi="Cambria"/>
          <w:sz w:val="20"/>
          <w:szCs w:val="20"/>
          <w:lang w:val="es-ES_tradnl"/>
        </w:rPr>
        <w:t xml:space="preserve">juez del Quinto Juzgado en lo Constitucional de Lima habría actuado de manera delictiva, a efectos de favorecer a exjueces con sus respectivas causas judiciales. </w:t>
      </w:r>
      <w:r w:rsidR="00D55AE4" w:rsidRPr="003D3532">
        <w:rPr>
          <w:rFonts w:ascii="Cambria" w:hAnsi="Cambria"/>
          <w:sz w:val="20"/>
          <w:szCs w:val="20"/>
          <w:lang w:val="es-ES_tradnl"/>
        </w:rPr>
        <w:t>C</w:t>
      </w:r>
      <w:r w:rsidRPr="003D3532">
        <w:rPr>
          <w:rFonts w:ascii="Cambria" w:hAnsi="Cambria"/>
          <w:sz w:val="20"/>
          <w:szCs w:val="20"/>
          <w:lang w:val="es-ES_tradnl"/>
        </w:rPr>
        <w:t>onsidera que</w:t>
      </w:r>
      <w:r w:rsidR="00BE1E11" w:rsidRPr="003D3532">
        <w:rPr>
          <w:rFonts w:ascii="Cambria" w:hAnsi="Cambria"/>
          <w:sz w:val="20"/>
          <w:szCs w:val="20"/>
          <w:lang w:val="es-ES_tradnl"/>
        </w:rPr>
        <w:t>,</w:t>
      </w:r>
      <w:r w:rsidRPr="003D3532">
        <w:rPr>
          <w:rFonts w:ascii="Cambria" w:hAnsi="Cambria"/>
          <w:sz w:val="20"/>
          <w:szCs w:val="20"/>
          <w:lang w:val="es-ES_tradnl"/>
        </w:rPr>
        <w:t xml:space="preserve"> toda vez que dicho funcionario decidió incluir el pago de las remuneraciones devengadas en el proceso de ejecución bajo análisis, existen fundadas sospechas </w:t>
      </w:r>
      <w:r w:rsidR="00D55AE4" w:rsidRPr="003D3532">
        <w:rPr>
          <w:rFonts w:ascii="Cambria" w:hAnsi="Cambria"/>
          <w:sz w:val="20"/>
          <w:szCs w:val="20"/>
          <w:lang w:val="es-ES_tradnl"/>
        </w:rPr>
        <w:t>de que este</w:t>
      </w:r>
      <w:r w:rsidRPr="003D3532">
        <w:rPr>
          <w:rFonts w:ascii="Cambria" w:hAnsi="Cambria"/>
          <w:sz w:val="20"/>
          <w:szCs w:val="20"/>
          <w:lang w:val="es-ES_tradnl"/>
        </w:rPr>
        <w:t xml:space="preserve"> vulneró el principio de cosa juzgada con dolo y no solo por negligencia. </w:t>
      </w:r>
      <w:r w:rsidR="00BE1E11" w:rsidRPr="003D3532">
        <w:rPr>
          <w:rFonts w:ascii="Cambria" w:hAnsi="Cambria"/>
          <w:sz w:val="20"/>
          <w:szCs w:val="20"/>
          <w:lang w:val="es-ES_tradnl"/>
        </w:rPr>
        <w:t xml:space="preserve">Por </w:t>
      </w:r>
      <w:r w:rsidRPr="003D3532">
        <w:rPr>
          <w:rFonts w:ascii="Cambria" w:hAnsi="Cambria"/>
          <w:sz w:val="20"/>
          <w:szCs w:val="20"/>
          <w:lang w:val="es-ES_tradnl"/>
        </w:rPr>
        <w:t xml:space="preserve">ello, aduce que a la fecha existe un proceso disciplinario contra </w:t>
      </w:r>
      <w:r w:rsidR="00BE1E11" w:rsidRPr="003D3532">
        <w:rPr>
          <w:rFonts w:ascii="Cambria" w:hAnsi="Cambria"/>
          <w:sz w:val="20"/>
          <w:szCs w:val="20"/>
          <w:lang w:val="es-ES_tradnl"/>
        </w:rPr>
        <w:t xml:space="preserve">ese </w:t>
      </w:r>
      <w:r w:rsidRPr="003D3532">
        <w:rPr>
          <w:rFonts w:ascii="Cambria" w:hAnsi="Cambria"/>
          <w:sz w:val="20"/>
          <w:szCs w:val="20"/>
          <w:lang w:val="es-ES_tradnl"/>
        </w:rPr>
        <w:t xml:space="preserve">juez, </w:t>
      </w:r>
      <w:r w:rsidR="00BE1E11" w:rsidRPr="003D3532">
        <w:rPr>
          <w:rFonts w:ascii="Cambria" w:hAnsi="Cambria"/>
          <w:sz w:val="20"/>
          <w:szCs w:val="20"/>
          <w:lang w:val="es-ES_tradnl"/>
        </w:rPr>
        <w:t>y que hay</w:t>
      </w:r>
      <w:r w:rsidRPr="003D3532">
        <w:rPr>
          <w:rFonts w:ascii="Cambria" w:hAnsi="Cambria"/>
          <w:sz w:val="20"/>
          <w:szCs w:val="20"/>
          <w:lang w:val="es-ES_tradnl"/>
        </w:rPr>
        <w:t xml:space="preserve"> investigaciones penales por estos hechos. </w:t>
      </w:r>
    </w:p>
    <w:p w14:paraId="2E65E24A" w14:textId="35FCBDDE" w:rsidR="009811A4" w:rsidRPr="003D3532" w:rsidRDefault="009811A4" w:rsidP="003E41C0">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3D3532">
        <w:rPr>
          <w:rFonts w:ascii="Cambria" w:hAnsi="Cambria"/>
          <w:sz w:val="20"/>
          <w:szCs w:val="20"/>
          <w:lang w:val="es-ES_tradnl"/>
        </w:rPr>
        <w:t xml:space="preserve">Por </w:t>
      </w:r>
      <w:r w:rsidR="00BE1E11" w:rsidRPr="003D3532">
        <w:rPr>
          <w:rFonts w:ascii="Cambria" w:hAnsi="Cambria"/>
          <w:sz w:val="20"/>
          <w:szCs w:val="20"/>
          <w:lang w:val="es-ES_tradnl"/>
        </w:rPr>
        <w:t>estas</w:t>
      </w:r>
      <w:r w:rsidRPr="003D3532">
        <w:rPr>
          <w:rFonts w:ascii="Cambria" w:hAnsi="Cambria"/>
          <w:sz w:val="20"/>
          <w:szCs w:val="20"/>
          <w:lang w:val="es-ES_tradnl"/>
        </w:rPr>
        <w:t xml:space="preserve"> consideraciones, el Estado solicita que e</w:t>
      </w:r>
      <w:r w:rsidR="00BE1E11" w:rsidRPr="003D3532">
        <w:rPr>
          <w:rFonts w:ascii="Cambria" w:hAnsi="Cambria"/>
          <w:sz w:val="20"/>
          <w:szCs w:val="20"/>
          <w:lang w:val="es-ES_tradnl"/>
        </w:rPr>
        <w:t>s</w:t>
      </w:r>
      <w:r w:rsidRPr="003D3532">
        <w:rPr>
          <w:rFonts w:ascii="Cambria" w:hAnsi="Cambria"/>
          <w:sz w:val="20"/>
          <w:szCs w:val="20"/>
          <w:lang w:val="es-ES_tradnl"/>
        </w:rPr>
        <w:t>te asunto sea archivado, al considerar que ya se cumplió debidamente lo demandado por las presuntas víctima</w:t>
      </w:r>
      <w:r w:rsidR="004B0CD6" w:rsidRPr="003D3532">
        <w:rPr>
          <w:rFonts w:ascii="Cambria" w:hAnsi="Cambria"/>
          <w:sz w:val="20"/>
          <w:szCs w:val="20"/>
          <w:lang w:val="es-ES_tradnl"/>
        </w:rPr>
        <w:t>s</w:t>
      </w:r>
      <w:r w:rsidRPr="003D3532">
        <w:rPr>
          <w:rFonts w:ascii="Cambria" w:hAnsi="Cambria"/>
          <w:sz w:val="20"/>
          <w:szCs w:val="20"/>
          <w:lang w:val="es-ES_tradnl"/>
        </w:rPr>
        <w:t xml:space="preserve"> en el proceso de cumplimiento y, en consecuencia, no se ha vulnerado ningún derecho tutelado por la Convención. </w:t>
      </w:r>
    </w:p>
    <w:p w14:paraId="70B97271" w14:textId="1E92CBF8" w:rsidR="004B0CD6" w:rsidRPr="003D3532" w:rsidRDefault="003239B8" w:rsidP="005E690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eastAsia="Cambria" w:hAnsi="Cambria" w:cs="Cambria"/>
          <w:b/>
          <w:bCs/>
          <w:color w:val="000000"/>
          <w:sz w:val="20"/>
          <w:szCs w:val="20"/>
          <w:u w:color="000000"/>
          <w:lang w:val="es-ES_tradnl" w:eastAsia="es-ES"/>
        </w:rPr>
      </w:pPr>
      <w:r w:rsidRPr="003D3532">
        <w:rPr>
          <w:rFonts w:ascii="Cambria" w:eastAsia="Cambria" w:hAnsi="Cambria" w:cs="Cambria"/>
          <w:b/>
          <w:bCs/>
          <w:color w:val="000000"/>
          <w:sz w:val="20"/>
          <w:szCs w:val="20"/>
          <w:u w:color="000000"/>
          <w:lang w:val="es-ES_tradnl" w:eastAsia="es-ES"/>
        </w:rPr>
        <w:t>VI.</w:t>
      </w:r>
      <w:r w:rsidR="004B0CD6" w:rsidRPr="003D3532">
        <w:rPr>
          <w:rFonts w:ascii="Cambria" w:eastAsia="Cambria" w:hAnsi="Cambria" w:cs="Cambria"/>
          <w:b/>
          <w:bCs/>
          <w:color w:val="000000"/>
          <w:sz w:val="20"/>
          <w:szCs w:val="20"/>
          <w:u w:color="000000"/>
          <w:lang w:val="es-ES_tradnl" w:eastAsia="es-ES"/>
        </w:rPr>
        <w:tab/>
      </w:r>
      <w:r w:rsidR="004B0CD6" w:rsidRPr="003D3532">
        <w:rPr>
          <w:rFonts w:ascii="Cambria" w:hAnsi="Cambria"/>
          <w:b/>
          <w:bCs/>
          <w:sz w:val="20"/>
          <w:szCs w:val="20"/>
          <w:lang w:val="es-ES_tradnl"/>
        </w:rPr>
        <w:t>ANÁLISIS DE DUPLICIDAD O LITISPENDENCIA</w:t>
      </w:r>
      <w:r w:rsidRPr="003D3532">
        <w:rPr>
          <w:rFonts w:ascii="Cambria" w:eastAsia="Cambria" w:hAnsi="Cambria" w:cs="Cambria"/>
          <w:b/>
          <w:bCs/>
          <w:color w:val="000000"/>
          <w:sz w:val="20"/>
          <w:szCs w:val="20"/>
          <w:u w:color="000000"/>
          <w:lang w:val="es-ES_tradnl" w:eastAsia="es-ES"/>
        </w:rPr>
        <w:tab/>
      </w:r>
    </w:p>
    <w:p w14:paraId="5E929099" w14:textId="786EADC5" w:rsidR="004B0CD6" w:rsidRPr="003D3532" w:rsidRDefault="004B0CD6" w:rsidP="004B0CD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D3532">
        <w:rPr>
          <w:rFonts w:ascii="Cambria" w:hAnsi="Cambria"/>
          <w:sz w:val="20"/>
          <w:szCs w:val="20"/>
          <w:lang w:val="es-ES_tradnl"/>
        </w:rPr>
        <w:t xml:space="preserve">El Estado sostiene que catorce presuntas víctimas también tienen tal calidad en la petición 1422-13, por los mismos hechos y derechos denunciados. En consecuencia, en aplicación del artículo 47.d) de la Convención, solicita que la CIDH declare la inadmisibilidad de una de las peticiones, bajo los criterios que considere pertinentes. En respuesta, la parte peticionaria requiere que se mantenga el trámite de la presente petición, al haber sido presentada primero. </w:t>
      </w:r>
    </w:p>
    <w:p w14:paraId="177908AD" w14:textId="63157FCA" w:rsidR="00C23728" w:rsidRPr="003D3532" w:rsidRDefault="004B0CD6" w:rsidP="0043270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D3532">
        <w:rPr>
          <w:rFonts w:ascii="Cambria" w:hAnsi="Cambria"/>
          <w:sz w:val="20"/>
          <w:szCs w:val="20"/>
          <w:lang w:val="es-ES_tradnl"/>
        </w:rPr>
        <w:lastRenderedPageBreak/>
        <w:t>Al respecto, la Comisión recuerda que para que se considere que en un caso hay duplicación o cosa juzgada internacional, además de identidad de sujetos, objeto y pretensión, se requiere que la petición esté siendo considerada, o haya sido decidida, o bien por la CIDH por medio de su sistema de peticiones y casos, o por un organismo internacional que tenga competencia para adoptar decisiones sobre los hechos específicos contenidos en la petición, y medidas tendientes a la efectiva resolución de la disputa de que se trate</w:t>
      </w:r>
      <w:r w:rsidRPr="003D3532">
        <w:rPr>
          <w:rStyle w:val="FootnoteReference"/>
          <w:rFonts w:ascii="Cambria" w:hAnsi="Cambria"/>
          <w:sz w:val="20"/>
          <w:szCs w:val="20"/>
          <w:lang w:val="es-ES_tradnl"/>
        </w:rPr>
        <w:footnoteReference w:id="7"/>
      </w:r>
      <w:r w:rsidRPr="003D3532">
        <w:rPr>
          <w:rFonts w:ascii="Cambria" w:hAnsi="Cambria"/>
          <w:sz w:val="20"/>
          <w:szCs w:val="20"/>
          <w:lang w:val="es-ES_tradnl"/>
        </w:rPr>
        <w:t xml:space="preserve">. </w:t>
      </w:r>
      <w:bookmarkStart w:id="4" w:name="_Hlk115177357"/>
      <w:r w:rsidRPr="003D3532">
        <w:rPr>
          <w:rFonts w:ascii="Cambria" w:hAnsi="Cambria"/>
          <w:sz w:val="20"/>
          <w:szCs w:val="20"/>
          <w:lang w:val="es-ES_tradnl"/>
        </w:rPr>
        <w:t xml:space="preserve">En </w:t>
      </w:r>
      <w:r w:rsidR="005E0749" w:rsidRPr="003D3532">
        <w:rPr>
          <w:rFonts w:ascii="Cambria" w:hAnsi="Cambria"/>
          <w:sz w:val="20"/>
          <w:szCs w:val="20"/>
          <w:lang w:val="es-ES_tradnl"/>
        </w:rPr>
        <w:t>este caso</w:t>
      </w:r>
      <w:r w:rsidRPr="003D3532">
        <w:rPr>
          <w:rFonts w:ascii="Cambria" w:hAnsi="Cambria"/>
          <w:sz w:val="20"/>
          <w:szCs w:val="20"/>
          <w:lang w:val="es-ES_tradnl"/>
        </w:rPr>
        <w:t>, la Comisión considera que se cumplen estos requisitos con respecto a las catorce personas identificadas por el Estado, toda vez que en la petición 1422-13 se denuncia</w:t>
      </w:r>
      <w:r w:rsidR="0043270C" w:rsidRPr="003D3532">
        <w:rPr>
          <w:rFonts w:ascii="Cambria" w:hAnsi="Cambria"/>
          <w:sz w:val="20"/>
          <w:szCs w:val="20"/>
          <w:lang w:val="es-ES_tradnl"/>
        </w:rPr>
        <w:t>n</w:t>
      </w:r>
      <w:r w:rsidRPr="003D3532">
        <w:rPr>
          <w:rFonts w:ascii="Cambria" w:hAnsi="Cambria"/>
          <w:sz w:val="20"/>
          <w:szCs w:val="20"/>
          <w:lang w:val="es-ES_tradnl"/>
        </w:rPr>
        <w:t xml:space="preserve"> los mismos hechos y derechos</w:t>
      </w:r>
      <w:r w:rsidR="009815DD" w:rsidRPr="003D3532">
        <w:rPr>
          <w:rFonts w:ascii="Cambria" w:hAnsi="Cambria"/>
          <w:sz w:val="20"/>
          <w:szCs w:val="20"/>
          <w:lang w:val="es-ES_tradnl"/>
        </w:rPr>
        <w:t>, toda vez que en dicho asunto también se cuestiona la falta de cumplimiento de la sentencia de la Tercera Sala Civil de la Corte Superior de Justicia 10 de agosto de 2011</w:t>
      </w:r>
      <w:r w:rsidR="000C3B99" w:rsidRPr="003D3532">
        <w:rPr>
          <w:rFonts w:ascii="Cambria" w:hAnsi="Cambria"/>
          <w:sz w:val="20"/>
          <w:szCs w:val="20"/>
          <w:lang w:val="es-ES_tradnl"/>
        </w:rPr>
        <w:t>;</w:t>
      </w:r>
      <w:r w:rsidR="001E719D" w:rsidRPr="003D3532">
        <w:rPr>
          <w:rFonts w:ascii="Cambria" w:hAnsi="Cambria"/>
          <w:sz w:val="20"/>
          <w:szCs w:val="20"/>
          <w:lang w:val="es-ES_tradnl"/>
        </w:rPr>
        <w:t xml:space="preserve"> y se identifican </w:t>
      </w:r>
      <w:r w:rsidR="00A64818" w:rsidRPr="003D3532">
        <w:rPr>
          <w:rFonts w:ascii="Cambria" w:hAnsi="Cambria"/>
          <w:sz w:val="20"/>
          <w:szCs w:val="20"/>
          <w:lang w:val="es-ES_tradnl"/>
        </w:rPr>
        <w:t>los mismos obstáculos que presuntamente impiden</w:t>
      </w:r>
      <w:r w:rsidR="001E719D" w:rsidRPr="003D3532">
        <w:rPr>
          <w:rFonts w:ascii="Cambria" w:hAnsi="Cambria"/>
          <w:sz w:val="20"/>
          <w:szCs w:val="20"/>
          <w:lang w:val="es-ES_tradnl"/>
        </w:rPr>
        <w:t xml:space="preserve"> </w:t>
      </w:r>
      <w:r w:rsidR="00A64818" w:rsidRPr="003D3532">
        <w:rPr>
          <w:rFonts w:ascii="Cambria" w:hAnsi="Cambria"/>
          <w:sz w:val="20"/>
          <w:szCs w:val="20"/>
          <w:lang w:val="es-ES_tradnl"/>
        </w:rPr>
        <w:t xml:space="preserve">lograr la ejecución de tal decisión. </w:t>
      </w:r>
    </w:p>
    <w:p w14:paraId="00A7A770" w14:textId="7D5DEDCF" w:rsidR="004B0CD6" w:rsidRPr="003D3532" w:rsidRDefault="004B0CD6" w:rsidP="0043270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D3532">
        <w:rPr>
          <w:rFonts w:ascii="Cambria" w:hAnsi="Cambria"/>
          <w:sz w:val="20"/>
          <w:szCs w:val="20"/>
          <w:lang w:val="es-ES_tradnl"/>
        </w:rPr>
        <w:t xml:space="preserve">No obstante, </w:t>
      </w:r>
      <w:r w:rsidR="0043270C" w:rsidRPr="003D3532">
        <w:rPr>
          <w:rFonts w:ascii="Cambria" w:hAnsi="Cambria"/>
          <w:sz w:val="20"/>
          <w:szCs w:val="20"/>
          <w:lang w:val="es-ES_tradnl"/>
        </w:rPr>
        <w:t>en razón al criterio cronológico de presentación de las peticiones, la Comisión excluirá a las presuntas</w:t>
      </w:r>
      <w:r w:rsidR="00D55AE4" w:rsidRPr="003D3532">
        <w:rPr>
          <w:rFonts w:ascii="Cambria" w:hAnsi="Cambria"/>
          <w:sz w:val="20"/>
          <w:szCs w:val="20"/>
          <w:lang w:val="es-ES_tradnl"/>
        </w:rPr>
        <w:t xml:space="preserve"> víctimas</w:t>
      </w:r>
      <w:r w:rsidR="0043270C" w:rsidRPr="003D3532">
        <w:rPr>
          <w:rFonts w:ascii="Cambria" w:hAnsi="Cambria"/>
          <w:sz w:val="20"/>
          <w:szCs w:val="20"/>
          <w:lang w:val="es-ES_tradnl"/>
        </w:rPr>
        <w:t xml:space="preserve"> </w:t>
      </w:r>
      <w:r w:rsidR="00D55AE4" w:rsidRPr="003D3532">
        <w:rPr>
          <w:rFonts w:ascii="Cambria" w:hAnsi="Cambria"/>
          <w:sz w:val="20"/>
          <w:szCs w:val="20"/>
          <w:lang w:val="es-ES_tradnl"/>
        </w:rPr>
        <w:t>de esa otra petici</w:t>
      </w:r>
      <w:r w:rsidR="00D87529" w:rsidRPr="003D3532">
        <w:rPr>
          <w:rFonts w:ascii="Cambria" w:hAnsi="Cambria"/>
          <w:sz w:val="20"/>
          <w:szCs w:val="20"/>
          <w:lang w:val="es-ES_tradnl"/>
        </w:rPr>
        <w:t>ó</w:t>
      </w:r>
      <w:r w:rsidR="00D55AE4" w:rsidRPr="003D3532">
        <w:rPr>
          <w:rFonts w:ascii="Cambria" w:hAnsi="Cambria"/>
          <w:sz w:val="20"/>
          <w:szCs w:val="20"/>
          <w:lang w:val="es-ES_tradnl"/>
        </w:rPr>
        <w:t>n</w:t>
      </w:r>
      <w:r w:rsidR="0043270C" w:rsidRPr="003D3532">
        <w:rPr>
          <w:rFonts w:ascii="Cambria" w:hAnsi="Cambria"/>
          <w:sz w:val="20"/>
          <w:szCs w:val="20"/>
          <w:lang w:val="es-ES_tradnl"/>
        </w:rPr>
        <w:t xml:space="preserve"> y continuará con el estudio de sus denuncias y la presunta violación de sus derechos humanos en el marco del presente caso. </w:t>
      </w:r>
    </w:p>
    <w:bookmarkEnd w:id="4"/>
    <w:p w14:paraId="51F68C92" w14:textId="699C395A" w:rsidR="003239B8" w:rsidRPr="003D3532" w:rsidRDefault="004B0CD6" w:rsidP="005E690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eastAsia="Cambria" w:hAnsi="Cambria" w:cs="Cambria"/>
          <w:b/>
          <w:bCs/>
          <w:color w:val="000000"/>
          <w:sz w:val="20"/>
          <w:szCs w:val="20"/>
          <w:u w:color="000000"/>
          <w:lang w:val="es-ES_tradnl" w:eastAsia="es-ES"/>
        </w:rPr>
      </w:pPr>
      <w:r w:rsidRPr="003D3532">
        <w:rPr>
          <w:rFonts w:ascii="Cambria" w:eastAsia="Cambria" w:hAnsi="Cambria" w:cs="Cambria"/>
          <w:b/>
          <w:bCs/>
          <w:color w:val="000000"/>
          <w:sz w:val="20"/>
          <w:szCs w:val="20"/>
          <w:u w:color="000000"/>
          <w:lang w:val="es-ES_tradnl" w:eastAsia="es-ES"/>
        </w:rPr>
        <w:t xml:space="preserve">VII. </w:t>
      </w:r>
      <w:r w:rsidRPr="003D3532">
        <w:rPr>
          <w:rFonts w:ascii="Cambria" w:eastAsia="Cambria" w:hAnsi="Cambria" w:cs="Cambria"/>
          <w:b/>
          <w:bCs/>
          <w:color w:val="000000"/>
          <w:sz w:val="20"/>
          <w:szCs w:val="20"/>
          <w:u w:color="000000"/>
          <w:lang w:val="es-ES_tradnl" w:eastAsia="es-ES"/>
        </w:rPr>
        <w:tab/>
      </w:r>
      <w:r w:rsidR="004A6A54" w:rsidRPr="003D3532">
        <w:rPr>
          <w:rFonts w:ascii="Cambria" w:hAnsi="Cambria"/>
          <w:b/>
          <w:bCs/>
          <w:sz w:val="20"/>
          <w:szCs w:val="20"/>
          <w:lang w:val="es-ES_tradnl"/>
        </w:rPr>
        <w:t xml:space="preserve">ANÁLISIS DE </w:t>
      </w:r>
      <w:r w:rsidR="00C21FEF" w:rsidRPr="003D3532">
        <w:rPr>
          <w:rFonts w:ascii="Cambria" w:hAnsi="Cambria"/>
          <w:b/>
          <w:sz w:val="20"/>
          <w:szCs w:val="20"/>
          <w:lang w:val="es-ES_tradnl"/>
        </w:rPr>
        <w:t>AGOTAMIENTO DE LOS RECURSOS INTERNOS Y PLAZO DE PRESENTACIÓN</w:t>
      </w:r>
      <w:r w:rsidR="00C21FEF" w:rsidRPr="003D3532">
        <w:rPr>
          <w:rFonts w:ascii="Cambria" w:eastAsia="Cambria" w:hAnsi="Cambria" w:cs="Cambria"/>
          <w:b/>
          <w:bCs/>
          <w:color w:val="000000"/>
          <w:sz w:val="20"/>
          <w:szCs w:val="20"/>
          <w:u w:color="000000"/>
          <w:lang w:val="es-ES_tradnl" w:eastAsia="es-ES"/>
        </w:rPr>
        <w:t xml:space="preserve"> </w:t>
      </w:r>
    </w:p>
    <w:p w14:paraId="2A2DBF27" w14:textId="51595790" w:rsidR="00B31230" w:rsidRPr="003D3532" w:rsidRDefault="00B31230" w:rsidP="00B31230">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D3532">
        <w:rPr>
          <w:rFonts w:ascii="Cambria" w:hAnsi="Cambria"/>
          <w:sz w:val="20"/>
          <w:szCs w:val="20"/>
          <w:lang w:val="es-ES_tradnl"/>
        </w:rPr>
        <w:t xml:space="preserve">La parte peticionaria indica que agotó los recursos del ordenamiento interno con la sentencia del 10 de agosto de 2011 emitida por la Tercera Sala Civil de la Corte Superior de Justicia, la cual declaró fundada la acción de cumplimiento presentada por la ANMP. No obstante, refiere que hasta la fecha las autoridades han sido renuentes a acatar </w:t>
      </w:r>
      <w:r w:rsidR="0023328E" w:rsidRPr="003D3532">
        <w:rPr>
          <w:rFonts w:ascii="Cambria" w:hAnsi="Cambria"/>
          <w:sz w:val="20"/>
          <w:szCs w:val="20"/>
          <w:lang w:val="es-ES_tradnl"/>
        </w:rPr>
        <w:t xml:space="preserve">ese </w:t>
      </w:r>
      <w:r w:rsidRPr="003D3532">
        <w:rPr>
          <w:rFonts w:ascii="Cambria" w:hAnsi="Cambria"/>
          <w:sz w:val="20"/>
          <w:szCs w:val="20"/>
          <w:lang w:val="es-ES_tradnl"/>
        </w:rPr>
        <w:t>fallo. Por su parte, el Estado replica que no se han agotado los recursos de la jurisdicción interna, ya que el proceso de ejecución aún se encuentr</w:t>
      </w:r>
      <w:r w:rsidR="00F509F6" w:rsidRPr="003D3532">
        <w:rPr>
          <w:rFonts w:ascii="Cambria" w:hAnsi="Cambria"/>
          <w:sz w:val="20"/>
          <w:szCs w:val="20"/>
          <w:lang w:val="es-ES_tradnl"/>
        </w:rPr>
        <w:t>a pendiente de resolución</w:t>
      </w:r>
      <w:r w:rsidRPr="003D3532">
        <w:rPr>
          <w:rFonts w:ascii="Cambria" w:hAnsi="Cambria"/>
          <w:sz w:val="20"/>
          <w:szCs w:val="20"/>
          <w:lang w:val="es-ES_tradnl"/>
        </w:rPr>
        <w:t xml:space="preserve">, debido a la actuación procesal de la representación de las presuntas víctimas. En sentido similar, plantea que </w:t>
      </w:r>
      <w:r w:rsidR="00D55AE4" w:rsidRPr="003D3532">
        <w:rPr>
          <w:rFonts w:ascii="Cambria" w:hAnsi="Cambria"/>
          <w:sz w:val="20"/>
          <w:szCs w:val="20"/>
          <w:lang w:val="es-ES_tradnl"/>
        </w:rPr>
        <w:t>su</w:t>
      </w:r>
      <w:r w:rsidRPr="003D3532">
        <w:rPr>
          <w:rFonts w:ascii="Cambria" w:hAnsi="Cambria"/>
          <w:sz w:val="20"/>
          <w:szCs w:val="20"/>
          <w:lang w:val="es-ES_tradnl"/>
        </w:rPr>
        <w:t xml:space="preserve"> pretensión de recibir sus salarios devengados pudo haber sido litigado mediante un proceso ordinario laboral, por lo cual resulta claro que no se utilizó la vía adecuada y efectiva para tal pretensión. </w:t>
      </w:r>
    </w:p>
    <w:p w14:paraId="64C962A6" w14:textId="7FA910E6" w:rsidR="00D1078A" w:rsidRPr="003D3532" w:rsidRDefault="00D1078A" w:rsidP="00D1078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bookmarkStart w:id="5" w:name="_Hlk115180701"/>
      <w:r w:rsidRPr="003D3532">
        <w:rPr>
          <w:rFonts w:ascii="Cambria" w:hAnsi="Cambria"/>
          <w:sz w:val="20"/>
          <w:szCs w:val="20"/>
          <w:lang w:val="es-ES_tradnl"/>
        </w:rPr>
        <w:t xml:space="preserve">Al respecto, en la presente petición la CIDH observa que el 23 de febrero de 2009 la ANMP inició un proceso constitucional de cumplimiento contra el Consejo Ejecutivo del Poder Judicial, a fin de que este cumpliera con homologar las remuneraciones de </w:t>
      </w:r>
      <w:r w:rsidR="001E082D">
        <w:rPr>
          <w:rFonts w:ascii="Cambria" w:hAnsi="Cambria"/>
          <w:sz w:val="20"/>
          <w:szCs w:val="20"/>
          <w:lang w:val="es-ES_tradnl"/>
        </w:rPr>
        <w:t>los magistrados</w:t>
      </w:r>
      <w:r w:rsidRPr="003D3532">
        <w:rPr>
          <w:rFonts w:ascii="Cambria" w:hAnsi="Cambria"/>
          <w:sz w:val="20"/>
          <w:szCs w:val="20"/>
          <w:lang w:val="es-ES_tradnl"/>
        </w:rPr>
        <w:t xml:space="preserve">, conforme a la escala porcentual descrita en el artículo 186° del Texto Único Ordenado de la Ley Orgánica del Poder Judicial. Así, tras una decisión favorable de primera instancia, el 10 de agosto de 2011 por la Tercera Sala Civil de la Corte Superior de Justicia confirmó el fallo en favor de las presuntas víctimas y emitió una sentencia que obtuvo la calidad de cosa juzgada. En tal decisión, la citada Sala, siguiendo lo requerido por la parte demandante y lo estipulado en el citado artículo 186° del Texto Único Ordenado de la Ley Orgánica del Poder Judicial, ordenó que se entregue a </w:t>
      </w:r>
      <w:r w:rsidR="001E082D">
        <w:rPr>
          <w:rFonts w:ascii="Cambria" w:hAnsi="Cambria"/>
          <w:sz w:val="20"/>
          <w:szCs w:val="20"/>
          <w:lang w:val="es-ES_tradnl"/>
        </w:rPr>
        <w:t>los magistrados</w:t>
      </w:r>
      <w:r w:rsidRPr="003D3532">
        <w:rPr>
          <w:rFonts w:ascii="Cambria" w:hAnsi="Cambria"/>
          <w:sz w:val="20"/>
          <w:szCs w:val="20"/>
          <w:lang w:val="es-ES_tradnl"/>
        </w:rPr>
        <w:t xml:space="preserve">: una remuneración que respete la siguiente proporción: a) el Vocal Superior recibirá el 90% de haber de un Vocal Supremo; b) el Juez Especializado o Mixto percibirá el 80% del haber total de un Vocal Supremo; y c) el Juez </w:t>
      </w:r>
      <w:r w:rsidR="00D000AE" w:rsidRPr="003D3532">
        <w:rPr>
          <w:rFonts w:ascii="Cambria" w:hAnsi="Cambria"/>
          <w:sz w:val="20"/>
          <w:szCs w:val="20"/>
          <w:lang w:val="es-ES_tradnl"/>
        </w:rPr>
        <w:t>Letrado</w:t>
      </w:r>
      <w:r w:rsidRPr="003D3532">
        <w:rPr>
          <w:rFonts w:ascii="Cambria" w:hAnsi="Cambria"/>
          <w:sz w:val="20"/>
          <w:szCs w:val="20"/>
          <w:lang w:val="es-ES_tradnl"/>
        </w:rPr>
        <w:t xml:space="preserve"> recibirá el 70% del haber total de un Vocal Supremo […]</w:t>
      </w:r>
    </w:p>
    <w:p w14:paraId="4F51427A" w14:textId="45444EE9" w:rsidR="001E2989" w:rsidRPr="003D3532" w:rsidRDefault="001E2989" w:rsidP="003D172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D3532">
        <w:rPr>
          <w:rFonts w:ascii="Cambria" w:hAnsi="Cambria"/>
          <w:sz w:val="20"/>
          <w:szCs w:val="20"/>
          <w:lang w:val="es-ES_tradnl"/>
        </w:rPr>
        <w:t xml:space="preserve">No obstante, la parte peticionaria refiere que, a pesar de los constantes esfuerzos realizados tanto por los órganos de justicia como por las presuntas víctimas, hasta la fecha las autoridades no han cumplido con la citada decisión. </w:t>
      </w:r>
    </w:p>
    <w:p w14:paraId="3D11B82C" w14:textId="194B8C25" w:rsidR="00742875" w:rsidRPr="003D3532" w:rsidRDefault="00742875" w:rsidP="0074287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bookmarkStart w:id="6" w:name="_Hlk115180824"/>
      <w:bookmarkEnd w:id="5"/>
      <w:r w:rsidRPr="003D3532">
        <w:rPr>
          <w:rFonts w:ascii="Cambria" w:hAnsi="Cambria"/>
          <w:sz w:val="20"/>
          <w:szCs w:val="20"/>
          <w:lang w:val="es-ES_tradnl"/>
        </w:rPr>
        <w:t>Frente a esta situación, el Estado plantea que las presuntas víctimas pudieron acudir a la vía ordinaria laboral, a efectos de lograr el pago de sus remuneraciones devengadas, al ser esta la vía adecuada y efectiva. Sobre este punto, la Comisión recuerda que el requisito de agotamiento de los recursos internos no implica que las presuntas víctimas tengan la obligación de agotar todos los recursos posibles a su disposición. En este sentido, la CIDH ha mantenido que “</w:t>
      </w:r>
      <w:r w:rsidRPr="003D3532">
        <w:rPr>
          <w:rFonts w:ascii="Cambria" w:hAnsi="Cambria"/>
          <w:i/>
          <w:iCs/>
          <w:sz w:val="20"/>
          <w:szCs w:val="20"/>
          <w:lang w:val="es-ES_tradnl"/>
        </w:rPr>
        <w:t>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Pr="003D3532">
        <w:rPr>
          <w:rFonts w:ascii="Cambria" w:hAnsi="Cambria"/>
          <w:sz w:val="20"/>
          <w:szCs w:val="20"/>
          <w:lang w:val="es-ES_tradnl"/>
        </w:rPr>
        <w:t>”</w:t>
      </w:r>
      <w:r w:rsidRPr="003D3532">
        <w:rPr>
          <w:rStyle w:val="FootnoteReference"/>
          <w:rFonts w:ascii="Cambria" w:hAnsi="Cambria"/>
          <w:sz w:val="20"/>
          <w:szCs w:val="20"/>
          <w:lang w:val="es-ES_tradnl"/>
        </w:rPr>
        <w:footnoteReference w:id="8"/>
      </w:r>
      <w:r w:rsidRPr="003D3532">
        <w:rPr>
          <w:rFonts w:ascii="Cambria" w:hAnsi="Cambria"/>
          <w:sz w:val="20"/>
          <w:szCs w:val="20"/>
          <w:lang w:val="es-ES_tradnl"/>
        </w:rPr>
        <w:t xml:space="preserve">. Además, la Comisión ha esclarecido que, frente a peticiones referidas a un alegado incumplimiento de resoluciones judiciales, en caso esta haya sido reportada bajo los mecanismos previstos en la legislación interna, </w:t>
      </w:r>
      <w:r w:rsidRPr="003D3532">
        <w:rPr>
          <w:rFonts w:ascii="Cambria" w:hAnsi="Cambria"/>
          <w:sz w:val="20"/>
          <w:szCs w:val="20"/>
          <w:lang w:val="es-ES_tradnl"/>
        </w:rPr>
        <w:lastRenderedPageBreak/>
        <w:t>corresponde analizar si el órgano judicial competente adoptó las medidas necesarias para que la resolución sea ejecutada</w:t>
      </w:r>
      <w:r w:rsidR="008119BC" w:rsidRPr="003D3532">
        <w:rPr>
          <w:rStyle w:val="FootnoteReference"/>
          <w:rFonts w:ascii="Cambria" w:hAnsi="Cambria"/>
          <w:sz w:val="20"/>
          <w:szCs w:val="20"/>
          <w:lang w:val="es-ES_tradnl"/>
        </w:rPr>
        <w:footnoteReference w:id="9"/>
      </w:r>
      <w:r w:rsidRPr="003D3532">
        <w:rPr>
          <w:rFonts w:ascii="Cambria" w:hAnsi="Cambria"/>
          <w:sz w:val="20"/>
          <w:szCs w:val="20"/>
          <w:lang w:val="es-ES_tradnl"/>
        </w:rPr>
        <w:t xml:space="preserve">. En el presente caso, la Comisión observa que las presuntas víctimas cumplieron con denunciar la actitud de las autoridades mediante el proceso de ejecución, requiriendo mediante distintos escritos el cumplimiento de la sentencia, mediante la homologación de sus salarios en la proporción dispuesta en 186° del Texto Único Ordenado de la Ley Orgánica del Poder Judicial, en tanto tal porcentaje se reconoció expresamente en la resolución judicial. Producto de ello, los órganos que conocieron el proceso de cumplimiento afirmaron su competencia para analizar la controversia planteada y declararon cumplidos los requisitos de procedencia frente a las pretensiones planteadas por las presuntas víctimas, avocándose a velar por la ejecución de tal decisión. En consecuencia, a juicio de la CIDH las presuntas víctimas utilizaron una vía adecuada y efectiva para canalizar su pretensión de homologar sus salarios conforme a las proporciones establecidas en la sentencia. </w:t>
      </w:r>
    </w:p>
    <w:bookmarkEnd w:id="6"/>
    <w:p w14:paraId="46AAA6E3" w14:textId="066C26A2" w:rsidR="005002E6" w:rsidRPr="003D3532" w:rsidRDefault="00B31230" w:rsidP="005002E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D3532">
        <w:rPr>
          <w:rFonts w:ascii="Cambria" w:hAnsi="Cambria"/>
          <w:sz w:val="20"/>
          <w:szCs w:val="20"/>
          <w:lang w:val="es-ES_tradnl"/>
        </w:rPr>
        <w:t>A pesar de ello, la Comisión observa que, hasta la fecha, el proceso de ejecución aún se encuentra pendiente de resolución. Sobre este punto, el Estado alega que el proceso se volvió demasiado complejo debido a las pretensiones planteadas por las presuntas víctimas dentro de este</w:t>
      </w:r>
      <w:r w:rsidR="001F6EDA" w:rsidRPr="003D3532">
        <w:rPr>
          <w:rFonts w:ascii="Cambria" w:hAnsi="Cambria"/>
          <w:sz w:val="20"/>
          <w:szCs w:val="20"/>
          <w:lang w:val="es-ES_tradnl"/>
        </w:rPr>
        <w:t xml:space="preserve">, </w:t>
      </w:r>
      <w:r w:rsidRPr="003D3532">
        <w:rPr>
          <w:rFonts w:ascii="Cambria" w:hAnsi="Cambria"/>
          <w:sz w:val="20"/>
          <w:szCs w:val="20"/>
          <w:lang w:val="es-ES_tradnl"/>
        </w:rPr>
        <w:t>las inhibiciones planteadas por distintas autoridades judiciales</w:t>
      </w:r>
      <w:r w:rsidR="005002E6" w:rsidRPr="003D3532">
        <w:rPr>
          <w:rFonts w:ascii="Cambria" w:hAnsi="Cambria"/>
          <w:sz w:val="20"/>
          <w:szCs w:val="20"/>
          <w:lang w:val="es-ES_tradnl"/>
        </w:rPr>
        <w:t xml:space="preserve"> y la cantidad de personas beneficiarias de la decisión. Asimismo, agrega que la decisión del Tribunal Constitucional respecto a la administración de la Reserva de Contingencia ha provocado que parte del fallo se vuelta inejecutable.</w:t>
      </w:r>
    </w:p>
    <w:p w14:paraId="2BD6A174" w14:textId="646415F3" w:rsidR="00055328" w:rsidRPr="003D3532" w:rsidRDefault="005002E6" w:rsidP="00F469B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D3532">
        <w:rPr>
          <w:rFonts w:ascii="Cambria" w:hAnsi="Cambria"/>
          <w:sz w:val="20"/>
          <w:szCs w:val="20"/>
          <w:lang w:val="es-ES_tradnl"/>
        </w:rPr>
        <w:t>Sobre este punto</w:t>
      </w:r>
      <w:r w:rsidR="00B31230" w:rsidRPr="003D3532">
        <w:rPr>
          <w:rFonts w:ascii="Cambria" w:hAnsi="Cambria"/>
          <w:sz w:val="20"/>
          <w:szCs w:val="20"/>
          <w:lang w:val="es-ES_tradnl"/>
        </w:rPr>
        <w:t>, la Comisión considera que el análisis respecto al agotamiento de los recursos internos está unid</w:t>
      </w:r>
      <w:r w:rsidR="000C1E78" w:rsidRPr="003D3532">
        <w:rPr>
          <w:rFonts w:ascii="Cambria" w:hAnsi="Cambria"/>
          <w:sz w:val="20"/>
          <w:szCs w:val="20"/>
          <w:lang w:val="es-ES_tradnl"/>
        </w:rPr>
        <w:t>o</w:t>
      </w:r>
      <w:r w:rsidR="00B31230" w:rsidRPr="003D3532">
        <w:rPr>
          <w:rFonts w:ascii="Cambria" w:hAnsi="Cambria"/>
          <w:sz w:val="20"/>
          <w:szCs w:val="20"/>
          <w:lang w:val="es-ES_tradnl"/>
        </w:rPr>
        <w:t xml:space="preserve"> </w:t>
      </w:r>
      <w:r w:rsidR="00F02D3E" w:rsidRPr="003D3532">
        <w:rPr>
          <w:rFonts w:ascii="Cambria" w:hAnsi="Cambria"/>
          <w:sz w:val="20"/>
          <w:szCs w:val="20"/>
          <w:lang w:val="es-ES_tradnl"/>
        </w:rPr>
        <w:t xml:space="preserve">de forma inescindible </w:t>
      </w:r>
      <w:r w:rsidR="000C1E78" w:rsidRPr="003D3532">
        <w:rPr>
          <w:rFonts w:ascii="Cambria" w:hAnsi="Cambria"/>
          <w:sz w:val="20"/>
          <w:szCs w:val="20"/>
          <w:lang w:val="es-ES_tradnl"/>
        </w:rPr>
        <w:t xml:space="preserve">al </w:t>
      </w:r>
      <w:r w:rsidR="00F02D3E" w:rsidRPr="003D3532">
        <w:rPr>
          <w:rFonts w:ascii="Cambria" w:hAnsi="Cambria"/>
          <w:sz w:val="20"/>
          <w:szCs w:val="20"/>
          <w:lang w:val="es-ES_tradnl"/>
        </w:rPr>
        <w:t>o</w:t>
      </w:r>
      <w:r w:rsidR="00E103E2" w:rsidRPr="003D3532">
        <w:rPr>
          <w:rFonts w:ascii="Cambria" w:hAnsi="Cambria"/>
          <w:sz w:val="20"/>
          <w:szCs w:val="20"/>
          <w:lang w:val="es-ES_tradnl"/>
        </w:rPr>
        <w:t>b</w:t>
      </w:r>
      <w:r w:rsidR="00F02D3E" w:rsidRPr="003D3532">
        <w:rPr>
          <w:rFonts w:ascii="Cambria" w:hAnsi="Cambria"/>
          <w:sz w:val="20"/>
          <w:szCs w:val="20"/>
          <w:lang w:val="es-ES_tradnl"/>
        </w:rPr>
        <w:t xml:space="preserve">jeto </w:t>
      </w:r>
      <w:r w:rsidR="000C1E78" w:rsidRPr="003D3532">
        <w:rPr>
          <w:rFonts w:ascii="Cambria" w:hAnsi="Cambria"/>
          <w:sz w:val="20"/>
          <w:szCs w:val="20"/>
          <w:lang w:val="es-ES_tradnl"/>
        </w:rPr>
        <w:t xml:space="preserve">del </w:t>
      </w:r>
      <w:r w:rsidR="00B31230" w:rsidRPr="003D3532">
        <w:rPr>
          <w:rFonts w:ascii="Cambria" w:hAnsi="Cambria"/>
          <w:sz w:val="20"/>
          <w:szCs w:val="20"/>
          <w:lang w:val="es-ES_tradnl"/>
        </w:rPr>
        <w:t>asunto de fondo de esta petición; e implica un análisis más amplio de la ejecución la sentencia de cumplimiento a la luz de los artículos 8 y 25 de la Convención Americana. Por las citadas razones,</w:t>
      </w:r>
      <w:r w:rsidR="003409B4" w:rsidRPr="003D3532">
        <w:rPr>
          <w:rFonts w:ascii="Cambria" w:hAnsi="Cambria"/>
          <w:sz w:val="20"/>
          <w:szCs w:val="20"/>
          <w:lang w:val="es-ES_tradnl"/>
        </w:rPr>
        <w:t xml:space="preserve"> y sobre todo tomando en cuenta el hecho objetivo de que el reclamo de los peticionarios inició a nivel interno el 23 de febrero de 2009, y que el propio Estado ha reconocido que la etapa de ejecución de sentencia continúa abierta en la actualidad,</w:t>
      </w:r>
      <w:r w:rsidR="00B31230" w:rsidRPr="003D3532">
        <w:rPr>
          <w:rFonts w:ascii="Cambria" w:hAnsi="Cambria"/>
          <w:sz w:val="20"/>
          <w:szCs w:val="20"/>
          <w:lang w:val="es-ES_tradnl"/>
        </w:rPr>
        <w:t xml:space="preserve"> la Comisión considera </w:t>
      </w:r>
      <w:r w:rsidR="003409B4" w:rsidRPr="003D3532">
        <w:rPr>
          <w:rFonts w:ascii="Cambria" w:hAnsi="Cambria"/>
          <w:sz w:val="20"/>
          <w:szCs w:val="20"/>
          <w:lang w:val="es-ES_tradnl"/>
        </w:rPr>
        <w:t>pertinente</w:t>
      </w:r>
      <w:r w:rsidR="00B31230" w:rsidRPr="003D3532">
        <w:rPr>
          <w:rFonts w:ascii="Cambria" w:hAnsi="Cambria"/>
          <w:sz w:val="20"/>
          <w:szCs w:val="20"/>
          <w:lang w:val="es-ES_tradnl"/>
        </w:rPr>
        <w:t xml:space="preserve"> aplicar la excepción prevista en el artículo 46.2.c) de la Convención, a efectos de analizar este asunto en la siguiente etapa procesal. </w:t>
      </w:r>
      <w:r w:rsidR="003409B4" w:rsidRPr="003D3532">
        <w:rPr>
          <w:rFonts w:ascii="Cambria" w:hAnsi="Cambria"/>
          <w:sz w:val="20"/>
          <w:szCs w:val="20"/>
          <w:lang w:val="es-ES_tradnl"/>
        </w:rPr>
        <w:t>Esta determinación que hace la CIDH en la presente etapa de admisibilidad es independiente de la que realice en la etapa de fondo del presente caso, y no prejuzga sobre el análisis que se haga dicha etapa posterior.</w:t>
      </w:r>
    </w:p>
    <w:p w14:paraId="11B46A68" w14:textId="089D2135" w:rsidR="001648C0" w:rsidRPr="003D3532" w:rsidRDefault="004F476B" w:rsidP="00C31C07">
      <w:pPr>
        <w:pStyle w:val="ListParagraph"/>
        <w:numPr>
          <w:ilvl w:val="0"/>
          <w:numId w:val="59"/>
        </w:numPr>
        <w:suppressAutoHyphens/>
        <w:spacing w:after="240"/>
        <w:jc w:val="both"/>
        <w:rPr>
          <w:sz w:val="20"/>
          <w:szCs w:val="20"/>
          <w:lang w:val="es-ES_tradnl"/>
        </w:rPr>
      </w:pPr>
      <w:r w:rsidRPr="003D3532">
        <w:rPr>
          <w:sz w:val="20"/>
          <w:szCs w:val="20"/>
          <w:lang w:val="es-ES_tradnl"/>
        </w:rPr>
        <w:t xml:space="preserve">La Comisión reitera en primer lugar, como lo ha hecho consistentemente, que el artículo 46.2 de la Convención,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w:t>
      </w:r>
      <w:bookmarkStart w:id="7" w:name="_Hlk118122280"/>
      <w:r w:rsidRPr="003D3532">
        <w:rPr>
          <w:sz w:val="20"/>
          <w:szCs w:val="20"/>
          <w:lang w:val="es-ES_tradnl"/>
        </w:rPr>
        <w:t>La CIDH también ha subrayado que no existen disposiciones convencionales o reglamentarias que regulen de modo específico el lapso de tiempo que constituye retardo injustificado, por lo cual la Comisión evalúa caso por caso para determinar si se configura dicho retardo</w:t>
      </w:r>
      <w:r w:rsidRPr="003D3532">
        <w:rPr>
          <w:rStyle w:val="FootnoteReference"/>
          <w:sz w:val="20"/>
          <w:szCs w:val="20"/>
          <w:lang w:val="es-ES_tradnl"/>
        </w:rPr>
        <w:footnoteReference w:id="10"/>
      </w:r>
      <w:r w:rsidRPr="003D3532">
        <w:rPr>
          <w:sz w:val="20"/>
          <w:szCs w:val="20"/>
          <w:lang w:val="es-ES_tradnl"/>
        </w:rPr>
        <w:t xml:space="preserve">. En esta línea, </w:t>
      </w:r>
      <w:r w:rsidRPr="003D3532">
        <w:rPr>
          <w:sz w:val="20"/>
          <w:szCs w:val="20"/>
          <w:lang w:val="es-ES"/>
        </w:rPr>
        <w:t>la Corte Interamericana ha establecido como principio rector del análisis del eventual retardo injustificado como excepción a la regla del agotamiento de los recursos internos, que “</w:t>
      </w:r>
      <w:r w:rsidRPr="003D3532">
        <w:rPr>
          <w:i/>
          <w:iCs/>
          <w:sz w:val="20"/>
          <w:szCs w:val="20"/>
          <w:lang w:val="es-ES"/>
        </w:rPr>
        <w:t>de ninguna manera la regla del previo agotamiento debe conducir a que se detenga o se demore hasta la inutilidad la actuación internacional en auxilio de la víctima indefensa</w:t>
      </w:r>
      <w:r w:rsidRPr="003D3532">
        <w:rPr>
          <w:sz w:val="20"/>
          <w:szCs w:val="20"/>
          <w:lang w:val="es-ES"/>
        </w:rPr>
        <w:t>”</w:t>
      </w:r>
      <w:r w:rsidRPr="003D3532">
        <w:rPr>
          <w:rStyle w:val="FootnoteReference"/>
          <w:sz w:val="20"/>
          <w:szCs w:val="20"/>
          <w:lang w:val="es-ES"/>
        </w:rPr>
        <w:footnoteReference w:id="11"/>
      </w:r>
      <w:r w:rsidRPr="003D3532">
        <w:rPr>
          <w:sz w:val="20"/>
          <w:szCs w:val="20"/>
          <w:lang w:val="es-ES"/>
        </w:rPr>
        <w:t xml:space="preserve">. Es decir, a juicio de la Comisión, la naturaleza complementaria de la protección internacional prevista en la Convención Americana implica también que la intervención de los órganos del Sistema Interamericano sea oportuna para que esta pueda tener algún tipo de efecto útil en la protección de los derechos de las presuntas víctimas. </w:t>
      </w:r>
      <w:bookmarkEnd w:id="7"/>
    </w:p>
    <w:p w14:paraId="704FF7E1" w14:textId="6EAAEDBB" w:rsidR="00F469BC" w:rsidRPr="003D3532" w:rsidRDefault="00B31230" w:rsidP="00F469B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D3532">
        <w:rPr>
          <w:rFonts w:ascii="Cambria" w:hAnsi="Cambria"/>
          <w:sz w:val="20"/>
          <w:szCs w:val="20"/>
          <w:lang w:val="es-ES_tradnl"/>
        </w:rPr>
        <w:t xml:space="preserve">Finalmente, tomando en cuenta que la petición se presentó en el 2013, </w:t>
      </w:r>
      <w:r w:rsidR="00121ED5" w:rsidRPr="003D3532">
        <w:rPr>
          <w:rFonts w:ascii="Cambria" w:hAnsi="Cambria"/>
          <w:sz w:val="20"/>
          <w:szCs w:val="20"/>
          <w:lang w:val="es-ES_tradnl"/>
        </w:rPr>
        <w:t xml:space="preserve">alrededor de </w:t>
      </w:r>
      <w:r w:rsidRPr="003D3532">
        <w:rPr>
          <w:rFonts w:ascii="Cambria" w:hAnsi="Cambria"/>
          <w:sz w:val="20"/>
          <w:szCs w:val="20"/>
          <w:lang w:val="es-ES_tradnl"/>
        </w:rPr>
        <w:t xml:space="preserve">cinco meses después de que los órganos judiciales </w:t>
      </w:r>
      <w:r w:rsidR="00222BCC" w:rsidRPr="003D3532">
        <w:rPr>
          <w:rFonts w:ascii="Cambria" w:hAnsi="Cambria"/>
          <w:sz w:val="20"/>
          <w:szCs w:val="20"/>
          <w:lang w:val="es-ES_tradnl"/>
        </w:rPr>
        <w:t>ordenaron</w:t>
      </w:r>
      <w:r w:rsidRPr="003D3532">
        <w:rPr>
          <w:rFonts w:ascii="Cambria" w:hAnsi="Cambria"/>
          <w:sz w:val="20"/>
          <w:szCs w:val="20"/>
          <w:lang w:val="es-ES_tradnl"/>
        </w:rPr>
        <w:t xml:space="preserve"> al Director General del Ministerio de Economía y Finanzas </w:t>
      </w:r>
      <w:r w:rsidR="00222BCC" w:rsidRPr="003D3532">
        <w:rPr>
          <w:rFonts w:ascii="Cambria" w:hAnsi="Cambria"/>
          <w:sz w:val="20"/>
          <w:szCs w:val="20"/>
          <w:lang w:val="es-ES_tradnl"/>
        </w:rPr>
        <w:t xml:space="preserve">entregar </w:t>
      </w:r>
      <w:r w:rsidRPr="003D3532">
        <w:rPr>
          <w:rFonts w:ascii="Cambria" w:hAnsi="Cambria"/>
          <w:sz w:val="20"/>
          <w:szCs w:val="20"/>
          <w:lang w:val="es-ES_tradnl"/>
        </w:rPr>
        <w:t xml:space="preserve">los fondos dinerarios para que </w:t>
      </w:r>
      <w:r w:rsidR="00222BCC" w:rsidRPr="003D3532">
        <w:rPr>
          <w:rFonts w:ascii="Cambria" w:hAnsi="Cambria"/>
          <w:sz w:val="20"/>
          <w:szCs w:val="20"/>
          <w:lang w:val="es-ES_tradnl"/>
        </w:rPr>
        <w:t>pagar</w:t>
      </w:r>
      <w:r w:rsidRPr="003D3532">
        <w:rPr>
          <w:rFonts w:ascii="Cambria" w:hAnsi="Cambria"/>
          <w:sz w:val="20"/>
          <w:szCs w:val="20"/>
          <w:lang w:val="es-ES_tradnl"/>
        </w:rPr>
        <w:t xml:space="preserve"> a las presuntas víctimas, la Comisión considera que esta se presentó en un plazo razonable, conforme al artículo 32.2 de su Reglamento. </w:t>
      </w:r>
    </w:p>
    <w:p w14:paraId="6C0CD292" w14:textId="097367C0" w:rsidR="00F469BC" w:rsidRPr="003D3532" w:rsidRDefault="00F469BC" w:rsidP="00F469BC">
      <w:pPr>
        <w:pStyle w:val="ListParagraph"/>
        <w:spacing w:before="240" w:after="240"/>
        <w:jc w:val="both"/>
        <w:rPr>
          <w:b/>
          <w:bCs/>
          <w:sz w:val="20"/>
          <w:szCs w:val="20"/>
          <w:lang w:val="es-ES_tradnl"/>
        </w:rPr>
      </w:pPr>
      <w:r w:rsidRPr="003D3532">
        <w:rPr>
          <w:b/>
          <w:bCs/>
          <w:sz w:val="20"/>
          <w:szCs w:val="20"/>
          <w:lang w:val="es-ES_tradnl"/>
        </w:rPr>
        <w:lastRenderedPageBreak/>
        <w:t>VIII.</w:t>
      </w:r>
      <w:r w:rsidRPr="003D3532">
        <w:rPr>
          <w:b/>
          <w:bCs/>
          <w:sz w:val="20"/>
          <w:szCs w:val="20"/>
          <w:lang w:val="es-ES_tradnl"/>
        </w:rPr>
        <w:tab/>
        <w:t>ANÁLISIS DE CARACTERIZACIÓN DE LOS HECHOS ALEGADOS</w:t>
      </w:r>
    </w:p>
    <w:p w14:paraId="742DC50D" w14:textId="21BDE435" w:rsidR="00F569AD" w:rsidRPr="003D3532" w:rsidRDefault="00F569AD" w:rsidP="00F569AD">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_tradnl"/>
        </w:rPr>
      </w:pPr>
      <w:r w:rsidRPr="003D3532">
        <w:rPr>
          <w:sz w:val="20"/>
          <w:szCs w:val="20"/>
          <w:lang w:val="es-ES_tradnl"/>
        </w:rPr>
        <w:t xml:space="preserve">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inciso (c) de </w:t>
      </w:r>
      <w:r w:rsidR="00383F5F" w:rsidRPr="003D3532">
        <w:rPr>
          <w:sz w:val="20"/>
          <w:szCs w:val="20"/>
          <w:lang w:val="es-ES_tradnl"/>
        </w:rPr>
        <w:t xml:space="preserve">ese </w:t>
      </w:r>
      <w:r w:rsidRPr="003D3532">
        <w:rPr>
          <w:sz w:val="20"/>
          <w:szCs w:val="20"/>
          <w:lang w:val="es-ES_tradnl"/>
        </w:rPr>
        <w:t>artículo. El criterio de evaluación de esos requisitos difiere del que se utiliza para pronunciarse sobre el fondo de una petición.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prima facie violaciones a la Convención Americana”</w:t>
      </w:r>
      <w:r w:rsidRPr="003D3532">
        <w:rPr>
          <w:rStyle w:val="FootnoteReference"/>
          <w:rFonts w:cs="Calibri"/>
          <w:sz w:val="20"/>
          <w:szCs w:val="20"/>
          <w:lang w:val="es-ES_tradnl"/>
        </w:rPr>
        <w:footnoteReference w:id="12"/>
      </w:r>
      <w:r w:rsidRPr="003D3532">
        <w:rPr>
          <w:sz w:val="20"/>
          <w:szCs w:val="20"/>
          <w:lang w:val="es-ES_tradnl"/>
        </w:rPr>
        <w:t xml:space="preserve">. </w:t>
      </w:r>
    </w:p>
    <w:p w14:paraId="3C77C836" w14:textId="77777777" w:rsidR="00280532" w:rsidRPr="003D3532" w:rsidRDefault="00280532" w:rsidP="00280532">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_tradnl"/>
        </w:rPr>
      </w:pPr>
      <w:r w:rsidRPr="003D3532">
        <w:rPr>
          <w:sz w:val="20"/>
          <w:szCs w:val="20"/>
          <w:lang w:val="es-ES_tradnl"/>
        </w:rPr>
        <w:t>En el presente asunto, la Comisión considera que la parte peticionaria cuestiona el incumplimiento de una sentencia judicial con calidad de cosa juzgada, alegando que tal situación, además de constituir una afectación a su derecho a la efectividad de las resoluciones judiciales, también constituye un acto de regresividad de sus condiciones laborales, en tanto se modifican las proporciones salarias reconocidas expresamente en la decisión en perjuicio de las presuntas víctimas. Al respecto, la Corte Interamericana de Derechos Humanos, con base en lo sostenido por el Comité de Derechos, Económicos, Sociales y Culturales, ha precisado que los Estados parte de la Convención deben “</w:t>
      </w:r>
      <w:r w:rsidRPr="003D3532">
        <w:rPr>
          <w:i/>
          <w:iCs/>
          <w:sz w:val="20"/>
          <w:szCs w:val="20"/>
          <w:lang w:val="es-ES_tradnl"/>
        </w:rPr>
        <w:t>evitar adoptar deliberadamente cualquier medida regresiva sin una cuidadosa consideración y justificación</w:t>
      </w:r>
      <w:r w:rsidRPr="003D3532">
        <w:rPr>
          <w:sz w:val="20"/>
          <w:szCs w:val="20"/>
          <w:lang w:val="es-ES_tradnl"/>
        </w:rPr>
        <w:t>”</w:t>
      </w:r>
      <w:r w:rsidRPr="003D3532">
        <w:rPr>
          <w:rStyle w:val="FootnoteReference"/>
          <w:sz w:val="20"/>
          <w:szCs w:val="20"/>
          <w:lang w:val="es-ES_tradnl"/>
        </w:rPr>
        <w:footnoteReference w:id="13"/>
      </w:r>
      <w:r w:rsidRPr="003D3532">
        <w:rPr>
          <w:sz w:val="20"/>
          <w:szCs w:val="20"/>
          <w:lang w:val="es-ES_tradnl"/>
        </w:rPr>
        <w:t>. Como consecuencia, el citado Comité ha precisado que cuando un Estado parte “</w:t>
      </w:r>
      <w:r w:rsidRPr="003D3532">
        <w:rPr>
          <w:i/>
          <w:iCs/>
          <w:sz w:val="20"/>
          <w:szCs w:val="20"/>
          <w:lang w:val="es-ES_tradnl"/>
        </w:rPr>
        <w:t>trata de introducir medidas regresivas, por ejemplo, en respuesta a una crisis económica, tiene que demostrar que esas medidas son temporales, necesarias, no discriminatorias y que respetan al menos sus obligaciones básicas</w:t>
      </w:r>
      <w:r w:rsidRPr="003D3532">
        <w:rPr>
          <w:sz w:val="20"/>
          <w:szCs w:val="20"/>
          <w:lang w:val="es-ES_tradnl"/>
        </w:rPr>
        <w:t>”</w:t>
      </w:r>
      <w:r w:rsidRPr="003D3532">
        <w:rPr>
          <w:rStyle w:val="FootnoteReference"/>
          <w:sz w:val="20"/>
          <w:szCs w:val="20"/>
          <w:lang w:val="es-ES_tradnl"/>
        </w:rPr>
        <w:footnoteReference w:id="14"/>
      </w:r>
      <w:r w:rsidRPr="003D3532">
        <w:rPr>
          <w:sz w:val="20"/>
          <w:szCs w:val="20"/>
          <w:lang w:val="es-ES_tradnl"/>
        </w:rPr>
        <w:t>. En la misma línea, la Comisión Interamericana ha considerado que para evaluar si una medida regresiva es compatible con la Convención Americana, se deberá “</w:t>
      </w:r>
      <w:r w:rsidRPr="003D3532">
        <w:rPr>
          <w:i/>
          <w:iCs/>
          <w:sz w:val="20"/>
          <w:szCs w:val="20"/>
          <w:lang w:val="es-ES_tradnl"/>
        </w:rPr>
        <w:t>determinar si se encuentra justificada por razones de suficiente peso</w:t>
      </w:r>
      <w:r w:rsidRPr="003D3532">
        <w:rPr>
          <w:sz w:val="20"/>
          <w:szCs w:val="20"/>
          <w:lang w:val="es-ES_tradnl"/>
        </w:rPr>
        <w:t>”</w:t>
      </w:r>
      <w:r w:rsidRPr="003D3532">
        <w:rPr>
          <w:rStyle w:val="FootnoteReference"/>
          <w:sz w:val="20"/>
          <w:szCs w:val="20"/>
          <w:lang w:val="es-ES_tradnl"/>
        </w:rPr>
        <w:footnoteReference w:id="15"/>
      </w:r>
      <w:r w:rsidRPr="003D3532">
        <w:rPr>
          <w:sz w:val="20"/>
          <w:szCs w:val="20"/>
          <w:lang w:val="es-ES_tradnl"/>
        </w:rPr>
        <w:t>.</w:t>
      </w:r>
    </w:p>
    <w:p w14:paraId="26045852" w14:textId="01F6425E" w:rsidR="00F569AD" w:rsidRPr="003D3532" w:rsidRDefault="00F569AD" w:rsidP="00783266">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_tradnl"/>
        </w:rPr>
      </w:pPr>
      <w:r w:rsidRPr="003D3532">
        <w:rPr>
          <w:sz w:val="20"/>
          <w:szCs w:val="20"/>
          <w:lang w:val="es-ES_tradnl"/>
        </w:rPr>
        <w:t xml:space="preserve">Por otro lado, </w:t>
      </w:r>
      <w:r w:rsidRPr="003D3532">
        <w:rPr>
          <w:bCs/>
          <w:sz w:val="20"/>
          <w:szCs w:val="20"/>
          <w:lang w:val="es-ES_tradnl"/>
        </w:rPr>
        <w:t xml:space="preserve">la CIDH recuerda que </w:t>
      </w:r>
      <w:r w:rsidR="00783266" w:rsidRPr="003D3532">
        <w:rPr>
          <w:bCs/>
          <w:sz w:val="20"/>
          <w:szCs w:val="20"/>
          <w:lang w:val="es-ES_tradnl"/>
        </w:rPr>
        <w:t>“</w:t>
      </w:r>
      <w:r w:rsidR="00783266" w:rsidRPr="003D3532">
        <w:rPr>
          <w:i/>
          <w:iCs/>
          <w:sz w:val="20"/>
          <w:szCs w:val="20"/>
          <w:lang w:val="es-ES_tradnl"/>
        </w:rPr>
        <w:t>la remuneración, recursos humanos y técnicos adecuados, así como la capacitación permanente y seguridad son condiciones esenciales para el funcionamiento independiente de las y los operadores de justicia y, en consecuencia, para el acceso a la justicia de los casos que tienen bajo su conocimiento. Las condiciones adecuadas de servicio permiten a su vez eliminar presiones externas e internas, como la corrupción</w:t>
      </w:r>
      <w:r w:rsidR="00783266" w:rsidRPr="003D3532">
        <w:rPr>
          <w:sz w:val="20"/>
          <w:szCs w:val="20"/>
          <w:lang w:val="es-ES_tradnl"/>
        </w:rPr>
        <w:t>”</w:t>
      </w:r>
      <w:r w:rsidR="00783266" w:rsidRPr="003D3532">
        <w:rPr>
          <w:rStyle w:val="FootnoteReference"/>
          <w:sz w:val="20"/>
          <w:szCs w:val="20"/>
          <w:lang w:val="es-ES_tradnl"/>
        </w:rPr>
        <w:footnoteReference w:id="16"/>
      </w:r>
      <w:r w:rsidR="00783266" w:rsidRPr="003D3532">
        <w:rPr>
          <w:sz w:val="20"/>
          <w:szCs w:val="20"/>
          <w:lang w:val="es-ES_tradnl"/>
        </w:rPr>
        <w:t xml:space="preserve">. Debido a ello, </w:t>
      </w:r>
      <w:r w:rsidRPr="003D3532">
        <w:rPr>
          <w:bCs/>
          <w:sz w:val="20"/>
          <w:szCs w:val="20"/>
          <w:lang w:val="es-ES_tradnl"/>
        </w:rPr>
        <w:t xml:space="preserve">la remuneración individual de </w:t>
      </w:r>
      <w:r w:rsidR="001E082D">
        <w:rPr>
          <w:sz w:val="20"/>
          <w:szCs w:val="20"/>
          <w:lang w:val="es-ES_tradnl"/>
        </w:rPr>
        <w:t>los magistrados</w:t>
      </w:r>
      <w:r w:rsidR="001E082D" w:rsidRPr="003D3532">
        <w:rPr>
          <w:sz w:val="20"/>
          <w:szCs w:val="20"/>
          <w:lang w:val="es-ES_tradnl"/>
        </w:rPr>
        <w:t xml:space="preserve"> </w:t>
      </w:r>
      <w:r w:rsidRPr="003D3532">
        <w:rPr>
          <w:bCs/>
          <w:sz w:val="20"/>
          <w:szCs w:val="20"/>
          <w:lang w:val="es-ES_tradnl"/>
        </w:rPr>
        <w:t>“</w:t>
      </w:r>
      <w:r w:rsidRPr="003D3532">
        <w:rPr>
          <w:bCs/>
          <w:i/>
          <w:iCs/>
          <w:sz w:val="20"/>
          <w:szCs w:val="20"/>
          <w:lang w:val="es-ES_tradnl"/>
        </w:rPr>
        <w:t>no debe depender del resultado de la actividad del juez y no debe ser reducida mientras preste el servicio profesional</w:t>
      </w:r>
      <w:r w:rsidRPr="003D3532">
        <w:rPr>
          <w:bCs/>
          <w:sz w:val="20"/>
          <w:szCs w:val="20"/>
          <w:lang w:val="es-ES_tradnl"/>
        </w:rPr>
        <w:t>”</w:t>
      </w:r>
      <w:r w:rsidRPr="003D3532">
        <w:rPr>
          <w:rStyle w:val="FootnoteReference"/>
          <w:bCs/>
          <w:sz w:val="20"/>
          <w:szCs w:val="20"/>
          <w:lang w:val="es-ES_tradnl"/>
        </w:rPr>
        <w:footnoteReference w:id="17"/>
      </w:r>
      <w:r w:rsidRPr="003D3532">
        <w:rPr>
          <w:bCs/>
          <w:sz w:val="20"/>
          <w:szCs w:val="20"/>
          <w:lang w:val="es-ES_tradnl"/>
        </w:rPr>
        <w:t xml:space="preserve">. </w:t>
      </w:r>
    </w:p>
    <w:p w14:paraId="7FE2A3FC" w14:textId="564F0D9B" w:rsidR="003D3532" w:rsidRPr="001E082D" w:rsidRDefault="00F569AD" w:rsidP="00F569AD">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b/>
          <w:bCs/>
          <w:sz w:val="20"/>
          <w:szCs w:val="20"/>
          <w:lang w:val="es-ES_tradnl"/>
        </w:rPr>
      </w:pPr>
      <w:r w:rsidRPr="003D3532">
        <w:rPr>
          <w:sz w:val="20"/>
          <w:szCs w:val="20"/>
          <w:lang w:val="es-ES_tradnl"/>
        </w:rPr>
        <w:t>En atención a estas consideraciones, y tras examinar los elementos de hecho y de derecho expuestos por las partes, la Comisión estima que las alegaciones de la parte peticionaria</w:t>
      </w:r>
      <w:r w:rsidR="00244EF6" w:rsidRPr="003D3532">
        <w:rPr>
          <w:sz w:val="20"/>
          <w:szCs w:val="20"/>
          <w:lang w:val="es-ES_tradnl"/>
        </w:rPr>
        <w:t xml:space="preserve"> </w:t>
      </w:r>
      <w:r w:rsidRPr="003D3532">
        <w:rPr>
          <w:sz w:val="20"/>
          <w:szCs w:val="20"/>
          <w:lang w:val="es-ES_tradnl"/>
        </w:rPr>
        <w:t xml:space="preserve">no resultan manifiestamente infundadas y requieren efectivamente de un estudio de fondo, pues los hechos alegados, de corroborarse como ciertos podrían caracterizar violaciones a los artículos </w:t>
      </w:r>
      <w:r w:rsidRPr="003D3532">
        <w:rPr>
          <w:bCs/>
          <w:sz w:val="20"/>
          <w:szCs w:val="20"/>
          <w:lang w:val="es-ES_tradnl"/>
        </w:rPr>
        <w:t>8 (garantías judiciales), 21 (propiedad privada), 24 (igualdad ante la ley), 25 (protección judicial) y 26 (derechos económicos, sociales y culturales)</w:t>
      </w:r>
      <w:r w:rsidR="00244EF6" w:rsidRPr="003D3532">
        <w:rPr>
          <w:bCs/>
          <w:sz w:val="20"/>
          <w:szCs w:val="20"/>
          <w:lang w:val="es-ES_tradnl"/>
        </w:rPr>
        <w:t xml:space="preserve"> de la Convención Americana</w:t>
      </w:r>
      <w:r w:rsidRPr="003D3532">
        <w:rPr>
          <w:bCs/>
          <w:sz w:val="20"/>
          <w:szCs w:val="20"/>
          <w:lang w:val="es-ES_tradnl"/>
        </w:rPr>
        <w:t xml:space="preserve">, en relación con sus artículos 1.1 </w:t>
      </w:r>
      <w:r w:rsidR="00CA6613" w:rsidRPr="003D3532">
        <w:rPr>
          <w:bCs/>
          <w:sz w:val="20"/>
          <w:szCs w:val="20"/>
          <w:lang w:val="es-ES_tradnl"/>
        </w:rPr>
        <w:t xml:space="preserve">(obligación de respetar los </w:t>
      </w:r>
      <w:r w:rsidR="00712592" w:rsidRPr="003D3532">
        <w:rPr>
          <w:bCs/>
          <w:sz w:val="20"/>
          <w:szCs w:val="20"/>
          <w:lang w:val="es-ES_tradnl"/>
        </w:rPr>
        <w:t>derechos</w:t>
      </w:r>
      <w:r w:rsidR="00CA6613" w:rsidRPr="003D3532">
        <w:rPr>
          <w:bCs/>
          <w:sz w:val="20"/>
          <w:szCs w:val="20"/>
          <w:lang w:val="es-ES_tradnl"/>
        </w:rPr>
        <w:t xml:space="preserve">) </w:t>
      </w:r>
      <w:r w:rsidRPr="003D3532">
        <w:rPr>
          <w:bCs/>
          <w:sz w:val="20"/>
          <w:szCs w:val="20"/>
          <w:lang w:val="es-ES_tradnl"/>
        </w:rPr>
        <w:t xml:space="preserve">y 2 </w:t>
      </w:r>
      <w:r w:rsidR="00CA6613" w:rsidRPr="003D3532">
        <w:rPr>
          <w:bCs/>
          <w:sz w:val="20"/>
          <w:szCs w:val="20"/>
          <w:lang w:val="es-ES_tradnl"/>
        </w:rPr>
        <w:t xml:space="preserve">(deber de adoptar disposiciones de derecho interno) </w:t>
      </w:r>
      <w:r w:rsidRPr="003D3532">
        <w:rPr>
          <w:bCs/>
          <w:sz w:val="20"/>
          <w:szCs w:val="20"/>
          <w:lang w:val="es-ES_tradnl"/>
        </w:rPr>
        <w:t>del mismo instrumento en perjuicio de las presuntas víctimas</w:t>
      </w:r>
      <w:r w:rsidR="001648C0" w:rsidRPr="003D3532">
        <w:rPr>
          <w:bCs/>
          <w:sz w:val="20"/>
          <w:szCs w:val="20"/>
          <w:lang w:val="es-ES_tradnl"/>
        </w:rPr>
        <w:t>, en los términos del presente informe</w:t>
      </w:r>
      <w:r w:rsidRPr="003D3532">
        <w:rPr>
          <w:bCs/>
          <w:sz w:val="20"/>
          <w:szCs w:val="20"/>
          <w:lang w:val="es-ES_tradnl"/>
        </w:rPr>
        <w:t xml:space="preserve">. </w:t>
      </w:r>
    </w:p>
    <w:p w14:paraId="445BF42E" w14:textId="4C9D0BF2" w:rsidR="003239B8" w:rsidRPr="003D3532" w:rsidRDefault="004B0CD6" w:rsidP="00F569AD">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b/>
          <w:bCs/>
          <w:sz w:val="20"/>
          <w:szCs w:val="20"/>
          <w:lang w:val="es-ES_tradnl"/>
        </w:rPr>
      </w:pPr>
      <w:r w:rsidRPr="003D3532">
        <w:rPr>
          <w:b/>
          <w:bCs/>
          <w:sz w:val="20"/>
          <w:szCs w:val="20"/>
          <w:lang w:val="es-ES_tradnl"/>
        </w:rPr>
        <w:lastRenderedPageBreak/>
        <w:t>IX</w:t>
      </w:r>
      <w:r w:rsidR="003239B8" w:rsidRPr="003D3532">
        <w:rPr>
          <w:b/>
          <w:bCs/>
          <w:sz w:val="20"/>
          <w:szCs w:val="20"/>
          <w:lang w:val="es-ES_tradnl"/>
        </w:rPr>
        <w:t xml:space="preserve">. </w:t>
      </w:r>
      <w:r w:rsidR="003239B8" w:rsidRPr="003D3532">
        <w:rPr>
          <w:b/>
          <w:bCs/>
          <w:sz w:val="20"/>
          <w:szCs w:val="20"/>
          <w:lang w:val="es-ES_tradnl"/>
        </w:rPr>
        <w:tab/>
        <w:t>DECISIÓN</w:t>
      </w:r>
    </w:p>
    <w:p w14:paraId="547DFF8E" w14:textId="469E233B" w:rsidR="000419AD" w:rsidRPr="003D3532"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D3532">
        <w:rPr>
          <w:rFonts w:ascii="Cambria" w:hAnsi="Cambria"/>
          <w:sz w:val="20"/>
          <w:szCs w:val="20"/>
          <w:lang w:val="es-ES_tradnl"/>
        </w:rPr>
        <w:t>Declarar admisible la presente petición en relación con</w:t>
      </w:r>
      <w:r w:rsidR="001D7F96" w:rsidRPr="003D3532">
        <w:rPr>
          <w:rFonts w:ascii="Cambria" w:hAnsi="Cambria"/>
          <w:sz w:val="20"/>
          <w:szCs w:val="20"/>
          <w:lang w:val="es-ES_tradnl"/>
        </w:rPr>
        <w:t xml:space="preserve"> </w:t>
      </w:r>
      <w:r w:rsidR="00F569AD" w:rsidRPr="003D3532">
        <w:rPr>
          <w:rFonts w:ascii="Cambria" w:hAnsi="Cambria"/>
          <w:sz w:val="20"/>
          <w:szCs w:val="20"/>
          <w:lang w:val="es-ES_tradnl"/>
        </w:rPr>
        <w:t>los artículos 8, 21, 24, 25 y 26 de la Convención Americana</w:t>
      </w:r>
      <w:r w:rsidR="001648C0" w:rsidRPr="003D3532">
        <w:rPr>
          <w:rFonts w:ascii="Cambria" w:hAnsi="Cambria"/>
          <w:sz w:val="20"/>
          <w:szCs w:val="20"/>
          <w:lang w:val="es-ES_tradnl"/>
        </w:rPr>
        <w:t>, en conexión con sus artículos 1.1 y 2</w:t>
      </w:r>
      <w:r w:rsidR="00A758AA" w:rsidRPr="003D3532">
        <w:rPr>
          <w:rFonts w:ascii="Cambria" w:hAnsi="Cambria"/>
          <w:sz w:val="20"/>
          <w:szCs w:val="20"/>
          <w:lang w:val="es-ES_tradnl"/>
        </w:rPr>
        <w:t>;</w:t>
      </w:r>
      <w:r w:rsidR="007B76D3" w:rsidRPr="003D3532">
        <w:rPr>
          <w:rFonts w:ascii="Cambria" w:hAnsi="Cambria"/>
          <w:sz w:val="20"/>
          <w:szCs w:val="20"/>
          <w:lang w:val="es-ES_tradnl"/>
        </w:rPr>
        <w:t xml:space="preserve"> y</w:t>
      </w:r>
    </w:p>
    <w:p w14:paraId="2FE23A76" w14:textId="77777777" w:rsidR="001648C0" w:rsidRDefault="004A6A54" w:rsidP="001648C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D3532">
        <w:rPr>
          <w:rFonts w:ascii="Cambria" w:hAnsi="Cambria"/>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r w:rsidR="001648C0" w:rsidRPr="003D3532">
        <w:rPr>
          <w:rFonts w:ascii="Cambria" w:hAnsi="Cambria"/>
          <w:sz w:val="20"/>
          <w:szCs w:val="20"/>
          <w:lang w:val="es-ES_tradnl"/>
        </w:rPr>
        <w:t>.</w:t>
      </w:r>
    </w:p>
    <w:p w14:paraId="7E6AEF5D" w14:textId="14F64D73" w:rsidR="00BC14F2" w:rsidRPr="0012763C" w:rsidRDefault="00BC14F2" w:rsidP="0012763C">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34449E">
        <w:rPr>
          <w:rStyle w:val="normaltextrun"/>
          <w:rFonts w:ascii="Cambria" w:hAnsi="Cambria" w:cs="Segoe UI"/>
          <w:sz w:val="20"/>
          <w:szCs w:val="20"/>
          <w:lang w:val="es-CL"/>
        </w:rPr>
        <w:t>25</w:t>
      </w:r>
      <w:r>
        <w:rPr>
          <w:rStyle w:val="normaltextrun"/>
          <w:rFonts w:ascii="Cambria" w:hAnsi="Cambria" w:cs="Segoe UI"/>
          <w:sz w:val="20"/>
          <w:szCs w:val="20"/>
          <w:lang w:val="es-CL"/>
        </w:rPr>
        <w:t xml:space="preserve"> días del mes de </w:t>
      </w:r>
      <w:r w:rsidR="0034449E">
        <w:rPr>
          <w:rStyle w:val="normaltextrun"/>
          <w:rFonts w:ascii="Cambria" w:hAnsi="Cambria" w:cs="Segoe UI"/>
          <w:sz w:val="20"/>
          <w:szCs w:val="20"/>
          <w:lang w:val="es-CL"/>
        </w:rPr>
        <w:t>noviembre</w:t>
      </w:r>
      <w:r>
        <w:rPr>
          <w:rStyle w:val="normaltextrun"/>
          <w:rFonts w:ascii="Cambria" w:hAnsi="Cambria" w:cs="Segoe UI"/>
          <w:sz w:val="20"/>
          <w:szCs w:val="20"/>
          <w:lang w:val="es-CL"/>
        </w:rPr>
        <w:t xml:space="preserve"> de 2022.  (Firmado): Stuardo Ralón Orellana, Primer Vicepresidente; Esmeralda E. Arosemena Bernal de Troitiño, Joel Hernández y Carlos Bernal Pulido, </w:t>
      </w:r>
      <w:r w:rsidR="0012763C">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6F820810" w14:textId="77777777" w:rsidR="00C45F04" w:rsidRDefault="00C45F04" w:rsidP="00C45F0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es-ES_tradnl"/>
        </w:rPr>
      </w:pPr>
    </w:p>
    <w:p w14:paraId="7400EDC2" w14:textId="62AE1546" w:rsidR="00C45F04" w:rsidRDefault="00C45F04">
      <w:pPr>
        <w:rPr>
          <w:rFonts w:ascii="Cambria" w:hAnsi="Cambria"/>
          <w:sz w:val="20"/>
          <w:szCs w:val="20"/>
          <w:lang w:val="es-ES_tradnl"/>
        </w:rPr>
      </w:pPr>
      <w:r>
        <w:rPr>
          <w:rFonts w:ascii="Cambria" w:hAnsi="Cambria"/>
          <w:sz w:val="20"/>
          <w:szCs w:val="20"/>
          <w:lang w:val="es-ES_tradnl"/>
        </w:rPr>
        <w:br w:type="page"/>
      </w:r>
    </w:p>
    <w:p w14:paraId="6F2DC4E0" w14:textId="14E98820" w:rsidR="00A36773" w:rsidRDefault="00A36773" w:rsidP="00C45F0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center"/>
        <w:rPr>
          <w:rFonts w:ascii="Cambria" w:hAnsi="Cambria" w:cs="Calibri"/>
          <w:b/>
          <w:bCs/>
          <w:sz w:val="20"/>
          <w:szCs w:val="20"/>
          <w:u w:val="single"/>
          <w:lang w:val="es-ES_tradnl"/>
        </w:rPr>
      </w:pPr>
      <w:r w:rsidRPr="003D3532">
        <w:rPr>
          <w:rFonts w:ascii="Cambria" w:hAnsi="Cambria" w:cs="Calibri"/>
          <w:b/>
          <w:bCs/>
          <w:sz w:val="20"/>
          <w:szCs w:val="20"/>
          <w:u w:val="single"/>
          <w:lang w:val="es-ES_tradnl"/>
        </w:rPr>
        <w:lastRenderedPageBreak/>
        <w:t>Anexo 1</w:t>
      </w:r>
    </w:p>
    <w:p w14:paraId="76EC7B6E" w14:textId="77777777" w:rsidR="00626408" w:rsidRPr="003D3532" w:rsidRDefault="00626408" w:rsidP="00C45F0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center"/>
        <w:rPr>
          <w:rFonts w:ascii="Cambria" w:hAnsi="Cambria"/>
          <w:sz w:val="20"/>
          <w:szCs w:val="20"/>
          <w:lang w:val="es-ES_tradnl"/>
        </w:rPr>
      </w:pPr>
    </w:p>
    <w:p w14:paraId="30A1C547" w14:textId="6E74E83B" w:rsidR="00A36773" w:rsidRPr="003D3532" w:rsidRDefault="00A36773" w:rsidP="00626408">
      <w:pPr>
        <w:pStyle w:val="ListParagraph"/>
        <w:numPr>
          <w:ilvl w:val="0"/>
          <w:numId w:val="60"/>
        </w:numPr>
        <w:ind w:left="720" w:firstLine="0"/>
        <w:rPr>
          <w:rFonts w:cs="Calibri"/>
          <w:b/>
          <w:bCs/>
          <w:sz w:val="20"/>
          <w:szCs w:val="20"/>
          <w:u w:val="single"/>
          <w:lang w:val="es-ES_tradnl"/>
        </w:rPr>
      </w:pPr>
      <w:r w:rsidRPr="003D3532">
        <w:rPr>
          <w:rFonts w:cs="Calibri"/>
          <w:sz w:val="20"/>
          <w:szCs w:val="20"/>
          <w:lang w:val="es-ES_tradnl"/>
        </w:rPr>
        <w:t>Jaime David Abanto Torres</w:t>
      </w:r>
    </w:p>
    <w:p w14:paraId="15FE03D7" w14:textId="4B488E1F" w:rsidR="00A36773" w:rsidRPr="003D3532" w:rsidRDefault="00A36773" w:rsidP="00626408">
      <w:pPr>
        <w:pStyle w:val="ListParagraph"/>
        <w:numPr>
          <w:ilvl w:val="0"/>
          <w:numId w:val="60"/>
        </w:numPr>
        <w:ind w:left="720" w:firstLine="0"/>
        <w:rPr>
          <w:rFonts w:cs="Calibri"/>
          <w:b/>
          <w:bCs/>
          <w:sz w:val="20"/>
          <w:szCs w:val="20"/>
          <w:u w:val="single"/>
          <w:lang w:val="es-ES_tradnl"/>
        </w:rPr>
      </w:pPr>
      <w:r w:rsidRPr="003D3532">
        <w:rPr>
          <w:rFonts w:cs="Calibri"/>
          <w:sz w:val="20"/>
          <w:szCs w:val="20"/>
          <w:lang w:val="es-ES_tradnl"/>
        </w:rPr>
        <w:t>Rosario Alfaro Lanchipa</w:t>
      </w:r>
    </w:p>
    <w:p w14:paraId="398108BD" w14:textId="2216DC6F" w:rsidR="00A36773" w:rsidRPr="003D3532" w:rsidRDefault="00A36773" w:rsidP="00626408">
      <w:pPr>
        <w:pStyle w:val="ListParagraph"/>
        <w:numPr>
          <w:ilvl w:val="0"/>
          <w:numId w:val="60"/>
        </w:numPr>
        <w:ind w:left="720" w:firstLine="0"/>
        <w:rPr>
          <w:rFonts w:cs="Calibri"/>
          <w:b/>
          <w:bCs/>
          <w:sz w:val="20"/>
          <w:szCs w:val="20"/>
          <w:u w:val="single"/>
          <w:lang w:val="es-ES_tradnl"/>
        </w:rPr>
      </w:pPr>
      <w:r w:rsidRPr="003D3532">
        <w:rPr>
          <w:rFonts w:cs="Calibri"/>
          <w:sz w:val="20"/>
          <w:szCs w:val="20"/>
          <w:lang w:val="es-ES_tradnl"/>
        </w:rPr>
        <w:t>Juan Carlos Valera Málaga</w:t>
      </w:r>
    </w:p>
    <w:p w14:paraId="62134F36" w14:textId="55774ABA" w:rsidR="00A36773" w:rsidRPr="003D3532" w:rsidRDefault="00A36773" w:rsidP="00626408">
      <w:pPr>
        <w:pStyle w:val="ListParagraph"/>
        <w:numPr>
          <w:ilvl w:val="0"/>
          <w:numId w:val="60"/>
        </w:numPr>
        <w:ind w:left="720" w:firstLine="0"/>
        <w:rPr>
          <w:rFonts w:cs="Calibri"/>
          <w:b/>
          <w:bCs/>
          <w:sz w:val="20"/>
          <w:szCs w:val="20"/>
          <w:u w:val="single"/>
          <w:lang w:val="es-ES_tradnl"/>
        </w:rPr>
      </w:pPr>
      <w:r w:rsidRPr="003D3532">
        <w:rPr>
          <w:rFonts w:cs="Calibri"/>
          <w:sz w:val="20"/>
          <w:szCs w:val="20"/>
          <w:lang w:val="es-ES_tradnl"/>
        </w:rPr>
        <w:t>Silvia Ysabel Núñez Riva</w:t>
      </w:r>
    </w:p>
    <w:p w14:paraId="5C7A97D0" w14:textId="636CF991" w:rsidR="00A36773" w:rsidRPr="003D3532" w:rsidRDefault="00A36773" w:rsidP="00626408">
      <w:pPr>
        <w:pStyle w:val="ListParagraph"/>
        <w:numPr>
          <w:ilvl w:val="0"/>
          <w:numId w:val="60"/>
        </w:numPr>
        <w:ind w:left="720" w:firstLine="0"/>
        <w:rPr>
          <w:rFonts w:cs="Calibri"/>
          <w:b/>
          <w:bCs/>
          <w:sz w:val="20"/>
          <w:szCs w:val="20"/>
          <w:u w:val="single"/>
          <w:lang w:val="es-ES_tradnl"/>
        </w:rPr>
      </w:pPr>
      <w:r w:rsidRPr="003D3532">
        <w:rPr>
          <w:rFonts w:cs="Calibri"/>
          <w:sz w:val="20"/>
          <w:szCs w:val="20"/>
          <w:lang w:val="es-ES_tradnl"/>
        </w:rPr>
        <w:t>Mará del Pilar Tupiño Salinas</w:t>
      </w:r>
    </w:p>
    <w:p w14:paraId="66AF2B28" w14:textId="1F2C37F5" w:rsidR="00A36773" w:rsidRPr="003D3532" w:rsidRDefault="00A36773" w:rsidP="00626408">
      <w:pPr>
        <w:pStyle w:val="ListParagraph"/>
        <w:numPr>
          <w:ilvl w:val="0"/>
          <w:numId w:val="60"/>
        </w:numPr>
        <w:ind w:left="720" w:firstLine="0"/>
        <w:rPr>
          <w:rFonts w:cs="Calibri"/>
          <w:b/>
          <w:bCs/>
          <w:sz w:val="20"/>
          <w:szCs w:val="20"/>
          <w:u w:val="single"/>
          <w:lang w:val="es-ES_tradnl"/>
        </w:rPr>
      </w:pPr>
      <w:r w:rsidRPr="003D3532">
        <w:rPr>
          <w:rFonts w:cs="Calibri"/>
          <w:sz w:val="20"/>
          <w:szCs w:val="20"/>
          <w:lang w:val="es-ES_tradnl"/>
        </w:rPr>
        <w:t>Julio César Rodríguez Rodríguez</w:t>
      </w:r>
    </w:p>
    <w:p w14:paraId="7E6B7177" w14:textId="6F65E6F3" w:rsidR="00A36773" w:rsidRPr="003D3532" w:rsidRDefault="00A36773" w:rsidP="00626408">
      <w:pPr>
        <w:pStyle w:val="ListParagraph"/>
        <w:numPr>
          <w:ilvl w:val="0"/>
          <w:numId w:val="60"/>
        </w:numPr>
        <w:ind w:left="720" w:firstLine="0"/>
        <w:rPr>
          <w:rFonts w:cs="Calibri"/>
          <w:b/>
          <w:bCs/>
          <w:sz w:val="20"/>
          <w:szCs w:val="20"/>
          <w:u w:val="single"/>
          <w:lang w:val="es-ES_tradnl"/>
        </w:rPr>
      </w:pPr>
      <w:r w:rsidRPr="003D3532">
        <w:rPr>
          <w:rFonts w:cs="Calibri"/>
          <w:sz w:val="20"/>
          <w:szCs w:val="20"/>
          <w:lang w:val="es-ES_tradnl"/>
        </w:rPr>
        <w:t>Graciela Esther Llanos Chávez</w:t>
      </w:r>
    </w:p>
    <w:p w14:paraId="3359F915" w14:textId="04EEC8C8" w:rsidR="00A36773" w:rsidRPr="003D3532" w:rsidRDefault="00A36773" w:rsidP="00626408">
      <w:pPr>
        <w:pStyle w:val="ListParagraph"/>
        <w:numPr>
          <w:ilvl w:val="0"/>
          <w:numId w:val="60"/>
        </w:numPr>
        <w:ind w:left="720" w:firstLine="0"/>
        <w:rPr>
          <w:rFonts w:cs="Calibri"/>
          <w:b/>
          <w:bCs/>
          <w:sz w:val="20"/>
          <w:szCs w:val="20"/>
          <w:u w:val="single"/>
          <w:lang w:val="es-ES_tradnl"/>
        </w:rPr>
      </w:pPr>
      <w:r w:rsidRPr="003D3532">
        <w:rPr>
          <w:rFonts w:cs="Calibri"/>
          <w:sz w:val="20"/>
          <w:szCs w:val="20"/>
          <w:lang w:val="es-ES_tradnl"/>
        </w:rPr>
        <w:t>Ronald Mixan Álvarez</w:t>
      </w:r>
    </w:p>
    <w:p w14:paraId="57995AB9" w14:textId="3D7D4D6D" w:rsidR="00A36773" w:rsidRPr="003D3532" w:rsidRDefault="00A36773" w:rsidP="00626408">
      <w:pPr>
        <w:pStyle w:val="ListParagraph"/>
        <w:numPr>
          <w:ilvl w:val="0"/>
          <w:numId w:val="60"/>
        </w:numPr>
        <w:ind w:left="720" w:firstLine="0"/>
        <w:rPr>
          <w:rFonts w:cs="Calibri"/>
          <w:b/>
          <w:bCs/>
          <w:sz w:val="20"/>
          <w:szCs w:val="20"/>
          <w:u w:val="single"/>
          <w:lang w:val="es-ES_tradnl"/>
        </w:rPr>
      </w:pPr>
      <w:r w:rsidRPr="003D3532">
        <w:rPr>
          <w:rFonts w:cs="Calibri"/>
          <w:sz w:val="20"/>
          <w:szCs w:val="20"/>
          <w:lang w:val="es-ES_tradnl"/>
        </w:rPr>
        <w:t>Milagros Álvarez Echarri</w:t>
      </w:r>
    </w:p>
    <w:p w14:paraId="0B1025F8" w14:textId="3CC60E30" w:rsidR="00A36773" w:rsidRPr="003D3532" w:rsidRDefault="00A36773" w:rsidP="00626408">
      <w:pPr>
        <w:pStyle w:val="ListParagraph"/>
        <w:numPr>
          <w:ilvl w:val="0"/>
          <w:numId w:val="60"/>
        </w:numPr>
        <w:ind w:left="720" w:firstLine="0"/>
        <w:rPr>
          <w:rFonts w:cs="Calibri"/>
          <w:b/>
          <w:bCs/>
          <w:sz w:val="20"/>
          <w:szCs w:val="20"/>
          <w:u w:val="single"/>
          <w:lang w:val="es-ES_tradnl"/>
        </w:rPr>
      </w:pPr>
      <w:r w:rsidRPr="003D3532">
        <w:rPr>
          <w:rFonts w:cs="Calibri"/>
          <w:sz w:val="20"/>
          <w:szCs w:val="20"/>
          <w:lang w:val="es-ES_tradnl"/>
        </w:rPr>
        <w:t>Cristina Amparo Sánchez Tejada</w:t>
      </w:r>
    </w:p>
    <w:p w14:paraId="151B1F7B" w14:textId="55289061" w:rsidR="00A36773" w:rsidRPr="003D3532" w:rsidRDefault="00A36773" w:rsidP="00626408">
      <w:pPr>
        <w:pStyle w:val="ListParagraph"/>
        <w:numPr>
          <w:ilvl w:val="0"/>
          <w:numId w:val="60"/>
        </w:numPr>
        <w:ind w:left="720" w:firstLine="0"/>
        <w:rPr>
          <w:rFonts w:cs="Calibri"/>
          <w:b/>
          <w:bCs/>
          <w:sz w:val="20"/>
          <w:szCs w:val="20"/>
          <w:u w:val="single"/>
          <w:lang w:val="es-ES_tradnl"/>
        </w:rPr>
      </w:pPr>
      <w:r w:rsidRPr="003D3532">
        <w:rPr>
          <w:rFonts w:cs="Calibri"/>
          <w:sz w:val="20"/>
          <w:szCs w:val="20"/>
          <w:lang w:val="es-ES_tradnl"/>
        </w:rPr>
        <w:t>Carlos Alfredo Escobar Antezano</w:t>
      </w:r>
    </w:p>
    <w:p w14:paraId="1037B22E" w14:textId="3B798E28" w:rsidR="00A36773" w:rsidRPr="003D3532" w:rsidRDefault="00A36773" w:rsidP="00626408">
      <w:pPr>
        <w:pStyle w:val="ListParagraph"/>
        <w:numPr>
          <w:ilvl w:val="0"/>
          <w:numId w:val="60"/>
        </w:numPr>
        <w:ind w:left="720" w:firstLine="0"/>
        <w:rPr>
          <w:rFonts w:cs="Calibri"/>
          <w:b/>
          <w:bCs/>
          <w:sz w:val="20"/>
          <w:szCs w:val="20"/>
          <w:u w:val="single"/>
          <w:lang w:val="es-ES_tradnl"/>
        </w:rPr>
      </w:pPr>
      <w:r w:rsidRPr="003D3532">
        <w:rPr>
          <w:rFonts w:cs="Calibri"/>
          <w:sz w:val="20"/>
          <w:szCs w:val="20"/>
          <w:lang w:val="es-ES_tradnl"/>
        </w:rPr>
        <w:t>Liliana Amalia Chávez Berrios</w:t>
      </w:r>
    </w:p>
    <w:p w14:paraId="414F7B09" w14:textId="69352048" w:rsidR="00A36773" w:rsidRPr="003D3532" w:rsidRDefault="00A36773" w:rsidP="00626408">
      <w:pPr>
        <w:pStyle w:val="ListParagraph"/>
        <w:numPr>
          <w:ilvl w:val="0"/>
          <w:numId w:val="60"/>
        </w:numPr>
        <w:ind w:left="720" w:firstLine="0"/>
        <w:rPr>
          <w:rFonts w:cs="Calibri"/>
          <w:b/>
          <w:bCs/>
          <w:sz w:val="20"/>
          <w:szCs w:val="20"/>
          <w:u w:val="single"/>
          <w:lang w:val="es-ES_tradnl"/>
        </w:rPr>
      </w:pPr>
      <w:r w:rsidRPr="003D3532">
        <w:rPr>
          <w:rFonts w:cs="Calibri"/>
          <w:sz w:val="20"/>
          <w:szCs w:val="20"/>
          <w:lang w:val="es-ES_tradnl"/>
        </w:rPr>
        <w:t>Aracely Denyse Baca Cabrera</w:t>
      </w:r>
    </w:p>
    <w:p w14:paraId="36245169" w14:textId="0680D3C6" w:rsidR="00A36773" w:rsidRPr="003D3532" w:rsidRDefault="00A36773" w:rsidP="00626408">
      <w:pPr>
        <w:pStyle w:val="ListParagraph"/>
        <w:numPr>
          <w:ilvl w:val="0"/>
          <w:numId w:val="60"/>
        </w:numPr>
        <w:ind w:left="720" w:firstLine="0"/>
        <w:rPr>
          <w:rFonts w:cs="Calibri"/>
          <w:b/>
          <w:bCs/>
          <w:sz w:val="20"/>
          <w:szCs w:val="20"/>
          <w:u w:val="single"/>
          <w:lang w:val="es-ES_tradnl"/>
        </w:rPr>
      </w:pPr>
      <w:r w:rsidRPr="003D3532">
        <w:rPr>
          <w:rFonts w:cs="Calibri"/>
          <w:sz w:val="20"/>
          <w:szCs w:val="20"/>
          <w:lang w:val="es-ES_tradnl"/>
        </w:rPr>
        <w:t>Elvira María Álvarez Olazabal</w:t>
      </w:r>
    </w:p>
    <w:p w14:paraId="17490B94" w14:textId="3E24AF33" w:rsidR="00A36773" w:rsidRPr="003D3532" w:rsidRDefault="00A36773" w:rsidP="00626408">
      <w:pPr>
        <w:pStyle w:val="ListParagraph"/>
        <w:numPr>
          <w:ilvl w:val="0"/>
          <w:numId w:val="60"/>
        </w:numPr>
        <w:ind w:left="720" w:firstLine="0"/>
        <w:rPr>
          <w:rFonts w:cs="Calibri"/>
          <w:b/>
          <w:bCs/>
          <w:sz w:val="20"/>
          <w:szCs w:val="20"/>
          <w:u w:val="single"/>
          <w:lang w:val="es-ES_tradnl"/>
        </w:rPr>
      </w:pPr>
      <w:r w:rsidRPr="003D3532">
        <w:rPr>
          <w:rFonts w:cs="Calibri"/>
          <w:sz w:val="20"/>
          <w:szCs w:val="20"/>
          <w:lang w:val="es-ES_tradnl"/>
        </w:rPr>
        <w:t>Germán Alejandro Aguirre Salinas</w:t>
      </w:r>
    </w:p>
    <w:p w14:paraId="2061FA24" w14:textId="1296741B" w:rsidR="00A36773" w:rsidRPr="003D3532" w:rsidRDefault="00A36773" w:rsidP="00626408">
      <w:pPr>
        <w:pStyle w:val="ListParagraph"/>
        <w:numPr>
          <w:ilvl w:val="0"/>
          <w:numId w:val="60"/>
        </w:numPr>
        <w:ind w:left="720" w:firstLine="0"/>
        <w:rPr>
          <w:rFonts w:cs="Calibri"/>
          <w:b/>
          <w:bCs/>
          <w:sz w:val="20"/>
          <w:szCs w:val="20"/>
          <w:u w:val="single"/>
          <w:lang w:val="es-ES_tradnl"/>
        </w:rPr>
      </w:pPr>
      <w:r w:rsidRPr="003D3532">
        <w:rPr>
          <w:rFonts w:cs="Calibri"/>
          <w:sz w:val="20"/>
          <w:szCs w:val="20"/>
          <w:lang w:val="es-ES_tradnl"/>
        </w:rPr>
        <w:t>Miguel Ángel Benito Rivera Gamboa</w:t>
      </w:r>
    </w:p>
    <w:p w14:paraId="30F0EE86" w14:textId="744F2E59" w:rsidR="00A36773" w:rsidRPr="003D3532" w:rsidRDefault="00A36773" w:rsidP="00626408">
      <w:pPr>
        <w:pStyle w:val="ListParagraph"/>
        <w:numPr>
          <w:ilvl w:val="0"/>
          <w:numId w:val="60"/>
        </w:numPr>
        <w:ind w:left="720" w:firstLine="0"/>
        <w:rPr>
          <w:rFonts w:cs="Calibri"/>
          <w:b/>
          <w:bCs/>
          <w:sz w:val="20"/>
          <w:szCs w:val="20"/>
          <w:u w:val="single"/>
          <w:lang w:val="es-ES_tradnl"/>
        </w:rPr>
      </w:pPr>
      <w:r w:rsidRPr="003D3532">
        <w:rPr>
          <w:rFonts w:cs="Calibri"/>
          <w:sz w:val="20"/>
          <w:szCs w:val="20"/>
          <w:lang w:val="es-ES_tradnl"/>
        </w:rPr>
        <w:t>Luz Elena Jáuregui Basombrío</w:t>
      </w:r>
    </w:p>
    <w:p w14:paraId="1CB21561" w14:textId="08E11600" w:rsidR="00A36773" w:rsidRPr="003D3532" w:rsidRDefault="00A36773" w:rsidP="00626408">
      <w:pPr>
        <w:pStyle w:val="ListParagraph"/>
        <w:numPr>
          <w:ilvl w:val="0"/>
          <w:numId w:val="60"/>
        </w:numPr>
        <w:ind w:left="720" w:firstLine="0"/>
        <w:rPr>
          <w:rFonts w:cs="Calibri"/>
          <w:b/>
          <w:bCs/>
          <w:sz w:val="20"/>
          <w:szCs w:val="20"/>
          <w:u w:val="single"/>
          <w:lang w:val="es-ES_tradnl"/>
        </w:rPr>
      </w:pPr>
      <w:r w:rsidRPr="003D3532">
        <w:rPr>
          <w:rFonts w:cs="Calibri"/>
          <w:sz w:val="20"/>
          <w:szCs w:val="20"/>
          <w:lang w:val="es-ES_tradnl"/>
        </w:rPr>
        <w:t>Rosa María Cabello Arce</w:t>
      </w:r>
    </w:p>
    <w:p w14:paraId="3E15BD51" w14:textId="26445E56" w:rsidR="00A36773" w:rsidRPr="003D3532" w:rsidRDefault="00A36773" w:rsidP="00626408">
      <w:pPr>
        <w:pStyle w:val="ListParagraph"/>
        <w:numPr>
          <w:ilvl w:val="0"/>
          <w:numId w:val="60"/>
        </w:numPr>
        <w:ind w:left="720" w:firstLine="0"/>
        <w:rPr>
          <w:rFonts w:cs="Calibri"/>
          <w:b/>
          <w:bCs/>
          <w:sz w:val="20"/>
          <w:szCs w:val="20"/>
          <w:u w:val="single"/>
          <w:lang w:val="es-ES_tradnl"/>
        </w:rPr>
      </w:pPr>
      <w:r w:rsidRPr="003D3532">
        <w:rPr>
          <w:rFonts w:cs="Calibri"/>
          <w:sz w:val="20"/>
          <w:szCs w:val="20"/>
          <w:lang w:val="es-ES_tradnl"/>
        </w:rPr>
        <w:t>Hilda Sancarranco Cáceda</w:t>
      </w:r>
    </w:p>
    <w:p w14:paraId="27E3CC9B" w14:textId="1FEFBCC1" w:rsidR="00A36773" w:rsidRPr="003D3532" w:rsidRDefault="00A36773" w:rsidP="00626408">
      <w:pPr>
        <w:pStyle w:val="ListParagraph"/>
        <w:numPr>
          <w:ilvl w:val="0"/>
          <w:numId w:val="60"/>
        </w:numPr>
        <w:ind w:left="720" w:firstLine="0"/>
        <w:rPr>
          <w:rFonts w:cs="Calibri"/>
          <w:b/>
          <w:bCs/>
          <w:sz w:val="20"/>
          <w:szCs w:val="20"/>
          <w:u w:val="single"/>
          <w:lang w:val="es-ES_tradnl"/>
        </w:rPr>
      </w:pPr>
      <w:r w:rsidRPr="003D3532">
        <w:rPr>
          <w:rFonts w:cs="Calibri"/>
          <w:sz w:val="20"/>
          <w:szCs w:val="20"/>
          <w:lang w:val="es-ES_tradnl"/>
        </w:rPr>
        <w:t>Juana Torreblanca Núñez</w:t>
      </w:r>
    </w:p>
    <w:p w14:paraId="4B28EC6A" w14:textId="61F07CB6" w:rsidR="00A36773" w:rsidRPr="003D3532" w:rsidRDefault="00A36773" w:rsidP="00626408">
      <w:pPr>
        <w:pStyle w:val="ListParagraph"/>
        <w:numPr>
          <w:ilvl w:val="0"/>
          <w:numId w:val="60"/>
        </w:numPr>
        <w:ind w:left="720" w:firstLine="0"/>
        <w:rPr>
          <w:rFonts w:cs="Calibri"/>
          <w:b/>
          <w:bCs/>
          <w:sz w:val="20"/>
          <w:szCs w:val="20"/>
          <w:u w:val="single"/>
          <w:lang w:val="es-ES_tradnl"/>
        </w:rPr>
      </w:pPr>
      <w:r w:rsidRPr="003D3532">
        <w:rPr>
          <w:rFonts w:cs="Calibri"/>
          <w:sz w:val="20"/>
          <w:szCs w:val="20"/>
          <w:lang w:val="es-ES_tradnl"/>
        </w:rPr>
        <w:t>Ana Patricia Lau Deza</w:t>
      </w:r>
    </w:p>
    <w:p w14:paraId="61ED3864" w14:textId="3B3A4EAA" w:rsidR="00A36773" w:rsidRPr="003D3532" w:rsidRDefault="00A36773" w:rsidP="00626408">
      <w:pPr>
        <w:pStyle w:val="ListParagraph"/>
        <w:numPr>
          <w:ilvl w:val="0"/>
          <w:numId w:val="60"/>
        </w:numPr>
        <w:ind w:left="720" w:firstLine="0"/>
        <w:rPr>
          <w:rFonts w:cs="Calibri"/>
          <w:b/>
          <w:bCs/>
          <w:sz w:val="20"/>
          <w:szCs w:val="20"/>
          <w:u w:val="single"/>
          <w:lang w:val="es-ES_tradnl"/>
        </w:rPr>
      </w:pPr>
      <w:r w:rsidRPr="003D3532">
        <w:rPr>
          <w:rFonts w:cs="Calibri"/>
          <w:sz w:val="20"/>
          <w:szCs w:val="20"/>
          <w:lang w:val="es-ES_tradnl"/>
        </w:rPr>
        <w:t>Nancy Elizabeth Eyzaguirre Garate</w:t>
      </w:r>
    </w:p>
    <w:p w14:paraId="46E8B669" w14:textId="4996D56F" w:rsidR="00A36773" w:rsidRPr="003D3532" w:rsidRDefault="00A36773" w:rsidP="00626408">
      <w:pPr>
        <w:pStyle w:val="ListParagraph"/>
        <w:numPr>
          <w:ilvl w:val="0"/>
          <w:numId w:val="60"/>
        </w:numPr>
        <w:ind w:left="720" w:firstLine="0"/>
        <w:rPr>
          <w:rFonts w:cs="Calibri"/>
          <w:b/>
          <w:bCs/>
          <w:sz w:val="20"/>
          <w:szCs w:val="20"/>
          <w:u w:val="single"/>
          <w:lang w:val="es-ES_tradnl"/>
        </w:rPr>
      </w:pPr>
      <w:r w:rsidRPr="003D3532">
        <w:rPr>
          <w:rFonts w:cs="Calibri"/>
          <w:sz w:val="20"/>
          <w:szCs w:val="20"/>
          <w:lang w:val="es-ES_tradnl"/>
        </w:rPr>
        <w:t>María Rosario Niño Palomino de Villareal</w:t>
      </w:r>
    </w:p>
    <w:p w14:paraId="3A86D84B" w14:textId="5C86B26A" w:rsidR="00A36773" w:rsidRPr="003D3532" w:rsidRDefault="00A36773" w:rsidP="00626408">
      <w:pPr>
        <w:pStyle w:val="ListParagraph"/>
        <w:numPr>
          <w:ilvl w:val="0"/>
          <w:numId w:val="60"/>
        </w:numPr>
        <w:ind w:left="720" w:firstLine="0"/>
        <w:rPr>
          <w:rFonts w:cs="Calibri"/>
          <w:b/>
          <w:bCs/>
          <w:sz w:val="20"/>
          <w:szCs w:val="20"/>
          <w:u w:val="single"/>
          <w:lang w:val="es-ES_tradnl"/>
        </w:rPr>
      </w:pPr>
      <w:r w:rsidRPr="003D3532">
        <w:rPr>
          <w:rFonts w:cs="Calibri"/>
          <w:sz w:val="20"/>
          <w:szCs w:val="20"/>
          <w:lang w:val="es-ES_tradnl"/>
        </w:rPr>
        <w:t>Rose Mary Parra Rivera</w:t>
      </w:r>
    </w:p>
    <w:p w14:paraId="36776A05" w14:textId="538845EA" w:rsidR="003D7768" w:rsidRPr="003D3532" w:rsidRDefault="003D7768" w:rsidP="00626408">
      <w:pPr>
        <w:pStyle w:val="ListParagraph"/>
        <w:numPr>
          <w:ilvl w:val="0"/>
          <w:numId w:val="60"/>
        </w:numPr>
        <w:ind w:left="720" w:firstLine="0"/>
        <w:rPr>
          <w:rFonts w:cs="Calibri"/>
          <w:b/>
          <w:bCs/>
          <w:sz w:val="20"/>
          <w:szCs w:val="20"/>
          <w:u w:val="single"/>
          <w:lang w:val="es-US"/>
        </w:rPr>
      </w:pPr>
      <w:r w:rsidRPr="003D3532">
        <w:rPr>
          <w:rFonts w:cs="Calibri"/>
          <w:sz w:val="20"/>
          <w:szCs w:val="20"/>
          <w:lang w:val="es-ES_tradnl"/>
        </w:rPr>
        <w:t>Henr</w:t>
      </w:r>
      <w:r w:rsidRPr="003D3532">
        <w:rPr>
          <w:rFonts w:cs="Calibri"/>
          <w:sz w:val="20"/>
          <w:szCs w:val="20"/>
          <w:lang w:val="es-US"/>
        </w:rPr>
        <w:t>y Antonio Huerta Sáenz</w:t>
      </w:r>
    </w:p>
    <w:sectPr w:rsidR="003D7768" w:rsidRPr="003D353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84405" w14:textId="77777777" w:rsidR="00FC4FD8" w:rsidRDefault="00FC4FD8">
      <w:r>
        <w:separator/>
      </w:r>
    </w:p>
  </w:endnote>
  <w:endnote w:type="continuationSeparator" w:id="0">
    <w:p w14:paraId="720936DE" w14:textId="77777777" w:rsidR="00FC4FD8" w:rsidRDefault="00FC4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5412E" w14:textId="77777777" w:rsidR="00FC4FD8" w:rsidRPr="000F35ED" w:rsidRDefault="00FC4FD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6E9107F" w14:textId="77777777" w:rsidR="00FC4FD8" w:rsidRPr="000F35ED" w:rsidRDefault="00FC4FD8" w:rsidP="000F35ED">
      <w:pPr>
        <w:rPr>
          <w:rFonts w:asciiTheme="majorHAnsi" w:hAnsiTheme="majorHAnsi"/>
          <w:sz w:val="16"/>
          <w:szCs w:val="16"/>
        </w:rPr>
      </w:pPr>
      <w:r w:rsidRPr="000F35ED">
        <w:rPr>
          <w:rFonts w:asciiTheme="majorHAnsi" w:hAnsiTheme="majorHAnsi"/>
          <w:sz w:val="16"/>
          <w:szCs w:val="16"/>
        </w:rPr>
        <w:separator/>
      </w:r>
    </w:p>
    <w:p w14:paraId="062A89D1" w14:textId="77777777" w:rsidR="00FC4FD8" w:rsidRPr="000F35ED" w:rsidRDefault="00FC4FD8"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AD826C4" w14:textId="77777777" w:rsidR="00FC4FD8" w:rsidRPr="000F35ED" w:rsidRDefault="00FC4FD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A162D22" w14:textId="77777777" w:rsidR="00F72671" w:rsidRPr="001E082D" w:rsidRDefault="00F72671" w:rsidP="00BD163D">
      <w:pPr>
        <w:pStyle w:val="FootnoteText"/>
        <w:ind w:firstLine="720"/>
        <w:jc w:val="both"/>
        <w:rPr>
          <w:rFonts w:asciiTheme="majorHAnsi" w:hAnsiTheme="majorHAnsi"/>
          <w:sz w:val="16"/>
          <w:szCs w:val="16"/>
          <w:lang w:val="es-ES"/>
        </w:rPr>
      </w:pPr>
      <w:r w:rsidRPr="001E082D">
        <w:rPr>
          <w:rStyle w:val="FootnoteReference"/>
          <w:rFonts w:asciiTheme="majorHAnsi" w:hAnsiTheme="majorHAnsi"/>
          <w:sz w:val="16"/>
          <w:szCs w:val="16"/>
        </w:rPr>
        <w:footnoteRef/>
      </w:r>
      <w:r w:rsidRPr="001E082D">
        <w:rPr>
          <w:rFonts w:asciiTheme="majorHAnsi" w:hAnsiTheme="majorHAnsi"/>
          <w:sz w:val="16"/>
          <w:szCs w:val="16"/>
          <w:lang w:val="es-ES"/>
        </w:rPr>
        <w:t xml:space="preserve"> Conforme a lo dispuesto en el artículo 17.2.a del Reglamento de la Comisión, la Comisionada Julissa Mantilla Falcón, de nacionalidad peruana, no participó en el debate ni en la decisión del presente asunto.</w:t>
      </w:r>
    </w:p>
  </w:footnote>
  <w:footnote w:id="3">
    <w:p w14:paraId="4FCFC27B" w14:textId="77777777" w:rsidR="003E53E8" w:rsidRPr="001E082D" w:rsidRDefault="003E53E8" w:rsidP="00BD163D">
      <w:pPr>
        <w:pStyle w:val="FootnoteText"/>
        <w:ind w:firstLine="720"/>
        <w:jc w:val="both"/>
        <w:rPr>
          <w:rFonts w:asciiTheme="majorHAnsi" w:hAnsiTheme="majorHAnsi"/>
          <w:color w:val="000000" w:themeColor="text1"/>
          <w:sz w:val="16"/>
          <w:szCs w:val="16"/>
          <w:lang w:val="es-ES"/>
        </w:rPr>
      </w:pPr>
      <w:r w:rsidRPr="001E082D">
        <w:rPr>
          <w:rStyle w:val="FootnoteReference"/>
          <w:rFonts w:asciiTheme="majorHAnsi" w:hAnsiTheme="majorHAnsi"/>
          <w:sz w:val="16"/>
          <w:szCs w:val="16"/>
        </w:rPr>
        <w:footnoteRef/>
      </w:r>
      <w:r w:rsidRPr="001E082D">
        <w:rPr>
          <w:rFonts w:asciiTheme="majorHAnsi" w:hAnsiTheme="majorHAnsi"/>
          <w:sz w:val="16"/>
          <w:szCs w:val="16"/>
          <w:lang w:val="es-ES"/>
        </w:rPr>
        <w:t xml:space="preserve"> En adelante “la Convención Americana” o “la Convención”</w:t>
      </w:r>
    </w:p>
  </w:footnote>
  <w:footnote w:id="4">
    <w:p w14:paraId="1AFEF3B0" w14:textId="02CC02DD" w:rsidR="008E3BFE" w:rsidRPr="001E082D" w:rsidRDefault="008E3BFE" w:rsidP="00BD163D">
      <w:pPr>
        <w:pStyle w:val="FootnoteText"/>
        <w:ind w:firstLine="720"/>
        <w:jc w:val="both"/>
        <w:rPr>
          <w:rFonts w:asciiTheme="majorHAnsi" w:hAnsiTheme="majorHAnsi"/>
          <w:sz w:val="16"/>
          <w:szCs w:val="16"/>
          <w:lang w:val="es-ES"/>
        </w:rPr>
      </w:pPr>
      <w:r w:rsidRPr="001E082D">
        <w:rPr>
          <w:rStyle w:val="FootnoteReference"/>
          <w:rFonts w:asciiTheme="majorHAnsi" w:hAnsiTheme="majorHAnsi"/>
          <w:sz w:val="16"/>
          <w:szCs w:val="16"/>
        </w:rPr>
        <w:footnoteRef/>
      </w:r>
      <w:r w:rsidRPr="001E082D">
        <w:rPr>
          <w:rFonts w:asciiTheme="majorHAnsi" w:hAnsiTheme="majorHAnsi"/>
          <w:sz w:val="16"/>
          <w:szCs w:val="16"/>
          <w:lang w:val="es-ES"/>
        </w:rPr>
        <w:t xml:space="preserve"> Las observaciones de cada parte fueron debidamente trasladadas a la parte contraria.</w:t>
      </w:r>
      <w:r w:rsidR="009A56CE" w:rsidRPr="001E082D">
        <w:rPr>
          <w:rFonts w:asciiTheme="majorHAnsi" w:hAnsiTheme="majorHAnsi"/>
          <w:sz w:val="16"/>
          <w:szCs w:val="16"/>
          <w:lang w:val="es-ES"/>
        </w:rPr>
        <w:t xml:space="preserve"> </w:t>
      </w:r>
    </w:p>
  </w:footnote>
  <w:footnote w:id="5">
    <w:p w14:paraId="1BDAAC91" w14:textId="3C2AE963" w:rsidR="009F4570" w:rsidRPr="001E082D" w:rsidRDefault="009F4570" w:rsidP="00BD163D">
      <w:pPr>
        <w:pStyle w:val="FootnoteText"/>
        <w:ind w:firstLine="720"/>
        <w:jc w:val="both"/>
        <w:rPr>
          <w:rFonts w:asciiTheme="majorHAnsi" w:hAnsiTheme="majorHAnsi"/>
          <w:sz w:val="16"/>
          <w:szCs w:val="16"/>
          <w:lang w:val="es-ES"/>
        </w:rPr>
      </w:pPr>
      <w:r w:rsidRPr="001E082D">
        <w:rPr>
          <w:rStyle w:val="FootnoteReference"/>
          <w:rFonts w:asciiTheme="majorHAnsi" w:hAnsiTheme="majorHAnsi"/>
          <w:sz w:val="16"/>
          <w:szCs w:val="16"/>
        </w:rPr>
        <w:footnoteRef/>
      </w:r>
      <w:r w:rsidRPr="001E082D">
        <w:rPr>
          <w:rFonts w:asciiTheme="majorHAnsi" w:hAnsiTheme="majorHAnsi"/>
          <w:sz w:val="16"/>
          <w:szCs w:val="16"/>
          <w:lang w:val="es-ES"/>
        </w:rPr>
        <w:t xml:space="preserve"> </w:t>
      </w:r>
      <w:r w:rsidR="004E771F" w:rsidRPr="001E082D">
        <w:rPr>
          <w:rFonts w:asciiTheme="majorHAnsi" w:hAnsiTheme="majorHAnsi"/>
          <w:sz w:val="16"/>
          <w:szCs w:val="16"/>
          <w:lang w:val="es-ES"/>
        </w:rPr>
        <w:t>Conforme a lo señalado por la parte peticionaria,</w:t>
      </w:r>
      <w:r w:rsidR="003D172F" w:rsidRPr="001E082D">
        <w:rPr>
          <w:rFonts w:asciiTheme="majorHAnsi" w:hAnsiTheme="majorHAnsi"/>
          <w:sz w:val="16"/>
          <w:szCs w:val="16"/>
          <w:lang w:val="es-ES"/>
        </w:rPr>
        <w:t xml:space="preserve"> </w:t>
      </w:r>
      <w:r w:rsidR="004E771F" w:rsidRPr="001E082D">
        <w:rPr>
          <w:rFonts w:asciiTheme="majorHAnsi" w:hAnsiTheme="majorHAnsi"/>
          <w:sz w:val="16"/>
          <w:szCs w:val="16"/>
          <w:lang w:val="es-ES"/>
        </w:rPr>
        <w:t>l</w:t>
      </w:r>
      <w:r w:rsidRPr="001E082D">
        <w:rPr>
          <w:rFonts w:asciiTheme="majorHAnsi" w:hAnsiTheme="majorHAnsi"/>
          <w:sz w:val="16"/>
          <w:szCs w:val="16"/>
          <w:lang w:val="es-ES_tradnl"/>
        </w:rPr>
        <w:t xml:space="preserve">a ANMP constituye una persona jurídica de derecho privado que tiene por finalidad velar por el respeto y la dignidad de la función judicial, para lo cual está integrada por </w:t>
      </w:r>
      <w:r w:rsidR="00F30723" w:rsidRPr="001E082D">
        <w:rPr>
          <w:rFonts w:asciiTheme="majorHAnsi" w:hAnsiTheme="majorHAnsi"/>
          <w:sz w:val="16"/>
          <w:szCs w:val="16"/>
          <w:lang w:val="es-ES_tradnl"/>
        </w:rPr>
        <w:t>magistrad</w:t>
      </w:r>
      <w:r w:rsidR="004B1D9F" w:rsidRPr="001E082D">
        <w:rPr>
          <w:rFonts w:asciiTheme="majorHAnsi" w:hAnsiTheme="majorHAnsi"/>
          <w:sz w:val="16"/>
          <w:szCs w:val="16"/>
          <w:lang w:val="es-ES_tradnl"/>
        </w:rPr>
        <w:t>os</w:t>
      </w:r>
      <w:r w:rsidRPr="001E082D">
        <w:rPr>
          <w:rFonts w:asciiTheme="majorHAnsi" w:hAnsiTheme="majorHAnsi"/>
          <w:sz w:val="16"/>
          <w:szCs w:val="16"/>
          <w:lang w:val="es-ES_tradnl"/>
        </w:rPr>
        <w:t xml:space="preserve"> en actividad, cesad</w:t>
      </w:r>
      <w:r w:rsidR="00F30723" w:rsidRPr="001E082D">
        <w:rPr>
          <w:rFonts w:asciiTheme="majorHAnsi" w:hAnsiTheme="majorHAnsi"/>
          <w:sz w:val="16"/>
          <w:szCs w:val="16"/>
          <w:lang w:val="es-ES_tradnl"/>
        </w:rPr>
        <w:t>os</w:t>
      </w:r>
      <w:r w:rsidRPr="001E082D">
        <w:rPr>
          <w:rFonts w:asciiTheme="majorHAnsi" w:hAnsiTheme="majorHAnsi"/>
          <w:sz w:val="16"/>
          <w:szCs w:val="16"/>
          <w:lang w:val="es-ES_tradnl"/>
        </w:rPr>
        <w:t xml:space="preserve"> y jubilad</w:t>
      </w:r>
      <w:r w:rsidR="00F30723" w:rsidRPr="001E082D">
        <w:rPr>
          <w:rFonts w:asciiTheme="majorHAnsi" w:hAnsiTheme="majorHAnsi"/>
          <w:sz w:val="16"/>
          <w:szCs w:val="16"/>
          <w:lang w:val="es-ES_tradnl"/>
        </w:rPr>
        <w:t>o</w:t>
      </w:r>
      <w:r w:rsidRPr="001E082D">
        <w:rPr>
          <w:rFonts w:asciiTheme="majorHAnsi" w:hAnsiTheme="majorHAnsi"/>
          <w:sz w:val="16"/>
          <w:szCs w:val="16"/>
          <w:lang w:val="es-ES_tradnl"/>
        </w:rPr>
        <w:t>s</w:t>
      </w:r>
      <w:r w:rsidR="00E22F7A" w:rsidRPr="001E082D">
        <w:rPr>
          <w:rFonts w:asciiTheme="majorHAnsi" w:hAnsiTheme="majorHAnsi"/>
          <w:sz w:val="16"/>
          <w:szCs w:val="16"/>
          <w:lang w:val="es-ES_tradnl"/>
        </w:rPr>
        <w:t>.</w:t>
      </w:r>
    </w:p>
  </w:footnote>
  <w:footnote w:id="6">
    <w:p w14:paraId="67690A68" w14:textId="77777777" w:rsidR="009811A4" w:rsidRPr="001E082D" w:rsidRDefault="009811A4" w:rsidP="00BD163D">
      <w:pPr>
        <w:pStyle w:val="FootnoteText"/>
        <w:ind w:firstLine="720"/>
        <w:jc w:val="both"/>
        <w:rPr>
          <w:rFonts w:asciiTheme="majorHAnsi" w:hAnsiTheme="majorHAnsi"/>
          <w:sz w:val="16"/>
          <w:szCs w:val="16"/>
          <w:lang w:val="es-ES"/>
        </w:rPr>
      </w:pPr>
      <w:r w:rsidRPr="001E082D">
        <w:rPr>
          <w:rStyle w:val="FootnoteReference"/>
          <w:rFonts w:asciiTheme="majorHAnsi" w:hAnsiTheme="majorHAnsi"/>
          <w:sz w:val="16"/>
          <w:szCs w:val="16"/>
        </w:rPr>
        <w:footnoteRef/>
      </w:r>
      <w:r w:rsidRPr="001E082D">
        <w:rPr>
          <w:rFonts w:asciiTheme="majorHAnsi" w:hAnsiTheme="majorHAnsi"/>
          <w:sz w:val="16"/>
          <w:szCs w:val="16"/>
          <w:lang w:val="es-ES"/>
        </w:rPr>
        <w:t xml:space="preserve"> En concreto, el Estado sostiene que 1) Jaime David Abanto Torres, 2) Graciela Esther Llano Chávez, 3) Ronald Mixan Álvarez, 4) Milagros Álvarez Echarri, 5) Carlos Alfredo Escobar Antezano, 6) Aracely Denyse Baca Cabrera, 7) Elvira María Álvarez Olazabal, 8) Germán Alejandro Aguirre Salinas, 9) Miguel Ángel Benito Rivera Gamboa, 10) Luz Elena Jáuregui Basombrío, 11) Rosa María Cabello Arce, 12) Hilda Sancarranco Cáceda, 13) Nancy Elizabeth Eyzaguirre Garate y 14) María Rosario Niño Palomino de Villareal también son identificadas como presuntas víctimas en la P-1299-13.</w:t>
      </w:r>
    </w:p>
  </w:footnote>
  <w:footnote w:id="7">
    <w:p w14:paraId="2C908CD5" w14:textId="77777777" w:rsidR="004B0CD6" w:rsidRPr="001E082D" w:rsidRDefault="004B0CD6" w:rsidP="00BD163D">
      <w:pPr>
        <w:pStyle w:val="FootnoteText"/>
        <w:ind w:firstLine="720"/>
        <w:jc w:val="both"/>
        <w:rPr>
          <w:rFonts w:asciiTheme="majorHAnsi" w:hAnsiTheme="majorHAnsi"/>
          <w:sz w:val="16"/>
          <w:szCs w:val="16"/>
          <w:lang w:val="es-ES"/>
        </w:rPr>
      </w:pPr>
      <w:r w:rsidRPr="001E082D">
        <w:rPr>
          <w:rStyle w:val="FootnoteReference"/>
          <w:rFonts w:asciiTheme="majorHAnsi" w:hAnsiTheme="majorHAnsi"/>
          <w:sz w:val="16"/>
          <w:szCs w:val="16"/>
          <w:lang w:val="es-ES"/>
        </w:rPr>
        <w:footnoteRef/>
      </w:r>
      <w:r w:rsidRPr="001E082D">
        <w:rPr>
          <w:rFonts w:asciiTheme="majorHAnsi" w:hAnsiTheme="majorHAnsi"/>
          <w:sz w:val="16"/>
          <w:szCs w:val="16"/>
          <w:lang w:val="es-ES"/>
        </w:rPr>
        <w:t xml:space="preserve"> CIDH, Informe No. 67/15, Petición 211-07. Admisibilidad. Jorge Marcial Tzompaxtle Tecpile y otros. México. 27 de octubre de 2015, párr. 34.</w:t>
      </w:r>
    </w:p>
  </w:footnote>
  <w:footnote w:id="8">
    <w:p w14:paraId="6BD3568F" w14:textId="77777777" w:rsidR="00742875" w:rsidRPr="001E082D" w:rsidRDefault="00742875" w:rsidP="00742875">
      <w:pPr>
        <w:pStyle w:val="FootnoteText"/>
        <w:ind w:firstLine="720"/>
        <w:rPr>
          <w:rFonts w:asciiTheme="majorHAnsi" w:hAnsiTheme="majorHAnsi"/>
          <w:sz w:val="16"/>
          <w:szCs w:val="16"/>
          <w:lang w:val="es-ES"/>
        </w:rPr>
      </w:pPr>
      <w:r w:rsidRPr="001E082D">
        <w:rPr>
          <w:rStyle w:val="FootnoteReference"/>
          <w:rFonts w:asciiTheme="majorHAnsi" w:hAnsiTheme="majorHAnsi"/>
          <w:sz w:val="16"/>
          <w:szCs w:val="16"/>
        </w:rPr>
        <w:footnoteRef/>
      </w:r>
      <w:r w:rsidRPr="001E082D">
        <w:rPr>
          <w:rFonts w:asciiTheme="majorHAnsi" w:hAnsiTheme="majorHAnsi"/>
          <w:sz w:val="16"/>
          <w:szCs w:val="16"/>
          <w:lang w:val="es-ES"/>
        </w:rPr>
        <w:t xml:space="preserve"> CIDH, Informe No. 70/04, Petición 667/01, Admisibilidad, Jesús Manuel Naranjo Cárdenas y otros, Jubilados de la empresa venezolana de aviación VIASA. Venezuela, 15 de octubre de 2004, párr. 52.</w:t>
      </w:r>
    </w:p>
  </w:footnote>
  <w:footnote w:id="9">
    <w:p w14:paraId="024C3140" w14:textId="6137CD9E" w:rsidR="008119BC" w:rsidRPr="001E082D" w:rsidRDefault="008119BC" w:rsidP="008119BC">
      <w:pPr>
        <w:pStyle w:val="FootnoteText"/>
        <w:ind w:firstLine="720"/>
        <w:rPr>
          <w:rFonts w:asciiTheme="majorHAnsi" w:hAnsiTheme="majorHAnsi"/>
          <w:sz w:val="16"/>
          <w:szCs w:val="16"/>
          <w:lang w:val="es-US"/>
        </w:rPr>
      </w:pPr>
      <w:r w:rsidRPr="001E082D">
        <w:rPr>
          <w:rStyle w:val="FootnoteReference"/>
          <w:rFonts w:asciiTheme="majorHAnsi" w:hAnsiTheme="majorHAnsi"/>
          <w:sz w:val="16"/>
          <w:szCs w:val="16"/>
        </w:rPr>
        <w:footnoteRef/>
      </w:r>
      <w:r w:rsidRPr="001E082D">
        <w:rPr>
          <w:rFonts w:asciiTheme="majorHAnsi" w:hAnsiTheme="majorHAnsi"/>
          <w:sz w:val="16"/>
          <w:szCs w:val="16"/>
          <w:lang w:val="es-US"/>
        </w:rPr>
        <w:t xml:space="preserve"> CIDH, Informe No. 106/10, Petición 147-98. Admisibilidad. Oscar Muelle Flores. Perú. 16 de julio de 2010, párr. 29.</w:t>
      </w:r>
    </w:p>
  </w:footnote>
  <w:footnote w:id="10">
    <w:p w14:paraId="5BF5A29D" w14:textId="77777777" w:rsidR="004F476B" w:rsidRPr="001E082D" w:rsidRDefault="004F476B" w:rsidP="004F476B">
      <w:pPr>
        <w:pStyle w:val="FootnoteText"/>
        <w:ind w:firstLine="720"/>
        <w:rPr>
          <w:rFonts w:asciiTheme="majorHAnsi" w:hAnsiTheme="majorHAnsi"/>
          <w:sz w:val="16"/>
          <w:szCs w:val="16"/>
          <w:lang w:val="es-MX"/>
        </w:rPr>
      </w:pPr>
      <w:r w:rsidRPr="001E082D">
        <w:rPr>
          <w:rStyle w:val="FootnoteReference"/>
          <w:rFonts w:asciiTheme="majorHAnsi" w:hAnsiTheme="majorHAnsi"/>
          <w:sz w:val="16"/>
          <w:szCs w:val="16"/>
        </w:rPr>
        <w:footnoteRef/>
      </w:r>
      <w:r w:rsidRPr="001E082D">
        <w:rPr>
          <w:rFonts w:asciiTheme="majorHAnsi" w:hAnsiTheme="majorHAnsi"/>
          <w:sz w:val="16"/>
          <w:szCs w:val="16"/>
          <w:lang w:val="es-MX"/>
        </w:rPr>
        <w:t xml:space="preserve"> </w:t>
      </w:r>
      <w:r w:rsidRPr="001E082D">
        <w:rPr>
          <w:rFonts w:asciiTheme="majorHAnsi" w:hAnsiTheme="majorHAnsi"/>
          <w:sz w:val="16"/>
          <w:szCs w:val="16"/>
          <w:lang w:val="es-ES"/>
        </w:rPr>
        <w:t>CIDH, Informe N° 14/08, Petición 652-04. Admisibilidad. Hugo Humberto Ruíz Fuentes. Guatemala. 5 de marzo de 2008, párr. 68.</w:t>
      </w:r>
    </w:p>
  </w:footnote>
  <w:footnote w:id="11">
    <w:p w14:paraId="796C5AB7" w14:textId="77777777" w:rsidR="004F476B" w:rsidRPr="001E082D" w:rsidRDefault="004F476B" w:rsidP="004F476B">
      <w:pPr>
        <w:pStyle w:val="FootnoteText"/>
        <w:ind w:firstLine="720"/>
        <w:rPr>
          <w:rFonts w:asciiTheme="majorHAnsi" w:hAnsiTheme="majorHAnsi"/>
          <w:sz w:val="16"/>
          <w:szCs w:val="16"/>
          <w:lang w:val="es-ES"/>
        </w:rPr>
      </w:pPr>
      <w:r w:rsidRPr="001E082D">
        <w:rPr>
          <w:rStyle w:val="FootnoteReference"/>
          <w:rFonts w:asciiTheme="majorHAnsi" w:hAnsiTheme="majorHAnsi"/>
          <w:sz w:val="16"/>
          <w:szCs w:val="16"/>
        </w:rPr>
        <w:footnoteRef/>
      </w:r>
      <w:r w:rsidRPr="001E082D">
        <w:rPr>
          <w:rFonts w:asciiTheme="majorHAnsi" w:hAnsiTheme="majorHAnsi"/>
          <w:sz w:val="16"/>
          <w:szCs w:val="16"/>
          <w:lang w:val="es-SV"/>
        </w:rPr>
        <w:t xml:space="preserve"> </w:t>
      </w:r>
      <w:r w:rsidRPr="001E082D">
        <w:rPr>
          <w:rFonts w:asciiTheme="majorHAnsi" w:hAnsiTheme="majorHAnsi"/>
          <w:sz w:val="16"/>
          <w:szCs w:val="16"/>
          <w:lang w:val="es-ES"/>
        </w:rPr>
        <w:t>Corte Interamericana de Derechos Humanos, Velásquez Rodríguez vs Honduras, Excepciones preliminares, sentencia del 26 de junio de 1987, párr. 93</w:t>
      </w:r>
    </w:p>
  </w:footnote>
  <w:footnote w:id="12">
    <w:p w14:paraId="1AED7CBC" w14:textId="77777777" w:rsidR="00F569AD" w:rsidRPr="001E082D" w:rsidRDefault="00F569AD" w:rsidP="00BD163D">
      <w:pPr>
        <w:pStyle w:val="FootnoteText"/>
        <w:ind w:firstLine="720"/>
        <w:jc w:val="both"/>
        <w:rPr>
          <w:rFonts w:asciiTheme="majorHAnsi" w:hAnsiTheme="majorHAnsi"/>
          <w:sz w:val="16"/>
          <w:szCs w:val="16"/>
          <w:lang w:val="es-ES"/>
        </w:rPr>
      </w:pPr>
      <w:r w:rsidRPr="001E082D">
        <w:rPr>
          <w:rStyle w:val="FootnoteReference"/>
          <w:rFonts w:asciiTheme="majorHAnsi" w:hAnsiTheme="majorHAnsi"/>
          <w:sz w:val="16"/>
          <w:szCs w:val="16"/>
        </w:rPr>
        <w:footnoteRef/>
      </w:r>
      <w:r w:rsidRPr="001E082D">
        <w:rPr>
          <w:rFonts w:asciiTheme="majorHAnsi" w:hAnsiTheme="majorHAnsi"/>
          <w:sz w:val="16"/>
          <w:szCs w:val="16"/>
          <w:lang w:val="es-ES"/>
        </w:rPr>
        <w:t xml:space="preserve"> CIDH, Informe No. 143/18, Petición 940-08. Admisibilidad. Luis Américo Ayala Gonzales. Perú. 4 de diciembre de 2018, párr. 12.</w:t>
      </w:r>
    </w:p>
  </w:footnote>
  <w:footnote w:id="13">
    <w:p w14:paraId="5A489CFA" w14:textId="77777777" w:rsidR="00280532" w:rsidRPr="001E082D" w:rsidRDefault="00280532" w:rsidP="00280532">
      <w:pPr>
        <w:pStyle w:val="FootnoteText"/>
        <w:ind w:firstLine="720"/>
        <w:jc w:val="both"/>
        <w:rPr>
          <w:rFonts w:asciiTheme="majorHAnsi" w:hAnsiTheme="majorHAnsi"/>
          <w:sz w:val="16"/>
          <w:szCs w:val="16"/>
          <w:lang w:val="es-ES"/>
        </w:rPr>
      </w:pPr>
      <w:r w:rsidRPr="001E082D">
        <w:rPr>
          <w:rStyle w:val="FootnoteReference"/>
          <w:rFonts w:asciiTheme="majorHAnsi" w:hAnsiTheme="majorHAnsi"/>
          <w:sz w:val="16"/>
          <w:szCs w:val="16"/>
        </w:rPr>
        <w:footnoteRef/>
      </w:r>
      <w:r w:rsidRPr="001E082D">
        <w:rPr>
          <w:rFonts w:asciiTheme="majorHAnsi" w:hAnsiTheme="majorHAnsi"/>
          <w:sz w:val="16"/>
          <w:szCs w:val="16"/>
          <w:lang w:val="es-ES"/>
        </w:rPr>
        <w:t xml:space="preserve"> Corte IDH. Caso Acevedo Buendía y otros (“Cesantes y Jubilados de la Contraloría”) Vs. Perú. Excepción Preliminar, Fondo, Reparaciones y Costas. Sentencia de 1 de julio de 2009. Serie C No. 198, párr. 103; y Comité de Derechos Económicos, Sociales y Culturales. Observación general N° 23, sobre el derecho a condiciones de trabajo equitativas y satisfactorias. 27 de abril de 2016, párr. 52. </w:t>
      </w:r>
    </w:p>
  </w:footnote>
  <w:footnote w:id="14">
    <w:p w14:paraId="2EBB0919" w14:textId="77777777" w:rsidR="00280532" w:rsidRPr="001E082D" w:rsidRDefault="00280532" w:rsidP="00280532">
      <w:pPr>
        <w:pStyle w:val="FootnoteText"/>
        <w:ind w:firstLine="720"/>
        <w:rPr>
          <w:rFonts w:asciiTheme="majorHAnsi" w:hAnsiTheme="majorHAnsi"/>
          <w:sz w:val="16"/>
          <w:szCs w:val="16"/>
          <w:lang w:val="es-ES"/>
        </w:rPr>
      </w:pPr>
      <w:r w:rsidRPr="001E082D">
        <w:rPr>
          <w:rStyle w:val="FootnoteReference"/>
          <w:rFonts w:asciiTheme="majorHAnsi" w:hAnsiTheme="majorHAnsi"/>
          <w:sz w:val="16"/>
          <w:szCs w:val="16"/>
        </w:rPr>
        <w:footnoteRef/>
      </w:r>
      <w:r w:rsidRPr="001E082D">
        <w:rPr>
          <w:rFonts w:asciiTheme="majorHAnsi" w:hAnsiTheme="majorHAnsi"/>
          <w:sz w:val="16"/>
          <w:szCs w:val="16"/>
          <w:lang w:val="es-ES"/>
        </w:rPr>
        <w:t xml:space="preserve"> Comité de Derechos Económicos, Sociales y Culturales. Observación general N° 23, sobre el derecho a condiciones de trabajo equitativas y satisfactorias. 27 de abril de 2016, párr. 52.</w:t>
      </w:r>
    </w:p>
  </w:footnote>
  <w:footnote w:id="15">
    <w:p w14:paraId="5858DB99" w14:textId="77777777" w:rsidR="00280532" w:rsidRPr="001E082D" w:rsidRDefault="00280532" w:rsidP="00280532">
      <w:pPr>
        <w:pStyle w:val="FootnoteText"/>
        <w:ind w:firstLine="720"/>
        <w:rPr>
          <w:rFonts w:asciiTheme="majorHAnsi" w:hAnsiTheme="majorHAnsi"/>
          <w:sz w:val="16"/>
          <w:szCs w:val="16"/>
          <w:lang w:val="es-ES"/>
        </w:rPr>
      </w:pPr>
      <w:r w:rsidRPr="001E082D">
        <w:rPr>
          <w:rStyle w:val="FootnoteReference"/>
          <w:rFonts w:asciiTheme="majorHAnsi" w:hAnsiTheme="majorHAnsi"/>
          <w:sz w:val="16"/>
          <w:szCs w:val="16"/>
        </w:rPr>
        <w:footnoteRef/>
      </w:r>
      <w:r w:rsidRPr="001E082D">
        <w:rPr>
          <w:rFonts w:asciiTheme="majorHAnsi" w:hAnsiTheme="majorHAnsi"/>
          <w:sz w:val="16"/>
          <w:szCs w:val="16"/>
          <w:lang w:val="es-ES"/>
        </w:rPr>
        <w:t xml:space="preserve"> CIDH. Informe de Admisibilidad y Fondo No. 38/09, Caso 12.670, Asociación Nacional de Ex Servidores del Instituto Peruano de Seguridad Social y Otras Vs. Perú. 27 de marzo de 2009, párrs. 140 a 147.</w:t>
      </w:r>
    </w:p>
  </w:footnote>
  <w:footnote w:id="16">
    <w:p w14:paraId="1071F641" w14:textId="2E7C6745" w:rsidR="00783266" w:rsidRPr="001E082D" w:rsidRDefault="00783266" w:rsidP="00BD163D">
      <w:pPr>
        <w:pStyle w:val="FootnoteText"/>
        <w:ind w:firstLine="720"/>
        <w:jc w:val="both"/>
        <w:rPr>
          <w:rFonts w:asciiTheme="majorHAnsi" w:hAnsiTheme="majorHAnsi"/>
          <w:sz w:val="16"/>
          <w:szCs w:val="16"/>
          <w:lang w:val="es-ES"/>
        </w:rPr>
      </w:pPr>
      <w:r w:rsidRPr="001E082D">
        <w:rPr>
          <w:rStyle w:val="FootnoteReference"/>
          <w:rFonts w:asciiTheme="majorHAnsi" w:hAnsiTheme="majorHAnsi"/>
          <w:sz w:val="16"/>
          <w:szCs w:val="16"/>
        </w:rPr>
        <w:footnoteRef/>
      </w:r>
      <w:r w:rsidRPr="001E082D">
        <w:rPr>
          <w:rFonts w:asciiTheme="majorHAnsi" w:hAnsiTheme="majorHAnsi"/>
          <w:sz w:val="16"/>
          <w:szCs w:val="16"/>
          <w:lang w:val="es-ES"/>
        </w:rPr>
        <w:t xml:space="preserve"> CIDH. Garantías para la independencia de las y los operadores de justicia: hacia el fortalecimiento del acceso a la justicia y el estado de derecho en las Américas. 5 de diciembre de 2013, párr. 128.</w:t>
      </w:r>
    </w:p>
  </w:footnote>
  <w:footnote w:id="17">
    <w:p w14:paraId="057FAF1A" w14:textId="77777777" w:rsidR="00F569AD" w:rsidRPr="001E082D" w:rsidRDefault="00F569AD" w:rsidP="00BD163D">
      <w:pPr>
        <w:pStyle w:val="FootnoteText"/>
        <w:ind w:firstLine="720"/>
        <w:jc w:val="both"/>
        <w:rPr>
          <w:rFonts w:asciiTheme="majorHAnsi" w:hAnsiTheme="majorHAnsi"/>
          <w:sz w:val="16"/>
          <w:szCs w:val="16"/>
          <w:lang w:val="es-ES"/>
        </w:rPr>
      </w:pPr>
      <w:r w:rsidRPr="001E082D">
        <w:rPr>
          <w:rStyle w:val="FootnoteReference"/>
          <w:rFonts w:asciiTheme="majorHAnsi" w:hAnsiTheme="majorHAnsi"/>
          <w:sz w:val="16"/>
          <w:szCs w:val="16"/>
        </w:rPr>
        <w:footnoteRef/>
      </w:r>
      <w:r w:rsidRPr="001E082D">
        <w:rPr>
          <w:rFonts w:asciiTheme="majorHAnsi" w:hAnsiTheme="majorHAnsi"/>
          <w:sz w:val="16"/>
          <w:szCs w:val="16"/>
          <w:lang w:val="es-ES"/>
        </w:rPr>
        <w:t xml:space="preserve"> CIDH. Garantías para la independencia de las y los operadores de justicia: hacia el fortalecimiento del acceso a la justicia y el estado de derecho en las Américas. 5 de diciembre de 2013, párr. 130.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A54222" w:rsidP="00A50FCF">
    <w:pPr>
      <w:pStyle w:val="Header"/>
      <w:tabs>
        <w:tab w:val="clear" w:pos="4320"/>
        <w:tab w:val="clear" w:pos="8640"/>
      </w:tabs>
      <w:jc w:val="center"/>
      <w:rPr>
        <w:sz w:val="22"/>
        <w:szCs w:val="22"/>
      </w:rPr>
    </w:pPr>
    <w:r>
      <w:rPr>
        <w:noProof/>
        <w:sz w:val="22"/>
        <w:szCs w:val="22"/>
        <w:bdr w:val="nil"/>
      </w:rPr>
      <w:pict w14:anchorId="43C7E6A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4AECD0C0"/>
    <w:lvl w:ilvl="0" w:tplc="F1F61618">
      <w:start w:val="1"/>
      <w:numFmt w:val="decimal"/>
      <w:lvlText w:val="%1."/>
      <w:lvlJc w:val="left"/>
      <w:pPr>
        <w:tabs>
          <w:tab w:val="num" w:pos="720"/>
        </w:tabs>
        <w:ind w:left="0" w:firstLine="720"/>
      </w:pPr>
      <w:rPr>
        <w:rFonts w:ascii="Cambria" w:hAnsi="Cambria" w:hint="default"/>
        <w:b w:val="0"/>
        <w:bCs w:val="0"/>
        <w:i w:val="0"/>
        <w:iCs w:val="0"/>
        <w:color w:val="auto"/>
        <w:sz w:val="20"/>
        <w:szCs w:val="20"/>
        <w:lang w:val="es-ES_tradn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6BF3671"/>
    <w:multiLevelType w:val="hybridMultilevel"/>
    <w:tmpl w:val="2892AEF2"/>
    <w:lvl w:ilvl="0" w:tplc="1E1A10BA">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611DDC"/>
    <w:multiLevelType w:val="hybridMultilevel"/>
    <w:tmpl w:val="EDB026A6"/>
    <w:lvl w:ilvl="0" w:tplc="FFFFFFFF">
      <w:start w:val="1"/>
      <w:numFmt w:val="decimal"/>
      <w:lvlText w:val="%1."/>
      <w:lvlJc w:val="left"/>
      <w:pPr>
        <w:tabs>
          <w:tab w:val="num" w:pos="720"/>
        </w:tabs>
        <w:ind w:left="0" w:firstLine="720"/>
      </w:pPr>
      <w:rPr>
        <w:rFonts w:ascii="Cambria" w:hAnsi="Cambria" w:hint="default"/>
        <w:b w:val="0"/>
        <w:bCs w:val="0"/>
        <w:i w:val="0"/>
        <w:iCs w:val="0"/>
        <w:color w:val="auto"/>
        <w:sz w:val="20"/>
        <w:szCs w:val="20"/>
        <w:lang w:val="es-UY"/>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24529192">
    <w:abstractNumId w:val="3"/>
  </w:num>
  <w:num w:numId="2" w16cid:durableId="439880421">
    <w:abstractNumId w:val="5"/>
  </w:num>
  <w:num w:numId="3" w16cid:durableId="1888955013">
    <w:abstractNumId w:val="54"/>
  </w:num>
  <w:num w:numId="4" w16cid:durableId="2120106197">
    <w:abstractNumId w:val="20"/>
  </w:num>
  <w:num w:numId="5" w16cid:durableId="253511622">
    <w:abstractNumId w:val="48"/>
  </w:num>
  <w:num w:numId="6" w16cid:durableId="1568683664">
    <w:abstractNumId w:val="27"/>
  </w:num>
  <w:num w:numId="7" w16cid:durableId="2078478920">
    <w:abstractNumId w:val="6"/>
  </w:num>
  <w:num w:numId="8" w16cid:durableId="1319118939">
    <w:abstractNumId w:val="16"/>
  </w:num>
  <w:num w:numId="9" w16cid:durableId="69423460">
    <w:abstractNumId w:val="42"/>
  </w:num>
  <w:num w:numId="10" w16cid:durableId="1332832506">
    <w:abstractNumId w:val="0"/>
  </w:num>
  <w:num w:numId="11" w16cid:durableId="802967356">
    <w:abstractNumId w:val="37"/>
  </w:num>
  <w:num w:numId="12" w16cid:durableId="1457989788">
    <w:abstractNumId w:val="38"/>
  </w:num>
  <w:num w:numId="13" w16cid:durableId="159857836">
    <w:abstractNumId w:val="45"/>
  </w:num>
  <w:num w:numId="14" w16cid:durableId="1830515079">
    <w:abstractNumId w:val="1"/>
  </w:num>
  <w:num w:numId="15" w16cid:durableId="757795651">
    <w:abstractNumId w:val="2"/>
  </w:num>
  <w:num w:numId="16" w16cid:durableId="1023744156">
    <w:abstractNumId w:val="7"/>
  </w:num>
  <w:num w:numId="17" w16cid:durableId="1276215159">
    <w:abstractNumId w:val="8"/>
  </w:num>
  <w:num w:numId="18" w16cid:durableId="1800492258">
    <w:abstractNumId w:val="9"/>
  </w:num>
  <w:num w:numId="19" w16cid:durableId="1853185095">
    <w:abstractNumId w:val="10"/>
  </w:num>
  <w:num w:numId="20" w16cid:durableId="366417961">
    <w:abstractNumId w:val="11"/>
  </w:num>
  <w:num w:numId="21" w16cid:durableId="2027095394">
    <w:abstractNumId w:val="12"/>
  </w:num>
  <w:num w:numId="22" w16cid:durableId="629896043">
    <w:abstractNumId w:val="13"/>
  </w:num>
  <w:num w:numId="23" w16cid:durableId="1934971891">
    <w:abstractNumId w:val="14"/>
  </w:num>
  <w:num w:numId="24" w16cid:durableId="1526015400">
    <w:abstractNumId w:val="15"/>
  </w:num>
  <w:num w:numId="25" w16cid:durableId="283194489">
    <w:abstractNumId w:val="17"/>
  </w:num>
  <w:num w:numId="26" w16cid:durableId="399714439">
    <w:abstractNumId w:val="18"/>
  </w:num>
  <w:num w:numId="27" w16cid:durableId="1706368034">
    <w:abstractNumId w:val="21"/>
  </w:num>
  <w:num w:numId="28" w16cid:durableId="1330133828">
    <w:abstractNumId w:val="22"/>
  </w:num>
  <w:num w:numId="29" w16cid:durableId="1082526894">
    <w:abstractNumId w:val="23"/>
  </w:num>
  <w:num w:numId="30" w16cid:durableId="1984844025">
    <w:abstractNumId w:val="25"/>
  </w:num>
  <w:num w:numId="31" w16cid:durableId="480512377">
    <w:abstractNumId w:val="28"/>
  </w:num>
  <w:num w:numId="32" w16cid:durableId="211384630">
    <w:abstractNumId w:val="29"/>
  </w:num>
  <w:num w:numId="33" w16cid:durableId="985402607">
    <w:abstractNumId w:val="30"/>
  </w:num>
  <w:num w:numId="34" w16cid:durableId="525019264">
    <w:abstractNumId w:val="31"/>
  </w:num>
  <w:num w:numId="35" w16cid:durableId="555510087">
    <w:abstractNumId w:val="32"/>
  </w:num>
  <w:num w:numId="36" w16cid:durableId="928730986">
    <w:abstractNumId w:val="33"/>
  </w:num>
  <w:num w:numId="37" w16cid:durableId="547491512">
    <w:abstractNumId w:val="34"/>
  </w:num>
  <w:num w:numId="38" w16cid:durableId="1514565623">
    <w:abstractNumId w:val="35"/>
  </w:num>
  <w:num w:numId="39" w16cid:durableId="1079910180">
    <w:abstractNumId w:val="39"/>
  </w:num>
  <w:num w:numId="40" w16cid:durableId="1150365840">
    <w:abstractNumId w:val="40"/>
  </w:num>
  <w:num w:numId="41" w16cid:durableId="214588143">
    <w:abstractNumId w:val="47"/>
  </w:num>
  <w:num w:numId="42" w16cid:durableId="1337415787">
    <w:abstractNumId w:val="49"/>
  </w:num>
  <w:num w:numId="43" w16cid:durableId="1424104464">
    <w:abstractNumId w:val="50"/>
  </w:num>
  <w:num w:numId="44" w16cid:durableId="1186750785">
    <w:abstractNumId w:val="52"/>
  </w:num>
  <w:num w:numId="45" w16cid:durableId="801311463">
    <w:abstractNumId w:val="53"/>
  </w:num>
  <w:num w:numId="46" w16cid:durableId="253705696">
    <w:abstractNumId w:val="55"/>
  </w:num>
  <w:num w:numId="47" w16cid:durableId="1969049053">
    <w:abstractNumId w:val="56"/>
  </w:num>
  <w:num w:numId="48" w16cid:durableId="1232619591">
    <w:abstractNumId w:val="57"/>
  </w:num>
  <w:num w:numId="49" w16cid:durableId="5795112">
    <w:abstractNumId w:val="59"/>
  </w:num>
  <w:num w:numId="50" w16cid:durableId="753433173">
    <w:abstractNumId w:val="60"/>
  </w:num>
  <w:num w:numId="51" w16cid:durableId="1070615205">
    <w:abstractNumId w:val="19"/>
  </w:num>
  <w:num w:numId="52" w16cid:durableId="1975981287">
    <w:abstractNumId w:val="41"/>
  </w:num>
  <w:num w:numId="53" w16cid:durableId="1623882334">
    <w:abstractNumId w:val="51"/>
  </w:num>
  <w:num w:numId="54" w16cid:durableId="899053081">
    <w:abstractNumId w:val="46"/>
  </w:num>
  <w:num w:numId="55" w16cid:durableId="1926181329">
    <w:abstractNumId w:val="43"/>
  </w:num>
  <w:num w:numId="56" w16cid:durableId="459225367">
    <w:abstractNumId w:val="26"/>
  </w:num>
  <w:num w:numId="57" w16cid:durableId="1624386626">
    <w:abstractNumId w:val="24"/>
  </w:num>
  <w:num w:numId="58" w16cid:durableId="441345260">
    <w:abstractNumId w:val="36"/>
  </w:num>
  <w:num w:numId="59" w16cid:durableId="2133933485">
    <w:abstractNumId w:val="4"/>
  </w:num>
  <w:num w:numId="60" w16cid:durableId="427504096">
    <w:abstractNumId w:val="44"/>
  </w:num>
  <w:num w:numId="61" w16cid:durableId="1160997823">
    <w:abstractNumId w:val="5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961"/>
    <w:rsid w:val="00006E1F"/>
    <w:rsid w:val="000070D7"/>
    <w:rsid w:val="0001788C"/>
    <w:rsid w:val="00023B50"/>
    <w:rsid w:val="000337EF"/>
    <w:rsid w:val="00040C3A"/>
    <w:rsid w:val="00041648"/>
    <w:rsid w:val="000419AD"/>
    <w:rsid w:val="000433C9"/>
    <w:rsid w:val="0005521A"/>
    <w:rsid w:val="00055328"/>
    <w:rsid w:val="00071174"/>
    <w:rsid w:val="000716C5"/>
    <w:rsid w:val="00075E23"/>
    <w:rsid w:val="00080DAF"/>
    <w:rsid w:val="00086908"/>
    <w:rsid w:val="0009008A"/>
    <w:rsid w:val="0009344A"/>
    <w:rsid w:val="00095DC1"/>
    <w:rsid w:val="000A392E"/>
    <w:rsid w:val="000A575F"/>
    <w:rsid w:val="000C1E78"/>
    <w:rsid w:val="000C3B99"/>
    <w:rsid w:val="000D056F"/>
    <w:rsid w:val="000D05CB"/>
    <w:rsid w:val="000D10DB"/>
    <w:rsid w:val="000D749E"/>
    <w:rsid w:val="000D7FFD"/>
    <w:rsid w:val="000E5EB5"/>
    <w:rsid w:val="000F35ED"/>
    <w:rsid w:val="001004FE"/>
    <w:rsid w:val="00107131"/>
    <w:rsid w:val="0010736F"/>
    <w:rsid w:val="00107B58"/>
    <w:rsid w:val="00113F73"/>
    <w:rsid w:val="00120FCF"/>
    <w:rsid w:val="00121CC2"/>
    <w:rsid w:val="00121ED5"/>
    <w:rsid w:val="0012763C"/>
    <w:rsid w:val="00131111"/>
    <w:rsid w:val="00131425"/>
    <w:rsid w:val="00133EE5"/>
    <w:rsid w:val="001401BB"/>
    <w:rsid w:val="00147CCF"/>
    <w:rsid w:val="0015641D"/>
    <w:rsid w:val="001648C0"/>
    <w:rsid w:val="00167A34"/>
    <w:rsid w:val="00182AE0"/>
    <w:rsid w:val="001937EF"/>
    <w:rsid w:val="001A520D"/>
    <w:rsid w:val="001A7870"/>
    <w:rsid w:val="001B3A00"/>
    <w:rsid w:val="001B478B"/>
    <w:rsid w:val="001C1B41"/>
    <w:rsid w:val="001D36F9"/>
    <w:rsid w:val="001D44F9"/>
    <w:rsid w:val="001D4785"/>
    <w:rsid w:val="001D65EF"/>
    <w:rsid w:val="001D7F96"/>
    <w:rsid w:val="001E082D"/>
    <w:rsid w:val="001E2989"/>
    <w:rsid w:val="001E49E7"/>
    <w:rsid w:val="001E719D"/>
    <w:rsid w:val="001F21A4"/>
    <w:rsid w:val="001F6EDA"/>
    <w:rsid w:val="001F7201"/>
    <w:rsid w:val="002063B5"/>
    <w:rsid w:val="00222BCC"/>
    <w:rsid w:val="00223A29"/>
    <w:rsid w:val="002250A3"/>
    <w:rsid w:val="00231E89"/>
    <w:rsid w:val="0023328E"/>
    <w:rsid w:val="00235217"/>
    <w:rsid w:val="00244EF6"/>
    <w:rsid w:val="00246D1F"/>
    <w:rsid w:val="00247403"/>
    <w:rsid w:val="00247542"/>
    <w:rsid w:val="00253044"/>
    <w:rsid w:val="00266B61"/>
    <w:rsid w:val="0026712A"/>
    <w:rsid w:val="002704DB"/>
    <w:rsid w:val="00280532"/>
    <w:rsid w:val="00281BE5"/>
    <w:rsid w:val="00285A79"/>
    <w:rsid w:val="002972DC"/>
    <w:rsid w:val="002A0AAE"/>
    <w:rsid w:val="002A258D"/>
    <w:rsid w:val="002A5820"/>
    <w:rsid w:val="002D2B26"/>
    <w:rsid w:val="002D6D28"/>
    <w:rsid w:val="002D7435"/>
    <w:rsid w:val="002D7EA2"/>
    <w:rsid w:val="002E187C"/>
    <w:rsid w:val="002E2E0B"/>
    <w:rsid w:val="00302733"/>
    <w:rsid w:val="00303F3F"/>
    <w:rsid w:val="00305835"/>
    <w:rsid w:val="00306F33"/>
    <w:rsid w:val="00314078"/>
    <w:rsid w:val="0031535D"/>
    <w:rsid w:val="00321906"/>
    <w:rsid w:val="00322A17"/>
    <w:rsid w:val="003239B8"/>
    <w:rsid w:val="0033169F"/>
    <w:rsid w:val="00332FF7"/>
    <w:rsid w:val="003409B4"/>
    <w:rsid w:val="0034449E"/>
    <w:rsid w:val="00344977"/>
    <w:rsid w:val="00346C95"/>
    <w:rsid w:val="00356185"/>
    <w:rsid w:val="00360380"/>
    <w:rsid w:val="00361791"/>
    <w:rsid w:val="00364453"/>
    <w:rsid w:val="0037519E"/>
    <w:rsid w:val="00383F5F"/>
    <w:rsid w:val="00386CF0"/>
    <w:rsid w:val="00394073"/>
    <w:rsid w:val="003B70FB"/>
    <w:rsid w:val="003C676B"/>
    <w:rsid w:val="003C7510"/>
    <w:rsid w:val="003D172F"/>
    <w:rsid w:val="003D3532"/>
    <w:rsid w:val="003D3BC2"/>
    <w:rsid w:val="003D7768"/>
    <w:rsid w:val="003E1C78"/>
    <w:rsid w:val="003E41C0"/>
    <w:rsid w:val="003E53E8"/>
    <w:rsid w:val="003E6CA1"/>
    <w:rsid w:val="003F5154"/>
    <w:rsid w:val="00405F9C"/>
    <w:rsid w:val="004065A8"/>
    <w:rsid w:val="004165C2"/>
    <w:rsid w:val="00417839"/>
    <w:rsid w:val="004241A0"/>
    <w:rsid w:val="0043270C"/>
    <w:rsid w:val="00441ECB"/>
    <w:rsid w:val="00445193"/>
    <w:rsid w:val="00462C1B"/>
    <w:rsid w:val="0046668D"/>
    <w:rsid w:val="00467B7E"/>
    <w:rsid w:val="00473BB4"/>
    <w:rsid w:val="00477592"/>
    <w:rsid w:val="00486F1C"/>
    <w:rsid w:val="0049419D"/>
    <w:rsid w:val="004A04B4"/>
    <w:rsid w:val="004A057B"/>
    <w:rsid w:val="004A6A54"/>
    <w:rsid w:val="004B0CD6"/>
    <w:rsid w:val="004B1D9F"/>
    <w:rsid w:val="004B421C"/>
    <w:rsid w:val="004C20D2"/>
    <w:rsid w:val="004C2312"/>
    <w:rsid w:val="004C45C4"/>
    <w:rsid w:val="004C4B62"/>
    <w:rsid w:val="004C54C9"/>
    <w:rsid w:val="004D1DD4"/>
    <w:rsid w:val="004D4ABA"/>
    <w:rsid w:val="004D6025"/>
    <w:rsid w:val="004E2649"/>
    <w:rsid w:val="004E771F"/>
    <w:rsid w:val="004F476B"/>
    <w:rsid w:val="004F626F"/>
    <w:rsid w:val="005002E6"/>
    <w:rsid w:val="00501399"/>
    <w:rsid w:val="005047ED"/>
    <w:rsid w:val="005051FB"/>
    <w:rsid w:val="005057BD"/>
    <w:rsid w:val="0050633D"/>
    <w:rsid w:val="00507BC4"/>
    <w:rsid w:val="005128E4"/>
    <w:rsid w:val="005133DB"/>
    <w:rsid w:val="00514504"/>
    <w:rsid w:val="00521E1F"/>
    <w:rsid w:val="00525560"/>
    <w:rsid w:val="00526934"/>
    <w:rsid w:val="00532733"/>
    <w:rsid w:val="00532DFC"/>
    <w:rsid w:val="005440CE"/>
    <w:rsid w:val="00544C49"/>
    <w:rsid w:val="00545378"/>
    <w:rsid w:val="005516A1"/>
    <w:rsid w:val="005559EF"/>
    <w:rsid w:val="00563557"/>
    <w:rsid w:val="0057402A"/>
    <w:rsid w:val="005771D0"/>
    <w:rsid w:val="0059191A"/>
    <w:rsid w:val="005921FF"/>
    <w:rsid w:val="005A24ED"/>
    <w:rsid w:val="005A46D4"/>
    <w:rsid w:val="005A6D0E"/>
    <w:rsid w:val="005B03E1"/>
    <w:rsid w:val="005B4BF2"/>
    <w:rsid w:val="005B4F9D"/>
    <w:rsid w:val="005B52B0"/>
    <w:rsid w:val="005B6806"/>
    <w:rsid w:val="005C13B7"/>
    <w:rsid w:val="005C4225"/>
    <w:rsid w:val="005D4D8B"/>
    <w:rsid w:val="005D6C8E"/>
    <w:rsid w:val="005E0749"/>
    <w:rsid w:val="005E6905"/>
    <w:rsid w:val="005F0DAD"/>
    <w:rsid w:val="005F0F33"/>
    <w:rsid w:val="00600DEB"/>
    <w:rsid w:val="006148C6"/>
    <w:rsid w:val="00626408"/>
    <w:rsid w:val="00627C9F"/>
    <w:rsid w:val="006311E9"/>
    <w:rsid w:val="00632354"/>
    <w:rsid w:val="00635421"/>
    <w:rsid w:val="00642121"/>
    <w:rsid w:val="00642810"/>
    <w:rsid w:val="00652333"/>
    <w:rsid w:val="006678CA"/>
    <w:rsid w:val="0068009E"/>
    <w:rsid w:val="00691DB3"/>
    <w:rsid w:val="00692219"/>
    <w:rsid w:val="006942C7"/>
    <w:rsid w:val="00696289"/>
    <w:rsid w:val="006A17D2"/>
    <w:rsid w:val="006A73E6"/>
    <w:rsid w:val="006B2D5C"/>
    <w:rsid w:val="006B5F92"/>
    <w:rsid w:val="006C0ECF"/>
    <w:rsid w:val="006C4EB1"/>
    <w:rsid w:val="006E0166"/>
    <w:rsid w:val="006E0437"/>
    <w:rsid w:val="006E2FFB"/>
    <w:rsid w:val="006E7B34"/>
    <w:rsid w:val="006F0674"/>
    <w:rsid w:val="0070697F"/>
    <w:rsid w:val="007103C4"/>
    <w:rsid w:val="00712592"/>
    <w:rsid w:val="0072199C"/>
    <w:rsid w:val="00721E03"/>
    <w:rsid w:val="00722458"/>
    <w:rsid w:val="00722C9F"/>
    <w:rsid w:val="007253B8"/>
    <w:rsid w:val="0073741F"/>
    <w:rsid w:val="00742875"/>
    <w:rsid w:val="0074446F"/>
    <w:rsid w:val="00747AA3"/>
    <w:rsid w:val="00754F2A"/>
    <w:rsid w:val="007617C0"/>
    <w:rsid w:val="0076643F"/>
    <w:rsid w:val="00777F63"/>
    <w:rsid w:val="00783266"/>
    <w:rsid w:val="007834F1"/>
    <w:rsid w:val="007A5817"/>
    <w:rsid w:val="007A7233"/>
    <w:rsid w:val="007B05C4"/>
    <w:rsid w:val="007B60E9"/>
    <w:rsid w:val="007B6CC3"/>
    <w:rsid w:val="007B76D3"/>
    <w:rsid w:val="007C3334"/>
    <w:rsid w:val="007D2B98"/>
    <w:rsid w:val="007E21BC"/>
    <w:rsid w:val="007E6938"/>
    <w:rsid w:val="007E7C82"/>
    <w:rsid w:val="007F2AA1"/>
    <w:rsid w:val="007F588D"/>
    <w:rsid w:val="00803F1C"/>
    <w:rsid w:val="0080600E"/>
    <w:rsid w:val="008119BC"/>
    <w:rsid w:val="00814688"/>
    <w:rsid w:val="00816383"/>
    <w:rsid w:val="00817612"/>
    <w:rsid w:val="008338A4"/>
    <w:rsid w:val="00834D49"/>
    <w:rsid w:val="008377F2"/>
    <w:rsid w:val="00837C45"/>
    <w:rsid w:val="0084356B"/>
    <w:rsid w:val="00844730"/>
    <w:rsid w:val="008457C2"/>
    <w:rsid w:val="00846134"/>
    <w:rsid w:val="00857A82"/>
    <w:rsid w:val="00866871"/>
    <w:rsid w:val="008702C5"/>
    <w:rsid w:val="00873836"/>
    <w:rsid w:val="00874A7F"/>
    <w:rsid w:val="00875F86"/>
    <w:rsid w:val="00885737"/>
    <w:rsid w:val="00890650"/>
    <w:rsid w:val="008944DC"/>
    <w:rsid w:val="00897E12"/>
    <w:rsid w:val="008A7E0F"/>
    <w:rsid w:val="008B12F5"/>
    <w:rsid w:val="008B79FB"/>
    <w:rsid w:val="008C5E2D"/>
    <w:rsid w:val="008D454D"/>
    <w:rsid w:val="008D768D"/>
    <w:rsid w:val="008E3759"/>
    <w:rsid w:val="008E3BFE"/>
    <w:rsid w:val="008F1912"/>
    <w:rsid w:val="0090270B"/>
    <w:rsid w:val="009041DC"/>
    <w:rsid w:val="00917B5A"/>
    <w:rsid w:val="00920A58"/>
    <w:rsid w:val="00920A8C"/>
    <w:rsid w:val="00920A94"/>
    <w:rsid w:val="00934A2C"/>
    <w:rsid w:val="00942415"/>
    <w:rsid w:val="0096706E"/>
    <w:rsid w:val="00974491"/>
    <w:rsid w:val="00975C4E"/>
    <w:rsid w:val="009811A4"/>
    <w:rsid w:val="009815DD"/>
    <w:rsid w:val="00981FBA"/>
    <w:rsid w:val="00983CA3"/>
    <w:rsid w:val="00987947"/>
    <w:rsid w:val="00997BC5"/>
    <w:rsid w:val="009A4F41"/>
    <w:rsid w:val="009A56CE"/>
    <w:rsid w:val="009B381B"/>
    <w:rsid w:val="009D1753"/>
    <w:rsid w:val="009D464A"/>
    <w:rsid w:val="009D7611"/>
    <w:rsid w:val="009E0B61"/>
    <w:rsid w:val="009E47ED"/>
    <w:rsid w:val="009E53DE"/>
    <w:rsid w:val="009F4570"/>
    <w:rsid w:val="00A10FC4"/>
    <w:rsid w:val="00A11212"/>
    <w:rsid w:val="00A11E44"/>
    <w:rsid w:val="00A15562"/>
    <w:rsid w:val="00A30100"/>
    <w:rsid w:val="00A328B3"/>
    <w:rsid w:val="00A34E0F"/>
    <w:rsid w:val="00A36773"/>
    <w:rsid w:val="00A50FCF"/>
    <w:rsid w:val="00A528D1"/>
    <w:rsid w:val="00A54222"/>
    <w:rsid w:val="00A60B1A"/>
    <w:rsid w:val="00A610CD"/>
    <w:rsid w:val="00A64818"/>
    <w:rsid w:val="00A719D2"/>
    <w:rsid w:val="00A758AA"/>
    <w:rsid w:val="00AA09A2"/>
    <w:rsid w:val="00AA46FB"/>
    <w:rsid w:val="00AA7996"/>
    <w:rsid w:val="00AB1254"/>
    <w:rsid w:val="00AC19CB"/>
    <w:rsid w:val="00AD3098"/>
    <w:rsid w:val="00AE2D05"/>
    <w:rsid w:val="00AE5488"/>
    <w:rsid w:val="00AE61FD"/>
    <w:rsid w:val="00AE6F91"/>
    <w:rsid w:val="00AF5571"/>
    <w:rsid w:val="00AF6382"/>
    <w:rsid w:val="00B04818"/>
    <w:rsid w:val="00B07341"/>
    <w:rsid w:val="00B204A3"/>
    <w:rsid w:val="00B30539"/>
    <w:rsid w:val="00B31230"/>
    <w:rsid w:val="00B314DB"/>
    <w:rsid w:val="00B361F2"/>
    <w:rsid w:val="00B3718B"/>
    <w:rsid w:val="00B3745F"/>
    <w:rsid w:val="00B44671"/>
    <w:rsid w:val="00B4632A"/>
    <w:rsid w:val="00B530F1"/>
    <w:rsid w:val="00B63AE6"/>
    <w:rsid w:val="00B81B53"/>
    <w:rsid w:val="00B93D7F"/>
    <w:rsid w:val="00BA276C"/>
    <w:rsid w:val="00BA7022"/>
    <w:rsid w:val="00BB019D"/>
    <w:rsid w:val="00BB306F"/>
    <w:rsid w:val="00BB5DB3"/>
    <w:rsid w:val="00BB7320"/>
    <w:rsid w:val="00BC14F2"/>
    <w:rsid w:val="00BC6F65"/>
    <w:rsid w:val="00BC78DA"/>
    <w:rsid w:val="00BD0FF5"/>
    <w:rsid w:val="00BD163D"/>
    <w:rsid w:val="00BD4B89"/>
    <w:rsid w:val="00BD5922"/>
    <w:rsid w:val="00BE030C"/>
    <w:rsid w:val="00BE1E11"/>
    <w:rsid w:val="00BE228E"/>
    <w:rsid w:val="00BF02CB"/>
    <w:rsid w:val="00BF5142"/>
    <w:rsid w:val="00BF6FD8"/>
    <w:rsid w:val="00C03680"/>
    <w:rsid w:val="00C054DF"/>
    <w:rsid w:val="00C16AB2"/>
    <w:rsid w:val="00C21762"/>
    <w:rsid w:val="00C21FEF"/>
    <w:rsid w:val="00C23728"/>
    <w:rsid w:val="00C23BA4"/>
    <w:rsid w:val="00C24543"/>
    <w:rsid w:val="00C256A2"/>
    <w:rsid w:val="00C25ADB"/>
    <w:rsid w:val="00C31C07"/>
    <w:rsid w:val="00C45F04"/>
    <w:rsid w:val="00C51515"/>
    <w:rsid w:val="00C5660B"/>
    <w:rsid w:val="00C66B72"/>
    <w:rsid w:val="00C74B84"/>
    <w:rsid w:val="00C87AC4"/>
    <w:rsid w:val="00C9567A"/>
    <w:rsid w:val="00C976C8"/>
    <w:rsid w:val="00CA2319"/>
    <w:rsid w:val="00CA6613"/>
    <w:rsid w:val="00CB212D"/>
    <w:rsid w:val="00CB2660"/>
    <w:rsid w:val="00CB36FC"/>
    <w:rsid w:val="00CC5E90"/>
    <w:rsid w:val="00CD046C"/>
    <w:rsid w:val="00CE076C"/>
    <w:rsid w:val="00CE5199"/>
    <w:rsid w:val="00CE66D5"/>
    <w:rsid w:val="00CF01BF"/>
    <w:rsid w:val="00CF2AA2"/>
    <w:rsid w:val="00CF637A"/>
    <w:rsid w:val="00D000AE"/>
    <w:rsid w:val="00D0554B"/>
    <w:rsid w:val="00D059DE"/>
    <w:rsid w:val="00D05ABD"/>
    <w:rsid w:val="00D1078A"/>
    <w:rsid w:val="00D11E29"/>
    <w:rsid w:val="00D13FCE"/>
    <w:rsid w:val="00D24537"/>
    <w:rsid w:val="00D306D1"/>
    <w:rsid w:val="00D30800"/>
    <w:rsid w:val="00D3233C"/>
    <w:rsid w:val="00D34786"/>
    <w:rsid w:val="00D36BFA"/>
    <w:rsid w:val="00D37BFC"/>
    <w:rsid w:val="00D42CFE"/>
    <w:rsid w:val="00D47A8E"/>
    <w:rsid w:val="00D52D14"/>
    <w:rsid w:val="00D55AE4"/>
    <w:rsid w:val="00D61813"/>
    <w:rsid w:val="00D712D3"/>
    <w:rsid w:val="00D71422"/>
    <w:rsid w:val="00D72DC6"/>
    <w:rsid w:val="00D7558D"/>
    <w:rsid w:val="00D75889"/>
    <w:rsid w:val="00D81887"/>
    <w:rsid w:val="00D81D92"/>
    <w:rsid w:val="00D87529"/>
    <w:rsid w:val="00D876F9"/>
    <w:rsid w:val="00D917AF"/>
    <w:rsid w:val="00DA6A1C"/>
    <w:rsid w:val="00DA776C"/>
    <w:rsid w:val="00DA7B5F"/>
    <w:rsid w:val="00DC11E7"/>
    <w:rsid w:val="00DC24E3"/>
    <w:rsid w:val="00DC7023"/>
    <w:rsid w:val="00DC769A"/>
    <w:rsid w:val="00DC7997"/>
    <w:rsid w:val="00DD0D8B"/>
    <w:rsid w:val="00DD3D86"/>
    <w:rsid w:val="00DD4AD2"/>
    <w:rsid w:val="00DD4F83"/>
    <w:rsid w:val="00DE2862"/>
    <w:rsid w:val="00DF1EC4"/>
    <w:rsid w:val="00E01FFE"/>
    <w:rsid w:val="00E0340B"/>
    <w:rsid w:val="00E04A90"/>
    <w:rsid w:val="00E0551F"/>
    <w:rsid w:val="00E103E2"/>
    <w:rsid w:val="00E219C7"/>
    <w:rsid w:val="00E22F7A"/>
    <w:rsid w:val="00E23BE2"/>
    <w:rsid w:val="00E31585"/>
    <w:rsid w:val="00E4118C"/>
    <w:rsid w:val="00E43157"/>
    <w:rsid w:val="00E43A5C"/>
    <w:rsid w:val="00E43E71"/>
    <w:rsid w:val="00E45E8A"/>
    <w:rsid w:val="00E461CE"/>
    <w:rsid w:val="00E573E4"/>
    <w:rsid w:val="00E60DCF"/>
    <w:rsid w:val="00E64C3D"/>
    <w:rsid w:val="00E6634A"/>
    <w:rsid w:val="00E720CA"/>
    <w:rsid w:val="00E748F9"/>
    <w:rsid w:val="00E84EB5"/>
    <w:rsid w:val="00E85662"/>
    <w:rsid w:val="00E8789F"/>
    <w:rsid w:val="00E91292"/>
    <w:rsid w:val="00E948F2"/>
    <w:rsid w:val="00E97B71"/>
    <w:rsid w:val="00E97FC3"/>
    <w:rsid w:val="00EA3D34"/>
    <w:rsid w:val="00EB0EFD"/>
    <w:rsid w:val="00EB454D"/>
    <w:rsid w:val="00EC24AE"/>
    <w:rsid w:val="00EC325F"/>
    <w:rsid w:val="00ED549D"/>
    <w:rsid w:val="00ED5E10"/>
    <w:rsid w:val="00ED76BE"/>
    <w:rsid w:val="00EE00E9"/>
    <w:rsid w:val="00EF1AAA"/>
    <w:rsid w:val="00EF619B"/>
    <w:rsid w:val="00F00B55"/>
    <w:rsid w:val="00F02AD1"/>
    <w:rsid w:val="00F02D3E"/>
    <w:rsid w:val="00F14041"/>
    <w:rsid w:val="00F253CC"/>
    <w:rsid w:val="00F30723"/>
    <w:rsid w:val="00F37106"/>
    <w:rsid w:val="00F40629"/>
    <w:rsid w:val="00F428FF"/>
    <w:rsid w:val="00F4431D"/>
    <w:rsid w:val="00F44E25"/>
    <w:rsid w:val="00F469BC"/>
    <w:rsid w:val="00F509F6"/>
    <w:rsid w:val="00F519CF"/>
    <w:rsid w:val="00F569AD"/>
    <w:rsid w:val="00F56BA5"/>
    <w:rsid w:val="00F56ECB"/>
    <w:rsid w:val="00F60E22"/>
    <w:rsid w:val="00F65A42"/>
    <w:rsid w:val="00F72671"/>
    <w:rsid w:val="00F81395"/>
    <w:rsid w:val="00F81BB8"/>
    <w:rsid w:val="00F90C64"/>
    <w:rsid w:val="00F917D1"/>
    <w:rsid w:val="00F9653B"/>
    <w:rsid w:val="00FB62CF"/>
    <w:rsid w:val="00FC03CA"/>
    <w:rsid w:val="00FC4FD8"/>
    <w:rsid w:val="00FD3C3B"/>
    <w:rsid w:val="00FD6E67"/>
    <w:rsid w:val="00FE0143"/>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0CD6"/>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F569AD"/>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E53E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Revision">
    <w:name w:val="Revision"/>
    <w:hidden/>
    <w:uiPriority w:val="99"/>
    <w:semiHidden/>
    <w:rsid w:val="00322A1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mmentReference">
    <w:name w:val="annotation reference"/>
    <w:basedOn w:val="DefaultParagraphFont"/>
    <w:uiPriority w:val="99"/>
    <w:semiHidden/>
    <w:unhideWhenUsed/>
    <w:rsid w:val="007617C0"/>
    <w:rPr>
      <w:sz w:val="16"/>
      <w:szCs w:val="16"/>
    </w:rPr>
  </w:style>
  <w:style w:type="paragraph" w:styleId="CommentText">
    <w:name w:val="annotation text"/>
    <w:basedOn w:val="Normal"/>
    <w:link w:val="CommentTextChar"/>
    <w:uiPriority w:val="99"/>
    <w:unhideWhenUsed/>
    <w:rsid w:val="007617C0"/>
    <w:rPr>
      <w:sz w:val="20"/>
      <w:szCs w:val="20"/>
    </w:rPr>
  </w:style>
  <w:style w:type="character" w:customStyle="1" w:styleId="CommentTextChar">
    <w:name w:val="Comment Text Char"/>
    <w:basedOn w:val="DefaultParagraphFont"/>
    <w:link w:val="CommentText"/>
    <w:uiPriority w:val="99"/>
    <w:rsid w:val="007617C0"/>
    <w:rPr>
      <w:lang w:val="en-US" w:eastAsia="en-US"/>
    </w:rPr>
  </w:style>
  <w:style w:type="paragraph" w:styleId="CommentSubject">
    <w:name w:val="annotation subject"/>
    <w:basedOn w:val="CommentText"/>
    <w:next w:val="CommentText"/>
    <w:link w:val="CommentSubjectChar"/>
    <w:uiPriority w:val="99"/>
    <w:semiHidden/>
    <w:unhideWhenUsed/>
    <w:rsid w:val="007617C0"/>
    <w:rPr>
      <w:b/>
      <w:bCs/>
    </w:rPr>
  </w:style>
  <w:style w:type="character" w:customStyle="1" w:styleId="CommentSubjectChar">
    <w:name w:val="Comment Subject Char"/>
    <w:basedOn w:val="CommentTextChar"/>
    <w:link w:val="CommentSubject"/>
    <w:uiPriority w:val="99"/>
    <w:semiHidden/>
    <w:rsid w:val="007617C0"/>
    <w:rPr>
      <w:b/>
      <w:bCs/>
      <w:lang w:val="en-US" w:eastAsia="en-US"/>
    </w:rPr>
  </w:style>
  <w:style w:type="character" w:styleId="UnresolvedMention">
    <w:name w:val="Unresolved Mention"/>
    <w:basedOn w:val="DefaultParagraphFont"/>
    <w:uiPriority w:val="99"/>
    <w:semiHidden/>
    <w:unhideWhenUsed/>
    <w:rsid w:val="00E22F7A"/>
    <w:rPr>
      <w:color w:val="605E5C"/>
      <w:shd w:val="clear" w:color="auto" w:fill="E1DFDD"/>
    </w:rPr>
  </w:style>
  <w:style w:type="paragraph" w:customStyle="1" w:styleId="paragraph">
    <w:name w:val="paragraph"/>
    <w:basedOn w:val="Normal"/>
    <w:rsid w:val="00BC14F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BC14F2"/>
  </w:style>
  <w:style w:type="character" w:customStyle="1" w:styleId="eop">
    <w:name w:val="eop"/>
    <w:basedOn w:val="DefaultParagraphFont"/>
    <w:rsid w:val="00BC1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60E0F"/>
    <w:rsid w:val="001C78F3"/>
    <w:rsid w:val="001D44C7"/>
    <w:rsid w:val="00200821"/>
    <w:rsid w:val="0025245B"/>
    <w:rsid w:val="002A08E2"/>
    <w:rsid w:val="002A3923"/>
    <w:rsid w:val="0031576B"/>
    <w:rsid w:val="00394049"/>
    <w:rsid w:val="003B0640"/>
    <w:rsid w:val="003B0C71"/>
    <w:rsid w:val="004B5BBB"/>
    <w:rsid w:val="004F2DF8"/>
    <w:rsid w:val="00517E2A"/>
    <w:rsid w:val="00527A79"/>
    <w:rsid w:val="0055589F"/>
    <w:rsid w:val="00580DA5"/>
    <w:rsid w:val="006D3128"/>
    <w:rsid w:val="006F24A1"/>
    <w:rsid w:val="00726BD4"/>
    <w:rsid w:val="007C172C"/>
    <w:rsid w:val="008011F0"/>
    <w:rsid w:val="00875B8A"/>
    <w:rsid w:val="008953BC"/>
    <w:rsid w:val="009A261B"/>
    <w:rsid w:val="00AA2E17"/>
    <w:rsid w:val="00AC15A4"/>
    <w:rsid w:val="00AD3A03"/>
    <w:rsid w:val="00B0083D"/>
    <w:rsid w:val="00B0336C"/>
    <w:rsid w:val="00B13071"/>
    <w:rsid w:val="00BA676F"/>
    <w:rsid w:val="00C817DE"/>
    <w:rsid w:val="00D241E9"/>
    <w:rsid w:val="00D7750D"/>
    <w:rsid w:val="00D96D8C"/>
    <w:rsid w:val="00ED6DD7"/>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6784</Words>
  <Characters>38672</Characters>
  <Application>Microsoft Office Word</Application>
  <DocSecurity>0</DocSecurity>
  <Lines>322</Lines>
  <Paragraphs>90</Paragraphs>
  <ScaleCrop>false</ScaleCrop>
  <Company/>
  <LinksUpToDate>false</LinksUpToDate>
  <CharactersWithSpaces>45366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2023-01-25T16:58:00Z</dcterms:created>
  <dcterms:modified xsi:type="dcterms:W3CDTF">2023-01-25T16:58:00Z</dcterms:modified>
</cp:coreProperties>
</file>