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2FD5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51C0DBFB" w:rsidR="00040C3A" w:rsidRDefault="00040C3A" w:rsidP="00040C3A">
      <w:pPr>
        <w:tabs>
          <w:tab w:val="center" w:pos="5400"/>
        </w:tabs>
        <w:suppressAutoHyphens/>
        <w:jc w:val="both"/>
        <w:rPr>
          <w:rFonts w:asciiTheme="majorHAnsi" w:hAnsiTheme="majorHAnsi"/>
          <w:sz w:val="22"/>
          <w:szCs w:val="22"/>
          <w:lang w:val="es-ES"/>
        </w:rPr>
      </w:pPr>
    </w:p>
    <w:p w14:paraId="6EC409EB" w14:textId="77777777" w:rsidR="005F601A" w:rsidRPr="0090270B" w:rsidRDefault="005F601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7AC91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D78A6">
                              <w:rPr>
                                <w:rFonts w:asciiTheme="majorHAnsi" w:hAnsiTheme="majorHAnsi" w:cs="Arial"/>
                                <w:b/>
                                <w:bCs/>
                                <w:color w:val="0D0D0D" w:themeColor="text1" w:themeTint="F2"/>
                                <w:sz w:val="36"/>
                                <w:szCs w:val="22"/>
                                <w:lang w:val="es-ES_tradnl"/>
                              </w:rPr>
                              <w:t>207</w:t>
                            </w:r>
                            <w:r w:rsidR="007B05C4">
                              <w:rPr>
                                <w:rFonts w:asciiTheme="majorHAnsi" w:hAnsiTheme="majorHAnsi" w:cs="Arial"/>
                                <w:b/>
                                <w:bCs/>
                                <w:color w:val="0D0D0D" w:themeColor="text1" w:themeTint="F2"/>
                                <w:sz w:val="36"/>
                                <w:szCs w:val="22"/>
                                <w:lang w:val="es-ES_tradnl"/>
                              </w:rPr>
                              <w:t>/</w:t>
                            </w:r>
                            <w:r w:rsidR="004D78A6">
                              <w:rPr>
                                <w:rFonts w:asciiTheme="majorHAnsi" w:hAnsiTheme="majorHAnsi" w:cs="Arial"/>
                                <w:b/>
                                <w:bCs/>
                                <w:color w:val="0D0D0D" w:themeColor="text1" w:themeTint="F2"/>
                                <w:sz w:val="36"/>
                                <w:szCs w:val="22"/>
                                <w:lang w:val="es-ES_tradnl"/>
                              </w:rPr>
                              <w:t>22</w:t>
                            </w:r>
                          </w:p>
                          <w:p w14:paraId="45F30ECA" w14:textId="036E0EF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0449BB">
                              <w:rPr>
                                <w:rFonts w:asciiTheme="majorHAnsi" w:hAnsiTheme="majorHAnsi" w:cs="Arial"/>
                                <w:b/>
                                <w:color w:val="0D0D0D" w:themeColor="text1" w:themeTint="F2"/>
                                <w:sz w:val="36"/>
                                <w:szCs w:val="22"/>
                                <w:lang w:val="es-ES_tradnl"/>
                              </w:rPr>
                              <w:t xml:space="preserve"> 1358</w:t>
                            </w:r>
                            <w:r w:rsidR="00246D1F" w:rsidRPr="004E2649">
                              <w:rPr>
                                <w:rFonts w:asciiTheme="majorHAnsi" w:hAnsiTheme="majorHAnsi" w:cs="Arial"/>
                                <w:b/>
                                <w:color w:val="0D0D0D" w:themeColor="text1" w:themeTint="F2"/>
                                <w:sz w:val="36"/>
                                <w:szCs w:val="22"/>
                                <w:lang w:val="es-ES_tradnl"/>
                              </w:rPr>
                              <w:t>-</w:t>
                            </w:r>
                            <w:r w:rsidR="000449BB">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078421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35B00F6" w:rsidR="005B52B0" w:rsidRPr="000449BB" w:rsidRDefault="000449BB" w:rsidP="00997BC5">
                            <w:pPr>
                              <w:spacing w:line="276" w:lineRule="auto"/>
                              <w:rPr>
                                <w:rFonts w:asciiTheme="majorHAnsi" w:hAnsiTheme="majorHAnsi" w:cs="Arial"/>
                                <w:color w:val="0D0D0D" w:themeColor="text1" w:themeTint="F2"/>
                                <w:szCs w:val="22"/>
                                <w:lang w:val="pt-BR"/>
                              </w:rPr>
                            </w:pPr>
                            <w:r w:rsidRPr="000449BB">
                              <w:rPr>
                                <w:rFonts w:asciiTheme="majorHAnsi" w:hAnsiTheme="majorHAnsi" w:cs="Arial"/>
                                <w:color w:val="0D0D0D" w:themeColor="text1" w:themeTint="F2"/>
                                <w:szCs w:val="22"/>
                                <w:lang w:val="pt-BR"/>
                              </w:rPr>
                              <w:t>FLORINDO E</w:t>
                            </w:r>
                            <w:r>
                              <w:rPr>
                                <w:rFonts w:asciiTheme="majorHAnsi" w:hAnsiTheme="majorHAnsi" w:cs="Arial"/>
                                <w:color w:val="0D0D0D" w:themeColor="text1" w:themeTint="F2"/>
                                <w:szCs w:val="22"/>
                                <w:lang w:val="pt-BR"/>
                              </w:rPr>
                              <w:t>LEUTERIO FLORES HALA</w:t>
                            </w:r>
                          </w:p>
                          <w:bookmarkEnd w:id="0"/>
                          <w:p w14:paraId="0B9F7D22" w14:textId="4C76FB46" w:rsidR="005B52B0" w:rsidRPr="000449BB" w:rsidRDefault="005B52B0" w:rsidP="00F56ECB">
                            <w:pPr>
                              <w:spacing w:line="276" w:lineRule="auto"/>
                              <w:rPr>
                                <w:rFonts w:asciiTheme="majorHAnsi" w:hAnsiTheme="majorHAnsi" w:cs="Arial"/>
                                <w:color w:val="0D0D0D" w:themeColor="text1" w:themeTint="F2"/>
                                <w:szCs w:val="22"/>
                                <w:lang w:val="pt-BR"/>
                              </w:rPr>
                            </w:pPr>
                            <w:r w:rsidRPr="000449BB">
                              <w:rPr>
                                <w:rFonts w:asciiTheme="majorHAnsi" w:hAnsiTheme="majorHAnsi" w:cs="Arial"/>
                                <w:color w:val="0D0D0D" w:themeColor="text1" w:themeTint="F2"/>
                                <w:szCs w:val="22"/>
                                <w:lang w:val="pt-BR"/>
                              </w:rPr>
                              <w:t>P</w:t>
                            </w:r>
                            <w:r w:rsidR="000449BB">
                              <w:rPr>
                                <w:rFonts w:asciiTheme="majorHAnsi" w:hAnsiTheme="majorHAnsi" w:cs="Arial"/>
                                <w:color w:val="0D0D0D" w:themeColor="text1" w:themeTint="F2"/>
                                <w:szCs w:val="22"/>
                                <w:lang w:val="pt-BR"/>
                              </w:rPr>
                              <w:t>ERÚ</w:t>
                            </w:r>
                          </w:p>
                          <w:p w14:paraId="48E2215D" w14:textId="0B927BB5" w:rsidR="000449BB" w:rsidRPr="000449BB" w:rsidRDefault="000449BB" w:rsidP="00F56ECB">
                            <w:pPr>
                              <w:spacing w:line="276" w:lineRule="auto"/>
                              <w:rPr>
                                <w:rFonts w:asciiTheme="majorHAnsi" w:hAnsiTheme="majorHAnsi" w:cs="Arial"/>
                                <w:color w:val="0D0D0D" w:themeColor="text1" w:themeTint="F2"/>
                                <w:szCs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7AC91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D78A6">
                        <w:rPr>
                          <w:rFonts w:asciiTheme="majorHAnsi" w:hAnsiTheme="majorHAnsi" w:cs="Arial"/>
                          <w:b/>
                          <w:bCs/>
                          <w:color w:val="0D0D0D" w:themeColor="text1" w:themeTint="F2"/>
                          <w:sz w:val="36"/>
                          <w:szCs w:val="22"/>
                          <w:lang w:val="es-ES_tradnl"/>
                        </w:rPr>
                        <w:t>207</w:t>
                      </w:r>
                      <w:r w:rsidR="007B05C4">
                        <w:rPr>
                          <w:rFonts w:asciiTheme="majorHAnsi" w:hAnsiTheme="majorHAnsi" w:cs="Arial"/>
                          <w:b/>
                          <w:bCs/>
                          <w:color w:val="0D0D0D" w:themeColor="text1" w:themeTint="F2"/>
                          <w:sz w:val="36"/>
                          <w:szCs w:val="22"/>
                          <w:lang w:val="es-ES_tradnl"/>
                        </w:rPr>
                        <w:t>/</w:t>
                      </w:r>
                      <w:r w:rsidR="004D78A6">
                        <w:rPr>
                          <w:rFonts w:asciiTheme="majorHAnsi" w:hAnsiTheme="majorHAnsi" w:cs="Arial"/>
                          <w:b/>
                          <w:bCs/>
                          <w:color w:val="0D0D0D" w:themeColor="text1" w:themeTint="F2"/>
                          <w:sz w:val="36"/>
                          <w:szCs w:val="22"/>
                          <w:lang w:val="es-ES_tradnl"/>
                        </w:rPr>
                        <w:t>22</w:t>
                      </w:r>
                    </w:p>
                    <w:p w14:paraId="45F30ECA" w14:textId="036E0EF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0449BB">
                        <w:rPr>
                          <w:rFonts w:asciiTheme="majorHAnsi" w:hAnsiTheme="majorHAnsi" w:cs="Arial"/>
                          <w:b/>
                          <w:color w:val="0D0D0D" w:themeColor="text1" w:themeTint="F2"/>
                          <w:sz w:val="36"/>
                          <w:szCs w:val="22"/>
                          <w:lang w:val="es-ES_tradnl"/>
                        </w:rPr>
                        <w:t xml:space="preserve"> 1358</w:t>
                      </w:r>
                      <w:r w:rsidR="00246D1F" w:rsidRPr="004E2649">
                        <w:rPr>
                          <w:rFonts w:asciiTheme="majorHAnsi" w:hAnsiTheme="majorHAnsi" w:cs="Arial"/>
                          <w:b/>
                          <w:color w:val="0D0D0D" w:themeColor="text1" w:themeTint="F2"/>
                          <w:sz w:val="36"/>
                          <w:szCs w:val="22"/>
                          <w:lang w:val="es-ES_tradnl"/>
                        </w:rPr>
                        <w:t>-</w:t>
                      </w:r>
                      <w:r w:rsidR="000449BB">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078421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35B00F6" w:rsidR="005B52B0" w:rsidRPr="000449BB" w:rsidRDefault="000449BB" w:rsidP="00997BC5">
                      <w:pPr>
                        <w:spacing w:line="276" w:lineRule="auto"/>
                        <w:rPr>
                          <w:rFonts w:asciiTheme="majorHAnsi" w:hAnsiTheme="majorHAnsi" w:cs="Arial"/>
                          <w:color w:val="0D0D0D" w:themeColor="text1" w:themeTint="F2"/>
                          <w:szCs w:val="22"/>
                          <w:lang w:val="pt-BR"/>
                        </w:rPr>
                      </w:pPr>
                      <w:r w:rsidRPr="000449BB">
                        <w:rPr>
                          <w:rFonts w:asciiTheme="majorHAnsi" w:hAnsiTheme="majorHAnsi" w:cs="Arial"/>
                          <w:color w:val="0D0D0D" w:themeColor="text1" w:themeTint="F2"/>
                          <w:szCs w:val="22"/>
                          <w:lang w:val="pt-BR"/>
                        </w:rPr>
                        <w:t>FLORINDO E</w:t>
                      </w:r>
                      <w:r>
                        <w:rPr>
                          <w:rFonts w:asciiTheme="majorHAnsi" w:hAnsiTheme="majorHAnsi" w:cs="Arial"/>
                          <w:color w:val="0D0D0D" w:themeColor="text1" w:themeTint="F2"/>
                          <w:szCs w:val="22"/>
                          <w:lang w:val="pt-BR"/>
                        </w:rPr>
                        <w:t>LEUTERIO FLORES HALA</w:t>
                      </w:r>
                    </w:p>
                    <w:bookmarkEnd w:id="1"/>
                    <w:p w14:paraId="0B9F7D22" w14:textId="4C76FB46" w:rsidR="005B52B0" w:rsidRPr="000449BB" w:rsidRDefault="005B52B0" w:rsidP="00F56ECB">
                      <w:pPr>
                        <w:spacing w:line="276" w:lineRule="auto"/>
                        <w:rPr>
                          <w:rFonts w:asciiTheme="majorHAnsi" w:hAnsiTheme="majorHAnsi" w:cs="Arial"/>
                          <w:color w:val="0D0D0D" w:themeColor="text1" w:themeTint="F2"/>
                          <w:szCs w:val="22"/>
                          <w:lang w:val="pt-BR"/>
                        </w:rPr>
                      </w:pPr>
                      <w:r w:rsidRPr="000449BB">
                        <w:rPr>
                          <w:rFonts w:asciiTheme="majorHAnsi" w:hAnsiTheme="majorHAnsi" w:cs="Arial"/>
                          <w:color w:val="0D0D0D" w:themeColor="text1" w:themeTint="F2"/>
                          <w:szCs w:val="22"/>
                          <w:lang w:val="pt-BR"/>
                        </w:rPr>
                        <w:t>P</w:t>
                      </w:r>
                      <w:r w:rsidR="000449BB">
                        <w:rPr>
                          <w:rFonts w:asciiTheme="majorHAnsi" w:hAnsiTheme="majorHAnsi" w:cs="Arial"/>
                          <w:color w:val="0D0D0D" w:themeColor="text1" w:themeTint="F2"/>
                          <w:szCs w:val="22"/>
                          <w:lang w:val="pt-BR"/>
                        </w:rPr>
                        <w:t>ERÚ</w:t>
                      </w:r>
                    </w:p>
                    <w:p w14:paraId="48E2215D" w14:textId="0B927BB5" w:rsidR="000449BB" w:rsidRPr="000449BB" w:rsidRDefault="000449BB" w:rsidP="00F56ECB">
                      <w:pPr>
                        <w:spacing w:line="276" w:lineRule="auto"/>
                        <w:rPr>
                          <w:rFonts w:asciiTheme="majorHAnsi" w:hAnsiTheme="majorHAnsi" w:cs="Arial"/>
                          <w:color w:val="0D0D0D" w:themeColor="text1" w:themeTint="F2"/>
                          <w:szCs w:val="2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264F0F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BE9F32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C4320">
                              <w:rPr>
                                <w:rFonts w:asciiTheme="minorHAnsi" w:hAnsiTheme="minorHAnsi"/>
                                <w:color w:val="FFFFFF" w:themeColor="background1"/>
                                <w:sz w:val="22"/>
                                <w:lang w:val="pt-BR"/>
                              </w:rPr>
                              <w:t>210</w:t>
                            </w:r>
                          </w:p>
                          <w:p w14:paraId="4061DBBD" w14:textId="7DF30E72" w:rsidR="00627C9F" w:rsidRPr="0034498C" w:rsidRDefault="002C4320" w:rsidP="007A5817">
                            <w:pPr>
                              <w:spacing w:line="276" w:lineRule="auto"/>
                              <w:jc w:val="right"/>
                              <w:rPr>
                                <w:rFonts w:asciiTheme="minorHAnsi" w:hAnsiTheme="minorHAnsi"/>
                                <w:color w:val="FFFFFF" w:themeColor="background1"/>
                                <w:sz w:val="22"/>
                                <w:lang w:val="pt-BR"/>
                              </w:rPr>
                            </w:pPr>
                            <w:r w:rsidRPr="0034498C">
                              <w:rPr>
                                <w:rFonts w:asciiTheme="minorHAnsi" w:hAnsiTheme="minorHAnsi"/>
                                <w:color w:val="FFFFFF" w:themeColor="background1"/>
                                <w:sz w:val="22"/>
                                <w:lang w:val="pt-BR"/>
                              </w:rPr>
                              <w:t>13 agosto</w:t>
                            </w:r>
                            <w:r w:rsidR="00627C9F" w:rsidRPr="0034498C">
                              <w:rPr>
                                <w:rFonts w:asciiTheme="minorHAnsi" w:hAnsiTheme="minorHAnsi"/>
                                <w:color w:val="FFFFFF" w:themeColor="background1"/>
                                <w:sz w:val="22"/>
                                <w:lang w:val="pt-BR"/>
                              </w:rPr>
                              <w:t xml:space="preserve"> 20</w:t>
                            </w:r>
                            <w:r w:rsidR="00C23BA4" w:rsidRPr="0034498C">
                              <w:rPr>
                                <w:rFonts w:asciiTheme="minorHAnsi" w:hAnsiTheme="minorHAnsi"/>
                                <w:color w:val="FFFFFF" w:themeColor="background1"/>
                                <w:sz w:val="22"/>
                                <w:lang w:val="pt-BR"/>
                              </w:rPr>
                              <w:t>2</w:t>
                            </w:r>
                            <w:r w:rsidR="000449BB" w:rsidRPr="0034498C">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264F0F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BE9F32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C4320">
                        <w:rPr>
                          <w:rFonts w:asciiTheme="minorHAnsi" w:hAnsiTheme="minorHAnsi"/>
                          <w:color w:val="FFFFFF" w:themeColor="background1"/>
                          <w:sz w:val="22"/>
                          <w:lang w:val="pt-BR"/>
                        </w:rPr>
                        <w:t>210</w:t>
                      </w:r>
                    </w:p>
                    <w:p w14:paraId="4061DBBD" w14:textId="7DF30E72" w:rsidR="00627C9F" w:rsidRPr="0034498C" w:rsidRDefault="002C4320" w:rsidP="007A5817">
                      <w:pPr>
                        <w:spacing w:line="276" w:lineRule="auto"/>
                        <w:jc w:val="right"/>
                        <w:rPr>
                          <w:rFonts w:asciiTheme="minorHAnsi" w:hAnsiTheme="minorHAnsi"/>
                          <w:color w:val="FFFFFF" w:themeColor="background1"/>
                          <w:sz w:val="22"/>
                          <w:lang w:val="pt-BR"/>
                        </w:rPr>
                      </w:pPr>
                      <w:r w:rsidRPr="0034498C">
                        <w:rPr>
                          <w:rFonts w:asciiTheme="minorHAnsi" w:hAnsiTheme="minorHAnsi"/>
                          <w:color w:val="FFFFFF" w:themeColor="background1"/>
                          <w:sz w:val="22"/>
                          <w:lang w:val="pt-BR"/>
                        </w:rPr>
                        <w:t>13 agosto</w:t>
                      </w:r>
                      <w:r w:rsidR="00627C9F" w:rsidRPr="0034498C">
                        <w:rPr>
                          <w:rFonts w:asciiTheme="minorHAnsi" w:hAnsiTheme="minorHAnsi"/>
                          <w:color w:val="FFFFFF" w:themeColor="background1"/>
                          <w:sz w:val="22"/>
                          <w:lang w:val="pt-BR"/>
                        </w:rPr>
                        <w:t xml:space="preserve"> 20</w:t>
                      </w:r>
                      <w:r w:rsidR="00C23BA4" w:rsidRPr="0034498C">
                        <w:rPr>
                          <w:rFonts w:asciiTheme="minorHAnsi" w:hAnsiTheme="minorHAnsi"/>
                          <w:color w:val="FFFFFF" w:themeColor="background1"/>
                          <w:sz w:val="22"/>
                          <w:lang w:val="pt-BR"/>
                        </w:rPr>
                        <w:t>2</w:t>
                      </w:r>
                      <w:r w:rsidR="000449BB" w:rsidRPr="0034498C">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E9083A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B728A">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CB728A">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449BB">
                              <w:rPr>
                                <w:rFonts w:asciiTheme="majorHAnsi" w:hAnsiTheme="majorHAnsi"/>
                                <w:color w:val="0D0D0D" w:themeColor="text1" w:themeTint="F2"/>
                                <w:sz w:val="18"/>
                                <w:szCs w:val="22"/>
                                <w:lang w:val="es-ES"/>
                              </w:rPr>
                              <w:t>2</w:t>
                            </w:r>
                            <w:r w:rsidR="00CB728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E9083A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B728A">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CB728A">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449BB">
                        <w:rPr>
                          <w:rFonts w:asciiTheme="majorHAnsi" w:hAnsiTheme="majorHAnsi"/>
                          <w:color w:val="0D0D0D" w:themeColor="text1" w:themeTint="F2"/>
                          <w:sz w:val="18"/>
                          <w:szCs w:val="22"/>
                          <w:lang w:val="es-ES"/>
                        </w:rPr>
                        <w:t>2</w:t>
                      </w:r>
                      <w:r w:rsidR="00CB728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AD158" w14:textId="77777777" w:rsidR="008173A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B728A" w:rsidRPr="00CB728A">
                              <w:rPr>
                                <w:rFonts w:asciiTheme="majorHAnsi" w:hAnsiTheme="majorHAnsi"/>
                                <w:color w:val="595959" w:themeColor="text1" w:themeTint="A6"/>
                                <w:sz w:val="18"/>
                                <w:szCs w:val="18"/>
                                <w:lang w:val="pt-BR"/>
                              </w:rPr>
                              <w:t>207</w:t>
                            </w:r>
                            <w:r w:rsidR="007B05C4" w:rsidRPr="00CB728A">
                              <w:rPr>
                                <w:rFonts w:asciiTheme="majorHAnsi" w:hAnsiTheme="majorHAnsi"/>
                                <w:color w:val="595959" w:themeColor="text1" w:themeTint="A6"/>
                                <w:sz w:val="18"/>
                                <w:szCs w:val="18"/>
                                <w:lang w:val="pt-BR"/>
                              </w:rPr>
                              <w:t>/</w:t>
                            </w:r>
                            <w:r w:rsidR="00CB728A" w:rsidRPr="00CB728A">
                              <w:rPr>
                                <w:rFonts w:asciiTheme="majorHAnsi" w:hAnsiTheme="majorHAnsi"/>
                                <w:color w:val="595959" w:themeColor="text1" w:themeTint="A6"/>
                                <w:sz w:val="18"/>
                                <w:szCs w:val="18"/>
                                <w:lang w:val="pt-BR"/>
                              </w:rPr>
                              <w:t>22</w:t>
                            </w:r>
                            <w:r w:rsidRPr="00CB728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49BB">
                              <w:rPr>
                                <w:rFonts w:asciiTheme="majorHAnsi" w:hAnsiTheme="majorHAnsi"/>
                                <w:color w:val="595959" w:themeColor="text1" w:themeTint="A6"/>
                                <w:sz w:val="18"/>
                                <w:szCs w:val="18"/>
                                <w:lang w:val="es-ES"/>
                              </w:rPr>
                              <w:t>1358</w:t>
                            </w:r>
                            <w:r w:rsidR="000433C9">
                              <w:rPr>
                                <w:rFonts w:asciiTheme="majorHAnsi" w:hAnsiTheme="majorHAnsi"/>
                                <w:color w:val="595959" w:themeColor="text1" w:themeTint="A6"/>
                                <w:sz w:val="18"/>
                                <w:szCs w:val="18"/>
                                <w:lang w:val="es-ES"/>
                              </w:rPr>
                              <w:t>-</w:t>
                            </w:r>
                            <w:r w:rsidR="000449BB">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58EB275D" w:rsidR="00113F73" w:rsidRPr="007B05C4" w:rsidRDefault="000449B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Florindo Eleuterio Flores Hala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8173AE">
                              <w:rPr>
                                <w:rFonts w:asciiTheme="majorHAnsi" w:hAnsiTheme="majorHAnsi"/>
                                <w:color w:val="595959" w:themeColor="text1" w:themeTint="A6"/>
                                <w:sz w:val="18"/>
                                <w:szCs w:val="18"/>
                                <w:lang w:val="es-ES"/>
                              </w:rPr>
                              <w:t>13 de agosto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E7AD158" w14:textId="77777777" w:rsidR="008173A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B728A" w:rsidRPr="00CB728A">
                        <w:rPr>
                          <w:rFonts w:asciiTheme="majorHAnsi" w:hAnsiTheme="majorHAnsi"/>
                          <w:color w:val="595959" w:themeColor="text1" w:themeTint="A6"/>
                          <w:sz w:val="18"/>
                          <w:szCs w:val="18"/>
                          <w:lang w:val="pt-BR"/>
                        </w:rPr>
                        <w:t>207</w:t>
                      </w:r>
                      <w:r w:rsidR="007B05C4" w:rsidRPr="00CB728A">
                        <w:rPr>
                          <w:rFonts w:asciiTheme="majorHAnsi" w:hAnsiTheme="majorHAnsi"/>
                          <w:color w:val="595959" w:themeColor="text1" w:themeTint="A6"/>
                          <w:sz w:val="18"/>
                          <w:szCs w:val="18"/>
                          <w:lang w:val="pt-BR"/>
                        </w:rPr>
                        <w:t>/</w:t>
                      </w:r>
                      <w:r w:rsidR="00CB728A" w:rsidRPr="00CB728A">
                        <w:rPr>
                          <w:rFonts w:asciiTheme="majorHAnsi" w:hAnsiTheme="majorHAnsi"/>
                          <w:color w:val="595959" w:themeColor="text1" w:themeTint="A6"/>
                          <w:sz w:val="18"/>
                          <w:szCs w:val="18"/>
                          <w:lang w:val="pt-BR"/>
                        </w:rPr>
                        <w:t>22</w:t>
                      </w:r>
                      <w:r w:rsidRPr="00CB728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49BB">
                        <w:rPr>
                          <w:rFonts w:asciiTheme="majorHAnsi" w:hAnsiTheme="majorHAnsi"/>
                          <w:color w:val="595959" w:themeColor="text1" w:themeTint="A6"/>
                          <w:sz w:val="18"/>
                          <w:szCs w:val="18"/>
                          <w:lang w:val="es-ES"/>
                        </w:rPr>
                        <w:t>1358</w:t>
                      </w:r>
                      <w:r w:rsidR="000433C9">
                        <w:rPr>
                          <w:rFonts w:asciiTheme="majorHAnsi" w:hAnsiTheme="majorHAnsi"/>
                          <w:color w:val="595959" w:themeColor="text1" w:themeTint="A6"/>
                          <w:sz w:val="18"/>
                          <w:szCs w:val="18"/>
                          <w:lang w:val="es-ES"/>
                        </w:rPr>
                        <w:t>-</w:t>
                      </w:r>
                      <w:r w:rsidR="000449BB">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58EB275D" w:rsidR="00113F73" w:rsidRPr="007B05C4" w:rsidRDefault="000449B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Florindo Eleuterio Flores Hala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8173AE">
                        <w:rPr>
                          <w:rFonts w:asciiTheme="majorHAnsi" w:hAnsiTheme="majorHAnsi"/>
                          <w:color w:val="595959" w:themeColor="text1" w:themeTint="A6"/>
                          <w:sz w:val="18"/>
                          <w:szCs w:val="18"/>
                          <w:lang w:val="es-ES"/>
                        </w:rPr>
                        <w:t>13 de agosto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C7815F9" w:rsidR="0090270B" w:rsidRDefault="0090270B" w:rsidP="005516A1">
      <w:pPr>
        <w:tabs>
          <w:tab w:val="center" w:pos="5400"/>
        </w:tabs>
        <w:suppressAutoHyphens/>
        <w:jc w:val="center"/>
        <w:rPr>
          <w:rFonts w:asciiTheme="majorHAnsi" w:hAnsiTheme="majorHAnsi"/>
          <w:b/>
          <w:sz w:val="20"/>
          <w:lang w:val="es-ES_tradnl"/>
        </w:rPr>
      </w:pPr>
    </w:p>
    <w:p w14:paraId="150CCFA7" w14:textId="45EFAA2D" w:rsidR="0070697F" w:rsidRDefault="002C432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22872A15">
                <wp:simplePos x="0" y="0"/>
                <wp:positionH relativeFrom="column">
                  <wp:posOffset>1301387</wp:posOffset>
                </wp:positionH>
                <wp:positionV relativeFrom="paragraph">
                  <wp:posOffset>358775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2.45pt;margin-top:28.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1306294">
                <wp:simplePos x="0" y="0"/>
                <wp:positionH relativeFrom="column">
                  <wp:posOffset>-271780</wp:posOffset>
                </wp:positionH>
                <wp:positionV relativeFrom="paragraph">
                  <wp:posOffset>538752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pt;margin-top:42.4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20970869" w:rsidR="003239B8" w:rsidRPr="000D05CB" w:rsidRDefault="000449BB" w:rsidP="008D2290">
            <w:pPr>
              <w:jc w:val="both"/>
              <w:rPr>
                <w:rFonts w:ascii="Cambria" w:hAnsi="Cambria"/>
                <w:bCs/>
                <w:sz w:val="20"/>
                <w:szCs w:val="20"/>
              </w:rPr>
            </w:pPr>
            <w:r w:rsidRPr="000449BB">
              <w:rPr>
                <w:rFonts w:ascii="Cambria" w:hAnsi="Cambria"/>
                <w:bCs/>
                <w:sz w:val="20"/>
                <w:szCs w:val="20"/>
              </w:rPr>
              <w:t>Mauro Apaico Paucar</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C94B1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F16B675" w:rsidR="003239B8" w:rsidRPr="000D05CB" w:rsidRDefault="000449BB" w:rsidP="008D2290">
            <w:pPr>
              <w:jc w:val="both"/>
              <w:rPr>
                <w:rFonts w:ascii="Cambria" w:hAnsi="Cambria"/>
                <w:bCs/>
                <w:sz w:val="20"/>
                <w:szCs w:val="20"/>
                <w:lang w:val="es-ES"/>
              </w:rPr>
            </w:pPr>
            <w:r w:rsidRPr="000449BB">
              <w:rPr>
                <w:rFonts w:ascii="Cambria" w:hAnsi="Cambria"/>
                <w:bCs/>
                <w:sz w:val="20"/>
                <w:szCs w:val="20"/>
                <w:lang w:val="es-ES"/>
              </w:rPr>
              <w:t>Florindo Eleuterio Flores Hala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27DFF0F" w:rsidR="003239B8" w:rsidRPr="000D05CB" w:rsidRDefault="000449BB" w:rsidP="008D2290">
            <w:pPr>
              <w:jc w:val="both"/>
              <w:rPr>
                <w:rFonts w:ascii="Cambria" w:hAnsi="Cambria"/>
                <w:bCs/>
                <w:sz w:val="20"/>
                <w:szCs w:val="20"/>
              </w:rPr>
            </w:pPr>
            <w:r w:rsidRPr="00BA0F02">
              <w:rPr>
                <w:rFonts w:ascii="Cambria" w:hAnsi="Cambria"/>
                <w:bCs/>
                <w:sz w:val="20"/>
                <w:szCs w:val="20"/>
                <w:lang w:val="es-PE"/>
              </w:rPr>
              <w:t>Perú</w:t>
            </w:r>
            <w:r w:rsidRPr="00BA0F02">
              <w:rPr>
                <w:rStyle w:val="FootnoteReference"/>
                <w:rFonts w:ascii="Cambria" w:hAnsi="Cambria"/>
                <w:bCs/>
                <w:sz w:val="20"/>
                <w:szCs w:val="20"/>
                <w:lang w:val="es-PE"/>
              </w:rPr>
              <w:footnoteReference w:id="2"/>
            </w:r>
          </w:p>
        </w:tc>
      </w:tr>
      <w:tr w:rsidR="00223A29" w:rsidRPr="0034498C"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6F8A1EC" w:rsidR="00223A29" w:rsidRPr="000449BB" w:rsidRDefault="00A02985" w:rsidP="008D2290">
            <w:pPr>
              <w:jc w:val="both"/>
              <w:rPr>
                <w:rFonts w:ascii="Cambria" w:hAnsi="Cambria"/>
                <w:bCs/>
                <w:sz w:val="20"/>
                <w:szCs w:val="20"/>
                <w:lang w:val="es-ES"/>
              </w:rPr>
            </w:pPr>
            <w:r>
              <w:rPr>
                <w:rFonts w:ascii="Cambria" w:hAnsi="Cambria"/>
                <w:bCs/>
                <w:sz w:val="20"/>
                <w:szCs w:val="20"/>
                <w:lang w:val="es-PE"/>
              </w:rPr>
              <w:t xml:space="preserve">Artículos </w:t>
            </w:r>
            <w:r w:rsidR="0022530C">
              <w:rPr>
                <w:rFonts w:ascii="Cambria" w:hAnsi="Cambria"/>
                <w:bCs/>
                <w:sz w:val="20"/>
                <w:szCs w:val="20"/>
                <w:lang w:val="es-PE"/>
              </w:rPr>
              <w:t>5 (integridad personal</w:t>
            </w:r>
            <w:r w:rsidR="009F1587">
              <w:rPr>
                <w:rFonts w:ascii="Cambria" w:hAnsi="Cambria"/>
                <w:bCs/>
                <w:sz w:val="20"/>
                <w:szCs w:val="20"/>
                <w:lang w:val="es-PE"/>
              </w:rPr>
              <w:t>)</w:t>
            </w:r>
            <w:r w:rsidR="0022530C">
              <w:rPr>
                <w:rFonts w:ascii="Cambria" w:hAnsi="Cambria"/>
                <w:bCs/>
                <w:sz w:val="20"/>
                <w:szCs w:val="20"/>
                <w:lang w:val="es-PE"/>
              </w:rPr>
              <w:t xml:space="preserve">, </w:t>
            </w:r>
            <w:r>
              <w:rPr>
                <w:rFonts w:ascii="Cambria" w:hAnsi="Cambria"/>
                <w:bCs/>
                <w:sz w:val="20"/>
                <w:szCs w:val="20"/>
                <w:lang w:val="es-PE"/>
              </w:rPr>
              <w:t>7 (libertad de personal), 8 (garantías judiciales)</w:t>
            </w:r>
            <w:r w:rsidR="0022530C">
              <w:rPr>
                <w:rFonts w:ascii="Cambria" w:hAnsi="Cambria"/>
                <w:bCs/>
                <w:sz w:val="20"/>
                <w:szCs w:val="20"/>
                <w:lang w:val="es-PE"/>
              </w:rPr>
              <w:t>, 9 (principio de legalidad y de retroactividad)</w:t>
            </w:r>
            <w:r>
              <w:rPr>
                <w:rFonts w:ascii="Cambria" w:hAnsi="Cambria"/>
                <w:bCs/>
                <w:sz w:val="20"/>
                <w:szCs w:val="20"/>
                <w:lang w:val="es-PE"/>
              </w:rPr>
              <w:t xml:space="preserve"> y 25 (protección judicial) </w:t>
            </w:r>
            <w:r w:rsidR="000449BB">
              <w:rPr>
                <w:rFonts w:ascii="Cambria" w:hAnsi="Cambria"/>
                <w:bCs/>
                <w:sz w:val="20"/>
                <w:szCs w:val="20"/>
                <w:lang w:val="es-PE"/>
              </w:rPr>
              <w:t>de la Convención Americana sobre Derechos Humanos</w:t>
            </w:r>
            <w:r w:rsidR="000449BB">
              <w:rPr>
                <w:rStyle w:val="FootnoteReference"/>
                <w:rFonts w:ascii="Cambria" w:hAnsi="Cambria"/>
                <w:bCs/>
                <w:sz w:val="20"/>
                <w:szCs w:val="20"/>
                <w:lang w:val="es-PE"/>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23DBBD5" w:rsidR="004C2312" w:rsidRPr="003239B8" w:rsidRDefault="006359A5" w:rsidP="002625EA">
            <w:pPr>
              <w:jc w:val="both"/>
              <w:rPr>
                <w:rFonts w:ascii="Cambria" w:hAnsi="Cambria"/>
                <w:bCs/>
                <w:sz w:val="20"/>
                <w:szCs w:val="20"/>
                <w:lang w:val="es-ES"/>
              </w:rPr>
            </w:pPr>
            <w:r>
              <w:rPr>
                <w:rFonts w:ascii="Cambria" w:hAnsi="Cambria"/>
                <w:bCs/>
                <w:sz w:val="20"/>
                <w:szCs w:val="20"/>
                <w:lang w:val="es-ES"/>
              </w:rPr>
              <w:t>2 de septiembre de 2015</w:t>
            </w:r>
          </w:p>
        </w:tc>
      </w:tr>
      <w:tr w:rsidR="00131425" w:rsidRPr="0034498C"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4C5E07A5" w:rsidR="00131425" w:rsidRPr="003239B8" w:rsidRDefault="006359A5" w:rsidP="002625EA">
            <w:pPr>
              <w:jc w:val="both"/>
              <w:rPr>
                <w:rFonts w:ascii="Cambria" w:hAnsi="Cambria"/>
                <w:bCs/>
                <w:sz w:val="20"/>
                <w:szCs w:val="20"/>
                <w:lang w:val="es-ES"/>
              </w:rPr>
            </w:pPr>
            <w:r>
              <w:rPr>
                <w:rFonts w:ascii="Cambria" w:hAnsi="Cambria"/>
                <w:bCs/>
                <w:sz w:val="20"/>
                <w:szCs w:val="20"/>
                <w:lang w:val="es-ES"/>
              </w:rPr>
              <w:t>22 de septiembre de 2015, 12 de febrero de 2020</w:t>
            </w:r>
            <w:r w:rsidR="00477DA7">
              <w:rPr>
                <w:rFonts w:ascii="Cambria" w:hAnsi="Cambria"/>
                <w:bCs/>
                <w:sz w:val="20"/>
                <w:szCs w:val="20"/>
                <w:lang w:val="es-ES"/>
              </w:rPr>
              <w:t xml:space="preserve">, </w:t>
            </w:r>
            <w:r w:rsidR="00EA4060">
              <w:rPr>
                <w:rFonts w:ascii="Cambria" w:hAnsi="Cambria"/>
                <w:bCs/>
                <w:sz w:val="20"/>
                <w:szCs w:val="20"/>
                <w:lang w:val="es-ES"/>
              </w:rPr>
              <w:t>20</w:t>
            </w:r>
            <w:r w:rsidR="00477DA7">
              <w:rPr>
                <w:rFonts w:ascii="Cambria" w:hAnsi="Cambria"/>
                <w:bCs/>
                <w:sz w:val="20"/>
                <w:szCs w:val="20"/>
                <w:lang w:val="es-ES"/>
              </w:rPr>
              <w:t xml:space="preserve"> de septiembre de 2021</w:t>
            </w:r>
          </w:p>
        </w:tc>
      </w:tr>
      <w:tr w:rsidR="004C2312" w:rsidRPr="000449B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63CA67C4" w:rsidR="004C2312" w:rsidRPr="003239B8" w:rsidRDefault="00477DA7" w:rsidP="008D2290">
            <w:pPr>
              <w:jc w:val="both"/>
              <w:rPr>
                <w:rFonts w:ascii="Cambria" w:hAnsi="Cambria"/>
                <w:bCs/>
                <w:sz w:val="20"/>
                <w:szCs w:val="20"/>
                <w:lang w:val="es-ES"/>
              </w:rPr>
            </w:pPr>
            <w:r>
              <w:rPr>
                <w:rFonts w:ascii="Cambria" w:hAnsi="Cambria"/>
                <w:bCs/>
                <w:sz w:val="20"/>
                <w:szCs w:val="20"/>
                <w:lang w:val="es-ES"/>
              </w:rPr>
              <w:t>29 de junio de 2021</w:t>
            </w:r>
          </w:p>
        </w:tc>
      </w:tr>
      <w:tr w:rsidR="004C2312" w:rsidRPr="0034498C"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7CA3B894" w:rsidR="004C2312" w:rsidRPr="003239B8" w:rsidRDefault="00477DA7" w:rsidP="008D2290">
            <w:pPr>
              <w:jc w:val="both"/>
              <w:rPr>
                <w:rFonts w:ascii="Cambria" w:hAnsi="Cambria"/>
                <w:bCs/>
                <w:sz w:val="20"/>
                <w:szCs w:val="20"/>
                <w:lang w:val="es-ES"/>
              </w:rPr>
            </w:pPr>
            <w:r>
              <w:rPr>
                <w:rFonts w:ascii="Cambria" w:hAnsi="Cambria"/>
                <w:bCs/>
                <w:sz w:val="20"/>
                <w:szCs w:val="20"/>
                <w:lang w:val="es-ES"/>
              </w:rPr>
              <w:t>20 de octubre de 2021</w:t>
            </w:r>
            <w:r w:rsidR="00B40D90">
              <w:rPr>
                <w:rFonts w:ascii="Cambria" w:hAnsi="Cambria"/>
                <w:bCs/>
                <w:sz w:val="20"/>
                <w:szCs w:val="20"/>
                <w:lang w:val="es-ES"/>
              </w:rPr>
              <w:t xml:space="preserve"> y 4 de mayo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38DD915B" w:rsidR="001E49E7" w:rsidRPr="003239B8" w:rsidRDefault="006359A5" w:rsidP="002625EA">
            <w:pPr>
              <w:jc w:val="both"/>
              <w:rPr>
                <w:rFonts w:ascii="Cambria" w:hAnsi="Cambria"/>
                <w:bCs/>
                <w:sz w:val="20"/>
                <w:szCs w:val="20"/>
                <w:lang w:val="es-ES"/>
              </w:rPr>
            </w:pPr>
            <w:r>
              <w:rPr>
                <w:rFonts w:ascii="Cambria" w:hAnsi="Cambria"/>
                <w:bCs/>
                <w:sz w:val="20"/>
                <w:szCs w:val="20"/>
                <w:lang w:val="es-ES"/>
              </w:rPr>
              <w:t>4 de febrero de 2020</w:t>
            </w:r>
          </w:p>
        </w:tc>
      </w:tr>
      <w:tr w:rsidR="001E49E7" w:rsidRPr="000449BB"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742C34A6" w:rsidR="001E49E7" w:rsidRPr="003239B8" w:rsidRDefault="006359A5" w:rsidP="002625EA">
            <w:pPr>
              <w:jc w:val="both"/>
              <w:rPr>
                <w:rFonts w:ascii="Cambria" w:hAnsi="Cambria"/>
                <w:bCs/>
                <w:sz w:val="20"/>
                <w:szCs w:val="20"/>
                <w:lang w:val="es-ES"/>
              </w:rPr>
            </w:pPr>
            <w:r>
              <w:rPr>
                <w:rFonts w:ascii="Cambria" w:hAnsi="Cambria"/>
                <w:bCs/>
                <w:sz w:val="20"/>
                <w:szCs w:val="20"/>
                <w:lang w:val="es-ES"/>
              </w:rPr>
              <w:t>12 de febrero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264821E4" w:rsidR="003239B8" w:rsidRPr="00B3745F" w:rsidRDefault="00B40D90"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612E4D2F" w:rsidR="003239B8" w:rsidRPr="00B3745F" w:rsidRDefault="00B40D90"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55CB3C4A" w:rsidR="003239B8" w:rsidRPr="00B3745F" w:rsidRDefault="00B40D90" w:rsidP="008D2290">
            <w:pPr>
              <w:rPr>
                <w:rFonts w:ascii="Cambria" w:hAnsi="Cambria"/>
                <w:bCs/>
                <w:sz w:val="20"/>
                <w:szCs w:val="20"/>
              </w:rPr>
            </w:pPr>
            <w:r>
              <w:rPr>
                <w:rFonts w:ascii="Cambria" w:hAnsi="Cambria"/>
                <w:bCs/>
                <w:sz w:val="20"/>
                <w:szCs w:val="20"/>
              </w:rPr>
              <w:t>Sí</w:t>
            </w:r>
          </w:p>
        </w:tc>
      </w:tr>
      <w:tr w:rsidR="003239B8" w:rsidRPr="0034498C"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5B751FC5" w:rsidR="003239B8" w:rsidRPr="00B3745F" w:rsidRDefault="00B40D90" w:rsidP="008D2290">
            <w:pPr>
              <w:jc w:val="both"/>
              <w:rPr>
                <w:rFonts w:ascii="Cambria" w:hAnsi="Cambria"/>
                <w:bCs/>
                <w:sz w:val="20"/>
                <w:szCs w:val="20"/>
                <w:lang w:val="es-ES"/>
              </w:rPr>
            </w:pPr>
            <w:r>
              <w:rPr>
                <w:rFonts w:ascii="Cambria" w:hAnsi="Cambria"/>
                <w:bCs/>
                <w:sz w:val="20"/>
                <w:szCs w:val="20"/>
                <w:lang w:val="es-ES"/>
              </w:rPr>
              <w:t>Sí</w:t>
            </w:r>
            <w:r w:rsidRPr="00420B5B">
              <w:rPr>
                <w:rFonts w:ascii="Cambria" w:hAnsi="Cambria"/>
                <w:bCs/>
                <w:sz w:val="20"/>
                <w:szCs w:val="20"/>
                <w:lang w:val="es-ES"/>
              </w:rPr>
              <w:t>,</w:t>
            </w:r>
            <w:r w:rsidR="00DC496C">
              <w:rPr>
                <w:rFonts w:ascii="Cambria" w:hAnsi="Cambria"/>
                <w:bCs/>
                <w:sz w:val="20"/>
                <w:szCs w:val="20"/>
                <w:lang w:val="es-ES"/>
              </w:rPr>
              <w:t xml:space="preserve"> </w:t>
            </w:r>
            <w:r w:rsidRPr="00420B5B">
              <w:rPr>
                <w:rFonts w:ascii="Cambria" w:hAnsi="Cambria"/>
                <w:bCs/>
                <w:sz w:val="20"/>
                <w:szCs w:val="20"/>
                <w:lang w:val="es-ES"/>
              </w:rPr>
              <w:t>Convención Americana (depósito del instrumento de ratificación realizado el 28 de julio de 1978)</w:t>
            </w:r>
          </w:p>
        </w:tc>
      </w:tr>
    </w:tbl>
    <w:p w14:paraId="299A3868" w14:textId="76F72B4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010A00" w:rsidRPr="003239B8">
        <w:rPr>
          <w:rFonts w:asciiTheme="majorHAnsi" w:hAnsiTheme="majorHAnsi"/>
          <w:b/>
          <w:bCs/>
          <w:sz w:val="20"/>
          <w:szCs w:val="20"/>
          <w:lang w:val="es-ES"/>
        </w:rPr>
        <w:t>INTERNACIONAL</w:t>
      </w:r>
      <w:r w:rsidR="00010A00">
        <w:rPr>
          <w:rFonts w:asciiTheme="majorHAnsi" w:hAnsiTheme="majorHAnsi"/>
          <w:b/>
          <w:bCs/>
          <w:sz w:val="20"/>
          <w:szCs w:val="20"/>
          <w:lang w:val="es-ES"/>
        </w:rPr>
        <w:t xml:space="preserve">, </w:t>
      </w:r>
      <w:r w:rsidR="00010A00"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F158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73909FFE" w:rsidR="00EE00E9" w:rsidRPr="00DC24E3" w:rsidRDefault="00550893" w:rsidP="008D2290">
            <w:pPr>
              <w:jc w:val="both"/>
              <w:rPr>
                <w:rFonts w:ascii="Cambria" w:hAnsi="Cambria"/>
                <w:bCs/>
                <w:sz w:val="20"/>
                <w:szCs w:val="20"/>
                <w:lang w:val="es-ES"/>
              </w:rPr>
            </w:pPr>
            <w:r>
              <w:rPr>
                <w:rFonts w:ascii="Cambria" w:hAnsi="Cambria"/>
                <w:bCs/>
                <w:sz w:val="20"/>
                <w:szCs w:val="20"/>
                <w:lang w:val="es-ES"/>
              </w:rPr>
              <w:t>No</w:t>
            </w:r>
          </w:p>
        </w:tc>
      </w:tr>
      <w:tr w:rsidR="003239B8" w:rsidRPr="0034498C"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6A97D180" w:rsidR="003239B8" w:rsidRPr="00C93707" w:rsidRDefault="00C93707" w:rsidP="008D2290">
            <w:pPr>
              <w:jc w:val="both"/>
              <w:rPr>
                <w:rFonts w:ascii="Cambria" w:hAnsi="Cambria"/>
                <w:bCs/>
                <w:sz w:val="20"/>
                <w:szCs w:val="20"/>
                <w:lang w:val="es-ES"/>
              </w:rPr>
            </w:pPr>
            <w:r w:rsidRPr="00C93707">
              <w:rPr>
                <w:rFonts w:ascii="Cambria" w:hAnsi="Cambria"/>
                <w:bCs/>
                <w:sz w:val="20"/>
                <w:szCs w:val="20"/>
                <w:lang w:val="es-ES"/>
              </w:rPr>
              <w:t>Artículos</w:t>
            </w:r>
            <w:r>
              <w:rPr>
                <w:rFonts w:ascii="Cambria" w:hAnsi="Cambria"/>
                <w:bCs/>
                <w:sz w:val="20"/>
                <w:szCs w:val="20"/>
                <w:lang w:val="es-PE"/>
              </w:rPr>
              <w:t xml:space="preserve"> 7 (libertad de personal), 8 (garantías judiciales), 9 (principio de legalidad y de retroactividad) y 25 (protección judicial) de la Convención Americana</w:t>
            </w:r>
            <w:r w:rsidR="00A64074">
              <w:rPr>
                <w:rFonts w:ascii="Cambria" w:hAnsi="Cambria"/>
                <w:bCs/>
                <w:sz w:val="20"/>
                <w:szCs w:val="20"/>
                <w:lang w:val="es-PE"/>
              </w:rPr>
              <w:t>, en relación con su</w:t>
            </w:r>
            <w:r w:rsidR="004F0DB1">
              <w:rPr>
                <w:rFonts w:ascii="Cambria" w:hAnsi="Cambria"/>
                <w:bCs/>
                <w:sz w:val="20"/>
                <w:szCs w:val="20"/>
                <w:lang w:val="es-PE"/>
              </w:rPr>
              <w:t>s</w:t>
            </w:r>
            <w:r w:rsidR="00A64074">
              <w:rPr>
                <w:rFonts w:ascii="Cambria" w:hAnsi="Cambria"/>
                <w:bCs/>
                <w:sz w:val="20"/>
                <w:szCs w:val="20"/>
                <w:lang w:val="es-PE"/>
              </w:rPr>
              <w:t xml:space="preserve"> artículo</w:t>
            </w:r>
            <w:r w:rsidR="004F0DB1">
              <w:rPr>
                <w:rFonts w:ascii="Cambria" w:hAnsi="Cambria"/>
                <w:bCs/>
                <w:sz w:val="20"/>
                <w:szCs w:val="20"/>
                <w:lang w:val="es-PE"/>
              </w:rPr>
              <w:t>s</w:t>
            </w:r>
            <w:r w:rsidR="00A64074">
              <w:rPr>
                <w:rFonts w:ascii="Cambria" w:hAnsi="Cambria"/>
                <w:bCs/>
                <w:sz w:val="20"/>
                <w:szCs w:val="20"/>
                <w:lang w:val="es-PE"/>
              </w:rPr>
              <w:t xml:space="preserve"> 1.1 (obligación de respetar los derechos)</w:t>
            </w:r>
            <w:r w:rsidR="004F0DB1">
              <w:rPr>
                <w:rFonts w:ascii="Cambria" w:hAnsi="Cambria"/>
                <w:bCs/>
                <w:sz w:val="20"/>
                <w:szCs w:val="20"/>
                <w:lang w:val="es-PE"/>
              </w:rPr>
              <w:t xml:space="preserve"> y 2 (deber de adoptar disposiciones de derecho interno)</w:t>
            </w:r>
          </w:p>
        </w:tc>
      </w:tr>
      <w:tr w:rsidR="003239B8" w:rsidRPr="007B5E6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28F7098" w:rsidR="003239B8" w:rsidRPr="00DC24E3" w:rsidRDefault="00550893" w:rsidP="008D2290">
            <w:pPr>
              <w:rPr>
                <w:rFonts w:ascii="Cambria" w:hAnsi="Cambria"/>
                <w:bCs/>
                <w:sz w:val="20"/>
                <w:szCs w:val="20"/>
                <w:lang w:val="es-ES"/>
              </w:rPr>
            </w:pPr>
            <w:r>
              <w:rPr>
                <w:rFonts w:ascii="Cambria" w:hAnsi="Cambria"/>
                <w:bCs/>
                <w:sz w:val="20"/>
                <w:szCs w:val="20"/>
                <w:lang w:val="es-ES"/>
              </w:rPr>
              <w:t>Sí</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508CAB7" w:rsidR="003239B8" w:rsidRPr="00DC24E3" w:rsidRDefault="00550893" w:rsidP="008D2290">
            <w:pPr>
              <w:rPr>
                <w:rFonts w:ascii="Cambria" w:hAnsi="Cambria"/>
                <w:bCs/>
                <w:sz w:val="20"/>
                <w:szCs w:val="20"/>
              </w:rPr>
            </w:pPr>
            <w:r>
              <w:rPr>
                <w:rFonts w:ascii="Cambria" w:hAnsi="Cambria"/>
                <w:bCs/>
                <w:sz w:val="20"/>
                <w:szCs w:val="20"/>
              </w:rPr>
              <w:t>Sí</w:t>
            </w:r>
          </w:p>
        </w:tc>
      </w:tr>
    </w:tbl>
    <w:p w14:paraId="56FD5D57" w14:textId="252B1FD5" w:rsidR="003239B8" w:rsidRPr="00390BA4" w:rsidRDefault="00223A29" w:rsidP="003239B8">
      <w:pPr>
        <w:spacing w:before="240" w:after="240"/>
        <w:ind w:firstLine="720"/>
        <w:jc w:val="both"/>
        <w:rPr>
          <w:rFonts w:asciiTheme="majorHAnsi" w:hAnsiTheme="majorHAnsi"/>
          <w:b/>
          <w:sz w:val="20"/>
          <w:szCs w:val="20"/>
          <w:lang w:val="es-ES_tradnl"/>
        </w:rPr>
      </w:pPr>
      <w:r w:rsidRPr="00390BA4">
        <w:rPr>
          <w:rFonts w:asciiTheme="majorHAnsi" w:hAnsiTheme="majorHAnsi"/>
          <w:b/>
          <w:sz w:val="20"/>
          <w:szCs w:val="20"/>
          <w:lang w:val="es-ES_tradnl"/>
        </w:rPr>
        <w:t xml:space="preserve">V. </w:t>
      </w:r>
      <w:r w:rsidRPr="00390BA4">
        <w:rPr>
          <w:rFonts w:asciiTheme="majorHAnsi" w:hAnsiTheme="majorHAnsi"/>
          <w:b/>
          <w:sz w:val="20"/>
          <w:szCs w:val="20"/>
          <w:lang w:val="es-ES_tradnl"/>
        </w:rPr>
        <w:tab/>
      </w:r>
      <w:r w:rsidR="004241A0" w:rsidRPr="00390BA4">
        <w:rPr>
          <w:rFonts w:asciiTheme="majorHAnsi" w:hAnsiTheme="majorHAnsi"/>
          <w:b/>
          <w:sz w:val="20"/>
          <w:szCs w:val="20"/>
          <w:lang w:val="es-ES_tradnl"/>
        </w:rPr>
        <w:t>POSICIÓN DE LAS PARTES</w:t>
      </w:r>
      <w:r w:rsidR="003239B8" w:rsidRPr="00390BA4">
        <w:rPr>
          <w:rFonts w:asciiTheme="majorHAnsi" w:hAnsiTheme="majorHAnsi"/>
          <w:b/>
          <w:sz w:val="20"/>
          <w:szCs w:val="20"/>
          <w:lang w:val="es-ES_tradnl"/>
        </w:rPr>
        <w:t xml:space="preserve"> </w:t>
      </w:r>
    </w:p>
    <w:p w14:paraId="64E85907" w14:textId="1E8D3C3C" w:rsidR="005F601A" w:rsidRPr="00390BA4" w:rsidRDefault="00261896" w:rsidP="004059D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Cambria" w:hAnsi="Cambria"/>
          <w:sz w:val="20"/>
          <w:szCs w:val="20"/>
          <w:lang w:val="es-ES_tradnl"/>
        </w:rPr>
        <w:t xml:space="preserve">El peticionario </w:t>
      </w:r>
      <w:r w:rsidR="00C93707" w:rsidRPr="00390BA4">
        <w:rPr>
          <w:rFonts w:ascii="Cambria" w:hAnsi="Cambria"/>
          <w:sz w:val="20"/>
          <w:szCs w:val="20"/>
          <w:lang w:val="es-ES_tradnl"/>
        </w:rPr>
        <w:t>denuncia que</w:t>
      </w:r>
      <w:r w:rsidR="004059D1" w:rsidRPr="00390BA4">
        <w:rPr>
          <w:rFonts w:ascii="Cambria" w:hAnsi="Cambria"/>
          <w:sz w:val="20"/>
          <w:szCs w:val="20"/>
          <w:lang w:val="es-ES_tradnl"/>
        </w:rPr>
        <w:t xml:space="preserve"> los órganos de justicia condenaron</w:t>
      </w:r>
      <w:r w:rsidR="004059D1" w:rsidRPr="00390BA4">
        <w:rPr>
          <w:rFonts w:asciiTheme="majorHAnsi" w:hAnsiTheme="majorHAnsi"/>
          <w:i/>
          <w:iCs/>
          <w:sz w:val="20"/>
          <w:szCs w:val="20"/>
          <w:lang w:val="es-ES_tradnl"/>
        </w:rPr>
        <w:t xml:space="preserve"> </w:t>
      </w:r>
      <w:r w:rsidR="004059D1" w:rsidRPr="00390BA4">
        <w:rPr>
          <w:rFonts w:ascii="Cambria" w:hAnsi="Cambria"/>
          <w:sz w:val="20"/>
          <w:szCs w:val="20"/>
          <w:lang w:val="es-ES_tradnl"/>
        </w:rPr>
        <w:t>a</w:t>
      </w:r>
      <w:r w:rsidR="00C93707" w:rsidRPr="00390BA4">
        <w:rPr>
          <w:rFonts w:ascii="Cambria" w:hAnsi="Cambria"/>
          <w:sz w:val="20"/>
          <w:szCs w:val="20"/>
          <w:lang w:val="es-ES_tradnl"/>
        </w:rPr>
        <w:t>l señor Flores Hala por el delito de terrorismo</w:t>
      </w:r>
      <w:r w:rsidR="004059D1" w:rsidRPr="00390BA4">
        <w:rPr>
          <w:rFonts w:ascii="Cambria" w:hAnsi="Cambria"/>
          <w:sz w:val="20"/>
          <w:szCs w:val="20"/>
          <w:lang w:val="es-ES_tradnl"/>
        </w:rPr>
        <w:t xml:space="preserve">, debido a su condición de integrante de la organización Sendero Luminoso, </w:t>
      </w:r>
      <w:r w:rsidR="00C93707" w:rsidRPr="00390BA4">
        <w:rPr>
          <w:rFonts w:ascii="Cambria" w:hAnsi="Cambria"/>
          <w:sz w:val="20"/>
          <w:szCs w:val="20"/>
          <w:lang w:val="es-ES_tradnl"/>
        </w:rPr>
        <w:t xml:space="preserve">en una decisión </w:t>
      </w:r>
      <w:r w:rsidR="00C93707" w:rsidRPr="00390BA4">
        <w:rPr>
          <w:rFonts w:ascii="Cambria" w:hAnsi="Cambria"/>
          <w:sz w:val="20"/>
          <w:szCs w:val="20"/>
          <w:lang w:val="es-ES_tradnl"/>
        </w:rPr>
        <w:lastRenderedPageBreak/>
        <w:t>que violó su derecho al principio de legalidad y a las garantías judiciales, debido a la vaguedad de dicho t</w:t>
      </w:r>
      <w:r w:rsidR="00835878" w:rsidRPr="00390BA4">
        <w:rPr>
          <w:rFonts w:ascii="Cambria" w:hAnsi="Cambria"/>
          <w:sz w:val="20"/>
          <w:szCs w:val="20"/>
          <w:lang w:val="es-ES_tradnl"/>
        </w:rPr>
        <w:t>i</w:t>
      </w:r>
      <w:r w:rsidR="00C93707" w:rsidRPr="00390BA4">
        <w:rPr>
          <w:rFonts w:ascii="Cambria" w:hAnsi="Cambria"/>
          <w:sz w:val="20"/>
          <w:szCs w:val="20"/>
          <w:lang w:val="es-ES_tradnl"/>
        </w:rPr>
        <w:t xml:space="preserve">po penal y las pruebas utilizadas para condenarlo. </w:t>
      </w:r>
    </w:p>
    <w:p w14:paraId="297D5A91" w14:textId="4ED9B0E3" w:rsidR="00F630F7" w:rsidRPr="00390BA4" w:rsidRDefault="00F630F7" w:rsidP="00747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90BA4">
        <w:rPr>
          <w:rFonts w:asciiTheme="majorHAnsi" w:hAnsiTheme="majorHAnsi"/>
          <w:i/>
          <w:iCs/>
          <w:sz w:val="20"/>
          <w:szCs w:val="20"/>
          <w:lang w:val="es-ES_tradnl"/>
        </w:rPr>
        <w:t>Detención de la presunta víctima</w:t>
      </w:r>
    </w:p>
    <w:p w14:paraId="00FF3986" w14:textId="696DE52B" w:rsidR="00C47875" w:rsidRPr="00390BA4" w:rsidRDefault="00E175D9" w:rsidP="005F601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El peticionario a</w:t>
      </w:r>
      <w:r w:rsidR="00C47875" w:rsidRPr="00390BA4">
        <w:rPr>
          <w:rFonts w:asciiTheme="majorHAnsi" w:hAnsiTheme="majorHAnsi"/>
          <w:sz w:val="20"/>
          <w:szCs w:val="20"/>
          <w:lang w:val="es-ES_tradnl"/>
        </w:rPr>
        <w:t>firma que</w:t>
      </w:r>
      <w:r w:rsidR="000438D6" w:rsidRPr="00390BA4">
        <w:rPr>
          <w:rFonts w:asciiTheme="majorHAnsi" w:hAnsiTheme="majorHAnsi"/>
          <w:sz w:val="20"/>
          <w:szCs w:val="20"/>
          <w:lang w:val="es-ES_tradnl"/>
        </w:rPr>
        <w:t xml:space="preserve"> el señor Flores Hala</w:t>
      </w:r>
      <w:r w:rsidR="00C47875" w:rsidRPr="00390BA4">
        <w:rPr>
          <w:rFonts w:asciiTheme="majorHAnsi" w:hAnsiTheme="majorHAnsi"/>
          <w:sz w:val="20"/>
          <w:szCs w:val="20"/>
          <w:lang w:val="es-ES_tradnl"/>
        </w:rPr>
        <w:t xml:space="preserve"> formó parte del Partido Comunista del Perú</w:t>
      </w:r>
      <w:r w:rsidR="000438D6" w:rsidRPr="00390BA4">
        <w:rPr>
          <w:rFonts w:asciiTheme="majorHAnsi" w:hAnsiTheme="majorHAnsi"/>
          <w:sz w:val="20"/>
          <w:szCs w:val="20"/>
          <w:lang w:val="es-ES_tradnl"/>
        </w:rPr>
        <w:t xml:space="preserve"> y que</w:t>
      </w:r>
      <w:r w:rsidR="00F8479F">
        <w:rPr>
          <w:rFonts w:asciiTheme="majorHAnsi" w:hAnsiTheme="majorHAnsi"/>
          <w:sz w:val="20"/>
          <w:szCs w:val="20"/>
          <w:lang w:val="es-ES_tradnl"/>
        </w:rPr>
        <w:t>,</w:t>
      </w:r>
      <w:r w:rsidR="000438D6" w:rsidRPr="00390BA4">
        <w:rPr>
          <w:rFonts w:asciiTheme="majorHAnsi" w:hAnsiTheme="majorHAnsi"/>
          <w:sz w:val="20"/>
          <w:szCs w:val="20"/>
          <w:lang w:val="es-ES_tradnl"/>
        </w:rPr>
        <w:t xml:space="preserve"> debido a ello</w:t>
      </w:r>
      <w:r w:rsidR="00F8479F">
        <w:rPr>
          <w:rFonts w:asciiTheme="majorHAnsi" w:hAnsiTheme="majorHAnsi"/>
          <w:sz w:val="20"/>
          <w:szCs w:val="20"/>
          <w:lang w:val="es-ES_tradnl"/>
        </w:rPr>
        <w:t>,</w:t>
      </w:r>
      <w:r w:rsidR="000438D6" w:rsidRPr="00390BA4">
        <w:rPr>
          <w:rFonts w:asciiTheme="majorHAnsi" w:hAnsiTheme="majorHAnsi"/>
          <w:sz w:val="20"/>
          <w:szCs w:val="20"/>
          <w:lang w:val="es-ES_tradnl"/>
        </w:rPr>
        <w:t xml:space="preserve"> el 11 de febrero de 2012</w:t>
      </w:r>
      <w:r w:rsidR="00F8479F">
        <w:rPr>
          <w:rFonts w:asciiTheme="majorHAnsi" w:hAnsiTheme="majorHAnsi"/>
          <w:sz w:val="20"/>
          <w:szCs w:val="20"/>
          <w:lang w:val="es-ES_tradnl"/>
        </w:rPr>
        <w:t>,</w:t>
      </w:r>
      <w:r w:rsidR="000438D6" w:rsidRPr="00390BA4">
        <w:rPr>
          <w:rFonts w:asciiTheme="majorHAnsi" w:hAnsiTheme="majorHAnsi"/>
          <w:sz w:val="20"/>
          <w:szCs w:val="20"/>
          <w:lang w:val="es-ES_tradnl"/>
        </w:rPr>
        <w:t xml:space="preserve"> dos agentes especiales del Estado</w:t>
      </w:r>
      <w:r w:rsidR="00F73A64" w:rsidRPr="00390BA4">
        <w:rPr>
          <w:rFonts w:asciiTheme="majorHAnsi" w:hAnsiTheme="majorHAnsi"/>
          <w:sz w:val="20"/>
          <w:szCs w:val="20"/>
          <w:lang w:val="es-ES_tradnl"/>
        </w:rPr>
        <w:t>, en un operativo,</w:t>
      </w:r>
      <w:r w:rsidR="000438D6" w:rsidRPr="00390BA4">
        <w:rPr>
          <w:rFonts w:asciiTheme="majorHAnsi" w:hAnsiTheme="majorHAnsi"/>
          <w:sz w:val="20"/>
          <w:szCs w:val="20"/>
          <w:lang w:val="es-ES_tradnl"/>
        </w:rPr>
        <w:t xml:space="preserve"> </w:t>
      </w:r>
      <w:r w:rsidR="00F73A64" w:rsidRPr="00390BA4">
        <w:rPr>
          <w:rFonts w:asciiTheme="majorHAnsi" w:hAnsiTheme="majorHAnsi"/>
          <w:sz w:val="20"/>
          <w:szCs w:val="20"/>
          <w:lang w:val="es-ES_tradnl"/>
        </w:rPr>
        <w:t>le dispararon con</w:t>
      </w:r>
      <w:r w:rsidR="00B517AD" w:rsidRPr="00390BA4">
        <w:rPr>
          <w:rFonts w:asciiTheme="majorHAnsi" w:hAnsiTheme="majorHAnsi"/>
          <w:sz w:val="20"/>
          <w:szCs w:val="20"/>
          <w:lang w:val="es-ES_tradnl"/>
        </w:rPr>
        <w:t xml:space="preserve"> arma de fuego</w:t>
      </w:r>
      <w:r w:rsidR="000438D6" w:rsidRPr="00390BA4">
        <w:rPr>
          <w:rFonts w:asciiTheme="majorHAnsi" w:hAnsiTheme="majorHAnsi"/>
          <w:sz w:val="20"/>
          <w:szCs w:val="20"/>
          <w:lang w:val="es-ES_tradnl"/>
        </w:rPr>
        <w:t xml:space="preserve"> mientras estaba durmiendo</w:t>
      </w:r>
      <w:r w:rsidR="00570951" w:rsidRPr="00390BA4">
        <w:rPr>
          <w:rFonts w:asciiTheme="majorHAnsi" w:hAnsiTheme="majorHAnsi"/>
          <w:sz w:val="20"/>
          <w:szCs w:val="20"/>
          <w:lang w:val="es-ES_tradnl"/>
        </w:rPr>
        <w:t xml:space="preserve"> en su domicilio</w:t>
      </w:r>
      <w:r w:rsidR="00B517AD" w:rsidRPr="00390BA4">
        <w:rPr>
          <w:rFonts w:asciiTheme="majorHAnsi" w:hAnsiTheme="majorHAnsi"/>
          <w:sz w:val="20"/>
          <w:szCs w:val="20"/>
          <w:lang w:val="es-ES_tradnl"/>
        </w:rPr>
        <w:t>, provocándole graves lesiones</w:t>
      </w:r>
      <w:r w:rsidR="000438D6" w:rsidRPr="00390BA4">
        <w:rPr>
          <w:rFonts w:asciiTheme="majorHAnsi" w:hAnsiTheme="majorHAnsi"/>
          <w:sz w:val="20"/>
          <w:szCs w:val="20"/>
          <w:lang w:val="es-ES_tradnl"/>
        </w:rPr>
        <w:t xml:space="preserve">. </w:t>
      </w:r>
      <w:r w:rsidRPr="00390BA4">
        <w:rPr>
          <w:rFonts w:asciiTheme="majorHAnsi" w:hAnsiTheme="majorHAnsi"/>
          <w:sz w:val="20"/>
          <w:szCs w:val="20"/>
          <w:lang w:val="es-ES_tradnl"/>
        </w:rPr>
        <w:t>Luego de este incidente</w:t>
      </w:r>
      <w:r w:rsidR="000438D6" w:rsidRPr="00390BA4">
        <w:rPr>
          <w:rFonts w:asciiTheme="majorHAnsi" w:hAnsiTheme="majorHAnsi"/>
          <w:sz w:val="20"/>
          <w:szCs w:val="20"/>
          <w:lang w:val="es-ES_tradnl"/>
        </w:rPr>
        <w:t>,</w:t>
      </w:r>
      <w:r w:rsidRPr="00390BA4">
        <w:rPr>
          <w:rFonts w:asciiTheme="majorHAnsi" w:hAnsiTheme="majorHAnsi"/>
          <w:sz w:val="20"/>
          <w:szCs w:val="20"/>
          <w:lang w:val="es-ES_tradnl"/>
        </w:rPr>
        <w:t xml:space="preserve"> </w:t>
      </w:r>
      <w:r w:rsidR="00570951" w:rsidRPr="00390BA4">
        <w:rPr>
          <w:rFonts w:asciiTheme="majorHAnsi" w:hAnsiTheme="majorHAnsi"/>
          <w:sz w:val="20"/>
          <w:szCs w:val="20"/>
          <w:lang w:val="es-ES_tradnl"/>
        </w:rPr>
        <w:t xml:space="preserve">al encontrarse herido y </w:t>
      </w:r>
      <w:r w:rsidR="000438D6" w:rsidRPr="00390BA4">
        <w:rPr>
          <w:rFonts w:asciiTheme="majorHAnsi" w:hAnsiTheme="majorHAnsi"/>
          <w:sz w:val="20"/>
          <w:szCs w:val="20"/>
          <w:lang w:val="es-ES_tradnl"/>
        </w:rPr>
        <w:t xml:space="preserve">a efectos </w:t>
      </w:r>
      <w:r w:rsidR="00835878" w:rsidRPr="00390BA4">
        <w:rPr>
          <w:rFonts w:asciiTheme="majorHAnsi" w:hAnsiTheme="majorHAnsi"/>
          <w:sz w:val="20"/>
          <w:szCs w:val="20"/>
          <w:lang w:val="es-ES_tradnl"/>
        </w:rPr>
        <w:t>de evitar su muerte</w:t>
      </w:r>
      <w:r w:rsidR="000438D6" w:rsidRPr="00390BA4">
        <w:rPr>
          <w:rFonts w:asciiTheme="majorHAnsi" w:hAnsiTheme="majorHAnsi"/>
          <w:sz w:val="20"/>
          <w:szCs w:val="20"/>
          <w:lang w:val="es-ES_tradnl"/>
        </w:rPr>
        <w:t>, la presunta víctima se puso a disposición del Ejército</w:t>
      </w:r>
      <w:r w:rsidR="00B517AD" w:rsidRPr="00390BA4">
        <w:rPr>
          <w:rFonts w:asciiTheme="majorHAnsi" w:hAnsiTheme="majorHAnsi"/>
          <w:sz w:val="20"/>
          <w:szCs w:val="20"/>
          <w:lang w:val="es-ES_tradnl"/>
        </w:rPr>
        <w:t>.</w:t>
      </w:r>
    </w:p>
    <w:p w14:paraId="1A6C3E6D" w14:textId="65055A44" w:rsidR="00835878" w:rsidRPr="00390BA4" w:rsidRDefault="00B517AD" w:rsidP="0083587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Indica que las autoridades condujeron al señor Flores Hala a la base militar de la zona de Santa Lucía</w:t>
      </w:r>
      <w:r w:rsidR="00032B48" w:rsidRPr="00390BA4">
        <w:rPr>
          <w:rFonts w:asciiTheme="majorHAnsi" w:hAnsiTheme="majorHAnsi"/>
          <w:sz w:val="20"/>
          <w:szCs w:val="20"/>
          <w:lang w:val="es-ES_tradnl"/>
        </w:rPr>
        <w:t>,</w:t>
      </w:r>
      <w:r w:rsidRPr="00390BA4">
        <w:rPr>
          <w:rFonts w:asciiTheme="majorHAnsi" w:hAnsiTheme="majorHAnsi"/>
          <w:sz w:val="20"/>
          <w:szCs w:val="20"/>
          <w:lang w:val="es-ES_tradnl"/>
        </w:rPr>
        <w:t xml:space="preserve"> y que </w:t>
      </w:r>
      <w:r w:rsidR="00032B48" w:rsidRPr="00390BA4">
        <w:rPr>
          <w:rFonts w:asciiTheme="majorHAnsi" w:hAnsiTheme="majorHAnsi"/>
          <w:sz w:val="20"/>
          <w:szCs w:val="20"/>
          <w:lang w:val="es-ES_tradnl"/>
        </w:rPr>
        <w:t>luego</w:t>
      </w:r>
      <w:r w:rsidRPr="00390BA4">
        <w:rPr>
          <w:rFonts w:asciiTheme="majorHAnsi" w:hAnsiTheme="majorHAnsi"/>
          <w:sz w:val="20"/>
          <w:szCs w:val="20"/>
          <w:lang w:val="es-ES_tradnl"/>
        </w:rPr>
        <w:t xml:space="preserve"> lo trasladaron al hospital de la citada ciudad</w:t>
      </w:r>
      <w:r w:rsidR="00835878" w:rsidRPr="00390BA4">
        <w:rPr>
          <w:rFonts w:asciiTheme="majorHAnsi" w:hAnsiTheme="majorHAnsi"/>
          <w:sz w:val="20"/>
          <w:szCs w:val="20"/>
          <w:lang w:val="es-ES_tradnl"/>
        </w:rPr>
        <w:t xml:space="preserve">. Tras permanecer unos días en el referido centro médico, los agentes del Estado </w:t>
      </w:r>
      <w:r w:rsidRPr="00390BA4">
        <w:rPr>
          <w:rFonts w:asciiTheme="majorHAnsi" w:hAnsiTheme="majorHAnsi"/>
          <w:sz w:val="20"/>
          <w:szCs w:val="20"/>
          <w:lang w:val="es-ES_tradnl"/>
        </w:rPr>
        <w:t>trasladaron a</w:t>
      </w:r>
      <w:r w:rsidR="00835878" w:rsidRPr="00390BA4">
        <w:rPr>
          <w:rFonts w:asciiTheme="majorHAnsi" w:hAnsiTheme="majorHAnsi"/>
          <w:sz w:val="20"/>
          <w:szCs w:val="20"/>
          <w:lang w:val="es-ES_tradnl"/>
        </w:rPr>
        <w:t xml:space="preserve"> </w:t>
      </w:r>
      <w:r w:rsidRPr="00390BA4">
        <w:rPr>
          <w:rFonts w:asciiTheme="majorHAnsi" w:hAnsiTheme="majorHAnsi"/>
          <w:sz w:val="20"/>
          <w:szCs w:val="20"/>
          <w:lang w:val="es-ES_tradnl"/>
        </w:rPr>
        <w:t>l</w:t>
      </w:r>
      <w:r w:rsidR="00835878" w:rsidRPr="00390BA4">
        <w:rPr>
          <w:rFonts w:asciiTheme="majorHAnsi" w:hAnsiTheme="majorHAnsi"/>
          <w:sz w:val="20"/>
          <w:szCs w:val="20"/>
          <w:lang w:val="es-ES_tradnl"/>
        </w:rPr>
        <w:t>a presunta víctima</w:t>
      </w:r>
      <w:r w:rsidRPr="00390BA4">
        <w:rPr>
          <w:rFonts w:asciiTheme="majorHAnsi" w:hAnsiTheme="majorHAnsi"/>
          <w:sz w:val="20"/>
          <w:szCs w:val="20"/>
          <w:lang w:val="es-ES_tradnl"/>
        </w:rPr>
        <w:t xml:space="preserve"> en un avión hacia la ciudad de Lima, al hospital de la Policía Nacional del Perú, donde permaneció durante varios días.</w:t>
      </w:r>
    </w:p>
    <w:p w14:paraId="77F53741" w14:textId="38A9C1D1" w:rsidR="00B517AD" w:rsidRPr="00390BA4" w:rsidRDefault="00BD68AE" w:rsidP="0083587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P</w:t>
      </w:r>
      <w:r w:rsidR="00835878" w:rsidRPr="00390BA4">
        <w:rPr>
          <w:rFonts w:asciiTheme="majorHAnsi" w:hAnsiTheme="majorHAnsi"/>
          <w:sz w:val="20"/>
          <w:szCs w:val="20"/>
          <w:lang w:val="es-ES_tradnl"/>
        </w:rPr>
        <w:t>osteriormente,</w:t>
      </w:r>
      <w:r w:rsidR="00B517AD" w:rsidRPr="00390BA4">
        <w:rPr>
          <w:rFonts w:asciiTheme="majorHAnsi" w:hAnsiTheme="majorHAnsi"/>
          <w:sz w:val="20"/>
          <w:szCs w:val="20"/>
          <w:lang w:val="es-ES_tradnl"/>
        </w:rPr>
        <w:t xml:space="preserve"> las autoridades lo condujeron a la dependencia </w:t>
      </w:r>
      <w:r w:rsidR="00861E24" w:rsidRPr="00390BA4">
        <w:rPr>
          <w:rFonts w:asciiTheme="majorHAnsi" w:hAnsiTheme="majorHAnsi"/>
          <w:sz w:val="20"/>
          <w:szCs w:val="20"/>
          <w:lang w:val="es-ES_tradnl"/>
        </w:rPr>
        <w:t xml:space="preserve">de la Dirección Nacional contra el Terrorismo de la Policía Nacional (en adelante, DINCOTE), lugar en el que permaneció incomunicado, sin que el personal de la Policía le comunique el motivo o los cargos en su contra. En esa línea, afirma que </w:t>
      </w:r>
      <w:r w:rsidR="009F1587" w:rsidRPr="00390BA4">
        <w:rPr>
          <w:rFonts w:asciiTheme="majorHAnsi" w:hAnsiTheme="majorHAnsi"/>
          <w:sz w:val="20"/>
          <w:szCs w:val="20"/>
          <w:lang w:val="es-ES_tradnl"/>
        </w:rPr>
        <w:t>a pesar de que</w:t>
      </w:r>
      <w:r w:rsidR="00861E24" w:rsidRPr="00390BA4">
        <w:rPr>
          <w:rFonts w:asciiTheme="majorHAnsi" w:hAnsiTheme="majorHAnsi"/>
          <w:sz w:val="20"/>
          <w:szCs w:val="20"/>
          <w:lang w:val="es-ES_tradnl"/>
        </w:rPr>
        <w:t xml:space="preserve"> pesaban contra la presunta víctima diversas requisitorias de distintos juzgados penales, jamás se le puso a disposición de las autoridades jurisdiccionales, </w:t>
      </w:r>
      <w:r w:rsidRPr="00390BA4">
        <w:rPr>
          <w:rFonts w:asciiTheme="majorHAnsi" w:hAnsiTheme="majorHAnsi"/>
          <w:sz w:val="20"/>
          <w:szCs w:val="20"/>
          <w:lang w:val="es-ES_tradnl"/>
        </w:rPr>
        <w:t xml:space="preserve">por lo que alega que </w:t>
      </w:r>
      <w:r w:rsidR="00861E24" w:rsidRPr="00390BA4">
        <w:rPr>
          <w:rFonts w:asciiTheme="majorHAnsi" w:hAnsiTheme="majorHAnsi"/>
          <w:sz w:val="20"/>
          <w:szCs w:val="20"/>
          <w:lang w:val="es-ES_tradnl"/>
        </w:rPr>
        <w:t>su permanencia en la DI</w:t>
      </w:r>
      <w:r w:rsidRPr="00390BA4">
        <w:rPr>
          <w:rFonts w:asciiTheme="majorHAnsi" w:hAnsiTheme="majorHAnsi"/>
          <w:sz w:val="20"/>
          <w:szCs w:val="20"/>
          <w:lang w:val="es-ES_tradnl"/>
        </w:rPr>
        <w:t>N</w:t>
      </w:r>
      <w:r w:rsidR="00861E24" w:rsidRPr="00390BA4">
        <w:rPr>
          <w:rFonts w:asciiTheme="majorHAnsi" w:hAnsiTheme="majorHAnsi"/>
          <w:sz w:val="20"/>
          <w:szCs w:val="20"/>
          <w:lang w:val="es-ES_tradnl"/>
        </w:rPr>
        <w:t xml:space="preserve">COTE resultó ilegal. </w:t>
      </w:r>
    </w:p>
    <w:p w14:paraId="08DA795B" w14:textId="351B9BC5" w:rsidR="00861E24" w:rsidRPr="00390BA4" w:rsidRDefault="00BD68AE" w:rsidP="005F601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E</w:t>
      </w:r>
      <w:r w:rsidR="00861E24" w:rsidRPr="00390BA4">
        <w:rPr>
          <w:rFonts w:asciiTheme="majorHAnsi" w:hAnsiTheme="majorHAnsi"/>
          <w:sz w:val="20"/>
          <w:szCs w:val="20"/>
          <w:lang w:val="es-ES_tradnl"/>
        </w:rPr>
        <w:t xml:space="preserve">l 27 de febrero de 2012 las autoridades trasladaron al señor Flores Hala al Penal Militar de la Base Naval del Callao, donde estuvo por varios meses en completo aislamiento, en una celda oscura y sin luz, con una hora de patio diario, sin considerar su estado de salud. Informa que estuvo por más de un año en dicho centro penitenciario, sin que sus familiares pudieran visitarlo. </w:t>
      </w:r>
    </w:p>
    <w:p w14:paraId="0F2441EB" w14:textId="019C8488" w:rsidR="00F630F7" w:rsidRPr="00390BA4" w:rsidRDefault="00F630F7" w:rsidP="00BD68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90BA4">
        <w:rPr>
          <w:rFonts w:asciiTheme="majorHAnsi" w:hAnsiTheme="majorHAnsi"/>
          <w:i/>
          <w:iCs/>
          <w:sz w:val="20"/>
          <w:szCs w:val="20"/>
          <w:lang w:val="es-ES_tradnl"/>
        </w:rPr>
        <w:t>Proceso penal contra la presunta víctima por los delitos de Terrorismo Agravado y Tráfico Ilícito de Drogas</w:t>
      </w:r>
    </w:p>
    <w:p w14:paraId="0DA58885" w14:textId="14B0549E" w:rsidR="003F7948" w:rsidRPr="00390BA4" w:rsidRDefault="005F601A" w:rsidP="003F794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El 7 de junio de 2013</w:t>
      </w:r>
      <w:r w:rsidR="00F8479F">
        <w:rPr>
          <w:rFonts w:asciiTheme="majorHAnsi" w:hAnsiTheme="majorHAnsi"/>
          <w:sz w:val="20"/>
          <w:szCs w:val="20"/>
          <w:lang w:val="es-ES_tradnl"/>
        </w:rPr>
        <w:t>,</w:t>
      </w:r>
      <w:r w:rsidRPr="00390BA4">
        <w:rPr>
          <w:rFonts w:asciiTheme="majorHAnsi" w:hAnsiTheme="majorHAnsi"/>
          <w:sz w:val="20"/>
          <w:szCs w:val="20"/>
          <w:lang w:val="es-ES_tradnl"/>
        </w:rPr>
        <w:t xml:space="preserve"> la Sala Penal Nacional condenó a la presunta víctima</w:t>
      </w:r>
      <w:r w:rsidR="005975CF" w:rsidRPr="00390BA4">
        <w:rPr>
          <w:rFonts w:asciiTheme="majorHAnsi" w:hAnsiTheme="majorHAnsi"/>
          <w:sz w:val="20"/>
          <w:szCs w:val="20"/>
          <w:lang w:val="es-ES_tradnl"/>
        </w:rPr>
        <w:t xml:space="preserve"> a</w:t>
      </w:r>
      <w:r w:rsidR="00CF7FA7" w:rsidRPr="00390BA4">
        <w:rPr>
          <w:rFonts w:asciiTheme="majorHAnsi" w:hAnsiTheme="majorHAnsi"/>
          <w:sz w:val="20"/>
          <w:szCs w:val="20"/>
          <w:lang w:val="es-ES_tradnl"/>
        </w:rPr>
        <w:t xml:space="preserve"> cadena perpetua</w:t>
      </w:r>
      <w:r w:rsidRPr="00390BA4">
        <w:rPr>
          <w:rFonts w:asciiTheme="majorHAnsi" w:hAnsiTheme="majorHAnsi"/>
          <w:sz w:val="20"/>
          <w:szCs w:val="20"/>
          <w:lang w:val="es-ES_tradnl"/>
        </w:rPr>
        <w:t xml:space="preserve"> por </w:t>
      </w:r>
      <w:r w:rsidR="003F7948" w:rsidRPr="00390BA4">
        <w:rPr>
          <w:rFonts w:asciiTheme="majorHAnsi" w:hAnsiTheme="majorHAnsi"/>
          <w:sz w:val="20"/>
          <w:szCs w:val="20"/>
          <w:lang w:val="es-ES_tradnl"/>
        </w:rPr>
        <w:t xml:space="preserve">los </w:t>
      </w:r>
      <w:r w:rsidRPr="00390BA4">
        <w:rPr>
          <w:rFonts w:asciiTheme="majorHAnsi" w:hAnsiTheme="majorHAnsi"/>
          <w:sz w:val="20"/>
          <w:szCs w:val="20"/>
          <w:lang w:val="es-ES_tradnl"/>
        </w:rPr>
        <w:t>delito</w:t>
      </w:r>
      <w:r w:rsidR="003F7948" w:rsidRPr="00390BA4">
        <w:rPr>
          <w:rFonts w:asciiTheme="majorHAnsi" w:hAnsiTheme="majorHAnsi"/>
          <w:sz w:val="20"/>
          <w:szCs w:val="20"/>
          <w:lang w:val="es-ES_tradnl"/>
        </w:rPr>
        <w:t>s</w:t>
      </w:r>
      <w:r w:rsidR="00624E24" w:rsidRPr="00390BA4">
        <w:rPr>
          <w:rFonts w:asciiTheme="majorHAnsi" w:hAnsiTheme="majorHAnsi"/>
          <w:sz w:val="20"/>
          <w:szCs w:val="20"/>
          <w:lang w:val="es-ES_tradnl"/>
        </w:rPr>
        <w:t xml:space="preserve"> de</w:t>
      </w:r>
      <w:r w:rsidRPr="00390BA4">
        <w:rPr>
          <w:rFonts w:asciiTheme="majorHAnsi" w:hAnsiTheme="majorHAnsi"/>
          <w:sz w:val="20"/>
          <w:szCs w:val="20"/>
          <w:lang w:val="es-ES_tradnl"/>
        </w:rPr>
        <w:t xml:space="preserve"> Terrorismo Agravado y Tráfico Ilícito de Drogas</w:t>
      </w:r>
      <w:r w:rsidR="00F8479F">
        <w:rPr>
          <w:rFonts w:asciiTheme="majorHAnsi" w:hAnsiTheme="majorHAnsi"/>
          <w:sz w:val="20"/>
          <w:szCs w:val="20"/>
          <w:lang w:val="es-ES_tradnl"/>
        </w:rPr>
        <w:t>;</w:t>
      </w:r>
      <w:r w:rsidR="00624E24" w:rsidRPr="00390BA4">
        <w:rPr>
          <w:rFonts w:asciiTheme="majorHAnsi" w:hAnsiTheme="majorHAnsi"/>
          <w:sz w:val="20"/>
          <w:szCs w:val="20"/>
          <w:lang w:val="es-ES_tradnl"/>
        </w:rPr>
        <w:t xml:space="preserve"> ambos </w:t>
      </w:r>
      <w:r w:rsidRPr="00390BA4">
        <w:rPr>
          <w:rFonts w:asciiTheme="majorHAnsi" w:hAnsiTheme="majorHAnsi"/>
          <w:sz w:val="20"/>
          <w:szCs w:val="20"/>
          <w:lang w:val="es-ES_tradnl"/>
        </w:rPr>
        <w:t>en agravio del Estado peruano</w:t>
      </w:r>
      <w:r w:rsidR="00076AE3" w:rsidRPr="00390BA4">
        <w:rPr>
          <w:rFonts w:asciiTheme="majorHAnsi" w:hAnsiTheme="majorHAnsi"/>
          <w:sz w:val="20"/>
          <w:szCs w:val="20"/>
          <w:lang w:val="es-ES_tradnl"/>
        </w:rPr>
        <w:t xml:space="preserve">. En particular, respecto al primer crimen, el citado órgano consideró probado que la presunta víctima perteneció a la organización terrorista Sendero Luminoso, responsable de la comisión de </w:t>
      </w:r>
      <w:r w:rsidR="003F7948" w:rsidRPr="00390BA4">
        <w:rPr>
          <w:rFonts w:asciiTheme="majorHAnsi" w:hAnsiTheme="majorHAnsi"/>
          <w:sz w:val="20"/>
          <w:szCs w:val="20"/>
          <w:lang w:val="es-ES_tradnl"/>
        </w:rPr>
        <w:t>diversos</w:t>
      </w:r>
      <w:r w:rsidR="00076AE3" w:rsidRPr="00390BA4">
        <w:rPr>
          <w:rFonts w:asciiTheme="majorHAnsi" w:hAnsiTheme="majorHAnsi"/>
          <w:sz w:val="20"/>
          <w:szCs w:val="20"/>
          <w:lang w:val="es-ES_tradnl"/>
        </w:rPr>
        <w:t xml:space="preserve"> crímenes</w:t>
      </w:r>
      <w:r w:rsidR="008F6FDA" w:rsidRPr="00390BA4">
        <w:rPr>
          <w:rFonts w:asciiTheme="majorHAnsi" w:hAnsiTheme="majorHAnsi"/>
          <w:sz w:val="20"/>
          <w:szCs w:val="20"/>
          <w:lang w:val="es-ES_tradnl"/>
        </w:rPr>
        <w:t xml:space="preserve"> y que</w:t>
      </w:r>
      <w:r w:rsidR="00F8479F">
        <w:rPr>
          <w:rFonts w:asciiTheme="majorHAnsi" w:hAnsiTheme="majorHAnsi"/>
          <w:sz w:val="20"/>
          <w:szCs w:val="20"/>
          <w:lang w:val="es-ES_tradnl"/>
        </w:rPr>
        <w:t>,</w:t>
      </w:r>
      <w:r w:rsidR="008F6FDA" w:rsidRPr="00390BA4">
        <w:rPr>
          <w:rFonts w:asciiTheme="majorHAnsi" w:hAnsiTheme="majorHAnsi"/>
          <w:sz w:val="20"/>
          <w:szCs w:val="20"/>
          <w:lang w:val="es-ES_tradnl"/>
        </w:rPr>
        <w:t xml:space="preserve"> al momento de su captura</w:t>
      </w:r>
      <w:r w:rsidR="00F8479F">
        <w:rPr>
          <w:rFonts w:asciiTheme="majorHAnsi" w:hAnsiTheme="majorHAnsi"/>
          <w:sz w:val="20"/>
          <w:szCs w:val="20"/>
          <w:lang w:val="es-ES_tradnl"/>
        </w:rPr>
        <w:t>,</w:t>
      </w:r>
      <w:r w:rsidR="008F6FDA" w:rsidRPr="00390BA4">
        <w:rPr>
          <w:rFonts w:asciiTheme="majorHAnsi" w:hAnsiTheme="majorHAnsi"/>
          <w:sz w:val="20"/>
          <w:szCs w:val="20"/>
          <w:lang w:val="es-ES_tradnl"/>
        </w:rPr>
        <w:t xml:space="preserve"> era el dirigente principal del Comité Central de dicha agrupación.</w:t>
      </w:r>
      <w:r w:rsidR="00076AE3" w:rsidRPr="00390BA4">
        <w:rPr>
          <w:rFonts w:asciiTheme="majorHAnsi" w:hAnsiTheme="majorHAnsi"/>
          <w:sz w:val="20"/>
          <w:szCs w:val="20"/>
          <w:lang w:val="es-ES_tradnl"/>
        </w:rPr>
        <w:t xml:space="preserve"> </w:t>
      </w:r>
      <w:r w:rsidR="008F6FDA" w:rsidRPr="00390BA4">
        <w:rPr>
          <w:rFonts w:asciiTheme="majorHAnsi" w:hAnsiTheme="majorHAnsi"/>
          <w:sz w:val="20"/>
          <w:szCs w:val="20"/>
          <w:lang w:val="es-ES_tradnl"/>
        </w:rPr>
        <w:t xml:space="preserve">En esa línea, </w:t>
      </w:r>
      <w:r w:rsidR="003F7948" w:rsidRPr="00390BA4">
        <w:rPr>
          <w:rFonts w:asciiTheme="majorHAnsi" w:hAnsiTheme="majorHAnsi"/>
          <w:sz w:val="20"/>
          <w:szCs w:val="20"/>
          <w:lang w:val="es-ES_tradnl"/>
        </w:rPr>
        <w:t>en el fallo, se encontró demostrado que el señor Flores Hala particip</w:t>
      </w:r>
      <w:r w:rsidR="004059D1" w:rsidRPr="00390BA4">
        <w:rPr>
          <w:rFonts w:asciiTheme="majorHAnsi" w:hAnsiTheme="majorHAnsi"/>
          <w:sz w:val="20"/>
          <w:szCs w:val="20"/>
          <w:lang w:val="es-ES_tradnl"/>
        </w:rPr>
        <w:t>ó</w:t>
      </w:r>
      <w:r w:rsidR="003F7948" w:rsidRPr="00390BA4">
        <w:rPr>
          <w:rFonts w:asciiTheme="majorHAnsi" w:hAnsiTheme="majorHAnsi"/>
          <w:sz w:val="20"/>
          <w:szCs w:val="20"/>
          <w:lang w:val="es-ES_tradnl"/>
        </w:rPr>
        <w:t xml:space="preserve">, como autor mediato e inmediato, en distintos crímenes, como parte de la referida organización. </w:t>
      </w:r>
    </w:p>
    <w:p w14:paraId="366D2CFA" w14:textId="4BAAE94B" w:rsidR="003F7948" w:rsidRPr="00390BA4" w:rsidRDefault="005975CF" w:rsidP="00A0298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 xml:space="preserve">Indica que la representación </w:t>
      </w:r>
      <w:r w:rsidR="003F7948" w:rsidRPr="00390BA4">
        <w:rPr>
          <w:rFonts w:asciiTheme="majorHAnsi" w:hAnsiTheme="majorHAnsi"/>
          <w:sz w:val="20"/>
          <w:szCs w:val="20"/>
          <w:lang w:val="es-ES_tradnl"/>
        </w:rPr>
        <w:t>de la presunta víctima</w:t>
      </w:r>
      <w:r w:rsidRPr="00390BA4">
        <w:rPr>
          <w:rFonts w:asciiTheme="majorHAnsi" w:hAnsiTheme="majorHAnsi"/>
          <w:sz w:val="20"/>
          <w:szCs w:val="20"/>
          <w:lang w:val="es-ES_tradnl"/>
        </w:rPr>
        <w:t xml:space="preserve"> presentó un recurso de nulidad</w:t>
      </w:r>
      <w:r w:rsidR="003F7948" w:rsidRPr="00390BA4">
        <w:rPr>
          <w:rFonts w:asciiTheme="majorHAnsi" w:hAnsiTheme="majorHAnsi"/>
          <w:sz w:val="20"/>
          <w:szCs w:val="20"/>
          <w:lang w:val="es-ES_tradnl"/>
        </w:rPr>
        <w:t xml:space="preserve"> contra la referida resolución</w:t>
      </w:r>
      <w:r w:rsidRPr="00390BA4">
        <w:rPr>
          <w:rFonts w:asciiTheme="majorHAnsi" w:hAnsiTheme="majorHAnsi"/>
          <w:sz w:val="20"/>
          <w:szCs w:val="20"/>
          <w:lang w:val="es-ES_tradnl"/>
        </w:rPr>
        <w:t>,</w:t>
      </w:r>
      <w:r w:rsidR="003F7948" w:rsidRPr="00390BA4">
        <w:rPr>
          <w:rFonts w:asciiTheme="majorHAnsi" w:hAnsiTheme="majorHAnsi"/>
          <w:sz w:val="20"/>
          <w:szCs w:val="20"/>
          <w:lang w:val="es-ES_tradnl"/>
        </w:rPr>
        <w:t xml:space="preserve"> alegando</w:t>
      </w:r>
      <w:r w:rsidR="00F07193" w:rsidRPr="00390BA4">
        <w:rPr>
          <w:rFonts w:asciiTheme="majorHAnsi" w:hAnsiTheme="majorHAnsi"/>
          <w:sz w:val="20"/>
          <w:szCs w:val="20"/>
          <w:lang w:val="es-ES_tradnl"/>
        </w:rPr>
        <w:t>, entre otros puntos, que</w:t>
      </w:r>
      <w:r w:rsidR="00C95791" w:rsidRPr="00390BA4">
        <w:rPr>
          <w:rFonts w:asciiTheme="majorHAnsi" w:hAnsiTheme="majorHAnsi"/>
          <w:sz w:val="20"/>
          <w:szCs w:val="20"/>
          <w:lang w:val="es-ES_tradnl"/>
        </w:rPr>
        <w:t>: i)</w:t>
      </w:r>
      <w:r w:rsidR="00F07193" w:rsidRPr="00390BA4">
        <w:rPr>
          <w:rFonts w:asciiTheme="majorHAnsi" w:hAnsiTheme="majorHAnsi"/>
          <w:sz w:val="20"/>
          <w:szCs w:val="20"/>
          <w:lang w:val="es-ES_tradnl"/>
        </w:rPr>
        <w:t xml:space="preserve"> el Decreto Ley 25475, que regula el tipo penal de terrorismo, vulneraba el principio de legalidad, pues ninguna de sus disposiciones tipificaron de manera expresa e inequívoca el hecho considerado como crimen de terrorismo, por lo que se trataba de un tipo penal abierto que no precisa el bien jurídico tutelado</w:t>
      </w:r>
      <w:r w:rsidR="004059D1" w:rsidRPr="00390BA4">
        <w:rPr>
          <w:rStyle w:val="FootnoteReference"/>
          <w:rFonts w:asciiTheme="majorHAnsi" w:hAnsiTheme="majorHAnsi"/>
          <w:sz w:val="20"/>
          <w:szCs w:val="20"/>
          <w:lang w:val="es-ES_tradnl"/>
        </w:rPr>
        <w:footnoteReference w:id="5"/>
      </w:r>
      <w:r w:rsidR="00C95791" w:rsidRPr="00390BA4">
        <w:rPr>
          <w:rFonts w:asciiTheme="majorHAnsi" w:hAnsiTheme="majorHAnsi"/>
          <w:sz w:val="20"/>
          <w:szCs w:val="20"/>
          <w:lang w:val="es-ES_tradnl"/>
        </w:rPr>
        <w:t>; ii) se vulneró su derecho a la defensa, dado que la sentencia de primera instancia utilizó como acervo probatorio testimonios de personas con identidad secreta</w:t>
      </w:r>
      <w:r w:rsidR="00F8479F">
        <w:rPr>
          <w:rFonts w:asciiTheme="majorHAnsi" w:hAnsiTheme="majorHAnsi"/>
          <w:sz w:val="20"/>
          <w:szCs w:val="20"/>
          <w:lang w:val="es-ES_tradnl"/>
        </w:rPr>
        <w:t>,</w:t>
      </w:r>
      <w:r w:rsidR="00C95791" w:rsidRPr="00390BA4">
        <w:rPr>
          <w:rFonts w:asciiTheme="majorHAnsi" w:hAnsiTheme="majorHAnsi"/>
          <w:sz w:val="20"/>
          <w:szCs w:val="20"/>
          <w:lang w:val="es-ES_tradnl"/>
        </w:rPr>
        <w:t xml:space="preserve"> y iii) se le impuso una pena draconiana. </w:t>
      </w:r>
    </w:p>
    <w:p w14:paraId="694C6CF4" w14:textId="76C4CF6A" w:rsidR="007C16F6" w:rsidRPr="00390BA4" w:rsidRDefault="00C95791" w:rsidP="007C1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lastRenderedPageBreak/>
        <w:t xml:space="preserve">Sin embargo, </w:t>
      </w:r>
      <w:r w:rsidR="005975CF" w:rsidRPr="00390BA4">
        <w:rPr>
          <w:rFonts w:asciiTheme="majorHAnsi" w:hAnsiTheme="majorHAnsi"/>
          <w:sz w:val="20"/>
          <w:szCs w:val="20"/>
          <w:lang w:val="es-ES_tradnl"/>
        </w:rPr>
        <w:t>el 24 de septiembre de 2014</w:t>
      </w:r>
      <w:r w:rsidR="00F8479F">
        <w:rPr>
          <w:rFonts w:asciiTheme="majorHAnsi" w:hAnsiTheme="majorHAnsi"/>
          <w:sz w:val="20"/>
          <w:szCs w:val="20"/>
          <w:lang w:val="es-ES_tradnl"/>
        </w:rPr>
        <w:t>,</w:t>
      </w:r>
      <w:r w:rsidR="005975CF" w:rsidRPr="00390BA4">
        <w:rPr>
          <w:rFonts w:asciiTheme="majorHAnsi" w:hAnsiTheme="majorHAnsi"/>
          <w:sz w:val="20"/>
          <w:szCs w:val="20"/>
          <w:lang w:val="es-ES_tradnl"/>
        </w:rPr>
        <w:t xml:space="preserve"> la Corte Suprema </w:t>
      </w:r>
      <w:r w:rsidRPr="00390BA4">
        <w:rPr>
          <w:rFonts w:asciiTheme="majorHAnsi" w:hAnsiTheme="majorHAnsi"/>
          <w:sz w:val="20"/>
          <w:szCs w:val="20"/>
          <w:lang w:val="es-ES_tradnl"/>
        </w:rPr>
        <w:t xml:space="preserve">desestimó el recurso de nulidad y </w:t>
      </w:r>
      <w:r w:rsidR="005975CF" w:rsidRPr="00390BA4">
        <w:rPr>
          <w:rFonts w:asciiTheme="majorHAnsi" w:hAnsiTheme="majorHAnsi"/>
          <w:sz w:val="20"/>
          <w:szCs w:val="20"/>
          <w:lang w:val="es-ES_tradnl"/>
        </w:rPr>
        <w:t>confirmó la condena</w:t>
      </w:r>
      <w:r w:rsidRPr="00390BA4">
        <w:rPr>
          <w:rFonts w:asciiTheme="majorHAnsi" w:hAnsiTheme="majorHAnsi"/>
          <w:sz w:val="20"/>
          <w:szCs w:val="20"/>
          <w:lang w:val="es-ES_tradnl"/>
        </w:rPr>
        <w:t>, argumentando que</w:t>
      </w:r>
      <w:r w:rsidR="005617E0" w:rsidRPr="00390BA4">
        <w:rPr>
          <w:rFonts w:asciiTheme="majorHAnsi" w:hAnsiTheme="majorHAnsi"/>
          <w:sz w:val="20"/>
          <w:szCs w:val="20"/>
          <w:lang w:val="es-ES_tradnl"/>
        </w:rPr>
        <w:t xml:space="preserve"> el Tribunal Constitucional, mediante sentencia interpretativa recaída en el expediente</w:t>
      </w:r>
      <w:r w:rsidR="00AE3EF1" w:rsidRPr="00390BA4">
        <w:rPr>
          <w:rFonts w:asciiTheme="majorHAnsi" w:hAnsiTheme="majorHAnsi"/>
          <w:sz w:val="20"/>
          <w:szCs w:val="20"/>
          <w:lang w:val="es-ES_tradnl"/>
        </w:rPr>
        <w:t xml:space="preserve"> N° 010-2002-AI/TC, había confirmado la constitucionalidad del tipo penal de terrorismo, siempre que se cumplan con determinados requisitos al momento de su aplicación</w:t>
      </w:r>
      <w:r w:rsidR="00453238" w:rsidRPr="00390BA4">
        <w:rPr>
          <w:rStyle w:val="FootnoteReference"/>
          <w:rFonts w:asciiTheme="majorHAnsi" w:hAnsiTheme="majorHAnsi"/>
          <w:sz w:val="20"/>
          <w:szCs w:val="20"/>
          <w:lang w:val="es-ES_tradnl"/>
        </w:rPr>
        <w:footnoteReference w:id="6"/>
      </w:r>
      <w:r w:rsidR="00AE3EF1" w:rsidRPr="00390BA4">
        <w:rPr>
          <w:rFonts w:asciiTheme="majorHAnsi" w:hAnsiTheme="majorHAnsi"/>
          <w:sz w:val="20"/>
          <w:szCs w:val="20"/>
          <w:lang w:val="es-ES_tradnl"/>
        </w:rPr>
        <w:t xml:space="preserve">. Asimismo, el referido tribunal consideró que, conforme al Decreto Legislativo N° 921, </w:t>
      </w:r>
      <w:r w:rsidR="0020596C" w:rsidRPr="00390BA4">
        <w:rPr>
          <w:rFonts w:asciiTheme="majorHAnsi" w:hAnsiTheme="majorHAnsi"/>
          <w:sz w:val="20"/>
          <w:szCs w:val="20"/>
          <w:lang w:val="es-ES_tradnl"/>
        </w:rPr>
        <w:t>la pena de cadena perpetua se revisa</w:t>
      </w:r>
      <w:r w:rsidR="00BE235C" w:rsidRPr="00390BA4">
        <w:rPr>
          <w:rFonts w:asciiTheme="majorHAnsi" w:hAnsiTheme="majorHAnsi"/>
          <w:sz w:val="20"/>
          <w:szCs w:val="20"/>
          <w:lang w:val="es-ES_tradnl"/>
        </w:rPr>
        <w:t xml:space="preserve"> </w:t>
      </w:r>
      <w:r w:rsidR="0020596C" w:rsidRPr="00390BA4">
        <w:rPr>
          <w:rFonts w:asciiTheme="majorHAnsi" w:hAnsiTheme="majorHAnsi"/>
          <w:sz w:val="20"/>
          <w:szCs w:val="20"/>
          <w:lang w:val="es-ES_tradnl"/>
        </w:rPr>
        <w:t xml:space="preserve">a los </w:t>
      </w:r>
      <w:r w:rsidR="002D716E" w:rsidRPr="00390BA4">
        <w:rPr>
          <w:rFonts w:asciiTheme="majorHAnsi" w:hAnsiTheme="majorHAnsi"/>
          <w:sz w:val="20"/>
          <w:szCs w:val="20"/>
          <w:lang w:val="es-ES_tradnl"/>
        </w:rPr>
        <w:t>treinta y cinco</w:t>
      </w:r>
      <w:r w:rsidR="0020596C" w:rsidRPr="00390BA4">
        <w:rPr>
          <w:rFonts w:asciiTheme="majorHAnsi" w:hAnsiTheme="majorHAnsi"/>
          <w:sz w:val="20"/>
          <w:szCs w:val="20"/>
          <w:lang w:val="es-ES_tradnl"/>
        </w:rPr>
        <w:t xml:space="preserve"> años de privación de</w:t>
      </w:r>
      <w:r w:rsidR="00F8479F">
        <w:rPr>
          <w:rFonts w:asciiTheme="majorHAnsi" w:hAnsiTheme="majorHAnsi"/>
          <w:sz w:val="20"/>
          <w:szCs w:val="20"/>
          <w:lang w:val="es-ES_tradnl"/>
        </w:rPr>
        <w:t xml:space="preserve"> la</w:t>
      </w:r>
      <w:r w:rsidR="0020596C" w:rsidRPr="00390BA4">
        <w:rPr>
          <w:rFonts w:asciiTheme="majorHAnsi" w:hAnsiTheme="majorHAnsi"/>
          <w:sz w:val="20"/>
          <w:szCs w:val="20"/>
          <w:lang w:val="es-ES_tradnl"/>
        </w:rPr>
        <w:t xml:space="preserve"> libertad</w:t>
      </w:r>
      <w:r w:rsidR="00F8479F">
        <w:rPr>
          <w:rFonts w:asciiTheme="majorHAnsi" w:hAnsiTheme="majorHAnsi"/>
          <w:sz w:val="20"/>
          <w:szCs w:val="20"/>
          <w:lang w:val="es-ES_tradnl"/>
        </w:rPr>
        <w:t>;</w:t>
      </w:r>
      <w:r w:rsidR="0020596C" w:rsidRPr="00390BA4">
        <w:rPr>
          <w:rFonts w:asciiTheme="majorHAnsi" w:hAnsiTheme="majorHAnsi"/>
          <w:sz w:val="20"/>
          <w:szCs w:val="20"/>
          <w:lang w:val="es-ES_tradnl"/>
        </w:rPr>
        <w:t xml:space="preserve"> por lo que no resultaba lesiva de los derechos de la presunta víctima. Por último, alegó que la sentencia había realizado un análisis probatorio lógico y congruente para fundamentar la condena. </w:t>
      </w:r>
      <w:r w:rsidR="00010A00" w:rsidRPr="00390BA4">
        <w:rPr>
          <w:rFonts w:asciiTheme="majorHAnsi" w:hAnsiTheme="majorHAnsi"/>
          <w:sz w:val="20"/>
          <w:szCs w:val="20"/>
          <w:lang w:val="es-ES_tradnl"/>
        </w:rPr>
        <w:t xml:space="preserve">Esta decisión se notificó el 9 de marzo de 2015. </w:t>
      </w:r>
    </w:p>
    <w:p w14:paraId="0131EFD7" w14:textId="044E322E" w:rsidR="007C16F6" w:rsidRPr="00390BA4" w:rsidRDefault="006D7EE0" w:rsidP="002D71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90BA4">
        <w:rPr>
          <w:rFonts w:asciiTheme="majorHAnsi" w:hAnsiTheme="majorHAnsi"/>
          <w:i/>
          <w:iCs/>
          <w:sz w:val="20"/>
          <w:szCs w:val="20"/>
          <w:lang w:val="es-ES_tradnl"/>
        </w:rPr>
        <w:t>Condiciones</w:t>
      </w:r>
      <w:r w:rsidR="004A6D7F" w:rsidRPr="00390BA4">
        <w:rPr>
          <w:rFonts w:asciiTheme="majorHAnsi" w:hAnsiTheme="majorHAnsi"/>
          <w:i/>
          <w:iCs/>
          <w:sz w:val="20"/>
          <w:szCs w:val="20"/>
          <w:lang w:val="es-ES_tradnl"/>
        </w:rPr>
        <w:t xml:space="preserve"> carcelarias</w:t>
      </w:r>
      <w:r w:rsidRPr="00390BA4">
        <w:rPr>
          <w:rFonts w:asciiTheme="majorHAnsi" w:hAnsiTheme="majorHAnsi"/>
          <w:i/>
          <w:iCs/>
          <w:sz w:val="20"/>
          <w:szCs w:val="20"/>
          <w:lang w:val="es-ES_tradnl"/>
        </w:rPr>
        <w:t xml:space="preserve"> y procesos judiciales pendientes. </w:t>
      </w:r>
    </w:p>
    <w:p w14:paraId="44117D1C" w14:textId="5BD7D725" w:rsidR="006D7EE0" w:rsidRPr="00390BA4" w:rsidRDefault="007C16F6" w:rsidP="006D7EE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Finalmente, informa que el 3 de diciembre de 2018</w:t>
      </w:r>
      <w:r w:rsidR="00F8479F">
        <w:rPr>
          <w:rFonts w:asciiTheme="majorHAnsi" w:hAnsiTheme="majorHAnsi"/>
          <w:sz w:val="20"/>
          <w:szCs w:val="20"/>
          <w:lang w:val="es-ES_tradnl"/>
        </w:rPr>
        <w:t>,</w:t>
      </w:r>
      <w:r w:rsidRPr="00390BA4">
        <w:rPr>
          <w:rFonts w:asciiTheme="majorHAnsi" w:hAnsiTheme="majorHAnsi"/>
          <w:sz w:val="20"/>
          <w:szCs w:val="20"/>
          <w:lang w:val="es-ES_tradnl"/>
        </w:rPr>
        <w:t xml:space="preserve"> la presunta víctima envió una solicitud dirigida al presidente del Instituto Nacional Penitenciario, pidiendo su traslado a un Establecimiento Penitenciario Civil. </w:t>
      </w:r>
      <w:r w:rsidR="002D716E" w:rsidRPr="00390BA4">
        <w:rPr>
          <w:rFonts w:asciiTheme="majorHAnsi" w:hAnsiTheme="majorHAnsi"/>
          <w:sz w:val="20"/>
          <w:szCs w:val="20"/>
          <w:lang w:val="es-ES_tradnl"/>
        </w:rPr>
        <w:t>En ese mismo</w:t>
      </w:r>
      <w:r w:rsidRPr="00390BA4">
        <w:rPr>
          <w:rFonts w:asciiTheme="majorHAnsi" w:hAnsiTheme="majorHAnsi"/>
          <w:sz w:val="20"/>
          <w:szCs w:val="20"/>
          <w:lang w:val="es-ES_tradnl"/>
        </w:rPr>
        <w:t xml:space="preserve"> escrito</w:t>
      </w:r>
      <w:r w:rsidR="00F8479F">
        <w:rPr>
          <w:rFonts w:asciiTheme="majorHAnsi" w:hAnsiTheme="majorHAnsi"/>
          <w:sz w:val="20"/>
          <w:szCs w:val="20"/>
          <w:lang w:val="es-ES_tradnl"/>
        </w:rPr>
        <w:t>,</w:t>
      </w:r>
      <w:r w:rsidRPr="00390BA4">
        <w:rPr>
          <w:rFonts w:asciiTheme="majorHAnsi" w:hAnsiTheme="majorHAnsi"/>
          <w:sz w:val="20"/>
          <w:szCs w:val="20"/>
          <w:lang w:val="es-ES_tradnl"/>
        </w:rPr>
        <w:t xml:space="preserve"> el señor Flores Hala denunció que su régimen carcelario vulneraba su derecho a la integridad, debido a las barreras que tenía para socializar con otros reos, la excesiva vigilancia y los obstáculos para comunicarse con su familia. </w:t>
      </w:r>
      <w:r w:rsidR="002D716E" w:rsidRPr="00390BA4">
        <w:rPr>
          <w:rFonts w:asciiTheme="majorHAnsi" w:hAnsiTheme="majorHAnsi"/>
          <w:sz w:val="20"/>
          <w:szCs w:val="20"/>
          <w:lang w:val="es-ES_tradnl"/>
        </w:rPr>
        <w:t>T</w:t>
      </w:r>
      <w:r w:rsidR="006D7EE0" w:rsidRPr="00390BA4">
        <w:rPr>
          <w:rFonts w:asciiTheme="majorHAnsi" w:hAnsiTheme="majorHAnsi"/>
          <w:sz w:val="20"/>
          <w:szCs w:val="20"/>
          <w:lang w:val="es-ES_tradnl"/>
        </w:rPr>
        <w:t>ambién denunció que estaba sufriendo persecución política, dado que, a pesar de que ya estaba condenado a cadena perpetua, el Ministerio Público inició otros dos procesos en su contra, recaídos en los expedientes N° 346-2013 y N° 385-2008.</w:t>
      </w:r>
    </w:p>
    <w:p w14:paraId="093C220D" w14:textId="366D8DCD" w:rsidR="007C16F6" w:rsidRPr="00390BA4" w:rsidRDefault="007C16F6" w:rsidP="002D71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90BA4">
        <w:rPr>
          <w:rFonts w:asciiTheme="majorHAnsi" w:hAnsiTheme="majorHAnsi"/>
          <w:i/>
          <w:iCs/>
          <w:sz w:val="20"/>
          <w:szCs w:val="20"/>
          <w:lang w:val="es-ES_tradnl"/>
        </w:rPr>
        <w:t>Alegatos de la parte peticionaria</w:t>
      </w:r>
    </w:p>
    <w:p w14:paraId="2BE5CAF9" w14:textId="3A892FF0" w:rsidR="00F55E02" w:rsidRPr="00390BA4" w:rsidRDefault="00C47875"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 xml:space="preserve">En virtud de las citadas consideraciones, la parte peticionaria denuncia que </w:t>
      </w:r>
      <w:r w:rsidR="00910A7D" w:rsidRPr="00390BA4">
        <w:rPr>
          <w:rFonts w:asciiTheme="majorHAnsi" w:hAnsiTheme="majorHAnsi"/>
          <w:sz w:val="20"/>
          <w:szCs w:val="20"/>
          <w:lang w:val="es-ES_tradnl"/>
        </w:rPr>
        <w:t>se condenó</w:t>
      </w:r>
      <w:r w:rsidR="00F8479F">
        <w:rPr>
          <w:rFonts w:asciiTheme="majorHAnsi" w:hAnsiTheme="majorHAnsi"/>
          <w:sz w:val="20"/>
          <w:szCs w:val="20"/>
          <w:lang w:val="es-ES_tradnl"/>
        </w:rPr>
        <w:t xml:space="preserve"> a la presunta víctima</w:t>
      </w:r>
      <w:r w:rsidR="00910A7D" w:rsidRPr="00390BA4">
        <w:rPr>
          <w:rFonts w:asciiTheme="majorHAnsi" w:hAnsiTheme="majorHAnsi"/>
          <w:sz w:val="20"/>
          <w:szCs w:val="20"/>
          <w:lang w:val="es-ES_tradnl"/>
        </w:rPr>
        <w:t xml:space="preserve"> sin las debidas garantías judiciales.</w:t>
      </w:r>
      <w:r w:rsidR="00910A7D" w:rsidRPr="00390BA4">
        <w:rPr>
          <w:rFonts w:asciiTheme="majorHAnsi" w:hAnsiTheme="majorHAnsi"/>
          <w:i/>
          <w:iCs/>
          <w:sz w:val="20"/>
          <w:szCs w:val="20"/>
          <w:lang w:val="es-ES_tradnl"/>
        </w:rPr>
        <w:t xml:space="preserve"> </w:t>
      </w:r>
      <w:r w:rsidR="008F3977" w:rsidRPr="00390BA4">
        <w:rPr>
          <w:rFonts w:asciiTheme="majorHAnsi" w:hAnsiTheme="majorHAnsi"/>
          <w:bCs/>
          <w:sz w:val="20"/>
          <w:szCs w:val="20"/>
          <w:lang w:val="es-ES_tradnl"/>
        </w:rPr>
        <w:t xml:space="preserve">Arguye que si bien </w:t>
      </w:r>
      <w:r w:rsidR="00EA305B" w:rsidRPr="00390BA4">
        <w:rPr>
          <w:rFonts w:asciiTheme="majorHAnsi" w:hAnsiTheme="majorHAnsi"/>
          <w:bCs/>
          <w:sz w:val="20"/>
          <w:szCs w:val="20"/>
          <w:lang w:val="es-ES_tradnl"/>
        </w:rPr>
        <w:t xml:space="preserve">el 3 de enero de 2003 el Tribunal Constitucional, mediante sentencia recaída en el expediente N° 010-2002-AI/TC, </w:t>
      </w:r>
      <w:r w:rsidR="008F3977" w:rsidRPr="00390BA4">
        <w:rPr>
          <w:rFonts w:asciiTheme="majorHAnsi" w:hAnsiTheme="majorHAnsi"/>
          <w:bCs/>
          <w:sz w:val="20"/>
          <w:szCs w:val="20"/>
          <w:lang w:val="es-ES_tradnl"/>
        </w:rPr>
        <w:t>afirmó que</w:t>
      </w:r>
      <w:r w:rsidR="00F80A5E">
        <w:rPr>
          <w:rFonts w:asciiTheme="majorHAnsi" w:hAnsiTheme="majorHAnsi"/>
          <w:bCs/>
          <w:sz w:val="20"/>
          <w:szCs w:val="20"/>
          <w:lang w:val="es-ES_tradnl"/>
        </w:rPr>
        <w:t xml:space="preserve"> el</w:t>
      </w:r>
      <w:r w:rsidR="00EA305B" w:rsidRPr="00390BA4">
        <w:rPr>
          <w:rFonts w:asciiTheme="majorHAnsi" w:hAnsiTheme="majorHAnsi"/>
          <w:bCs/>
          <w:sz w:val="20"/>
          <w:szCs w:val="20"/>
          <w:lang w:val="es-ES_tradnl"/>
        </w:rPr>
        <w:t xml:space="preserve"> delito de terrorismo previsto en el artículo 2° del Decreto Ley N° 25475</w:t>
      </w:r>
      <w:r w:rsidR="008F3977" w:rsidRPr="00390BA4">
        <w:rPr>
          <w:rFonts w:asciiTheme="majorHAnsi" w:hAnsiTheme="majorHAnsi"/>
          <w:bCs/>
          <w:sz w:val="20"/>
          <w:szCs w:val="20"/>
          <w:lang w:val="es-ES_tradnl"/>
        </w:rPr>
        <w:t xml:space="preserve"> no viola el principio de legalidad, en realidad dicha </w:t>
      </w:r>
      <w:r w:rsidR="005672D3" w:rsidRPr="00390BA4">
        <w:rPr>
          <w:rFonts w:asciiTheme="majorHAnsi" w:hAnsiTheme="majorHAnsi"/>
          <w:bCs/>
          <w:sz w:val="20"/>
          <w:szCs w:val="20"/>
          <w:lang w:val="es-ES_tradnl"/>
        </w:rPr>
        <w:t>norma</w:t>
      </w:r>
      <w:r w:rsidR="008F3977" w:rsidRPr="00390BA4">
        <w:rPr>
          <w:rFonts w:asciiTheme="majorHAnsi" w:hAnsiTheme="majorHAnsi"/>
          <w:bCs/>
          <w:sz w:val="20"/>
          <w:szCs w:val="20"/>
          <w:lang w:val="es-ES_tradnl"/>
        </w:rPr>
        <w:t xml:space="preserve"> aún resulta problemática y perjudica la seguridad jurídica. Al respecto, considera que la manera c</w:t>
      </w:r>
      <w:r w:rsidR="00F80A5E">
        <w:rPr>
          <w:rFonts w:asciiTheme="majorHAnsi" w:hAnsiTheme="majorHAnsi"/>
          <w:bCs/>
          <w:sz w:val="20"/>
          <w:szCs w:val="20"/>
          <w:lang w:val="es-ES_tradnl"/>
        </w:rPr>
        <w:t>o</w:t>
      </w:r>
      <w:r w:rsidR="008F3977" w:rsidRPr="00390BA4">
        <w:rPr>
          <w:rFonts w:asciiTheme="majorHAnsi" w:hAnsiTheme="majorHAnsi"/>
          <w:bCs/>
          <w:sz w:val="20"/>
          <w:szCs w:val="20"/>
          <w:lang w:val="es-ES_tradnl"/>
        </w:rPr>
        <w:t>mo está regulado el referido crimen aún establece una responsabilidad por el resultado, en la que se incorpora el dolo al acontecimiento resultante de la acción.</w:t>
      </w:r>
    </w:p>
    <w:p w14:paraId="065C6A47" w14:textId="3FD244BB" w:rsidR="00F55E02" w:rsidRPr="00390BA4" w:rsidRDefault="003D717B"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bCs/>
          <w:sz w:val="20"/>
          <w:szCs w:val="20"/>
          <w:lang w:val="es-ES_tradnl"/>
        </w:rPr>
        <w:t xml:space="preserve">Además, agrega </w:t>
      </w:r>
      <w:r w:rsidR="00BE235C" w:rsidRPr="00390BA4">
        <w:rPr>
          <w:rFonts w:asciiTheme="majorHAnsi" w:hAnsiTheme="majorHAnsi"/>
          <w:bCs/>
          <w:sz w:val="20"/>
          <w:szCs w:val="20"/>
          <w:lang w:val="es-ES_tradnl"/>
        </w:rPr>
        <w:t xml:space="preserve">que </w:t>
      </w:r>
      <w:r w:rsidR="00910A7D" w:rsidRPr="00390BA4">
        <w:rPr>
          <w:rFonts w:asciiTheme="majorHAnsi" w:hAnsiTheme="majorHAnsi"/>
          <w:bCs/>
          <w:sz w:val="20"/>
          <w:szCs w:val="20"/>
          <w:lang w:val="es-ES_tradnl"/>
        </w:rPr>
        <w:t>el Decreto Ley N° 25475 no determina el bien jurídico protegido mediante el delito de terrorismo, provocando incertidumbre</w:t>
      </w:r>
      <w:r w:rsidR="00BE235C" w:rsidRPr="00390BA4">
        <w:rPr>
          <w:rFonts w:asciiTheme="majorHAnsi" w:hAnsiTheme="majorHAnsi"/>
          <w:bCs/>
          <w:sz w:val="20"/>
          <w:szCs w:val="20"/>
          <w:lang w:val="es-ES_tradnl"/>
        </w:rPr>
        <w:t xml:space="preserve"> en </w:t>
      </w:r>
      <w:r w:rsidR="005672D3" w:rsidRPr="00390BA4">
        <w:rPr>
          <w:rFonts w:asciiTheme="majorHAnsi" w:hAnsiTheme="majorHAnsi"/>
          <w:bCs/>
          <w:sz w:val="20"/>
          <w:szCs w:val="20"/>
          <w:lang w:val="es-ES_tradnl"/>
        </w:rPr>
        <w:t>los operadores</w:t>
      </w:r>
      <w:r w:rsidR="00BE235C" w:rsidRPr="00390BA4">
        <w:rPr>
          <w:rFonts w:asciiTheme="majorHAnsi" w:hAnsiTheme="majorHAnsi"/>
          <w:bCs/>
          <w:sz w:val="20"/>
          <w:szCs w:val="20"/>
          <w:lang w:val="es-ES_tradnl"/>
        </w:rPr>
        <w:t xml:space="preserve"> de justicia</w:t>
      </w:r>
      <w:r w:rsidR="00910A7D" w:rsidRPr="00390BA4">
        <w:rPr>
          <w:rFonts w:asciiTheme="majorHAnsi" w:hAnsiTheme="majorHAnsi"/>
          <w:bCs/>
          <w:sz w:val="20"/>
          <w:szCs w:val="20"/>
          <w:lang w:val="es-ES_tradnl"/>
        </w:rPr>
        <w:t xml:space="preserve">. </w:t>
      </w:r>
      <w:r w:rsidR="005672D3" w:rsidRPr="00390BA4">
        <w:rPr>
          <w:rFonts w:asciiTheme="majorHAnsi" w:hAnsiTheme="majorHAnsi"/>
          <w:bCs/>
          <w:sz w:val="20"/>
          <w:szCs w:val="20"/>
          <w:lang w:val="es-ES_tradnl"/>
        </w:rPr>
        <w:t>P</w:t>
      </w:r>
      <w:r w:rsidR="00910A7D" w:rsidRPr="00390BA4">
        <w:rPr>
          <w:rFonts w:asciiTheme="majorHAnsi" w:hAnsiTheme="majorHAnsi"/>
          <w:bCs/>
          <w:sz w:val="20"/>
          <w:szCs w:val="20"/>
          <w:lang w:val="es-ES_tradnl"/>
        </w:rPr>
        <w:t>rueba de ello</w:t>
      </w:r>
      <w:r w:rsidR="005672D3" w:rsidRPr="00390BA4">
        <w:rPr>
          <w:rFonts w:asciiTheme="majorHAnsi" w:hAnsiTheme="majorHAnsi"/>
          <w:bCs/>
          <w:sz w:val="20"/>
          <w:szCs w:val="20"/>
          <w:lang w:val="es-ES_tradnl"/>
        </w:rPr>
        <w:t xml:space="preserve"> sería</w:t>
      </w:r>
      <w:r w:rsidR="00910A7D" w:rsidRPr="00390BA4">
        <w:rPr>
          <w:rFonts w:asciiTheme="majorHAnsi" w:hAnsiTheme="majorHAnsi"/>
          <w:bCs/>
          <w:sz w:val="20"/>
          <w:szCs w:val="20"/>
          <w:lang w:val="es-ES_tradnl"/>
        </w:rPr>
        <w:t xml:space="preserve"> que mientras </w:t>
      </w:r>
      <w:r w:rsidR="00BE235C" w:rsidRPr="00390BA4">
        <w:rPr>
          <w:rFonts w:asciiTheme="majorHAnsi" w:hAnsiTheme="majorHAnsi"/>
          <w:bCs/>
          <w:sz w:val="20"/>
          <w:szCs w:val="20"/>
          <w:lang w:val="es-ES_tradnl"/>
        </w:rPr>
        <w:t xml:space="preserve">que </w:t>
      </w:r>
      <w:r w:rsidR="00910A7D" w:rsidRPr="00390BA4">
        <w:rPr>
          <w:rFonts w:asciiTheme="majorHAnsi" w:hAnsiTheme="majorHAnsi"/>
          <w:bCs/>
          <w:sz w:val="20"/>
          <w:szCs w:val="20"/>
          <w:lang w:val="es-ES_tradnl"/>
        </w:rPr>
        <w:t>el Tribunal Constitucional consider</w:t>
      </w:r>
      <w:r w:rsidR="00BE235C" w:rsidRPr="00390BA4">
        <w:rPr>
          <w:rFonts w:asciiTheme="majorHAnsi" w:hAnsiTheme="majorHAnsi"/>
          <w:bCs/>
          <w:sz w:val="20"/>
          <w:szCs w:val="20"/>
          <w:lang w:val="es-ES_tradnl"/>
        </w:rPr>
        <w:t>ó</w:t>
      </w:r>
      <w:r w:rsidR="00910A7D" w:rsidRPr="00390BA4">
        <w:rPr>
          <w:rFonts w:asciiTheme="majorHAnsi" w:hAnsiTheme="majorHAnsi"/>
          <w:bCs/>
          <w:sz w:val="20"/>
          <w:szCs w:val="20"/>
          <w:lang w:val="es-ES_tradnl"/>
        </w:rPr>
        <w:t xml:space="preserve"> que el bien protegido</w:t>
      </w:r>
      <w:r w:rsidR="00BE235C" w:rsidRPr="00390BA4">
        <w:rPr>
          <w:rFonts w:asciiTheme="majorHAnsi" w:hAnsiTheme="majorHAnsi"/>
          <w:bCs/>
          <w:sz w:val="20"/>
          <w:szCs w:val="20"/>
          <w:lang w:val="es-ES_tradnl"/>
        </w:rPr>
        <w:t xml:space="preserve"> es</w:t>
      </w:r>
      <w:r w:rsidR="00910A7D" w:rsidRPr="00390BA4">
        <w:rPr>
          <w:rFonts w:asciiTheme="majorHAnsi" w:hAnsiTheme="majorHAnsi"/>
          <w:bCs/>
          <w:sz w:val="20"/>
          <w:szCs w:val="20"/>
          <w:lang w:val="es-ES_tradnl"/>
        </w:rPr>
        <w:t xml:space="preserve"> el orden constitucional, la Corte Suprema señaló</w:t>
      </w:r>
      <w:r w:rsidR="00BE235C" w:rsidRPr="00390BA4">
        <w:rPr>
          <w:rFonts w:asciiTheme="majorHAnsi" w:hAnsiTheme="majorHAnsi"/>
          <w:bCs/>
          <w:sz w:val="20"/>
          <w:szCs w:val="20"/>
          <w:lang w:val="es-ES_tradnl"/>
        </w:rPr>
        <w:t>,</w:t>
      </w:r>
      <w:r w:rsidR="00910A7D" w:rsidRPr="00390BA4">
        <w:rPr>
          <w:rFonts w:asciiTheme="majorHAnsi" w:hAnsiTheme="majorHAnsi"/>
          <w:bCs/>
          <w:sz w:val="20"/>
          <w:szCs w:val="20"/>
          <w:lang w:val="es-ES_tradnl"/>
        </w:rPr>
        <w:t xml:space="preserve"> en la sentencia de la presunta víctima</w:t>
      </w:r>
      <w:r w:rsidR="00BE235C" w:rsidRPr="00390BA4">
        <w:rPr>
          <w:rFonts w:asciiTheme="majorHAnsi" w:hAnsiTheme="majorHAnsi"/>
          <w:bCs/>
          <w:sz w:val="20"/>
          <w:szCs w:val="20"/>
          <w:lang w:val="es-ES_tradnl"/>
        </w:rPr>
        <w:t xml:space="preserve">, </w:t>
      </w:r>
      <w:r w:rsidR="00910A7D" w:rsidRPr="00390BA4">
        <w:rPr>
          <w:rFonts w:asciiTheme="majorHAnsi" w:hAnsiTheme="majorHAnsi"/>
          <w:bCs/>
          <w:sz w:val="20"/>
          <w:szCs w:val="20"/>
          <w:lang w:val="es-ES_tradnl"/>
        </w:rPr>
        <w:t>que se trataba de la tranquilidad pública. En ese sentido, sostiene que la normativa debe delimitar el bien jurídico previsto y protegido, a efectos de distinguirse de los actos ya protegidos en otros epígrafes del Código Penal</w:t>
      </w:r>
      <w:r w:rsidR="005672D3" w:rsidRPr="00390BA4">
        <w:rPr>
          <w:rFonts w:asciiTheme="majorHAnsi" w:hAnsiTheme="majorHAnsi"/>
          <w:bCs/>
          <w:sz w:val="20"/>
          <w:szCs w:val="20"/>
          <w:lang w:val="es-ES_tradnl"/>
        </w:rPr>
        <w:t xml:space="preserve">. </w:t>
      </w:r>
    </w:p>
    <w:p w14:paraId="4C8F5401" w14:textId="3C00EC6B" w:rsidR="00F55E02" w:rsidRPr="00390BA4" w:rsidRDefault="00C57C91"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Asimismo, arguye que los órganos jurisdiccionales, ante la imposibilidad de probar la comisión de algún acto terrorista, condenaron a la presunta víctima por ser dirigente de una organización, bajo la errónea concepción de que el artículo 3 del Decreto Ley 25475 estableció tal situación como tipo penal autónomo</w:t>
      </w:r>
      <w:r w:rsidR="00BE235C" w:rsidRPr="00390BA4">
        <w:rPr>
          <w:rStyle w:val="FootnoteReference"/>
          <w:rFonts w:asciiTheme="majorHAnsi" w:hAnsiTheme="majorHAnsi"/>
          <w:sz w:val="20"/>
          <w:szCs w:val="20"/>
          <w:lang w:val="es-ES_tradnl"/>
        </w:rPr>
        <w:footnoteReference w:id="7"/>
      </w:r>
      <w:r w:rsidRPr="00390BA4">
        <w:rPr>
          <w:rFonts w:asciiTheme="majorHAnsi" w:hAnsiTheme="majorHAnsi"/>
          <w:sz w:val="20"/>
          <w:szCs w:val="20"/>
          <w:lang w:val="es-ES_tradnl"/>
        </w:rPr>
        <w:t xml:space="preserve">. </w:t>
      </w:r>
      <w:r w:rsidR="001B203C" w:rsidRPr="00390BA4">
        <w:rPr>
          <w:rFonts w:asciiTheme="majorHAnsi" w:hAnsiTheme="majorHAnsi"/>
          <w:sz w:val="20"/>
          <w:szCs w:val="20"/>
          <w:lang w:val="es-ES_tradnl"/>
        </w:rPr>
        <w:t>Sin perjuicio de ello, indica que el señor Flores Hala obtuvo el cargo de dirigente antes de 1990, por lo que se debió aplicar la legislación vigente al momento en que se asumió la condición de dirige</w:t>
      </w:r>
      <w:r w:rsidR="00910A7D" w:rsidRPr="00390BA4">
        <w:rPr>
          <w:rFonts w:asciiTheme="majorHAnsi" w:hAnsiTheme="majorHAnsi"/>
          <w:sz w:val="20"/>
          <w:szCs w:val="20"/>
          <w:lang w:val="es-ES_tradnl"/>
        </w:rPr>
        <w:t>nte</w:t>
      </w:r>
      <w:r w:rsidR="001B203C" w:rsidRPr="00390BA4">
        <w:rPr>
          <w:rFonts w:asciiTheme="majorHAnsi" w:hAnsiTheme="majorHAnsi"/>
          <w:sz w:val="20"/>
          <w:szCs w:val="20"/>
          <w:lang w:val="es-ES_tradnl"/>
        </w:rPr>
        <w:t xml:space="preserve">. Por las citadas razones, </w:t>
      </w:r>
      <w:r w:rsidRPr="00390BA4">
        <w:rPr>
          <w:rFonts w:asciiTheme="majorHAnsi" w:hAnsiTheme="majorHAnsi"/>
          <w:sz w:val="20"/>
          <w:szCs w:val="20"/>
          <w:lang w:val="es-ES_tradnl"/>
        </w:rPr>
        <w:t xml:space="preserve">considera que el Estado </w:t>
      </w:r>
      <w:r w:rsidR="00F80A5E">
        <w:rPr>
          <w:rFonts w:asciiTheme="majorHAnsi" w:hAnsiTheme="majorHAnsi"/>
          <w:sz w:val="20"/>
          <w:szCs w:val="20"/>
          <w:lang w:val="es-ES_tradnl"/>
        </w:rPr>
        <w:t>violó el derecho consagrado en</w:t>
      </w:r>
      <w:r w:rsidR="00F80A5E" w:rsidRPr="00390BA4">
        <w:rPr>
          <w:rFonts w:asciiTheme="majorHAnsi" w:hAnsiTheme="majorHAnsi"/>
          <w:sz w:val="20"/>
          <w:szCs w:val="20"/>
          <w:lang w:val="es-ES_tradnl"/>
        </w:rPr>
        <w:t xml:space="preserve"> </w:t>
      </w:r>
      <w:r w:rsidRPr="00390BA4">
        <w:rPr>
          <w:rFonts w:asciiTheme="majorHAnsi" w:hAnsiTheme="majorHAnsi"/>
          <w:sz w:val="20"/>
          <w:szCs w:val="20"/>
          <w:lang w:val="es-ES_tradnl"/>
        </w:rPr>
        <w:t>el artículo 9 de la Convención Americana</w:t>
      </w:r>
      <w:r w:rsidR="00550893" w:rsidRPr="00390BA4">
        <w:rPr>
          <w:rFonts w:asciiTheme="majorHAnsi" w:hAnsiTheme="majorHAnsi"/>
          <w:sz w:val="20"/>
          <w:szCs w:val="20"/>
          <w:lang w:val="es-ES_tradnl"/>
        </w:rPr>
        <w:t>, dado que las autoridades condenaron al señor Flores Hala mediante un delito no previsto en la legislación</w:t>
      </w:r>
    </w:p>
    <w:p w14:paraId="7591599D" w14:textId="771103A3" w:rsidR="00F55E02" w:rsidRPr="00390BA4" w:rsidRDefault="00F55E02" w:rsidP="005672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90BA4">
        <w:rPr>
          <w:rFonts w:asciiTheme="majorHAnsi" w:hAnsiTheme="majorHAnsi"/>
          <w:i/>
          <w:iCs/>
          <w:sz w:val="20"/>
          <w:szCs w:val="20"/>
          <w:lang w:val="es-ES_tradnl"/>
        </w:rPr>
        <w:lastRenderedPageBreak/>
        <w:t>Alegatos del Estado</w:t>
      </w:r>
    </w:p>
    <w:p w14:paraId="5FFE0D05" w14:textId="1DE81520" w:rsidR="00F55E02" w:rsidRPr="00390BA4" w:rsidRDefault="00A02985"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Cambria" w:hAnsi="Cambria"/>
          <w:sz w:val="20"/>
          <w:szCs w:val="20"/>
          <w:lang w:val="es-ES_tradnl"/>
        </w:rPr>
        <w:t xml:space="preserve">Por su parte, </w:t>
      </w:r>
      <w:r w:rsidR="00B35993" w:rsidRPr="00390BA4">
        <w:rPr>
          <w:rFonts w:ascii="Cambria" w:hAnsi="Cambria"/>
          <w:sz w:val="20"/>
          <w:szCs w:val="20"/>
          <w:lang w:val="es-ES_tradnl"/>
        </w:rPr>
        <w:t xml:space="preserve">de manera preliminar, el Estado cuestiona que, conforme a las piezas procesales en el expediente, la CIDH en </w:t>
      </w:r>
      <w:r w:rsidR="002B71B8" w:rsidRPr="00390BA4">
        <w:rPr>
          <w:rFonts w:ascii="Cambria" w:hAnsi="Cambria"/>
          <w:sz w:val="20"/>
          <w:szCs w:val="20"/>
          <w:lang w:val="es-ES_tradnl"/>
        </w:rPr>
        <w:t>dos</w:t>
      </w:r>
      <w:r w:rsidR="00B35993" w:rsidRPr="00390BA4">
        <w:rPr>
          <w:rFonts w:ascii="Cambria" w:hAnsi="Cambria"/>
          <w:sz w:val="20"/>
          <w:szCs w:val="20"/>
          <w:lang w:val="es-ES_tradnl"/>
        </w:rPr>
        <w:t xml:space="preserve"> oportunidades solicitó a la parte peticionaria que presente documentación que acredite la comisión de los hechos denunciados, indicando que de no recibirse tal información se procedería a archivar la petición. Afirma que, a pesar de ello, el peticionar</w:t>
      </w:r>
      <w:r w:rsidR="002B71B8" w:rsidRPr="00390BA4">
        <w:rPr>
          <w:rFonts w:ascii="Cambria" w:hAnsi="Cambria"/>
          <w:sz w:val="20"/>
          <w:szCs w:val="20"/>
          <w:lang w:val="es-ES_tradnl"/>
        </w:rPr>
        <w:t>io</w:t>
      </w:r>
      <w:r w:rsidR="00B35993" w:rsidRPr="00390BA4">
        <w:rPr>
          <w:rFonts w:ascii="Cambria" w:hAnsi="Cambria"/>
          <w:sz w:val="20"/>
          <w:szCs w:val="20"/>
          <w:lang w:val="es-ES_tradnl"/>
        </w:rPr>
        <w:t xml:space="preserve"> no env</w:t>
      </w:r>
      <w:r w:rsidR="00387E8D">
        <w:rPr>
          <w:rFonts w:ascii="Cambria" w:hAnsi="Cambria"/>
          <w:sz w:val="20"/>
          <w:szCs w:val="20"/>
          <w:lang w:val="es-ES_tradnl"/>
        </w:rPr>
        <w:t>ió</w:t>
      </w:r>
      <w:r w:rsidR="00B35993" w:rsidRPr="00390BA4">
        <w:rPr>
          <w:rFonts w:ascii="Cambria" w:hAnsi="Cambria"/>
          <w:sz w:val="20"/>
          <w:szCs w:val="20"/>
          <w:lang w:val="es-ES_tradnl"/>
        </w:rPr>
        <w:t xml:space="preserve"> las referidas piezas documentales, por lo que, a su juicio, la Comisión debió proceder con el archivo del presente reclamo</w:t>
      </w:r>
      <w:r w:rsidR="002B71B8" w:rsidRPr="00390BA4">
        <w:rPr>
          <w:rFonts w:ascii="Cambria" w:hAnsi="Cambria"/>
          <w:sz w:val="20"/>
          <w:szCs w:val="20"/>
          <w:lang w:val="es-ES_tradnl"/>
        </w:rPr>
        <w:t xml:space="preserve">, dado que para que una petición continúe en trámite se debe contar con la información que acredite la supuesta vulneración. </w:t>
      </w:r>
    </w:p>
    <w:p w14:paraId="41616C95" w14:textId="77777777" w:rsidR="00F55E02" w:rsidRPr="00390BA4" w:rsidRDefault="002B71B8"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Cambria" w:hAnsi="Cambria"/>
          <w:sz w:val="20"/>
          <w:szCs w:val="20"/>
          <w:lang w:val="es-ES_tradnl"/>
        </w:rPr>
        <w:t xml:space="preserve">En sentido similar, cuestiona el traslado extemporáneo de la petición. Afirma que a pesar de que el </w:t>
      </w:r>
      <w:r w:rsidRPr="00390BA4">
        <w:rPr>
          <w:rFonts w:ascii="Cambria" w:hAnsi="Cambria"/>
          <w:bCs/>
          <w:sz w:val="20"/>
          <w:szCs w:val="20"/>
          <w:lang w:val="es-ES_tradnl"/>
        </w:rPr>
        <w:t>2 de septiembre de 2015</w:t>
      </w:r>
      <w:r w:rsidRPr="00390BA4">
        <w:rPr>
          <w:rFonts w:ascii="Cambria" w:hAnsi="Cambria"/>
          <w:sz w:val="20"/>
          <w:szCs w:val="20"/>
          <w:lang w:val="es-ES_tradnl"/>
        </w:rPr>
        <w:t xml:space="preserve"> la Secretaría Ejecutiva de la CIDH recibió la petición, recién se realizó el traslado de tal documento el </w:t>
      </w:r>
      <w:r w:rsidRPr="00390BA4">
        <w:rPr>
          <w:rFonts w:ascii="Cambria" w:hAnsi="Cambria"/>
          <w:bCs/>
          <w:sz w:val="20"/>
          <w:szCs w:val="20"/>
          <w:lang w:val="es-ES_tradnl"/>
        </w:rPr>
        <w:t>29 de junio de 2021</w:t>
      </w:r>
      <w:r w:rsidRPr="00390BA4">
        <w:rPr>
          <w:rFonts w:ascii="Cambria" w:hAnsi="Cambria"/>
          <w:sz w:val="20"/>
          <w:szCs w:val="20"/>
          <w:lang w:val="es-ES_tradnl"/>
        </w:rPr>
        <w:t>. A juicio del Estado, la demora de cinco años y diez meses en tramitar la petición genera una grave problemática que afecta el adecuado ejercicio de su derecho a la defensa.</w:t>
      </w:r>
    </w:p>
    <w:p w14:paraId="70915585" w14:textId="5267156A" w:rsidR="00F55E02" w:rsidRPr="00390BA4" w:rsidRDefault="00B35993"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Cambria" w:hAnsi="Cambria"/>
          <w:sz w:val="20"/>
          <w:szCs w:val="20"/>
          <w:lang w:val="es-ES_tradnl"/>
        </w:rPr>
        <w:t xml:space="preserve">Sin perjuicio de lo anteriormente expuesto, </w:t>
      </w:r>
      <w:r w:rsidR="00A02985" w:rsidRPr="00390BA4">
        <w:rPr>
          <w:rFonts w:ascii="Cambria" w:hAnsi="Cambria"/>
          <w:sz w:val="20"/>
          <w:szCs w:val="20"/>
          <w:lang w:val="es-ES_tradnl"/>
        </w:rPr>
        <w:t>replica que la petición es inadmisible, toda vez</w:t>
      </w:r>
      <w:r w:rsidR="00876943" w:rsidRPr="00390BA4">
        <w:rPr>
          <w:rFonts w:ascii="Cambria" w:hAnsi="Cambria"/>
          <w:sz w:val="20"/>
          <w:szCs w:val="20"/>
          <w:lang w:val="es-ES_tradnl"/>
        </w:rPr>
        <w:t xml:space="preserve"> que los procesos dentro de la jurisdicción interna aún no han finalizado. Explica que conforme a lo expuesto por la parte peticionari</w:t>
      </w:r>
      <w:r w:rsidR="00924AD3" w:rsidRPr="00390BA4">
        <w:rPr>
          <w:rFonts w:ascii="Cambria" w:hAnsi="Cambria"/>
          <w:sz w:val="20"/>
          <w:szCs w:val="20"/>
          <w:lang w:val="es-ES_tradnl"/>
        </w:rPr>
        <w:t>a</w:t>
      </w:r>
      <w:r w:rsidR="00876943" w:rsidRPr="00390BA4">
        <w:rPr>
          <w:rFonts w:ascii="Cambria" w:hAnsi="Cambria"/>
          <w:sz w:val="20"/>
          <w:szCs w:val="20"/>
          <w:lang w:val="es-ES_tradnl"/>
        </w:rPr>
        <w:t xml:space="preserve"> existen dos procesos penales </w:t>
      </w:r>
      <w:r w:rsidR="00876943" w:rsidRPr="00390BA4">
        <w:rPr>
          <w:rFonts w:asciiTheme="majorHAnsi" w:hAnsiTheme="majorHAnsi"/>
          <w:sz w:val="20"/>
          <w:szCs w:val="20"/>
          <w:lang w:val="es-ES_tradnl"/>
        </w:rPr>
        <w:t xml:space="preserve">adicionales en trámite contra el señor Flores Hala, recaídos en los expedientes </w:t>
      </w:r>
      <w:r w:rsidR="00AE3EF1" w:rsidRPr="00390BA4">
        <w:rPr>
          <w:rFonts w:asciiTheme="majorHAnsi" w:hAnsiTheme="majorHAnsi"/>
          <w:sz w:val="20"/>
          <w:szCs w:val="20"/>
          <w:lang w:val="es-ES_tradnl"/>
        </w:rPr>
        <w:t xml:space="preserve">N° </w:t>
      </w:r>
      <w:r w:rsidR="00876943" w:rsidRPr="00390BA4">
        <w:rPr>
          <w:rFonts w:asciiTheme="majorHAnsi" w:hAnsiTheme="majorHAnsi"/>
          <w:sz w:val="20"/>
          <w:szCs w:val="20"/>
          <w:lang w:val="es-ES_tradnl"/>
        </w:rPr>
        <w:t>346-2013 y N° 385-2008. Respecto al primero, informa que el caso se encuentra bajo la competencia de la Sala Penal Permanente de la Corte Suprema de Justicia, luego</w:t>
      </w:r>
      <w:r w:rsidR="00CF7FA7" w:rsidRPr="00390BA4">
        <w:rPr>
          <w:rFonts w:asciiTheme="majorHAnsi" w:hAnsiTheme="majorHAnsi"/>
          <w:sz w:val="20"/>
          <w:szCs w:val="20"/>
          <w:lang w:val="es-ES_tradnl"/>
        </w:rPr>
        <w:t xml:space="preserve"> de</w:t>
      </w:r>
      <w:r w:rsidR="00876943" w:rsidRPr="00390BA4">
        <w:rPr>
          <w:rFonts w:asciiTheme="majorHAnsi" w:hAnsiTheme="majorHAnsi"/>
          <w:sz w:val="20"/>
          <w:szCs w:val="20"/>
          <w:lang w:val="es-ES_tradnl"/>
        </w:rPr>
        <w:t xml:space="preserve"> </w:t>
      </w:r>
      <w:r w:rsidR="00CF7FA7" w:rsidRPr="00390BA4">
        <w:rPr>
          <w:rFonts w:asciiTheme="majorHAnsi" w:hAnsiTheme="majorHAnsi"/>
          <w:sz w:val="20"/>
          <w:szCs w:val="20"/>
          <w:lang w:val="es-ES_tradnl"/>
        </w:rPr>
        <w:t xml:space="preserve">que la Procuraduría Pública Especializada en delitos de terrorismo y el Ministerio Público </w:t>
      </w:r>
      <w:r w:rsidR="00876943" w:rsidRPr="00390BA4">
        <w:rPr>
          <w:rFonts w:asciiTheme="majorHAnsi" w:hAnsiTheme="majorHAnsi"/>
          <w:sz w:val="20"/>
          <w:szCs w:val="20"/>
          <w:lang w:val="es-ES_tradnl"/>
        </w:rPr>
        <w:t>haya</w:t>
      </w:r>
      <w:r w:rsidR="00CF7FA7" w:rsidRPr="00390BA4">
        <w:rPr>
          <w:rFonts w:asciiTheme="majorHAnsi" w:hAnsiTheme="majorHAnsi"/>
          <w:sz w:val="20"/>
          <w:szCs w:val="20"/>
          <w:lang w:val="es-ES_tradnl"/>
        </w:rPr>
        <w:t>n</w:t>
      </w:r>
      <w:r w:rsidR="00876943" w:rsidRPr="00390BA4">
        <w:rPr>
          <w:rFonts w:asciiTheme="majorHAnsi" w:hAnsiTheme="majorHAnsi"/>
          <w:sz w:val="20"/>
          <w:szCs w:val="20"/>
          <w:lang w:val="es-ES_tradnl"/>
        </w:rPr>
        <w:t xml:space="preserve"> interpuesto el 11 de septiembre de 2018 un recurso de nulidad</w:t>
      </w:r>
      <w:r w:rsidR="00CF7FA7" w:rsidRPr="00390BA4">
        <w:rPr>
          <w:rFonts w:asciiTheme="majorHAnsi" w:hAnsiTheme="majorHAnsi"/>
          <w:sz w:val="20"/>
          <w:szCs w:val="20"/>
          <w:lang w:val="es-ES_tradnl"/>
        </w:rPr>
        <w:t xml:space="preserve"> contra la decisión de primera instancia</w:t>
      </w:r>
      <w:r w:rsidR="00876943" w:rsidRPr="00390BA4">
        <w:rPr>
          <w:rFonts w:asciiTheme="majorHAnsi" w:hAnsiTheme="majorHAnsi"/>
          <w:sz w:val="20"/>
          <w:szCs w:val="20"/>
          <w:lang w:val="es-ES_tradnl"/>
        </w:rPr>
        <w:t xml:space="preserve">. </w:t>
      </w:r>
      <w:r w:rsidR="00CF7FA7" w:rsidRPr="00390BA4">
        <w:rPr>
          <w:rFonts w:asciiTheme="majorHAnsi" w:hAnsiTheme="majorHAnsi"/>
          <w:sz w:val="20"/>
          <w:szCs w:val="20"/>
          <w:lang w:val="es-ES_tradnl"/>
        </w:rPr>
        <w:t xml:space="preserve">En sentido similar, indica que la segunda causa también está pendiente de revisión en la Corte Suprema, tras el recurso de nulidad presentado por dichos organismos estatales. En consecuencia, toda vez que los referidos asuntos aún están pendientes de una resolución definitiva, afirma que no se cumple el requisito previsto en el artículo 46.1.a) de la Convención Americana y, por ende, la Comisión no puede examinar este extremo de la petición. </w:t>
      </w:r>
    </w:p>
    <w:p w14:paraId="3A6C65D1" w14:textId="5618AD72" w:rsidR="00F55E02" w:rsidRPr="00390BA4" w:rsidRDefault="00A02985"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Cambria" w:hAnsi="Cambria"/>
          <w:sz w:val="20"/>
          <w:szCs w:val="20"/>
          <w:lang w:val="es-ES_tradnl"/>
        </w:rPr>
        <w:t>Sin perjuicio de ello, arguye que los hechos denunciados no caracterizan violaciones de derechos humanos que le sean atribuibles. Por el contrario, aduce que la parte peticionaria persigue que la CIDH actúe como una cuarta instancia pronunciándose sobre aspectos que ya fueron resueltos internamente por las autoridades jurisdiccionales respetando las garantías procesales y en el marco de sus competencias.</w:t>
      </w:r>
    </w:p>
    <w:p w14:paraId="10B851A9" w14:textId="2BDEC9BB" w:rsidR="00F55E02" w:rsidRPr="00390BA4" w:rsidRDefault="00AD0541"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Cambria" w:hAnsi="Cambria"/>
          <w:sz w:val="20"/>
          <w:szCs w:val="20"/>
          <w:lang w:val="es-ES_tradnl"/>
        </w:rPr>
        <w:t>El Estado alega que a la presunta víctima</w:t>
      </w:r>
      <w:r w:rsidR="00E06750" w:rsidRPr="00390BA4">
        <w:rPr>
          <w:rFonts w:ascii="Cambria" w:hAnsi="Cambria"/>
          <w:sz w:val="20"/>
          <w:szCs w:val="20"/>
          <w:lang w:val="es-ES_tradnl"/>
        </w:rPr>
        <w:t xml:space="preserve"> </w:t>
      </w:r>
      <w:r w:rsidR="002F20E9" w:rsidRPr="00390BA4">
        <w:rPr>
          <w:rFonts w:ascii="Cambria" w:hAnsi="Cambria"/>
          <w:sz w:val="20"/>
          <w:szCs w:val="20"/>
          <w:lang w:val="es-ES_tradnl"/>
        </w:rPr>
        <w:t xml:space="preserve">nunca </w:t>
      </w:r>
      <w:r w:rsidR="00E06750" w:rsidRPr="00390BA4">
        <w:rPr>
          <w:rFonts w:ascii="Cambria" w:hAnsi="Cambria"/>
          <w:sz w:val="20"/>
          <w:szCs w:val="20"/>
          <w:lang w:val="es-ES_tradnl"/>
        </w:rPr>
        <w:t>se le negó</w:t>
      </w:r>
      <w:r w:rsidR="002F20E9" w:rsidRPr="00390BA4">
        <w:rPr>
          <w:rFonts w:asciiTheme="majorHAnsi" w:hAnsiTheme="majorHAnsi"/>
          <w:sz w:val="20"/>
          <w:szCs w:val="20"/>
          <w:lang w:val="es-ES_tradnl"/>
        </w:rPr>
        <w:t xml:space="preserve"> su derecho a recurrir ante un órgano jurisdiccional</w:t>
      </w:r>
      <w:r w:rsidR="00E06750" w:rsidRPr="00390BA4">
        <w:rPr>
          <w:rFonts w:asciiTheme="majorHAnsi" w:hAnsiTheme="majorHAnsi"/>
          <w:sz w:val="20"/>
          <w:szCs w:val="20"/>
          <w:lang w:val="es-ES_tradnl"/>
        </w:rPr>
        <w:t xml:space="preserve">, ni se </w:t>
      </w:r>
      <w:r w:rsidR="002F20E9" w:rsidRPr="00390BA4">
        <w:rPr>
          <w:rFonts w:asciiTheme="majorHAnsi" w:hAnsiTheme="majorHAnsi"/>
          <w:sz w:val="20"/>
          <w:szCs w:val="20"/>
          <w:lang w:val="es-ES_tradnl"/>
        </w:rPr>
        <w:t>le impidi</w:t>
      </w:r>
      <w:r w:rsidR="00E06750" w:rsidRPr="00390BA4">
        <w:rPr>
          <w:rFonts w:asciiTheme="majorHAnsi" w:hAnsiTheme="majorHAnsi"/>
          <w:sz w:val="20"/>
          <w:szCs w:val="20"/>
          <w:lang w:val="es-ES_tradnl"/>
        </w:rPr>
        <w:t>ó</w:t>
      </w:r>
      <w:r w:rsidR="002F20E9" w:rsidRPr="00390BA4">
        <w:rPr>
          <w:rFonts w:asciiTheme="majorHAnsi" w:hAnsiTheme="majorHAnsi"/>
          <w:sz w:val="20"/>
          <w:szCs w:val="20"/>
          <w:lang w:val="es-ES_tradnl"/>
        </w:rPr>
        <w:t xml:space="preserve"> hacer valer sus derechos conforme a ley. Afirma que, conforme se evidencia en el expediente, la defensa legal de la </w:t>
      </w:r>
      <w:r w:rsidR="00E06750" w:rsidRPr="00390BA4">
        <w:rPr>
          <w:rFonts w:asciiTheme="majorHAnsi" w:hAnsiTheme="majorHAnsi"/>
          <w:sz w:val="20"/>
          <w:szCs w:val="20"/>
          <w:lang w:val="es-ES_tradnl"/>
        </w:rPr>
        <w:t>presunta víctima</w:t>
      </w:r>
      <w:r w:rsidR="002F20E9" w:rsidRPr="00390BA4">
        <w:rPr>
          <w:rFonts w:asciiTheme="majorHAnsi" w:hAnsiTheme="majorHAnsi"/>
          <w:sz w:val="20"/>
          <w:szCs w:val="20"/>
          <w:lang w:val="es-ES_tradnl"/>
        </w:rPr>
        <w:t xml:space="preserve"> no solo pudo interrogar a los testigos dentro del juicio oral, sino que además tuvo la oportunidad de interponer recurso</w:t>
      </w:r>
      <w:r w:rsidR="00FA5B7C" w:rsidRPr="00390BA4">
        <w:rPr>
          <w:rFonts w:asciiTheme="majorHAnsi" w:hAnsiTheme="majorHAnsi"/>
          <w:sz w:val="20"/>
          <w:szCs w:val="20"/>
          <w:lang w:val="es-ES_tradnl"/>
        </w:rPr>
        <w:t>s</w:t>
      </w:r>
      <w:r w:rsidR="002F20E9" w:rsidRPr="00390BA4">
        <w:rPr>
          <w:rFonts w:asciiTheme="majorHAnsi" w:hAnsiTheme="majorHAnsi"/>
          <w:sz w:val="20"/>
          <w:szCs w:val="20"/>
          <w:lang w:val="es-ES_tradnl"/>
        </w:rPr>
        <w:t xml:space="preserve"> si consideraba en su oportunidad que no eran idóneos o creíbles sus declaraciones. </w:t>
      </w:r>
      <w:r w:rsidR="00FA5B7C" w:rsidRPr="00390BA4">
        <w:rPr>
          <w:rFonts w:asciiTheme="majorHAnsi" w:hAnsiTheme="majorHAnsi"/>
          <w:sz w:val="20"/>
          <w:szCs w:val="20"/>
          <w:lang w:val="es-ES_tradnl"/>
        </w:rPr>
        <w:t>Alega</w:t>
      </w:r>
      <w:r w:rsidR="00E06750" w:rsidRPr="00390BA4">
        <w:rPr>
          <w:rFonts w:asciiTheme="majorHAnsi" w:hAnsiTheme="majorHAnsi"/>
          <w:sz w:val="20"/>
          <w:szCs w:val="20"/>
          <w:lang w:val="es-ES_tradnl"/>
        </w:rPr>
        <w:t xml:space="preserve"> que las autoridades concedieron al señor Flores Hala el tiempo y los medios adecuados para la preparación de su defensa</w:t>
      </w:r>
      <w:r w:rsidR="00FA5B7C" w:rsidRPr="00390BA4">
        <w:rPr>
          <w:rFonts w:asciiTheme="majorHAnsi" w:hAnsiTheme="majorHAnsi"/>
          <w:sz w:val="20"/>
          <w:szCs w:val="20"/>
          <w:lang w:val="es-ES_tradnl"/>
        </w:rPr>
        <w:t>;</w:t>
      </w:r>
      <w:r w:rsidR="00E06750" w:rsidRPr="00390BA4">
        <w:rPr>
          <w:rFonts w:asciiTheme="majorHAnsi" w:hAnsiTheme="majorHAnsi"/>
          <w:sz w:val="20"/>
          <w:szCs w:val="20"/>
          <w:lang w:val="es-ES_tradnl"/>
        </w:rPr>
        <w:t xml:space="preserve"> y </w:t>
      </w:r>
      <w:r w:rsidR="00FA5B7C" w:rsidRPr="00390BA4">
        <w:rPr>
          <w:rFonts w:asciiTheme="majorHAnsi" w:hAnsiTheme="majorHAnsi"/>
          <w:sz w:val="20"/>
          <w:szCs w:val="20"/>
          <w:lang w:val="es-ES_tradnl"/>
        </w:rPr>
        <w:t xml:space="preserve">que </w:t>
      </w:r>
      <w:r w:rsidR="00E06750" w:rsidRPr="00390BA4">
        <w:rPr>
          <w:rFonts w:asciiTheme="majorHAnsi" w:hAnsiTheme="majorHAnsi"/>
          <w:sz w:val="20"/>
          <w:szCs w:val="20"/>
          <w:lang w:val="es-ES_tradnl"/>
        </w:rPr>
        <w:t>se respetó su derecho a defenderse personalmente y de ser asistido por un defensor de su elección</w:t>
      </w:r>
      <w:r w:rsidR="00F35657" w:rsidRPr="00390BA4">
        <w:rPr>
          <w:rFonts w:asciiTheme="majorHAnsi" w:hAnsiTheme="majorHAnsi"/>
          <w:sz w:val="20"/>
          <w:szCs w:val="20"/>
          <w:lang w:val="es-ES_tradnl"/>
        </w:rPr>
        <w:t>, desde el inicio el proceso hasta su conclusión.</w:t>
      </w:r>
    </w:p>
    <w:p w14:paraId="7273ABC5" w14:textId="163B3CF1" w:rsidR="00F55E02" w:rsidRPr="00390BA4" w:rsidRDefault="008C40BF" w:rsidP="00F55E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Por último</w:t>
      </w:r>
      <w:r w:rsidR="00A32D5D" w:rsidRPr="00390BA4">
        <w:rPr>
          <w:rFonts w:asciiTheme="majorHAnsi" w:hAnsiTheme="majorHAnsi"/>
          <w:sz w:val="20"/>
          <w:szCs w:val="20"/>
          <w:lang w:val="es-ES_tradnl"/>
        </w:rPr>
        <w:t>, resalta que el fallo que acreditó la responsabilidad penal del señor Flores Ha</w:t>
      </w:r>
      <w:r w:rsidR="00C93707" w:rsidRPr="00390BA4">
        <w:rPr>
          <w:rFonts w:asciiTheme="majorHAnsi" w:hAnsiTheme="majorHAnsi"/>
          <w:sz w:val="20"/>
          <w:szCs w:val="20"/>
          <w:lang w:val="es-ES_tradnl"/>
        </w:rPr>
        <w:t>l</w:t>
      </w:r>
      <w:r w:rsidR="00A32D5D" w:rsidRPr="00390BA4">
        <w:rPr>
          <w:rFonts w:asciiTheme="majorHAnsi" w:hAnsiTheme="majorHAnsi"/>
          <w:sz w:val="20"/>
          <w:szCs w:val="20"/>
          <w:lang w:val="es-ES_tradnl"/>
        </w:rPr>
        <w:t>a no solo utilizó las declaraciones de los testigos, sino que sustentó la co</w:t>
      </w:r>
      <w:r w:rsidR="00387E8D">
        <w:rPr>
          <w:rFonts w:asciiTheme="majorHAnsi" w:hAnsiTheme="majorHAnsi"/>
          <w:sz w:val="20"/>
          <w:szCs w:val="20"/>
          <w:lang w:val="es-ES_tradnl"/>
        </w:rPr>
        <w:t>n</w:t>
      </w:r>
      <w:r w:rsidR="00A32D5D" w:rsidRPr="00390BA4">
        <w:rPr>
          <w:rFonts w:asciiTheme="majorHAnsi" w:hAnsiTheme="majorHAnsi"/>
          <w:sz w:val="20"/>
          <w:szCs w:val="20"/>
          <w:lang w:val="es-ES_tradnl"/>
        </w:rPr>
        <w:t>dena en los documentos incautad</w:t>
      </w:r>
      <w:r w:rsidR="00924AD3" w:rsidRPr="00390BA4">
        <w:rPr>
          <w:rFonts w:asciiTheme="majorHAnsi" w:hAnsiTheme="majorHAnsi"/>
          <w:sz w:val="20"/>
          <w:szCs w:val="20"/>
          <w:lang w:val="es-ES_tradnl"/>
        </w:rPr>
        <w:t>os</w:t>
      </w:r>
      <w:r w:rsidR="00A32D5D" w:rsidRPr="00390BA4">
        <w:rPr>
          <w:rFonts w:asciiTheme="majorHAnsi" w:hAnsiTheme="majorHAnsi"/>
          <w:sz w:val="20"/>
          <w:szCs w:val="20"/>
          <w:lang w:val="es-ES_tradnl"/>
        </w:rPr>
        <w:t>, tales como v</w:t>
      </w:r>
      <w:r w:rsidR="00FA5B7C" w:rsidRPr="00390BA4">
        <w:rPr>
          <w:rFonts w:asciiTheme="majorHAnsi" w:hAnsiTheme="majorHAnsi"/>
          <w:sz w:val="20"/>
          <w:szCs w:val="20"/>
          <w:lang w:val="es-ES_tradnl"/>
        </w:rPr>
        <w:t>i</w:t>
      </w:r>
      <w:r w:rsidR="00A32D5D" w:rsidRPr="00390BA4">
        <w:rPr>
          <w:rFonts w:asciiTheme="majorHAnsi" w:hAnsiTheme="majorHAnsi"/>
          <w:sz w:val="20"/>
          <w:szCs w:val="20"/>
          <w:lang w:val="es-ES_tradnl"/>
        </w:rPr>
        <w:t xml:space="preserve">deos y diligencias judiciales de reconocimiento. Afirma que dichos medios de prueba demostraron que la presunta víctima forma parte del comité central de la organización Sendero Luminoso. En consecuencia, afirma que no existió ninguna vulneración al derecho a </w:t>
      </w:r>
      <w:r w:rsidR="00387E8D">
        <w:rPr>
          <w:rFonts w:asciiTheme="majorHAnsi" w:hAnsiTheme="majorHAnsi"/>
          <w:sz w:val="20"/>
          <w:szCs w:val="20"/>
          <w:lang w:val="es-ES_tradnl"/>
        </w:rPr>
        <w:t xml:space="preserve">la </w:t>
      </w:r>
      <w:r w:rsidR="00A32D5D" w:rsidRPr="00390BA4">
        <w:rPr>
          <w:rFonts w:asciiTheme="majorHAnsi" w:hAnsiTheme="majorHAnsi"/>
          <w:sz w:val="20"/>
          <w:szCs w:val="20"/>
          <w:lang w:val="es-ES_tradnl"/>
        </w:rPr>
        <w:t xml:space="preserve">libertad, dado que quedó plenamente demostrada la responsabilidad del señor Flores </w:t>
      </w:r>
      <w:r w:rsidR="00C93707" w:rsidRPr="00390BA4">
        <w:rPr>
          <w:rFonts w:asciiTheme="majorHAnsi" w:hAnsiTheme="majorHAnsi"/>
          <w:sz w:val="20"/>
          <w:szCs w:val="20"/>
          <w:lang w:val="es-ES_tradnl"/>
        </w:rPr>
        <w:t>Hala</w:t>
      </w:r>
      <w:r w:rsidR="00A32D5D" w:rsidRPr="00390BA4">
        <w:rPr>
          <w:rFonts w:asciiTheme="majorHAnsi" w:hAnsiTheme="majorHAnsi"/>
          <w:sz w:val="20"/>
          <w:szCs w:val="20"/>
          <w:lang w:val="es-ES_tradnl"/>
        </w:rPr>
        <w:t xml:space="preserve"> por los hechos imputados. </w:t>
      </w:r>
    </w:p>
    <w:p w14:paraId="1C6E7927" w14:textId="4C05B9E9" w:rsidR="00F55E02" w:rsidRPr="00390BA4" w:rsidRDefault="00F55E02" w:rsidP="00F55E02">
      <w:pPr>
        <w:pStyle w:val="ListParagraph"/>
        <w:spacing w:before="240" w:after="240"/>
        <w:jc w:val="both"/>
        <w:rPr>
          <w:rFonts w:asciiTheme="majorHAnsi" w:hAnsiTheme="majorHAnsi"/>
          <w:sz w:val="20"/>
          <w:szCs w:val="20"/>
          <w:lang w:val="es-ES_tradnl"/>
        </w:rPr>
      </w:pPr>
      <w:r w:rsidRPr="00390BA4">
        <w:rPr>
          <w:rFonts w:asciiTheme="majorHAnsi" w:hAnsiTheme="majorHAnsi"/>
          <w:b/>
          <w:bCs/>
          <w:sz w:val="20"/>
          <w:szCs w:val="20"/>
          <w:lang w:val="es-ES_tradnl"/>
        </w:rPr>
        <w:t>VI.</w:t>
      </w:r>
      <w:r w:rsidRPr="00390BA4">
        <w:rPr>
          <w:rFonts w:asciiTheme="majorHAnsi" w:hAnsiTheme="majorHAnsi"/>
          <w:b/>
          <w:bCs/>
          <w:sz w:val="20"/>
          <w:szCs w:val="20"/>
          <w:lang w:val="es-ES_tradnl"/>
        </w:rPr>
        <w:tab/>
        <w:t xml:space="preserve">ANÁLISIS DE </w:t>
      </w:r>
      <w:r w:rsidRPr="00390BA4">
        <w:rPr>
          <w:rFonts w:asciiTheme="majorHAnsi" w:hAnsiTheme="majorHAnsi"/>
          <w:b/>
          <w:sz w:val="20"/>
          <w:szCs w:val="20"/>
          <w:lang w:val="es-ES_tradnl"/>
        </w:rPr>
        <w:t>AGOTAMIENTO DE LOS RECURSOS INTERNOS Y PLAZO DE PRESENTACIÓN</w:t>
      </w:r>
      <w:r w:rsidRPr="00390BA4">
        <w:rPr>
          <w:rFonts w:asciiTheme="majorHAnsi" w:hAnsiTheme="majorHAnsi"/>
          <w:b/>
          <w:bCs/>
          <w:sz w:val="20"/>
          <w:szCs w:val="20"/>
          <w:lang w:val="es-ES_tradnl"/>
        </w:rPr>
        <w:t xml:space="preserve"> </w:t>
      </w:r>
    </w:p>
    <w:p w14:paraId="22261632" w14:textId="0B8B82BE" w:rsidR="00877F3A" w:rsidRPr="00390BA4" w:rsidRDefault="00530E70" w:rsidP="00060F7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La Comisión nota que el objeto principal de la presente petición es cuestionar la condena penal del señor Flores Ha</w:t>
      </w:r>
      <w:r w:rsidR="00C93707" w:rsidRPr="00390BA4">
        <w:rPr>
          <w:rFonts w:asciiTheme="majorHAnsi" w:hAnsiTheme="majorHAnsi"/>
          <w:sz w:val="20"/>
          <w:szCs w:val="20"/>
          <w:lang w:val="es-ES_tradnl"/>
        </w:rPr>
        <w:t>l</w:t>
      </w:r>
      <w:r w:rsidRPr="00390BA4">
        <w:rPr>
          <w:rFonts w:asciiTheme="majorHAnsi" w:hAnsiTheme="majorHAnsi"/>
          <w:sz w:val="20"/>
          <w:szCs w:val="20"/>
          <w:lang w:val="es-ES_tradnl"/>
        </w:rPr>
        <w:t xml:space="preserve">a a cadena perpetua los delitos de Terrorismo Agravado y Tráfico Ilícito de Drogas. En ese sentido, </w:t>
      </w:r>
      <w:r w:rsidR="00060F7C" w:rsidRPr="00390BA4">
        <w:rPr>
          <w:rFonts w:asciiTheme="majorHAnsi" w:hAnsiTheme="majorHAnsi"/>
          <w:sz w:val="20"/>
          <w:szCs w:val="20"/>
          <w:lang w:val="es-ES_tradnl"/>
        </w:rPr>
        <w:t>la CIDH destaca que, respecto a dicho proceso, el Estado no ha controvertido el agotamiento de los recursos internos ni ha hecho referencias al plazo de presentación de la petición</w:t>
      </w:r>
      <w:r w:rsidR="00924AD3" w:rsidRPr="00390BA4">
        <w:rPr>
          <w:rFonts w:asciiTheme="majorHAnsi" w:hAnsiTheme="majorHAnsi"/>
          <w:sz w:val="20"/>
          <w:szCs w:val="20"/>
          <w:lang w:val="es-ES_tradnl"/>
        </w:rPr>
        <w:t>, limitándose a presentar tales excepciones respecto a otros procesos que se están tramitando contra el señor Flores Hala</w:t>
      </w:r>
      <w:r w:rsidR="00A651C5" w:rsidRPr="00390BA4">
        <w:rPr>
          <w:rFonts w:asciiTheme="majorHAnsi" w:hAnsiTheme="majorHAnsi"/>
          <w:sz w:val="20"/>
          <w:szCs w:val="20"/>
          <w:lang w:val="es-ES_tradnl"/>
        </w:rPr>
        <w:t xml:space="preserve"> y que no son </w:t>
      </w:r>
      <w:r w:rsidR="00877F3A" w:rsidRPr="00390BA4">
        <w:rPr>
          <w:rFonts w:asciiTheme="majorHAnsi" w:hAnsiTheme="majorHAnsi"/>
          <w:sz w:val="20"/>
          <w:szCs w:val="20"/>
          <w:lang w:val="es-ES_tradnl"/>
        </w:rPr>
        <w:t>parte del objeto principal de la presente petición</w:t>
      </w:r>
      <w:r w:rsidR="00060F7C" w:rsidRPr="00390BA4">
        <w:rPr>
          <w:rFonts w:asciiTheme="majorHAnsi" w:hAnsiTheme="majorHAnsi"/>
          <w:sz w:val="20"/>
          <w:szCs w:val="20"/>
          <w:lang w:val="es-ES_tradnl"/>
        </w:rPr>
        <w:t xml:space="preserve">. </w:t>
      </w:r>
      <w:r w:rsidR="00877F3A" w:rsidRPr="00390BA4">
        <w:rPr>
          <w:rFonts w:asciiTheme="majorHAnsi" w:hAnsiTheme="majorHAnsi"/>
          <w:sz w:val="20"/>
          <w:szCs w:val="20"/>
          <w:lang w:val="es-ES_tradnl"/>
        </w:rPr>
        <w:t xml:space="preserve">En este sentido, resulta claro de la exposición de ambas partes que la última decisión judicial adoptada en el proceso penal principal seguido contra la presunta víctima fue la </w:t>
      </w:r>
      <w:r w:rsidR="00877F3A" w:rsidRPr="00390BA4">
        <w:rPr>
          <w:rFonts w:asciiTheme="majorHAnsi" w:hAnsiTheme="majorHAnsi"/>
          <w:sz w:val="20"/>
          <w:szCs w:val="20"/>
          <w:lang w:val="es-ES_tradnl"/>
        </w:rPr>
        <w:lastRenderedPageBreak/>
        <w:t>emitida p</w:t>
      </w:r>
      <w:r w:rsidR="00387E8D">
        <w:rPr>
          <w:rFonts w:asciiTheme="majorHAnsi" w:hAnsiTheme="majorHAnsi"/>
          <w:sz w:val="20"/>
          <w:szCs w:val="20"/>
          <w:lang w:val="es-ES_tradnl"/>
        </w:rPr>
        <w:t xml:space="preserve">or </w:t>
      </w:r>
      <w:r w:rsidR="00877F3A" w:rsidRPr="00390BA4">
        <w:rPr>
          <w:rFonts w:asciiTheme="majorHAnsi" w:hAnsiTheme="majorHAnsi"/>
          <w:sz w:val="20"/>
          <w:szCs w:val="20"/>
          <w:lang w:val="es-ES_tradnl"/>
        </w:rPr>
        <w:t>la Corte Suprema que desestimó el recurso de nulidad planteado por la presunta víctima, decisión que fue notificada el 9 de marzo de 2015.</w:t>
      </w:r>
    </w:p>
    <w:p w14:paraId="7B62B899" w14:textId="0A54F753" w:rsidR="008464DC" w:rsidRPr="00390BA4" w:rsidRDefault="00877F3A" w:rsidP="00877F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Así, l</w:t>
      </w:r>
      <w:r w:rsidR="00060F7C" w:rsidRPr="00390BA4">
        <w:rPr>
          <w:rFonts w:asciiTheme="majorHAnsi" w:hAnsiTheme="majorHAnsi"/>
          <w:sz w:val="20"/>
          <w:szCs w:val="20"/>
          <w:lang w:val="es-ES_tradnl"/>
        </w:rPr>
        <w:t>a Comisión concluye que la presente petición cumple con el requisito de agotamiento de los recursos internos de conformidad con el artículo 46.1.a) de la Convención Americana</w:t>
      </w:r>
      <w:r w:rsidRPr="00390BA4">
        <w:rPr>
          <w:rFonts w:asciiTheme="majorHAnsi" w:hAnsiTheme="majorHAnsi"/>
          <w:sz w:val="20"/>
          <w:szCs w:val="20"/>
          <w:lang w:val="es-ES_tradnl"/>
        </w:rPr>
        <w:t xml:space="preserve">; y dado que la </w:t>
      </w:r>
      <w:r w:rsidR="00060F7C" w:rsidRPr="00390BA4">
        <w:rPr>
          <w:rFonts w:asciiTheme="majorHAnsi" w:hAnsiTheme="majorHAnsi"/>
          <w:sz w:val="20"/>
          <w:szCs w:val="20"/>
          <w:lang w:val="es-ES_tradnl"/>
        </w:rPr>
        <w:t xml:space="preserve">petición fue recibida </w:t>
      </w:r>
      <w:r w:rsidRPr="00390BA4">
        <w:rPr>
          <w:rFonts w:asciiTheme="majorHAnsi" w:hAnsiTheme="majorHAnsi"/>
          <w:sz w:val="20"/>
          <w:szCs w:val="20"/>
          <w:lang w:val="es-ES_tradnl"/>
        </w:rPr>
        <w:t>en</w:t>
      </w:r>
      <w:r w:rsidR="00060F7C" w:rsidRPr="00390BA4">
        <w:rPr>
          <w:rFonts w:asciiTheme="majorHAnsi" w:hAnsiTheme="majorHAnsi"/>
          <w:sz w:val="20"/>
          <w:szCs w:val="20"/>
          <w:lang w:val="es-ES_tradnl"/>
        </w:rPr>
        <w:t xml:space="preserve"> la Comisión el </w:t>
      </w:r>
      <w:r w:rsidR="00060F7C" w:rsidRPr="00390BA4">
        <w:rPr>
          <w:rFonts w:asciiTheme="majorHAnsi" w:hAnsiTheme="majorHAnsi"/>
          <w:bCs/>
          <w:sz w:val="20"/>
          <w:szCs w:val="20"/>
          <w:lang w:val="es-ES_tradnl"/>
        </w:rPr>
        <w:t xml:space="preserve">2 de septiembre de 2015, </w:t>
      </w:r>
      <w:r w:rsidR="00060F7C" w:rsidRPr="00390BA4">
        <w:rPr>
          <w:rFonts w:asciiTheme="majorHAnsi" w:hAnsiTheme="majorHAnsi"/>
          <w:sz w:val="20"/>
          <w:szCs w:val="20"/>
          <w:lang w:val="es-ES_tradnl"/>
        </w:rPr>
        <w:t xml:space="preserve">esta cumple con el </w:t>
      </w:r>
      <w:r w:rsidRPr="00390BA4">
        <w:rPr>
          <w:rFonts w:asciiTheme="majorHAnsi" w:hAnsiTheme="majorHAnsi"/>
          <w:sz w:val="20"/>
          <w:szCs w:val="20"/>
          <w:lang w:val="es-ES_tradnl"/>
        </w:rPr>
        <w:t xml:space="preserve">requisito de plazo de presentación establecido en el </w:t>
      </w:r>
      <w:r w:rsidR="00060F7C" w:rsidRPr="00390BA4">
        <w:rPr>
          <w:rFonts w:asciiTheme="majorHAnsi" w:hAnsiTheme="majorHAnsi"/>
          <w:sz w:val="20"/>
          <w:szCs w:val="20"/>
          <w:lang w:val="es-ES_tradnl"/>
        </w:rPr>
        <w:t>artículo 46.1.b) de la Convención Americana.</w:t>
      </w:r>
    </w:p>
    <w:p w14:paraId="78A0D7F5" w14:textId="00FA3406" w:rsidR="00114AD8" w:rsidRPr="00B5103E" w:rsidRDefault="00114AD8" w:rsidP="00877F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5103E">
        <w:rPr>
          <w:rFonts w:asciiTheme="majorHAnsi" w:hAnsiTheme="majorHAnsi"/>
          <w:sz w:val="20"/>
          <w:szCs w:val="20"/>
          <w:lang w:val="es-ES_tradnl"/>
        </w:rPr>
        <w:t xml:space="preserve">Adicionalmente, en relación con los cuestionamientos a las condiciones carcelarias de la presunta víctima, la Comisión observa que, conforme a la información en el expediente, tal reclamo no ha sido </w:t>
      </w:r>
      <w:r w:rsidR="00390BA4" w:rsidRPr="00B5103E">
        <w:rPr>
          <w:rFonts w:asciiTheme="majorHAnsi" w:hAnsiTheme="majorHAnsi"/>
          <w:sz w:val="20"/>
          <w:szCs w:val="20"/>
          <w:lang w:val="es-ES_tradnl"/>
        </w:rPr>
        <w:t>agotado</w:t>
      </w:r>
      <w:r w:rsidRPr="00B5103E">
        <w:rPr>
          <w:rFonts w:asciiTheme="majorHAnsi" w:hAnsiTheme="majorHAnsi"/>
          <w:sz w:val="20"/>
          <w:szCs w:val="20"/>
          <w:lang w:val="es-ES_tradnl"/>
        </w:rPr>
        <w:t xml:space="preserve"> ninguna vía judicial a nivel interno. En consecuencia, la Comisión considera que respecto de este extremo de la petición no se cumple con el requisito previsto en el artículo 46.1.a) de la Convención Americana. </w:t>
      </w:r>
    </w:p>
    <w:p w14:paraId="01B08BD9" w14:textId="7C4C003D" w:rsidR="008464DC" w:rsidRPr="00B5103E" w:rsidRDefault="008464DC" w:rsidP="008464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5103E">
        <w:rPr>
          <w:rFonts w:asciiTheme="majorHAnsi" w:hAnsiTheme="majorHAnsi"/>
          <w:sz w:val="20"/>
          <w:szCs w:val="20"/>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9C391C" w:rsidRPr="00B5103E">
        <w:rPr>
          <w:rFonts w:ascii="Cambria" w:hAnsi="Cambria"/>
          <w:sz w:val="20"/>
          <w:szCs w:val="20"/>
          <w:vertAlign w:val="superscript"/>
        </w:rPr>
        <w:footnoteReference w:id="8"/>
      </w:r>
      <w:r w:rsidRPr="00B5103E">
        <w:rPr>
          <w:rFonts w:asciiTheme="majorHAnsi" w:hAnsiTheme="majorHAnsi"/>
          <w:sz w:val="20"/>
          <w:szCs w:val="20"/>
          <w:lang w:val="es-ES_tradnl"/>
        </w:rPr>
        <w:t>.</w:t>
      </w:r>
      <w:r w:rsidR="00892630" w:rsidRPr="00B5103E">
        <w:rPr>
          <w:rFonts w:asciiTheme="majorHAnsi" w:hAnsiTheme="majorHAnsi"/>
          <w:sz w:val="20"/>
          <w:szCs w:val="20"/>
          <w:lang w:val="es-ES_tradnl"/>
        </w:rPr>
        <w:t xml:space="preserve"> Asimismo, la CIDH en su Informe de Admisibilidad No. 79/08</w:t>
      </w:r>
      <w:r w:rsidR="0065210F" w:rsidRPr="00B5103E">
        <w:rPr>
          <w:rStyle w:val="FootnoteReference"/>
          <w:rFonts w:asciiTheme="majorHAnsi" w:hAnsiTheme="majorHAnsi"/>
          <w:sz w:val="20"/>
          <w:szCs w:val="20"/>
          <w:lang w:val="es-ES_tradnl"/>
        </w:rPr>
        <w:footnoteReference w:id="9"/>
      </w:r>
      <w:r w:rsidR="00892630" w:rsidRPr="00B5103E">
        <w:rPr>
          <w:rFonts w:asciiTheme="majorHAnsi" w:hAnsiTheme="majorHAnsi"/>
          <w:sz w:val="20"/>
          <w:szCs w:val="20"/>
          <w:lang w:val="es-ES_tradnl"/>
        </w:rPr>
        <w:t>, aclaró que:</w:t>
      </w:r>
    </w:p>
    <w:p w14:paraId="5339AD65" w14:textId="1C9F3D00" w:rsidR="00892630" w:rsidRPr="00B5103E" w:rsidRDefault="00892630" w:rsidP="001E1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US"/>
        </w:rPr>
      </w:pPr>
      <w:r w:rsidRPr="00B5103E">
        <w:rPr>
          <w:rFonts w:asciiTheme="majorHAnsi" w:hAnsiTheme="majorHAnsi"/>
          <w:sz w:val="20"/>
          <w:szCs w:val="20"/>
          <w:lang w:val="es-ES_tradnl"/>
        </w:rPr>
        <w:t>el tiempo transcurrido desde que la Comisión</w:t>
      </w:r>
      <w:r w:rsidR="0065210F" w:rsidRPr="00B5103E">
        <w:rPr>
          <w:rFonts w:asciiTheme="majorHAnsi" w:hAnsiTheme="majorHAnsi"/>
          <w:sz w:val="20"/>
          <w:szCs w:val="20"/>
          <w:lang w:val="es-ES_tradnl"/>
        </w:rPr>
        <w:t xml:space="preserve"> </w:t>
      </w:r>
      <w:r w:rsidRPr="00B5103E">
        <w:rPr>
          <w:rFonts w:asciiTheme="majorHAnsi" w:hAnsiTheme="majorHAnsi"/>
          <w:sz w:val="20"/>
          <w:szCs w:val="20"/>
          <w:lang w:val="es-ES_tradnl"/>
        </w:rPr>
        <w:t>recibe una denuncia hasta que la traslada al Estado, de acuerdo con las</w:t>
      </w:r>
      <w:r w:rsidR="0065210F" w:rsidRPr="00B5103E">
        <w:rPr>
          <w:rFonts w:asciiTheme="majorHAnsi" w:hAnsiTheme="majorHAnsi"/>
          <w:sz w:val="20"/>
          <w:szCs w:val="20"/>
          <w:lang w:val="es-ES_tradnl"/>
        </w:rPr>
        <w:t xml:space="preserve"> </w:t>
      </w:r>
      <w:r w:rsidRPr="00B5103E">
        <w:rPr>
          <w:rFonts w:asciiTheme="majorHAnsi" w:hAnsiTheme="majorHAnsi"/>
          <w:sz w:val="20"/>
          <w:szCs w:val="20"/>
          <w:lang w:val="es-ES_tradnl"/>
        </w:rPr>
        <w:t>normas del sistema interamericano de derechos humanos, no es, por sí solo,</w:t>
      </w:r>
      <w:r w:rsidR="0065210F" w:rsidRPr="00B5103E">
        <w:rPr>
          <w:rFonts w:asciiTheme="majorHAnsi" w:hAnsiTheme="majorHAnsi"/>
          <w:sz w:val="20"/>
          <w:szCs w:val="20"/>
          <w:lang w:val="es-ES_tradnl"/>
        </w:rPr>
        <w:t xml:space="preserve"> </w:t>
      </w:r>
      <w:r w:rsidRPr="00B5103E">
        <w:rPr>
          <w:rFonts w:asciiTheme="majorHAnsi" w:hAnsiTheme="majorHAnsi"/>
          <w:sz w:val="20"/>
          <w:szCs w:val="20"/>
          <w:lang w:val="es-ES_tradnl"/>
        </w:rPr>
        <w:t>motivo para que se decida archivar la petición. Como ha señalado esta</w:t>
      </w:r>
      <w:r w:rsidR="0065210F" w:rsidRPr="00B5103E">
        <w:rPr>
          <w:rFonts w:asciiTheme="majorHAnsi" w:hAnsiTheme="majorHAnsi"/>
          <w:sz w:val="20"/>
          <w:szCs w:val="20"/>
          <w:lang w:val="es-ES_tradnl"/>
        </w:rPr>
        <w:t xml:space="preserve"> </w:t>
      </w:r>
      <w:r w:rsidRPr="00B5103E">
        <w:rPr>
          <w:rFonts w:asciiTheme="majorHAnsi" w:hAnsiTheme="majorHAnsi"/>
          <w:sz w:val="20"/>
          <w:szCs w:val="20"/>
          <w:lang w:val="es-ES_tradnl"/>
        </w:rPr>
        <w:t>Comisión, “</w:t>
      </w:r>
      <w:r w:rsidRPr="00B5103E">
        <w:rPr>
          <w:rFonts w:asciiTheme="majorHAnsi" w:hAnsiTheme="majorHAnsi"/>
          <w:i/>
          <w:iCs/>
          <w:sz w:val="20"/>
          <w:szCs w:val="20"/>
          <w:lang w:val="es-ES_tradnl"/>
        </w:rPr>
        <w:t>en la tramitación de casos individuales ante la Comisión, no</w:t>
      </w:r>
      <w:r w:rsidR="0065210F" w:rsidRPr="00B5103E">
        <w:rPr>
          <w:rFonts w:asciiTheme="majorHAnsi" w:hAnsiTheme="majorHAnsi"/>
          <w:i/>
          <w:iCs/>
          <w:sz w:val="20"/>
          <w:szCs w:val="20"/>
          <w:lang w:val="es-ES_tradnl"/>
        </w:rPr>
        <w:t xml:space="preserve"> </w:t>
      </w:r>
      <w:r w:rsidRPr="00B5103E">
        <w:rPr>
          <w:rFonts w:asciiTheme="majorHAnsi" w:hAnsiTheme="majorHAnsi"/>
          <w:i/>
          <w:iCs/>
          <w:sz w:val="20"/>
          <w:szCs w:val="20"/>
          <w:lang w:val="es-ES_tradnl"/>
        </w:rPr>
        <w:t>existe el concepto de caducidad de instancia como una medida ipso jure,</w:t>
      </w:r>
      <w:r w:rsidR="0065210F" w:rsidRPr="00B5103E">
        <w:rPr>
          <w:rFonts w:asciiTheme="majorHAnsi" w:hAnsiTheme="majorHAnsi"/>
          <w:i/>
          <w:iCs/>
          <w:sz w:val="20"/>
          <w:szCs w:val="20"/>
          <w:lang w:val="es-ES_tradnl"/>
        </w:rPr>
        <w:t xml:space="preserve"> </w:t>
      </w:r>
      <w:r w:rsidRPr="00B5103E">
        <w:rPr>
          <w:rFonts w:asciiTheme="majorHAnsi" w:hAnsiTheme="majorHAnsi"/>
          <w:i/>
          <w:iCs/>
          <w:sz w:val="20"/>
          <w:szCs w:val="20"/>
          <w:lang w:val="es-ES_tradnl"/>
        </w:rPr>
        <w:t>por el mero transcurso del tiempo</w:t>
      </w:r>
      <w:r w:rsidRPr="00B5103E">
        <w:rPr>
          <w:rFonts w:asciiTheme="majorHAnsi" w:hAnsiTheme="majorHAnsi"/>
          <w:sz w:val="20"/>
          <w:szCs w:val="20"/>
          <w:lang w:val="es-ES_tradnl"/>
        </w:rPr>
        <w:t>”</w:t>
      </w:r>
      <w:r w:rsidR="0065210F" w:rsidRPr="00B5103E">
        <w:rPr>
          <w:rFonts w:asciiTheme="majorHAnsi" w:hAnsiTheme="majorHAnsi"/>
          <w:sz w:val="20"/>
          <w:szCs w:val="20"/>
          <w:lang w:val="es-ES_tradnl"/>
        </w:rPr>
        <w:t xml:space="preserve"> </w:t>
      </w:r>
      <w:r w:rsidRPr="00B5103E">
        <w:rPr>
          <w:rFonts w:asciiTheme="majorHAnsi" w:hAnsiTheme="majorHAnsi"/>
          <w:sz w:val="20"/>
          <w:szCs w:val="20"/>
          <w:lang w:val="es-ES_tradnl"/>
        </w:rPr>
        <w:t>[CIDH, Informe Nº 33/98, Caso 10.545 Clemente Ayala Torres y otros(México), 15 de mayo de 1998, párrafo 28.</w:t>
      </w:r>
      <w:r w:rsidR="0065210F" w:rsidRPr="00B5103E">
        <w:rPr>
          <w:rFonts w:asciiTheme="majorHAnsi" w:hAnsiTheme="majorHAnsi"/>
          <w:sz w:val="20"/>
          <w:szCs w:val="20"/>
          <w:lang w:val="es-US"/>
        </w:rPr>
        <w:t>]</w:t>
      </w:r>
    </w:p>
    <w:p w14:paraId="23F3E039" w14:textId="002F1190" w:rsidR="009C391C" w:rsidRPr="00B5103E" w:rsidRDefault="009C391C" w:rsidP="009C39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5103E">
        <w:rPr>
          <w:rFonts w:asciiTheme="majorHAnsi" w:hAnsiTheme="majorHAnsi"/>
          <w:sz w:val="20"/>
          <w:szCs w:val="20"/>
          <w:lang w:val="es-US"/>
        </w:rPr>
        <w:t xml:space="preserve">Asimismo, en refuerzo de lo anterior, la Corte Interamericana de Derechos Humanos </w:t>
      </w:r>
      <w:r w:rsidR="00AC4999" w:rsidRPr="00B5103E">
        <w:rPr>
          <w:rFonts w:asciiTheme="majorHAnsi" w:hAnsiTheme="majorHAnsi"/>
          <w:sz w:val="20"/>
          <w:szCs w:val="20"/>
          <w:lang w:val="es-US"/>
        </w:rPr>
        <w:t>ha establecido precisamente respecto a este punto que:</w:t>
      </w:r>
    </w:p>
    <w:p w14:paraId="28C172D8" w14:textId="6A8508B2" w:rsidR="00AC4999" w:rsidRPr="00B5103E" w:rsidRDefault="00AC4999" w:rsidP="001E1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US"/>
        </w:rPr>
      </w:pPr>
      <w:r w:rsidRPr="00B5103E">
        <w:rPr>
          <w:rFonts w:asciiTheme="majorHAnsi" w:hAnsiTheme="majorHAnsi"/>
          <w:sz w:val="20"/>
          <w:szCs w:val="20"/>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 por acciones u omisiones de la Comisión Interamericana sobre las cuales las presuntas víctimas no tienen ningún tipo de control. […]</w:t>
      </w:r>
      <w:r w:rsidR="001E15C8" w:rsidRPr="00B5103E">
        <w:rPr>
          <w:rStyle w:val="FootnoteReference"/>
          <w:rFonts w:asciiTheme="majorHAnsi" w:hAnsiTheme="majorHAnsi"/>
          <w:sz w:val="20"/>
          <w:szCs w:val="20"/>
          <w:lang w:val="es-US"/>
        </w:rPr>
        <w:footnoteReference w:id="10"/>
      </w:r>
    </w:p>
    <w:p w14:paraId="140ED539" w14:textId="1351FC6B" w:rsidR="00AC4999" w:rsidRPr="00B5103E" w:rsidRDefault="00B5103E" w:rsidP="009C39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5103E">
        <w:rPr>
          <w:rFonts w:asciiTheme="majorHAnsi" w:hAnsiTheme="majorHAnsi"/>
          <w:sz w:val="20"/>
          <w:szCs w:val="20"/>
          <w:lang w:val="es-US"/>
        </w:rPr>
        <w:t>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w:t>
      </w:r>
      <w:r>
        <w:rPr>
          <w:rFonts w:asciiTheme="majorHAnsi" w:hAnsiTheme="majorHAnsi"/>
          <w:sz w:val="20"/>
          <w:szCs w:val="20"/>
          <w:lang w:val="es-US"/>
        </w:rPr>
        <w:t xml:space="preserve"> </w:t>
      </w:r>
    </w:p>
    <w:p w14:paraId="21FA4BA8" w14:textId="03ACAABB" w:rsidR="004A6D7F" w:rsidRPr="00390BA4" w:rsidRDefault="004A6D7F" w:rsidP="004A6D7F">
      <w:pPr>
        <w:pStyle w:val="ListParagraph"/>
        <w:spacing w:before="240" w:after="240"/>
        <w:jc w:val="both"/>
        <w:rPr>
          <w:rFonts w:asciiTheme="majorHAnsi" w:hAnsiTheme="majorHAnsi"/>
          <w:b/>
          <w:sz w:val="20"/>
          <w:szCs w:val="20"/>
          <w:lang w:val="es-ES_tradnl"/>
        </w:rPr>
      </w:pPr>
      <w:r w:rsidRPr="00390BA4">
        <w:rPr>
          <w:rFonts w:asciiTheme="majorHAnsi" w:hAnsiTheme="majorHAnsi"/>
          <w:b/>
          <w:bCs/>
          <w:sz w:val="20"/>
          <w:szCs w:val="20"/>
          <w:lang w:val="es-ES_tradnl"/>
        </w:rPr>
        <w:t>VII.</w:t>
      </w:r>
      <w:r w:rsidRPr="00390BA4">
        <w:rPr>
          <w:rFonts w:asciiTheme="majorHAnsi" w:hAnsiTheme="majorHAnsi"/>
          <w:b/>
          <w:bCs/>
          <w:sz w:val="20"/>
          <w:szCs w:val="20"/>
          <w:lang w:val="es-ES_tradnl"/>
        </w:rPr>
        <w:tab/>
        <w:t>ANÁLISIS DE CARACTERIZACIÓN DE LOS HECHOS ALEGADOS</w:t>
      </w:r>
    </w:p>
    <w:p w14:paraId="53CB8FDD" w14:textId="25E8EE1A" w:rsidR="00A651C5" w:rsidRPr="00390BA4" w:rsidRDefault="00A651C5" w:rsidP="00607C5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En primer lugar, la Comisión reitera que el criterio de evaluación de la fase de admisibilidad difiere del que se utiliza para pronunciarse sobre el fondo de una petición</w:t>
      </w:r>
      <w:r w:rsidR="00AD6C9C">
        <w:rPr>
          <w:rFonts w:asciiTheme="majorHAnsi" w:hAnsiTheme="majorHAnsi"/>
          <w:sz w:val="20"/>
          <w:szCs w:val="20"/>
          <w:lang w:val="es-ES_tradnl"/>
        </w:rPr>
        <w:t>.</w:t>
      </w:r>
      <w:r w:rsidRPr="00390BA4">
        <w:rPr>
          <w:rFonts w:asciiTheme="majorHAnsi" w:hAnsiTheme="majorHAnsi"/>
          <w:sz w:val="20"/>
          <w:szCs w:val="20"/>
          <w:lang w:val="es-ES_tradnl"/>
        </w:rPr>
        <w:t xml:space="preserve"> </w:t>
      </w:r>
      <w:r w:rsidR="00AD6C9C">
        <w:rPr>
          <w:rFonts w:asciiTheme="majorHAnsi" w:hAnsiTheme="majorHAnsi"/>
          <w:sz w:val="20"/>
          <w:szCs w:val="20"/>
          <w:lang w:val="es-ES_tradnl"/>
        </w:rPr>
        <w:t>En particular, l</w:t>
      </w:r>
      <w:r w:rsidRPr="00390BA4">
        <w:rPr>
          <w:rFonts w:asciiTheme="majorHAnsi" w:hAnsiTheme="majorHAnsi"/>
          <w:sz w:val="20"/>
          <w:szCs w:val="20"/>
          <w:lang w:val="es-ES_tradnl"/>
        </w:rPr>
        <w:t xml:space="preserve">a CIDH debe realizar en esta etapa una evaluación </w:t>
      </w:r>
      <w:r w:rsidRPr="00892630">
        <w:rPr>
          <w:rFonts w:asciiTheme="majorHAnsi" w:hAnsiTheme="majorHAnsi"/>
          <w:i/>
          <w:iCs/>
          <w:sz w:val="20"/>
          <w:szCs w:val="20"/>
          <w:lang w:val="es-ES_tradnl"/>
        </w:rPr>
        <w:t>prima facie</w:t>
      </w:r>
      <w:r w:rsidRPr="00390BA4">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w:t>
      </w:r>
      <w:r w:rsidRPr="00390BA4">
        <w:rPr>
          <w:rFonts w:asciiTheme="majorHAnsi" w:hAnsiTheme="majorHAnsi"/>
          <w:sz w:val="20"/>
          <w:szCs w:val="20"/>
          <w:lang w:val="es-ES_tradnl"/>
        </w:rPr>
        <w:lastRenderedPageBreak/>
        <w:t>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138475F8" w14:textId="211902EF" w:rsidR="00350606" w:rsidRPr="00985614" w:rsidRDefault="00663A67" w:rsidP="00663A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985614">
        <w:rPr>
          <w:rFonts w:asciiTheme="majorHAnsi" w:hAnsiTheme="majorHAnsi"/>
          <w:sz w:val="20"/>
          <w:szCs w:val="20"/>
          <w:lang w:val="es-ES_tradnl"/>
        </w:rPr>
        <w:t>Asimismo</w:t>
      </w:r>
      <w:r w:rsidR="00350606" w:rsidRPr="00985614">
        <w:rPr>
          <w:rFonts w:asciiTheme="majorHAnsi" w:hAnsiTheme="majorHAnsi"/>
          <w:sz w:val="20"/>
          <w:szCs w:val="20"/>
          <w:lang w:val="es-ES_tradnl"/>
        </w:rPr>
        <w:t xml:space="preserve">, la CIDH </w:t>
      </w:r>
      <w:r w:rsidRPr="00985614">
        <w:rPr>
          <w:rFonts w:asciiTheme="majorHAnsi" w:hAnsiTheme="majorHAnsi"/>
          <w:sz w:val="20"/>
          <w:szCs w:val="20"/>
          <w:lang w:val="es-ES_tradnl"/>
        </w:rPr>
        <w:t xml:space="preserve">recuerda que previamente </w:t>
      </w:r>
      <w:r w:rsidR="00350606" w:rsidRPr="00985614">
        <w:rPr>
          <w:rFonts w:asciiTheme="majorHAnsi" w:hAnsiTheme="majorHAnsi"/>
          <w:sz w:val="20"/>
          <w:szCs w:val="20"/>
          <w:lang w:val="es-ES_tradnl"/>
        </w:rPr>
        <w:t xml:space="preserve">ya ha resuelto peticiones contra el Estado peruano, </w:t>
      </w:r>
      <w:r w:rsidRPr="00985614">
        <w:rPr>
          <w:rFonts w:asciiTheme="majorHAnsi" w:hAnsiTheme="majorHAnsi"/>
          <w:sz w:val="20"/>
          <w:szCs w:val="20"/>
          <w:lang w:val="es-ES_tradnl"/>
        </w:rPr>
        <w:t>en las que se cuestiona la aplicación de la legislación penal antiterrorista, al considerarse que esta no resulta acorde al artículo 9 de la Convención</w:t>
      </w:r>
      <w:r w:rsidRPr="00985614">
        <w:rPr>
          <w:rStyle w:val="FootnoteReference"/>
          <w:rFonts w:asciiTheme="majorHAnsi" w:hAnsiTheme="majorHAnsi"/>
          <w:sz w:val="20"/>
          <w:szCs w:val="20"/>
          <w:lang w:val="es-ES_tradnl"/>
        </w:rPr>
        <w:footnoteReference w:id="11"/>
      </w:r>
      <w:r w:rsidRPr="00985614">
        <w:rPr>
          <w:rFonts w:asciiTheme="majorHAnsi" w:hAnsiTheme="majorHAnsi"/>
          <w:sz w:val="20"/>
          <w:szCs w:val="20"/>
          <w:lang w:val="es-ES_tradnl"/>
        </w:rPr>
        <w:t xml:space="preserve">. Siguiendo estos precedentes, la Comisión considera que corresponde, en el presente asunto, que los cuestionamientos contra el </w:t>
      </w:r>
      <w:r w:rsidRPr="00985614">
        <w:rPr>
          <w:rFonts w:asciiTheme="majorHAnsi" w:hAnsiTheme="majorHAnsi"/>
          <w:bCs/>
          <w:sz w:val="20"/>
          <w:szCs w:val="20"/>
          <w:lang w:val="es-ES_tradnl"/>
        </w:rPr>
        <w:t xml:space="preserve">Decreto Ley N° 25475 sean analizados en etapa de fondo. </w:t>
      </w:r>
    </w:p>
    <w:p w14:paraId="341BBD75" w14:textId="01A4589D" w:rsidR="00E516F0" w:rsidRPr="00390BA4" w:rsidRDefault="00E516F0" w:rsidP="00A651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90BA4">
        <w:rPr>
          <w:rFonts w:asciiTheme="majorHAnsi" w:hAnsiTheme="majorHAnsi"/>
          <w:sz w:val="20"/>
          <w:szCs w:val="20"/>
          <w:lang w:val="es-ES_tradnl"/>
        </w:rPr>
        <w:t xml:space="preserve">Así, en vista de los elementos de hecho y de derecho expuestos por las partes y la naturaleza del asunto puesto bajo su conocimiento, la Comisión considera que el presente asunto requiere de un análisis de fondo, toda vez que los hechos denunciados, </w:t>
      </w:r>
      <w:r w:rsidR="00F128F7" w:rsidRPr="00390BA4">
        <w:rPr>
          <w:rFonts w:asciiTheme="majorHAnsi" w:hAnsiTheme="majorHAnsi"/>
          <w:sz w:val="20"/>
          <w:szCs w:val="20"/>
          <w:lang w:val="es-ES_tradnl"/>
        </w:rPr>
        <w:t xml:space="preserve">referidos al incumplimiento del principio de legalidad y presunta ausencia de las debidas garantías judiciales durante el proceso penal por terrorismo contra la presunta víctima, </w:t>
      </w:r>
      <w:r w:rsidRPr="00390BA4">
        <w:rPr>
          <w:rFonts w:asciiTheme="majorHAnsi" w:hAnsiTheme="majorHAnsi"/>
          <w:sz w:val="20"/>
          <w:szCs w:val="20"/>
          <w:lang w:val="es-ES_tradnl"/>
        </w:rPr>
        <w:t>de ser probados, podrían constituir violaciones a los derechos reconocidos en los artículos 7 (libertad personal), 8 (garantías judiciales), 9 (principio de legalidad y no retroactividad) y 25 (protección judicial) de la Convención Americana, en relación con los artículos 1.1</w:t>
      </w:r>
      <w:r w:rsidR="007B5E62" w:rsidRPr="00390BA4">
        <w:rPr>
          <w:rFonts w:asciiTheme="majorHAnsi" w:hAnsiTheme="majorHAnsi"/>
          <w:sz w:val="20"/>
          <w:szCs w:val="20"/>
          <w:lang w:val="es-ES_tradnl"/>
        </w:rPr>
        <w:t xml:space="preserve"> (deber de respetar los derechos)</w:t>
      </w:r>
      <w:r w:rsidRPr="00390BA4">
        <w:rPr>
          <w:rFonts w:asciiTheme="majorHAnsi" w:hAnsiTheme="majorHAnsi"/>
          <w:sz w:val="20"/>
          <w:szCs w:val="20"/>
          <w:lang w:val="es-ES_tradnl"/>
        </w:rPr>
        <w:t xml:space="preserve"> y 2 </w:t>
      </w:r>
      <w:r w:rsidR="007B5E62" w:rsidRPr="00390BA4">
        <w:rPr>
          <w:rFonts w:asciiTheme="majorHAnsi" w:hAnsiTheme="majorHAnsi"/>
          <w:sz w:val="20"/>
          <w:szCs w:val="20"/>
          <w:lang w:val="es-ES_tradnl"/>
        </w:rPr>
        <w:t xml:space="preserve">(deber de adoptar disposiciones de derecho interno) </w:t>
      </w:r>
      <w:r w:rsidRPr="00390BA4">
        <w:rPr>
          <w:rFonts w:asciiTheme="majorHAnsi" w:hAnsiTheme="majorHAnsi"/>
          <w:sz w:val="20"/>
          <w:szCs w:val="20"/>
          <w:lang w:val="es-ES_tradnl"/>
        </w:rPr>
        <w:t>del mismo instrumento, en perjuicio del señor Flores Ha</w:t>
      </w:r>
      <w:r w:rsidR="00C93707" w:rsidRPr="00390BA4">
        <w:rPr>
          <w:rFonts w:asciiTheme="majorHAnsi" w:hAnsiTheme="majorHAnsi"/>
          <w:sz w:val="20"/>
          <w:szCs w:val="20"/>
          <w:lang w:val="es-ES_tradnl"/>
        </w:rPr>
        <w:t>l</w:t>
      </w:r>
      <w:r w:rsidRPr="00390BA4">
        <w:rPr>
          <w:rFonts w:asciiTheme="majorHAnsi" w:hAnsiTheme="majorHAnsi"/>
          <w:sz w:val="20"/>
          <w:szCs w:val="20"/>
          <w:lang w:val="es-ES_tradnl"/>
        </w:rPr>
        <w:t>a, conforme a los términos descritos en el presente informe.</w:t>
      </w:r>
    </w:p>
    <w:p w14:paraId="070305E3" w14:textId="6C4AAAB7" w:rsidR="00A2608E" w:rsidRPr="00390BA4" w:rsidRDefault="00A2608E" w:rsidP="00A260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90BA4">
        <w:rPr>
          <w:rFonts w:asciiTheme="majorHAnsi" w:hAnsiTheme="majorHAnsi"/>
          <w:sz w:val="20"/>
          <w:szCs w:val="20"/>
          <w:lang w:val="es-ES_tradnl"/>
        </w:rPr>
        <w:t>Finalmente, cabe recordar que la Comisión no constituye una cuarta instancia que pueda realizar una valoración de la prueba referente a la posible culpabilidad o no de la presunta víctima en el presente caso</w:t>
      </w:r>
      <w:r w:rsidR="008464DC" w:rsidRPr="00390BA4">
        <w:rPr>
          <w:rStyle w:val="FootnoteReference"/>
          <w:rFonts w:asciiTheme="majorHAnsi" w:hAnsiTheme="majorHAnsi"/>
          <w:sz w:val="20"/>
          <w:szCs w:val="20"/>
          <w:lang w:val="es-ES_tradnl"/>
        </w:rPr>
        <w:footnoteReference w:id="12"/>
      </w:r>
      <w:r w:rsidRPr="00390BA4">
        <w:rPr>
          <w:rFonts w:asciiTheme="majorHAnsi" w:hAnsiTheme="majorHAnsi"/>
          <w:sz w:val="20"/>
          <w:szCs w:val="20"/>
          <w:lang w:val="es-ES_tradnl"/>
        </w:rPr>
        <w:t>. El propósito no es determinar la inocencia o culpabilidad de</w:t>
      </w:r>
      <w:r w:rsidR="008464DC" w:rsidRPr="00390BA4">
        <w:rPr>
          <w:rFonts w:asciiTheme="majorHAnsi" w:hAnsiTheme="majorHAnsi"/>
          <w:sz w:val="20"/>
          <w:szCs w:val="20"/>
          <w:lang w:val="es-ES_tradnl"/>
        </w:rPr>
        <w:t>l señor Flores Ha</w:t>
      </w:r>
      <w:r w:rsidR="00C93707" w:rsidRPr="00390BA4">
        <w:rPr>
          <w:rFonts w:asciiTheme="majorHAnsi" w:hAnsiTheme="majorHAnsi"/>
          <w:sz w:val="20"/>
          <w:szCs w:val="20"/>
          <w:lang w:val="es-ES_tradnl"/>
        </w:rPr>
        <w:t>l</w:t>
      </w:r>
      <w:r w:rsidR="008464DC" w:rsidRPr="00390BA4">
        <w:rPr>
          <w:rFonts w:asciiTheme="majorHAnsi" w:hAnsiTheme="majorHAnsi"/>
          <w:sz w:val="20"/>
          <w:szCs w:val="20"/>
          <w:lang w:val="es-ES_tradnl"/>
        </w:rPr>
        <w:t>a</w:t>
      </w:r>
      <w:r w:rsidRPr="00390BA4">
        <w:rPr>
          <w:rFonts w:asciiTheme="majorHAnsi" w:hAnsiTheme="majorHAnsi"/>
          <w:sz w:val="20"/>
          <w:szCs w:val="20"/>
          <w:lang w:val="es-ES_tradnl"/>
        </w:rPr>
        <w:t xml:space="preserve">, sino definir si las autoridades judiciales han afectado o no obligaciones estipuladas en la Convención, en particular el deber de motivación, el principio de presunción de inocencia, principio de legalidad y el derecho a la protección judicial. </w:t>
      </w:r>
    </w:p>
    <w:p w14:paraId="2F5C67B3" w14:textId="3A8BEC6F" w:rsidR="00A2608E" w:rsidRPr="00390BA4" w:rsidRDefault="00A2608E" w:rsidP="00A260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Según lo ha indicado la Corte Interamericana, para que proceda una excepción de “cuarta instancia” sería necesario que se “</w:t>
      </w:r>
      <w:r w:rsidRPr="00390BA4">
        <w:rPr>
          <w:rFonts w:asciiTheme="majorHAnsi" w:hAnsiTheme="majorHAnsi"/>
          <w:i/>
          <w:iCs/>
          <w:sz w:val="20"/>
          <w:szCs w:val="20"/>
          <w:lang w:val="es-ES_tradnl"/>
        </w:rPr>
        <w:t xml:space="preserve">busque que </w:t>
      </w:r>
      <w:r w:rsidRPr="00390BA4">
        <w:rPr>
          <w:rFonts w:asciiTheme="majorHAnsi" w:hAnsiTheme="majorHAnsi"/>
          <w:sz w:val="20"/>
          <w:szCs w:val="20"/>
          <w:lang w:val="es-ES_tradnl"/>
        </w:rPr>
        <w:t>[…] [se]</w:t>
      </w:r>
      <w:r w:rsidRPr="00390BA4">
        <w:rPr>
          <w:rFonts w:asciiTheme="majorHAnsi" w:hAnsiTheme="majorHAnsi"/>
          <w:i/>
          <w:iCs/>
          <w:sz w:val="20"/>
          <w:szCs w:val="20"/>
          <w:lang w:val="es-ES_tradnl"/>
        </w:rPr>
        <w:t xml:space="preserve"> revise el fallo de un tribunal interno en virtud de su incorrecta apreciación de la prueba, los hechos o el derecho interno, sin que, a la vez, se alegue que tal fallo incurrió en una violación de tratados internacionales</w:t>
      </w:r>
      <w:r w:rsidRPr="00390BA4">
        <w:rPr>
          <w:rFonts w:asciiTheme="majorHAnsi" w:hAnsiTheme="majorHAnsi"/>
          <w:i/>
          <w:iCs/>
          <w:lang w:val="es-ES_tradnl"/>
        </w:rPr>
        <w:t xml:space="preserve"> </w:t>
      </w:r>
      <w:r w:rsidRPr="00390BA4">
        <w:rPr>
          <w:rFonts w:asciiTheme="majorHAnsi" w:hAnsiTheme="majorHAnsi"/>
          <w:sz w:val="20"/>
          <w:szCs w:val="20"/>
          <w:lang w:val="es-ES_tradnl"/>
        </w:rPr>
        <w:t>[ …]”</w:t>
      </w:r>
      <w:r w:rsidRPr="00390BA4">
        <w:rPr>
          <w:rStyle w:val="FootnoteReference"/>
          <w:rFonts w:asciiTheme="majorHAnsi" w:hAnsiTheme="majorHAnsi"/>
          <w:sz w:val="20"/>
          <w:szCs w:val="20"/>
          <w:lang w:val="es-ES_tradnl"/>
        </w:rPr>
        <w:footnoteReference w:id="13"/>
      </w:r>
      <w:r w:rsidRPr="00390BA4">
        <w:rPr>
          <w:rFonts w:asciiTheme="majorHAnsi" w:hAnsiTheme="majorHAnsi"/>
          <w:sz w:val="20"/>
          <w:szCs w:val="20"/>
          <w:lang w:val="es-ES_tradnl"/>
        </w:rPr>
        <w:t>.  En el presente caso, la</w:t>
      </w:r>
      <w:r w:rsidR="00B96FF7">
        <w:rPr>
          <w:rFonts w:asciiTheme="majorHAnsi" w:hAnsiTheme="majorHAnsi"/>
          <w:sz w:val="20"/>
          <w:szCs w:val="20"/>
          <w:lang w:val="es-ES_tradnl"/>
        </w:rPr>
        <w:t xml:space="preserve"> representación de la presunta víctima no ha presentado tales alegatos ni sobre dichos puntos versa la controversia. Por lo tanto, la existencia o no de una manifiesta violación a la CADH, derivada de las decisiones judiciales nacionales analizadas, será abordada en el fondo del presente asunto. </w:t>
      </w:r>
    </w:p>
    <w:p w14:paraId="445BF42E" w14:textId="77777777" w:rsidR="003239B8" w:rsidRPr="00390BA4" w:rsidRDefault="003239B8" w:rsidP="003239B8">
      <w:pPr>
        <w:pStyle w:val="ListParagraph"/>
        <w:spacing w:before="240" w:after="240"/>
        <w:jc w:val="both"/>
        <w:rPr>
          <w:rFonts w:asciiTheme="majorHAnsi" w:hAnsiTheme="majorHAnsi"/>
          <w:b/>
          <w:bCs/>
          <w:sz w:val="20"/>
          <w:szCs w:val="20"/>
          <w:lang w:val="es-ES_tradnl"/>
        </w:rPr>
      </w:pPr>
      <w:r w:rsidRPr="00390BA4">
        <w:rPr>
          <w:rFonts w:asciiTheme="majorHAnsi" w:hAnsiTheme="majorHAnsi"/>
          <w:b/>
          <w:bCs/>
          <w:sz w:val="20"/>
          <w:szCs w:val="20"/>
          <w:lang w:val="es-ES_tradnl"/>
        </w:rPr>
        <w:t xml:space="preserve">VIII. </w:t>
      </w:r>
      <w:r w:rsidRPr="00390BA4">
        <w:rPr>
          <w:rFonts w:asciiTheme="majorHAnsi" w:hAnsiTheme="majorHAnsi"/>
          <w:b/>
          <w:bCs/>
          <w:sz w:val="20"/>
          <w:szCs w:val="20"/>
          <w:lang w:val="es-ES_tradnl"/>
        </w:rPr>
        <w:tab/>
        <w:t>DECISIÓN</w:t>
      </w:r>
    </w:p>
    <w:p w14:paraId="547DFF8E" w14:textId="38D44EDC" w:rsidR="000419AD" w:rsidRPr="00390BA4"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Declarar admisible la presente petición en relación con</w:t>
      </w:r>
      <w:r w:rsidR="001D7F96" w:rsidRPr="00390BA4">
        <w:rPr>
          <w:rFonts w:asciiTheme="majorHAnsi" w:hAnsiTheme="majorHAnsi"/>
          <w:sz w:val="20"/>
          <w:szCs w:val="20"/>
          <w:lang w:val="es-ES_tradnl"/>
        </w:rPr>
        <w:t xml:space="preserve"> </w:t>
      </w:r>
      <w:r w:rsidR="00E75869" w:rsidRPr="00390BA4">
        <w:rPr>
          <w:rFonts w:asciiTheme="majorHAnsi" w:hAnsiTheme="majorHAnsi"/>
          <w:sz w:val="20"/>
          <w:szCs w:val="20"/>
          <w:lang w:val="es-ES_tradnl"/>
        </w:rPr>
        <w:t>los artículos 7, 8, 9 y 25 de la Convención Americana</w:t>
      </w:r>
      <w:r w:rsidR="00A758AA" w:rsidRPr="00390BA4">
        <w:rPr>
          <w:rFonts w:asciiTheme="majorHAnsi" w:hAnsiTheme="majorHAnsi"/>
          <w:sz w:val="20"/>
          <w:szCs w:val="20"/>
          <w:lang w:val="es-ES_tradnl"/>
        </w:rPr>
        <w:t>;</w:t>
      </w:r>
      <w:r w:rsidR="007B76D3" w:rsidRPr="00390BA4">
        <w:rPr>
          <w:rFonts w:asciiTheme="majorHAnsi" w:hAnsiTheme="majorHAnsi"/>
          <w:sz w:val="20"/>
          <w:szCs w:val="20"/>
          <w:lang w:val="es-ES_tradnl"/>
        </w:rPr>
        <w:t xml:space="preserve"> </w:t>
      </w:r>
    </w:p>
    <w:p w14:paraId="12A88075" w14:textId="27A444E3" w:rsidR="00E75869" w:rsidRPr="00390BA4" w:rsidRDefault="00E75869" w:rsidP="00E75869">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390BA4">
        <w:rPr>
          <w:rFonts w:asciiTheme="majorHAnsi" w:eastAsia="Arial Unicode MS" w:hAnsiTheme="majorHAnsi" w:cs="Times New Roman"/>
          <w:color w:val="auto"/>
          <w:sz w:val="20"/>
          <w:szCs w:val="20"/>
          <w:lang w:val="es-ES_tradnl" w:eastAsia="en-US"/>
        </w:rPr>
        <w:t>Declarar inadmisible la presente petición en relación con el artículo 5 de la Convención Americana</w:t>
      </w:r>
      <w:r w:rsidR="00065300">
        <w:rPr>
          <w:rFonts w:asciiTheme="majorHAnsi" w:eastAsia="Arial Unicode MS" w:hAnsiTheme="majorHAnsi" w:cs="Times New Roman"/>
          <w:color w:val="auto"/>
          <w:sz w:val="20"/>
          <w:szCs w:val="20"/>
          <w:lang w:val="es-ES_tradnl" w:eastAsia="en-US"/>
        </w:rPr>
        <w:t>, y;</w:t>
      </w:r>
    </w:p>
    <w:p w14:paraId="2DBCE554" w14:textId="77777777" w:rsidR="007B5E62" w:rsidRPr="00390BA4" w:rsidRDefault="007B5E62" w:rsidP="007B5E62">
      <w:pPr>
        <w:pStyle w:val="ListParagraph"/>
        <w:jc w:val="both"/>
        <w:rPr>
          <w:rFonts w:asciiTheme="majorHAnsi" w:eastAsia="Arial Unicode MS" w:hAnsiTheme="majorHAnsi" w:cs="Times New Roman"/>
          <w:color w:val="auto"/>
          <w:sz w:val="20"/>
          <w:szCs w:val="20"/>
          <w:lang w:val="es-ES_tradnl" w:eastAsia="en-US"/>
        </w:rPr>
      </w:pPr>
    </w:p>
    <w:p w14:paraId="02C904B2" w14:textId="2569896E" w:rsidR="009A56CE" w:rsidRDefault="004A6A54" w:rsidP="00DC49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0BA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9AC71DC" w14:textId="77777777" w:rsidR="00065300" w:rsidRDefault="00065300" w:rsidP="00065300">
      <w:pPr>
        <w:pStyle w:val="ListParagraph"/>
        <w:rPr>
          <w:rFonts w:asciiTheme="majorHAnsi" w:hAnsiTheme="majorHAnsi"/>
          <w:sz w:val="20"/>
          <w:szCs w:val="20"/>
          <w:lang w:val="es-ES_tradnl"/>
        </w:rPr>
      </w:pPr>
    </w:p>
    <w:p w14:paraId="10A29EA2" w14:textId="28D66131" w:rsidR="00065300" w:rsidRPr="0034498C" w:rsidRDefault="00065300" w:rsidP="0034498C">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3E29E9">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sidR="003E29E9">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Joel Hernández</w:t>
      </w:r>
      <w:r w:rsidR="00164AB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Carlos Bernal Pulido, </w:t>
      </w:r>
      <w:r w:rsidR="0034498C">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sectPr w:rsidR="00065300" w:rsidRPr="0034498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9656" w14:textId="77777777" w:rsidR="004803A4" w:rsidRDefault="004803A4">
      <w:r>
        <w:separator/>
      </w:r>
    </w:p>
  </w:endnote>
  <w:endnote w:type="continuationSeparator" w:id="0">
    <w:p w14:paraId="039822D4" w14:textId="77777777" w:rsidR="004803A4" w:rsidRDefault="0048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E714" w14:textId="77777777" w:rsidR="004803A4" w:rsidRPr="000F35ED" w:rsidRDefault="004803A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22030E" w14:textId="77777777" w:rsidR="004803A4" w:rsidRPr="000F35ED" w:rsidRDefault="004803A4" w:rsidP="000F35ED">
      <w:pPr>
        <w:rPr>
          <w:rFonts w:asciiTheme="majorHAnsi" w:hAnsiTheme="majorHAnsi"/>
          <w:sz w:val="16"/>
          <w:szCs w:val="16"/>
        </w:rPr>
      </w:pPr>
      <w:r w:rsidRPr="000F35ED">
        <w:rPr>
          <w:rFonts w:asciiTheme="majorHAnsi" w:hAnsiTheme="majorHAnsi"/>
          <w:sz w:val="16"/>
          <w:szCs w:val="16"/>
        </w:rPr>
        <w:separator/>
      </w:r>
    </w:p>
    <w:p w14:paraId="03DBF3D3" w14:textId="77777777" w:rsidR="004803A4" w:rsidRPr="000F35ED" w:rsidRDefault="004803A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69B4B36" w14:textId="77777777" w:rsidR="004803A4" w:rsidRPr="000F35ED" w:rsidRDefault="004803A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AEBDA2" w14:textId="77777777" w:rsidR="000449BB" w:rsidRPr="001E15C8" w:rsidRDefault="000449BB" w:rsidP="001E15C8">
      <w:pPr>
        <w:pStyle w:val="FootnoteText"/>
        <w:ind w:firstLine="720"/>
        <w:jc w:val="both"/>
        <w:rPr>
          <w:rFonts w:asciiTheme="majorHAnsi" w:hAnsiTheme="majorHAnsi"/>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402E8DD1" w14:textId="77777777" w:rsidR="000449BB" w:rsidRPr="001E15C8" w:rsidRDefault="000449BB" w:rsidP="001E15C8">
      <w:pPr>
        <w:pStyle w:val="FootnoteText"/>
        <w:ind w:firstLine="720"/>
        <w:jc w:val="both"/>
        <w:rPr>
          <w:rFonts w:asciiTheme="majorHAnsi" w:hAnsiTheme="majorHAnsi"/>
          <w:color w:val="000000" w:themeColor="text1"/>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En adelante “la Convención Americana” o “la Convención”</w:t>
      </w:r>
    </w:p>
  </w:footnote>
  <w:footnote w:id="4">
    <w:p w14:paraId="1AFEF3B0" w14:textId="76849781" w:rsidR="008E3BFE" w:rsidRPr="001E15C8" w:rsidRDefault="008E3BFE" w:rsidP="001E15C8">
      <w:pPr>
        <w:pStyle w:val="FootnoteText"/>
        <w:ind w:firstLine="720"/>
        <w:jc w:val="both"/>
        <w:rPr>
          <w:rFonts w:asciiTheme="majorHAnsi" w:hAnsiTheme="majorHAnsi"/>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Las observaciones de cada parte fueron debidamente trasladadas a la parte contraria.</w:t>
      </w:r>
      <w:r w:rsidR="009A56CE" w:rsidRPr="001E15C8">
        <w:rPr>
          <w:rFonts w:asciiTheme="majorHAnsi" w:hAnsiTheme="majorHAnsi"/>
          <w:sz w:val="16"/>
          <w:szCs w:val="16"/>
          <w:lang w:val="es-ES"/>
        </w:rPr>
        <w:t xml:space="preserve"> </w:t>
      </w:r>
    </w:p>
  </w:footnote>
  <w:footnote w:id="5">
    <w:p w14:paraId="5FDAC112" w14:textId="67008CF8" w:rsidR="004059D1" w:rsidRPr="001E15C8" w:rsidRDefault="004059D1" w:rsidP="001E15C8">
      <w:pPr>
        <w:pStyle w:val="FootnoteText"/>
        <w:ind w:firstLine="720"/>
        <w:jc w:val="both"/>
        <w:rPr>
          <w:rFonts w:asciiTheme="majorHAnsi" w:hAnsiTheme="majorHAnsi"/>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w:t>
      </w:r>
      <w:r w:rsidR="005F47D0" w:rsidRPr="001E15C8">
        <w:rPr>
          <w:rFonts w:asciiTheme="majorHAnsi" w:hAnsiTheme="majorHAnsi"/>
          <w:sz w:val="16"/>
          <w:szCs w:val="16"/>
          <w:lang w:val="es-ES"/>
        </w:rPr>
        <w:t xml:space="preserve">Decreto Ley </w:t>
      </w:r>
      <w:r w:rsidR="005F47D0" w:rsidRPr="001E15C8">
        <w:rPr>
          <w:rFonts w:asciiTheme="majorHAnsi" w:hAnsiTheme="majorHAnsi"/>
          <w:sz w:val="16"/>
          <w:szCs w:val="16"/>
          <w:lang w:val="es-AR"/>
        </w:rPr>
        <w:t>N° 25475, Ley que establece la penalidad para los delitos de terrorismo y los procedimientos para la investigación, la instrucción y el juicio. Artículo 2°.- El que provoca, crea o mantiene un estado de zozobra, alarma o temor en la población o en un sector de ella, realiza actos contra la vida, el cuerpo, la salud, la libertad y seguridad personales contra el patrimonio, contra la seguridad de los edificios públicos, vías o medios de comunicación o de transporte de cualquier índole, torres de energía o transmisión, instalaciones motrices o cualquier otro bien o servicio, empleando armamentos, materias o artefactos explosivos o cualquier otro medio capaz de causar estragos o grave perturbación de la tranquilidad pública o afectar las relaciones internacionales o la seguridad de la sociedad y del Estado, será reprimido con pena privativa de libertad no menor de veinte años.</w:t>
      </w:r>
    </w:p>
  </w:footnote>
  <w:footnote w:id="6">
    <w:p w14:paraId="1EE40032" w14:textId="0996B074" w:rsidR="00453238" w:rsidRPr="001E15C8" w:rsidRDefault="00453238" w:rsidP="001E15C8">
      <w:pPr>
        <w:pStyle w:val="FootnoteText"/>
        <w:ind w:firstLine="720"/>
        <w:jc w:val="both"/>
        <w:rPr>
          <w:rFonts w:asciiTheme="majorHAnsi" w:hAnsiTheme="majorHAnsi"/>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w:t>
      </w:r>
      <w:r w:rsidR="00BA2BB6" w:rsidRPr="001E15C8">
        <w:rPr>
          <w:rFonts w:asciiTheme="majorHAnsi" w:hAnsiTheme="majorHAnsi"/>
          <w:sz w:val="16"/>
          <w:szCs w:val="16"/>
          <w:lang w:val="es-ES"/>
        </w:rPr>
        <w:t>Conforme al tipo penal y a la interpretación del Tribunal Constitucional, tales elementos serían los siguientes: i) provocar, crear o mantener un estado de zozobra, alarma o temor en la población o en un sector de ella; ii) realizar actos contra la vida, el cuerpo, la salud, la libertad y seguridad personales o contra el patrimonio, contra la seguridad de los edificios públicos, vías o medios de comunicación o de transporte de cualquier índole, torres de energía o transmisión, instalaciones motrices o cualquier otro bien o servicio;  y iii) empleando armamentos, materias o artefactos explosivos o cualquier otro medio capaz de causar estragos o grave perturbación de la tranquilidad pública o afectar las relaciones internacionales o la seguridad de la sociedad y del Estado.</w:t>
      </w:r>
    </w:p>
  </w:footnote>
  <w:footnote w:id="7">
    <w:p w14:paraId="622C7CCC" w14:textId="775EDDA3" w:rsidR="00BE235C" w:rsidRPr="001E15C8" w:rsidRDefault="00BE235C" w:rsidP="001E15C8">
      <w:pPr>
        <w:pStyle w:val="FootnoteText"/>
        <w:ind w:firstLine="720"/>
        <w:jc w:val="both"/>
        <w:rPr>
          <w:rFonts w:asciiTheme="majorHAnsi" w:hAnsiTheme="majorHAnsi"/>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Decreto Ley </w:t>
      </w:r>
      <w:r w:rsidRPr="001E15C8">
        <w:rPr>
          <w:rFonts w:asciiTheme="majorHAnsi" w:hAnsiTheme="majorHAnsi"/>
          <w:sz w:val="16"/>
          <w:szCs w:val="16"/>
          <w:lang w:val="es-AR"/>
        </w:rPr>
        <w:t>N° 25475, Ley que establece la penalidad para los delitos de terrorismo y los procedimientos para la investigación, la instrucción y el juicio. Artículo 3</w:t>
      </w:r>
      <w:r w:rsidR="00924AD3" w:rsidRPr="001E15C8">
        <w:rPr>
          <w:rFonts w:asciiTheme="majorHAnsi" w:hAnsiTheme="majorHAnsi"/>
          <w:sz w:val="16"/>
          <w:szCs w:val="16"/>
          <w:lang w:val="es-AR"/>
        </w:rPr>
        <w:t>°. -</w:t>
      </w:r>
      <w:r w:rsidRPr="001E15C8">
        <w:rPr>
          <w:rFonts w:asciiTheme="majorHAnsi" w:hAnsiTheme="majorHAnsi"/>
          <w:sz w:val="16"/>
          <w:szCs w:val="16"/>
          <w:lang w:val="es-AR"/>
        </w:rPr>
        <w:t xml:space="preserve"> La Pena será:</w:t>
      </w:r>
      <w:r w:rsidR="00924AD3" w:rsidRPr="001E15C8">
        <w:rPr>
          <w:rFonts w:asciiTheme="majorHAnsi" w:hAnsiTheme="majorHAnsi"/>
          <w:sz w:val="16"/>
          <w:szCs w:val="16"/>
          <w:lang w:val="es-AR"/>
        </w:rPr>
        <w:t xml:space="preserve"> a. Cadena Perpetua: -Si el agente pertenece al grupo dirigencial de una organización terrorista sea en calidad de líder, cabecilla, jefe, secretario general u otro equivalente, a nivel nacional, sin distingo de la función que desempeñe en la organización.</w:t>
      </w:r>
    </w:p>
  </w:footnote>
  <w:footnote w:id="8">
    <w:p w14:paraId="0AB229E9" w14:textId="55E711B5" w:rsidR="009C391C" w:rsidRPr="001E15C8" w:rsidRDefault="009C391C" w:rsidP="008953BD">
      <w:pPr>
        <w:pStyle w:val="FootnoteText"/>
        <w:spacing w:after="120"/>
        <w:ind w:firstLine="720"/>
        <w:jc w:val="both"/>
        <w:rPr>
          <w:rFonts w:asciiTheme="majorHAnsi" w:hAnsiTheme="majorHAnsi"/>
          <w:color w:val="auto"/>
          <w:sz w:val="16"/>
          <w:szCs w:val="16"/>
          <w:lang w:val="es-ES"/>
        </w:rPr>
      </w:pPr>
      <w:r w:rsidRPr="001E15C8">
        <w:rPr>
          <w:rStyle w:val="FootnoteReference"/>
          <w:rFonts w:asciiTheme="majorHAnsi" w:hAnsiTheme="majorHAnsi"/>
          <w:color w:val="auto"/>
          <w:sz w:val="16"/>
          <w:szCs w:val="16"/>
        </w:rPr>
        <w:footnoteRef/>
      </w:r>
      <w:r w:rsidRPr="001E15C8">
        <w:rPr>
          <w:rFonts w:asciiTheme="majorHAnsi" w:hAnsiTheme="majorHAnsi"/>
          <w:color w:val="auto"/>
          <w:sz w:val="16"/>
          <w:szCs w:val="16"/>
          <w:lang w:val="es-ES"/>
        </w:rPr>
        <w:t xml:space="preserve"> Véase por ejemplo CIDH, Informe No. 56/16. </w:t>
      </w:r>
      <w:r w:rsidRPr="001E15C8">
        <w:rPr>
          <w:rFonts w:asciiTheme="majorHAnsi" w:hAnsiTheme="majorHAnsi"/>
          <w:color w:val="auto"/>
          <w:sz w:val="16"/>
          <w:szCs w:val="16"/>
          <w:lang w:val="es-ES_tradnl"/>
        </w:rPr>
        <w:t xml:space="preserve">Petición 666-03. Admisibilidad. Luis Alberto Leiva. Argentina. </w:t>
      </w:r>
      <w:r w:rsidRPr="001E15C8">
        <w:rPr>
          <w:rFonts w:asciiTheme="majorHAnsi" w:hAnsiTheme="majorHAnsi"/>
          <w:color w:val="auto"/>
          <w:sz w:val="16"/>
          <w:szCs w:val="16"/>
          <w:lang w:val="es-ES"/>
        </w:rPr>
        <w:t xml:space="preserve">6 de diciembre de 2016, párr. 25. </w:t>
      </w:r>
      <w:bookmarkStart w:id="2" w:name="_Hlk113360759"/>
    </w:p>
    <w:bookmarkEnd w:id="2"/>
  </w:footnote>
  <w:footnote w:id="9">
    <w:p w14:paraId="33D1456E" w14:textId="74FD25D6" w:rsidR="0065210F" w:rsidRPr="001E15C8" w:rsidRDefault="0065210F" w:rsidP="001E15C8">
      <w:pPr>
        <w:pStyle w:val="FootnoteText"/>
        <w:ind w:firstLine="720"/>
        <w:jc w:val="both"/>
        <w:rPr>
          <w:rFonts w:asciiTheme="majorHAnsi" w:hAnsiTheme="majorHAnsi"/>
          <w:sz w:val="16"/>
          <w:szCs w:val="16"/>
          <w:lang w:val="es-US"/>
        </w:rPr>
      </w:pPr>
      <w:r w:rsidRPr="001E15C8">
        <w:rPr>
          <w:rStyle w:val="FootnoteReference"/>
          <w:rFonts w:asciiTheme="majorHAnsi" w:hAnsiTheme="majorHAnsi"/>
          <w:sz w:val="16"/>
          <w:szCs w:val="16"/>
        </w:rPr>
        <w:footnoteRef/>
      </w:r>
      <w:r w:rsidRPr="001E15C8">
        <w:rPr>
          <w:rFonts w:asciiTheme="majorHAnsi" w:hAnsiTheme="majorHAnsi"/>
          <w:sz w:val="16"/>
          <w:szCs w:val="16"/>
          <w:lang w:val="es-US"/>
        </w:rPr>
        <w:t xml:space="preserve"> CIDH, Informe No. 79/08, Petición 95-01. Admisibilidad. Marcos Alejandro Martin. Argentina. 17 de octubre de 2008, párr. 27.</w:t>
      </w:r>
    </w:p>
  </w:footnote>
  <w:footnote w:id="10">
    <w:p w14:paraId="0CAB94B8" w14:textId="2B6AE1BB" w:rsidR="001E15C8" w:rsidRPr="001E15C8" w:rsidRDefault="001E15C8" w:rsidP="001E15C8">
      <w:pPr>
        <w:pStyle w:val="FootnoteText"/>
        <w:ind w:firstLine="720"/>
        <w:jc w:val="both"/>
        <w:rPr>
          <w:rFonts w:asciiTheme="majorHAnsi" w:hAnsiTheme="majorHAnsi"/>
          <w:sz w:val="16"/>
          <w:szCs w:val="16"/>
          <w:lang w:val="es-US"/>
        </w:rPr>
      </w:pPr>
      <w:r w:rsidRPr="001E15C8">
        <w:rPr>
          <w:rStyle w:val="FootnoteReference"/>
          <w:rFonts w:asciiTheme="majorHAnsi" w:hAnsiTheme="majorHAnsi"/>
          <w:sz w:val="16"/>
          <w:szCs w:val="16"/>
        </w:rPr>
        <w:footnoteRef/>
      </w:r>
      <w:r w:rsidRPr="004D78A6">
        <w:rPr>
          <w:rFonts w:asciiTheme="majorHAnsi" w:hAnsiTheme="majorHAnsi"/>
          <w:sz w:val="16"/>
          <w:szCs w:val="16"/>
          <w:lang w:val="es-ES"/>
        </w:rPr>
        <w:t xml:space="preserve"> </w:t>
      </w:r>
      <w:r w:rsidRPr="004D78A6">
        <w:rPr>
          <w:rFonts w:asciiTheme="majorHAnsi" w:hAnsiTheme="majorHAnsi"/>
          <w:color w:val="auto"/>
          <w:sz w:val="16"/>
          <w:szCs w:val="16"/>
          <w:lang w:val="es-ES"/>
        </w:rPr>
        <w:t xml:space="preserve">Corte IDH, </w:t>
      </w:r>
      <w:r w:rsidRPr="004D78A6">
        <w:rPr>
          <w:rFonts w:asciiTheme="majorHAnsi" w:hAnsiTheme="majorHAnsi"/>
          <w:i/>
          <w:color w:val="auto"/>
          <w:sz w:val="16"/>
          <w:szCs w:val="16"/>
          <w:lang w:val="es-ES"/>
        </w:rPr>
        <w:t xml:space="preserve">Caso Mémoli vs. Argentina. </w:t>
      </w:r>
      <w:r w:rsidRPr="001E15C8">
        <w:rPr>
          <w:rFonts w:asciiTheme="majorHAnsi" w:hAnsiTheme="majorHAnsi"/>
          <w:color w:val="auto"/>
          <w:sz w:val="16"/>
          <w:szCs w:val="16"/>
          <w:lang w:val="es-ES"/>
        </w:rPr>
        <w:t xml:space="preserve">Excepciones Preliminares, </w:t>
      </w:r>
      <w:r w:rsidRPr="001E15C8">
        <w:rPr>
          <w:rFonts w:asciiTheme="majorHAnsi" w:hAnsiTheme="majorHAnsi"/>
          <w:color w:val="auto"/>
          <w:sz w:val="16"/>
          <w:szCs w:val="16"/>
          <w:lang w:val="es-CO"/>
        </w:rPr>
        <w:t xml:space="preserve">Fondo, Reparaciones y Costas. Sentencia de 22 de agosto de 2013. Serie C No. 295, </w:t>
      </w:r>
      <w:r w:rsidRPr="001E15C8">
        <w:rPr>
          <w:rFonts w:asciiTheme="majorHAnsi" w:hAnsiTheme="majorHAnsi"/>
          <w:color w:val="auto"/>
          <w:sz w:val="16"/>
          <w:szCs w:val="16"/>
          <w:lang w:val="es-AR"/>
        </w:rPr>
        <w:t>p</w:t>
      </w:r>
      <w:r w:rsidRPr="001E15C8">
        <w:rPr>
          <w:rFonts w:asciiTheme="majorHAnsi" w:hAnsiTheme="majorHAnsi"/>
          <w:color w:val="auto"/>
          <w:sz w:val="16"/>
          <w:szCs w:val="16"/>
          <w:lang w:val="es-ES_tradnl"/>
        </w:rPr>
        <w:t>árr. 32.</w:t>
      </w:r>
    </w:p>
  </w:footnote>
  <w:footnote w:id="11">
    <w:p w14:paraId="65040E30" w14:textId="28E98090" w:rsidR="00663A67" w:rsidRPr="001E15C8" w:rsidRDefault="00663A67" w:rsidP="001E15C8">
      <w:pPr>
        <w:pStyle w:val="FootnoteText"/>
        <w:ind w:firstLine="720"/>
        <w:jc w:val="both"/>
        <w:rPr>
          <w:rFonts w:asciiTheme="majorHAnsi" w:hAnsiTheme="majorHAnsi"/>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CIDH</w:t>
      </w:r>
      <w:r w:rsidR="001605D1" w:rsidRPr="001E15C8">
        <w:rPr>
          <w:rFonts w:asciiTheme="majorHAnsi" w:hAnsiTheme="majorHAnsi"/>
          <w:sz w:val="16"/>
          <w:szCs w:val="16"/>
          <w:lang w:val="es-ES"/>
        </w:rPr>
        <w:t xml:space="preserve">, Informe </w:t>
      </w:r>
      <w:r w:rsidR="0065210F" w:rsidRPr="001E15C8">
        <w:rPr>
          <w:rFonts w:asciiTheme="majorHAnsi" w:hAnsiTheme="majorHAnsi"/>
          <w:sz w:val="16"/>
          <w:szCs w:val="16"/>
          <w:lang w:val="es-ES"/>
        </w:rPr>
        <w:t xml:space="preserve">No. </w:t>
      </w:r>
      <w:r w:rsidR="001605D1" w:rsidRPr="001E15C8">
        <w:rPr>
          <w:rFonts w:asciiTheme="majorHAnsi" w:hAnsiTheme="majorHAnsi"/>
          <w:sz w:val="16"/>
          <w:szCs w:val="16"/>
          <w:lang w:val="es-ES"/>
        </w:rPr>
        <w:t xml:space="preserve">8/15, Petición 1413-04 y otras. </w:t>
      </w:r>
      <w:r w:rsidR="001605D1" w:rsidRPr="001E15C8">
        <w:rPr>
          <w:rFonts w:asciiTheme="majorHAnsi" w:hAnsiTheme="majorHAnsi"/>
          <w:sz w:val="16"/>
          <w:szCs w:val="16"/>
          <w:lang w:val="es-US"/>
        </w:rPr>
        <w:t xml:space="preserve">Admisibilidad. </w:t>
      </w:r>
      <w:r w:rsidR="001605D1" w:rsidRPr="001E15C8">
        <w:rPr>
          <w:rFonts w:asciiTheme="majorHAnsi" w:hAnsiTheme="majorHAnsi"/>
          <w:sz w:val="16"/>
          <w:szCs w:val="16"/>
          <w:lang w:val="es-ES"/>
        </w:rPr>
        <w:t>Gloria Beatriz Jorge Lopez y otros. Perú. 29 de enero de 2015.</w:t>
      </w:r>
    </w:p>
  </w:footnote>
  <w:footnote w:id="12">
    <w:p w14:paraId="2E7EC0AB" w14:textId="77777777" w:rsidR="008464DC" w:rsidRPr="001E15C8" w:rsidRDefault="008464DC" w:rsidP="001E15C8">
      <w:pPr>
        <w:pStyle w:val="FootnoteText"/>
        <w:ind w:firstLine="720"/>
        <w:jc w:val="both"/>
        <w:rPr>
          <w:rFonts w:asciiTheme="majorHAnsi" w:hAnsiTheme="majorHAnsi"/>
          <w:sz w:val="16"/>
          <w:szCs w:val="16"/>
          <w:lang w:val="es-ES"/>
        </w:rPr>
      </w:pPr>
      <w:r w:rsidRPr="001E15C8">
        <w:rPr>
          <w:rStyle w:val="FootnoteReference"/>
          <w:rFonts w:asciiTheme="majorHAnsi" w:hAnsiTheme="majorHAnsi"/>
          <w:sz w:val="16"/>
          <w:szCs w:val="16"/>
        </w:rPr>
        <w:footnoteRef/>
      </w:r>
      <w:r w:rsidRPr="001E15C8">
        <w:rPr>
          <w:rFonts w:asciiTheme="majorHAnsi" w:hAnsiTheme="majorHAnsi"/>
          <w:sz w:val="16"/>
          <w:szCs w:val="16"/>
          <w:lang w:val="es-ES"/>
        </w:rPr>
        <w:t xml:space="preserve"> En sentido similar: Corte IDH, Caso de los “Niños de la Calle” (Villagrán Morales y otros) Vs. Guatemala. Fondo. Sentencia de 19 de noviembre de 1999. Serie C No. 63, párr. 222, Corte IDH, Caso Moya Solís Vs. Perú. Excepciones Preliminares, Fondo, Reparaciones y Costas. Sentencia de 3 de junio de 2021. Serie C No. 425, párr. 28; y Corte IDH, Caso Manuela y otros Vs. El Salvador. Excepciones preliminares, Fondo, Reparaciones y Costas. Sentencia de 2 de noviembre de 2021. Serie C No. 441, párr. 147. </w:t>
      </w:r>
    </w:p>
  </w:footnote>
  <w:footnote w:id="13">
    <w:p w14:paraId="627FEA6B" w14:textId="77777777" w:rsidR="00A2608E" w:rsidRPr="001E15C8" w:rsidRDefault="00A2608E" w:rsidP="001E15C8">
      <w:pPr>
        <w:pStyle w:val="FootnoteText"/>
        <w:jc w:val="both"/>
        <w:rPr>
          <w:rFonts w:asciiTheme="majorHAnsi" w:hAnsiTheme="majorHAnsi"/>
          <w:sz w:val="16"/>
          <w:szCs w:val="16"/>
          <w:lang w:val="es-ES_tradnl"/>
        </w:rPr>
      </w:pPr>
      <w:r w:rsidRPr="001E15C8">
        <w:rPr>
          <w:rStyle w:val="FootnoteReference"/>
          <w:rFonts w:asciiTheme="majorHAnsi" w:hAnsiTheme="majorHAnsi"/>
          <w:sz w:val="16"/>
          <w:szCs w:val="16"/>
        </w:rPr>
        <w:footnoteRef/>
      </w:r>
      <w:r w:rsidRPr="001E15C8">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94B1A" w:rsidP="00A50FCF">
    <w:pPr>
      <w:pStyle w:val="Header"/>
      <w:tabs>
        <w:tab w:val="clear" w:pos="4320"/>
        <w:tab w:val="clear" w:pos="8640"/>
      </w:tabs>
      <w:jc w:val="center"/>
      <w:rPr>
        <w:sz w:val="22"/>
        <w:szCs w:val="22"/>
      </w:rPr>
    </w:pPr>
    <w:r>
      <w:rPr>
        <w:noProof/>
        <w:sz w:val="22"/>
        <w:szCs w:val="22"/>
        <w:bdr w:val="nil"/>
      </w:rPr>
      <w:pict w14:anchorId="43C7E6A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742DFB6"/>
    <w:lvl w:ilvl="0" w:tplc="FFB2FBDA">
      <w:start w:val="1"/>
      <w:numFmt w:val="decimal"/>
      <w:lvlText w:val="%1."/>
      <w:lvlJc w:val="left"/>
      <w:pPr>
        <w:tabs>
          <w:tab w:val="num" w:pos="720"/>
        </w:tabs>
        <w:ind w:left="0" w:firstLine="720"/>
      </w:pPr>
      <w:rPr>
        <w:rFonts w:asciiTheme="majorHAnsi" w:hAnsiTheme="majorHAnsi"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DD307B1"/>
    <w:multiLevelType w:val="hybridMultilevel"/>
    <w:tmpl w:val="B742DFB6"/>
    <w:lvl w:ilvl="0" w:tplc="FFFFFFFF">
      <w:start w:val="1"/>
      <w:numFmt w:val="decimal"/>
      <w:lvlText w:val="%1."/>
      <w:lvlJc w:val="left"/>
      <w:pPr>
        <w:tabs>
          <w:tab w:val="num" w:pos="720"/>
        </w:tabs>
        <w:ind w:left="0" w:firstLine="720"/>
      </w:pPr>
      <w:rPr>
        <w:rFonts w:asciiTheme="majorHAnsi" w:hAnsiTheme="majorHAnsi" w:hint="default"/>
        <w:b w:val="0"/>
        <w:bCs w:val="0"/>
        <w:i w:val="0"/>
        <w:i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68456801">
    <w:abstractNumId w:val="3"/>
  </w:num>
  <w:num w:numId="2" w16cid:durableId="551841748">
    <w:abstractNumId w:val="5"/>
  </w:num>
  <w:num w:numId="3" w16cid:durableId="1321499320">
    <w:abstractNumId w:val="54"/>
  </w:num>
  <w:num w:numId="4" w16cid:durableId="1657879992">
    <w:abstractNumId w:val="20"/>
  </w:num>
  <w:num w:numId="5" w16cid:durableId="1432581157">
    <w:abstractNumId w:val="47"/>
  </w:num>
  <w:num w:numId="6" w16cid:durableId="692339291">
    <w:abstractNumId w:val="27"/>
  </w:num>
  <w:num w:numId="7" w16cid:durableId="838345615">
    <w:abstractNumId w:val="6"/>
  </w:num>
  <w:num w:numId="8" w16cid:durableId="241373622">
    <w:abstractNumId w:val="16"/>
  </w:num>
  <w:num w:numId="9" w16cid:durableId="289896435">
    <w:abstractNumId w:val="42"/>
  </w:num>
  <w:num w:numId="10" w16cid:durableId="1452550178">
    <w:abstractNumId w:val="0"/>
  </w:num>
  <w:num w:numId="11" w16cid:durableId="1188835475">
    <w:abstractNumId w:val="37"/>
  </w:num>
  <w:num w:numId="12" w16cid:durableId="1810857640">
    <w:abstractNumId w:val="38"/>
  </w:num>
  <w:num w:numId="13" w16cid:durableId="140512776">
    <w:abstractNumId w:val="44"/>
  </w:num>
  <w:num w:numId="14" w16cid:durableId="1657413862">
    <w:abstractNumId w:val="1"/>
  </w:num>
  <w:num w:numId="15" w16cid:durableId="661275604">
    <w:abstractNumId w:val="2"/>
  </w:num>
  <w:num w:numId="16" w16cid:durableId="988441503">
    <w:abstractNumId w:val="7"/>
  </w:num>
  <w:num w:numId="17" w16cid:durableId="486241352">
    <w:abstractNumId w:val="8"/>
  </w:num>
  <w:num w:numId="18" w16cid:durableId="1109082271">
    <w:abstractNumId w:val="9"/>
  </w:num>
  <w:num w:numId="19" w16cid:durableId="944193391">
    <w:abstractNumId w:val="10"/>
  </w:num>
  <w:num w:numId="20" w16cid:durableId="1872763919">
    <w:abstractNumId w:val="11"/>
  </w:num>
  <w:num w:numId="21" w16cid:durableId="881743533">
    <w:abstractNumId w:val="12"/>
  </w:num>
  <w:num w:numId="22" w16cid:durableId="858275492">
    <w:abstractNumId w:val="13"/>
  </w:num>
  <w:num w:numId="23" w16cid:durableId="448668125">
    <w:abstractNumId w:val="14"/>
  </w:num>
  <w:num w:numId="24" w16cid:durableId="1840271473">
    <w:abstractNumId w:val="15"/>
  </w:num>
  <w:num w:numId="25" w16cid:durableId="835262817">
    <w:abstractNumId w:val="17"/>
  </w:num>
  <w:num w:numId="26" w16cid:durableId="811365543">
    <w:abstractNumId w:val="18"/>
  </w:num>
  <w:num w:numId="27" w16cid:durableId="51588521">
    <w:abstractNumId w:val="21"/>
  </w:num>
  <w:num w:numId="28" w16cid:durableId="682896781">
    <w:abstractNumId w:val="22"/>
  </w:num>
  <w:num w:numId="29" w16cid:durableId="1046492673">
    <w:abstractNumId w:val="23"/>
  </w:num>
  <w:num w:numId="30" w16cid:durableId="189490694">
    <w:abstractNumId w:val="25"/>
  </w:num>
  <w:num w:numId="31" w16cid:durableId="2093508348">
    <w:abstractNumId w:val="28"/>
  </w:num>
  <w:num w:numId="32" w16cid:durableId="1211376665">
    <w:abstractNumId w:val="29"/>
  </w:num>
  <w:num w:numId="33" w16cid:durableId="874269056">
    <w:abstractNumId w:val="30"/>
  </w:num>
  <w:num w:numId="34" w16cid:durableId="119420228">
    <w:abstractNumId w:val="31"/>
  </w:num>
  <w:num w:numId="35" w16cid:durableId="627972323">
    <w:abstractNumId w:val="32"/>
  </w:num>
  <w:num w:numId="36" w16cid:durableId="1246501698">
    <w:abstractNumId w:val="33"/>
  </w:num>
  <w:num w:numId="37" w16cid:durableId="1443962884">
    <w:abstractNumId w:val="34"/>
  </w:num>
  <w:num w:numId="38" w16cid:durableId="1245531790">
    <w:abstractNumId w:val="35"/>
  </w:num>
  <w:num w:numId="39" w16cid:durableId="1683777171">
    <w:abstractNumId w:val="39"/>
  </w:num>
  <w:num w:numId="40" w16cid:durableId="592008200">
    <w:abstractNumId w:val="40"/>
  </w:num>
  <w:num w:numId="41" w16cid:durableId="51738285">
    <w:abstractNumId w:val="46"/>
  </w:num>
  <w:num w:numId="42" w16cid:durableId="1987734277">
    <w:abstractNumId w:val="48"/>
  </w:num>
  <w:num w:numId="43" w16cid:durableId="1421831744">
    <w:abstractNumId w:val="50"/>
  </w:num>
  <w:num w:numId="44" w16cid:durableId="1158307820">
    <w:abstractNumId w:val="52"/>
  </w:num>
  <w:num w:numId="45" w16cid:durableId="921914976">
    <w:abstractNumId w:val="53"/>
  </w:num>
  <w:num w:numId="46" w16cid:durableId="1983264548">
    <w:abstractNumId w:val="55"/>
  </w:num>
  <w:num w:numId="47" w16cid:durableId="1928998983">
    <w:abstractNumId w:val="56"/>
  </w:num>
  <w:num w:numId="48" w16cid:durableId="1286426927">
    <w:abstractNumId w:val="57"/>
  </w:num>
  <w:num w:numId="49" w16cid:durableId="1239363232">
    <w:abstractNumId w:val="58"/>
  </w:num>
  <w:num w:numId="50" w16cid:durableId="2060738113">
    <w:abstractNumId w:val="59"/>
  </w:num>
  <w:num w:numId="51" w16cid:durableId="1164322589">
    <w:abstractNumId w:val="19"/>
  </w:num>
  <w:num w:numId="52" w16cid:durableId="1273171728">
    <w:abstractNumId w:val="41"/>
  </w:num>
  <w:num w:numId="53" w16cid:durableId="263651591">
    <w:abstractNumId w:val="51"/>
  </w:num>
  <w:num w:numId="54" w16cid:durableId="30082640">
    <w:abstractNumId w:val="45"/>
  </w:num>
  <w:num w:numId="55" w16cid:durableId="2135754715">
    <w:abstractNumId w:val="43"/>
  </w:num>
  <w:num w:numId="56" w16cid:durableId="714621206">
    <w:abstractNumId w:val="26"/>
  </w:num>
  <w:num w:numId="57" w16cid:durableId="1648049985">
    <w:abstractNumId w:val="24"/>
  </w:num>
  <w:num w:numId="58" w16cid:durableId="1854104332">
    <w:abstractNumId w:val="36"/>
  </w:num>
  <w:num w:numId="59" w16cid:durableId="385220826">
    <w:abstractNumId w:val="4"/>
  </w:num>
  <w:num w:numId="60" w16cid:durableId="569736572">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A00"/>
    <w:rsid w:val="00015C15"/>
    <w:rsid w:val="0001788C"/>
    <w:rsid w:val="00032B48"/>
    <w:rsid w:val="000337EF"/>
    <w:rsid w:val="00040C3A"/>
    <w:rsid w:val="000419AD"/>
    <w:rsid w:val="000433C9"/>
    <w:rsid w:val="000438D6"/>
    <w:rsid w:val="000449BB"/>
    <w:rsid w:val="00060F7C"/>
    <w:rsid w:val="00065300"/>
    <w:rsid w:val="00071174"/>
    <w:rsid w:val="000716C5"/>
    <w:rsid w:val="00075E23"/>
    <w:rsid w:val="00076AE3"/>
    <w:rsid w:val="0009199B"/>
    <w:rsid w:val="0009344A"/>
    <w:rsid w:val="000A392E"/>
    <w:rsid w:val="000A575F"/>
    <w:rsid w:val="000B2E35"/>
    <w:rsid w:val="000D05CB"/>
    <w:rsid w:val="000D10DB"/>
    <w:rsid w:val="000E5EB5"/>
    <w:rsid w:val="000F35ED"/>
    <w:rsid w:val="001004FE"/>
    <w:rsid w:val="00107131"/>
    <w:rsid w:val="0010736F"/>
    <w:rsid w:val="00113F73"/>
    <w:rsid w:val="00114AD8"/>
    <w:rsid w:val="00121CC2"/>
    <w:rsid w:val="00131425"/>
    <w:rsid w:val="00133EE5"/>
    <w:rsid w:val="00135824"/>
    <w:rsid w:val="001605D1"/>
    <w:rsid w:val="00164AB2"/>
    <w:rsid w:val="00167A34"/>
    <w:rsid w:val="001A520D"/>
    <w:rsid w:val="001A7870"/>
    <w:rsid w:val="001B203C"/>
    <w:rsid w:val="001B3A00"/>
    <w:rsid w:val="001B478B"/>
    <w:rsid w:val="001C1B41"/>
    <w:rsid w:val="001D65EF"/>
    <w:rsid w:val="001D7F96"/>
    <w:rsid w:val="001E15C8"/>
    <w:rsid w:val="001E49E7"/>
    <w:rsid w:val="001F7201"/>
    <w:rsid w:val="0020596C"/>
    <w:rsid w:val="00223A29"/>
    <w:rsid w:val="002250A3"/>
    <w:rsid w:val="0022530C"/>
    <w:rsid w:val="00235217"/>
    <w:rsid w:val="00246D1F"/>
    <w:rsid w:val="00247403"/>
    <w:rsid w:val="00247542"/>
    <w:rsid w:val="0025090D"/>
    <w:rsid w:val="00261896"/>
    <w:rsid w:val="00266B61"/>
    <w:rsid w:val="0026712A"/>
    <w:rsid w:val="002704DB"/>
    <w:rsid w:val="002A08ED"/>
    <w:rsid w:val="002A0AAE"/>
    <w:rsid w:val="002A33F9"/>
    <w:rsid w:val="002A5820"/>
    <w:rsid w:val="002B71B8"/>
    <w:rsid w:val="002C4320"/>
    <w:rsid w:val="002D2B26"/>
    <w:rsid w:val="002D716E"/>
    <w:rsid w:val="002D7EA2"/>
    <w:rsid w:val="002E187C"/>
    <w:rsid w:val="002F20E9"/>
    <w:rsid w:val="002F49BE"/>
    <w:rsid w:val="00302733"/>
    <w:rsid w:val="00305835"/>
    <w:rsid w:val="00306F33"/>
    <w:rsid w:val="00314078"/>
    <w:rsid w:val="0031535D"/>
    <w:rsid w:val="003239B8"/>
    <w:rsid w:val="0033169F"/>
    <w:rsid w:val="00344977"/>
    <w:rsid w:val="0034498C"/>
    <w:rsid w:val="00346C95"/>
    <w:rsid w:val="00350606"/>
    <w:rsid w:val="00356185"/>
    <w:rsid w:val="00360380"/>
    <w:rsid w:val="0037519E"/>
    <w:rsid w:val="003856E6"/>
    <w:rsid w:val="00386CF0"/>
    <w:rsid w:val="00387E8D"/>
    <w:rsid w:val="00390BA4"/>
    <w:rsid w:val="00394073"/>
    <w:rsid w:val="003B37C8"/>
    <w:rsid w:val="003B70FB"/>
    <w:rsid w:val="003C676B"/>
    <w:rsid w:val="003D0CE8"/>
    <w:rsid w:val="003D3BC2"/>
    <w:rsid w:val="003D717B"/>
    <w:rsid w:val="003E29E9"/>
    <w:rsid w:val="003E6CA1"/>
    <w:rsid w:val="003F5154"/>
    <w:rsid w:val="003F7948"/>
    <w:rsid w:val="004059D1"/>
    <w:rsid w:val="00405F9C"/>
    <w:rsid w:val="004065A8"/>
    <w:rsid w:val="004165C2"/>
    <w:rsid w:val="00422283"/>
    <w:rsid w:val="004241A0"/>
    <w:rsid w:val="00441ECB"/>
    <w:rsid w:val="00445193"/>
    <w:rsid w:val="00453238"/>
    <w:rsid w:val="00462C1B"/>
    <w:rsid w:val="00467B7E"/>
    <w:rsid w:val="00473BB4"/>
    <w:rsid w:val="00477592"/>
    <w:rsid w:val="00477DA7"/>
    <w:rsid w:val="004803A4"/>
    <w:rsid w:val="00486F1C"/>
    <w:rsid w:val="0049419D"/>
    <w:rsid w:val="004A057B"/>
    <w:rsid w:val="004A6A54"/>
    <w:rsid w:val="004A6D7F"/>
    <w:rsid w:val="004B421C"/>
    <w:rsid w:val="004C20D2"/>
    <w:rsid w:val="004C2312"/>
    <w:rsid w:val="004C4B62"/>
    <w:rsid w:val="004C54C9"/>
    <w:rsid w:val="004D4ABA"/>
    <w:rsid w:val="004D6025"/>
    <w:rsid w:val="004D78A6"/>
    <w:rsid w:val="004E2649"/>
    <w:rsid w:val="004F0DB1"/>
    <w:rsid w:val="004F626F"/>
    <w:rsid w:val="00501399"/>
    <w:rsid w:val="005047ED"/>
    <w:rsid w:val="00505291"/>
    <w:rsid w:val="0050633D"/>
    <w:rsid w:val="00507BC4"/>
    <w:rsid w:val="005128E4"/>
    <w:rsid w:val="005133DB"/>
    <w:rsid w:val="00514504"/>
    <w:rsid w:val="00521E1F"/>
    <w:rsid w:val="00525560"/>
    <w:rsid w:val="00530E70"/>
    <w:rsid w:val="00544C49"/>
    <w:rsid w:val="00550893"/>
    <w:rsid w:val="005516A1"/>
    <w:rsid w:val="005559EF"/>
    <w:rsid w:val="005617E0"/>
    <w:rsid w:val="00563557"/>
    <w:rsid w:val="005672D3"/>
    <w:rsid w:val="00570951"/>
    <w:rsid w:val="0057402A"/>
    <w:rsid w:val="005771D0"/>
    <w:rsid w:val="005815FA"/>
    <w:rsid w:val="0059191A"/>
    <w:rsid w:val="005921FF"/>
    <w:rsid w:val="005975CF"/>
    <w:rsid w:val="005A24ED"/>
    <w:rsid w:val="005A6D0E"/>
    <w:rsid w:val="005B52B0"/>
    <w:rsid w:val="005B6806"/>
    <w:rsid w:val="005C4225"/>
    <w:rsid w:val="005C543F"/>
    <w:rsid w:val="005F0DAD"/>
    <w:rsid w:val="005F0F33"/>
    <w:rsid w:val="005F47D0"/>
    <w:rsid w:val="005F601A"/>
    <w:rsid w:val="00600DEB"/>
    <w:rsid w:val="00607C5E"/>
    <w:rsid w:val="00624E24"/>
    <w:rsid w:val="00627C9F"/>
    <w:rsid w:val="006311E9"/>
    <w:rsid w:val="00632354"/>
    <w:rsid w:val="00635421"/>
    <w:rsid w:val="006359A5"/>
    <w:rsid w:val="00642810"/>
    <w:rsid w:val="0065210F"/>
    <w:rsid w:val="00652333"/>
    <w:rsid w:val="00655BE9"/>
    <w:rsid w:val="00663A67"/>
    <w:rsid w:val="0068009E"/>
    <w:rsid w:val="00692219"/>
    <w:rsid w:val="006A17D2"/>
    <w:rsid w:val="006A5D69"/>
    <w:rsid w:val="006A73E6"/>
    <w:rsid w:val="006B2D5C"/>
    <w:rsid w:val="006C0ECF"/>
    <w:rsid w:val="006C4EB1"/>
    <w:rsid w:val="006D7EE0"/>
    <w:rsid w:val="006E0166"/>
    <w:rsid w:val="006E2FFB"/>
    <w:rsid w:val="006E7B34"/>
    <w:rsid w:val="0070697F"/>
    <w:rsid w:val="007103C4"/>
    <w:rsid w:val="0072199C"/>
    <w:rsid w:val="00722C9F"/>
    <w:rsid w:val="007253B8"/>
    <w:rsid w:val="0073741F"/>
    <w:rsid w:val="0074721B"/>
    <w:rsid w:val="0076643F"/>
    <w:rsid w:val="007725CA"/>
    <w:rsid w:val="00777F63"/>
    <w:rsid w:val="007A5817"/>
    <w:rsid w:val="007B05C4"/>
    <w:rsid w:val="007B5E62"/>
    <w:rsid w:val="007B60E9"/>
    <w:rsid w:val="007B6CC3"/>
    <w:rsid w:val="007B76D3"/>
    <w:rsid w:val="007C16F6"/>
    <w:rsid w:val="007C2610"/>
    <w:rsid w:val="007C3334"/>
    <w:rsid w:val="007D2B98"/>
    <w:rsid w:val="007E07CF"/>
    <w:rsid w:val="007E21BC"/>
    <w:rsid w:val="007E7C82"/>
    <w:rsid w:val="007F2AA1"/>
    <w:rsid w:val="007F588D"/>
    <w:rsid w:val="00800D52"/>
    <w:rsid w:val="00801F79"/>
    <w:rsid w:val="00803F1C"/>
    <w:rsid w:val="0080600E"/>
    <w:rsid w:val="00814688"/>
    <w:rsid w:val="008173AE"/>
    <w:rsid w:val="00817612"/>
    <w:rsid w:val="008338A4"/>
    <w:rsid w:val="00834D49"/>
    <w:rsid w:val="00835878"/>
    <w:rsid w:val="00837C45"/>
    <w:rsid w:val="008431F9"/>
    <w:rsid w:val="00844730"/>
    <w:rsid w:val="008457C2"/>
    <w:rsid w:val="008464DC"/>
    <w:rsid w:val="00857A82"/>
    <w:rsid w:val="00861E24"/>
    <w:rsid w:val="00873836"/>
    <w:rsid w:val="00876943"/>
    <w:rsid w:val="00877F3A"/>
    <w:rsid w:val="00885737"/>
    <w:rsid w:val="00885DCA"/>
    <w:rsid w:val="00890650"/>
    <w:rsid w:val="00892630"/>
    <w:rsid w:val="008944DC"/>
    <w:rsid w:val="008953BD"/>
    <w:rsid w:val="00897E12"/>
    <w:rsid w:val="008A7E0F"/>
    <w:rsid w:val="008B12F5"/>
    <w:rsid w:val="008C40BF"/>
    <w:rsid w:val="008C5E2D"/>
    <w:rsid w:val="008D768D"/>
    <w:rsid w:val="008E3759"/>
    <w:rsid w:val="008E3BFE"/>
    <w:rsid w:val="008F1912"/>
    <w:rsid w:val="008F3977"/>
    <w:rsid w:val="008F6FDA"/>
    <w:rsid w:val="0090270B"/>
    <w:rsid w:val="009041DC"/>
    <w:rsid w:val="00910A7D"/>
    <w:rsid w:val="00917B5A"/>
    <w:rsid w:val="00920A58"/>
    <w:rsid w:val="00920A8C"/>
    <w:rsid w:val="00924AD3"/>
    <w:rsid w:val="00934A2C"/>
    <w:rsid w:val="0094157E"/>
    <w:rsid w:val="009474D3"/>
    <w:rsid w:val="0096706E"/>
    <w:rsid w:val="00974491"/>
    <w:rsid w:val="00975C4E"/>
    <w:rsid w:val="00981FBA"/>
    <w:rsid w:val="00985614"/>
    <w:rsid w:val="00997BC5"/>
    <w:rsid w:val="009A1203"/>
    <w:rsid w:val="009A4F41"/>
    <w:rsid w:val="009A56CE"/>
    <w:rsid w:val="009B381B"/>
    <w:rsid w:val="009C391C"/>
    <w:rsid w:val="009D1753"/>
    <w:rsid w:val="009D464A"/>
    <w:rsid w:val="009D7611"/>
    <w:rsid w:val="009E0B61"/>
    <w:rsid w:val="009E53DE"/>
    <w:rsid w:val="009F1587"/>
    <w:rsid w:val="00A02985"/>
    <w:rsid w:val="00A11212"/>
    <w:rsid w:val="00A11E44"/>
    <w:rsid w:val="00A15562"/>
    <w:rsid w:val="00A24089"/>
    <w:rsid w:val="00A2608E"/>
    <w:rsid w:val="00A30100"/>
    <w:rsid w:val="00A328B3"/>
    <w:rsid w:val="00A32D5D"/>
    <w:rsid w:val="00A50FCF"/>
    <w:rsid w:val="00A528D1"/>
    <w:rsid w:val="00A610CD"/>
    <w:rsid w:val="00A64074"/>
    <w:rsid w:val="00A651C5"/>
    <w:rsid w:val="00A758AA"/>
    <w:rsid w:val="00AA09A2"/>
    <w:rsid w:val="00AA5C12"/>
    <w:rsid w:val="00AA7996"/>
    <w:rsid w:val="00AC19CB"/>
    <w:rsid w:val="00AC4999"/>
    <w:rsid w:val="00AD0541"/>
    <w:rsid w:val="00AD6C9C"/>
    <w:rsid w:val="00AE3EF1"/>
    <w:rsid w:val="00AE5488"/>
    <w:rsid w:val="00AE6F91"/>
    <w:rsid w:val="00AF5571"/>
    <w:rsid w:val="00B04818"/>
    <w:rsid w:val="00B07341"/>
    <w:rsid w:val="00B30539"/>
    <w:rsid w:val="00B314DB"/>
    <w:rsid w:val="00B35993"/>
    <w:rsid w:val="00B361F2"/>
    <w:rsid w:val="00B3718B"/>
    <w:rsid w:val="00B3745F"/>
    <w:rsid w:val="00B40D90"/>
    <w:rsid w:val="00B4632A"/>
    <w:rsid w:val="00B5103E"/>
    <w:rsid w:val="00B517AD"/>
    <w:rsid w:val="00B530F1"/>
    <w:rsid w:val="00B816CE"/>
    <w:rsid w:val="00B93D7F"/>
    <w:rsid w:val="00B96FF7"/>
    <w:rsid w:val="00BA276C"/>
    <w:rsid w:val="00BA2BB6"/>
    <w:rsid w:val="00BB019D"/>
    <w:rsid w:val="00BB1A29"/>
    <w:rsid w:val="00BB306F"/>
    <w:rsid w:val="00BD0FF5"/>
    <w:rsid w:val="00BD4B89"/>
    <w:rsid w:val="00BD5922"/>
    <w:rsid w:val="00BD68AE"/>
    <w:rsid w:val="00BE235C"/>
    <w:rsid w:val="00BF02CB"/>
    <w:rsid w:val="00BF6FD8"/>
    <w:rsid w:val="00C03680"/>
    <w:rsid w:val="00C054DF"/>
    <w:rsid w:val="00C21762"/>
    <w:rsid w:val="00C21FEF"/>
    <w:rsid w:val="00C23BA4"/>
    <w:rsid w:val="00C24543"/>
    <w:rsid w:val="00C256A2"/>
    <w:rsid w:val="00C25ADB"/>
    <w:rsid w:val="00C47875"/>
    <w:rsid w:val="00C51515"/>
    <w:rsid w:val="00C5660B"/>
    <w:rsid w:val="00C57C91"/>
    <w:rsid w:val="00C60735"/>
    <w:rsid w:val="00C66B72"/>
    <w:rsid w:val="00C87AC4"/>
    <w:rsid w:val="00C93707"/>
    <w:rsid w:val="00C94B1A"/>
    <w:rsid w:val="00C9567A"/>
    <w:rsid w:val="00C95791"/>
    <w:rsid w:val="00CB212D"/>
    <w:rsid w:val="00CB2660"/>
    <w:rsid w:val="00CB728A"/>
    <w:rsid w:val="00CC5E90"/>
    <w:rsid w:val="00CD046C"/>
    <w:rsid w:val="00CE076C"/>
    <w:rsid w:val="00CE5199"/>
    <w:rsid w:val="00CE66D5"/>
    <w:rsid w:val="00CF637A"/>
    <w:rsid w:val="00CF7FA7"/>
    <w:rsid w:val="00D059DE"/>
    <w:rsid w:val="00D05ABD"/>
    <w:rsid w:val="00D13FCE"/>
    <w:rsid w:val="00D277E4"/>
    <w:rsid w:val="00D306D1"/>
    <w:rsid w:val="00D30800"/>
    <w:rsid w:val="00D34786"/>
    <w:rsid w:val="00D37BFC"/>
    <w:rsid w:val="00D47A8E"/>
    <w:rsid w:val="00D52D14"/>
    <w:rsid w:val="00D679A6"/>
    <w:rsid w:val="00D712D3"/>
    <w:rsid w:val="00D71422"/>
    <w:rsid w:val="00D72DC6"/>
    <w:rsid w:val="00D7558D"/>
    <w:rsid w:val="00D7615F"/>
    <w:rsid w:val="00D81D92"/>
    <w:rsid w:val="00D876F9"/>
    <w:rsid w:val="00DA7B5F"/>
    <w:rsid w:val="00DC11E7"/>
    <w:rsid w:val="00DC24E3"/>
    <w:rsid w:val="00DC496C"/>
    <w:rsid w:val="00DC7023"/>
    <w:rsid w:val="00DC769A"/>
    <w:rsid w:val="00DD3D86"/>
    <w:rsid w:val="00DD4AD2"/>
    <w:rsid w:val="00DE0A5F"/>
    <w:rsid w:val="00DE2862"/>
    <w:rsid w:val="00DF1EC4"/>
    <w:rsid w:val="00E0340B"/>
    <w:rsid w:val="00E04A90"/>
    <w:rsid w:val="00E0551F"/>
    <w:rsid w:val="00E06750"/>
    <w:rsid w:val="00E06DCF"/>
    <w:rsid w:val="00E175D9"/>
    <w:rsid w:val="00E219C7"/>
    <w:rsid w:val="00E346F2"/>
    <w:rsid w:val="00E4118C"/>
    <w:rsid w:val="00E43157"/>
    <w:rsid w:val="00E45E4A"/>
    <w:rsid w:val="00E461CE"/>
    <w:rsid w:val="00E516F0"/>
    <w:rsid w:val="00E573E4"/>
    <w:rsid w:val="00E60DCF"/>
    <w:rsid w:val="00E64C3D"/>
    <w:rsid w:val="00E720CA"/>
    <w:rsid w:val="00E75869"/>
    <w:rsid w:val="00E84EB5"/>
    <w:rsid w:val="00E85662"/>
    <w:rsid w:val="00E8789F"/>
    <w:rsid w:val="00E97B71"/>
    <w:rsid w:val="00EA305B"/>
    <w:rsid w:val="00EA3D34"/>
    <w:rsid w:val="00EA4060"/>
    <w:rsid w:val="00EB454D"/>
    <w:rsid w:val="00EC5A63"/>
    <w:rsid w:val="00ED549D"/>
    <w:rsid w:val="00ED5E10"/>
    <w:rsid w:val="00ED76BE"/>
    <w:rsid w:val="00EE00E9"/>
    <w:rsid w:val="00EE5E37"/>
    <w:rsid w:val="00EF1AAA"/>
    <w:rsid w:val="00EF619B"/>
    <w:rsid w:val="00F00B55"/>
    <w:rsid w:val="00F02AD1"/>
    <w:rsid w:val="00F07193"/>
    <w:rsid w:val="00F128F7"/>
    <w:rsid w:val="00F253CC"/>
    <w:rsid w:val="00F35657"/>
    <w:rsid w:val="00F37106"/>
    <w:rsid w:val="00F44E25"/>
    <w:rsid w:val="00F519CF"/>
    <w:rsid w:val="00F55E02"/>
    <w:rsid w:val="00F56BA5"/>
    <w:rsid w:val="00F56ECB"/>
    <w:rsid w:val="00F60E22"/>
    <w:rsid w:val="00F62FA4"/>
    <w:rsid w:val="00F630F7"/>
    <w:rsid w:val="00F73A64"/>
    <w:rsid w:val="00F80A5E"/>
    <w:rsid w:val="00F81395"/>
    <w:rsid w:val="00F81BB8"/>
    <w:rsid w:val="00F8479F"/>
    <w:rsid w:val="00F90C64"/>
    <w:rsid w:val="00F917D1"/>
    <w:rsid w:val="00F9653B"/>
    <w:rsid w:val="00FA5B7C"/>
    <w:rsid w:val="00FB62CF"/>
    <w:rsid w:val="00FD032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Char2">
    <w:name w:val="Char2"/>
    <w:basedOn w:val="Normal"/>
    <w:link w:val="FootnoteReference"/>
    <w:rsid w:val="00A2608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numbering" w:customStyle="1" w:styleId="List1">
    <w:name w:val="List 1"/>
    <w:basedOn w:val="NoList"/>
    <w:pPr>
      <w:numPr>
        <w:numId w:val="1"/>
      </w:numPr>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8464D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5E62"/>
    <w:rPr>
      <w:sz w:val="16"/>
      <w:szCs w:val="16"/>
    </w:rPr>
  </w:style>
  <w:style w:type="paragraph" w:styleId="CommentText">
    <w:name w:val="annotation text"/>
    <w:basedOn w:val="Normal"/>
    <w:link w:val="CommentTextChar"/>
    <w:uiPriority w:val="99"/>
    <w:unhideWhenUsed/>
    <w:rsid w:val="007B5E62"/>
    <w:rPr>
      <w:sz w:val="20"/>
      <w:szCs w:val="20"/>
    </w:rPr>
  </w:style>
  <w:style w:type="character" w:customStyle="1" w:styleId="CommentTextChar">
    <w:name w:val="Comment Text Char"/>
    <w:basedOn w:val="DefaultParagraphFont"/>
    <w:link w:val="CommentText"/>
    <w:uiPriority w:val="99"/>
    <w:rsid w:val="007B5E62"/>
    <w:rPr>
      <w:lang w:val="en-US" w:eastAsia="en-US"/>
    </w:rPr>
  </w:style>
  <w:style w:type="paragraph" w:styleId="CommentSubject">
    <w:name w:val="annotation subject"/>
    <w:basedOn w:val="CommentText"/>
    <w:next w:val="CommentText"/>
    <w:link w:val="CommentSubjectChar"/>
    <w:uiPriority w:val="99"/>
    <w:semiHidden/>
    <w:unhideWhenUsed/>
    <w:rsid w:val="007B5E62"/>
    <w:rPr>
      <w:b/>
      <w:bCs/>
    </w:rPr>
  </w:style>
  <w:style w:type="character" w:customStyle="1" w:styleId="CommentSubjectChar">
    <w:name w:val="Comment Subject Char"/>
    <w:basedOn w:val="CommentTextChar"/>
    <w:link w:val="CommentSubject"/>
    <w:uiPriority w:val="99"/>
    <w:semiHidden/>
    <w:rsid w:val="007B5E62"/>
    <w:rPr>
      <w:b/>
      <w:bCs/>
      <w:lang w:val="en-US" w:eastAsia="en-US"/>
    </w:rPr>
  </w:style>
  <w:style w:type="paragraph" w:styleId="Revision">
    <w:name w:val="Revision"/>
    <w:hidden/>
    <w:uiPriority w:val="99"/>
    <w:semiHidden/>
    <w:rsid w:val="00F847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6804"/>
    <w:rsid w:val="001A72DA"/>
    <w:rsid w:val="00200821"/>
    <w:rsid w:val="0025245B"/>
    <w:rsid w:val="002A3923"/>
    <w:rsid w:val="00394049"/>
    <w:rsid w:val="003B0C71"/>
    <w:rsid w:val="00406FCE"/>
    <w:rsid w:val="004B3303"/>
    <w:rsid w:val="004B5BBB"/>
    <w:rsid w:val="004F2DF8"/>
    <w:rsid w:val="00517E2A"/>
    <w:rsid w:val="00664557"/>
    <w:rsid w:val="006933F7"/>
    <w:rsid w:val="006D3128"/>
    <w:rsid w:val="006F24A1"/>
    <w:rsid w:val="00733F23"/>
    <w:rsid w:val="007C172C"/>
    <w:rsid w:val="007C4C6B"/>
    <w:rsid w:val="007D516D"/>
    <w:rsid w:val="00875B8A"/>
    <w:rsid w:val="008953BC"/>
    <w:rsid w:val="008F1771"/>
    <w:rsid w:val="009A261B"/>
    <w:rsid w:val="00A21D8E"/>
    <w:rsid w:val="00AA2E17"/>
    <w:rsid w:val="00AC15A4"/>
    <w:rsid w:val="00B0336C"/>
    <w:rsid w:val="00B5420D"/>
    <w:rsid w:val="00CA3F8D"/>
    <w:rsid w:val="00D241E9"/>
    <w:rsid w:val="00D7750D"/>
    <w:rsid w:val="00F00D2F"/>
    <w:rsid w:val="00F128DF"/>
    <w:rsid w:val="00F8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18073</Characters>
  <Application>Microsoft Office Word</Application>
  <DocSecurity>0</DocSecurity>
  <Lines>150</Lines>
  <Paragraphs>42</Paragraphs>
  <ScaleCrop>false</ScaleCrop>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2022-11-19T13:42:00Z</dcterms:created>
  <dcterms:modified xsi:type="dcterms:W3CDTF">2022-11-19T13:42:00Z</dcterms:modified>
</cp:coreProperties>
</file>