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6D0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E23B53B">
                <wp:simplePos x="0" y="0"/>
                <wp:positionH relativeFrom="column">
                  <wp:posOffset>1338483</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20FCE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204A">
                              <w:rPr>
                                <w:rFonts w:asciiTheme="majorHAnsi" w:hAnsiTheme="majorHAnsi" w:cs="Arial"/>
                                <w:b/>
                                <w:bCs/>
                                <w:color w:val="0D0D0D" w:themeColor="text1" w:themeTint="F2"/>
                                <w:sz w:val="36"/>
                                <w:szCs w:val="22"/>
                                <w:lang w:val="es-ES_tradnl"/>
                              </w:rPr>
                              <w:t>352</w:t>
                            </w:r>
                            <w:r w:rsidR="007B05C4">
                              <w:rPr>
                                <w:rFonts w:asciiTheme="majorHAnsi" w:hAnsiTheme="majorHAnsi" w:cs="Arial"/>
                                <w:b/>
                                <w:bCs/>
                                <w:color w:val="0D0D0D" w:themeColor="text1" w:themeTint="F2"/>
                                <w:sz w:val="36"/>
                                <w:szCs w:val="22"/>
                                <w:lang w:val="es-ES_tradnl"/>
                              </w:rPr>
                              <w:t>/</w:t>
                            </w:r>
                            <w:r w:rsidR="006B204A">
                              <w:rPr>
                                <w:rFonts w:asciiTheme="majorHAnsi" w:hAnsiTheme="majorHAnsi" w:cs="Arial"/>
                                <w:b/>
                                <w:bCs/>
                                <w:color w:val="0D0D0D" w:themeColor="text1" w:themeTint="F2"/>
                                <w:sz w:val="36"/>
                                <w:szCs w:val="22"/>
                                <w:lang w:val="es-ES_tradnl"/>
                              </w:rPr>
                              <w:t>22</w:t>
                            </w:r>
                          </w:p>
                          <w:p w14:paraId="45F30ECA" w14:textId="59645B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236946">
                              <w:rPr>
                                <w:rFonts w:asciiTheme="majorHAnsi" w:hAnsiTheme="majorHAnsi" w:cs="Arial"/>
                                <w:b/>
                                <w:color w:val="0D0D0D" w:themeColor="text1" w:themeTint="F2"/>
                                <w:sz w:val="36"/>
                                <w:szCs w:val="22"/>
                                <w:lang w:val="es-ES_tradnl"/>
                              </w:rPr>
                              <w:t xml:space="preserve"> 1523</w:t>
                            </w:r>
                            <w:r w:rsidR="00246D1F" w:rsidRPr="004E2649">
                              <w:rPr>
                                <w:rFonts w:asciiTheme="majorHAnsi" w:hAnsiTheme="majorHAnsi" w:cs="Arial"/>
                                <w:b/>
                                <w:color w:val="0D0D0D" w:themeColor="text1" w:themeTint="F2"/>
                                <w:sz w:val="36"/>
                                <w:szCs w:val="22"/>
                                <w:lang w:val="es-ES_tradnl"/>
                              </w:rPr>
                              <w:t>-</w:t>
                            </w:r>
                            <w:r w:rsidR="0023694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0E4256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8A71E9C" w:rsidR="005B52B0" w:rsidRPr="0010736F" w:rsidRDefault="0023694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PATRICIO TOLENTINO ROJAS Y OTR</w:t>
                            </w:r>
                            <w:r w:rsidR="00B41FB9">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S</w:t>
                            </w:r>
                          </w:p>
                          <w:bookmarkEnd w:id="0"/>
                          <w:p w14:paraId="0B9F7D22" w14:textId="319C74D6"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236946">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5.4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" filled="f" stroked="f" strokeweight=".5pt">
                <v:textbox>
                  <w:txbxContent>
                    <w:p w14:paraId="7D7328D9" w14:textId="420FCE0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204A">
                        <w:rPr>
                          <w:rFonts w:asciiTheme="majorHAnsi" w:hAnsiTheme="majorHAnsi" w:cs="Arial"/>
                          <w:b/>
                          <w:bCs/>
                          <w:color w:val="0D0D0D" w:themeColor="text1" w:themeTint="F2"/>
                          <w:sz w:val="36"/>
                          <w:szCs w:val="22"/>
                          <w:lang w:val="es-ES_tradnl"/>
                        </w:rPr>
                        <w:t>352</w:t>
                      </w:r>
                      <w:r w:rsidR="007B05C4">
                        <w:rPr>
                          <w:rFonts w:asciiTheme="majorHAnsi" w:hAnsiTheme="majorHAnsi" w:cs="Arial"/>
                          <w:b/>
                          <w:bCs/>
                          <w:color w:val="0D0D0D" w:themeColor="text1" w:themeTint="F2"/>
                          <w:sz w:val="36"/>
                          <w:szCs w:val="22"/>
                          <w:lang w:val="es-ES_tradnl"/>
                        </w:rPr>
                        <w:t>/</w:t>
                      </w:r>
                      <w:r w:rsidR="006B204A">
                        <w:rPr>
                          <w:rFonts w:asciiTheme="majorHAnsi" w:hAnsiTheme="majorHAnsi" w:cs="Arial"/>
                          <w:b/>
                          <w:bCs/>
                          <w:color w:val="0D0D0D" w:themeColor="text1" w:themeTint="F2"/>
                          <w:sz w:val="36"/>
                          <w:szCs w:val="22"/>
                          <w:lang w:val="es-ES_tradnl"/>
                        </w:rPr>
                        <w:t>22</w:t>
                      </w:r>
                    </w:p>
                    <w:p w14:paraId="45F30ECA" w14:textId="59645B5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236946">
                        <w:rPr>
                          <w:rFonts w:asciiTheme="majorHAnsi" w:hAnsiTheme="majorHAnsi" w:cs="Arial"/>
                          <w:b/>
                          <w:color w:val="0D0D0D" w:themeColor="text1" w:themeTint="F2"/>
                          <w:sz w:val="36"/>
                          <w:szCs w:val="22"/>
                          <w:lang w:val="es-ES_tradnl"/>
                        </w:rPr>
                        <w:t xml:space="preserve"> 1523</w:t>
                      </w:r>
                      <w:r w:rsidR="00246D1F" w:rsidRPr="004E2649">
                        <w:rPr>
                          <w:rFonts w:asciiTheme="majorHAnsi" w:hAnsiTheme="majorHAnsi" w:cs="Arial"/>
                          <w:b/>
                          <w:color w:val="0D0D0D" w:themeColor="text1" w:themeTint="F2"/>
                          <w:sz w:val="36"/>
                          <w:szCs w:val="22"/>
                          <w:lang w:val="es-ES_tradnl"/>
                        </w:rPr>
                        <w:t>-</w:t>
                      </w:r>
                      <w:r w:rsidR="0023694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0E4256F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8A71E9C" w:rsidR="005B52B0" w:rsidRPr="0010736F" w:rsidRDefault="0023694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PATRICIO TOLENTINO ROJAS Y OTR</w:t>
                      </w:r>
                      <w:r w:rsidR="00B41FB9">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S</w:t>
                      </w:r>
                    </w:p>
                    <w:bookmarkEnd w:id="1"/>
                    <w:p w14:paraId="0B9F7D22" w14:textId="319C74D6"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236946">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30CA2EE" w:rsidR="00627C9F" w:rsidRPr="006B204A" w:rsidRDefault="00834D49" w:rsidP="007A5817">
                            <w:pPr>
                              <w:spacing w:line="276" w:lineRule="auto"/>
                              <w:jc w:val="right"/>
                              <w:rPr>
                                <w:rFonts w:asciiTheme="minorHAnsi" w:hAnsiTheme="minorHAnsi"/>
                                <w:color w:val="FFFFFF" w:themeColor="background1"/>
                                <w:sz w:val="22"/>
                                <w:lang w:val="es-ES"/>
                              </w:rPr>
                            </w:pPr>
                            <w:r w:rsidRPr="006B204A">
                              <w:rPr>
                                <w:rFonts w:asciiTheme="minorHAnsi" w:hAnsiTheme="minorHAnsi"/>
                                <w:color w:val="FFFFFF" w:themeColor="background1"/>
                                <w:sz w:val="22"/>
                                <w:lang w:val="es-ES"/>
                              </w:rPr>
                              <w:t>OEA/Ser.L/V/II</w:t>
                            </w:r>
                          </w:p>
                          <w:p w14:paraId="71D2D5D2" w14:textId="76B67329" w:rsidR="00627C9F" w:rsidRPr="006B204A" w:rsidRDefault="00627C9F" w:rsidP="007A5817">
                            <w:pPr>
                              <w:spacing w:line="276" w:lineRule="auto"/>
                              <w:jc w:val="right"/>
                              <w:rPr>
                                <w:rFonts w:asciiTheme="minorHAnsi" w:hAnsiTheme="minorHAnsi"/>
                                <w:color w:val="FFFFFF" w:themeColor="background1"/>
                                <w:sz w:val="22"/>
                                <w:lang w:val="es-ES"/>
                              </w:rPr>
                            </w:pPr>
                            <w:r w:rsidRPr="006B204A">
                              <w:rPr>
                                <w:rFonts w:asciiTheme="minorHAnsi" w:hAnsiTheme="minorHAnsi"/>
                                <w:color w:val="FFFFFF" w:themeColor="background1"/>
                                <w:sz w:val="22"/>
                                <w:lang w:val="es-ES"/>
                              </w:rPr>
                              <w:t xml:space="preserve">Doc. </w:t>
                            </w:r>
                            <w:r w:rsidR="00E0480C">
                              <w:rPr>
                                <w:rFonts w:asciiTheme="minorHAnsi" w:hAnsiTheme="minorHAnsi"/>
                                <w:color w:val="FFFFFF" w:themeColor="background1"/>
                                <w:sz w:val="22"/>
                                <w:lang w:val="es-ES"/>
                              </w:rPr>
                              <w:t>360</w:t>
                            </w:r>
                          </w:p>
                          <w:p w14:paraId="4061DBBD" w14:textId="4D2F21C4" w:rsidR="00627C9F" w:rsidRPr="00C25ADB" w:rsidRDefault="00E0480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36946">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30CA2EE" w:rsidR="00627C9F" w:rsidRPr="006B204A" w:rsidRDefault="00834D49" w:rsidP="007A5817">
                      <w:pPr>
                        <w:spacing w:line="276" w:lineRule="auto"/>
                        <w:jc w:val="right"/>
                        <w:rPr>
                          <w:rFonts w:asciiTheme="minorHAnsi" w:hAnsiTheme="minorHAnsi"/>
                          <w:color w:val="FFFFFF" w:themeColor="background1"/>
                          <w:sz w:val="22"/>
                          <w:lang w:val="es-ES"/>
                        </w:rPr>
                      </w:pPr>
                      <w:r w:rsidRPr="006B204A">
                        <w:rPr>
                          <w:rFonts w:asciiTheme="minorHAnsi" w:hAnsiTheme="minorHAnsi"/>
                          <w:color w:val="FFFFFF" w:themeColor="background1"/>
                          <w:sz w:val="22"/>
                          <w:lang w:val="es-ES"/>
                        </w:rPr>
                        <w:t>OEA/Ser.L/V/II</w:t>
                      </w:r>
                    </w:p>
                    <w:p w14:paraId="71D2D5D2" w14:textId="76B67329" w:rsidR="00627C9F" w:rsidRPr="006B204A" w:rsidRDefault="00627C9F" w:rsidP="007A5817">
                      <w:pPr>
                        <w:spacing w:line="276" w:lineRule="auto"/>
                        <w:jc w:val="right"/>
                        <w:rPr>
                          <w:rFonts w:asciiTheme="minorHAnsi" w:hAnsiTheme="minorHAnsi"/>
                          <w:color w:val="FFFFFF" w:themeColor="background1"/>
                          <w:sz w:val="22"/>
                          <w:lang w:val="es-ES"/>
                        </w:rPr>
                      </w:pPr>
                      <w:r w:rsidRPr="006B204A">
                        <w:rPr>
                          <w:rFonts w:asciiTheme="minorHAnsi" w:hAnsiTheme="minorHAnsi"/>
                          <w:color w:val="FFFFFF" w:themeColor="background1"/>
                          <w:sz w:val="22"/>
                          <w:lang w:val="es-ES"/>
                        </w:rPr>
                        <w:t xml:space="preserve">Doc. </w:t>
                      </w:r>
                      <w:r w:rsidR="00E0480C">
                        <w:rPr>
                          <w:rFonts w:asciiTheme="minorHAnsi" w:hAnsiTheme="minorHAnsi"/>
                          <w:color w:val="FFFFFF" w:themeColor="background1"/>
                          <w:sz w:val="22"/>
                          <w:lang w:val="es-ES"/>
                        </w:rPr>
                        <w:t>360</w:t>
                      </w:r>
                    </w:p>
                    <w:p w14:paraId="4061DBBD" w14:textId="4D2F21C4" w:rsidR="00627C9F" w:rsidRPr="00C25ADB" w:rsidRDefault="00E0480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36946">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6D1EE8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480C">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0480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36946">
                              <w:rPr>
                                <w:rFonts w:asciiTheme="majorHAnsi" w:hAnsiTheme="majorHAnsi"/>
                                <w:color w:val="0D0D0D" w:themeColor="text1" w:themeTint="F2"/>
                                <w:sz w:val="18"/>
                                <w:szCs w:val="22"/>
                                <w:lang w:val="es-ES"/>
                              </w:rPr>
                              <w:t>2</w:t>
                            </w:r>
                            <w:r w:rsidR="00E048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6D1EE8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0480C">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E0480C">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36946">
                        <w:rPr>
                          <w:rFonts w:asciiTheme="majorHAnsi" w:hAnsiTheme="majorHAnsi"/>
                          <w:color w:val="0D0D0D" w:themeColor="text1" w:themeTint="F2"/>
                          <w:sz w:val="18"/>
                          <w:szCs w:val="22"/>
                          <w:lang w:val="es-ES"/>
                        </w:rPr>
                        <w:t>2</w:t>
                      </w:r>
                      <w:r w:rsidR="00E048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2C5174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480C" w:rsidRPr="00E0480C">
                              <w:rPr>
                                <w:rFonts w:asciiTheme="majorHAnsi" w:hAnsiTheme="majorHAnsi"/>
                                <w:color w:val="595959" w:themeColor="text1" w:themeTint="A6"/>
                                <w:sz w:val="18"/>
                                <w:szCs w:val="18"/>
                                <w:lang w:val="pt-BR"/>
                              </w:rPr>
                              <w:t>352</w:t>
                            </w:r>
                            <w:r w:rsidR="007B05C4" w:rsidRPr="00E0480C">
                              <w:rPr>
                                <w:rFonts w:asciiTheme="majorHAnsi" w:hAnsiTheme="majorHAnsi"/>
                                <w:color w:val="595959" w:themeColor="text1" w:themeTint="A6"/>
                                <w:sz w:val="18"/>
                                <w:szCs w:val="18"/>
                                <w:lang w:val="pt-BR"/>
                              </w:rPr>
                              <w:t>/</w:t>
                            </w:r>
                            <w:r w:rsidR="00E0480C" w:rsidRPr="00E0480C">
                              <w:rPr>
                                <w:rFonts w:asciiTheme="majorHAnsi" w:hAnsiTheme="majorHAnsi"/>
                                <w:color w:val="595959" w:themeColor="text1" w:themeTint="A6"/>
                                <w:sz w:val="18"/>
                                <w:szCs w:val="18"/>
                                <w:lang w:val="pt-BR"/>
                              </w:rPr>
                              <w:t>22</w:t>
                            </w:r>
                            <w:r w:rsidRPr="00E0480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36946">
                              <w:rPr>
                                <w:rFonts w:asciiTheme="majorHAnsi" w:hAnsiTheme="majorHAnsi"/>
                                <w:color w:val="595959" w:themeColor="text1" w:themeTint="A6"/>
                                <w:sz w:val="18"/>
                                <w:szCs w:val="18"/>
                                <w:lang w:val="es-ES"/>
                              </w:rPr>
                              <w:t>1523</w:t>
                            </w:r>
                            <w:r w:rsidR="000433C9">
                              <w:rPr>
                                <w:rFonts w:asciiTheme="majorHAnsi" w:hAnsiTheme="majorHAnsi"/>
                                <w:color w:val="595959" w:themeColor="text1" w:themeTint="A6"/>
                                <w:sz w:val="18"/>
                                <w:szCs w:val="18"/>
                                <w:lang w:val="es-ES"/>
                              </w:rPr>
                              <w:t>-</w:t>
                            </w:r>
                            <w:r w:rsidR="00236946">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014190">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r w:rsidR="00236946">
                              <w:rPr>
                                <w:rFonts w:asciiTheme="majorHAnsi" w:hAnsiTheme="majorHAnsi"/>
                                <w:color w:val="595959" w:themeColor="text1" w:themeTint="A6"/>
                                <w:sz w:val="18"/>
                                <w:szCs w:val="18"/>
                                <w:lang w:val="es-ES_tradnl"/>
                              </w:rPr>
                              <w:t>José Patricio Tolentino Rojas y otros</w:t>
                            </w:r>
                            <w:r w:rsidRPr="00890650">
                              <w:rPr>
                                <w:rFonts w:asciiTheme="majorHAnsi" w:hAnsiTheme="majorHAnsi"/>
                                <w:color w:val="595959" w:themeColor="text1" w:themeTint="A6"/>
                                <w:sz w:val="18"/>
                                <w:szCs w:val="18"/>
                                <w:lang w:val="es-ES_tradnl"/>
                              </w:rPr>
                              <w:t xml:space="preserve">. </w:t>
                            </w:r>
                            <w:r w:rsidR="0023694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E0480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2C5174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480C" w:rsidRPr="00E0480C">
                        <w:rPr>
                          <w:rFonts w:asciiTheme="majorHAnsi" w:hAnsiTheme="majorHAnsi"/>
                          <w:color w:val="595959" w:themeColor="text1" w:themeTint="A6"/>
                          <w:sz w:val="18"/>
                          <w:szCs w:val="18"/>
                          <w:lang w:val="pt-BR"/>
                        </w:rPr>
                        <w:t>352</w:t>
                      </w:r>
                      <w:r w:rsidR="007B05C4" w:rsidRPr="00E0480C">
                        <w:rPr>
                          <w:rFonts w:asciiTheme="majorHAnsi" w:hAnsiTheme="majorHAnsi"/>
                          <w:color w:val="595959" w:themeColor="text1" w:themeTint="A6"/>
                          <w:sz w:val="18"/>
                          <w:szCs w:val="18"/>
                          <w:lang w:val="pt-BR"/>
                        </w:rPr>
                        <w:t>/</w:t>
                      </w:r>
                      <w:r w:rsidR="00E0480C" w:rsidRPr="00E0480C">
                        <w:rPr>
                          <w:rFonts w:asciiTheme="majorHAnsi" w:hAnsiTheme="majorHAnsi"/>
                          <w:color w:val="595959" w:themeColor="text1" w:themeTint="A6"/>
                          <w:sz w:val="18"/>
                          <w:szCs w:val="18"/>
                          <w:lang w:val="pt-BR"/>
                        </w:rPr>
                        <w:t>22</w:t>
                      </w:r>
                      <w:r w:rsidRPr="00E0480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36946">
                        <w:rPr>
                          <w:rFonts w:asciiTheme="majorHAnsi" w:hAnsiTheme="majorHAnsi"/>
                          <w:color w:val="595959" w:themeColor="text1" w:themeTint="A6"/>
                          <w:sz w:val="18"/>
                          <w:szCs w:val="18"/>
                          <w:lang w:val="es-ES"/>
                        </w:rPr>
                        <w:t>1523</w:t>
                      </w:r>
                      <w:r w:rsidR="000433C9">
                        <w:rPr>
                          <w:rFonts w:asciiTheme="majorHAnsi" w:hAnsiTheme="majorHAnsi"/>
                          <w:color w:val="595959" w:themeColor="text1" w:themeTint="A6"/>
                          <w:sz w:val="18"/>
                          <w:szCs w:val="18"/>
                          <w:lang w:val="es-ES"/>
                        </w:rPr>
                        <w:t>-</w:t>
                      </w:r>
                      <w:r w:rsidR="00236946">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w:t>
                      </w:r>
                      <w:r w:rsidR="00014190">
                        <w:rPr>
                          <w:rFonts w:asciiTheme="majorHAnsi" w:hAnsiTheme="majorHAnsi"/>
                          <w:color w:val="595959" w:themeColor="text1" w:themeTint="A6"/>
                          <w:sz w:val="18"/>
                          <w:szCs w:val="18"/>
                          <w:lang w:val="es-ES_tradnl"/>
                        </w:rPr>
                        <w:t>d</w:t>
                      </w:r>
                      <w:r w:rsidRPr="00890650">
                        <w:rPr>
                          <w:rFonts w:asciiTheme="majorHAnsi" w:hAnsiTheme="majorHAnsi"/>
                          <w:color w:val="595959" w:themeColor="text1" w:themeTint="A6"/>
                          <w:sz w:val="18"/>
                          <w:szCs w:val="18"/>
                          <w:lang w:val="es-ES_tradnl"/>
                        </w:rPr>
                        <w:t xml:space="preserve">. </w:t>
                      </w:r>
                      <w:r w:rsidR="00236946">
                        <w:rPr>
                          <w:rFonts w:asciiTheme="majorHAnsi" w:hAnsiTheme="majorHAnsi"/>
                          <w:color w:val="595959" w:themeColor="text1" w:themeTint="A6"/>
                          <w:sz w:val="18"/>
                          <w:szCs w:val="18"/>
                          <w:lang w:val="es-ES_tradnl"/>
                        </w:rPr>
                        <w:t>José Patricio Tolentino Rojas y otros</w:t>
                      </w:r>
                      <w:r w:rsidRPr="00890650">
                        <w:rPr>
                          <w:rFonts w:asciiTheme="majorHAnsi" w:hAnsiTheme="majorHAnsi"/>
                          <w:color w:val="595959" w:themeColor="text1" w:themeTint="A6"/>
                          <w:sz w:val="18"/>
                          <w:szCs w:val="18"/>
                          <w:lang w:val="es-ES_tradnl"/>
                        </w:rPr>
                        <w:t xml:space="preserve">. </w:t>
                      </w:r>
                      <w:r w:rsidR="00236946">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E0480C">
                        <w:rPr>
                          <w:rFonts w:asciiTheme="majorHAnsi" w:hAnsiTheme="majorHAnsi"/>
                          <w:color w:val="595959" w:themeColor="text1" w:themeTint="A6"/>
                          <w:sz w:val="18"/>
                          <w:szCs w:val="18"/>
                          <w:lang w:val="es-ES"/>
                        </w:rPr>
                        <w:t>26 de septiembre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C41275" w:rsidRDefault="003239B8" w:rsidP="004A6A54">
      <w:pPr>
        <w:spacing w:after="240"/>
        <w:ind w:firstLine="720"/>
        <w:jc w:val="both"/>
        <w:rPr>
          <w:rFonts w:asciiTheme="majorHAnsi" w:hAnsiTheme="majorHAnsi"/>
          <w:b/>
          <w:bCs/>
          <w:sz w:val="20"/>
          <w:szCs w:val="20"/>
          <w:lang w:val="es-ES_tradnl"/>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C41275">
        <w:rPr>
          <w:rFonts w:asciiTheme="majorHAnsi" w:hAnsiTheme="majorHAnsi"/>
          <w:b/>
          <w:bCs/>
          <w:sz w:val="20"/>
          <w:szCs w:val="20"/>
          <w:lang w:val="es-ES_tradnl"/>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66DC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Parte peticionaria:</w:t>
            </w:r>
          </w:p>
        </w:tc>
        <w:tc>
          <w:tcPr>
            <w:tcW w:w="5647" w:type="dxa"/>
            <w:vAlign w:val="center"/>
          </w:tcPr>
          <w:p w14:paraId="07DAAE2E" w14:textId="6615D4B2" w:rsidR="003239B8" w:rsidRPr="00C41275" w:rsidRDefault="008E76A7"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Asociación Reflexión de Inocentes Liberados, Carolina Silva Portero y Lisa Laplante</w:t>
            </w:r>
          </w:p>
        </w:tc>
      </w:tr>
      <w:tr w:rsidR="003239B8" w:rsidRPr="00166DC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41275" w:rsidRDefault="00753B58"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41275">
                  <w:rPr>
                    <w:rFonts w:asciiTheme="majorHAnsi" w:hAnsiTheme="majorHAnsi"/>
                    <w:b/>
                    <w:bCs/>
                    <w:color w:val="FFFFFF" w:themeColor="background1"/>
                    <w:sz w:val="20"/>
                    <w:szCs w:val="20"/>
                    <w:lang w:val="es-ES_tradnl"/>
                  </w:rPr>
                  <w:t>Presunta víctima</w:t>
                </w:r>
              </w:sdtContent>
            </w:sdt>
            <w:r w:rsidR="003239B8" w:rsidRPr="00C41275">
              <w:rPr>
                <w:rFonts w:asciiTheme="majorHAnsi" w:hAnsiTheme="majorHAnsi"/>
                <w:b/>
                <w:bCs/>
                <w:color w:val="FFFFFF" w:themeColor="background1"/>
                <w:sz w:val="20"/>
                <w:szCs w:val="20"/>
                <w:lang w:val="es-ES_tradnl"/>
              </w:rPr>
              <w:t>:</w:t>
            </w:r>
          </w:p>
        </w:tc>
        <w:tc>
          <w:tcPr>
            <w:tcW w:w="5647" w:type="dxa"/>
            <w:vAlign w:val="center"/>
          </w:tcPr>
          <w:p w14:paraId="143D44A8" w14:textId="28AD60EF" w:rsidR="003239B8" w:rsidRPr="00C41275" w:rsidRDefault="008E76A7"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José Patricio Tolentino Rojas y otros</w:t>
            </w:r>
            <w:r w:rsidR="00456943" w:rsidRPr="00C41275">
              <w:rPr>
                <w:rStyle w:val="FootnoteReference"/>
                <w:rFonts w:asciiTheme="majorHAnsi" w:hAnsiTheme="majorHAnsi"/>
                <w:bCs/>
                <w:sz w:val="20"/>
                <w:szCs w:val="20"/>
                <w:lang w:val="es-ES_tradnl"/>
              </w:rPr>
              <w:footnoteReference w:id="2"/>
            </w:r>
          </w:p>
        </w:tc>
      </w:tr>
      <w:tr w:rsidR="003239B8" w:rsidRPr="00C4127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Estado denunciado:</w:t>
            </w:r>
          </w:p>
        </w:tc>
        <w:tc>
          <w:tcPr>
            <w:tcW w:w="5647" w:type="dxa"/>
            <w:vAlign w:val="center"/>
          </w:tcPr>
          <w:p w14:paraId="5D0EC05D" w14:textId="70FA9D8A" w:rsidR="003239B8" w:rsidRPr="00C41275" w:rsidRDefault="00B41FB9"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Perú</w:t>
            </w:r>
            <w:r w:rsidRPr="00C41275">
              <w:rPr>
                <w:rStyle w:val="FootnoteReference"/>
                <w:rFonts w:asciiTheme="majorHAnsi" w:hAnsiTheme="majorHAnsi"/>
                <w:bCs/>
                <w:sz w:val="20"/>
                <w:szCs w:val="20"/>
                <w:lang w:val="es-ES_tradnl"/>
              </w:rPr>
              <w:footnoteReference w:id="3"/>
            </w:r>
          </w:p>
        </w:tc>
      </w:tr>
      <w:tr w:rsidR="00223A29" w:rsidRPr="00166DC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41275" w:rsidRDefault="001B3A00" w:rsidP="00E4118C">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 xml:space="preserve">Derechos </w:t>
            </w:r>
            <w:r w:rsidR="00E4118C" w:rsidRPr="00C41275">
              <w:rPr>
                <w:rFonts w:asciiTheme="majorHAnsi" w:hAnsiTheme="majorHAnsi"/>
                <w:b/>
                <w:bCs/>
                <w:color w:val="FFFFFF" w:themeColor="background1"/>
                <w:sz w:val="20"/>
                <w:szCs w:val="20"/>
                <w:lang w:val="es-ES_tradnl"/>
              </w:rPr>
              <w:t>invocados</w:t>
            </w:r>
            <w:r w:rsidRPr="00C41275">
              <w:rPr>
                <w:rFonts w:asciiTheme="majorHAnsi" w:hAnsiTheme="majorHAnsi"/>
                <w:b/>
                <w:bCs/>
                <w:color w:val="FFFFFF" w:themeColor="background1"/>
                <w:sz w:val="20"/>
                <w:szCs w:val="20"/>
                <w:lang w:val="es-ES_tradnl"/>
              </w:rPr>
              <w:t>:</w:t>
            </w:r>
          </w:p>
        </w:tc>
        <w:tc>
          <w:tcPr>
            <w:tcW w:w="5647" w:type="dxa"/>
            <w:vAlign w:val="center"/>
          </w:tcPr>
          <w:p w14:paraId="52B28392" w14:textId="4C00F1ED" w:rsidR="00223A29" w:rsidRPr="00C41275" w:rsidRDefault="008E76A7"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Artículo 5 (integridad personal),</w:t>
            </w:r>
            <w:r w:rsidR="00E74F3A" w:rsidRPr="00C41275">
              <w:rPr>
                <w:rFonts w:asciiTheme="majorHAnsi" w:hAnsiTheme="majorHAnsi"/>
                <w:bCs/>
                <w:sz w:val="20"/>
                <w:szCs w:val="20"/>
                <w:lang w:val="es-ES_tradnl"/>
              </w:rPr>
              <w:t xml:space="preserve"> 7 (libertad personal),</w:t>
            </w:r>
            <w:r w:rsidRPr="00C41275">
              <w:rPr>
                <w:rFonts w:asciiTheme="majorHAnsi" w:hAnsiTheme="majorHAnsi"/>
                <w:bCs/>
                <w:sz w:val="20"/>
                <w:szCs w:val="20"/>
                <w:lang w:val="es-ES_tradnl"/>
              </w:rPr>
              <w:t xml:space="preserve"> 8 (garantías judiciales), 10 (derecho a indemnización) y 25 (protección judicial) </w:t>
            </w:r>
            <w:r w:rsidR="00B41FB9" w:rsidRPr="00C41275">
              <w:rPr>
                <w:rFonts w:asciiTheme="majorHAnsi" w:hAnsiTheme="majorHAnsi"/>
                <w:bCs/>
                <w:sz w:val="20"/>
                <w:szCs w:val="20"/>
                <w:lang w:val="es-ES_tradnl"/>
              </w:rPr>
              <w:t>de la Convención Americana sobre Derechos Humanos</w:t>
            </w:r>
            <w:r w:rsidR="00B41FB9" w:rsidRPr="00C41275">
              <w:rPr>
                <w:rStyle w:val="FootnoteReference"/>
                <w:rFonts w:asciiTheme="majorHAnsi" w:hAnsiTheme="majorHAnsi"/>
                <w:bCs/>
                <w:sz w:val="20"/>
                <w:szCs w:val="20"/>
                <w:lang w:val="es-ES_tradnl"/>
              </w:rPr>
              <w:footnoteReference w:id="4"/>
            </w:r>
          </w:p>
        </w:tc>
      </w:tr>
    </w:tbl>
    <w:p w14:paraId="176FB213" w14:textId="77777777" w:rsidR="003239B8" w:rsidRPr="00C41275" w:rsidRDefault="003239B8" w:rsidP="003239B8">
      <w:pPr>
        <w:spacing w:before="240" w:after="240"/>
        <w:ind w:firstLine="720"/>
        <w:jc w:val="both"/>
        <w:rPr>
          <w:rFonts w:asciiTheme="majorHAnsi" w:hAnsiTheme="majorHAnsi"/>
          <w:b/>
          <w:bCs/>
          <w:sz w:val="20"/>
          <w:szCs w:val="20"/>
          <w:lang w:val="es-ES_tradnl"/>
        </w:rPr>
      </w:pPr>
      <w:r w:rsidRPr="00C41275">
        <w:rPr>
          <w:rFonts w:asciiTheme="majorHAnsi" w:hAnsiTheme="majorHAnsi"/>
          <w:b/>
          <w:bCs/>
          <w:sz w:val="20"/>
          <w:szCs w:val="20"/>
          <w:lang w:val="es-ES_tradnl"/>
        </w:rPr>
        <w:t>II.</w:t>
      </w:r>
      <w:r w:rsidRPr="00C41275">
        <w:rPr>
          <w:rFonts w:asciiTheme="majorHAnsi" w:hAnsiTheme="majorHAnsi"/>
          <w:b/>
          <w:bCs/>
          <w:sz w:val="20"/>
          <w:szCs w:val="20"/>
          <w:lang w:val="es-ES_tradnl"/>
        </w:rPr>
        <w:tab/>
        <w:t>TRÁMITE ANTE LA CIDH</w:t>
      </w:r>
      <w:r w:rsidR="008E3BFE" w:rsidRPr="00C41275">
        <w:rPr>
          <w:rStyle w:val="FootnoteReference"/>
          <w:rFonts w:asciiTheme="majorHAnsi" w:hAnsiTheme="majorHAnsi"/>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4127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41275" w:rsidRDefault="004A6A54" w:rsidP="004A6A54">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P</w:t>
            </w:r>
            <w:r w:rsidR="004C2312" w:rsidRPr="00C41275">
              <w:rPr>
                <w:rFonts w:asciiTheme="majorHAnsi" w:hAnsiTheme="majorHAnsi"/>
                <w:b/>
                <w:bCs/>
                <w:color w:val="FFFFFF" w:themeColor="background1"/>
                <w:sz w:val="20"/>
                <w:szCs w:val="20"/>
                <w:lang w:val="es-ES_tradnl"/>
              </w:rPr>
              <w:t>resentación de la petición:</w:t>
            </w:r>
          </w:p>
        </w:tc>
        <w:tc>
          <w:tcPr>
            <w:tcW w:w="5647" w:type="dxa"/>
            <w:vAlign w:val="center"/>
          </w:tcPr>
          <w:p w14:paraId="6883A5F8" w14:textId="69A9902F" w:rsidR="004C2312" w:rsidRPr="00C41275" w:rsidRDefault="00236946" w:rsidP="002625EA">
            <w:pPr>
              <w:jc w:val="both"/>
              <w:rPr>
                <w:rFonts w:asciiTheme="majorHAnsi" w:hAnsiTheme="majorHAnsi"/>
                <w:bCs/>
                <w:sz w:val="20"/>
                <w:szCs w:val="20"/>
                <w:lang w:val="es-ES_tradnl"/>
              </w:rPr>
            </w:pPr>
            <w:r w:rsidRPr="00C41275">
              <w:rPr>
                <w:rFonts w:asciiTheme="majorHAnsi" w:hAnsiTheme="majorHAnsi"/>
                <w:bCs/>
                <w:sz w:val="20"/>
                <w:szCs w:val="20"/>
                <w:lang w:val="es-ES_tradnl"/>
              </w:rPr>
              <w:t>1 de marzo de 2011</w:t>
            </w:r>
          </w:p>
        </w:tc>
      </w:tr>
      <w:tr w:rsidR="00131425" w:rsidRPr="00C4127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41275" w:rsidRDefault="00131425" w:rsidP="004A6A54">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Información adicional recibida durante la etapa de estudio:</w:t>
            </w:r>
          </w:p>
        </w:tc>
        <w:tc>
          <w:tcPr>
            <w:tcW w:w="5647" w:type="dxa"/>
            <w:vAlign w:val="center"/>
          </w:tcPr>
          <w:p w14:paraId="65CBC29E" w14:textId="37F2AF04" w:rsidR="00131425" w:rsidRPr="00C41275" w:rsidRDefault="00236946" w:rsidP="002625EA">
            <w:pPr>
              <w:jc w:val="both"/>
              <w:rPr>
                <w:rFonts w:asciiTheme="majorHAnsi" w:hAnsiTheme="majorHAnsi"/>
                <w:bCs/>
                <w:sz w:val="20"/>
                <w:szCs w:val="20"/>
                <w:lang w:val="es-ES_tradnl"/>
              </w:rPr>
            </w:pPr>
            <w:r w:rsidRPr="00C41275">
              <w:rPr>
                <w:rFonts w:asciiTheme="majorHAnsi" w:hAnsiTheme="majorHAnsi"/>
                <w:bCs/>
                <w:sz w:val="20"/>
                <w:szCs w:val="20"/>
                <w:lang w:val="es-ES_tradnl"/>
              </w:rPr>
              <w:t>30 de agosto de 2012</w:t>
            </w:r>
          </w:p>
        </w:tc>
      </w:tr>
      <w:tr w:rsidR="004C2312" w:rsidRPr="00C4127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41275" w:rsidRDefault="004A6A54" w:rsidP="004A6A54">
            <w:pPr>
              <w:jc w:val="center"/>
              <w:rPr>
                <w:rFonts w:asciiTheme="majorHAnsi" w:hAnsiTheme="majorHAnsi"/>
                <w:b/>
                <w:bCs/>
                <w:color w:val="FFFFFF" w:themeColor="background1"/>
                <w:sz w:val="20"/>
                <w:szCs w:val="20"/>
                <w:lang w:val="es-ES_tradnl"/>
              </w:rPr>
            </w:pPr>
            <w:r w:rsidRPr="00C41275">
              <w:rPr>
                <w:rFonts w:asciiTheme="majorHAnsi" w:hAnsiTheme="majorHAnsi"/>
                <w:b/>
                <w:color w:val="FFFFFF" w:themeColor="background1"/>
                <w:sz w:val="20"/>
                <w:szCs w:val="20"/>
                <w:lang w:val="es-ES_tradnl"/>
              </w:rPr>
              <w:t>N</w:t>
            </w:r>
            <w:r w:rsidR="004C2312" w:rsidRPr="00C41275">
              <w:rPr>
                <w:rFonts w:asciiTheme="majorHAnsi" w:hAnsiTheme="majorHAnsi"/>
                <w:b/>
                <w:color w:val="FFFFFF" w:themeColor="background1"/>
                <w:sz w:val="20"/>
                <w:szCs w:val="20"/>
                <w:lang w:val="es-ES_tradnl"/>
              </w:rPr>
              <w:t>otificación de la petición al Estado:</w:t>
            </w:r>
          </w:p>
        </w:tc>
        <w:tc>
          <w:tcPr>
            <w:tcW w:w="5647" w:type="dxa"/>
            <w:vAlign w:val="center"/>
          </w:tcPr>
          <w:p w14:paraId="58485921" w14:textId="39183329" w:rsidR="004C2312" w:rsidRPr="00C41275" w:rsidRDefault="00B03E75"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28 de diciembre de 2017</w:t>
            </w:r>
          </w:p>
        </w:tc>
      </w:tr>
      <w:tr w:rsidR="004C2312" w:rsidRPr="00C4127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41275" w:rsidRDefault="004A6A54" w:rsidP="004A6A54">
            <w:pPr>
              <w:jc w:val="center"/>
              <w:rPr>
                <w:rFonts w:asciiTheme="majorHAnsi" w:hAnsiTheme="majorHAnsi"/>
                <w:b/>
                <w:bCs/>
                <w:color w:val="FFFFFF" w:themeColor="background1"/>
                <w:sz w:val="20"/>
                <w:szCs w:val="20"/>
                <w:lang w:val="es-ES_tradnl"/>
              </w:rPr>
            </w:pPr>
            <w:r w:rsidRPr="00C41275">
              <w:rPr>
                <w:rFonts w:asciiTheme="majorHAnsi" w:hAnsiTheme="majorHAnsi"/>
                <w:b/>
                <w:color w:val="FFFFFF" w:themeColor="background1"/>
                <w:sz w:val="20"/>
                <w:szCs w:val="20"/>
                <w:lang w:val="es-ES_tradnl"/>
              </w:rPr>
              <w:t>P</w:t>
            </w:r>
            <w:r w:rsidR="004C2312" w:rsidRPr="00C41275">
              <w:rPr>
                <w:rFonts w:asciiTheme="majorHAnsi" w:hAnsiTheme="majorHAnsi"/>
                <w:b/>
                <w:color w:val="FFFFFF" w:themeColor="background1"/>
                <w:sz w:val="20"/>
                <w:szCs w:val="20"/>
                <w:lang w:val="es-ES_tradnl"/>
              </w:rPr>
              <w:t>rimera respuesta del Estado:</w:t>
            </w:r>
          </w:p>
        </w:tc>
        <w:tc>
          <w:tcPr>
            <w:tcW w:w="5647" w:type="dxa"/>
            <w:vAlign w:val="center"/>
          </w:tcPr>
          <w:p w14:paraId="6B47064C" w14:textId="7390C233" w:rsidR="004C2312" w:rsidRPr="00C41275" w:rsidRDefault="00B03E75"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29 de marzo de 2018</w:t>
            </w:r>
          </w:p>
        </w:tc>
      </w:tr>
      <w:tr w:rsidR="004C2312" w:rsidRPr="00166DC6"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41275" w:rsidRDefault="008E3BFE" w:rsidP="008E3BFE">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Observaciones adicionales de la parte peticionaria:</w:t>
            </w:r>
          </w:p>
        </w:tc>
        <w:tc>
          <w:tcPr>
            <w:tcW w:w="5647" w:type="dxa"/>
            <w:vAlign w:val="center"/>
          </w:tcPr>
          <w:p w14:paraId="66A99206" w14:textId="7C379E65" w:rsidR="004C2312" w:rsidRPr="00C41275" w:rsidRDefault="00B03E75"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22 de noviembre de 2019</w:t>
            </w:r>
            <w:r w:rsidR="00D82E1D" w:rsidRPr="00C41275">
              <w:rPr>
                <w:rFonts w:asciiTheme="majorHAnsi" w:hAnsiTheme="majorHAnsi"/>
                <w:bCs/>
                <w:sz w:val="20"/>
                <w:szCs w:val="20"/>
                <w:lang w:val="es-ES_tradnl"/>
              </w:rPr>
              <w:t xml:space="preserve">, </w:t>
            </w:r>
            <w:r w:rsidRPr="00C41275">
              <w:rPr>
                <w:rFonts w:asciiTheme="majorHAnsi" w:hAnsiTheme="majorHAnsi"/>
                <w:bCs/>
                <w:sz w:val="20"/>
                <w:szCs w:val="20"/>
                <w:lang w:val="es-ES_tradnl"/>
              </w:rPr>
              <w:t>2 de abril de 2020</w:t>
            </w:r>
            <w:r w:rsidR="00D82E1D" w:rsidRPr="00C41275">
              <w:rPr>
                <w:rFonts w:asciiTheme="majorHAnsi" w:hAnsiTheme="majorHAnsi"/>
                <w:bCs/>
                <w:sz w:val="20"/>
                <w:szCs w:val="20"/>
                <w:lang w:val="es-ES_tradnl"/>
              </w:rPr>
              <w:t xml:space="preserve"> y 28 de junio de 2021</w:t>
            </w:r>
          </w:p>
        </w:tc>
      </w:tr>
      <w:tr w:rsidR="004C2312" w:rsidRPr="00166DC6"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41275" w:rsidRDefault="004C2312" w:rsidP="008E3BFE">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Observaciones adicionales del Estado:</w:t>
            </w:r>
          </w:p>
        </w:tc>
        <w:tc>
          <w:tcPr>
            <w:tcW w:w="5647" w:type="dxa"/>
            <w:vAlign w:val="center"/>
          </w:tcPr>
          <w:p w14:paraId="15747C57" w14:textId="79169DA3" w:rsidR="004C2312" w:rsidRPr="00C41275" w:rsidRDefault="00B41FB9"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15 de octubre de 2020</w:t>
            </w:r>
            <w:r w:rsidR="00D82E1D" w:rsidRPr="00C41275">
              <w:rPr>
                <w:rFonts w:asciiTheme="majorHAnsi" w:hAnsiTheme="majorHAnsi"/>
                <w:bCs/>
                <w:sz w:val="20"/>
                <w:szCs w:val="20"/>
                <w:lang w:val="es-ES_tradnl"/>
              </w:rPr>
              <w:t xml:space="preserve"> y 23 de febrero de 2022</w:t>
            </w:r>
          </w:p>
        </w:tc>
      </w:tr>
    </w:tbl>
    <w:p w14:paraId="0FC6E9E8" w14:textId="77777777" w:rsidR="003239B8" w:rsidRPr="00C41275" w:rsidRDefault="003239B8" w:rsidP="003239B8">
      <w:pPr>
        <w:spacing w:before="240" w:after="240"/>
        <w:ind w:firstLine="720"/>
        <w:jc w:val="both"/>
        <w:rPr>
          <w:rFonts w:asciiTheme="majorHAnsi" w:hAnsiTheme="majorHAnsi"/>
          <w:b/>
          <w:bCs/>
          <w:sz w:val="20"/>
          <w:szCs w:val="20"/>
          <w:lang w:val="es-ES_tradnl"/>
        </w:rPr>
      </w:pPr>
      <w:r w:rsidRPr="00C41275">
        <w:rPr>
          <w:rFonts w:asciiTheme="majorHAnsi" w:hAnsiTheme="majorHAnsi"/>
          <w:b/>
          <w:bCs/>
          <w:sz w:val="20"/>
          <w:szCs w:val="20"/>
          <w:lang w:val="es-ES_tradnl"/>
        </w:rPr>
        <w:t xml:space="preserve">III. </w:t>
      </w:r>
      <w:r w:rsidRPr="00C41275">
        <w:rPr>
          <w:rFonts w:asciiTheme="majorHAnsi" w:hAnsiTheme="majorHAnsi"/>
          <w:b/>
          <w:bCs/>
          <w:sz w:val="20"/>
          <w:szCs w:val="20"/>
          <w:lang w:val="es-ES_tradnl"/>
        </w:rPr>
        <w:tab/>
        <w:t>COMPETENCIA</w:t>
      </w:r>
      <w:r w:rsidR="00EE00E9" w:rsidRPr="00C4127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4127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41275" w:rsidRDefault="003239B8" w:rsidP="008D2290">
            <w:pPr>
              <w:jc w:val="center"/>
              <w:rPr>
                <w:rFonts w:asciiTheme="majorHAnsi" w:hAnsiTheme="majorHAnsi"/>
                <w:b/>
                <w:bCs/>
                <w:i/>
                <w:color w:val="FFFFFF" w:themeColor="background1"/>
                <w:sz w:val="20"/>
                <w:szCs w:val="20"/>
                <w:lang w:val="es-ES_tradnl"/>
              </w:rPr>
            </w:pPr>
            <w:r w:rsidRPr="00C41275">
              <w:rPr>
                <w:rFonts w:asciiTheme="majorHAnsi" w:hAnsiTheme="majorHAnsi"/>
                <w:b/>
                <w:bCs/>
                <w:color w:val="FFFFFF" w:themeColor="background1"/>
                <w:sz w:val="20"/>
                <w:szCs w:val="20"/>
                <w:lang w:val="es-ES_tradnl"/>
              </w:rPr>
              <w:t>Competencia</w:t>
            </w:r>
            <w:r w:rsidRPr="00C41275">
              <w:rPr>
                <w:rFonts w:asciiTheme="majorHAnsi" w:hAnsiTheme="majorHAnsi"/>
                <w:b/>
                <w:bCs/>
                <w:i/>
                <w:color w:val="FFFFFF" w:themeColor="background1"/>
                <w:sz w:val="20"/>
                <w:szCs w:val="20"/>
                <w:lang w:val="es-ES_tradnl"/>
              </w:rPr>
              <w:t xml:space="preserve"> Ratione personae:</w:t>
            </w:r>
          </w:p>
        </w:tc>
        <w:tc>
          <w:tcPr>
            <w:tcW w:w="5760" w:type="dxa"/>
            <w:vAlign w:val="center"/>
          </w:tcPr>
          <w:p w14:paraId="1E494D5D" w14:textId="70992B3D" w:rsidR="003239B8" w:rsidRPr="00C41275" w:rsidRDefault="00B41FB9" w:rsidP="008D2290">
            <w:pPr>
              <w:rPr>
                <w:rFonts w:asciiTheme="majorHAnsi" w:hAnsiTheme="majorHAnsi"/>
                <w:bCs/>
                <w:sz w:val="20"/>
                <w:szCs w:val="20"/>
                <w:lang w:val="es-ES_tradnl"/>
              </w:rPr>
            </w:pPr>
            <w:r w:rsidRPr="00C41275">
              <w:rPr>
                <w:rFonts w:asciiTheme="majorHAnsi" w:hAnsiTheme="majorHAnsi"/>
                <w:bCs/>
                <w:sz w:val="20"/>
                <w:szCs w:val="20"/>
                <w:lang w:val="es-ES_tradnl"/>
              </w:rPr>
              <w:t>Sí</w:t>
            </w:r>
          </w:p>
        </w:tc>
      </w:tr>
      <w:tr w:rsidR="003239B8" w:rsidRPr="00C4127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Competencia</w:t>
            </w:r>
            <w:r w:rsidRPr="00C41275">
              <w:rPr>
                <w:rFonts w:asciiTheme="majorHAnsi" w:hAnsiTheme="majorHAnsi"/>
                <w:b/>
                <w:bCs/>
                <w:i/>
                <w:color w:val="FFFFFF" w:themeColor="background1"/>
                <w:sz w:val="20"/>
                <w:szCs w:val="20"/>
                <w:lang w:val="es-ES_tradnl"/>
              </w:rPr>
              <w:t xml:space="preserve"> Ratione loci</w:t>
            </w:r>
            <w:r w:rsidRPr="00C41275">
              <w:rPr>
                <w:rFonts w:asciiTheme="majorHAnsi" w:hAnsiTheme="majorHAnsi"/>
                <w:b/>
                <w:bCs/>
                <w:color w:val="FFFFFF" w:themeColor="background1"/>
                <w:sz w:val="20"/>
                <w:szCs w:val="20"/>
                <w:lang w:val="es-ES_tradnl"/>
              </w:rPr>
              <w:t>:</w:t>
            </w:r>
          </w:p>
        </w:tc>
        <w:tc>
          <w:tcPr>
            <w:tcW w:w="5760" w:type="dxa"/>
            <w:vAlign w:val="center"/>
          </w:tcPr>
          <w:p w14:paraId="77C8256A" w14:textId="2D640178" w:rsidR="003239B8" w:rsidRPr="00C41275" w:rsidRDefault="00B41FB9" w:rsidP="008D2290">
            <w:pPr>
              <w:rPr>
                <w:rFonts w:asciiTheme="majorHAnsi" w:hAnsiTheme="majorHAnsi"/>
                <w:bCs/>
                <w:sz w:val="20"/>
                <w:szCs w:val="20"/>
                <w:lang w:val="es-ES_tradnl"/>
              </w:rPr>
            </w:pPr>
            <w:r w:rsidRPr="00C41275">
              <w:rPr>
                <w:rFonts w:asciiTheme="majorHAnsi" w:hAnsiTheme="majorHAnsi"/>
                <w:bCs/>
                <w:sz w:val="20"/>
                <w:szCs w:val="20"/>
                <w:lang w:val="es-ES_tradnl"/>
              </w:rPr>
              <w:t>Sí</w:t>
            </w:r>
          </w:p>
        </w:tc>
      </w:tr>
      <w:tr w:rsidR="003239B8" w:rsidRPr="00C4127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Competencia</w:t>
            </w:r>
            <w:r w:rsidRPr="00C41275">
              <w:rPr>
                <w:rFonts w:asciiTheme="majorHAnsi" w:hAnsiTheme="majorHAnsi"/>
                <w:b/>
                <w:bCs/>
                <w:i/>
                <w:color w:val="FFFFFF" w:themeColor="background1"/>
                <w:sz w:val="20"/>
                <w:szCs w:val="20"/>
                <w:lang w:val="es-ES_tradnl"/>
              </w:rPr>
              <w:t xml:space="preserve"> Ratione temporis</w:t>
            </w:r>
            <w:r w:rsidRPr="00C41275">
              <w:rPr>
                <w:rFonts w:asciiTheme="majorHAnsi" w:hAnsiTheme="majorHAnsi"/>
                <w:b/>
                <w:bCs/>
                <w:color w:val="FFFFFF" w:themeColor="background1"/>
                <w:sz w:val="20"/>
                <w:szCs w:val="20"/>
                <w:lang w:val="es-ES_tradnl"/>
              </w:rPr>
              <w:t>:</w:t>
            </w:r>
          </w:p>
        </w:tc>
        <w:tc>
          <w:tcPr>
            <w:tcW w:w="5760" w:type="dxa"/>
            <w:vAlign w:val="center"/>
          </w:tcPr>
          <w:p w14:paraId="523F6BD6" w14:textId="78173548" w:rsidR="003239B8" w:rsidRPr="00C41275" w:rsidRDefault="00B41FB9" w:rsidP="008D2290">
            <w:pPr>
              <w:rPr>
                <w:rFonts w:asciiTheme="majorHAnsi" w:hAnsiTheme="majorHAnsi"/>
                <w:bCs/>
                <w:sz w:val="20"/>
                <w:szCs w:val="20"/>
                <w:lang w:val="es-ES_tradnl"/>
              </w:rPr>
            </w:pPr>
            <w:r w:rsidRPr="00C41275">
              <w:rPr>
                <w:rFonts w:asciiTheme="majorHAnsi" w:hAnsiTheme="majorHAnsi"/>
                <w:bCs/>
                <w:sz w:val="20"/>
                <w:szCs w:val="20"/>
                <w:lang w:val="es-ES_tradnl"/>
              </w:rPr>
              <w:t>Sí</w:t>
            </w:r>
          </w:p>
        </w:tc>
      </w:tr>
      <w:tr w:rsidR="003239B8" w:rsidRPr="00166DC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Competencia</w:t>
            </w:r>
            <w:r w:rsidRPr="00C41275">
              <w:rPr>
                <w:rFonts w:asciiTheme="majorHAnsi" w:hAnsiTheme="majorHAnsi"/>
                <w:b/>
                <w:bCs/>
                <w:i/>
                <w:color w:val="FFFFFF" w:themeColor="background1"/>
                <w:sz w:val="20"/>
                <w:szCs w:val="20"/>
                <w:lang w:val="es-ES_tradnl"/>
              </w:rPr>
              <w:t xml:space="preserve"> Ratione materia</w:t>
            </w:r>
            <w:r w:rsidR="00EE00E9" w:rsidRPr="00C41275">
              <w:rPr>
                <w:rFonts w:asciiTheme="majorHAnsi" w:hAnsiTheme="majorHAnsi"/>
                <w:b/>
                <w:bCs/>
                <w:i/>
                <w:color w:val="FFFFFF" w:themeColor="background1"/>
                <w:sz w:val="20"/>
                <w:szCs w:val="20"/>
                <w:lang w:val="es-ES_tradnl"/>
              </w:rPr>
              <w:t>e</w:t>
            </w:r>
            <w:r w:rsidRPr="00C41275">
              <w:rPr>
                <w:rFonts w:asciiTheme="majorHAnsi" w:hAnsiTheme="majorHAnsi"/>
                <w:b/>
                <w:bCs/>
                <w:color w:val="FFFFFF" w:themeColor="background1"/>
                <w:sz w:val="20"/>
                <w:szCs w:val="20"/>
                <w:lang w:val="es-ES_tradnl"/>
              </w:rPr>
              <w:t>:</w:t>
            </w:r>
          </w:p>
        </w:tc>
        <w:tc>
          <w:tcPr>
            <w:tcW w:w="5760" w:type="dxa"/>
            <w:vAlign w:val="center"/>
          </w:tcPr>
          <w:p w14:paraId="257C8337" w14:textId="7DE32DB9" w:rsidR="003239B8" w:rsidRPr="00C41275" w:rsidRDefault="00B41FB9"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Sí, Convención Americana (depósito del instrumento de ratificación realizado el 28 de julio de 1978)</w:t>
            </w:r>
          </w:p>
        </w:tc>
      </w:tr>
    </w:tbl>
    <w:p w14:paraId="299A3868" w14:textId="01288FEA" w:rsidR="003239B8" w:rsidRPr="00C41275" w:rsidRDefault="003239B8" w:rsidP="003239B8">
      <w:pPr>
        <w:spacing w:before="240" w:after="240"/>
        <w:ind w:firstLine="720"/>
        <w:jc w:val="both"/>
        <w:rPr>
          <w:rFonts w:asciiTheme="majorHAnsi" w:hAnsiTheme="majorHAnsi"/>
          <w:b/>
          <w:bCs/>
          <w:sz w:val="20"/>
          <w:szCs w:val="20"/>
          <w:lang w:val="es-ES_tradnl"/>
        </w:rPr>
      </w:pPr>
      <w:r w:rsidRPr="00C41275">
        <w:rPr>
          <w:rFonts w:asciiTheme="majorHAnsi" w:hAnsiTheme="majorHAnsi"/>
          <w:b/>
          <w:bCs/>
          <w:sz w:val="20"/>
          <w:szCs w:val="20"/>
          <w:lang w:val="es-ES_tradnl"/>
        </w:rPr>
        <w:t xml:space="preserve">IV. </w:t>
      </w:r>
      <w:r w:rsidRPr="00C41275">
        <w:rPr>
          <w:rFonts w:asciiTheme="majorHAnsi" w:hAnsiTheme="majorHAnsi"/>
          <w:b/>
          <w:bCs/>
          <w:sz w:val="20"/>
          <w:szCs w:val="20"/>
          <w:lang w:val="es-ES_tradnl"/>
        </w:rPr>
        <w:tab/>
      </w:r>
      <w:r w:rsidR="00EE00E9" w:rsidRPr="00C41275">
        <w:rPr>
          <w:rFonts w:asciiTheme="majorHAnsi" w:hAnsiTheme="majorHAnsi"/>
          <w:b/>
          <w:bCs/>
          <w:sz w:val="20"/>
          <w:szCs w:val="20"/>
          <w:lang w:val="es-ES_tradnl"/>
        </w:rPr>
        <w:t>DUPLICACIÓN</w:t>
      </w:r>
      <w:r w:rsidR="00EE00E9" w:rsidRPr="00C41275">
        <w:rPr>
          <w:rFonts w:asciiTheme="majorHAnsi" w:hAnsiTheme="majorHAnsi"/>
          <w:b/>
          <w:bCs/>
          <w:color w:val="FFFFFF" w:themeColor="background1"/>
          <w:sz w:val="20"/>
          <w:szCs w:val="20"/>
          <w:lang w:val="es-ES_tradnl"/>
        </w:rPr>
        <w:t xml:space="preserve"> </w:t>
      </w:r>
      <w:r w:rsidR="00EE00E9" w:rsidRPr="00C41275">
        <w:rPr>
          <w:rFonts w:asciiTheme="majorHAnsi" w:hAnsiTheme="majorHAnsi"/>
          <w:b/>
          <w:bCs/>
          <w:sz w:val="20"/>
          <w:szCs w:val="20"/>
          <w:lang w:val="es-ES_tradnl"/>
        </w:rPr>
        <w:t>DE PROCEDIMIENTOS Y COSA JUZGADA</w:t>
      </w:r>
      <w:r w:rsidR="00EE00E9" w:rsidRPr="00C41275">
        <w:rPr>
          <w:rFonts w:asciiTheme="majorHAnsi" w:hAnsiTheme="majorHAnsi"/>
          <w:b/>
          <w:bCs/>
          <w:i/>
          <w:sz w:val="20"/>
          <w:szCs w:val="20"/>
          <w:lang w:val="es-ES_tradnl"/>
        </w:rPr>
        <w:t xml:space="preserve"> </w:t>
      </w:r>
      <w:r w:rsidR="00204D1D" w:rsidRPr="00C41275">
        <w:rPr>
          <w:rFonts w:asciiTheme="majorHAnsi" w:hAnsiTheme="majorHAnsi"/>
          <w:b/>
          <w:bCs/>
          <w:sz w:val="20"/>
          <w:szCs w:val="20"/>
          <w:lang w:val="es-ES_tradnl"/>
        </w:rPr>
        <w:t>INTERNACIONAL, CARACTERIZACIÓN</w:t>
      </w:r>
      <w:r w:rsidRPr="00C41275">
        <w:rPr>
          <w:rFonts w:asciiTheme="majorHAnsi" w:hAnsiTheme="majorHAnsi"/>
          <w:b/>
          <w:bCs/>
          <w:sz w:val="20"/>
          <w:szCs w:val="20"/>
          <w:lang w:val="es-ES_tradnl"/>
        </w:rPr>
        <w:t xml:space="preserve">, </w:t>
      </w:r>
      <w:r w:rsidRPr="00C4127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C4127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C41275" w:rsidRDefault="00EE00E9"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764D7F60" w14:textId="6E804D89" w:rsidR="00EE00E9" w:rsidRPr="00C41275" w:rsidRDefault="00014190" w:rsidP="008D2290">
            <w:pPr>
              <w:jc w:val="both"/>
              <w:rPr>
                <w:rFonts w:asciiTheme="majorHAnsi" w:hAnsiTheme="majorHAnsi"/>
                <w:bCs/>
                <w:sz w:val="20"/>
                <w:szCs w:val="20"/>
                <w:lang w:val="es-ES_tradnl"/>
              </w:rPr>
            </w:pPr>
            <w:r w:rsidRPr="00C41275">
              <w:rPr>
                <w:rFonts w:asciiTheme="majorHAnsi" w:hAnsiTheme="majorHAnsi"/>
                <w:bCs/>
                <w:sz w:val="20"/>
                <w:szCs w:val="20"/>
                <w:lang w:val="es-ES_tradnl"/>
              </w:rPr>
              <w:t>No</w:t>
            </w:r>
          </w:p>
        </w:tc>
      </w:tr>
      <w:tr w:rsidR="003239B8" w:rsidRPr="00166DC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C41275" w:rsidRDefault="003239B8" w:rsidP="008D2290">
            <w:pPr>
              <w:jc w:val="center"/>
              <w:rPr>
                <w:rFonts w:asciiTheme="majorHAnsi" w:hAnsiTheme="majorHAnsi"/>
                <w:b/>
                <w:bCs/>
                <w:i/>
                <w:color w:val="FFFFFF" w:themeColor="background1"/>
                <w:sz w:val="20"/>
                <w:szCs w:val="20"/>
                <w:lang w:val="es-ES_tradnl"/>
              </w:rPr>
            </w:pPr>
            <w:r w:rsidRPr="00C41275">
              <w:rPr>
                <w:rFonts w:asciiTheme="majorHAnsi" w:hAnsiTheme="majorHAnsi"/>
                <w:b/>
                <w:bCs/>
                <w:color w:val="FFFFFF" w:themeColor="background1"/>
                <w:sz w:val="20"/>
                <w:szCs w:val="20"/>
                <w:lang w:val="es-ES_tradnl"/>
              </w:rPr>
              <w:t>Derechos declarados admisibles</w:t>
            </w:r>
            <w:r w:rsidRPr="00C41275">
              <w:rPr>
                <w:rFonts w:asciiTheme="majorHAnsi" w:hAnsiTheme="majorHAnsi"/>
                <w:b/>
                <w:bCs/>
                <w:i/>
                <w:color w:val="FFFFFF" w:themeColor="background1"/>
                <w:sz w:val="20"/>
                <w:szCs w:val="20"/>
                <w:lang w:val="es-ES_tradnl"/>
              </w:rPr>
              <w:t>:</w:t>
            </w:r>
          </w:p>
        </w:tc>
        <w:tc>
          <w:tcPr>
            <w:tcW w:w="5760" w:type="dxa"/>
            <w:vAlign w:val="center"/>
          </w:tcPr>
          <w:p w14:paraId="4DAE9D4D" w14:textId="3F533816" w:rsidR="003239B8" w:rsidRPr="00C41275" w:rsidRDefault="00204D1D" w:rsidP="008D2290">
            <w:pPr>
              <w:jc w:val="both"/>
              <w:rPr>
                <w:rFonts w:asciiTheme="majorHAnsi" w:hAnsiTheme="majorHAnsi"/>
                <w:bCs/>
                <w:sz w:val="20"/>
                <w:szCs w:val="20"/>
                <w:lang w:val="es-ES_tradnl"/>
              </w:rPr>
            </w:pPr>
            <w:r w:rsidRPr="00C41275">
              <w:rPr>
                <w:rFonts w:asciiTheme="majorHAnsi" w:hAnsiTheme="majorHAnsi"/>
                <w:sz w:val="20"/>
                <w:szCs w:val="20"/>
                <w:lang w:val="es-ES_tradnl"/>
              </w:rPr>
              <w:t>Artículos 5 (integridad personal), 7 (libertad personal), 8 (garantías judiciales), 10 (indemnización), 25 (protección judicial) de la Convención Americana</w:t>
            </w:r>
            <w:r w:rsidR="00DD08AC" w:rsidRPr="00C41275">
              <w:rPr>
                <w:rFonts w:asciiTheme="majorHAnsi" w:hAnsiTheme="majorHAnsi"/>
                <w:sz w:val="20"/>
                <w:szCs w:val="20"/>
                <w:lang w:val="es-ES_tradnl"/>
              </w:rPr>
              <w:t>, con relación a su artículo 1.1 (obligación de respetar los derechos)</w:t>
            </w:r>
          </w:p>
        </w:tc>
      </w:tr>
      <w:tr w:rsidR="003239B8" w:rsidRPr="00166DC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Agotamiento de recursos internos</w:t>
            </w:r>
            <w:r w:rsidR="00EE00E9" w:rsidRPr="00C41275">
              <w:rPr>
                <w:rFonts w:asciiTheme="majorHAnsi" w:hAnsiTheme="majorHAnsi"/>
                <w:b/>
                <w:bCs/>
                <w:color w:val="FFFFFF" w:themeColor="background1"/>
                <w:sz w:val="20"/>
                <w:szCs w:val="20"/>
                <w:lang w:val="es-ES_tradnl"/>
              </w:rPr>
              <w:t xml:space="preserve"> o procedencia de una excepción</w:t>
            </w:r>
            <w:r w:rsidRPr="00C41275">
              <w:rPr>
                <w:rFonts w:asciiTheme="majorHAnsi" w:hAnsiTheme="majorHAnsi"/>
                <w:b/>
                <w:bCs/>
                <w:color w:val="FFFFFF" w:themeColor="background1"/>
                <w:sz w:val="20"/>
                <w:szCs w:val="20"/>
                <w:lang w:val="es-ES_tradnl"/>
              </w:rPr>
              <w:t>:</w:t>
            </w:r>
          </w:p>
        </w:tc>
        <w:tc>
          <w:tcPr>
            <w:tcW w:w="5760" w:type="dxa"/>
            <w:vAlign w:val="center"/>
          </w:tcPr>
          <w:p w14:paraId="7F7C1A19" w14:textId="746D7358" w:rsidR="003239B8" w:rsidRPr="00C41275" w:rsidRDefault="00014190" w:rsidP="008D2290">
            <w:pPr>
              <w:rPr>
                <w:rFonts w:asciiTheme="majorHAnsi" w:hAnsiTheme="majorHAnsi"/>
                <w:bCs/>
                <w:sz w:val="20"/>
                <w:szCs w:val="20"/>
                <w:lang w:val="es-ES_tradnl"/>
              </w:rPr>
            </w:pPr>
            <w:r w:rsidRPr="00C41275">
              <w:rPr>
                <w:rFonts w:asciiTheme="majorHAnsi" w:hAnsiTheme="majorHAnsi"/>
                <w:bCs/>
                <w:sz w:val="20"/>
                <w:szCs w:val="20"/>
                <w:lang w:val="es-ES_tradnl"/>
              </w:rPr>
              <w:t>Sí, en los términos de la sección VI</w:t>
            </w:r>
          </w:p>
        </w:tc>
      </w:tr>
      <w:tr w:rsidR="003239B8" w:rsidRPr="00166DC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C41275" w:rsidRDefault="003239B8" w:rsidP="008D2290">
            <w:pPr>
              <w:jc w:val="center"/>
              <w:rPr>
                <w:rFonts w:asciiTheme="majorHAnsi" w:hAnsiTheme="majorHAnsi"/>
                <w:b/>
                <w:bCs/>
                <w:color w:val="FFFFFF" w:themeColor="background1"/>
                <w:sz w:val="20"/>
                <w:szCs w:val="20"/>
                <w:lang w:val="es-ES_tradnl"/>
              </w:rPr>
            </w:pPr>
            <w:r w:rsidRPr="00C41275">
              <w:rPr>
                <w:rFonts w:asciiTheme="majorHAnsi" w:hAnsiTheme="majorHAnsi"/>
                <w:b/>
                <w:bCs/>
                <w:color w:val="FFFFFF" w:themeColor="background1"/>
                <w:sz w:val="20"/>
                <w:szCs w:val="20"/>
                <w:lang w:val="es-ES_tradnl"/>
              </w:rPr>
              <w:t>Presentación dentro de plazo:</w:t>
            </w:r>
          </w:p>
        </w:tc>
        <w:tc>
          <w:tcPr>
            <w:tcW w:w="5760" w:type="dxa"/>
            <w:vAlign w:val="center"/>
          </w:tcPr>
          <w:p w14:paraId="2AF0FC69" w14:textId="16DB0DF0" w:rsidR="003239B8" w:rsidRPr="00C41275" w:rsidRDefault="00014190" w:rsidP="008D2290">
            <w:pPr>
              <w:rPr>
                <w:rFonts w:asciiTheme="majorHAnsi" w:hAnsiTheme="majorHAnsi"/>
                <w:bCs/>
                <w:sz w:val="20"/>
                <w:szCs w:val="20"/>
                <w:lang w:val="es-ES_tradnl"/>
              </w:rPr>
            </w:pPr>
            <w:r w:rsidRPr="00C41275">
              <w:rPr>
                <w:rFonts w:asciiTheme="majorHAnsi" w:hAnsiTheme="majorHAnsi"/>
                <w:bCs/>
                <w:sz w:val="20"/>
                <w:szCs w:val="20"/>
                <w:lang w:val="es-ES_tradnl"/>
              </w:rPr>
              <w:t>Sí, en los términos de la sección VI</w:t>
            </w:r>
          </w:p>
        </w:tc>
      </w:tr>
    </w:tbl>
    <w:p w14:paraId="56FD5D57" w14:textId="252B1FD5" w:rsidR="003239B8" w:rsidRPr="00C41275" w:rsidRDefault="00223A29" w:rsidP="003239B8">
      <w:pPr>
        <w:spacing w:before="240" w:after="240"/>
        <w:ind w:firstLine="720"/>
        <w:jc w:val="both"/>
        <w:rPr>
          <w:rFonts w:asciiTheme="majorHAnsi" w:hAnsiTheme="majorHAnsi"/>
          <w:b/>
          <w:sz w:val="20"/>
          <w:szCs w:val="20"/>
          <w:lang w:val="es-ES_tradnl"/>
        </w:rPr>
      </w:pPr>
      <w:r w:rsidRPr="00C41275">
        <w:rPr>
          <w:rFonts w:asciiTheme="majorHAnsi" w:hAnsiTheme="majorHAnsi"/>
          <w:b/>
          <w:sz w:val="20"/>
          <w:szCs w:val="20"/>
          <w:lang w:val="es-ES_tradnl"/>
        </w:rPr>
        <w:t xml:space="preserve">V. </w:t>
      </w:r>
      <w:r w:rsidRPr="00C41275">
        <w:rPr>
          <w:rFonts w:asciiTheme="majorHAnsi" w:hAnsiTheme="majorHAnsi"/>
          <w:b/>
          <w:sz w:val="20"/>
          <w:szCs w:val="20"/>
          <w:lang w:val="es-ES_tradnl"/>
        </w:rPr>
        <w:tab/>
      </w:r>
      <w:r w:rsidR="004241A0" w:rsidRPr="00C41275">
        <w:rPr>
          <w:rFonts w:asciiTheme="majorHAnsi" w:hAnsiTheme="majorHAnsi"/>
          <w:b/>
          <w:sz w:val="20"/>
          <w:szCs w:val="20"/>
          <w:lang w:val="es-ES_tradnl"/>
        </w:rPr>
        <w:t>POSICIÓN DE LAS PARTES</w:t>
      </w:r>
      <w:r w:rsidR="003239B8" w:rsidRPr="00C41275">
        <w:rPr>
          <w:rFonts w:asciiTheme="majorHAnsi" w:hAnsiTheme="majorHAnsi"/>
          <w:b/>
          <w:sz w:val="20"/>
          <w:szCs w:val="20"/>
          <w:lang w:val="es-ES_tradnl"/>
        </w:rPr>
        <w:t xml:space="preserve"> </w:t>
      </w:r>
    </w:p>
    <w:p w14:paraId="227ABEA3" w14:textId="53157412" w:rsidR="005D5C14" w:rsidRPr="00C41275" w:rsidRDefault="008E76A7" w:rsidP="00A321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C41275">
        <w:rPr>
          <w:rFonts w:asciiTheme="majorHAnsi" w:hAnsiTheme="majorHAnsi"/>
          <w:sz w:val="20"/>
          <w:szCs w:val="20"/>
          <w:lang w:val="es-ES_tradnl"/>
        </w:rPr>
        <w:t xml:space="preserve">La </w:t>
      </w:r>
      <w:r w:rsidR="005D5C14" w:rsidRPr="00C41275">
        <w:rPr>
          <w:rFonts w:asciiTheme="majorHAnsi" w:hAnsiTheme="majorHAnsi"/>
          <w:sz w:val="20"/>
          <w:szCs w:val="20"/>
          <w:lang w:val="es-ES_tradnl"/>
        </w:rPr>
        <w:t>peticionaria</w:t>
      </w:r>
      <w:r w:rsidRPr="00C41275">
        <w:rPr>
          <w:rFonts w:asciiTheme="majorHAnsi" w:hAnsiTheme="majorHAnsi"/>
          <w:sz w:val="20"/>
          <w:szCs w:val="20"/>
          <w:lang w:val="es-ES_tradnl"/>
        </w:rPr>
        <w:t xml:space="preserve"> denuncia </w:t>
      </w:r>
      <w:r w:rsidR="005D5C14" w:rsidRPr="00C41275">
        <w:rPr>
          <w:rFonts w:asciiTheme="majorHAnsi" w:hAnsiTheme="majorHAnsi"/>
          <w:sz w:val="20"/>
          <w:szCs w:val="20"/>
          <w:lang w:val="es-ES_tradnl"/>
        </w:rPr>
        <w:t>que las autoridades no han indemnizado a las presuntas víctimas por las torturas y privación arbitraria de la libertad que sufrieron, tras ser acusadas y condenadas</w:t>
      </w:r>
      <w:r w:rsidR="00A32179" w:rsidRPr="00C41275">
        <w:rPr>
          <w:rFonts w:asciiTheme="majorHAnsi" w:hAnsiTheme="majorHAnsi"/>
          <w:sz w:val="20"/>
          <w:szCs w:val="20"/>
          <w:lang w:val="es-ES_tradnl"/>
        </w:rPr>
        <w:t xml:space="preserve"> por terrorismo </w:t>
      </w:r>
      <w:r w:rsidR="00A32179" w:rsidRPr="00C41275">
        <w:rPr>
          <w:rFonts w:asciiTheme="majorHAnsi" w:hAnsiTheme="majorHAnsi"/>
          <w:sz w:val="20"/>
          <w:szCs w:val="20"/>
          <w:lang w:val="es-ES_tradnl"/>
        </w:rPr>
        <w:lastRenderedPageBreak/>
        <w:t>y traición a la patria</w:t>
      </w:r>
      <w:r w:rsidR="005D5C14" w:rsidRPr="00C41275">
        <w:rPr>
          <w:rFonts w:asciiTheme="majorHAnsi" w:hAnsiTheme="majorHAnsi"/>
          <w:sz w:val="20"/>
          <w:szCs w:val="20"/>
          <w:lang w:val="es-ES_tradnl"/>
        </w:rPr>
        <w:t xml:space="preserve"> sin pruebas. </w:t>
      </w:r>
      <w:r w:rsidR="00A32179" w:rsidRPr="00C41275">
        <w:rPr>
          <w:rFonts w:asciiTheme="majorHAnsi" w:hAnsiTheme="majorHAnsi"/>
          <w:sz w:val="20"/>
          <w:szCs w:val="20"/>
          <w:lang w:val="es-ES_tradnl"/>
        </w:rPr>
        <w:t xml:space="preserve">Agrega </w:t>
      </w:r>
      <w:r w:rsidR="00595F09" w:rsidRPr="00C41275">
        <w:rPr>
          <w:rFonts w:asciiTheme="majorHAnsi" w:hAnsiTheme="majorHAnsi"/>
          <w:sz w:val="20"/>
          <w:szCs w:val="20"/>
          <w:lang w:val="es-ES_tradnl"/>
        </w:rPr>
        <w:t>que,</w:t>
      </w:r>
      <w:r w:rsidR="00A32179" w:rsidRPr="00C41275">
        <w:rPr>
          <w:rFonts w:asciiTheme="majorHAnsi" w:hAnsiTheme="majorHAnsi"/>
          <w:sz w:val="20"/>
          <w:szCs w:val="20"/>
          <w:lang w:val="es-ES_tradnl"/>
        </w:rPr>
        <w:t xml:space="preserve"> pese a su situación de indigencia,</w:t>
      </w:r>
      <w:r w:rsidR="005D5C14" w:rsidRPr="00C41275">
        <w:rPr>
          <w:rFonts w:asciiTheme="majorHAnsi" w:hAnsiTheme="majorHAnsi"/>
          <w:sz w:val="20"/>
          <w:szCs w:val="20"/>
          <w:lang w:val="es-ES_tradnl"/>
        </w:rPr>
        <w:t xml:space="preserve"> </w:t>
      </w:r>
      <w:r w:rsidR="00A32179" w:rsidRPr="00C41275">
        <w:rPr>
          <w:rFonts w:asciiTheme="majorHAnsi" w:hAnsiTheme="majorHAnsi"/>
          <w:sz w:val="20"/>
          <w:szCs w:val="20"/>
          <w:lang w:val="es-ES_tradnl"/>
        </w:rPr>
        <w:t>les han exigido el pago de tasas judiciales para interponer una demanda de indemnización, provocando que no puedan acceder a la justicia.</w:t>
      </w:r>
    </w:p>
    <w:p w14:paraId="0E259DFD" w14:textId="59F02B2F" w:rsidR="000D1AB2" w:rsidRPr="00C41275" w:rsidRDefault="000D1AB2" w:rsidP="00E815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Antecedentes y marco normativo</w:t>
      </w:r>
    </w:p>
    <w:p w14:paraId="6DA9C0F2" w14:textId="5DD8C230" w:rsidR="000D1AB2" w:rsidRPr="00C41275" w:rsidRDefault="00E81543" w:rsidP="0012137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La parte peticionaria e</w:t>
      </w:r>
      <w:r w:rsidR="00456943" w:rsidRPr="00C41275">
        <w:rPr>
          <w:rFonts w:asciiTheme="majorHAnsi" w:hAnsiTheme="majorHAnsi"/>
          <w:sz w:val="20"/>
          <w:szCs w:val="20"/>
          <w:lang w:val="es-ES_tradnl"/>
        </w:rPr>
        <w:t>xplica que el 24 de julio de 1992, en el contexto del conflicto armado no internacional vigente en el país, el entonces presidente</w:t>
      </w:r>
      <w:r w:rsidR="00595F09" w:rsidRPr="00C41275">
        <w:rPr>
          <w:rFonts w:asciiTheme="majorHAnsi" w:hAnsiTheme="majorHAnsi"/>
          <w:sz w:val="20"/>
          <w:szCs w:val="20"/>
          <w:lang w:val="es-ES_tradnl"/>
        </w:rPr>
        <w:t xml:space="preserve"> de Perú</w:t>
      </w:r>
      <w:r w:rsidR="00456943" w:rsidRPr="00C41275">
        <w:rPr>
          <w:rFonts w:asciiTheme="majorHAnsi" w:hAnsiTheme="majorHAnsi"/>
          <w:sz w:val="20"/>
          <w:szCs w:val="20"/>
          <w:lang w:val="es-ES_tradnl"/>
        </w:rPr>
        <w:t xml:space="preserve"> promulgó los Decretos Leyes N° 25475 y 25659, destinado</w:t>
      </w:r>
      <w:r w:rsidR="00A32179" w:rsidRPr="00C41275">
        <w:rPr>
          <w:rFonts w:asciiTheme="majorHAnsi" w:hAnsiTheme="majorHAnsi"/>
          <w:sz w:val="20"/>
          <w:szCs w:val="20"/>
          <w:lang w:val="es-ES_tradnl"/>
        </w:rPr>
        <w:t>s</w:t>
      </w:r>
      <w:r w:rsidR="00456943" w:rsidRPr="00C41275">
        <w:rPr>
          <w:rFonts w:asciiTheme="majorHAnsi" w:hAnsiTheme="majorHAnsi"/>
          <w:sz w:val="20"/>
          <w:szCs w:val="20"/>
          <w:lang w:val="es-ES_tradnl"/>
        </w:rPr>
        <w:t xml:space="preserve"> a perseguir, juzgar y sancionar a los responsables de los delitos de terrorismo </w:t>
      </w:r>
      <w:r w:rsidR="00575F34" w:rsidRPr="00C41275">
        <w:rPr>
          <w:rFonts w:asciiTheme="majorHAnsi" w:hAnsiTheme="majorHAnsi"/>
          <w:sz w:val="20"/>
          <w:szCs w:val="20"/>
          <w:lang w:val="es-ES_tradnl"/>
        </w:rPr>
        <w:t xml:space="preserve">y traición a la patria, mediante tribunales civiles “sin rostro”. Afirma que estas medidas legislativas propiciaron que muchas personas fueran </w:t>
      </w:r>
      <w:r w:rsidR="0012137B" w:rsidRPr="00C41275">
        <w:rPr>
          <w:rFonts w:asciiTheme="majorHAnsi" w:hAnsiTheme="majorHAnsi"/>
          <w:sz w:val="20"/>
          <w:szCs w:val="20"/>
          <w:lang w:val="es-ES_tradnl"/>
        </w:rPr>
        <w:t>sometidas a un penoso tratamiento de reclusión</w:t>
      </w:r>
      <w:r w:rsidR="00A32179" w:rsidRPr="00C41275">
        <w:rPr>
          <w:rFonts w:asciiTheme="majorHAnsi" w:hAnsiTheme="majorHAnsi"/>
          <w:sz w:val="20"/>
          <w:szCs w:val="20"/>
          <w:lang w:val="es-ES_tradnl"/>
        </w:rPr>
        <w:t xml:space="preserve"> </w:t>
      </w:r>
      <w:r w:rsidR="0012137B" w:rsidRPr="00C41275">
        <w:rPr>
          <w:rFonts w:asciiTheme="majorHAnsi" w:hAnsiTheme="majorHAnsi"/>
          <w:sz w:val="20"/>
          <w:szCs w:val="20"/>
          <w:lang w:val="es-ES_tradnl"/>
        </w:rPr>
        <w:t>por períodos</w:t>
      </w:r>
      <w:r w:rsidR="00985938" w:rsidRPr="00C41275">
        <w:rPr>
          <w:rFonts w:asciiTheme="majorHAnsi" w:hAnsiTheme="majorHAnsi"/>
          <w:sz w:val="20"/>
          <w:szCs w:val="20"/>
          <w:lang w:val="es-ES_tradnl"/>
        </w:rPr>
        <w:t xml:space="preserve"> de entre tres a diez años sin recibir sentencia</w:t>
      </w:r>
      <w:r w:rsidR="0012137B" w:rsidRPr="00C41275">
        <w:rPr>
          <w:rFonts w:asciiTheme="majorHAnsi" w:hAnsiTheme="majorHAnsi"/>
          <w:sz w:val="20"/>
          <w:szCs w:val="20"/>
          <w:lang w:val="es-ES_tradnl"/>
        </w:rPr>
        <w:t xml:space="preserve"> </w:t>
      </w:r>
      <w:r w:rsidR="00A32179" w:rsidRPr="00C41275">
        <w:rPr>
          <w:rFonts w:asciiTheme="majorHAnsi" w:hAnsiTheme="majorHAnsi"/>
          <w:sz w:val="20"/>
          <w:szCs w:val="20"/>
          <w:lang w:val="es-ES_tradnl"/>
        </w:rPr>
        <w:t>y en ausencia de pruebas que justifiquen su detención</w:t>
      </w:r>
      <w:r w:rsidR="00575F34" w:rsidRPr="00C41275">
        <w:rPr>
          <w:rFonts w:asciiTheme="majorHAnsi" w:hAnsiTheme="majorHAnsi"/>
          <w:sz w:val="20"/>
          <w:szCs w:val="20"/>
          <w:lang w:val="es-ES_tradnl"/>
        </w:rPr>
        <w:t>.</w:t>
      </w:r>
      <w:r w:rsidR="0012137B" w:rsidRPr="00C41275">
        <w:rPr>
          <w:rFonts w:asciiTheme="majorHAnsi" w:hAnsiTheme="majorHAnsi"/>
          <w:sz w:val="20"/>
          <w:szCs w:val="20"/>
          <w:lang w:val="es-ES_tradnl"/>
        </w:rPr>
        <w:t xml:space="preserve"> </w:t>
      </w:r>
      <w:r w:rsidR="00720914" w:rsidRPr="00C41275">
        <w:rPr>
          <w:rFonts w:asciiTheme="majorHAnsi" w:hAnsiTheme="majorHAnsi"/>
          <w:sz w:val="20"/>
          <w:szCs w:val="20"/>
          <w:lang w:val="es-ES_tradnl"/>
        </w:rPr>
        <w:t xml:space="preserve">En este contexto, alega que </w:t>
      </w:r>
      <w:r w:rsidR="001941ED" w:rsidRPr="00C41275">
        <w:rPr>
          <w:rFonts w:asciiTheme="majorHAnsi" w:hAnsiTheme="majorHAnsi"/>
          <w:sz w:val="20"/>
          <w:szCs w:val="20"/>
          <w:lang w:val="es-ES_tradnl"/>
        </w:rPr>
        <w:t xml:space="preserve">entre 1992 y 1996, las autoridades detuvieron arbitrariamente a </w:t>
      </w:r>
      <w:r w:rsidR="0012137B" w:rsidRPr="00C41275">
        <w:rPr>
          <w:rFonts w:asciiTheme="majorHAnsi" w:hAnsiTheme="majorHAnsi"/>
          <w:sz w:val="20"/>
          <w:szCs w:val="20"/>
          <w:lang w:val="es-ES_tradnl"/>
        </w:rPr>
        <w:t>aproximadamente ocho mil personas en aplicación de la</w:t>
      </w:r>
      <w:r w:rsidR="00A32179" w:rsidRPr="00C41275">
        <w:rPr>
          <w:rFonts w:asciiTheme="majorHAnsi" w:hAnsiTheme="majorHAnsi"/>
          <w:sz w:val="20"/>
          <w:szCs w:val="20"/>
          <w:lang w:val="es-ES_tradnl"/>
        </w:rPr>
        <w:t xml:space="preserve"> referida</w:t>
      </w:r>
      <w:r w:rsidR="0012137B" w:rsidRPr="00C41275">
        <w:rPr>
          <w:rFonts w:asciiTheme="majorHAnsi" w:hAnsiTheme="majorHAnsi"/>
          <w:sz w:val="20"/>
          <w:szCs w:val="20"/>
          <w:lang w:val="es-ES_tradnl"/>
        </w:rPr>
        <w:t xml:space="preserve"> legislación</w:t>
      </w:r>
      <w:r w:rsidR="00595F09" w:rsidRPr="00C41275">
        <w:rPr>
          <w:rFonts w:asciiTheme="majorHAnsi" w:hAnsiTheme="majorHAnsi"/>
          <w:sz w:val="20"/>
          <w:szCs w:val="20"/>
          <w:lang w:val="es-ES_tradnl"/>
        </w:rPr>
        <w:t>.</w:t>
      </w:r>
      <w:r w:rsidR="006270A0" w:rsidRPr="00C41275">
        <w:rPr>
          <w:rFonts w:asciiTheme="majorHAnsi" w:hAnsiTheme="majorHAnsi"/>
          <w:sz w:val="20"/>
          <w:szCs w:val="20"/>
          <w:lang w:val="es-ES_tradnl"/>
        </w:rPr>
        <w:t xml:space="preserve"> P</w:t>
      </w:r>
      <w:r w:rsidR="00595F09" w:rsidRPr="00C41275">
        <w:rPr>
          <w:rFonts w:asciiTheme="majorHAnsi" w:hAnsiTheme="majorHAnsi"/>
          <w:sz w:val="20"/>
          <w:szCs w:val="20"/>
          <w:lang w:val="es-ES_tradnl"/>
        </w:rPr>
        <w:t>osteriormente, cer</w:t>
      </w:r>
      <w:r w:rsidR="001941ED" w:rsidRPr="00C41275">
        <w:rPr>
          <w:rFonts w:asciiTheme="majorHAnsi" w:hAnsiTheme="majorHAnsi"/>
          <w:sz w:val="20"/>
          <w:szCs w:val="20"/>
          <w:lang w:val="es-ES_tradnl"/>
        </w:rPr>
        <w:t>ca de</w:t>
      </w:r>
      <w:r w:rsidR="0012137B" w:rsidRPr="00C41275">
        <w:rPr>
          <w:rFonts w:asciiTheme="majorHAnsi" w:hAnsiTheme="majorHAnsi"/>
          <w:sz w:val="20"/>
          <w:szCs w:val="20"/>
          <w:lang w:val="es-ES_tradnl"/>
        </w:rPr>
        <w:t xml:space="preserve"> cinco mil </w:t>
      </w:r>
      <w:r w:rsidR="00595F09" w:rsidRPr="00C41275">
        <w:rPr>
          <w:rFonts w:asciiTheme="majorHAnsi" w:hAnsiTheme="majorHAnsi"/>
          <w:sz w:val="20"/>
          <w:szCs w:val="20"/>
          <w:lang w:val="es-ES_tradnl"/>
        </w:rPr>
        <w:t xml:space="preserve">personas de dicho grupo </w:t>
      </w:r>
      <w:r w:rsidR="0012137B" w:rsidRPr="00C41275">
        <w:rPr>
          <w:rFonts w:asciiTheme="majorHAnsi" w:hAnsiTheme="majorHAnsi"/>
          <w:sz w:val="20"/>
          <w:szCs w:val="20"/>
          <w:lang w:val="es-ES_tradnl"/>
        </w:rPr>
        <w:t>fueron absueltas</w:t>
      </w:r>
      <w:r w:rsidR="001941ED" w:rsidRPr="00C41275">
        <w:rPr>
          <w:rFonts w:asciiTheme="majorHAnsi" w:hAnsiTheme="majorHAnsi"/>
          <w:sz w:val="20"/>
          <w:szCs w:val="20"/>
          <w:lang w:val="es-ES_tradnl"/>
        </w:rPr>
        <w:t xml:space="preserve">, al constatarse que estaban privadas de su libertad de manera inconstitucional. </w:t>
      </w:r>
    </w:p>
    <w:p w14:paraId="110D3B88" w14:textId="098A0D17" w:rsidR="00575F34" w:rsidRPr="00C41275" w:rsidRDefault="00575F34" w:rsidP="00575F3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Debido a ello, </w:t>
      </w:r>
      <w:r w:rsidR="008472D8" w:rsidRPr="00C41275">
        <w:rPr>
          <w:rFonts w:asciiTheme="majorHAnsi" w:hAnsiTheme="majorHAnsi"/>
          <w:sz w:val="20"/>
          <w:szCs w:val="20"/>
          <w:lang w:val="es-ES_tradnl"/>
        </w:rPr>
        <w:t>en julio de 2005 el Congreso de la República promulgó la Ley N° 28592, Ley que crea el Plan Integral de Reparaciones, cuyo objetivo e</w:t>
      </w:r>
      <w:r w:rsidR="001941ED" w:rsidRPr="00C41275">
        <w:rPr>
          <w:rFonts w:asciiTheme="majorHAnsi" w:hAnsiTheme="majorHAnsi"/>
          <w:sz w:val="20"/>
          <w:szCs w:val="20"/>
          <w:lang w:val="es-ES_tradnl"/>
        </w:rPr>
        <w:t>s</w:t>
      </w:r>
      <w:r w:rsidR="008472D8" w:rsidRPr="00C41275">
        <w:rPr>
          <w:rFonts w:asciiTheme="majorHAnsi" w:hAnsiTheme="majorHAnsi"/>
          <w:sz w:val="20"/>
          <w:szCs w:val="20"/>
          <w:lang w:val="es-ES_tradnl"/>
        </w:rPr>
        <w:t xml:space="preserve"> reparar a las víctimas del conflicto armado interno, </w:t>
      </w:r>
      <w:r w:rsidR="006270A0" w:rsidRPr="00C41275">
        <w:rPr>
          <w:rFonts w:asciiTheme="majorHAnsi" w:hAnsiTheme="majorHAnsi"/>
          <w:sz w:val="20"/>
          <w:szCs w:val="20"/>
          <w:lang w:val="es-ES_tradnl"/>
        </w:rPr>
        <w:t>de</w:t>
      </w:r>
      <w:r w:rsidR="008472D8" w:rsidRPr="00C41275">
        <w:rPr>
          <w:rFonts w:asciiTheme="majorHAnsi" w:hAnsiTheme="majorHAnsi"/>
          <w:sz w:val="20"/>
          <w:szCs w:val="20"/>
          <w:lang w:val="es-ES_tradnl"/>
        </w:rPr>
        <w:t xml:space="preserve"> conformidad con las conclusiones y recomendaciones del Informe de la Comisión de la Verdad y la Reconciliación. </w:t>
      </w:r>
      <w:r w:rsidR="006270A0" w:rsidRPr="00C41275">
        <w:rPr>
          <w:rFonts w:asciiTheme="majorHAnsi" w:hAnsiTheme="majorHAnsi"/>
          <w:sz w:val="20"/>
          <w:szCs w:val="20"/>
          <w:lang w:val="es-ES_tradnl"/>
        </w:rPr>
        <w:t>La parte peticionaria aduce</w:t>
      </w:r>
      <w:r w:rsidR="008472D8" w:rsidRPr="00C41275">
        <w:rPr>
          <w:rFonts w:asciiTheme="majorHAnsi" w:hAnsiTheme="majorHAnsi"/>
          <w:sz w:val="20"/>
          <w:szCs w:val="20"/>
          <w:lang w:val="es-ES_tradnl"/>
        </w:rPr>
        <w:t xml:space="preserve"> que </w:t>
      </w:r>
      <w:r w:rsidR="00774BBC" w:rsidRPr="00C41275">
        <w:rPr>
          <w:rFonts w:asciiTheme="majorHAnsi" w:hAnsiTheme="majorHAnsi"/>
          <w:sz w:val="20"/>
          <w:szCs w:val="20"/>
          <w:lang w:val="es-ES_tradnl"/>
        </w:rPr>
        <w:t>a pesar de que</w:t>
      </w:r>
      <w:r w:rsidR="008472D8" w:rsidRPr="00C41275">
        <w:rPr>
          <w:rFonts w:asciiTheme="majorHAnsi" w:hAnsiTheme="majorHAnsi"/>
          <w:sz w:val="20"/>
          <w:szCs w:val="20"/>
          <w:lang w:val="es-ES_tradnl"/>
        </w:rPr>
        <w:t xml:space="preserve"> dicha disposición reconoce una indemnización por detenciones arbitrarias, </w:t>
      </w:r>
      <w:r w:rsidR="006270A0" w:rsidRPr="00C41275">
        <w:rPr>
          <w:rFonts w:asciiTheme="majorHAnsi" w:hAnsiTheme="majorHAnsi"/>
          <w:sz w:val="20"/>
          <w:szCs w:val="20"/>
          <w:lang w:val="es-ES_tradnl"/>
        </w:rPr>
        <w:t>su</w:t>
      </w:r>
      <w:r w:rsidR="00FE240F" w:rsidRPr="00C41275">
        <w:rPr>
          <w:rFonts w:asciiTheme="majorHAnsi" w:hAnsiTheme="majorHAnsi"/>
          <w:sz w:val="20"/>
          <w:szCs w:val="20"/>
          <w:lang w:val="es-ES_tradnl"/>
        </w:rPr>
        <w:t xml:space="preserve"> Reglamento excluye como beneficiarias del programa de reparaciones a las personas que fueron procesadas por los Decretos Leyes N° 25475 y 25659, sin perjuicio de que luego haya</w:t>
      </w:r>
      <w:r w:rsidR="006270A0" w:rsidRPr="00C41275">
        <w:rPr>
          <w:rFonts w:asciiTheme="majorHAnsi" w:hAnsiTheme="majorHAnsi"/>
          <w:sz w:val="20"/>
          <w:szCs w:val="20"/>
          <w:lang w:val="es-ES_tradnl"/>
        </w:rPr>
        <w:t>n</w:t>
      </w:r>
      <w:r w:rsidR="00FE240F" w:rsidRPr="00C41275">
        <w:rPr>
          <w:rFonts w:asciiTheme="majorHAnsi" w:hAnsiTheme="majorHAnsi"/>
          <w:sz w:val="20"/>
          <w:szCs w:val="20"/>
          <w:lang w:val="es-ES_tradnl"/>
        </w:rPr>
        <w:t xml:space="preserve"> sido absueltas</w:t>
      </w:r>
      <w:r w:rsidR="001941ED" w:rsidRPr="00C41275">
        <w:rPr>
          <w:rFonts w:asciiTheme="majorHAnsi" w:hAnsiTheme="majorHAnsi"/>
          <w:sz w:val="20"/>
          <w:szCs w:val="20"/>
          <w:lang w:val="es-ES_tradnl"/>
        </w:rPr>
        <w:t xml:space="preserve"> y/o indultadas. </w:t>
      </w:r>
    </w:p>
    <w:p w14:paraId="27E7CA19" w14:textId="1D323B20" w:rsidR="00B07C39" w:rsidRPr="00C41275" w:rsidRDefault="00B07C39" w:rsidP="00F94F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Asimismo, agrega que</w:t>
      </w:r>
      <w:r w:rsidR="00F94F84" w:rsidRPr="00C41275">
        <w:rPr>
          <w:rFonts w:asciiTheme="majorHAnsi" w:hAnsiTheme="majorHAnsi"/>
          <w:sz w:val="20"/>
          <w:szCs w:val="20"/>
          <w:lang w:val="es-ES_tradnl"/>
        </w:rPr>
        <w:t xml:space="preserve"> si bien desde 1988 está vigente</w:t>
      </w:r>
      <w:r w:rsidRPr="00C41275">
        <w:rPr>
          <w:rFonts w:asciiTheme="majorHAnsi" w:hAnsiTheme="majorHAnsi"/>
          <w:sz w:val="20"/>
          <w:szCs w:val="20"/>
          <w:lang w:val="es-ES_tradnl"/>
        </w:rPr>
        <w:t xml:space="preserve"> la Ley N° 24973</w:t>
      </w:r>
      <w:r w:rsidR="00F94F84" w:rsidRPr="00C41275">
        <w:rPr>
          <w:rFonts w:asciiTheme="majorHAnsi" w:hAnsiTheme="majorHAnsi"/>
          <w:sz w:val="20"/>
          <w:szCs w:val="20"/>
          <w:lang w:val="es-ES_tradnl"/>
        </w:rPr>
        <w:t>, la cual establece un fondo económico especial y el procedimiento para indemnizar a una persona víctima de error judicial, esta normativa es ineficaz</w:t>
      </w:r>
      <w:r w:rsidR="001941ED" w:rsidRPr="00C41275">
        <w:rPr>
          <w:rFonts w:asciiTheme="majorHAnsi" w:hAnsiTheme="majorHAnsi"/>
          <w:sz w:val="20"/>
          <w:szCs w:val="20"/>
          <w:lang w:val="es-ES_tradnl"/>
        </w:rPr>
        <w:t xml:space="preserve">, dado que </w:t>
      </w:r>
      <w:r w:rsidR="00F94F84" w:rsidRPr="00C41275">
        <w:rPr>
          <w:rFonts w:asciiTheme="majorHAnsi" w:hAnsiTheme="majorHAnsi"/>
          <w:sz w:val="20"/>
          <w:szCs w:val="20"/>
          <w:lang w:val="es-ES_tradnl"/>
        </w:rPr>
        <w:t>no se cuenta con los fondos ni infraestructura para cumplir con dicha regulación</w:t>
      </w:r>
      <w:r w:rsidR="001941ED" w:rsidRPr="00C41275">
        <w:rPr>
          <w:rFonts w:asciiTheme="majorHAnsi" w:hAnsiTheme="majorHAnsi"/>
          <w:sz w:val="20"/>
          <w:szCs w:val="20"/>
          <w:lang w:val="es-ES_tradnl"/>
        </w:rPr>
        <w:t xml:space="preserve">. Debido a ello, afirma que </w:t>
      </w:r>
      <w:r w:rsidRPr="00C41275">
        <w:rPr>
          <w:rFonts w:asciiTheme="majorHAnsi" w:hAnsiTheme="majorHAnsi"/>
          <w:sz w:val="20"/>
          <w:szCs w:val="20"/>
          <w:lang w:val="es-ES_tradnl"/>
        </w:rPr>
        <w:t>hasta el momento de presentación de esta petición</w:t>
      </w:r>
      <w:r w:rsidR="001941ED" w:rsidRPr="00C41275">
        <w:rPr>
          <w:rFonts w:asciiTheme="majorHAnsi" w:hAnsiTheme="majorHAnsi"/>
          <w:sz w:val="20"/>
          <w:szCs w:val="20"/>
          <w:lang w:val="es-ES_tradnl"/>
        </w:rPr>
        <w:t xml:space="preserve"> el Estado</w:t>
      </w:r>
      <w:r w:rsidRPr="00C41275">
        <w:rPr>
          <w:rFonts w:asciiTheme="majorHAnsi" w:hAnsiTheme="majorHAnsi"/>
          <w:sz w:val="20"/>
          <w:szCs w:val="20"/>
          <w:lang w:val="es-ES_tradnl"/>
        </w:rPr>
        <w:t xml:space="preserve"> no ha cumplido con reparar ni un solo caso</w:t>
      </w:r>
      <w:r w:rsidR="00EA52CC" w:rsidRPr="00C41275">
        <w:rPr>
          <w:rFonts w:asciiTheme="majorHAnsi" w:hAnsiTheme="majorHAnsi"/>
          <w:sz w:val="20"/>
          <w:szCs w:val="20"/>
          <w:lang w:val="es-ES_tradnl"/>
        </w:rPr>
        <w:t xml:space="preserve"> mediante tal normativa</w:t>
      </w:r>
      <w:r w:rsidRPr="00C41275">
        <w:rPr>
          <w:rFonts w:asciiTheme="majorHAnsi" w:hAnsiTheme="majorHAnsi"/>
          <w:sz w:val="20"/>
          <w:szCs w:val="20"/>
          <w:lang w:val="es-ES_tradnl"/>
        </w:rPr>
        <w:t xml:space="preserve">. </w:t>
      </w:r>
      <w:r w:rsidR="00774BBC" w:rsidRPr="00C41275">
        <w:rPr>
          <w:rFonts w:asciiTheme="majorHAnsi" w:hAnsiTheme="majorHAnsi"/>
          <w:sz w:val="20"/>
          <w:szCs w:val="20"/>
          <w:lang w:val="es-ES_tradnl"/>
        </w:rPr>
        <w:t xml:space="preserve">Además, arguye que </w:t>
      </w:r>
      <w:r w:rsidR="00EA52CC" w:rsidRPr="00C41275">
        <w:rPr>
          <w:rFonts w:asciiTheme="majorHAnsi" w:hAnsiTheme="majorHAnsi"/>
          <w:sz w:val="20"/>
          <w:szCs w:val="20"/>
          <w:lang w:val="es-ES_tradnl"/>
        </w:rPr>
        <w:t>la citada</w:t>
      </w:r>
      <w:r w:rsidR="00774BBC" w:rsidRPr="00C41275">
        <w:rPr>
          <w:rFonts w:asciiTheme="majorHAnsi" w:hAnsiTheme="majorHAnsi"/>
          <w:sz w:val="20"/>
          <w:szCs w:val="20"/>
          <w:lang w:val="es-ES_tradnl"/>
        </w:rPr>
        <w:t xml:space="preserve"> ley no aplicaría a </w:t>
      </w:r>
      <w:r w:rsidR="00EA52CC" w:rsidRPr="00C41275">
        <w:rPr>
          <w:rFonts w:asciiTheme="majorHAnsi" w:hAnsiTheme="majorHAnsi"/>
          <w:sz w:val="20"/>
          <w:szCs w:val="20"/>
          <w:lang w:val="es-ES_tradnl"/>
        </w:rPr>
        <w:t xml:space="preserve">todas </w:t>
      </w:r>
      <w:r w:rsidR="00774BBC" w:rsidRPr="00C41275">
        <w:rPr>
          <w:rFonts w:asciiTheme="majorHAnsi" w:hAnsiTheme="majorHAnsi"/>
          <w:sz w:val="20"/>
          <w:szCs w:val="20"/>
          <w:lang w:val="es-ES_tradnl"/>
        </w:rPr>
        <w:t>las presuntas víctimas del presente caso, dado que</w:t>
      </w:r>
      <w:r w:rsidR="00EA52CC" w:rsidRPr="00C41275">
        <w:rPr>
          <w:rFonts w:asciiTheme="majorHAnsi" w:hAnsiTheme="majorHAnsi"/>
          <w:sz w:val="20"/>
          <w:szCs w:val="20"/>
          <w:lang w:val="es-ES_tradnl"/>
        </w:rPr>
        <w:t xml:space="preserve"> muchas</w:t>
      </w:r>
      <w:r w:rsidR="00774BBC" w:rsidRPr="00C41275">
        <w:rPr>
          <w:rFonts w:asciiTheme="majorHAnsi" w:hAnsiTheme="majorHAnsi"/>
          <w:sz w:val="20"/>
          <w:szCs w:val="20"/>
          <w:lang w:val="es-ES_tradnl"/>
        </w:rPr>
        <w:t xml:space="preserve"> fueron </w:t>
      </w:r>
      <w:r w:rsidR="00EA52CC" w:rsidRPr="00C41275">
        <w:rPr>
          <w:rFonts w:asciiTheme="majorHAnsi" w:hAnsiTheme="majorHAnsi"/>
          <w:sz w:val="20"/>
          <w:szCs w:val="20"/>
          <w:lang w:val="es-ES_tradnl"/>
        </w:rPr>
        <w:t>absueltas</w:t>
      </w:r>
      <w:r w:rsidR="00774BBC" w:rsidRPr="00C41275">
        <w:rPr>
          <w:rFonts w:asciiTheme="majorHAnsi" w:hAnsiTheme="majorHAnsi"/>
          <w:sz w:val="20"/>
          <w:szCs w:val="20"/>
          <w:lang w:val="es-ES_tradnl"/>
        </w:rPr>
        <w:t xml:space="preserve">, por lo que no contarían con una sentencia condenatoria que haya adquirido calidad de cosa juzgada. </w:t>
      </w:r>
    </w:p>
    <w:p w14:paraId="4FAA81EA" w14:textId="5184BF28" w:rsidR="00000E8C" w:rsidRPr="00C41275" w:rsidRDefault="00000E8C" w:rsidP="007E16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Alegada detención, tortura y procesamiento de las presuntas víctimas</w:t>
      </w:r>
    </w:p>
    <w:p w14:paraId="7A94157F" w14:textId="703CD233" w:rsidR="003E4F81" w:rsidRPr="00C41275" w:rsidRDefault="00D03BB0" w:rsidP="008E76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La parte peticionaria a</w:t>
      </w:r>
      <w:r w:rsidR="00000E8C" w:rsidRPr="00C41275">
        <w:rPr>
          <w:rFonts w:asciiTheme="majorHAnsi" w:hAnsiTheme="majorHAnsi"/>
          <w:sz w:val="20"/>
          <w:szCs w:val="20"/>
          <w:lang w:val="es-ES_tradnl"/>
        </w:rPr>
        <w:t>duce que las presuntas víctimas fueron detenidas y sometidas a largos procesos por los delitos de terrorismo y/o traición a la patria en diversas fechas, en aplicación de los Decretos Leyes N° 25475 y N° 25659</w:t>
      </w:r>
      <w:r w:rsidR="00642537" w:rsidRPr="00C41275">
        <w:rPr>
          <w:rFonts w:asciiTheme="majorHAnsi" w:hAnsiTheme="majorHAnsi"/>
          <w:sz w:val="20"/>
          <w:szCs w:val="20"/>
          <w:lang w:val="es-ES_tradnl"/>
        </w:rPr>
        <w:t>. Alega que</w:t>
      </w:r>
      <w:r w:rsidR="00B07C39" w:rsidRPr="00C41275">
        <w:rPr>
          <w:rFonts w:asciiTheme="majorHAnsi" w:hAnsiTheme="majorHAnsi"/>
          <w:sz w:val="20"/>
          <w:szCs w:val="20"/>
          <w:lang w:val="es-ES_tradnl"/>
        </w:rPr>
        <w:t xml:space="preserve"> sufrieron prácticas ilegales durante su detención</w:t>
      </w:r>
      <w:r w:rsidR="00EA52CC" w:rsidRPr="00C41275">
        <w:rPr>
          <w:rFonts w:asciiTheme="majorHAnsi" w:hAnsiTheme="majorHAnsi"/>
          <w:sz w:val="20"/>
          <w:szCs w:val="20"/>
          <w:lang w:val="es-ES_tradnl"/>
        </w:rPr>
        <w:t xml:space="preserve"> y</w:t>
      </w:r>
      <w:r w:rsidR="00B07C39" w:rsidRPr="00C41275">
        <w:rPr>
          <w:rFonts w:asciiTheme="majorHAnsi" w:hAnsiTheme="majorHAnsi"/>
          <w:sz w:val="20"/>
          <w:szCs w:val="20"/>
          <w:lang w:val="es-ES_tradnl"/>
        </w:rPr>
        <w:t xml:space="preserve"> que</w:t>
      </w:r>
      <w:r w:rsidR="00642537" w:rsidRPr="00C41275">
        <w:rPr>
          <w:rFonts w:asciiTheme="majorHAnsi" w:hAnsiTheme="majorHAnsi"/>
          <w:sz w:val="20"/>
          <w:szCs w:val="20"/>
          <w:lang w:val="es-ES_tradnl"/>
        </w:rPr>
        <w:t xml:space="preserve"> estuvieron bajo </w:t>
      </w:r>
      <w:r w:rsidR="00EA52CC" w:rsidRPr="00C41275">
        <w:rPr>
          <w:rFonts w:asciiTheme="majorHAnsi" w:hAnsiTheme="majorHAnsi"/>
          <w:sz w:val="20"/>
          <w:szCs w:val="20"/>
          <w:lang w:val="es-ES_tradnl"/>
        </w:rPr>
        <w:t xml:space="preserve">regímenes </w:t>
      </w:r>
      <w:r w:rsidR="00642537" w:rsidRPr="00C41275">
        <w:rPr>
          <w:rFonts w:asciiTheme="majorHAnsi" w:hAnsiTheme="majorHAnsi"/>
          <w:sz w:val="20"/>
          <w:szCs w:val="20"/>
          <w:lang w:val="es-ES_tradnl"/>
        </w:rPr>
        <w:t xml:space="preserve">de prisión preventiva en establecimientos de máxima seguridad por un plazo irrazonable </w:t>
      </w:r>
      <w:r w:rsidR="00774BBC" w:rsidRPr="00C41275">
        <w:rPr>
          <w:rFonts w:asciiTheme="majorHAnsi" w:hAnsiTheme="majorHAnsi"/>
          <w:sz w:val="20"/>
          <w:szCs w:val="20"/>
          <w:lang w:val="es-ES_tradnl"/>
        </w:rPr>
        <w:t>(</w:t>
      </w:r>
      <w:r w:rsidR="00EA52CC" w:rsidRPr="00C41275">
        <w:rPr>
          <w:rFonts w:asciiTheme="majorHAnsi" w:hAnsiTheme="majorHAnsi"/>
          <w:sz w:val="20"/>
          <w:szCs w:val="20"/>
          <w:lang w:val="es-ES_tradnl"/>
        </w:rPr>
        <w:t>detallados en los anexos 1 y 2</w:t>
      </w:r>
      <w:r w:rsidR="00774BBC" w:rsidRPr="00C41275">
        <w:rPr>
          <w:rFonts w:asciiTheme="majorHAnsi" w:hAnsiTheme="majorHAnsi"/>
          <w:sz w:val="20"/>
          <w:szCs w:val="20"/>
          <w:lang w:val="es-ES_tradnl"/>
        </w:rPr>
        <w:t>)</w:t>
      </w:r>
      <w:r w:rsidR="00C12F47" w:rsidRPr="00C41275">
        <w:rPr>
          <w:rFonts w:asciiTheme="majorHAnsi" w:hAnsiTheme="majorHAnsi"/>
          <w:sz w:val="20"/>
          <w:szCs w:val="20"/>
          <w:lang w:val="es-ES_tradnl"/>
        </w:rPr>
        <w:t>;</w:t>
      </w:r>
      <w:r w:rsidR="00774BBC" w:rsidRPr="00C41275">
        <w:rPr>
          <w:rFonts w:asciiTheme="majorHAnsi" w:hAnsiTheme="majorHAnsi"/>
          <w:sz w:val="20"/>
          <w:szCs w:val="20"/>
          <w:lang w:val="es-ES_tradnl"/>
        </w:rPr>
        <w:t xml:space="preserve"> sufriendo </w:t>
      </w:r>
      <w:r w:rsidR="00C12F47" w:rsidRPr="00C41275">
        <w:rPr>
          <w:rFonts w:asciiTheme="majorHAnsi" w:hAnsiTheme="majorHAnsi"/>
          <w:sz w:val="20"/>
          <w:szCs w:val="20"/>
          <w:lang w:val="es-ES_tradnl"/>
        </w:rPr>
        <w:t xml:space="preserve">además </w:t>
      </w:r>
      <w:r w:rsidR="0012137B" w:rsidRPr="00C41275">
        <w:rPr>
          <w:rFonts w:asciiTheme="majorHAnsi" w:hAnsiTheme="majorHAnsi"/>
          <w:sz w:val="20"/>
          <w:szCs w:val="20"/>
          <w:lang w:val="es-ES_tradnl"/>
        </w:rPr>
        <w:t>prácticas de tortura y tratos crueles</w:t>
      </w:r>
      <w:r w:rsidR="00774BBC" w:rsidRPr="00C41275">
        <w:rPr>
          <w:rFonts w:asciiTheme="majorHAnsi" w:hAnsiTheme="majorHAnsi"/>
          <w:sz w:val="20"/>
          <w:szCs w:val="20"/>
          <w:lang w:val="es-ES_tradnl"/>
        </w:rPr>
        <w:t xml:space="preserve">. </w:t>
      </w:r>
      <w:r w:rsidR="00C12F47" w:rsidRPr="00C41275">
        <w:rPr>
          <w:rFonts w:asciiTheme="majorHAnsi" w:hAnsiTheme="majorHAnsi"/>
          <w:sz w:val="20"/>
          <w:szCs w:val="20"/>
          <w:lang w:val="es-ES_tradnl"/>
        </w:rPr>
        <w:t xml:space="preserve">Luego, estas personas fueron sentenciadas por </w:t>
      </w:r>
      <w:r w:rsidR="00642537" w:rsidRPr="00C41275">
        <w:rPr>
          <w:rFonts w:asciiTheme="majorHAnsi" w:hAnsiTheme="majorHAnsi"/>
          <w:sz w:val="20"/>
          <w:szCs w:val="20"/>
          <w:lang w:val="es-ES_tradnl"/>
        </w:rPr>
        <w:t xml:space="preserve">jueces “sin rostro” en procesos que no contaron con las debidas garantías judiciales. </w:t>
      </w:r>
    </w:p>
    <w:p w14:paraId="239D491C" w14:textId="0C29FE5B" w:rsidR="00642537" w:rsidRPr="00C41275" w:rsidRDefault="00C82C74" w:rsidP="00774BB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Dada las irregularidades cometidas durante su detención y proce</w:t>
      </w:r>
      <w:r w:rsidR="00595F09" w:rsidRPr="00C41275">
        <w:rPr>
          <w:rFonts w:asciiTheme="majorHAnsi" w:hAnsiTheme="majorHAnsi"/>
          <w:sz w:val="20"/>
          <w:szCs w:val="20"/>
          <w:lang w:val="es-ES_tradnl"/>
        </w:rPr>
        <w:t>samiento</w:t>
      </w:r>
      <w:r w:rsidR="00774BBC" w:rsidRPr="00C41275">
        <w:rPr>
          <w:rFonts w:asciiTheme="majorHAnsi" w:hAnsiTheme="majorHAnsi"/>
          <w:sz w:val="20"/>
          <w:szCs w:val="20"/>
          <w:lang w:val="es-ES_tradnl"/>
        </w:rPr>
        <w:t>, detalla que</w:t>
      </w:r>
      <w:r w:rsidR="00EA52CC" w:rsidRPr="00C41275">
        <w:rPr>
          <w:rFonts w:asciiTheme="majorHAnsi" w:hAnsiTheme="majorHAnsi"/>
          <w:sz w:val="20"/>
          <w:szCs w:val="20"/>
          <w:lang w:val="es-ES_tradnl"/>
        </w:rPr>
        <w:t xml:space="preserve">, posteriormente, </w:t>
      </w:r>
      <w:r w:rsidR="00774BBC" w:rsidRPr="00C41275">
        <w:rPr>
          <w:rFonts w:asciiTheme="majorHAnsi" w:hAnsiTheme="majorHAnsi"/>
          <w:sz w:val="20"/>
          <w:szCs w:val="20"/>
          <w:lang w:val="es-ES_tradnl"/>
        </w:rPr>
        <w:t>las autoridades</w:t>
      </w:r>
      <w:r w:rsidRPr="00C41275">
        <w:rPr>
          <w:rFonts w:asciiTheme="majorHAnsi" w:hAnsiTheme="majorHAnsi"/>
          <w:sz w:val="20"/>
          <w:szCs w:val="20"/>
          <w:lang w:val="es-ES_tradnl"/>
        </w:rPr>
        <w:t xml:space="preserve"> las</w:t>
      </w:r>
      <w:r w:rsidR="00774BBC" w:rsidRPr="00C41275">
        <w:rPr>
          <w:rFonts w:asciiTheme="majorHAnsi" w:hAnsiTheme="majorHAnsi"/>
          <w:sz w:val="20"/>
          <w:szCs w:val="20"/>
          <w:lang w:val="es-ES_tradnl"/>
        </w:rPr>
        <w:t xml:space="preserve"> absolvieron de todos</w:t>
      </w:r>
      <w:r w:rsidR="00EA52CC" w:rsidRPr="00C41275">
        <w:rPr>
          <w:rFonts w:asciiTheme="majorHAnsi" w:hAnsiTheme="majorHAnsi"/>
          <w:sz w:val="20"/>
          <w:szCs w:val="20"/>
          <w:lang w:val="es-ES_tradnl"/>
        </w:rPr>
        <w:t xml:space="preserve"> los cargos</w:t>
      </w:r>
      <w:r w:rsidR="00774BBC" w:rsidRPr="00C41275">
        <w:rPr>
          <w:rFonts w:asciiTheme="majorHAnsi" w:hAnsiTheme="majorHAnsi"/>
          <w:sz w:val="20"/>
          <w:szCs w:val="20"/>
          <w:lang w:val="es-ES_tradnl"/>
        </w:rPr>
        <w:t xml:space="preserve"> y ordenaron su liberación. </w:t>
      </w:r>
      <w:r w:rsidR="00642537" w:rsidRPr="00C41275">
        <w:rPr>
          <w:rFonts w:asciiTheme="majorHAnsi" w:hAnsiTheme="majorHAnsi"/>
          <w:sz w:val="20"/>
          <w:szCs w:val="20"/>
          <w:lang w:val="es-ES_tradnl"/>
        </w:rPr>
        <w:t xml:space="preserve">A pesar de ello, afirma que </w:t>
      </w:r>
      <w:r w:rsidR="00774BBC" w:rsidRPr="00C41275">
        <w:rPr>
          <w:rFonts w:asciiTheme="majorHAnsi" w:hAnsiTheme="majorHAnsi"/>
          <w:sz w:val="20"/>
          <w:szCs w:val="20"/>
          <w:lang w:val="es-ES_tradnl"/>
        </w:rPr>
        <w:t>dichas personas</w:t>
      </w:r>
      <w:r w:rsidR="00642537" w:rsidRPr="00C41275">
        <w:rPr>
          <w:rFonts w:asciiTheme="majorHAnsi" w:hAnsiTheme="majorHAnsi"/>
          <w:sz w:val="20"/>
          <w:szCs w:val="20"/>
          <w:lang w:val="es-ES_tradnl"/>
        </w:rPr>
        <w:t xml:space="preserve"> se vieron imposibilitados de conseguir trabajo, debido a la discriminación y estigmatización que sufrieron por parte de la sociedad tras haber sido sometidos a procesos por terrorismo</w:t>
      </w:r>
      <w:r w:rsidR="00595F09" w:rsidRPr="00C41275">
        <w:rPr>
          <w:rFonts w:asciiTheme="majorHAnsi" w:hAnsiTheme="majorHAnsi"/>
          <w:sz w:val="20"/>
          <w:szCs w:val="20"/>
          <w:lang w:val="es-ES_tradnl"/>
        </w:rPr>
        <w:t xml:space="preserve"> y/o traición a la patria</w:t>
      </w:r>
      <w:r w:rsidR="00642537" w:rsidRPr="00C41275">
        <w:rPr>
          <w:rFonts w:asciiTheme="majorHAnsi" w:hAnsiTheme="majorHAnsi"/>
          <w:sz w:val="20"/>
          <w:szCs w:val="20"/>
          <w:lang w:val="es-ES_tradnl"/>
        </w:rPr>
        <w:t>.</w:t>
      </w:r>
    </w:p>
    <w:p w14:paraId="0FDB8C05" w14:textId="56405062" w:rsidR="00642537" w:rsidRPr="00C41275" w:rsidRDefault="00642537" w:rsidP="005C76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Demanda de indemnización por detención arbitraria</w:t>
      </w:r>
    </w:p>
    <w:p w14:paraId="3BAC5055" w14:textId="6D3B2183" w:rsidR="00FD69CE" w:rsidRPr="00C41275" w:rsidRDefault="00936FB4" w:rsidP="00A527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La parte peticionaria </w:t>
      </w:r>
      <w:r w:rsidR="003F640F" w:rsidRPr="00C41275">
        <w:rPr>
          <w:rFonts w:asciiTheme="majorHAnsi" w:hAnsiTheme="majorHAnsi"/>
          <w:sz w:val="20"/>
          <w:szCs w:val="20"/>
          <w:lang w:val="es-ES_tradnl"/>
        </w:rPr>
        <w:t>a</w:t>
      </w:r>
      <w:r w:rsidR="00E13D2F" w:rsidRPr="00C41275">
        <w:rPr>
          <w:rFonts w:asciiTheme="majorHAnsi" w:hAnsiTheme="majorHAnsi"/>
          <w:sz w:val="20"/>
          <w:szCs w:val="20"/>
          <w:lang w:val="es-ES_tradnl"/>
        </w:rPr>
        <w:t>firma que el 27 de diciembre de 2004</w:t>
      </w:r>
      <w:r w:rsidR="00595F09" w:rsidRPr="00C41275">
        <w:rPr>
          <w:rFonts w:asciiTheme="majorHAnsi" w:hAnsiTheme="majorHAnsi"/>
          <w:sz w:val="20"/>
          <w:szCs w:val="20"/>
          <w:lang w:val="es-ES_tradnl"/>
        </w:rPr>
        <w:t xml:space="preserve"> diecisiete de</w:t>
      </w:r>
      <w:r w:rsidR="00E13D2F" w:rsidRPr="00C41275">
        <w:rPr>
          <w:rFonts w:asciiTheme="majorHAnsi" w:hAnsiTheme="majorHAnsi"/>
          <w:sz w:val="20"/>
          <w:szCs w:val="20"/>
          <w:lang w:val="es-ES_tradnl"/>
        </w:rPr>
        <w:t xml:space="preserve"> las presuntas víctimas </w:t>
      </w:r>
      <w:r w:rsidR="00595F09" w:rsidRPr="00C41275">
        <w:rPr>
          <w:rFonts w:asciiTheme="majorHAnsi" w:hAnsiTheme="majorHAnsi"/>
          <w:sz w:val="20"/>
          <w:szCs w:val="20"/>
          <w:lang w:val="es-ES_tradnl"/>
        </w:rPr>
        <w:t xml:space="preserve">(detalladas en el anexo 1) </w:t>
      </w:r>
      <w:r w:rsidR="00E13D2F" w:rsidRPr="00C41275">
        <w:rPr>
          <w:rFonts w:asciiTheme="majorHAnsi" w:hAnsiTheme="majorHAnsi"/>
          <w:sz w:val="20"/>
          <w:szCs w:val="20"/>
          <w:lang w:val="es-ES_tradnl"/>
        </w:rPr>
        <w:t>presentaron, de manera colectiva, una demanda de indemnización por detención arbitraria</w:t>
      </w:r>
      <w:r w:rsidR="00FD69CE" w:rsidRPr="00C41275">
        <w:rPr>
          <w:rFonts w:asciiTheme="majorHAnsi" w:hAnsiTheme="majorHAnsi"/>
          <w:sz w:val="20"/>
          <w:szCs w:val="20"/>
          <w:lang w:val="es-ES_tradnl"/>
        </w:rPr>
        <w:t>, solicitando el pago de 20,000.00 nuevos soles (</w:t>
      </w:r>
      <w:r w:rsidR="006833A9" w:rsidRPr="00C41275">
        <w:rPr>
          <w:rFonts w:asciiTheme="majorHAnsi" w:hAnsiTheme="majorHAnsi"/>
          <w:sz w:val="20"/>
          <w:szCs w:val="20"/>
          <w:lang w:val="es-ES_tradnl"/>
        </w:rPr>
        <w:t xml:space="preserve">aproximadamente USD$. </w:t>
      </w:r>
      <w:r w:rsidR="004647A4" w:rsidRPr="00C41275">
        <w:rPr>
          <w:rFonts w:asciiTheme="majorHAnsi" w:hAnsiTheme="majorHAnsi"/>
          <w:sz w:val="20"/>
          <w:szCs w:val="20"/>
          <w:lang w:val="es-ES_tradnl"/>
        </w:rPr>
        <w:t xml:space="preserve">5,200 </w:t>
      </w:r>
      <w:r w:rsidR="006833A9" w:rsidRPr="00C41275">
        <w:rPr>
          <w:rFonts w:asciiTheme="majorHAnsi" w:hAnsiTheme="majorHAnsi"/>
          <w:sz w:val="20"/>
          <w:szCs w:val="20"/>
          <w:lang w:val="es-ES_tradnl"/>
        </w:rPr>
        <w:t>en ese momento</w:t>
      </w:r>
      <w:r w:rsidR="004647A4" w:rsidRPr="00C41275">
        <w:rPr>
          <w:rFonts w:asciiTheme="majorHAnsi" w:hAnsiTheme="majorHAnsi"/>
          <w:sz w:val="20"/>
          <w:szCs w:val="20"/>
          <w:lang w:val="es-ES_tradnl"/>
        </w:rPr>
        <w:t>) por c</w:t>
      </w:r>
      <w:r w:rsidR="00A52702" w:rsidRPr="00C41275">
        <w:rPr>
          <w:rFonts w:asciiTheme="majorHAnsi" w:hAnsiTheme="majorHAnsi"/>
          <w:sz w:val="20"/>
          <w:szCs w:val="20"/>
          <w:lang w:val="es-ES_tradnl"/>
        </w:rPr>
        <w:t xml:space="preserve">ada año de reclusión, más lo que corresponda por lucro cesante. </w:t>
      </w:r>
      <w:r w:rsidR="00E13D2F" w:rsidRPr="00C41275">
        <w:rPr>
          <w:rFonts w:asciiTheme="majorHAnsi" w:hAnsiTheme="majorHAnsi"/>
          <w:sz w:val="20"/>
          <w:szCs w:val="20"/>
          <w:lang w:val="es-ES_tradnl"/>
        </w:rPr>
        <w:t xml:space="preserve">Detallan </w:t>
      </w:r>
      <w:r w:rsidR="00FD69CE" w:rsidRPr="00C41275">
        <w:rPr>
          <w:rFonts w:asciiTheme="majorHAnsi" w:hAnsiTheme="majorHAnsi"/>
          <w:sz w:val="20"/>
          <w:szCs w:val="20"/>
          <w:lang w:val="es-ES_tradnl"/>
        </w:rPr>
        <w:t>que</w:t>
      </w:r>
      <w:r w:rsidR="00E13D2F" w:rsidRPr="00C41275">
        <w:rPr>
          <w:rFonts w:asciiTheme="majorHAnsi" w:hAnsiTheme="majorHAnsi"/>
          <w:sz w:val="20"/>
          <w:szCs w:val="20"/>
          <w:lang w:val="es-ES_tradnl"/>
        </w:rPr>
        <w:t xml:space="preserve"> debido a sus limitaciones económicas, tales personas solicitaron auxilio judicial, a efectos que </w:t>
      </w:r>
      <w:r w:rsidR="000379C7" w:rsidRPr="00C41275">
        <w:rPr>
          <w:rFonts w:asciiTheme="majorHAnsi" w:hAnsiTheme="majorHAnsi"/>
          <w:sz w:val="20"/>
          <w:szCs w:val="20"/>
          <w:lang w:val="es-ES_tradnl"/>
        </w:rPr>
        <w:t xml:space="preserve">se </w:t>
      </w:r>
      <w:r w:rsidR="00E13D2F" w:rsidRPr="00C41275">
        <w:rPr>
          <w:rFonts w:asciiTheme="majorHAnsi" w:hAnsiTheme="majorHAnsi"/>
          <w:sz w:val="20"/>
          <w:szCs w:val="20"/>
          <w:lang w:val="es-ES_tradnl"/>
        </w:rPr>
        <w:t xml:space="preserve">les dispense de abonar las tasas judiciales aplicables al proceso. Sin embargo, el 4 de enero de 2005 el Cuarto Juzgado Especializado en lo </w:t>
      </w:r>
      <w:r w:rsidR="00E13D2F" w:rsidRPr="00C41275">
        <w:rPr>
          <w:rFonts w:asciiTheme="majorHAnsi" w:hAnsiTheme="majorHAnsi"/>
          <w:sz w:val="20"/>
          <w:szCs w:val="20"/>
          <w:lang w:val="es-ES_tradnl"/>
        </w:rPr>
        <w:lastRenderedPageBreak/>
        <w:t>Civil de Lima declaró improcedente la acción, al considerar que los hechos expuestos en la demanda no provenían de un mismo título</w:t>
      </w:r>
      <w:r w:rsidR="00541080" w:rsidRPr="00C41275">
        <w:rPr>
          <w:rFonts w:asciiTheme="majorHAnsi" w:hAnsiTheme="majorHAnsi"/>
          <w:sz w:val="20"/>
          <w:szCs w:val="20"/>
          <w:lang w:val="es-ES_tradnl"/>
        </w:rPr>
        <w:t>,</w:t>
      </w:r>
      <w:r w:rsidR="00E13D2F" w:rsidRPr="00C41275">
        <w:rPr>
          <w:rFonts w:asciiTheme="majorHAnsi" w:hAnsiTheme="majorHAnsi"/>
          <w:sz w:val="20"/>
          <w:szCs w:val="20"/>
          <w:lang w:val="es-ES_tradnl"/>
        </w:rPr>
        <w:t xml:space="preserve"> y en consecuencia, se trataba de una acumulación indebida de pretensiones. </w:t>
      </w:r>
    </w:p>
    <w:p w14:paraId="64DD722B" w14:textId="0E8C013C" w:rsidR="00642537" w:rsidRPr="00C41275" w:rsidRDefault="00E13D2F" w:rsidP="009E303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Ante ello, el 18 de febrero de 2005 las presuntas víctimas presentaron un recurso de apelación</w:t>
      </w:r>
      <w:r w:rsidR="000379C7" w:rsidRPr="00C41275">
        <w:rPr>
          <w:rFonts w:asciiTheme="majorHAnsi" w:hAnsiTheme="majorHAnsi"/>
          <w:sz w:val="20"/>
          <w:szCs w:val="20"/>
          <w:lang w:val="es-ES_tradnl"/>
        </w:rPr>
        <w:t xml:space="preserve"> sin </w:t>
      </w:r>
      <w:r w:rsidR="00541080" w:rsidRPr="00C41275">
        <w:rPr>
          <w:rFonts w:asciiTheme="majorHAnsi" w:hAnsiTheme="majorHAnsi"/>
          <w:sz w:val="20"/>
          <w:szCs w:val="20"/>
          <w:lang w:val="es-ES_tradnl"/>
        </w:rPr>
        <w:t>acompañar</w:t>
      </w:r>
      <w:r w:rsidRPr="00C41275">
        <w:rPr>
          <w:rFonts w:asciiTheme="majorHAnsi" w:hAnsiTheme="majorHAnsi"/>
          <w:sz w:val="20"/>
          <w:szCs w:val="20"/>
          <w:lang w:val="es-ES_tradnl"/>
        </w:rPr>
        <w:t xml:space="preserve"> </w:t>
      </w:r>
      <w:r w:rsidR="000379C7" w:rsidRPr="00C41275">
        <w:rPr>
          <w:rFonts w:asciiTheme="majorHAnsi" w:hAnsiTheme="majorHAnsi"/>
          <w:sz w:val="20"/>
          <w:szCs w:val="20"/>
          <w:lang w:val="es-ES_tradnl"/>
        </w:rPr>
        <w:t>el correspondiente pago de arancel</w:t>
      </w:r>
      <w:r w:rsidRPr="00C41275">
        <w:rPr>
          <w:rFonts w:asciiTheme="majorHAnsi" w:hAnsiTheme="majorHAnsi"/>
          <w:sz w:val="20"/>
          <w:szCs w:val="20"/>
          <w:lang w:val="es-ES_tradnl"/>
        </w:rPr>
        <w:t xml:space="preserve">, dado que ya habían solicitado auxilio judicial al momento de interponer la demanda. A pesar de ello, el 1 de abril de 2005 </w:t>
      </w:r>
      <w:r w:rsidR="00FD69CE" w:rsidRPr="00C41275">
        <w:rPr>
          <w:rFonts w:asciiTheme="majorHAnsi" w:hAnsiTheme="majorHAnsi"/>
          <w:sz w:val="20"/>
          <w:szCs w:val="20"/>
          <w:lang w:val="es-ES_tradnl"/>
        </w:rPr>
        <w:t xml:space="preserve">el órgano judicial competente les respondió que debían acreditar el pago </w:t>
      </w:r>
      <w:r w:rsidR="000379C7" w:rsidRPr="00C41275">
        <w:rPr>
          <w:rFonts w:asciiTheme="majorHAnsi" w:hAnsiTheme="majorHAnsi"/>
          <w:sz w:val="20"/>
          <w:szCs w:val="20"/>
          <w:lang w:val="es-ES_tradnl"/>
        </w:rPr>
        <w:t>de dicha tasa</w:t>
      </w:r>
      <w:r w:rsidR="00FD69CE" w:rsidRPr="00C41275">
        <w:rPr>
          <w:rFonts w:asciiTheme="majorHAnsi" w:hAnsiTheme="majorHAnsi"/>
          <w:sz w:val="20"/>
          <w:szCs w:val="20"/>
          <w:lang w:val="es-ES_tradnl"/>
        </w:rPr>
        <w:t xml:space="preserve"> dentro del plazo de </w:t>
      </w:r>
      <w:r w:rsidR="00541080" w:rsidRPr="00C41275">
        <w:rPr>
          <w:rFonts w:asciiTheme="majorHAnsi" w:hAnsiTheme="majorHAnsi"/>
          <w:sz w:val="20"/>
          <w:szCs w:val="20"/>
          <w:lang w:val="es-ES_tradnl"/>
        </w:rPr>
        <w:t>tres</w:t>
      </w:r>
      <w:r w:rsidR="00FD69CE" w:rsidRPr="00C41275">
        <w:rPr>
          <w:rFonts w:asciiTheme="majorHAnsi" w:hAnsiTheme="majorHAnsi"/>
          <w:sz w:val="20"/>
          <w:szCs w:val="20"/>
          <w:lang w:val="es-ES_tradnl"/>
        </w:rPr>
        <w:t xml:space="preserve"> días, bajo apercibimiento de rechazarse su escrito. </w:t>
      </w:r>
      <w:r w:rsidR="00541080" w:rsidRPr="00C41275">
        <w:rPr>
          <w:rFonts w:asciiTheme="majorHAnsi" w:hAnsiTheme="majorHAnsi"/>
          <w:sz w:val="20"/>
          <w:szCs w:val="20"/>
          <w:lang w:val="es-ES_tradnl"/>
        </w:rPr>
        <w:t>E</w:t>
      </w:r>
      <w:r w:rsidR="00FD69CE" w:rsidRPr="00C41275">
        <w:rPr>
          <w:rFonts w:asciiTheme="majorHAnsi" w:hAnsiTheme="majorHAnsi"/>
          <w:sz w:val="20"/>
          <w:szCs w:val="20"/>
          <w:lang w:val="es-ES_tradnl"/>
        </w:rPr>
        <w:t>l 20 de abril de 2005 las presuntas víctimas argumentaron que la exigencia de</w:t>
      </w:r>
      <w:r w:rsidR="000379C7" w:rsidRPr="00C41275">
        <w:rPr>
          <w:rFonts w:asciiTheme="majorHAnsi" w:hAnsiTheme="majorHAnsi"/>
          <w:sz w:val="20"/>
          <w:szCs w:val="20"/>
          <w:lang w:val="es-ES_tradnl"/>
        </w:rPr>
        <w:t>l pago del arancel</w:t>
      </w:r>
      <w:r w:rsidR="00FD69CE" w:rsidRPr="00C41275">
        <w:rPr>
          <w:rFonts w:asciiTheme="majorHAnsi" w:hAnsiTheme="majorHAnsi"/>
          <w:sz w:val="20"/>
          <w:szCs w:val="20"/>
          <w:lang w:val="es-ES_tradnl"/>
        </w:rPr>
        <w:t xml:space="preserve"> judicial por concepto de apelación limitaba su derecho de acceso a la justicia</w:t>
      </w:r>
      <w:r w:rsidR="00541080" w:rsidRPr="00C41275">
        <w:rPr>
          <w:rFonts w:asciiTheme="majorHAnsi" w:hAnsiTheme="majorHAnsi"/>
          <w:sz w:val="20"/>
          <w:szCs w:val="20"/>
          <w:lang w:val="es-ES_tradnl"/>
        </w:rPr>
        <w:t>;</w:t>
      </w:r>
      <w:r w:rsidR="00FD69CE" w:rsidRPr="00C41275">
        <w:rPr>
          <w:rFonts w:asciiTheme="majorHAnsi" w:hAnsiTheme="majorHAnsi"/>
          <w:sz w:val="20"/>
          <w:szCs w:val="20"/>
          <w:lang w:val="es-ES_tradnl"/>
        </w:rPr>
        <w:t xml:space="preserve"> y que no se había respondido su pedido de auxilio judicial. </w:t>
      </w:r>
      <w:r w:rsidR="00541080" w:rsidRPr="00C41275">
        <w:rPr>
          <w:rFonts w:asciiTheme="majorHAnsi" w:hAnsiTheme="majorHAnsi"/>
          <w:sz w:val="20"/>
          <w:szCs w:val="20"/>
          <w:lang w:val="es-ES_tradnl"/>
        </w:rPr>
        <w:t>La parte peticionaria d</w:t>
      </w:r>
      <w:r w:rsidR="00FD69CE" w:rsidRPr="00C41275">
        <w:rPr>
          <w:rFonts w:asciiTheme="majorHAnsi" w:hAnsiTheme="majorHAnsi"/>
          <w:sz w:val="20"/>
          <w:szCs w:val="20"/>
          <w:lang w:val="es-ES_tradnl"/>
        </w:rPr>
        <w:t>etalla que a pesar de que el 7 de septiembre de 2005 solicitaron nuevamente que se emita un pronunciamiento,</w:t>
      </w:r>
      <w:r w:rsidR="009E3034" w:rsidRPr="00C41275">
        <w:rPr>
          <w:rFonts w:asciiTheme="majorHAnsi" w:hAnsiTheme="majorHAnsi"/>
          <w:sz w:val="20"/>
          <w:szCs w:val="20"/>
          <w:lang w:val="es-ES_tradnl"/>
        </w:rPr>
        <w:t xml:space="preserve"> nunca se emitió </w:t>
      </w:r>
      <w:r w:rsidR="00FD69CE" w:rsidRPr="00C41275">
        <w:rPr>
          <w:rFonts w:asciiTheme="majorHAnsi" w:hAnsiTheme="majorHAnsi"/>
          <w:sz w:val="20"/>
          <w:szCs w:val="20"/>
          <w:lang w:val="es-ES_tradnl"/>
        </w:rPr>
        <w:t xml:space="preserve">un pronunciamiento judicial sobre este aspecto. </w:t>
      </w:r>
    </w:p>
    <w:p w14:paraId="2A076CA3" w14:textId="3BCCB029" w:rsidR="004647A4" w:rsidRPr="00C41275" w:rsidRDefault="004647A4" w:rsidP="005410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Presuntas víctimas que no presentaron una demanda ante los tribunales debido a la alegada falta de un recurso adecuado</w:t>
      </w:r>
    </w:p>
    <w:p w14:paraId="01973A2F" w14:textId="3986E95B" w:rsidR="002E7C49" w:rsidRPr="00C41275" w:rsidRDefault="00B21950" w:rsidP="002E7C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La parte peticionaria i</w:t>
      </w:r>
      <w:r w:rsidR="000D1AB2" w:rsidRPr="00C41275">
        <w:rPr>
          <w:rFonts w:asciiTheme="majorHAnsi" w:hAnsiTheme="majorHAnsi"/>
          <w:sz w:val="20"/>
          <w:szCs w:val="20"/>
          <w:lang w:val="es-ES_tradnl"/>
        </w:rPr>
        <w:t xml:space="preserve">nforma que </w:t>
      </w:r>
      <w:r w:rsidR="000379C7" w:rsidRPr="00C41275">
        <w:rPr>
          <w:rFonts w:asciiTheme="majorHAnsi" w:hAnsiTheme="majorHAnsi"/>
          <w:sz w:val="20"/>
          <w:szCs w:val="20"/>
          <w:lang w:val="es-ES_tradnl"/>
        </w:rPr>
        <w:t>un conjunto de presuntas víctimas no participó en la referida acción de indemnización (detalladas en el anexo 2), dado que su situación de indigencia</w:t>
      </w:r>
      <w:r w:rsidR="009E3034" w:rsidRPr="00C41275">
        <w:rPr>
          <w:rFonts w:asciiTheme="majorHAnsi" w:hAnsiTheme="majorHAnsi"/>
          <w:sz w:val="20"/>
          <w:szCs w:val="20"/>
          <w:lang w:val="es-ES_tradnl"/>
        </w:rPr>
        <w:t>, pr</w:t>
      </w:r>
      <w:r w:rsidR="000379C7" w:rsidRPr="00C41275">
        <w:rPr>
          <w:rFonts w:asciiTheme="majorHAnsi" w:hAnsiTheme="majorHAnsi"/>
          <w:sz w:val="20"/>
          <w:szCs w:val="20"/>
          <w:lang w:val="es-ES_tradnl"/>
        </w:rPr>
        <w:t>ovocada por su encarcelación prolongada</w:t>
      </w:r>
      <w:r w:rsidR="009E3034" w:rsidRPr="00C41275">
        <w:rPr>
          <w:rFonts w:asciiTheme="majorHAnsi" w:hAnsiTheme="majorHAnsi"/>
          <w:sz w:val="20"/>
          <w:szCs w:val="20"/>
          <w:lang w:val="es-ES_tradnl"/>
        </w:rPr>
        <w:t>, n</w:t>
      </w:r>
      <w:r w:rsidR="000379C7" w:rsidRPr="00C41275">
        <w:rPr>
          <w:rFonts w:asciiTheme="majorHAnsi" w:hAnsiTheme="majorHAnsi"/>
          <w:sz w:val="20"/>
          <w:szCs w:val="20"/>
          <w:lang w:val="es-ES_tradnl"/>
        </w:rPr>
        <w:t>o les permitía contar con el dinero suficiente para contratar asesoramiento legal y pagar las tasas judiciales.</w:t>
      </w:r>
      <w:r w:rsidR="002E7C49" w:rsidRPr="00C41275">
        <w:rPr>
          <w:rFonts w:asciiTheme="majorHAnsi" w:hAnsiTheme="majorHAnsi"/>
          <w:sz w:val="20"/>
          <w:szCs w:val="20"/>
          <w:lang w:val="es-ES_tradnl"/>
        </w:rPr>
        <w:t xml:space="preserve"> En esa línea, tomando en consideración los numerosos obstáculos sufridos por las personas que interpusieron la citada demanda de indemnización, este conjunto de presuntas víctimas no intentó ninguna acción judicial ante instancias nacionales, al considerar que se encontraban en una situación similar a las personas que demandaron y, en consecuencia, no contarían con recursos adecuados y efectivos para proteger su derecho a la reparación. </w:t>
      </w:r>
    </w:p>
    <w:p w14:paraId="342D97F7" w14:textId="0E7C2B4F" w:rsidR="00984263" w:rsidRPr="00C41275" w:rsidRDefault="00984263" w:rsidP="00B219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Alegatos de la parte peticionaria</w:t>
      </w:r>
    </w:p>
    <w:p w14:paraId="2084ED47" w14:textId="5694A8A0" w:rsidR="002E7C49" w:rsidRPr="00C41275" w:rsidRDefault="00204D1D" w:rsidP="002E7C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En virtud de las citadas consideraciones, la parte peticionaria denuncia que</w:t>
      </w:r>
      <w:r w:rsidR="002E7C49" w:rsidRPr="00C41275">
        <w:rPr>
          <w:rFonts w:asciiTheme="majorHAnsi" w:hAnsiTheme="majorHAnsi"/>
          <w:sz w:val="20"/>
          <w:szCs w:val="20"/>
          <w:lang w:val="es-ES_tradnl"/>
        </w:rPr>
        <w:t xml:space="preserve"> el Estado hasta la fecha no indemnizado a las presuntas víctimas por las afectaciones derivadas de su privación arbitraria de la libertad. Informa que l</w:t>
      </w:r>
      <w:r w:rsidR="004D09FB" w:rsidRPr="00C41275">
        <w:rPr>
          <w:rFonts w:asciiTheme="majorHAnsi" w:hAnsiTheme="majorHAnsi"/>
          <w:sz w:val="20"/>
          <w:szCs w:val="20"/>
          <w:lang w:val="es-ES_tradnl"/>
        </w:rPr>
        <w:t>os peticionarios viven en situaci</w:t>
      </w:r>
      <w:r w:rsidR="00C51F00" w:rsidRPr="00C41275">
        <w:rPr>
          <w:rFonts w:asciiTheme="majorHAnsi" w:hAnsiTheme="majorHAnsi"/>
          <w:sz w:val="20"/>
          <w:szCs w:val="20"/>
          <w:lang w:val="es-ES_tradnl"/>
        </w:rPr>
        <w:t>ón</w:t>
      </w:r>
      <w:r w:rsidR="004D09FB" w:rsidRPr="00C41275">
        <w:rPr>
          <w:rFonts w:asciiTheme="majorHAnsi" w:hAnsiTheme="majorHAnsi"/>
          <w:sz w:val="20"/>
          <w:szCs w:val="20"/>
          <w:lang w:val="es-ES_tradnl"/>
        </w:rPr>
        <w:t xml:space="preserve"> </w:t>
      </w:r>
      <w:r w:rsidR="002E7C49" w:rsidRPr="00C41275">
        <w:rPr>
          <w:rFonts w:asciiTheme="majorHAnsi" w:hAnsiTheme="majorHAnsi"/>
          <w:sz w:val="20"/>
          <w:szCs w:val="20"/>
          <w:lang w:val="es-ES_tradnl"/>
        </w:rPr>
        <w:t>de extrema pobreza</w:t>
      </w:r>
      <w:r w:rsidR="00E435A2" w:rsidRPr="00C41275">
        <w:rPr>
          <w:rFonts w:asciiTheme="majorHAnsi" w:hAnsiTheme="majorHAnsi"/>
          <w:sz w:val="20"/>
          <w:szCs w:val="20"/>
          <w:lang w:val="es-ES_tradnl"/>
        </w:rPr>
        <w:t xml:space="preserve"> como consecuencia directa del daño que el Estado infringió en sus proyectos de vida</w:t>
      </w:r>
      <w:r w:rsidR="00C51F00" w:rsidRPr="00C41275">
        <w:rPr>
          <w:rFonts w:asciiTheme="majorHAnsi" w:hAnsiTheme="majorHAnsi"/>
          <w:sz w:val="20"/>
          <w:szCs w:val="20"/>
          <w:lang w:val="es-ES_tradnl"/>
        </w:rPr>
        <w:t>;</w:t>
      </w:r>
      <w:r w:rsidR="002E7C49" w:rsidRPr="00C41275">
        <w:rPr>
          <w:rFonts w:asciiTheme="majorHAnsi" w:hAnsiTheme="majorHAnsi"/>
          <w:sz w:val="20"/>
          <w:szCs w:val="20"/>
          <w:lang w:val="es-ES_tradnl"/>
        </w:rPr>
        <w:t xml:space="preserve"> y que la mayoría viven en zonas rurales y zonas urbanas pobres. En ese sentido, alega que la lejanía del sistema de justicia con respecto a sus comunidades constituye</w:t>
      </w:r>
      <w:r w:rsidR="004D09FB" w:rsidRPr="00C41275">
        <w:rPr>
          <w:rFonts w:asciiTheme="majorHAnsi" w:hAnsiTheme="majorHAnsi"/>
          <w:sz w:val="20"/>
          <w:szCs w:val="20"/>
          <w:lang w:val="es-ES_tradnl"/>
        </w:rPr>
        <w:t xml:space="preserve"> una barrera para su acceso a las cortes de justicia para determinar la cuantía de las reparaciones. </w:t>
      </w:r>
    </w:p>
    <w:p w14:paraId="159318DB" w14:textId="2A30B6A7" w:rsidR="004D09FB" w:rsidRPr="00C41275" w:rsidRDefault="002E7C49" w:rsidP="00E435A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Arguye </w:t>
      </w:r>
      <w:r w:rsidR="00E435A2" w:rsidRPr="00C41275">
        <w:rPr>
          <w:rFonts w:asciiTheme="majorHAnsi" w:hAnsiTheme="majorHAnsi"/>
          <w:sz w:val="20"/>
          <w:szCs w:val="20"/>
          <w:lang w:val="es-ES_tradnl"/>
        </w:rPr>
        <w:t>que</w:t>
      </w:r>
      <w:r w:rsidRPr="00C41275">
        <w:rPr>
          <w:rFonts w:asciiTheme="majorHAnsi" w:hAnsiTheme="majorHAnsi"/>
          <w:sz w:val="20"/>
          <w:szCs w:val="20"/>
          <w:lang w:val="es-ES_tradnl"/>
        </w:rPr>
        <w:t xml:space="preserve"> p</w:t>
      </w:r>
      <w:r w:rsidR="004D09FB" w:rsidRPr="00C41275">
        <w:rPr>
          <w:rFonts w:asciiTheme="majorHAnsi" w:hAnsiTheme="majorHAnsi"/>
          <w:sz w:val="20"/>
          <w:szCs w:val="20"/>
          <w:lang w:val="es-ES_tradnl"/>
        </w:rPr>
        <w:t xml:space="preserve">ara superar estas barreras </w:t>
      </w:r>
      <w:r w:rsidRPr="00C41275">
        <w:rPr>
          <w:rFonts w:asciiTheme="majorHAnsi" w:hAnsiTheme="majorHAnsi"/>
          <w:sz w:val="20"/>
          <w:szCs w:val="20"/>
          <w:lang w:val="es-ES_tradnl"/>
        </w:rPr>
        <w:t>las presuntas víctimas</w:t>
      </w:r>
      <w:r w:rsidR="004D09FB" w:rsidRPr="00C41275">
        <w:rPr>
          <w:rFonts w:asciiTheme="majorHAnsi" w:hAnsiTheme="majorHAnsi"/>
          <w:sz w:val="20"/>
          <w:szCs w:val="20"/>
          <w:lang w:val="es-ES_tradnl"/>
        </w:rPr>
        <w:t xml:space="preserve"> </w:t>
      </w:r>
      <w:r w:rsidR="00C51F00" w:rsidRPr="00C41275">
        <w:rPr>
          <w:rFonts w:asciiTheme="majorHAnsi" w:hAnsiTheme="majorHAnsi"/>
          <w:sz w:val="20"/>
          <w:szCs w:val="20"/>
          <w:lang w:val="es-ES_tradnl"/>
        </w:rPr>
        <w:t>utilizaron</w:t>
      </w:r>
      <w:r w:rsidRPr="00C41275">
        <w:rPr>
          <w:rFonts w:asciiTheme="majorHAnsi" w:hAnsiTheme="majorHAnsi"/>
          <w:sz w:val="20"/>
          <w:szCs w:val="20"/>
          <w:lang w:val="es-ES_tradnl"/>
        </w:rPr>
        <w:t xml:space="preserve"> los mecanismos dispuestos por</w:t>
      </w:r>
      <w:r w:rsidR="004D09FB" w:rsidRPr="00C41275">
        <w:rPr>
          <w:rFonts w:asciiTheme="majorHAnsi" w:hAnsiTheme="majorHAnsi"/>
          <w:sz w:val="20"/>
          <w:szCs w:val="20"/>
          <w:lang w:val="es-ES_tradnl"/>
        </w:rPr>
        <w:t xml:space="preserve"> la legislación para garantizar su acceso a un recurso adecuado, esto es</w:t>
      </w:r>
      <w:r w:rsidR="00E435A2" w:rsidRPr="00C41275">
        <w:rPr>
          <w:rFonts w:asciiTheme="majorHAnsi" w:hAnsiTheme="majorHAnsi"/>
          <w:sz w:val="20"/>
          <w:szCs w:val="20"/>
          <w:lang w:val="es-ES_tradnl"/>
        </w:rPr>
        <w:t xml:space="preserve">: </w:t>
      </w:r>
      <w:r w:rsidR="004D09FB" w:rsidRPr="00C41275">
        <w:rPr>
          <w:rFonts w:asciiTheme="majorHAnsi" w:hAnsiTheme="majorHAnsi"/>
          <w:sz w:val="20"/>
          <w:szCs w:val="20"/>
          <w:lang w:val="es-ES_tradnl"/>
        </w:rPr>
        <w:t>a) la acumulación de causas de vari</w:t>
      </w:r>
      <w:r w:rsidRPr="00C41275">
        <w:rPr>
          <w:rFonts w:asciiTheme="majorHAnsi" w:hAnsiTheme="majorHAnsi"/>
          <w:sz w:val="20"/>
          <w:szCs w:val="20"/>
          <w:lang w:val="es-ES_tradnl"/>
        </w:rPr>
        <w:t>as personas demandantes</w:t>
      </w:r>
      <w:r w:rsidR="004D09FB" w:rsidRPr="00C41275">
        <w:rPr>
          <w:rFonts w:asciiTheme="majorHAnsi" w:hAnsiTheme="majorHAnsi"/>
          <w:sz w:val="20"/>
          <w:szCs w:val="20"/>
          <w:lang w:val="es-ES_tradnl"/>
        </w:rPr>
        <w:t xml:space="preserve"> para garantizar la representación judicial de todos los Inocentes Liberados como una medida de economía procesal</w:t>
      </w:r>
      <w:r w:rsidR="00E435A2" w:rsidRPr="00C41275">
        <w:rPr>
          <w:rFonts w:asciiTheme="majorHAnsi" w:hAnsiTheme="majorHAnsi"/>
          <w:sz w:val="20"/>
          <w:szCs w:val="20"/>
          <w:lang w:val="es-ES_tradnl"/>
        </w:rPr>
        <w:t>;</w:t>
      </w:r>
      <w:r w:rsidR="004D09FB" w:rsidRPr="00C41275">
        <w:rPr>
          <w:rFonts w:asciiTheme="majorHAnsi" w:hAnsiTheme="majorHAnsi"/>
          <w:sz w:val="20"/>
          <w:szCs w:val="20"/>
          <w:lang w:val="es-ES_tradnl"/>
        </w:rPr>
        <w:t xml:space="preserve"> y b) la exención de tasas judiciales</w:t>
      </w:r>
      <w:r w:rsidR="00E435A2" w:rsidRPr="00C41275">
        <w:rPr>
          <w:rFonts w:asciiTheme="majorHAnsi" w:hAnsiTheme="majorHAnsi"/>
          <w:sz w:val="20"/>
          <w:szCs w:val="20"/>
          <w:lang w:val="es-ES_tradnl"/>
        </w:rPr>
        <w:t xml:space="preserve">, a efectos de </w:t>
      </w:r>
      <w:r w:rsidR="004D09FB" w:rsidRPr="00C41275">
        <w:rPr>
          <w:rFonts w:asciiTheme="majorHAnsi" w:hAnsiTheme="majorHAnsi"/>
          <w:sz w:val="20"/>
          <w:szCs w:val="20"/>
          <w:lang w:val="es-ES_tradnl"/>
        </w:rPr>
        <w:t xml:space="preserve">aliviar los costos </w:t>
      </w:r>
      <w:r w:rsidR="00E435A2" w:rsidRPr="00C41275">
        <w:rPr>
          <w:rFonts w:asciiTheme="majorHAnsi" w:hAnsiTheme="majorHAnsi"/>
          <w:sz w:val="20"/>
          <w:szCs w:val="20"/>
          <w:lang w:val="es-ES_tradnl"/>
        </w:rPr>
        <w:t>del proceso. Detalla que el uso de estos mecanismos</w:t>
      </w:r>
      <w:r w:rsidR="004D09FB" w:rsidRPr="00C41275">
        <w:rPr>
          <w:rFonts w:asciiTheme="majorHAnsi" w:hAnsiTheme="majorHAnsi"/>
          <w:sz w:val="20"/>
          <w:szCs w:val="20"/>
          <w:lang w:val="es-ES_tradnl"/>
        </w:rPr>
        <w:t xml:space="preserve"> era la única forma </w:t>
      </w:r>
      <w:r w:rsidR="00E435A2" w:rsidRPr="00C41275">
        <w:rPr>
          <w:rFonts w:asciiTheme="majorHAnsi" w:hAnsiTheme="majorHAnsi"/>
          <w:sz w:val="20"/>
          <w:szCs w:val="20"/>
          <w:lang w:val="es-ES_tradnl"/>
        </w:rPr>
        <w:t xml:space="preserve">en que las presuntas víctimas podían </w:t>
      </w:r>
      <w:r w:rsidR="004D09FB" w:rsidRPr="00C41275">
        <w:rPr>
          <w:rFonts w:asciiTheme="majorHAnsi" w:hAnsiTheme="majorHAnsi"/>
          <w:sz w:val="20"/>
          <w:szCs w:val="20"/>
          <w:lang w:val="es-ES_tradnl"/>
        </w:rPr>
        <w:t xml:space="preserve">acceder a un recurso efectivo que garantizara su derecho a la reparación. </w:t>
      </w:r>
      <w:r w:rsidR="00E435A2" w:rsidRPr="00C41275">
        <w:rPr>
          <w:rFonts w:asciiTheme="majorHAnsi" w:hAnsiTheme="majorHAnsi"/>
          <w:sz w:val="20"/>
          <w:szCs w:val="20"/>
          <w:lang w:val="es-ES_tradnl"/>
        </w:rPr>
        <w:t>A pesar de ello, cuestiona que los órganos de justicia aplicaron de manera formalista las reglas procesales y declararon improcedente la demanda de indemnización las presuntas víctimas por una presunta indebida acumulación de pretensiones, a pesar de que todas estas personas fueron perjudicadas de manera colectiva y por el mismo patrón sistemático de conducta de agentes del Estado.</w:t>
      </w:r>
    </w:p>
    <w:p w14:paraId="3A989591" w14:textId="367571FC" w:rsidR="00E30F07" w:rsidRPr="00C41275" w:rsidRDefault="00E435A2" w:rsidP="00E435A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En relación con el derecho la integridad, solicita a la CIDH que </w:t>
      </w:r>
      <w:r w:rsidR="00E30F07" w:rsidRPr="00C41275">
        <w:rPr>
          <w:rFonts w:asciiTheme="majorHAnsi" w:hAnsiTheme="majorHAnsi"/>
          <w:sz w:val="20"/>
          <w:szCs w:val="20"/>
          <w:lang w:val="es-ES_tradnl"/>
        </w:rPr>
        <w:t>establezca que los períodos irrazonables de detención</w:t>
      </w:r>
      <w:r w:rsidR="006F6B7D" w:rsidRPr="00C41275">
        <w:rPr>
          <w:rFonts w:asciiTheme="majorHAnsi" w:hAnsiTheme="majorHAnsi"/>
          <w:sz w:val="20"/>
          <w:szCs w:val="20"/>
          <w:lang w:val="es-ES_tradnl"/>
        </w:rPr>
        <w:t>,</w:t>
      </w:r>
      <w:r w:rsidR="00E30F07" w:rsidRPr="00C41275">
        <w:rPr>
          <w:rFonts w:asciiTheme="majorHAnsi" w:hAnsiTheme="majorHAnsi"/>
          <w:sz w:val="20"/>
          <w:szCs w:val="20"/>
          <w:lang w:val="es-ES_tradnl"/>
        </w:rPr>
        <w:t xml:space="preserve"> y</w:t>
      </w:r>
      <w:r w:rsidRPr="00C41275">
        <w:rPr>
          <w:rFonts w:asciiTheme="majorHAnsi" w:hAnsiTheme="majorHAnsi"/>
          <w:sz w:val="20"/>
          <w:szCs w:val="20"/>
          <w:lang w:val="es-ES_tradnl"/>
        </w:rPr>
        <w:t xml:space="preserve"> el consecuente</w:t>
      </w:r>
      <w:r w:rsidR="00E30F07" w:rsidRPr="00C41275">
        <w:rPr>
          <w:rFonts w:asciiTheme="majorHAnsi" w:hAnsiTheme="majorHAnsi"/>
          <w:sz w:val="20"/>
          <w:szCs w:val="20"/>
          <w:lang w:val="es-ES_tradnl"/>
        </w:rPr>
        <w:t xml:space="preserve"> sufrimiento físico, moral, económico y psicológico, </w:t>
      </w:r>
      <w:r w:rsidRPr="00C41275">
        <w:rPr>
          <w:rFonts w:asciiTheme="majorHAnsi" w:hAnsiTheme="majorHAnsi"/>
          <w:sz w:val="20"/>
          <w:szCs w:val="20"/>
          <w:lang w:val="es-ES_tradnl"/>
        </w:rPr>
        <w:t xml:space="preserve">que padecieron las presuntas víctimas constituye un indicio suficiente para declarar la responsabilidad del Estado </w:t>
      </w:r>
      <w:r w:rsidR="00E30F07" w:rsidRPr="00C41275">
        <w:rPr>
          <w:rFonts w:asciiTheme="majorHAnsi" w:hAnsiTheme="majorHAnsi"/>
          <w:sz w:val="20"/>
          <w:szCs w:val="20"/>
          <w:lang w:val="es-ES_tradnl"/>
        </w:rPr>
        <w:t>por la violación del artículo 5.1 de la Convención Americana</w:t>
      </w:r>
      <w:r w:rsidRPr="00C41275">
        <w:rPr>
          <w:rFonts w:asciiTheme="majorHAnsi" w:hAnsiTheme="majorHAnsi"/>
          <w:sz w:val="20"/>
          <w:szCs w:val="20"/>
          <w:lang w:val="es-ES_tradnl"/>
        </w:rPr>
        <w:t xml:space="preserve">, dada la falta de reparación hasta la fecha. </w:t>
      </w:r>
    </w:p>
    <w:p w14:paraId="5B5DF04C" w14:textId="7D07B6B5" w:rsidR="00984263" w:rsidRPr="00C41275" w:rsidRDefault="00E435A2" w:rsidP="008E76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Finalmente, s</w:t>
      </w:r>
      <w:r w:rsidR="0012519F" w:rsidRPr="00C41275">
        <w:rPr>
          <w:rFonts w:asciiTheme="majorHAnsi" w:hAnsiTheme="majorHAnsi"/>
          <w:sz w:val="20"/>
          <w:szCs w:val="20"/>
          <w:lang w:val="es-ES_tradnl"/>
        </w:rPr>
        <w:t>obre el agotamiento de los recursos internos, solicita a la Comisión que aplique las excepciones previstas en el artículo 46.2 de la Convención Americana. En concreto, en relación las personas que presentaron la demanda de indemnización pide que se utilice el artículo 46.2.c</w:t>
      </w:r>
      <w:r w:rsidRPr="00C41275">
        <w:rPr>
          <w:rFonts w:asciiTheme="majorHAnsi" w:hAnsiTheme="majorHAnsi"/>
          <w:sz w:val="20"/>
          <w:szCs w:val="20"/>
          <w:lang w:val="es-ES_tradnl"/>
        </w:rPr>
        <w:t>)</w:t>
      </w:r>
      <w:r w:rsidR="0012519F" w:rsidRPr="00C41275">
        <w:rPr>
          <w:rFonts w:asciiTheme="majorHAnsi" w:hAnsiTheme="majorHAnsi"/>
          <w:sz w:val="20"/>
          <w:szCs w:val="20"/>
          <w:lang w:val="es-ES_tradnl"/>
        </w:rPr>
        <w:t xml:space="preserve"> de la Convención para admitir el reclamo, dado que habría una demora indebida del juzgado en emitir un pronunciamiento sobre su pedido de auxilio judicial; mientras que respecto al resto de presuntas víctimas pide que se tome en cuenta su </w:t>
      </w:r>
      <w:r w:rsidR="0012519F" w:rsidRPr="00C41275">
        <w:rPr>
          <w:rFonts w:asciiTheme="majorHAnsi" w:hAnsiTheme="majorHAnsi"/>
          <w:sz w:val="20"/>
          <w:szCs w:val="20"/>
          <w:lang w:val="es-ES_tradnl"/>
        </w:rPr>
        <w:lastRenderedPageBreak/>
        <w:t xml:space="preserve">situación de indigencia y la consecuente imposibilidad de emplear la vía judicial, dadas la barreras económicas como jurídicas </w:t>
      </w:r>
      <w:r w:rsidRPr="00C41275">
        <w:rPr>
          <w:rFonts w:asciiTheme="majorHAnsi" w:hAnsiTheme="majorHAnsi"/>
          <w:sz w:val="20"/>
          <w:szCs w:val="20"/>
          <w:lang w:val="es-ES_tradnl"/>
        </w:rPr>
        <w:t xml:space="preserve">presentes en </w:t>
      </w:r>
      <w:r w:rsidR="0012519F" w:rsidRPr="00C41275">
        <w:rPr>
          <w:rFonts w:asciiTheme="majorHAnsi" w:hAnsiTheme="majorHAnsi"/>
          <w:sz w:val="20"/>
          <w:szCs w:val="20"/>
          <w:lang w:val="es-ES_tradnl"/>
        </w:rPr>
        <w:t>dichas vías.</w:t>
      </w:r>
    </w:p>
    <w:p w14:paraId="0C64BB9D" w14:textId="62D8F359" w:rsidR="008B7827" w:rsidRPr="00C41275" w:rsidRDefault="00642537" w:rsidP="00C51F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C41275">
        <w:rPr>
          <w:rFonts w:asciiTheme="majorHAnsi" w:hAnsiTheme="majorHAnsi"/>
          <w:i/>
          <w:iCs/>
          <w:sz w:val="20"/>
          <w:szCs w:val="20"/>
          <w:lang w:val="es-ES_tradnl"/>
        </w:rPr>
        <w:t>Alegatos del Estado</w:t>
      </w:r>
    </w:p>
    <w:p w14:paraId="0AA257A3" w14:textId="578D28F4" w:rsidR="00CE5BFD" w:rsidRPr="00C41275" w:rsidRDefault="006963D0" w:rsidP="007C044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El Estado, por su parte, replica que </w:t>
      </w:r>
      <w:r w:rsidR="00F174A7" w:rsidRPr="00C41275">
        <w:rPr>
          <w:rFonts w:asciiTheme="majorHAnsi" w:hAnsiTheme="majorHAnsi"/>
          <w:sz w:val="20"/>
          <w:szCs w:val="20"/>
          <w:lang w:val="es-ES_tradnl"/>
        </w:rPr>
        <w:t xml:space="preserve">la petición es inadmisible por falta de agotamiento </w:t>
      </w:r>
      <w:r w:rsidR="007C0447" w:rsidRPr="00C41275">
        <w:rPr>
          <w:rFonts w:asciiTheme="majorHAnsi" w:hAnsiTheme="majorHAnsi"/>
          <w:sz w:val="20"/>
          <w:szCs w:val="20"/>
          <w:lang w:val="es-ES_tradnl"/>
        </w:rPr>
        <w:t>los recursos judiciales</w:t>
      </w:r>
      <w:r w:rsidR="00F174A7" w:rsidRPr="00C41275">
        <w:rPr>
          <w:rFonts w:asciiTheme="majorHAnsi" w:hAnsiTheme="majorHAnsi"/>
          <w:sz w:val="20"/>
          <w:szCs w:val="20"/>
          <w:lang w:val="es-ES_tradnl"/>
        </w:rPr>
        <w:t xml:space="preserve">. </w:t>
      </w:r>
      <w:r w:rsidR="003015B8" w:rsidRPr="00C41275">
        <w:rPr>
          <w:rFonts w:asciiTheme="majorHAnsi" w:hAnsiTheme="majorHAnsi"/>
          <w:sz w:val="20"/>
          <w:szCs w:val="20"/>
          <w:lang w:val="es-ES_tradnl"/>
        </w:rPr>
        <w:t xml:space="preserve">Informa que </w:t>
      </w:r>
      <w:r w:rsidR="007C0447" w:rsidRPr="00C41275">
        <w:rPr>
          <w:rFonts w:asciiTheme="majorHAnsi" w:hAnsiTheme="majorHAnsi"/>
          <w:sz w:val="20"/>
          <w:szCs w:val="20"/>
          <w:lang w:val="es-ES_tradnl"/>
        </w:rPr>
        <w:t>ninguna de las presuntas víctimas agotó en la jurisdicción interna las vías que tenían a su disposición para obtener su pretensión, ya que</w:t>
      </w:r>
      <w:r w:rsidR="003072AE" w:rsidRPr="00C41275">
        <w:rPr>
          <w:rFonts w:asciiTheme="majorHAnsi" w:hAnsiTheme="majorHAnsi"/>
          <w:sz w:val="20"/>
          <w:szCs w:val="20"/>
          <w:lang w:val="es-ES_tradnl"/>
        </w:rPr>
        <w:t>:</w:t>
      </w:r>
      <w:r w:rsidR="007C0447" w:rsidRPr="00C41275">
        <w:rPr>
          <w:rFonts w:asciiTheme="majorHAnsi" w:hAnsiTheme="majorHAnsi"/>
          <w:sz w:val="20"/>
          <w:szCs w:val="20"/>
          <w:lang w:val="es-ES_tradnl"/>
        </w:rPr>
        <w:t xml:space="preserve"> </w:t>
      </w:r>
      <w:r w:rsidR="00CE5BFD" w:rsidRPr="00C41275">
        <w:rPr>
          <w:rFonts w:asciiTheme="majorHAnsi" w:hAnsiTheme="majorHAnsi"/>
          <w:sz w:val="20"/>
          <w:szCs w:val="20"/>
          <w:lang w:val="es-ES_tradnl"/>
        </w:rPr>
        <w:t xml:space="preserve">(i) </w:t>
      </w:r>
      <w:r w:rsidR="0042260B" w:rsidRPr="00C41275">
        <w:rPr>
          <w:rFonts w:asciiTheme="majorHAnsi" w:hAnsiTheme="majorHAnsi"/>
          <w:sz w:val="20"/>
          <w:szCs w:val="20"/>
          <w:lang w:val="es-ES_tradnl"/>
        </w:rPr>
        <w:t>diecisiete</w:t>
      </w:r>
      <w:r w:rsidR="007C0447" w:rsidRPr="00C41275">
        <w:rPr>
          <w:rFonts w:asciiTheme="majorHAnsi" w:hAnsiTheme="majorHAnsi"/>
          <w:sz w:val="20"/>
          <w:szCs w:val="20"/>
          <w:lang w:val="es-ES_tradnl"/>
        </w:rPr>
        <w:t xml:space="preserve"> de ellas dejaron consentir la decisión de primera instancia que desestimaba sus pretensiones</w:t>
      </w:r>
      <w:r w:rsidR="003072AE" w:rsidRPr="00C41275">
        <w:rPr>
          <w:rFonts w:asciiTheme="majorHAnsi" w:hAnsiTheme="majorHAnsi"/>
          <w:sz w:val="20"/>
          <w:szCs w:val="20"/>
          <w:lang w:val="es-ES_tradnl"/>
        </w:rPr>
        <w:t>;</w:t>
      </w:r>
      <w:r w:rsidR="007C0447" w:rsidRPr="00C41275">
        <w:rPr>
          <w:rFonts w:asciiTheme="majorHAnsi" w:hAnsiTheme="majorHAnsi"/>
          <w:sz w:val="20"/>
          <w:szCs w:val="20"/>
          <w:lang w:val="es-ES_tradnl"/>
        </w:rPr>
        <w:t xml:space="preserve"> y </w:t>
      </w:r>
      <w:r w:rsidR="00CE5BFD" w:rsidRPr="00C41275">
        <w:rPr>
          <w:rFonts w:asciiTheme="majorHAnsi" w:hAnsiTheme="majorHAnsi"/>
          <w:sz w:val="20"/>
          <w:szCs w:val="20"/>
          <w:lang w:val="es-ES_tradnl"/>
        </w:rPr>
        <w:t>(ii) las</w:t>
      </w:r>
      <w:r w:rsidR="0042260B" w:rsidRPr="00C41275">
        <w:rPr>
          <w:rFonts w:asciiTheme="majorHAnsi" w:hAnsiTheme="majorHAnsi"/>
          <w:sz w:val="20"/>
          <w:szCs w:val="20"/>
          <w:lang w:val="es-ES_tradnl"/>
        </w:rPr>
        <w:t xml:space="preserve"> ochenta y nueve</w:t>
      </w:r>
      <w:r w:rsidR="007C0447" w:rsidRPr="00C41275">
        <w:rPr>
          <w:rFonts w:asciiTheme="majorHAnsi" w:hAnsiTheme="majorHAnsi"/>
          <w:sz w:val="20"/>
          <w:szCs w:val="20"/>
          <w:lang w:val="es-ES_tradnl"/>
        </w:rPr>
        <w:t xml:space="preserve"> </w:t>
      </w:r>
      <w:r w:rsidR="00CE5BFD" w:rsidRPr="00C41275">
        <w:rPr>
          <w:rFonts w:asciiTheme="majorHAnsi" w:hAnsiTheme="majorHAnsi"/>
          <w:sz w:val="20"/>
          <w:szCs w:val="20"/>
          <w:lang w:val="es-ES_tradnl"/>
        </w:rPr>
        <w:t xml:space="preserve">personas </w:t>
      </w:r>
      <w:r w:rsidR="007C0447" w:rsidRPr="00C41275">
        <w:rPr>
          <w:rFonts w:asciiTheme="majorHAnsi" w:hAnsiTheme="majorHAnsi"/>
          <w:sz w:val="20"/>
          <w:szCs w:val="20"/>
          <w:lang w:val="es-ES_tradnl"/>
        </w:rPr>
        <w:t>restantes ni siquiera presentaron una demanda de indemnización por daños y perjuicios.</w:t>
      </w:r>
      <w:r w:rsidR="00E471B0" w:rsidRPr="00C41275">
        <w:rPr>
          <w:rFonts w:asciiTheme="majorHAnsi" w:hAnsiTheme="majorHAnsi"/>
          <w:sz w:val="20"/>
          <w:szCs w:val="20"/>
          <w:lang w:val="es-ES_tradnl"/>
        </w:rPr>
        <w:t xml:space="preserve"> </w:t>
      </w:r>
      <w:r w:rsidR="00CE5BFD" w:rsidRPr="00C41275">
        <w:rPr>
          <w:rFonts w:asciiTheme="majorHAnsi" w:hAnsiTheme="majorHAnsi"/>
          <w:sz w:val="20"/>
          <w:szCs w:val="20"/>
          <w:lang w:val="es-ES_tradnl"/>
        </w:rPr>
        <w:t xml:space="preserve">En relación con el primer grupo, sostiene que en caso la parte peticionaria hubiese considerado que el juzgado vulneró su derecho de acceso a la justicia al no concederle auxilio judicial, tenía a su disposición la acción de amparo, la cual es una garantía judicial que puede ser interpuesta por cualquier persona para la protección de los derechos constitucionales que considere lesionados. A pesar de ello, indica que la falta de diligencia por parte de la representación de las presuntas víctimas impidió la continuación de la discusión legal y procesal de los hechos a nivel interno, no agotándose de esta manera los recursos internos. </w:t>
      </w:r>
    </w:p>
    <w:p w14:paraId="27715A25" w14:textId="5FAFC5DD" w:rsidR="00ED3A4F" w:rsidRPr="00C41275" w:rsidRDefault="00CE5BFD" w:rsidP="00ED3A4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Respecto a las </w:t>
      </w:r>
      <w:r w:rsidR="003072AE" w:rsidRPr="00C41275">
        <w:rPr>
          <w:rFonts w:asciiTheme="majorHAnsi" w:hAnsiTheme="majorHAnsi"/>
          <w:sz w:val="20"/>
          <w:szCs w:val="20"/>
          <w:lang w:val="es-ES_tradnl"/>
        </w:rPr>
        <w:t>ochenta y nueve</w:t>
      </w:r>
      <w:r w:rsidRPr="00C41275">
        <w:rPr>
          <w:rFonts w:asciiTheme="majorHAnsi" w:hAnsiTheme="majorHAnsi"/>
          <w:sz w:val="20"/>
          <w:szCs w:val="20"/>
          <w:lang w:val="es-ES_tradnl"/>
        </w:rPr>
        <w:t xml:space="preserve"> presuntas víctimas restantes, </w:t>
      </w:r>
      <w:r w:rsidR="00555120" w:rsidRPr="00C41275">
        <w:rPr>
          <w:rFonts w:asciiTheme="majorHAnsi" w:hAnsiTheme="majorHAnsi"/>
          <w:sz w:val="20"/>
          <w:szCs w:val="20"/>
          <w:lang w:val="es-ES_tradnl"/>
        </w:rPr>
        <w:t xml:space="preserve">afirma que por aceptación propia y expresa de la parte peticionaria es claro que no interpusieron recurso judicial alguno para litigar sus pretensiones. Al respecto, a pesar de que se alega como excusa para tal inacción que dichas personas estarían en situación de indigencia, afirma que nunca se intentó alegar y sustentar la presunta carencia de recursos económicos ante el órgano judicial correspondiente. De igual modo, </w:t>
      </w:r>
      <w:r w:rsidR="00A56EF6" w:rsidRPr="00C41275">
        <w:rPr>
          <w:rFonts w:asciiTheme="majorHAnsi" w:hAnsiTheme="majorHAnsi"/>
          <w:sz w:val="20"/>
          <w:szCs w:val="20"/>
          <w:lang w:val="es-ES_tradnl"/>
        </w:rPr>
        <w:t>a</w:t>
      </w:r>
      <w:r w:rsidR="00E471B0" w:rsidRPr="00C41275">
        <w:rPr>
          <w:rFonts w:asciiTheme="majorHAnsi" w:hAnsiTheme="majorHAnsi"/>
          <w:sz w:val="20"/>
          <w:szCs w:val="20"/>
          <w:lang w:val="es-ES_tradnl"/>
        </w:rPr>
        <w:t xml:space="preserve">grega que dicho contexto de precariedad tampoco ha sido probado </w:t>
      </w:r>
      <w:r w:rsidR="00A56EF6" w:rsidRPr="00C41275">
        <w:rPr>
          <w:rFonts w:asciiTheme="majorHAnsi" w:hAnsiTheme="majorHAnsi"/>
          <w:sz w:val="20"/>
          <w:szCs w:val="20"/>
          <w:lang w:val="es-ES_tradnl"/>
        </w:rPr>
        <w:t xml:space="preserve">ante la CIDH, toda vez que de la petición y documentos anexados no se concluye tal situación, </w:t>
      </w:r>
      <w:r w:rsidR="00555120" w:rsidRPr="00C41275">
        <w:rPr>
          <w:rFonts w:asciiTheme="majorHAnsi" w:hAnsiTheme="majorHAnsi"/>
          <w:sz w:val="20"/>
          <w:szCs w:val="20"/>
          <w:lang w:val="es-ES_tradnl"/>
        </w:rPr>
        <w:t>pese a que actualmente</w:t>
      </w:r>
      <w:r w:rsidR="00A56EF6" w:rsidRPr="00C41275">
        <w:rPr>
          <w:rFonts w:asciiTheme="majorHAnsi" w:hAnsiTheme="majorHAnsi"/>
          <w:sz w:val="20"/>
          <w:szCs w:val="20"/>
          <w:lang w:val="es-ES_tradnl"/>
        </w:rPr>
        <w:t xml:space="preserve"> cualquier </w:t>
      </w:r>
      <w:r w:rsidR="003072AE" w:rsidRPr="00C41275">
        <w:rPr>
          <w:rFonts w:asciiTheme="majorHAnsi" w:hAnsiTheme="majorHAnsi"/>
          <w:sz w:val="20"/>
          <w:szCs w:val="20"/>
          <w:lang w:val="es-ES_tradnl"/>
        </w:rPr>
        <w:t>peruano</w:t>
      </w:r>
      <w:r w:rsidR="00A56EF6" w:rsidRPr="00C41275">
        <w:rPr>
          <w:rFonts w:asciiTheme="majorHAnsi" w:hAnsiTheme="majorHAnsi"/>
          <w:sz w:val="20"/>
          <w:szCs w:val="20"/>
          <w:lang w:val="es-ES_tradnl"/>
        </w:rPr>
        <w:t xml:space="preserve"> puede obtener un Certificado de Clasificación Socioeconómica, emitida por el Ministerio de Desarrollo e Inclusión Social. Por las referidas razones, solicita a la CIDH que desestime los alegatos de la parte peticionaria y concluya que no se cumple el requisito establecido en el artículo 46.1.a) de la Convención Americana</w:t>
      </w:r>
      <w:r w:rsidR="00555120" w:rsidRPr="00C41275">
        <w:rPr>
          <w:rFonts w:asciiTheme="majorHAnsi" w:hAnsiTheme="majorHAnsi"/>
          <w:sz w:val="20"/>
          <w:szCs w:val="20"/>
          <w:lang w:val="es-ES_tradnl"/>
        </w:rPr>
        <w:t xml:space="preserve">. </w:t>
      </w:r>
    </w:p>
    <w:p w14:paraId="7D38DE80" w14:textId="7812240B" w:rsidR="00B04D76" w:rsidRPr="00C41275" w:rsidRDefault="00B04D76" w:rsidP="00ED3A4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Complementariamente, en relación con las </w:t>
      </w:r>
      <w:r w:rsidR="008803D5" w:rsidRPr="00C41275">
        <w:rPr>
          <w:rFonts w:asciiTheme="majorHAnsi" w:hAnsiTheme="majorHAnsi"/>
          <w:sz w:val="20"/>
          <w:szCs w:val="20"/>
          <w:lang w:val="es-ES_tradnl"/>
        </w:rPr>
        <w:t>diecisiete</w:t>
      </w:r>
      <w:r w:rsidRPr="00C41275">
        <w:rPr>
          <w:rFonts w:asciiTheme="majorHAnsi" w:hAnsiTheme="majorHAnsi"/>
          <w:sz w:val="20"/>
          <w:szCs w:val="20"/>
          <w:lang w:val="es-ES_tradnl"/>
        </w:rPr>
        <w:t xml:space="preserve"> presuntas víctimas que interpusieron una demanda de indemnización por daños y perjuicio</w:t>
      </w:r>
      <w:r w:rsidR="0042260B" w:rsidRPr="00C41275">
        <w:rPr>
          <w:rFonts w:asciiTheme="majorHAnsi" w:hAnsiTheme="majorHAnsi"/>
          <w:sz w:val="20"/>
          <w:szCs w:val="20"/>
          <w:lang w:val="es-ES_tradnl"/>
        </w:rPr>
        <w:t>s</w:t>
      </w:r>
      <w:r w:rsidRPr="00C41275">
        <w:rPr>
          <w:rFonts w:asciiTheme="majorHAnsi" w:hAnsiTheme="majorHAnsi"/>
          <w:sz w:val="20"/>
          <w:szCs w:val="20"/>
          <w:lang w:val="es-ES_tradnl"/>
        </w:rPr>
        <w:t xml:space="preserve">, arguye que </w:t>
      </w:r>
      <w:r w:rsidR="0042260B" w:rsidRPr="00C41275">
        <w:rPr>
          <w:rFonts w:asciiTheme="majorHAnsi" w:hAnsiTheme="majorHAnsi"/>
          <w:sz w:val="20"/>
          <w:szCs w:val="20"/>
          <w:lang w:val="es-ES_tradnl"/>
        </w:rPr>
        <w:t>su reclamo no fue presentado dentro</w:t>
      </w:r>
      <w:r w:rsidRPr="00C41275">
        <w:rPr>
          <w:rFonts w:asciiTheme="majorHAnsi" w:hAnsiTheme="majorHAnsi"/>
          <w:sz w:val="20"/>
          <w:szCs w:val="20"/>
          <w:lang w:val="es-ES_tradnl"/>
        </w:rPr>
        <w:t xml:space="preserve"> del plazo previsto en el artículo 46.1.b</w:t>
      </w:r>
      <w:r w:rsidR="008803D5" w:rsidRPr="00C41275">
        <w:rPr>
          <w:rFonts w:asciiTheme="majorHAnsi" w:hAnsiTheme="majorHAnsi"/>
          <w:sz w:val="20"/>
          <w:szCs w:val="20"/>
          <w:lang w:val="es-ES_tradnl"/>
        </w:rPr>
        <w:t>)</w:t>
      </w:r>
      <w:r w:rsidRPr="00C41275">
        <w:rPr>
          <w:rFonts w:asciiTheme="majorHAnsi" w:hAnsiTheme="majorHAnsi"/>
          <w:sz w:val="20"/>
          <w:szCs w:val="20"/>
          <w:lang w:val="es-ES_tradnl"/>
        </w:rPr>
        <w:t xml:space="preserve"> de la Convención. Detalla que</w:t>
      </w:r>
      <w:r w:rsidR="00160047" w:rsidRPr="00C41275">
        <w:rPr>
          <w:rFonts w:asciiTheme="majorHAnsi" w:hAnsiTheme="majorHAnsi"/>
          <w:sz w:val="20"/>
          <w:szCs w:val="20"/>
          <w:lang w:val="es-ES_tradnl"/>
        </w:rPr>
        <w:t xml:space="preserve"> si bien la parte peticionaria señala que el último impulso procesal de su parte </w:t>
      </w:r>
      <w:r w:rsidR="0042260B" w:rsidRPr="00C41275">
        <w:rPr>
          <w:rFonts w:asciiTheme="majorHAnsi" w:hAnsiTheme="majorHAnsi"/>
          <w:sz w:val="20"/>
          <w:szCs w:val="20"/>
          <w:lang w:val="es-ES_tradnl"/>
        </w:rPr>
        <w:t>fue</w:t>
      </w:r>
      <w:r w:rsidR="00160047" w:rsidRPr="00C41275">
        <w:rPr>
          <w:rFonts w:asciiTheme="majorHAnsi" w:hAnsiTheme="majorHAnsi"/>
          <w:sz w:val="20"/>
          <w:szCs w:val="20"/>
          <w:lang w:val="es-ES_tradnl"/>
        </w:rPr>
        <w:t xml:space="preserve"> un escrito de</w:t>
      </w:r>
      <w:r w:rsidR="009D5057" w:rsidRPr="00C41275">
        <w:rPr>
          <w:rFonts w:asciiTheme="majorHAnsi" w:hAnsiTheme="majorHAnsi"/>
          <w:sz w:val="20"/>
          <w:szCs w:val="20"/>
          <w:lang w:val="es-ES_tradnl"/>
        </w:rPr>
        <w:t>l</w:t>
      </w:r>
      <w:r w:rsidR="00160047" w:rsidRPr="00C41275">
        <w:rPr>
          <w:rFonts w:asciiTheme="majorHAnsi" w:hAnsiTheme="majorHAnsi"/>
          <w:sz w:val="20"/>
          <w:szCs w:val="20"/>
          <w:lang w:val="es-ES_tradnl"/>
        </w:rPr>
        <w:t xml:space="preserve"> 7 de septiembre de 2005 que exhortaba al Cuarto Juzgado Especializado en lo Civil de Lima a pronunciarse respecto del pedido de auxilio judicial, la documentación anexada a la petición demuestra que la representación de las presuntas víctimas a</w:t>
      </w:r>
      <w:r w:rsidR="0042260B" w:rsidRPr="00C41275">
        <w:rPr>
          <w:rFonts w:asciiTheme="majorHAnsi" w:hAnsiTheme="majorHAnsi"/>
          <w:sz w:val="20"/>
          <w:szCs w:val="20"/>
          <w:lang w:val="es-ES_tradnl"/>
        </w:rPr>
        <w:t>cudió</w:t>
      </w:r>
      <w:r w:rsidR="00160047" w:rsidRPr="00C41275">
        <w:rPr>
          <w:rFonts w:asciiTheme="majorHAnsi" w:hAnsiTheme="majorHAnsi"/>
          <w:sz w:val="20"/>
          <w:szCs w:val="20"/>
          <w:lang w:val="es-ES_tradnl"/>
        </w:rPr>
        <w:t xml:space="preserve"> a los tribunales internos en busca de reparación hasta en dos oportunidades, mediante demandas recaídas en los expedientes </w:t>
      </w:r>
      <w:r w:rsidR="00ED3A4F" w:rsidRPr="00C41275">
        <w:rPr>
          <w:rFonts w:asciiTheme="majorHAnsi" w:hAnsiTheme="majorHAnsi"/>
          <w:sz w:val="20"/>
          <w:szCs w:val="20"/>
          <w:lang w:val="es-ES_tradnl"/>
        </w:rPr>
        <w:t>N° 89107-2004-1801-JR-CI-04 y N° 89144-2004-1801-JR-CI-65. Al respecto, afirma que, conforme al sistema nacional de consulta de expedientes judiciales, el 22 de septiembre de 2005 y el 10 de abril de 200</w:t>
      </w:r>
      <w:r w:rsidR="00C100F5" w:rsidRPr="00C41275">
        <w:rPr>
          <w:rFonts w:asciiTheme="majorHAnsi" w:hAnsiTheme="majorHAnsi"/>
          <w:sz w:val="20"/>
          <w:szCs w:val="20"/>
          <w:lang w:val="es-ES_tradnl"/>
        </w:rPr>
        <w:t>6</w:t>
      </w:r>
      <w:r w:rsidR="00ED3A4F" w:rsidRPr="00C41275">
        <w:rPr>
          <w:rFonts w:asciiTheme="majorHAnsi" w:hAnsiTheme="majorHAnsi"/>
          <w:sz w:val="20"/>
          <w:szCs w:val="20"/>
          <w:lang w:val="es-ES_tradnl"/>
        </w:rPr>
        <w:t xml:space="preserve">, respectivamente, los citados procesos concluyeron. </w:t>
      </w:r>
      <w:r w:rsidR="00C100F5" w:rsidRPr="00C41275">
        <w:rPr>
          <w:rFonts w:asciiTheme="majorHAnsi" w:hAnsiTheme="majorHAnsi"/>
          <w:sz w:val="20"/>
          <w:szCs w:val="20"/>
          <w:lang w:val="es-ES_tradnl"/>
        </w:rPr>
        <w:t xml:space="preserve">Por ende, el Estado alega que la petición fue presentada de forma extemporánea, toda vez que transcurrieron más de seis </w:t>
      </w:r>
      <w:r w:rsidR="009D5057" w:rsidRPr="00C41275">
        <w:rPr>
          <w:rFonts w:asciiTheme="majorHAnsi" w:hAnsiTheme="majorHAnsi"/>
          <w:sz w:val="20"/>
          <w:szCs w:val="20"/>
          <w:lang w:val="es-ES_tradnl"/>
        </w:rPr>
        <w:t xml:space="preserve">meses </w:t>
      </w:r>
      <w:r w:rsidR="00C100F5" w:rsidRPr="00C41275">
        <w:rPr>
          <w:rFonts w:asciiTheme="majorHAnsi" w:hAnsiTheme="majorHAnsi"/>
          <w:sz w:val="20"/>
          <w:szCs w:val="20"/>
          <w:lang w:val="es-ES_tradnl"/>
        </w:rPr>
        <w:t>desde la decisión que archivó las referidas demandas y la fecha de presentación de la petición.</w:t>
      </w:r>
    </w:p>
    <w:p w14:paraId="7AF6F4E9" w14:textId="46838AC9" w:rsidR="00F37B15" w:rsidRPr="00C41275" w:rsidRDefault="00F37B15" w:rsidP="00F37B1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_tradnl"/>
        </w:rPr>
      </w:pPr>
      <w:r w:rsidRPr="00C41275">
        <w:rPr>
          <w:rFonts w:asciiTheme="majorHAnsi" w:hAnsiTheme="majorHAnsi"/>
          <w:sz w:val="20"/>
          <w:szCs w:val="20"/>
          <w:lang w:val="es-ES_tradnl"/>
        </w:rPr>
        <w:t xml:space="preserve">Finalmente, alega que los hechos denunciados no caracterizan violaciones de derechos humanos </w:t>
      </w:r>
      <w:r w:rsidRPr="00C41275">
        <w:rPr>
          <w:rFonts w:asciiTheme="majorHAnsi" w:hAnsiTheme="majorHAnsi"/>
          <w:sz w:val="20"/>
          <w:szCs w:val="20"/>
          <w:bdr w:val="none" w:sz="0" w:space="0" w:color="auto"/>
          <w:lang w:val="es-ES_tradnl"/>
        </w:rPr>
        <w:t xml:space="preserve">que le sean atribuibles. Por el contrario, arguye que la parte peticionaria persigue que la CIDH actúe como una cuarta instancia pronunciándose sobre aspectos que ya fueron resueltos internamente por las autoridades jurisdiccionales respetando las garantías procesales y en el marco de sus competencias, tanto en sede ordinaria como constitucional. </w:t>
      </w:r>
    </w:p>
    <w:p w14:paraId="7805E62B" w14:textId="4943E608" w:rsidR="00F37B15" w:rsidRPr="00C41275" w:rsidRDefault="005122BB" w:rsidP="005122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En relación con la alegada vulneración a la libertad personal, sostiene que el hecho que un ciudadano se encuentre recluido en un establecimiento penitenciario en mérito de una resolución judicial que ordena la aplicación de una medida de coerción procesal, no configura </w:t>
      </w:r>
      <w:r w:rsidRPr="00C41275">
        <w:rPr>
          <w:rFonts w:asciiTheme="majorHAnsi" w:hAnsiTheme="majorHAnsi"/>
          <w:i/>
          <w:iCs/>
          <w:sz w:val="20"/>
          <w:szCs w:val="20"/>
          <w:lang w:val="es-ES_tradnl"/>
        </w:rPr>
        <w:t>per se</w:t>
      </w:r>
      <w:r w:rsidRPr="00C41275">
        <w:rPr>
          <w:rFonts w:asciiTheme="majorHAnsi" w:hAnsiTheme="majorHAnsi"/>
          <w:sz w:val="20"/>
          <w:szCs w:val="20"/>
          <w:lang w:val="es-ES_tradnl"/>
        </w:rPr>
        <w:t xml:space="preserve"> una violación de tal derecho, y mucho menos un adelanto de pena, máxime si las presuntas víctimas tuvieron a su alcance todos los medios impugnatorios que el ordenamiento jurídico peruano preveía en su momento a fin de cuestionar cualquier resolución judicial que les cause agravio. </w:t>
      </w:r>
    </w:p>
    <w:p w14:paraId="423134E3" w14:textId="070BC1E1" w:rsidR="005122BB" w:rsidRPr="00C41275" w:rsidRDefault="005122BB" w:rsidP="005122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lastRenderedPageBreak/>
        <w:t xml:space="preserve">Por otro lado, rechaza que la detención preliminar que sufrieron las presuntas víctimas constituya un acto de tortura, toda vez que dicha actuación se realizó con pleno respeto de su dignidad. </w:t>
      </w:r>
      <w:r w:rsidR="00FF00DE" w:rsidRPr="00C41275">
        <w:rPr>
          <w:rFonts w:asciiTheme="majorHAnsi" w:hAnsiTheme="majorHAnsi"/>
          <w:sz w:val="20"/>
          <w:szCs w:val="20"/>
          <w:lang w:val="es-ES_tradnl"/>
        </w:rPr>
        <w:t xml:space="preserve">Asimismo, afirma que su privación de libertad tampoco constituyó una afectación a su integridad, ya que fueron recluidas por resoluciones judiciales debidamente motivadas. </w:t>
      </w:r>
    </w:p>
    <w:p w14:paraId="1779CBEB" w14:textId="4E1FC989" w:rsidR="0042371E" w:rsidRPr="00C41275" w:rsidRDefault="00735E07" w:rsidP="0042371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Respecto</w:t>
      </w:r>
      <w:r w:rsidR="00FF00DE" w:rsidRPr="00C41275">
        <w:rPr>
          <w:rFonts w:asciiTheme="majorHAnsi" w:hAnsiTheme="majorHAnsi"/>
          <w:sz w:val="20"/>
          <w:szCs w:val="20"/>
          <w:lang w:val="es-ES_tradnl"/>
        </w:rPr>
        <w:t xml:space="preserve"> al derecho a las </w:t>
      </w:r>
      <w:r w:rsidR="007C445A" w:rsidRPr="00C41275">
        <w:rPr>
          <w:rFonts w:asciiTheme="majorHAnsi" w:hAnsiTheme="majorHAnsi"/>
          <w:sz w:val="20"/>
          <w:szCs w:val="20"/>
          <w:lang w:val="es-ES_tradnl"/>
        </w:rPr>
        <w:t>garantías judiciales</w:t>
      </w:r>
      <w:r w:rsidR="00FF00DE" w:rsidRPr="00C41275">
        <w:rPr>
          <w:rFonts w:asciiTheme="majorHAnsi" w:hAnsiTheme="majorHAnsi"/>
          <w:sz w:val="20"/>
          <w:szCs w:val="20"/>
          <w:lang w:val="es-ES_tradnl"/>
        </w:rPr>
        <w:t xml:space="preserve"> destaca que las presuntas víctimas inobservaron las reglas procesales sobre el cumplimiento del pago de tasas judiciales</w:t>
      </w:r>
      <w:r w:rsidR="0042260B" w:rsidRPr="00C41275">
        <w:rPr>
          <w:rFonts w:asciiTheme="majorHAnsi" w:hAnsiTheme="majorHAnsi"/>
          <w:sz w:val="20"/>
          <w:szCs w:val="20"/>
          <w:lang w:val="es-ES_tradnl"/>
        </w:rPr>
        <w:t>,</w:t>
      </w:r>
      <w:r w:rsidR="00FF00DE" w:rsidRPr="00C41275">
        <w:rPr>
          <w:rFonts w:asciiTheme="majorHAnsi" w:hAnsiTheme="majorHAnsi"/>
          <w:sz w:val="20"/>
          <w:szCs w:val="20"/>
          <w:lang w:val="es-ES_tradnl"/>
        </w:rPr>
        <w:t xml:space="preserve"> aprobada</w:t>
      </w:r>
      <w:r w:rsidR="0042260B" w:rsidRPr="00C41275">
        <w:rPr>
          <w:rFonts w:asciiTheme="majorHAnsi" w:hAnsiTheme="majorHAnsi"/>
          <w:sz w:val="20"/>
          <w:szCs w:val="20"/>
          <w:lang w:val="es-ES_tradnl"/>
        </w:rPr>
        <w:t>s</w:t>
      </w:r>
      <w:r w:rsidR="00FF00DE" w:rsidRPr="00C41275">
        <w:rPr>
          <w:rFonts w:asciiTheme="majorHAnsi" w:hAnsiTheme="majorHAnsi"/>
          <w:sz w:val="20"/>
          <w:szCs w:val="20"/>
          <w:lang w:val="es-ES_tradnl"/>
        </w:rPr>
        <w:t xml:space="preserve"> anualmente por el Consejo Ejecutivo del Poder Judicial, por lo que obviaron un requisito esencial para la admisión de sus demandas, de conformidad con los artículos 424 y 425 del Código Procesal Civil entonces vigente. En esa línea, indica que el </w:t>
      </w:r>
      <w:r w:rsidR="0042371E" w:rsidRPr="00C41275">
        <w:rPr>
          <w:rFonts w:asciiTheme="majorHAnsi" w:hAnsiTheme="majorHAnsi"/>
          <w:sz w:val="20"/>
          <w:szCs w:val="20"/>
          <w:lang w:val="es-ES_tradnl"/>
        </w:rPr>
        <w:t>cumplimiento de requisitos legales como el pago de un arancel judicial no constituye una barrera o impedimento al pleno ejercicio de la tutela procesal efectiva, máxime si las mismas presuntas víctimas solicitaron la aplicación del auxilio judicial, que resulta ser un beneficio para exonerar del pago de tasas judiciales a aquellas personas naturales que</w:t>
      </w:r>
      <w:r w:rsidRPr="00C41275">
        <w:rPr>
          <w:rFonts w:asciiTheme="majorHAnsi" w:hAnsiTheme="majorHAnsi"/>
          <w:sz w:val="20"/>
          <w:szCs w:val="20"/>
          <w:lang w:val="es-ES_tradnl"/>
        </w:rPr>
        <w:t>,</w:t>
      </w:r>
      <w:r w:rsidR="0042371E" w:rsidRPr="00C41275">
        <w:rPr>
          <w:rFonts w:asciiTheme="majorHAnsi" w:hAnsiTheme="majorHAnsi"/>
          <w:sz w:val="20"/>
          <w:szCs w:val="20"/>
          <w:lang w:val="es-ES_tradnl"/>
        </w:rPr>
        <w:t xml:space="preserve"> para cubrir o garantizar los gastos del proceso, pongan en peligro su subsistencia</w:t>
      </w:r>
      <w:r w:rsidRPr="00C41275">
        <w:rPr>
          <w:rFonts w:asciiTheme="majorHAnsi" w:hAnsiTheme="majorHAnsi"/>
          <w:sz w:val="20"/>
          <w:szCs w:val="20"/>
          <w:lang w:val="es-ES_tradnl"/>
        </w:rPr>
        <w:t xml:space="preserve">. Dado que no se puede afirmar que las presuntas víctimas se encontraban en una situación de grave vulnerabilidad que les impedía asumir los costos del proceso, sostiene que no se puede determinar una vulneración al artículo 8 de la Convención. </w:t>
      </w:r>
    </w:p>
    <w:p w14:paraId="1DC69705" w14:textId="7B7B72A4" w:rsidR="00ED1720" w:rsidRPr="00C41275" w:rsidRDefault="00735E07" w:rsidP="0049694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Por último, detalla </w:t>
      </w:r>
      <w:r w:rsidR="00814CAB" w:rsidRPr="00C41275">
        <w:rPr>
          <w:rFonts w:asciiTheme="majorHAnsi" w:hAnsiTheme="majorHAnsi"/>
          <w:sz w:val="20"/>
          <w:szCs w:val="20"/>
          <w:lang w:val="es-ES_tradnl"/>
        </w:rPr>
        <w:t>que,</w:t>
      </w:r>
      <w:r w:rsidRPr="00C41275">
        <w:rPr>
          <w:rFonts w:asciiTheme="majorHAnsi" w:hAnsiTheme="majorHAnsi"/>
          <w:sz w:val="20"/>
          <w:szCs w:val="20"/>
          <w:lang w:val="es-ES_tradnl"/>
        </w:rPr>
        <w:t xml:space="preserve"> conforme a la información provista por el Consejo de Reparaciones, adscrito al Ministerio de Justicia, </w:t>
      </w:r>
      <w:r w:rsidR="004E481C" w:rsidRPr="00C41275">
        <w:rPr>
          <w:rFonts w:asciiTheme="majorHAnsi" w:hAnsiTheme="majorHAnsi"/>
          <w:sz w:val="20"/>
          <w:szCs w:val="20"/>
          <w:lang w:val="es-ES_tradnl"/>
        </w:rPr>
        <w:t>sesenta y ocho</w:t>
      </w:r>
      <w:r w:rsidRPr="00C41275">
        <w:rPr>
          <w:rFonts w:asciiTheme="majorHAnsi" w:hAnsiTheme="majorHAnsi"/>
          <w:sz w:val="20"/>
          <w:szCs w:val="20"/>
          <w:lang w:val="es-ES_tradnl"/>
        </w:rPr>
        <w:t xml:space="preserve"> de las presuntas víctimas cuenta</w:t>
      </w:r>
      <w:r w:rsidR="00BB6F90" w:rsidRPr="00C41275">
        <w:rPr>
          <w:rFonts w:asciiTheme="majorHAnsi" w:hAnsiTheme="majorHAnsi"/>
          <w:sz w:val="20"/>
          <w:szCs w:val="20"/>
          <w:lang w:val="es-ES_tradnl"/>
        </w:rPr>
        <w:t>n</w:t>
      </w:r>
      <w:r w:rsidRPr="00C41275">
        <w:rPr>
          <w:rFonts w:asciiTheme="majorHAnsi" w:hAnsiTheme="majorHAnsi"/>
          <w:sz w:val="20"/>
          <w:szCs w:val="20"/>
          <w:lang w:val="es-ES_tradnl"/>
        </w:rPr>
        <w:t xml:space="preserve"> con un registro vigente en el Registro Único de Víctimas, por lo que son beneficiarios </w:t>
      </w:r>
      <w:r w:rsidR="00ED1720" w:rsidRPr="00C41275">
        <w:rPr>
          <w:rFonts w:asciiTheme="majorHAnsi" w:hAnsiTheme="majorHAnsi"/>
          <w:sz w:val="20"/>
          <w:szCs w:val="20"/>
          <w:lang w:val="es-ES_tradnl"/>
        </w:rPr>
        <w:t>del Plan Integral de Repar</w:t>
      </w:r>
      <w:r w:rsidR="003E4F81" w:rsidRPr="00C41275">
        <w:rPr>
          <w:rFonts w:asciiTheme="majorHAnsi" w:hAnsiTheme="majorHAnsi"/>
          <w:sz w:val="20"/>
          <w:szCs w:val="20"/>
          <w:lang w:val="es-ES_tradnl"/>
        </w:rPr>
        <w:t>a</w:t>
      </w:r>
      <w:r w:rsidR="00ED1720" w:rsidRPr="00C41275">
        <w:rPr>
          <w:rFonts w:asciiTheme="majorHAnsi" w:hAnsiTheme="majorHAnsi"/>
          <w:sz w:val="20"/>
          <w:szCs w:val="20"/>
          <w:lang w:val="es-ES_tradnl"/>
        </w:rPr>
        <w:t>ciones</w:t>
      </w:r>
      <w:r w:rsidR="003C3C25" w:rsidRPr="00C41275">
        <w:rPr>
          <w:rFonts w:asciiTheme="majorHAnsi" w:hAnsiTheme="majorHAnsi"/>
          <w:sz w:val="20"/>
          <w:szCs w:val="20"/>
          <w:lang w:val="es-ES_tradnl"/>
        </w:rPr>
        <w:t xml:space="preserve"> (de naturaleza administrativa)</w:t>
      </w:r>
      <w:r w:rsidRPr="00C41275">
        <w:rPr>
          <w:rFonts w:asciiTheme="majorHAnsi" w:hAnsiTheme="majorHAnsi"/>
          <w:sz w:val="20"/>
          <w:szCs w:val="20"/>
          <w:lang w:val="es-ES_tradnl"/>
        </w:rPr>
        <w:t xml:space="preserve">. </w:t>
      </w:r>
      <w:r w:rsidR="00ED1720" w:rsidRPr="00C41275">
        <w:rPr>
          <w:rFonts w:asciiTheme="majorHAnsi" w:hAnsiTheme="majorHAnsi"/>
          <w:sz w:val="20"/>
          <w:szCs w:val="20"/>
          <w:lang w:val="es-ES_tradnl"/>
        </w:rPr>
        <w:t>En consecuencia, d</w:t>
      </w:r>
      <w:r w:rsidRPr="00C41275">
        <w:rPr>
          <w:rFonts w:asciiTheme="majorHAnsi" w:hAnsiTheme="majorHAnsi"/>
          <w:sz w:val="20"/>
          <w:szCs w:val="20"/>
          <w:lang w:val="es-ES_tradnl"/>
        </w:rPr>
        <w:t xml:space="preserve">ado que </w:t>
      </w:r>
      <w:r w:rsidR="00ED1720" w:rsidRPr="00C41275">
        <w:rPr>
          <w:rFonts w:asciiTheme="majorHAnsi" w:hAnsiTheme="majorHAnsi"/>
          <w:sz w:val="20"/>
          <w:szCs w:val="20"/>
          <w:lang w:val="es-ES_tradnl"/>
        </w:rPr>
        <w:t>a nivel interno ya se les reconoció su derecho a obtener tal indemnización</w:t>
      </w:r>
      <w:r w:rsidRPr="00C41275">
        <w:rPr>
          <w:rFonts w:asciiTheme="majorHAnsi" w:hAnsiTheme="majorHAnsi"/>
          <w:sz w:val="20"/>
          <w:szCs w:val="20"/>
          <w:lang w:val="es-ES_tradnl"/>
        </w:rPr>
        <w:t>, el Estado plantea que no es posible a</w:t>
      </w:r>
      <w:r w:rsidR="00ED1720" w:rsidRPr="00C41275">
        <w:rPr>
          <w:rFonts w:asciiTheme="majorHAnsi" w:hAnsiTheme="majorHAnsi"/>
          <w:sz w:val="20"/>
          <w:szCs w:val="20"/>
          <w:lang w:val="es-ES_tradnl"/>
        </w:rPr>
        <w:t xml:space="preserve">legar un incumplimiento del artículo 10 de la Convención. Por las citadas consideraciones, solicita a la CIDH que concluya que la presente petición no contiene hechos que configuren una violación de derechos.  </w:t>
      </w:r>
    </w:p>
    <w:p w14:paraId="5370B5B3" w14:textId="67FCD721" w:rsidR="003E4F81" w:rsidRPr="00C41275" w:rsidRDefault="003E4F81" w:rsidP="003E4F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b/>
          <w:bCs/>
          <w:sz w:val="20"/>
          <w:szCs w:val="20"/>
          <w:lang w:val="es-ES_tradnl"/>
        </w:rPr>
        <w:t>VI.</w:t>
      </w:r>
      <w:r w:rsidRPr="00C41275">
        <w:rPr>
          <w:rFonts w:asciiTheme="majorHAnsi" w:hAnsiTheme="majorHAnsi"/>
          <w:b/>
          <w:bCs/>
          <w:sz w:val="20"/>
          <w:szCs w:val="20"/>
          <w:lang w:val="es-ES_tradnl"/>
        </w:rPr>
        <w:tab/>
        <w:t xml:space="preserve">ANÁLISIS DE </w:t>
      </w:r>
      <w:r w:rsidRPr="00C41275">
        <w:rPr>
          <w:rFonts w:asciiTheme="majorHAnsi" w:hAnsiTheme="majorHAnsi"/>
          <w:b/>
          <w:sz w:val="20"/>
          <w:szCs w:val="20"/>
          <w:lang w:val="es-ES_tradnl"/>
        </w:rPr>
        <w:t>AGOTAMIENTO DE LOS RECURSOS INTERNOS Y PLAZO DE PRESENTACIÓN</w:t>
      </w:r>
      <w:r w:rsidRPr="00C41275">
        <w:rPr>
          <w:rFonts w:asciiTheme="majorHAnsi" w:hAnsiTheme="majorHAnsi"/>
          <w:b/>
          <w:bCs/>
          <w:sz w:val="20"/>
          <w:szCs w:val="20"/>
          <w:lang w:val="es-ES_tradnl"/>
        </w:rPr>
        <w:t xml:space="preserve"> </w:t>
      </w:r>
    </w:p>
    <w:p w14:paraId="3865C3F1" w14:textId="786224D9" w:rsidR="00836634" w:rsidRPr="00C41275" w:rsidRDefault="00836634" w:rsidP="0083663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La parte peticionaria solicita que respecto a las personas que presentaron una demanda de indemnización se aplique la excepción prevista en el artículo 46.2.c) de la Convención Americana; y que en relación con el resto de </w:t>
      </w:r>
      <w:r w:rsidR="004A3DD0" w:rsidRPr="00C41275">
        <w:rPr>
          <w:rFonts w:asciiTheme="majorHAnsi" w:hAnsiTheme="majorHAnsi"/>
          <w:sz w:val="20"/>
          <w:szCs w:val="20"/>
          <w:lang w:val="es-ES_tradnl"/>
        </w:rPr>
        <w:t>las personas</w:t>
      </w:r>
      <w:r w:rsidRPr="00C41275">
        <w:rPr>
          <w:rFonts w:asciiTheme="majorHAnsi" w:hAnsiTheme="majorHAnsi"/>
          <w:sz w:val="20"/>
          <w:szCs w:val="20"/>
          <w:lang w:val="es-ES_tradnl"/>
        </w:rPr>
        <w:t xml:space="preserve"> se considere su situación de indigencia</w:t>
      </w:r>
      <w:r w:rsidR="00326799" w:rsidRPr="00C41275">
        <w:rPr>
          <w:rFonts w:asciiTheme="majorHAnsi" w:hAnsiTheme="majorHAnsi"/>
          <w:sz w:val="20"/>
          <w:szCs w:val="20"/>
          <w:lang w:val="es-ES_tradnl"/>
        </w:rPr>
        <w:t xml:space="preserve">, y la probada falta de efectividad de la vía de indemnización, </w:t>
      </w:r>
      <w:r w:rsidRPr="00C41275">
        <w:rPr>
          <w:rFonts w:asciiTheme="majorHAnsi" w:hAnsiTheme="majorHAnsi"/>
          <w:sz w:val="20"/>
          <w:szCs w:val="20"/>
          <w:lang w:val="es-ES_tradnl"/>
        </w:rPr>
        <w:t>como justificación para exonerarlas de acudir a la jurisdicción interna. Por su parte, el Estado replica sobre el primer grupo que la petición no se presentó en el plazo de seis meses desde la</w:t>
      </w:r>
      <w:r w:rsidR="00326799" w:rsidRPr="00C41275">
        <w:rPr>
          <w:rFonts w:asciiTheme="majorHAnsi" w:hAnsiTheme="majorHAnsi"/>
          <w:sz w:val="20"/>
          <w:szCs w:val="20"/>
          <w:lang w:val="es-ES_tradnl"/>
        </w:rPr>
        <w:t>s</w:t>
      </w:r>
      <w:r w:rsidRPr="00C41275">
        <w:rPr>
          <w:rFonts w:asciiTheme="majorHAnsi" w:hAnsiTheme="majorHAnsi"/>
          <w:sz w:val="20"/>
          <w:szCs w:val="20"/>
          <w:lang w:val="es-ES_tradnl"/>
        </w:rPr>
        <w:t xml:space="preserve"> decisi</w:t>
      </w:r>
      <w:r w:rsidR="00326799" w:rsidRPr="00C41275">
        <w:rPr>
          <w:rFonts w:asciiTheme="majorHAnsi" w:hAnsiTheme="majorHAnsi"/>
          <w:sz w:val="20"/>
          <w:szCs w:val="20"/>
          <w:lang w:val="es-ES_tradnl"/>
        </w:rPr>
        <w:t>ones</w:t>
      </w:r>
      <w:r w:rsidRPr="00C41275">
        <w:rPr>
          <w:rFonts w:asciiTheme="majorHAnsi" w:hAnsiTheme="majorHAnsi"/>
          <w:sz w:val="20"/>
          <w:szCs w:val="20"/>
          <w:lang w:val="es-ES_tradnl"/>
        </w:rPr>
        <w:t xml:space="preserve"> que archiv</w:t>
      </w:r>
      <w:r w:rsidR="00326799" w:rsidRPr="00C41275">
        <w:rPr>
          <w:rFonts w:asciiTheme="majorHAnsi" w:hAnsiTheme="majorHAnsi"/>
          <w:sz w:val="20"/>
          <w:szCs w:val="20"/>
          <w:lang w:val="es-ES_tradnl"/>
        </w:rPr>
        <w:t>aron</w:t>
      </w:r>
      <w:r w:rsidRPr="00C41275">
        <w:rPr>
          <w:rFonts w:asciiTheme="majorHAnsi" w:hAnsiTheme="majorHAnsi"/>
          <w:sz w:val="20"/>
          <w:szCs w:val="20"/>
          <w:lang w:val="es-ES_tradnl"/>
        </w:rPr>
        <w:t xml:space="preserve"> su</w:t>
      </w:r>
      <w:r w:rsidR="00326799" w:rsidRPr="00C41275">
        <w:rPr>
          <w:rFonts w:asciiTheme="majorHAnsi" w:hAnsiTheme="majorHAnsi"/>
          <w:sz w:val="20"/>
          <w:szCs w:val="20"/>
          <w:lang w:val="es-ES_tradnl"/>
        </w:rPr>
        <w:t>s</w:t>
      </w:r>
      <w:r w:rsidRPr="00C41275">
        <w:rPr>
          <w:rFonts w:asciiTheme="majorHAnsi" w:hAnsiTheme="majorHAnsi"/>
          <w:sz w:val="20"/>
          <w:szCs w:val="20"/>
          <w:lang w:val="es-ES_tradnl"/>
        </w:rPr>
        <w:t xml:space="preserve"> demanda</w:t>
      </w:r>
      <w:r w:rsidR="00326799" w:rsidRPr="00C41275">
        <w:rPr>
          <w:rFonts w:asciiTheme="majorHAnsi" w:hAnsiTheme="majorHAnsi"/>
          <w:sz w:val="20"/>
          <w:szCs w:val="20"/>
          <w:lang w:val="es-ES_tradnl"/>
        </w:rPr>
        <w:t>s</w:t>
      </w:r>
      <w:r w:rsidRPr="00C41275">
        <w:rPr>
          <w:rFonts w:asciiTheme="majorHAnsi" w:hAnsiTheme="majorHAnsi"/>
          <w:sz w:val="20"/>
          <w:szCs w:val="20"/>
          <w:lang w:val="es-ES_tradnl"/>
        </w:rPr>
        <w:t xml:space="preserve">; </w:t>
      </w:r>
      <w:r w:rsidR="00326799" w:rsidRPr="00C41275">
        <w:rPr>
          <w:rFonts w:asciiTheme="majorHAnsi" w:hAnsiTheme="majorHAnsi"/>
          <w:sz w:val="20"/>
          <w:szCs w:val="20"/>
          <w:lang w:val="es-ES_tradnl"/>
        </w:rPr>
        <w:t>y que, subsidiariamente</w:t>
      </w:r>
      <w:r w:rsidRPr="00C41275">
        <w:rPr>
          <w:rFonts w:asciiTheme="majorHAnsi" w:hAnsiTheme="majorHAnsi"/>
          <w:sz w:val="20"/>
          <w:szCs w:val="20"/>
          <w:lang w:val="es-ES_tradnl"/>
        </w:rPr>
        <w:t>,</w:t>
      </w:r>
      <w:r w:rsidR="00326799" w:rsidRPr="00C41275">
        <w:rPr>
          <w:rFonts w:asciiTheme="majorHAnsi" w:hAnsiTheme="majorHAnsi"/>
          <w:sz w:val="20"/>
          <w:szCs w:val="20"/>
          <w:lang w:val="es-ES_tradnl"/>
        </w:rPr>
        <w:t xml:space="preserve"> aún tenían</w:t>
      </w:r>
      <w:r w:rsidRPr="00C41275">
        <w:rPr>
          <w:rFonts w:asciiTheme="majorHAnsi" w:hAnsiTheme="majorHAnsi"/>
          <w:sz w:val="20"/>
          <w:szCs w:val="20"/>
          <w:lang w:val="es-ES_tradnl"/>
        </w:rPr>
        <w:t xml:space="preserve"> a su disposición el recurso de amparo para solicitar la protección a su derecho a las garantías judiciales. </w:t>
      </w:r>
      <w:r w:rsidR="00326799" w:rsidRPr="00C41275">
        <w:rPr>
          <w:rFonts w:asciiTheme="majorHAnsi" w:hAnsiTheme="majorHAnsi"/>
          <w:sz w:val="20"/>
          <w:szCs w:val="20"/>
          <w:lang w:val="es-ES_tradnl"/>
        </w:rPr>
        <w:t xml:space="preserve">Con respecto al resto de presuntas víctimas, pide a la Comisión que declare la falta de cumplimiento del artículo 46.1.a), dado que no se ha acreditado, ni a nivel interno ni durante el presente proceso, que efectivamente se encuentren en situación de indigencia. </w:t>
      </w:r>
    </w:p>
    <w:p w14:paraId="651CEFC1" w14:textId="236B2305" w:rsidR="00D61225" w:rsidRPr="00C41275" w:rsidRDefault="003C3C25" w:rsidP="007A23A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A este respecto, la </w:t>
      </w:r>
      <w:r w:rsidR="00654EA9" w:rsidRPr="00C41275">
        <w:rPr>
          <w:rFonts w:asciiTheme="majorHAnsi" w:hAnsiTheme="majorHAnsi"/>
          <w:sz w:val="20"/>
          <w:szCs w:val="20"/>
          <w:lang w:val="es-ES_tradnl"/>
        </w:rPr>
        <w:t>CIDH</w:t>
      </w:r>
      <w:r w:rsidRPr="00C41275">
        <w:rPr>
          <w:rFonts w:asciiTheme="majorHAnsi" w:hAnsiTheme="majorHAnsi"/>
          <w:sz w:val="20"/>
          <w:szCs w:val="20"/>
          <w:lang w:val="es-ES_tradnl"/>
        </w:rPr>
        <w:t xml:space="preserve"> </w:t>
      </w:r>
      <w:r w:rsidR="00654EA9" w:rsidRPr="00C41275">
        <w:rPr>
          <w:rFonts w:asciiTheme="majorHAnsi" w:hAnsiTheme="majorHAnsi"/>
          <w:sz w:val="20"/>
          <w:szCs w:val="20"/>
          <w:lang w:val="es-ES_tradnl"/>
        </w:rPr>
        <w:t xml:space="preserve">ya </w:t>
      </w:r>
      <w:r w:rsidRPr="00C41275">
        <w:rPr>
          <w:rFonts w:asciiTheme="majorHAnsi" w:hAnsiTheme="majorHAnsi"/>
          <w:sz w:val="20"/>
          <w:szCs w:val="20"/>
          <w:lang w:val="es-ES_tradnl"/>
        </w:rPr>
        <w:t>ha decidido un caso idéntico a</w:t>
      </w:r>
      <w:r w:rsidR="00654EA9" w:rsidRPr="00C41275">
        <w:rPr>
          <w:rFonts w:asciiTheme="majorHAnsi" w:hAnsiTheme="majorHAnsi"/>
          <w:sz w:val="20"/>
          <w:szCs w:val="20"/>
          <w:lang w:val="es-ES_tradnl"/>
        </w:rPr>
        <w:t xml:space="preserve">l </w:t>
      </w:r>
      <w:r w:rsidRPr="00C41275">
        <w:rPr>
          <w:rFonts w:asciiTheme="majorHAnsi" w:hAnsiTheme="majorHAnsi"/>
          <w:sz w:val="20"/>
          <w:szCs w:val="20"/>
          <w:lang w:val="es-ES_tradnl"/>
        </w:rPr>
        <w:t xml:space="preserve">presente </w:t>
      </w:r>
      <w:r w:rsidR="00B1629D" w:rsidRPr="00C41275">
        <w:rPr>
          <w:rFonts w:asciiTheme="majorHAnsi" w:hAnsiTheme="majorHAnsi"/>
          <w:sz w:val="20"/>
          <w:szCs w:val="20"/>
          <w:lang w:val="es-ES_tradnl"/>
        </w:rPr>
        <w:t xml:space="preserve">por medio de su Informe </w:t>
      </w:r>
      <w:r w:rsidR="00654EA9" w:rsidRPr="00C41275">
        <w:rPr>
          <w:rFonts w:asciiTheme="majorHAnsi" w:hAnsiTheme="majorHAnsi"/>
          <w:sz w:val="20"/>
          <w:szCs w:val="20"/>
          <w:lang w:val="es-ES_tradnl"/>
        </w:rPr>
        <w:t xml:space="preserve">No. </w:t>
      </w:r>
      <w:r w:rsidR="00B1629D" w:rsidRPr="00C41275">
        <w:rPr>
          <w:rFonts w:asciiTheme="majorHAnsi" w:hAnsiTheme="majorHAnsi"/>
          <w:sz w:val="20"/>
          <w:szCs w:val="20"/>
          <w:lang w:val="es-ES_tradnl"/>
        </w:rPr>
        <w:t xml:space="preserve">38/21 en el que </w:t>
      </w:r>
      <w:r w:rsidRPr="00C41275">
        <w:rPr>
          <w:rFonts w:asciiTheme="majorHAnsi" w:hAnsiTheme="majorHAnsi"/>
          <w:sz w:val="20"/>
          <w:szCs w:val="20"/>
          <w:lang w:val="es-ES_tradnl"/>
        </w:rPr>
        <w:t xml:space="preserve">concluyó que los gastos de litigio exigidos a quienes reclaman reparaciones </w:t>
      </w:r>
      <w:r w:rsidR="00654EA9" w:rsidRPr="00C41275">
        <w:rPr>
          <w:rFonts w:asciiTheme="majorHAnsi" w:hAnsiTheme="majorHAnsi"/>
          <w:sz w:val="20"/>
          <w:szCs w:val="20"/>
          <w:lang w:val="es-ES_tradnl"/>
        </w:rPr>
        <w:t>en el marco del Plan Integral de Reparaciones en Perú</w:t>
      </w:r>
      <w:r w:rsidRPr="00C41275">
        <w:rPr>
          <w:rFonts w:asciiTheme="majorHAnsi" w:hAnsiTheme="majorHAnsi"/>
          <w:sz w:val="20"/>
          <w:szCs w:val="20"/>
          <w:lang w:val="es-ES_tradnl"/>
        </w:rPr>
        <w:t xml:space="preserve"> </w:t>
      </w:r>
      <w:r w:rsidR="00654EA9" w:rsidRPr="00C41275">
        <w:rPr>
          <w:rFonts w:asciiTheme="majorHAnsi" w:hAnsiTheme="majorHAnsi"/>
          <w:sz w:val="20"/>
          <w:szCs w:val="20"/>
          <w:lang w:val="es-ES_tradnl"/>
        </w:rPr>
        <w:t>constituye</w:t>
      </w:r>
      <w:r w:rsidR="007A23AB" w:rsidRPr="00C41275">
        <w:rPr>
          <w:rFonts w:asciiTheme="majorHAnsi" w:hAnsiTheme="majorHAnsi"/>
          <w:sz w:val="20"/>
          <w:szCs w:val="20"/>
          <w:lang w:val="es-ES_tradnl"/>
        </w:rPr>
        <w:t>n</w:t>
      </w:r>
      <w:r w:rsidR="00654EA9" w:rsidRPr="00C41275">
        <w:rPr>
          <w:rFonts w:asciiTheme="majorHAnsi" w:hAnsiTheme="majorHAnsi"/>
          <w:sz w:val="20"/>
          <w:szCs w:val="20"/>
          <w:lang w:val="es-ES_tradnl"/>
        </w:rPr>
        <w:t xml:space="preserve"> una barrera al acceso a la justicia </w:t>
      </w:r>
      <w:r w:rsidR="007A23AB" w:rsidRPr="00C41275">
        <w:rPr>
          <w:rFonts w:asciiTheme="majorHAnsi" w:hAnsiTheme="majorHAnsi"/>
          <w:sz w:val="20"/>
          <w:szCs w:val="20"/>
          <w:lang w:val="es-ES_tradnl"/>
        </w:rPr>
        <w:t xml:space="preserve">de las presuntas víctimas, </w:t>
      </w:r>
      <w:r w:rsidR="00654EA9" w:rsidRPr="00C41275">
        <w:rPr>
          <w:rFonts w:asciiTheme="majorHAnsi" w:hAnsiTheme="majorHAnsi"/>
          <w:sz w:val="20"/>
          <w:szCs w:val="20"/>
          <w:lang w:val="es-ES_tradnl"/>
        </w:rPr>
        <w:t>que justifica la aplicación de la excepción prevista en el artículo 46.</w:t>
      </w:r>
      <w:r w:rsidR="00BE171F">
        <w:rPr>
          <w:rFonts w:asciiTheme="majorHAnsi" w:hAnsiTheme="majorHAnsi"/>
          <w:sz w:val="20"/>
          <w:szCs w:val="20"/>
          <w:lang w:val="es-ES_tradnl"/>
        </w:rPr>
        <w:t>2</w:t>
      </w:r>
      <w:r w:rsidR="00654EA9" w:rsidRPr="00C41275">
        <w:rPr>
          <w:rFonts w:asciiTheme="majorHAnsi" w:hAnsiTheme="majorHAnsi"/>
          <w:sz w:val="20"/>
          <w:szCs w:val="20"/>
          <w:lang w:val="es-ES_tradnl"/>
        </w:rPr>
        <w:t>.b) de la Convención Americana</w:t>
      </w:r>
      <w:r w:rsidR="007A23AB" w:rsidRPr="00C41275">
        <w:rPr>
          <w:rStyle w:val="FootnoteReference"/>
          <w:rFonts w:asciiTheme="majorHAnsi" w:hAnsiTheme="majorHAnsi"/>
          <w:sz w:val="20"/>
          <w:szCs w:val="20"/>
          <w:lang w:val="es-ES_tradnl"/>
        </w:rPr>
        <w:footnoteReference w:id="6"/>
      </w:r>
      <w:r w:rsidR="004A3DD0">
        <w:rPr>
          <w:rFonts w:asciiTheme="majorHAnsi" w:hAnsiTheme="majorHAnsi"/>
          <w:sz w:val="20"/>
          <w:szCs w:val="20"/>
          <w:lang w:val="es-ES_tradnl"/>
        </w:rPr>
        <w:t>; declarando la admisibilidad de la petición respecto de todas las presuntas víctimas</w:t>
      </w:r>
      <w:r w:rsidR="00654EA9" w:rsidRPr="00C41275">
        <w:rPr>
          <w:rFonts w:asciiTheme="majorHAnsi" w:hAnsiTheme="majorHAnsi"/>
          <w:sz w:val="20"/>
          <w:szCs w:val="20"/>
          <w:lang w:val="es-ES_tradnl"/>
        </w:rPr>
        <w:t>.</w:t>
      </w:r>
      <w:r w:rsidR="007A23AB" w:rsidRPr="00C41275">
        <w:rPr>
          <w:rFonts w:asciiTheme="majorHAnsi" w:hAnsiTheme="majorHAnsi"/>
          <w:sz w:val="20"/>
          <w:szCs w:val="20"/>
          <w:lang w:val="es-ES_tradnl"/>
        </w:rPr>
        <w:t xml:space="preserve"> De igual forma,</w:t>
      </w:r>
      <w:r w:rsidR="00654EA9" w:rsidRPr="00C41275">
        <w:rPr>
          <w:rFonts w:asciiTheme="majorHAnsi" w:hAnsiTheme="majorHAnsi"/>
          <w:sz w:val="20"/>
          <w:szCs w:val="20"/>
          <w:lang w:val="es-ES_tradnl"/>
        </w:rPr>
        <w:t xml:space="preserve"> </w:t>
      </w:r>
      <w:r w:rsidR="004F0942" w:rsidRPr="00C41275">
        <w:rPr>
          <w:rFonts w:asciiTheme="majorHAnsi" w:hAnsiTheme="majorHAnsi"/>
          <w:sz w:val="20"/>
          <w:szCs w:val="20"/>
          <w:lang w:val="es-ES_tradnl"/>
        </w:rPr>
        <w:t xml:space="preserve">la Comisión </w:t>
      </w:r>
      <w:r w:rsidR="00A14261">
        <w:rPr>
          <w:rFonts w:asciiTheme="majorHAnsi" w:hAnsiTheme="majorHAnsi"/>
          <w:sz w:val="20"/>
          <w:szCs w:val="20"/>
          <w:lang w:val="es-ES_tradnl"/>
        </w:rPr>
        <w:t>ha considerado</w:t>
      </w:r>
      <w:r w:rsidR="000A2EE1" w:rsidRPr="00C41275">
        <w:rPr>
          <w:rFonts w:asciiTheme="majorHAnsi" w:hAnsiTheme="majorHAnsi"/>
          <w:sz w:val="20"/>
          <w:szCs w:val="20"/>
          <w:lang w:val="es-ES_tradnl"/>
        </w:rPr>
        <w:t xml:space="preserve"> en </w:t>
      </w:r>
      <w:r w:rsidR="007A23AB" w:rsidRPr="00C41275">
        <w:rPr>
          <w:rFonts w:asciiTheme="majorHAnsi" w:hAnsiTheme="majorHAnsi"/>
          <w:sz w:val="20"/>
          <w:szCs w:val="20"/>
          <w:lang w:val="es-ES_tradnl"/>
        </w:rPr>
        <w:t xml:space="preserve">otras </w:t>
      </w:r>
      <w:r w:rsidR="000A2EE1" w:rsidRPr="00C41275">
        <w:rPr>
          <w:rFonts w:asciiTheme="majorHAnsi" w:hAnsiTheme="majorHAnsi"/>
          <w:sz w:val="20"/>
          <w:szCs w:val="20"/>
          <w:lang w:val="es-ES_tradnl"/>
        </w:rPr>
        <w:t xml:space="preserve">decisiones de admisibilidad </w:t>
      </w:r>
      <w:r w:rsidR="00A14261">
        <w:rPr>
          <w:rFonts w:asciiTheme="majorHAnsi" w:hAnsiTheme="majorHAnsi"/>
          <w:sz w:val="20"/>
          <w:szCs w:val="20"/>
          <w:lang w:val="es-ES_tradnl"/>
        </w:rPr>
        <w:t>que dependiendo de las particularidades de un caso, los gastos de litigio podrían llegan a constituir un impedimento al acceso a la justicia que justifique la aplicación de una excepción al agotamiento de los recursos internos</w:t>
      </w:r>
      <w:r w:rsidR="000A2EE1" w:rsidRPr="00C41275">
        <w:rPr>
          <w:rStyle w:val="FootnoteReference"/>
          <w:rFonts w:asciiTheme="majorHAnsi" w:hAnsiTheme="majorHAnsi"/>
          <w:sz w:val="20"/>
          <w:szCs w:val="20"/>
          <w:lang w:val="es-ES_tradnl"/>
        </w:rPr>
        <w:footnoteReference w:id="7"/>
      </w:r>
      <w:r w:rsidR="007A23AB" w:rsidRPr="00C41275">
        <w:rPr>
          <w:rFonts w:asciiTheme="majorHAnsi" w:hAnsiTheme="majorHAnsi"/>
          <w:sz w:val="20"/>
          <w:szCs w:val="20"/>
          <w:lang w:val="es-ES_tradnl"/>
        </w:rPr>
        <w:t xml:space="preserve">. </w:t>
      </w:r>
    </w:p>
    <w:p w14:paraId="49C750C8" w14:textId="3FB63667" w:rsidR="00744E50" w:rsidRPr="00C41275" w:rsidRDefault="007A23AB" w:rsidP="00744E5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A</w:t>
      </w:r>
      <w:r w:rsidR="00D46BC7" w:rsidRPr="00C41275">
        <w:rPr>
          <w:rFonts w:asciiTheme="majorHAnsi" w:hAnsiTheme="majorHAnsi"/>
          <w:sz w:val="20"/>
          <w:szCs w:val="20"/>
          <w:lang w:val="es-ES_tradnl"/>
        </w:rPr>
        <w:t xml:space="preserve"> pesar de que el Estado arguye que tales personas debieron utilizar </w:t>
      </w:r>
      <w:r w:rsidR="009B1476" w:rsidRPr="00C41275">
        <w:rPr>
          <w:rFonts w:asciiTheme="majorHAnsi" w:hAnsiTheme="majorHAnsi"/>
          <w:sz w:val="20"/>
          <w:szCs w:val="20"/>
          <w:lang w:val="es-ES_tradnl"/>
        </w:rPr>
        <w:t>el proceso</w:t>
      </w:r>
      <w:r w:rsidR="00D46BC7" w:rsidRPr="00C41275">
        <w:rPr>
          <w:rFonts w:asciiTheme="majorHAnsi" w:hAnsiTheme="majorHAnsi"/>
          <w:sz w:val="20"/>
          <w:szCs w:val="20"/>
          <w:lang w:val="es-ES_tradnl"/>
        </w:rPr>
        <w:t xml:space="preserve"> de amparo para buscar la tutela de su derecho a las garantías judiciales, </w:t>
      </w:r>
      <w:r w:rsidR="00744E50" w:rsidRPr="00C41275">
        <w:rPr>
          <w:rFonts w:asciiTheme="majorHAnsi" w:hAnsiTheme="majorHAnsi"/>
          <w:sz w:val="20"/>
          <w:szCs w:val="20"/>
          <w:lang w:val="es-ES_tradnl"/>
        </w:rPr>
        <w:t xml:space="preserve">la Comisión recuerda que, como regla general, la parte peticionaria solo tiene en principio la obligación de agotar las vías judiciales ordinarias a nivel interno. Por ello, la CIDH considera que cuando se alegan irregularidades a lo largo de distintas etapas de un proceso, </w:t>
      </w:r>
      <w:r w:rsidR="00744E50" w:rsidRPr="00C41275">
        <w:rPr>
          <w:rFonts w:asciiTheme="majorHAnsi" w:hAnsiTheme="majorHAnsi"/>
          <w:sz w:val="20"/>
          <w:szCs w:val="20"/>
          <w:lang w:val="es-ES_tradnl"/>
        </w:rPr>
        <w:lastRenderedPageBreak/>
        <w:t>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 Sin perjuicio de ello, la Comisión resalta que el Estado en su escrito tampoco explica</w:t>
      </w:r>
      <w:r w:rsidR="00D46BC7" w:rsidRPr="00C41275">
        <w:rPr>
          <w:rFonts w:asciiTheme="majorHAnsi" w:hAnsiTheme="majorHAnsi"/>
          <w:sz w:val="20"/>
          <w:szCs w:val="20"/>
          <w:lang w:val="es-ES_tradnl"/>
        </w:rPr>
        <w:t xml:space="preserve"> a detalle por qué </w:t>
      </w:r>
      <w:r w:rsidR="00744E50" w:rsidRPr="00C41275">
        <w:rPr>
          <w:rFonts w:asciiTheme="majorHAnsi" w:hAnsiTheme="majorHAnsi"/>
          <w:sz w:val="20"/>
          <w:szCs w:val="20"/>
          <w:lang w:val="es-ES_tradnl"/>
        </w:rPr>
        <w:t>la vía extraordinaria de amparo</w:t>
      </w:r>
      <w:r w:rsidR="00D46BC7" w:rsidRPr="00C41275">
        <w:rPr>
          <w:rFonts w:asciiTheme="majorHAnsi" w:hAnsiTheme="majorHAnsi"/>
          <w:sz w:val="20"/>
          <w:szCs w:val="20"/>
          <w:lang w:val="es-ES_tradnl"/>
        </w:rPr>
        <w:t xml:space="preserve"> sería adecuad</w:t>
      </w:r>
      <w:r w:rsidR="00744E50" w:rsidRPr="00C41275">
        <w:rPr>
          <w:rFonts w:asciiTheme="majorHAnsi" w:hAnsiTheme="majorHAnsi"/>
          <w:sz w:val="20"/>
          <w:szCs w:val="20"/>
          <w:lang w:val="es-ES_tradnl"/>
        </w:rPr>
        <w:t>a</w:t>
      </w:r>
      <w:r w:rsidR="00D46BC7" w:rsidRPr="00C41275">
        <w:rPr>
          <w:rFonts w:asciiTheme="majorHAnsi" w:hAnsiTheme="majorHAnsi"/>
          <w:sz w:val="20"/>
          <w:szCs w:val="20"/>
          <w:lang w:val="es-ES_tradnl"/>
        </w:rPr>
        <w:t xml:space="preserve"> y efectiv</w:t>
      </w:r>
      <w:r w:rsidR="00744E50" w:rsidRPr="00C41275">
        <w:rPr>
          <w:rFonts w:asciiTheme="majorHAnsi" w:hAnsiTheme="majorHAnsi"/>
          <w:sz w:val="20"/>
          <w:szCs w:val="20"/>
          <w:lang w:val="es-ES_tradnl"/>
        </w:rPr>
        <w:t>a</w:t>
      </w:r>
      <w:r w:rsidR="00D46BC7" w:rsidRPr="00C41275">
        <w:rPr>
          <w:rFonts w:asciiTheme="majorHAnsi" w:hAnsiTheme="majorHAnsi"/>
          <w:sz w:val="20"/>
          <w:szCs w:val="20"/>
          <w:lang w:val="es-ES_tradnl"/>
        </w:rPr>
        <w:t xml:space="preserve"> para resolver la situación de las presuntas víctimas.  </w:t>
      </w:r>
    </w:p>
    <w:p w14:paraId="302EE295" w14:textId="5E69E919" w:rsidR="00C77DDC" w:rsidRPr="00C41275" w:rsidRDefault="00C44C5A" w:rsidP="00DB40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Por otro lado, en cuanto al plazo de presentación, </w:t>
      </w:r>
      <w:r w:rsidR="003542DC" w:rsidRPr="00C41275">
        <w:rPr>
          <w:rFonts w:asciiTheme="majorHAnsi" w:hAnsiTheme="majorHAnsi"/>
          <w:sz w:val="20"/>
          <w:szCs w:val="20"/>
          <w:lang w:val="es-ES_tradnl"/>
        </w:rPr>
        <w:t>considerando que</w:t>
      </w:r>
      <w:r w:rsidR="00C77DDC" w:rsidRPr="00C41275">
        <w:rPr>
          <w:rFonts w:asciiTheme="majorHAnsi" w:hAnsiTheme="majorHAnsi"/>
          <w:sz w:val="20"/>
          <w:szCs w:val="20"/>
          <w:lang w:val="es-ES_tradnl"/>
        </w:rPr>
        <w:t>, a pesar sus limitaciones económicas,</w:t>
      </w:r>
      <w:r w:rsidR="003542DC" w:rsidRPr="00C41275">
        <w:rPr>
          <w:rFonts w:asciiTheme="majorHAnsi" w:hAnsiTheme="majorHAnsi"/>
          <w:sz w:val="20"/>
          <w:szCs w:val="20"/>
          <w:lang w:val="es-ES_tradnl"/>
        </w:rPr>
        <w:t xml:space="preserve"> </w:t>
      </w:r>
      <w:r w:rsidR="00C77DDC" w:rsidRPr="00C41275">
        <w:rPr>
          <w:rFonts w:asciiTheme="majorHAnsi" w:hAnsiTheme="majorHAnsi"/>
          <w:sz w:val="20"/>
          <w:szCs w:val="20"/>
          <w:lang w:val="es-ES_tradnl"/>
        </w:rPr>
        <w:t>las presuntas víctimas habrían intentado impulsar el proceso a nivel interno con acciones hasta el 2005, y que los hechos que denuncian están relacionado con la ausencia de reparación de graves violaciones de derechos humanos, la CIDH también considera que el presente asunto fue presentado en un tiempo razonable, por lo que se cumple el requisito previsto en el artículo 32 de su Reglamento</w:t>
      </w:r>
      <w:r w:rsidR="00D974A1" w:rsidRPr="00C41275">
        <w:rPr>
          <w:rFonts w:asciiTheme="majorHAnsi" w:hAnsiTheme="majorHAnsi"/>
          <w:sz w:val="20"/>
          <w:szCs w:val="20"/>
          <w:lang w:val="es-ES_tradnl"/>
        </w:rPr>
        <w:t>.</w:t>
      </w:r>
    </w:p>
    <w:p w14:paraId="238B4466" w14:textId="01ABA03D" w:rsidR="00EB66DE" w:rsidRPr="00C41275" w:rsidRDefault="00EB66DE" w:rsidP="00C77D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C41275">
        <w:rPr>
          <w:rFonts w:asciiTheme="majorHAnsi" w:hAnsiTheme="majorHAnsi"/>
          <w:b/>
          <w:bCs/>
          <w:sz w:val="20"/>
          <w:szCs w:val="20"/>
          <w:lang w:val="es-ES_tradnl"/>
        </w:rPr>
        <w:t>VII.</w:t>
      </w:r>
      <w:r w:rsidRPr="00C41275">
        <w:rPr>
          <w:rFonts w:asciiTheme="majorHAnsi" w:hAnsiTheme="majorHAnsi"/>
          <w:b/>
          <w:bCs/>
          <w:sz w:val="20"/>
          <w:szCs w:val="20"/>
          <w:lang w:val="es-ES_tradnl"/>
        </w:rPr>
        <w:tab/>
        <w:t>ANÁLISIS DE CARACTERIZACIÓN DE LOS HECHOS ALEGADOS</w:t>
      </w:r>
    </w:p>
    <w:p w14:paraId="3169E06C" w14:textId="63856F8F" w:rsidR="00BB6F90" w:rsidRPr="00C41275" w:rsidRDefault="00C77DDC" w:rsidP="00BB6F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La Comisión observa que el objeto principal de esta petición es denunciar la ausencia de una indemnización por la</w:t>
      </w:r>
      <w:r w:rsidR="00D974A1" w:rsidRPr="00C41275">
        <w:rPr>
          <w:rFonts w:asciiTheme="majorHAnsi" w:hAnsiTheme="majorHAnsi"/>
          <w:sz w:val="20"/>
          <w:szCs w:val="20"/>
          <w:lang w:val="es-ES_tradnl"/>
        </w:rPr>
        <w:t>s consecuencias derivadas de la</w:t>
      </w:r>
      <w:r w:rsidRPr="00C41275">
        <w:rPr>
          <w:rFonts w:asciiTheme="majorHAnsi" w:hAnsiTheme="majorHAnsi"/>
          <w:sz w:val="20"/>
          <w:szCs w:val="20"/>
          <w:lang w:val="es-ES_tradnl"/>
        </w:rPr>
        <w:t xml:space="preserve"> alegada privación arbitraria de libertad de las presuntas víctimas, </w:t>
      </w:r>
      <w:r w:rsidR="004A3DD0" w:rsidRPr="00C41275">
        <w:rPr>
          <w:rFonts w:asciiTheme="majorHAnsi" w:hAnsiTheme="majorHAnsi"/>
          <w:sz w:val="20"/>
          <w:szCs w:val="20"/>
          <w:lang w:val="es-ES_tradnl"/>
        </w:rPr>
        <w:t>a pesar de que</w:t>
      </w:r>
      <w:r w:rsidRPr="00C41275">
        <w:rPr>
          <w:rFonts w:asciiTheme="majorHAnsi" w:hAnsiTheme="majorHAnsi"/>
          <w:sz w:val="20"/>
          <w:szCs w:val="20"/>
          <w:lang w:val="es-ES_tradnl"/>
        </w:rPr>
        <w:t xml:space="preserve"> existen pruebas que</w:t>
      </w:r>
      <w:r w:rsidR="00D974A1" w:rsidRPr="00C41275">
        <w:rPr>
          <w:rFonts w:asciiTheme="majorHAnsi" w:hAnsiTheme="majorHAnsi"/>
          <w:sz w:val="20"/>
          <w:szCs w:val="20"/>
          <w:lang w:val="es-ES_tradnl"/>
        </w:rPr>
        <w:t xml:space="preserve"> demuestran que</w:t>
      </w:r>
      <w:r w:rsidRPr="00C41275">
        <w:rPr>
          <w:rFonts w:asciiTheme="majorHAnsi" w:hAnsiTheme="majorHAnsi"/>
          <w:sz w:val="20"/>
          <w:szCs w:val="20"/>
          <w:lang w:val="es-ES_tradnl"/>
        </w:rPr>
        <w:t xml:space="preserve"> fueron absueltas por las irregularidades cometidas en su procesamiento. </w:t>
      </w:r>
    </w:p>
    <w:p w14:paraId="7B176A23" w14:textId="4D81813D" w:rsidR="00BB6F90" w:rsidRPr="00C41275" w:rsidRDefault="00C77DDC" w:rsidP="00BB6F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Al respecto, el </w:t>
      </w:r>
      <w:r w:rsidR="00BB6F90" w:rsidRPr="00C41275">
        <w:rPr>
          <w:rFonts w:asciiTheme="majorHAnsi" w:hAnsiTheme="majorHAnsi"/>
          <w:sz w:val="20"/>
          <w:szCs w:val="20"/>
          <w:lang w:val="es-ES_tradnl"/>
        </w:rPr>
        <w:t xml:space="preserve">Estado replica que a </w:t>
      </w:r>
      <w:r w:rsidR="00A14261">
        <w:rPr>
          <w:rFonts w:asciiTheme="majorHAnsi" w:hAnsiTheme="majorHAnsi"/>
          <w:sz w:val="20"/>
          <w:szCs w:val="20"/>
          <w:lang w:val="es-ES_tradnl"/>
        </w:rPr>
        <w:t>sesenta y ocho</w:t>
      </w:r>
      <w:r w:rsidR="00BB6F90" w:rsidRPr="00C41275">
        <w:rPr>
          <w:rFonts w:asciiTheme="majorHAnsi" w:hAnsiTheme="majorHAnsi"/>
          <w:sz w:val="20"/>
          <w:szCs w:val="20"/>
          <w:lang w:val="es-ES_tradnl"/>
        </w:rPr>
        <w:t xml:space="preserve"> de las presuntas víctimas ya se les reconoció su derecho a obtener tal indemnización, dado que son beneficiarias del Plan Integral de Reparaciones. No obstante, no alega ni aporta argumentos que demuestren que, al momento de resolver la presente controversia, dicha reparación haya sido efectivamente otorgada. En consecuencia, la CIDH no puede dar por acredita</w:t>
      </w:r>
      <w:r w:rsidR="00204D1D" w:rsidRPr="00C41275">
        <w:rPr>
          <w:rFonts w:asciiTheme="majorHAnsi" w:hAnsiTheme="majorHAnsi"/>
          <w:sz w:val="20"/>
          <w:szCs w:val="20"/>
          <w:lang w:val="es-ES_tradnl"/>
        </w:rPr>
        <w:t>do</w:t>
      </w:r>
      <w:r w:rsidR="00BB6F90" w:rsidRPr="00C41275">
        <w:rPr>
          <w:rFonts w:asciiTheme="majorHAnsi" w:hAnsiTheme="majorHAnsi"/>
          <w:sz w:val="20"/>
          <w:szCs w:val="20"/>
          <w:lang w:val="es-ES_tradnl"/>
        </w:rPr>
        <w:t xml:space="preserve"> que las autoridades han cesado y reparado las presuntas afectaciones provocadas por el tiempo que las presuntas víctimas habrían estado privadas de su libertad. </w:t>
      </w:r>
    </w:p>
    <w:p w14:paraId="75D55CD1" w14:textId="7358FC6E" w:rsidR="00D974A1" w:rsidRPr="00C41275" w:rsidRDefault="00D974A1" w:rsidP="00BB6F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Asimismo, si bien el Estado cuestiona que tales personas no han acreditado su situación de indigencia, la Comisión reitera que el criterio de evaluación de la fase de admisibilidad difiere del que se utiliza para pronunciarse sobre el fondo de una petición. En esta etapa, la CIDH debe realizar una evaluación </w:t>
      </w:r>
      <w:r w:rsidRPr="00C41275">
        <w:rPr>
          <w:rFonts w:asciiTheme="majorHAnsi" w:hAnsiTheme="majorHAnsi"/>
          <w:i/>
          <w:iCs/>
          <w:sz w:val="20"/>
          <w:szCs w:val="20"/>
          <w:lang w:val="es-ES_tradnl"/>
        </w:rPr>
        <w:t>prima facie</w:t>
      </w:r>
      <w:r w:rsidRPr="00C41275">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6CDDA371" w14:textId="1CD620ED" w:rsidR="00EB66DE" w:rsidRPr="00C41275" w:rsidRDefault="00BB6F90" w:rsidP="00BB6F9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41275">
        <w:rPr>
          <w:rFonts w:asciiTheme="majorHAnsi" w:hAnsiTheme="majorHAnsi"/>
          <w:sz w:val="20"/>
          <w:szCs w:val="20"/>
          <w:lang w:val="es-ES_tradnl"/>
        </w:rPr>
        <w:t>En atención a estas consideraciones, t</w:t>
      </w:r>
      <w:r w:rsidR="00C77DDC" w:rsidRPr="00C41275">
        <w:rPr>
          <w:rFonts w:asciiTheme="majorHAnsi" w:hAnsiTheme="majorHAnsi"/>
          <w:sz w:val="20"/>
          <w:szCs w:val="20"/>
          <w:lang w:val="es-ES_tradnl"/>
        </w:rPr>
        <w:t>ras examinar los elementos de hecho y de derecho expuestos por las partes, la Comisión Interamericana estima que los alegatos de la peticionaria no resultan manifiestamente infundados</w:t>
      </w:r>
      <w:r w:rsidR="00AF04E0">
        <w:rPr>
          <w:rStyle w:val="FootnoteReference"/>
          <w:rFonts w:asciiTheme="majorHAnsi" w:hAnsiTheme="majorHAnsi"/>
          <w:sz w:val="20"/>
          <w:szCs w:val="20"/>
          <w:lang w:val="es-ES_tradnl"/>
        </w:rPr>
        <w:footnoteReference w:id="8"/>
      </w:r>
      <w:r w:rsidR="00C77DDC" w:rsidRPr="00C41275">
        <w:rPr>
          <w:rFonts w:asciiTheme="majorHAnsi" w:hAnsiTheme="majorHAnsi"/>
          <w:sz w:val="20"/>
          <w:szCs w:val="20"/>
          <w:lang w:val="es-ES_tradnl"/>
        </w:rPr>
        <w:t xml:space="preserve"> y requieren un estudio de fondo pues, de corroborarse como ciertos, podrían constituir violaciones de los derechos reconocidos en los artículos 5 (integridad personal), 7 (libertad personal), 8 (garantías judiciales), 10 (indemnización), 25 (protección judicial) de la Convención Americana, con relación a sus artículos 1.1 (obligación de respetar los derechos) y 2 (deber de adoptar disposiciones de </w:t>
      </w:r>
      <w:r w:rsidR="00C77DDC" w:rsidRPr="00C41275">
        <w:rPr>
          <w:rFonts w:asciiTheme="majorHAnsi" w:hAnsiTheme="majorHAnsi"/>
          <w:sz w:val="20"/>
          <w:szCs w:val="20"/>
          <w:lang w:val="es-ES_tradnl"/>
        </w:rPr>
        <w:lastRenderedPageBreak/>
        <w:t>derecho interno)</w:t>
      </w:r>
      <w:r w:rsidR="00565C6C" w:rsidRPr="00C41275">
        <w:rPr>
          <w:rFonts w:asciiTheme="majorHAnsi" w:hAnsiTheme="majorHAnsi"/>
          <w:sz w:val="20"/>
          <w:szCs w:val="20"/>
          <w:lang w:val="es-ES_tradnl"/>
        </w:rPr>
        <w:t xml:space="preserve"> en perjuicio de las presuntas víctimas debidamente identificadas en el trámite de la presente petición</w:t>
      </w:r>
      <w:r w:rsidR="00C77DDC" w:rsidRPr="00C41275">
        <w:rPr>
          <w:rFonts w:asciiTheme="majorHAnsi" w:hAnsiTheme="majorHAnsi"/>
          <w:sz w:val="20"/>
          <w:szCs w:val="20"/>
          <w:lang w:val="es-ES_tradnl"/>
        </w:rPr>
        <w:t>.</w:t>
      </w:r>
    </w:p>
    <w:p w14:paraId="445BF42E" w14:textId="77777777" w:rsidR="003239B8" w:rsidRPr="00C41275" w:rsidRDefault="003239B8" w:rsidP="003239B8">
      <w:pPr>
        <w:pStyle w:val="ListParagraph"/>
        <w:spacing w:before="240" w:after="240"/>
        <w:jc w:val="both"/>
        <w:rPr>
          <w:rFonts w:asciiTheme="majorHAnsi" w:hAnsiTheme="majorHAnsi"/>
          <w:b/>
          <w:bCs/>
          <w:sz w:val="20"/>
          <w:szCs w:val="20"/>
          <w:lang w:val="es-ES_tradnl"/>
        </w:rPr>
      </w:pPr>
      <w:r w:rsidRPr="00C41275">
        <w:rPr>
          <w:rFonts w:asciiTheme="majorHAnsi" w:hAnsiTheme="majorHAnsi"/>
          <w:b/>
          <w:bCs/>
          <w:sz w:val="20"/>
          <w:szCs w:val="20"/>
          <w:lang w:val="es-ES_tradnl"/>
        </w:rPr>
        <w:t xml:space="preserve">VIII. </w:t>
      </w:r>
      <w:r w:rsidRPr="00C41275">
        <w:rPr>
          <w:rFonts w:asciiTheme="majorHAnsi" w:hAnsiTheme="majorHAnsi"/>
          <w:b/>
          <w:bCs/>
          <w:sz w:val="20"/>
          <w:szCs w:val="20"/>
          <w:lang w:val="es-ES_tradnl"/>
        </w:rPr>
        <w:tab/>
        <w:t>DECISIÓN</w:t>
      </w:r>
    </w:p>
    <w:p w14:paraId="547DFF8E" w14:textId="57436E8C" w:rsidR="000419AD" w:rsidRPr="00C41275"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Declarar admisible la presente petición en relación con</w:t>
      </w:r>
      <w:r w:rsidR="001D7F96" w:rsidRPr="00C41275">
        <w:rPr>
          <w:rFonts w:asciiTheme="majorHAnsi" w:hAnsiTheme="majorHAnsi"/>
          <w:sz w:val="20"/>
          <w:szCs w:val="20"/>
          <w:lang w:val="es-ES_tradnl"/>
        </w:rPr>
        <w:t xml:space="preserve"> </w:t>
      </w:r>
      <w:r w:rsidR="00204D1D" w:rsidRPr="00C41275">
        <w:rPr>
          <w:rFonts w:asciiTheme="majorHAnsi" w:hAnsiTheme="majorHAnsi"/>
          <w:sz w:val="20"/>
          <w:szCs w:val="20"/>
          <w:lang w:val="es-ES_tradnl"/>
        </w:rPr>
        <w:t>5, 7, 8, 10 y 25 de la Convención Americana</w:t>
      </w:r>
      <w:r w:rsidR="00A758AA" w:rsidRPr="00C41275">
        <w:rPr>
          <w:rFonts w:asciiTheme="majorHAnsi" w:hAnsiTheme="majorHAnsi"/>
          <w:sz w:val="20"/>
          <w:szCs w:val="20"/>
          <w:lang w:val="es-ES_tradnl"/>
        </w:rPr>
        <w:t>;</w:t>
      </w:r>
      <w:r w:rsidR="007B76D3" w:rsidRPr="00C41275">
        <w:rPr>
          <w:rFonts w:asciiTheme="majorHAnsi" w:hAnsiTheme="majorHAnsi"/>
          <w:sz w:val="20"/>
          <w:szCs w:val="20"/>
          <w:lang w:val="es-ES_tradnl"/>
        </w:rPr>
        <w:t xml:space="preserve"> y</w:t>
      </w:r>
    </w:p>
    <w:p w14:paraId="5520B3FA" w14:textId="3280571D" w:rsidR="00204D1D" w:rsidRDefault="004A6A54" w:rsidP="00204D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41275">
        <w:rPr>
          <w:rFonts w:asciiTheme="majorHAnsi" w:hAnsiTheme="majorHAnsi"/>
          <w:sz w:val="20"/>
          <w:szCs w:val="20"/>
          <w:lang w:val="es-ES_tradnl"/>
        </w:rPr>
        <w:t xml:space="preserve">Notificar a las partes la presente decisión; </w:t>
      </w:r>
      <w:r w:rsidRPr="00C41275">
        <w:rPr>
          <w:rFonts w:asciiTheme="majorHAnsi" w:hAnsiTheme="majorHAnsi"/>
          <w:color w:val="000000" w:themeColor="text1"/>
          <w:sz w:val="20"/>
          <w:szCs w:val="20"/>
          <w:lang w:val="es-ES_tradnl"/>
        </w:rPr>
        <w:t xml:space="preserve">continuar con el análisis del fondo de la cuestión; y </w:t>
      </w:r>
      <w:r w:rsidRPr="00C41275">
        <w:rPr>
          <w:rFonts w:asciiTheme="majorHAnsi" w:hAnsiTheme="majorHAnsi"/>
          <w:sz w:val="20"/>
          <w:szCs w:val="20"/>
          <w:lang w:val="es-ES_tradnl"/>
        </w:rPr>
        <w:t>publicar esta decisión e incluirla en su Informe Anual a la Asamblea General de la Organización de los Estados Americanos.</w:t>
      </w:r>
    </w:p>
    <w:p w14:paraId="14DF5ACE" w14:textId="56A6F3AD" w:rsidR="008B7673" w:rsidRPr="00166DC6" w:rsidRDefault="008B7673" w:rsidP="00166DC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septiembre de 2022.</w:t>
      </w:r>
      <w:r w:rsidR="00166DC6">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Stuardo Ralón Orellana, Primer Vicepresidente; Esmeralda E. Arosemena Bernal de Troitiño, Joel Hernández y Carlos Bernal Pulido</w:t>
      </w:r>
      <w:r w:rsidR="00066BB6">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w:t>
      </w:r>
      <w:r w:rsidR="00166DC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r>
        <w:rPr>
          <w:rFonts w:asciiTheme="majorHAnsi" w:hAnsiTheme="majorHAnsi"/>
          <w:sz w:val="20"/>
          <w:szCs w:val="20"/>
          <w:lang w:val="es-ES_tradnl"/>
        </w:rPr>
        <w:br w:type="page"/>
      </w:r>
    </w:p>
    <w:p w14:paraId="07359053" w14:textId="77777777" w:rsidR="008B7673" w:rsidRPr="00C41275" w:rsidRDefault="008B7673" w:rsidP="008B76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0E756A18" w14:textId="714766AB" w:rsidR="00C64F1A" w:rsidRPr="00C41275" w:rsidRDefault="00C64F1A" w:rsidP="00565C6C">
      <w:pPr>
        <w:jc w:val="center"/>
        <w:rPr>
          <w:rFonts w:asciiTheme="majorHAnsi" w:hAnsiTheme="majorHAnsi" w:cs="Calibri"/>
          <w:b/>
          <w:bCs/>
          <w:sz w:val="20"/>
          <w:szCs w:val="20"/>
          <w:lang w:val="es-ES_tradnl"/>
        </w:rPr>
      </w:pPr>
      <w:r w:rsidRPr="00C41275">
        <w:rPr>
          <w:rFonts w:asciiTheme="majorHAnsi" w:hAnsiTheme="majorHAnsi" w:cs="Calibri"/>
          <w:b/>
          <w:bCs/>
          <w:sz w:val="20"/>
          <w:szCs w:val="20"/>
          <w:lang w:val="es-ES_tradnl"/>
        </w:rPr>
        <w:t>Anexo 1: Personas que presentaron demanda de indemnización</w:t>
      </w:r>
    </w:p>
    <w:p w14:paraId="6DF33A44" w14:textId="270F2C5B" w:rsidR="00C64F1A" w:rsidRPr="00C41275" w:rsidRDefault="00C64F1A" w:rsidP="00C64F1A">
      <w:pPr>
        <w:ind w:left="720"/>
        <w:jc w:val="center"/>
        <w:rPr>
          <w:rFonts w:asciiTheme="majorHAnsi" w:hAnsiTheme="majorHAnsi" w:cs="Calibri"/>
          <w:sz w:val="20"/>
          <w:szCs w:val="20"/>
          <w:lang w:val="es-ES_tradnl"/>
        </w:rPr>
      </w:pPr>
    </w:p>
    <w:tbl>
      <w:tblPr>
        <w:tblStyle w:val="GridTable4-Accent1"/>
        <w:tblW w:w="0" w:type="auto"/>
        <w:tblInd w:w="2405" w:type="dxa"/>
        <w:tblLook w:val="04A0" w:firstRow="1" w:lastRow="0" w:firstColumn="1" w:lastColumn="0" w:noHBand="0" w:noVBand="1"/>
      </w:tblPr>
      <w:tblGrid>
        <w:gridCol w:w="2979"/>
        <w:gridCol w:w="1557"/>
      </w:tblGrid>
      <w:tr w:rsidR="00C64F1A" w:rsidRPr="00C41275" w14:paraId="5E9BA84C" w14:textId="77777777" w:rsidTr="008D1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9" w:type="dxa"/>
          </w:tcPr>
          <w:p w14:paraId="7430AC70" w14:textId="3CE93819" w:rsidR="00C64F1A" w:rsidRPr="00C41275" w:rsidRDefault="00C64F1A"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Nombre</w:t>
            </w:r>
          </w:p>
        </w:tc>
        <w:tc>
          <w:tcPr>
            <w:tcW w:w="1557" w:type="dxa"/>
          </w:tcPr>
          <w:p w14:paraId="0A5449B0" w14:textId="4ACCC72F" w:rsidR="00C64F1A" w:rsidRPr="00C41275" w:rsidRDefault="00C64F1A"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Tiempo en la cárcel</w:t>
            </w:r>
          </w:p>
        </w:tc>
      </w:tr>
      <w:tr w:rsidR="00C64F1A" w:rsidRPr="00C41275" w14:paraId="10DA70A9" w14:textId="77777777" w:rsidTr="008D159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979" w:type="dxa"/>
          </w:tcPr>
          <w:p w14:paraId="149450C4" w14:textId="28175F2D" w:rsidR="00C64F1A"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b w:val="0"/>
                <w:bCs w:val="0"/>
                <w:sz w:val="20"/>
                <w:szCs w:val="20"/>
                <w:lang w:val="es-ES_tradnl"/>
              </w:rPr>
              <w:t xml:space="preserve">1. </w:t>
            </w:r>
            <w:r w:rsidR="00C64F1A" w:rsidRPr="00C41275">
              <w:rPr>
                <w:rFonts w:asciiTheme="majorHAnsi" w:hAnsiTheme="majorHAnsi"/>
                <w:b w:val="0"/>
                <w:bCs w:val="0"/>
                <w:sz w:val="20"/>
                <w:szCs w:val="20"/>
                <w:lang w:val="es-ES_tradnl"/>
              </w:rPr>
              <w:t>José Patricio Tolentino Rojas</w:t>
            </w:r>
          </w:p>
        </w:tc>
        <w:tc>
          <w:tcPr>
            <w:tcW w:w="1557" w:type="dxa"/>
          </w:tcPr>
          <w:p w14:paraId="18EB2AEC" w14:textId="648F75E2" w:rsidR="00C64F1A" w:rsidRPr="00C41275" w:rsidRDefault="00C64F1A" w:rsidP="00C64F1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97 meses</w:t>
            </w:r>
          </w:p>
        </w:tc>
      </w:tr>
      <w:tr w:rsidR="00C64F1A" w:rsidRPr="00C41275" w14:paraId="691C2B57"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2720BD77" w14:textId="249739F1" w:rsidR="00C64F1A"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 xml:space="preserve">2. </w:t>
            </w:r>
            <w:r w:rsidR="00C64F1A" w:rsidRPr="00C41275">
              <w:rPr>
                <w:rFonts w:asciiTheme="majorHAnsi" w:hAnsiTheme="majorHAnsi" w:cs="Calibri"/>
                <w:b w:val="0"/>
                <w:bCs w:val="0"/>
                <w:sz w:val="20"/>
                <w:szCs w:val="20"/>
                <w:lang w:val="es-ES_tradnl"/>
              </w:rPr>
              <w:t>Adán Ysaías Arroyo Contreras</w:t>
            </w:r>
          </w:p>
        </w:tc>
        <w:tc>
          <w:tcPr>
            <w:tcW w:w="1557" w:type="dxa"/>
          </w:tcPr>
          <w:p w14:paraId="2E114F4E" w14:textId="4398AF85" w:rsidR="00C64F1A"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18 meses</w:t>
            </w:r>
          </w:p>
        </w:tc>
      </w:tr>
      <w:tr w:rsidR="00F93BF7" w:rsidRPr="00C41275" w14:paraId="1171FB3C"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00F04C81" w14:textId="01C167A1"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3. Feliciana Isabel Rivera Blas</w:t>
            </w:r>
          </w:p>
        </w:tc>
        <w:tc>
          <w:tcPr>
            <w:tcW w:w="1557" w:type="dxa"/>
          </w:tcPr>
          <w:p w14:paraId="1DB3AFF5" w14:textId="6DB192DD"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10 meses</w:t>
            </w:r>
          </w:p>
        </w:tc>
      </w:tr>
      <w:tr w:rsidR="00F93BF7" w:rsidRPr="00C41275" w14:paraId="4C064937"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41CDAC1C" w14:textId="3FE2D427"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4. Eusebio Mamani Delgado</w:t>
            </w:r>
          </w:p>
        </w:tc>
        <w:tc>
          <w:tcPr>
            <w:tcW w:w="1557" w:type="dxa"/>
          </w:tcPr>
          <w:p w14:paraId="0A507788" w14:textId="47B9D2E5"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21 meses</w:t>
            </w:r>
          </w:p>
        </w:tc>
      </w:tr>
      <w:tr w:rsidR="00F93BF7" w:rsidRPr="00C41275" w14:paraId="4FA016B6"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03B99A76" w14:textId="5CDB43AB"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5. Teófilo Lorenzo Apari Cuba</w:t>
            </w:r>
          </w:p>
        </w:tc>
        <w:tc>
          <w:tcPr>
            <w:tcW w:w="1557" w:type="dxa"/>
          </w:tcPr>
          <w:p w14:paraId="02674A75" w14:textId="0AA50539"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22 meses</w:t>
            </w:r>
          </w:p>
        </w:tc>
      </w:tr>
      <w:tr w:rsidR="00F93BF7" w:rsidRPr="00C41275" w14:paraId="20A154BA"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71F25237" w14:textId="43C1454D"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6. Elías Palomino Soto</w:t>
            </w:r>
          </w:p>
        </w:tc>
        <w:tc>
          <w:tcPr>
            <w:tcW w:w="1557" w:type="dxa"/>
          </w:tcPr>
          <w:p w14:paraId="7848EC62" w14:textId="49B8D594"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42 meses</w:t>
            </w:r>
          </w:p>
        </w:tc>
      </w:tr>
      <w:tr w:rsidR="00F93BF7" w:rsidRPr="00C41275" w14:paraId="28D691FD"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6AE5CD38" w14:textId="61CEF46B"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7. Valentina Antonieta Cayro Macedo</w:t>
            </w:r>
          </w:p>
        </w:tc>
        <w:tc>
          <w:tcPr>
            <w:tcW w:w="1557" w:type="dxa"/>
          </w:tcPr>
          <w:p w14:paraId="0CFEDFA6" w14:textId="1047EA7C"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18 meses</w:t>
            </w:r>
          </w:p>
        </w:tc>
      </w:tr>
      <w:tr w:rsidR="00F93BF7" w:rsidRPr="00C41275" w14:paraId="57F1667B"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20A4EE45" w14:textId="760440E8"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8. Alberto Sánchez Castro</w:t>
            </w:r>
          </w:p>
        </w:tc>
        <w:tc>
          <w:tcPr>
            <w:tcW w:w="1557" w:type="dxa"/>
          </w:tcPr>
          <w:p w14:paraId="725592E6" w14:textId="1A3D81A3"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12 meses</w:t>
            </w:r>
          </w:p>
        </w:tc>
      </w:tr>
      <w:tr w:rsidR="00F93BF7" w:rsidRPr="00C41275" w14:paraId="24033286"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682C3B3B" w14:textId="46512C4B" w:rsidR="00F93BF7" w:rsidRPr="00AF04E0"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pt-BR"/>
              </w:rPr>
            </w:pPr>
            <w:r w:rsidRPr="00AF04E0">
              <w:rPr>
                <w:rFonts w:asciiTheme="majorHAnsi" w:hAnsiTheme="majorHAnsi" w:cs="Calibri"/>
                <w:b w:val="0"/>
                <w:bCs w:val="0"/>
                <w:sz w:val="20"/>
                <w:szCs w:val="20"/>
                <w:lang w:val="pt-BR"/>
              </w:rPr>
              <w:t>9. Santa Cruz Jesús Pacheco Portilla</w:t>
            </w:r>
          </w:p>
        </w:tc>
        <w:tc>
          <w:tcPr>
            <w:tcW w:w="1557" w:type="dxa"/>
          </w:tcPr>
          <w:p w14:paraId="03E930D6" w14:textId="3F2083AA"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81 meses</w:t>
            </w:r>
          </w:p>
        </w:tc>
      </w:tr>
      <w:tr w:rsidR="00F93BF7" w:rsidRPr="00C41275" w14:paraId="03C912A4"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05DB8A2F" w14:textId="1EAC3501"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10. Magna Victoria De la Cruz Vásquez</w:t>
            </w:r>
          </w:p>
        </w:tc>
        <w:tc>
          <w:tcPr>
            <w:tcW w:w="1557" w:type="dxa"/>
          </w:tcPr>
          <w:p w14:paraId="5250E0B3" w14:textId="0F4BAAE9"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18 meses</w:t>
            </w:r>
          </w:p>
        </w:tc>
      </w:tr>
      <w:tr w:rsidR="00F93BF7" w:rsidRPr="00C41275" w14:paraId="4490463F"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2A7D24AA" w14:textId="09CD7711"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11. Evaristo Huancacuri Huaccaycachac</w:t>
            </w:r>
          </w:p>
        </w:tc>
        <w:tc>
          <w:tcPr>
            <w:tcW w:w="1557" w:type="dxa"/>
          </w:tcPr>
          <w:p w14:paraId="1DF469EC" w14:textId="36750408"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30 meses</w:t>
            </w:r>
          </w:p>
        </w:tc>
      </w:tr>
      <w:tr w:rsidR="00F93BF7" w:rsidRPr="00C41275" w14:paraId="515FE967"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25DFF505" w14:textId="402F1483"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 xml:space="preserve">12. </w:t>
            </w:r>
            <w:r w:rsidRPr="00C41275">
              <w:rPr>
                <w:rFonts w:asciiTheme="majorHAnsi" w:hAnsiTheme="majorHAnsi"/>
                <w:b w:val="0"/>
                <w:bCs w:val="0"/>
                <w:sz w:val="20"/>
                <w:szCs w:val="20"/>
                <w:lang w:val="es-ES_tradnl"/>
              </w:rPr>
              <w:t>María Luisa Salvatierra Solano</w:t>
            </w:r>
          </w:p>
        </w:tc>
        <w:tc>
          <w:tcPr>
            <w:tcW w:w="1557" w:type="dxa"/>
          </w:tcPr>
          <w:p w14:paraId="1BC78C59" w14:textId="6FB49D46"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20 meses</w:t>
            </w:r>
          </w:p>
        </w:tc>
      </w:tr>
      <w:tr w:rsidR="00F93BF7" w:rsidRPr="00C41275" w14:paraId="69477510"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4CABC0C0" w14:textId="384B9F26"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13. Elisa León Apaza</w:t>
            </w:r>
          </w:p>
        </w:tc>
        <w:tc>
          <w:tcPr>
            <w:tcW w:w="1557" w:type="dxa"/>
          </w:tcPr>
          <w:p w14:paraId="740E7265" w14:textId="0D5BD040"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42 meses</w:t>
            </w:r>
          </w:p>
        </w:tc>
      </w:tr>
      <w:tr w:rsidR="00F93BF7" w:rsidRPr="00C41275" w14:paraId="6BB391BC"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7B4A19C4" w14:textId="6EC69E67"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14. Dina Claudia Farfan Tapia</w:t>
            </w:r>
          </w:p>
        </w:tc>
        <w:tc>
          <w:tcPr>
            <w:tcW w:w="1557" w:type="dxa"/>
          </w:tcPr>
          <w:p w14:paraId="64CB70CF" w14:textId="4F7F74C2"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11 meses</w:t>
            </w:r>
          </w:p>
        </w:tc>
      </w:tr>
      <w:tr w:rsidR="00F93BF7" w:rsidRPr="00C41275" w14:paraId="6EC2AABA"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5FB3E017" w14:textId="783CCF85"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15. Juan Taype Chivilchez</w:t>
            </w:r>
          </w:p>
        </w:tc>
        <w:tc>
          <w:tcPr>
            <w:tcW w:w="1557" w:type="dxa"/>
          </w:tcPr>
          <w:p w14:paraId="12A8BF61" w14:textId="4BEE6CB5" w:rsidR="00F93BF7" w:rsidRPr="00C41275" w:rsidRDefault="00F93BF7"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42 meses</w:t>
            </w:r>
          </w:p>
        </w:tc>
      </w:tr>
      <w:tr w:rsidR="00F93BF7" w:rsidRPr="00C41275" w14:paraId="02B22419" w14:textId="77777777" w:rsidTr="008D159E">
        <w:trPr>
          <w:trHeight w:val="273"/>
        </w:trPr>
        <w:tc>
          <w:tcPr>
            <w:cnfStyle w:val="001000000000" w:firstRow="0" w:lastRow="0" w:firstColumn="1" w:lastColumn="0" w:oddVBand="0" w:evenVBand="0" w:oddHBand="0" w:evenHBand="0" w:firstRowFirstColumn="0" w:firstRowLastColumn="0" w:lastRowFirstColumn="0" w:lastRowLastColumn="0"/>
            <w:tcW w:w="2979" w:type="dxa"/>
          </w:tcPr>
          <w:p w14:paraId="2F6233F2" w14:textId="0BA3EA5B" w:rsidR="00F93BF7" w:rsidRPr="00C41275" w:rsidRDefault="008D159E"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16. Saturnino Huañahui Sair</w:t>
            </w:r>
          </w:p>
        </w:tc>
        <w:tc>
          <w:tcPr>
            <w:tcW w:w="1557" w:type="dxa"/>
          </w:tcPr>
          <w:p w14:paraId="656F879B" w14:textId="4B22E584" w:rsidR="00F93BF7" w:rsidRPr="00C41275" w:rsidRDefault="008D159E"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38 meses</w:t>
            </w:r>
          </w:p>
        </w:tc>
      </w:tr>
      <w:tr w:rsidR="008D159E" w:rsidRPr="00C41275" w14:paraId="2542B1B8" w14:textId="77777777" w:rsidTr="008D15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9" w:type="dxa"/>
          </w:tcPr>
          <w:p w14:paraId="33BE1283" w14:textId="234B7BC5" w:rsidR="008D159E" w:rsidRPr="00C41275" w:rsidRDefault="008D159E" w:rsidP="00C64F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val="0"/>
                <w:bCs w:val="0"/>
                <w:sz w:val="20"/>
                <w:szCs w:val="20"/>
                <w:lang w:val="es-ES_tradnl"/>
              </w:rPr>
            </w:pPr>
            <w:r w:rsidRPr="00C41275">
              <w:rPr>
                <w:rFonts w:asciiTheme="majorHAnsi" w:hAnsiTheme="majorHAnsi" w:cs="Calibri"/>
                <w:b w:val="0"/>
                <w:bCs w:val="0"/>
                <w:sz w:val="20"/>
                <w:szCs w:val="20"/>
                <w:lang w:val="es-ES_tradnl"/>
              </w:rPr>
              <w:t>17. David Abraham Aparicio Claros</w:t>
            </w:r>
          </w:p>
        </w:tc>
        <w:tc>
          <w:tcPr>
            <w:tcW w:w="1557" w:type="dxa"/>
          </w:tcPr>
          <w:p w14:paraId="1DD8E7D6" w14:textId="7C5D0478" w:rsidR="008D159E" w:rsidRPr="00C41275" w:rsidRDefault="008D159E" w:rsidP="00C64F1A">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0"/>
                <w:szCs w:val="20"/>
                <w:lang w:val="es-ES_tradnl"/>
              </w:rPr>
            </w:pPr>
            <w:r w:rsidRPr="00C41275">
              <w:rPr>
                <w:rFonts w:asciiTheme="majorHAnsi" w:hAnsiTheme="majorHAnsi" w:cs="Calibri"/>
                <w:sz w:val="20"/>
                <w:szCs w:val="20"/>
                <w:lang w:val="es-ES_tradnl"/>
              </w:rPr>
              <w:t>24 meses</w:t>
            </w:r>
          </w:p>
        </w:tc>
      </w:tr>
    </w:tbl>
    <w:p w14:paraId="0C255709" w14:textId="77777777" w:rsidR="00C64F1A" w:rsidRPr="00C41275" w:rsidRDefault="00C64F1A" w:rsidP="00C64F1A">
      <w:pPr>
        <w:ind w:left="720"/>
        <w:jc w:val="center"/>
        <w:rPr>
          <w:rFonts w:asciiTheme="majorHAnsi" w:hAnsiTheme="majorHAnsi" w:cs="Calibri"/>
          <w:sz w:val="20"/>
          <w:szCs w:val="20"/>
          <w:lang w:val="es-ES_tradnl"/>
        </w:rPr>
      </w:pPr>
    </w:p>
    <w:p w14:paraId="1DDB385C" w14:textId="77777777" w:rsidR="00472B5E" w:rsidRDefault="00472B5E">
      <w:pPr>
        <w:rPr>
          <w:rFonts w:asciiTheme="majorHAnsi" w:hAnsiTheme="majorHAnsi" w:cs="Calibri"/>
          <w:b/>
          <w:bCs/>
          <w:sz w:val="20"/>
          <w:szCs w:val="20"/>
          <w:lang w:val="es-ES_tradnl"/>
        </w:rPr>
      </w:pPr>
      <w:r>
        <w:rPr>
          <w:rFonts w:asciiTheme="majorHAnsi" w:hAnsiTheme="majorHAnsi" w:cs="Calibri"/>
          <w:b/>
          <w:bCs/>
          <w:sz w:val="20"/>
          <w:szCs w:val="20"/>
          <w:lang w:val="es-ES_tradnl"/>
        </w:rPr>
        <w:br w:type="page"/>
      </w:r>
    </w:p>
    <w:p w14:paraId="74EF3EBD" w14:textId="77777777" w:rsidR="00472B5E" w:rsidRDefault="00472B5E" w:rsidP="00204D1D">
      <w:pPr>
        <w:ind w:left="720"/>
        <w:jc w:val="center"/>
        <w:rPr>
          <w:rFonts w:asciiTheme="majorHAnsi" w:hAnsiTheme="majorHAnsi" w:cs="Calibri"/>
          <w:b/>
          <w:bCs/>
          <w:sz w:val="20"/>
          <w:szCs w:val="20"/>
          <w:lang w:val="es-ES_tradnl"/>
        </w:rPr>
      </w:pPr>
    </w:p>
    <w:p w14:paraId="79A35261" w14:textId="7E0DDD49" w:rsidR="00C64F1A" w:rsidRPr="00C41275" w:rsidRDefault="008D159E" w:rsidP="00204D1D">
      <w:pPr>
        <w:ind w:left="720"/>
        <w:jc w:val="center"/>
        <w:rPr>
          <w:rFonts w:asciiTheme="majorHAnsi" w:hAnsiTheme="majorHAnsi" w:cs="Calibri"/>
          <w:b/>
          <w:bCs/>
          <w:sz w:val="20"/>
          <w:szCs w:val="20"/>
          <w:lang w:val="es-ES_tradnl"/>
        </w:rPr>
      </w:pPr>
      <w:r w:rsidRPr="00C41275">
        <w:rPr>
          <w:rFonts w:asciiTheme="majorHAnsi" w:hAnsiTheme="majorHAnsi" w:cs="Calibri"/>
          <w:b/>
          <w:bCs/>
          <w:sz w:val="20"/>
          <w:szCs w:val="20"/>
          <w:lang w:val="es-ES_tradnl"/>
        </w:rPr>
        <w:t>Anexo 2: Personas que no presentaron demanda de indemnización</w:t>
      </w:r>
    </w:p>
    <w:tbl>
      <w:tblPr>
        <w:tblStyle w:val="GridTable4-Accent1"/>
        <w:tblpPr w:leftFromText="180" w:rightFromText="180" w:vertAnchor="text" w:horzAnchor="margin" w:tblpXSpec="center" w:tblpY="239"/>
        <w:tblW w:w="0" w:type="auto"/>
        <w:tblLook w:val="04A0" w:firstRow="1" w:lastRow="0" w:firstColumn="1" w:lastColumn="0" w:noHBand="0" w:noVBand="1"/>
      </w:tblPr>
      <w:tblGrid>
        <w:gridCol w:w="2963"/>
        <w:gridCol w:w="1583"/>
      </w:tblGrid>
      <w:tr w:rsidR="008D159E" w:rsidRPr="00C41275" w14:paraId="631E2A87" w14:textId="77777777" w:rsidTr="00594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AC182EC" w14:textId="77777777" w:rsidR="008D159E" w:rsidRPr="00C41275" w:rsidRDefault="008D159E" w:rsidP="008D159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heme="majorHAnsi" w:hAnsiTheme="majorHAnsi"/>
                <w:b w:val="0"/>
                <w:bCs w:val="0"/>
                <w:color w:val="FFFFFF" w:themeColor="background1"/>
                <w:sz w:val="20"/>
                <w:szCs w:val="20"/>
                <w:lang w:val="es-ES_tradnl"/>
              </w:rPr>
            </w:pPr>
            <w:r w:rsidRPr="00C41275">
              <w:rPr>
                <w:rFonts w:asciiTheme="majorHAnsi" w:hAnsiTheme="majorHAnsi" w:cs="Calibri"/>
                <w:b w:val="0"/>
                <w:bCs w:val="0"/>
                <w:color w:val="FFFFFF" w:themeColor="background1"/>
                <w:sz w:val="20"/>
                <w:szCs w:val="20"/>
                <w:lang w:val="es-ES_tradnl"/>
              </w:rPr>
              <w:t>Nombre</w:t>
            </w:r>
          </w:p>
        </w:tc>
        <w:tc>
          <w:tcPr>
            <w:tcW w:w="1583" w:type="dxa"/>
          </w:tcPr>
          <w:p w14:paraId="6CC88188" w14:textId="77777777" w:rsidR="008D159E" w:rsidRPr="00C41275" w:rsidRDefault="008D159E" w:rsidP="008D159E">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szCs w:val="20"/>
                <w:lang w:val="es-ES_tradnl"/>
              </w:rPr>
            </w:pPr>
            <w:r w:rsidRPr="00C41275">
              <w:rPr>
                <w:rFonts w:asciiTheme="majorHAnsi" w:hAnsiTheme="majorHAnsi" w:cs="Calibri"/>
                <w:b w:val="0"/>
                <w:bCs w:val="0"/>
                <w:sz w:val="20"/>
                <w:szCs w:val="20"/>
                <w:lang w:val="es-ES_tradnl"/>
              </w:rPr>
              <w:t>Tiempo en la cárcel</w:t>
            </w:r>
          </w:p>
        </w:tc>
      </w:tr>
      <w:tr w:rsidR="008D159E" w:rsidRPr="00C41275" w14:paraId="4BA4C832"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7525B15" w14:textId="77777777" w:rsidR="008D159E" w:rsidRPr="00C41275" w:rsidRDefault="008D159E"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1. Tomás Reynerio Tirado Urteaga</w:t>
            </w:r>
          </w:p>
        </w:tc>
        <w:tc>
          <w:tcPr>
            <w:tcW w:w="1583" w:type="dxa"/>
          </w:tcPr>
          <w:p w14:paraId="4D7CE688" w14:textId="77777777" w:rsidR="008D159E" w:rsidRPr="00C41275" w:rsidRDefault="008D159E"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24 meses</w:t>
            </w:r>
          </w:p>
        </w:tc>
      </w:tr>
      <w:tr w:rsidR="008D159E" w:rsidRPr="00C41275" w14:paraId="325EFEFE"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BA1095F" w14:textId="638D4CA8"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 </w:t>
            </w:r>
            <w:r w:rsidR="008D159E" w:rsidRPr="00C41275">
              <w:rPr>
                <w:rFonts w:asciiTheme="majorHAnsi" w:hAnsiTheme="majorHAnsi"/>
                <w:b w:val="0"/>
                <w:bCs w:val="0"/>
                <w:sz w:val="20"/>
                <w:szCs w:val="20"/>
                <w:lang w:val="es-ES_tradnl"/>
              </w:rPr>
              <w:t>Víctor Raúl Acosta Arroyo</w:t>
            </w:r>
          </w:p>
        </w:tc>
        <w:tc>
          <w:tcPr>
            <w:tcW w:w="1583" w:type="dxa"/>
          </w:tcPr>
          <w:p w14:paraId="3BF147DF" w14:textId="5F436255"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24 meses</w:t>
            </w:r>
          </w:p>
        </w:tc>
      </w:tr>
      <w:tr w:rsidR="008D159E" w:rsidRPr="00C41275" w14:paraId="79065D3C"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1692CF8" w14:textId="3EC2A498"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 </w:t>
            </w:r>
            <w:r w:rsidR="008D159E" w:rsidRPr="00C41275">
              <w:rPr>
                <w:rFonts w:asciiTheme="majorHAnsi" w:hAnsiTheme="majorHAnsi"/>
                <w:b w:val="0"/>
                <w:bCs w:val="0"/>
                <w:sz w:val="20"/>
                <w:szCs w:val="20"/>
                <w:lang w:val="es-ES_tradnl"/>
              </w:rPr>
              <w:t>Mauro Marcos Quiroz Abanto</w:t>
            </w:r>
          </w:p>
        </w:tc>
        <w:tc>
          <w:tcPr>
            <w:tcW w:w="1583" w:type="dxa"/>
          </w:tcPr>
          <w:p w14:paraId="3AEEDFA4" w14:textId="7372AB2B"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24 meses</w:t>
            </w:r>
          </w:p>
        </w:tc>
      </w:tr>
      <w:tr w:rsidR="008D159E" w:rsidRPr="00C41275" w14:paraId="0319FAEE"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433B71E" w14:textId="4C3133B5"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 </w:t>
            </w:r>
            <w:r w:rsidR="008D159E" w:rsidRPr="00C41275">
              <w:rPr>
                <w:rFonts w:asciiTheme="majorHAnsi" w:hAnsiTheme="majorHAnsi"/>
                <w:b w:val="0"/>
                <w:bCs w:val="0"/>
                <w:sz w:val="20"/>
                <w:szCs w:val="20"/>
                <w:lang w:val="es-ES_tradnl"/>
              </w:rPr>
              <w:t>Nélida Ulloa Martínez</w:t>
            </w:r>
          </w:p>
        </w:tc>
        <w:tc>
          <w:tcPr>
            <w:tcW w:w="1583" w:type="dxa"/>
          </w:tcPr>
          <w:p w14:paraId="4F04B82A" w14:textId="145D8A3F"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138 meses</w:t>
            </w:r>
          </w:p>
        </w:tc>
      </w:tr>
      <w:tr w:rsidR="008D159E" w:rsidRPr="00C41275" w14:paraId="1B60B63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6BC1D82" w14:textId="0E6DE5F5"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 </w:t>
            </w:r>
            <w:r w:rsidR="008D159E" w:rsidRPr="00C41275">
              <w:rPr>
                <w:rFonts w:asciiTheme="majorHAnsi" w:hAnsiTheme="majorHAnsi"/>
                <w:b w:val="0"/>
                <w:bCs w:val="0"/>
                <w:sz w:val="20"/>
                <w:szCs w:val="20"/>
                <w:lang w:val="es-ES_tradnl"/>
              </w:rPr>
              <w:t>Tedy Caballero Pinchi</w:t>
            </w:r>
          </w:p>
        </w:tc>
        <w:tc>
          <w:tcPr>
            <w:tcW w:w="1583" w:type="dxa"/>
          </w:tcPr>
          <w:p w14:paraId="49C4BBAD" w14:textId="03D79526"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44 meses</w:t>
            </w:r>
          </w:p>
        </w:tc>
      </w:tr>
      <w:tr w:rsidR="008D159E" w:rsidRPr="00C41275" w14:paraId="04287976"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83B11B4" w14:textId="291B9CC1"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 </w:t>
            </w:r>
            <w:r w:rsidR="008D159E" w:rsidRPr="00C41275">
              <w:rPr>
                <w:rFonts w:asciiTheme="majorHAnsi" w:hAnsiTheme="majorHAnsi"/>
                <w:b w:val="0"/>
                <w:bCs w:val="0"/>
                <w:sz w:val="20"/>
                <w:szCs w:val="20"/>
                <w:lang w:val="es-ES_tradnl"/>
              </w:rPr>
              <w:t>Julio Mercedes Santos Bermeo</w:t>
            </w:r>
          </w:p>
        </w:tc>
        <w:tc>
          <w:tcPr>
            <w:tcW w:w="1583" w:type="dxa"/>
          </w:tcPr>
          <w:p w14:paraId="3D23094C" w14:textId="743B79C5"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28 meses</w:t>
            </w:r>
          </w:p>
        </w:tc>
      </w:tr>
      <w:tr w:rsidR="008D159E" w:rsidRPr="00C41275" w14:paraId="6DE50783"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FC856F8" w14:textId="23596D29"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7. </w:t>
            </w:r>
            <w:r w:rsidR="008D159E" w:rsidRPr="00C41275">
              <w:rPr>
                <w:rFonts w:asciiTheme="majorHAnsi" w:hAnsiTheme="majorHAnsi"/>
                <w:b w:val="0"/>
                <w:bCs w:val="0"/>
                <w:sz w:val="20"/>
                <w:szCs w:val="20"/>
                <w:lang w:val="es-ES_tradnl"/>
              </w:rPr>
              <w:t>Oldarico Malpica Paucar</w:t>
            </w:r>
          </w:p>
        </w:tc>
        <w:tc>
          <w:tcPr>
            <w:tcW w:w="1583" w:type="dxa"/>
          </w:tcPr>
          <w:p w14:paraId="63BD3D49" w14:textId="0E773661"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36 meses</w:t>
            </w:r>
          </w:p>
        </w:tc>
      </w:tr>
      <w:tr w:rsidR="008D159E" w:rsidRPr="00C41275" w14:paraId="35CD02D0"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65E1F4F" w14:textId="7EFEB157"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8. </w:t>
            </w:r>
            <w:r w:rsidR="008D159E" w:rsidRPr="00C41275">
              <w:rPr>
                <w:rFonts w:asciiTheme="majorHAnsi" w:hAnsiTheme="majorHAnsi"/>
                <w:b w:val="0"/>
                <w:bCs w:val="0"/>
                <w:sz w:val="20"/>
                <w:szCs w:val="20"/>
                <w:lang w:val="es-ES_tradnl"/>
              </w:rPr>
              <w:t xml:space="preserve">Armando </w:t>
            </w:r>
            <w:r w:rsidRPr="00C41275">
              <w:rPr>
                <w:rFonts w:asciiTheme="majorHAnsi" w:hAnsiTheme="majorHAnsi"/>
                <w:b w:val="0"/>
                <w:bCs w:val="0"/>
                <w:sz w:val="20"/>
                <w:szCs w:val="20"/>
                <w:lang w:val="es-ES_tradnl"/>
              </w:rPr>
              <w:t>López</w:t>
            </w:r>
            <w:r w:rsidR="008D159E" w:rsidRPr="00C41275">
              <w:rPr>
                <w:rFonts w:asciiTheme="majorHAnsi" w:hAnsiTheme="majorHAnsi"/>
                <w:b w:val="0"/>
                <w:bCs w:val="0"/>
                <w:sz w:val="20"/>
                <w:szCs w:val="20"/>
                <w:lang w:val="es-ES_tradnl"/>
              </w:rPr>
              <w:t xml:space="preserve"> Calle</w:t>
            </w:r>
          </w:p>
        </w:tc>
        <w:tc>
          <w:tcPr>
            <w:tcW w:w="1583" w:type="dxa"/>
          </w:tcPr>
          <w:p w14:paraId="63E3D0C5" w14:textId="6ACD512C"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84 meses</w:t>
            </w:r>
          </w:p>
        </w:tc>
      </w:tr>
      <w:tr w:rsidR="008D159E" w:rsidRPr="00C41275" w14:paraId="07244D2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4F1B8F6" w14:textId="3A913E57"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9. </w:t>
            </w:r>
            <w:r w:rsidR="008D159E" w:rsidRPr="00C41275">
              <w:rPr>
                <w:rFonts w:asciiTheme="majorHAnsi" w:hAnsiTheme="majorHAnsi"/>
                <w:b w:val="0"/>
                <w:bCs w:val="0"/>
                <w:sz w:val="20"/>
                <w:szCs w:val="20"/>
                <w:lang w:val="es-ES_tradnl"/>
              </w:rPr>
              <w:t>Angel Atílio Palomino Camino</w:t>
            </w:r>
          </w:p>
        </w:tc>
        <w:tc>
          <w:tcPr>
            <w:tcW w:w="1583" w:type="dxa"/>
          </w:tcPr>
          <w:p w14:paraId="18516F37" w14:textId="4206016F"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139 meses</w:t>
            </w:r>
          </w:p>
        </w:tc>
      </w:tr>
      <w:tr w:rsidR="008D159E" w:rsidRPr="00C41275" w14:paraId="36615168"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16B07F2D" w14:textId="711175F4"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10. </w:t>
            </w:r>
            <w:r w:rsidR="008D159E" w:rsidRPr="00C41275">
              <w:rPr>
                <w:rFonts w:asciiTheme="majorHAnsi" w:hAnsiTheme="majorHAnsi"/>
                <w:b w:val="0"/>
                <w:bCs w:val="0"/>
                <w:sz w:val="20"/>
                <w:szCs w:val="20"/>
                <w:lang w:val="es-ES_tradnl"/>
              </w:rPr>
              <w:t>Hermelinda Luisa Prieto Durand</w:t>
            </w:r>
          </w:p>
        </w:tc>
        <w:tc>
          <w:tcPr>
            <w:tcW w:w="1583" w:type="dxa"/>
          </w:tcPr>
          <w:p w14:paraId="0C0BA90F" w14:textId="7EC3A218" w:rsidR="008D159E" w:rsidRPr="00C41275" w:rsidRDefault="0035400C"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49 meses</w:t>
            </w:r>
          </w:p>
        </w:tc>
      </w:tr>
      <w:tr w:rsidR="008D159E" w:rsidRPr="00C41275" w14:paraId="682CD996"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E7CDC05" w14:textId="6DB836CD"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11. </w:t>
            </w:r>
            <w:r w:rsidR="008D159E" w:rsidRPr="00C41275">
              <w:rPr>
                <w:rFonts w:asciiTheme="majorHAnsi" w:hAnsiTheme="majorHAnsi"/>
                <w:b w:val="0"/>
                <w:bCs w:val="0"/>
                <w:sz w:val="20"/>
                <w:szCs w:val="20"/>
                <w:lang w:val="es-ES_tradnl"/>
              </w:rPr>
              <w:t>María Salomé Huallpa Peralta</w:t>
            </w:r>
          </w:p>
        </w:tc>
        <w:tc>
          <w:tcPr>
            <w:tcW w:w="1583" w:type="dxa"/>
          </w:tcPr>
          <w:p w14:paraId="27119278" w14:textId="2F74F2EA"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38 meses</w:t>
            </w:r>
          </w:p>
        </w:tc>
      </w:tr>
      <w:tr w:rsidR="008D159E" w:rsidRPr="00C41275" w14:paraId="48D8E0F4"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1BA44116" w14:textId="4F1B4A50"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12. </w:t>
            </w:r>
            <w:r w:rsidR="008D159E" w:rsidRPr="00C41275">
              <w:rPr>
                <w:rFonts w:asciiTheme="majorHAnsi" w:hAnsiTheme="majorHAnsi"/>
                <w:b w:val="0"/>
                <w:bCs w:val="0"/>
                <w:sz w:val="20"/>
                <w:szCs w:val="20"/>
                <w:lang w:val="es-ES_tradnl"/>
              </w:rPr>
              <w:t>Alípio Villanueva Suarez</w:t>
            </w:r>
          </w:p>
        </w:tc>
        <w:tc>
          <w:tcPr>
            <w:tcW w:w="1583" w:type="dxa"/>
          </w:tcPr>
          <w:p w14:paraId="0761AA8F" w14:textId="363DEDAA"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23 meses</w:t>
            </w:r>
          </w:p>
        </w:tc>
      </w:tr>
      <w:tr w:rsidR="008D159E" w:rsidRPr="00C41275" w14:paraId="56177E09"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33AC28A" w14:textId="64FEB202"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13. </w:t>
            </w:r>
            <w:r w:rsidR="008D159E" w:rsidRPr="00C41275">
              <w:rPr>
                <w:rFonts w:asciiTheme="majorHAnsi" w:hAnsiTheme="majorHAnsi"/>
                <w:b w:val="0"/>
                <w:bCs w:val="0"/>
                <w:sz w:val="20"/>
                <w:szCs w:val="20"/>
                <w:lang w:val="es-ES_tradnl"/>
              </w:rPr>
              <w:t>Emilio Quinto Apaza</w:t>
            </w:r>
          </w:p>
        </w:tc>
        <w:tc>
          <w:tcPr>
            <w:tcW w:w="1583" w:type="dxa"/>
          </w:tcPr>
          <w:p w14:paraId="4045F010" w14:textId="47B8BBC7"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124 meses</w:t>
            </w:r>
          </w:p>
        </w:tc>
      </w:tr>
      <w:tr w:rsidR="008D159E" w:rsidRPr="00C41275" w14:paraId="27BE08CB"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E4B1282" w14:textId="19FFD37E"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14. </w:t>
            </w:r>
            <w:r w:rsidR="008D159E" w:rsidRPr="00C41275">
              <w:rPr>
                <w:rFonts w:asciiTheme="majorHAnsi" w:hAnsiTheme="majorHAnsi"/>
                <w:b w:val="0"/>
                <w:bCs w:val="0"/>
                <w:sz w:val="20"/>
                <w:szCs w:val="20"/>
                <w:lang w:val="es-ES_tradnl"/>
              </w:rPr>
              <w:t>Benito Ricardo Jaimes Obregón</w:t>
            </w:r>
          </w:p>
        </w:tc>
        <w:tc>
          <w:tcPr>
            <w:tcW w:w="1583" w:type="dxa"/>
          </w:tcPr>
          <w:p w14:paraId="0111ED02" w14:textId="32FE4EF4"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50 meses</w:t>
            </w:r>
          </w:p>
        </w:tc>
      </w:tr>
      <w:tr w:rsidR="008D159E" w:rsidRPr="00C41275" w14:paraId="05E0F953"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0642DE3" w14:textId="0661374F"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15. </w:t>
            </w:r>
            <w:r w:rsidR="008D159E" w:rsidRPr="00C41275">
              <w:rPr>
                <w:rFonts w:asciiTheme="majorHAnsi" w:hAnsiTheme="majorHAnsi"/>
                <w:b w:val="0"/>
                <w:bCs w:val="0"/>
                <w:sz w:val="20"/>
                <w:szCs w:val="20"/>
                <w:lang w:val="es-ES_tradnl"/>
              </w:rPr>
              <w:t xml:space="preserve">Jaime Mendoza </w:t>
            </w:r>
            <w:r w:rsidRPr="00C41275">
              <w:rPr>
                <w:rFonts w:asciiTheme="majorHAnsi" w:hAnsiTheme="majorHAnsi"/>
                <w:b w:val="0"/>
                <w:bCs w:val="0"/>
                <w:sz w:val="20"/>
                <w:szCs w:val="20"/>
                <w:lang w:val="es-ES_tradnl"/>
              </w:rPr>
              <w:t>Marrón</w:t>
            </w:r>
          </w:p>
        </w:tc>
        <w:tc>
          <w:tcPr>
            <w:tcW w:w="1583" w:type="dxa"/>
          </w:tcPr>
          <w:p w14:paraId="5E413026" w14:textId="51A17E00"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meses</w:t>
            </w:r>
          </w:p>
        </w:tc>
      </w:tr>
      <w:tr w:rsidR="008D159E" w:rsidRPr="00C41275" w14:paraId="76EC5789"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2C99EA0" w14:textId="5A937D75"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16. </w:t>
            </w:r>
            <w:r w:rsidR="008D159E" w:rsidRPr="00C41275">
              <w:rPr>
                <w:rFonts w:asciiTheme="majorHAnsi" w:hAnsiTheme="majorHAnsi"/>
                <w:b w:val="0"/>
                <w:bCs w:val="0"/>
                <w:sz w:val="20"/>
                <w:szCs w:val="20"/>
                <w:lang w:val="es-ES_tradnl"/>
              </w:rPr>
              <w:t>Antonio Pastrana Contreras</w:t>
            </w:r>
          </w:p>
        </w:tc>
        <w:tc>
          <w:tcPr>
            <w:tcW w:w="1583" w:type="dxa"/>
          </w:tcPr>
          <w:p w14:paraId="2BD71FD1" w14:textId="12B4BA3A" w:rsidR="008D159E" w:rsidRPr="00C41275" w:rsidRDefault="0035400C"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114 meses</w:t>
            </w:r>
          </w:p>
        </w:tc>
      </w:tr>
      <w:tr w:rsidR="008D159E" w:rsidRPr="00C41275" w14:paraId="5C776692"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3E70EF7" w14:textId="6740CE57" w:rsidR="008D159E" w:rsidRPr="00C41275" w:rsidRDefault="0035400C"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17. Víctor</w:t>
            </w:r>
            <w:r w:rsidR="008D159E" w:rsidRPr="00C41275">
              <w:rPr>
                <w:rFonts w:asciiTheme="majorHAnsi" w:hAnsiTheme="majorHAnsi"/>
                <w:b w:val="0"/>
                <w:bCs w:val="0"/>
                <w:sz w:val="20"/>
                <w:szCs w:val="20"/>
                <w:lang w:val="es-ES_tradnl"/>
              </w:rPr>
              <w:t xml:space="preserve"> Cipriano Añazco</w:t>
            </w:r>
          </w:p>
        </w:tc>
        <w:tc>
          <w:tcPr>
            <w:tcW w:w="1583" w:type="dxa"/>
          </w:tcPr>
          <w:p w14:paraId="3235FEA9" w14:textId="38F3E935"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142 meses</w:t>
            </w:r>
          </w:p>
        </w:tc>
      </w:tr>
      <w:tr w:rsidR="008D159E" w:rsidRPr="00C41275" w14:paraId="139C6982"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BA6CC53" w14:textId="3C38BB78"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18. </w:t>
            </w:r>
            <w:r w:rsidR="008D159E" w:rsidRPr="00C41275">
              <w:rPr>
                <w:rFonts w:asciiTheme="majorHAnsi" w:hAnsiTheme="majorHAnsi"/>
                <w:b w:val="0"/>
                <w:bCs w:val="0"/>
                <w:sz w:val="20"/>
                <w:szCs w:val="20"/>
                <w:lang w:val="es-ES_tradnl"/>
              </w:rPr>
              <w:t>Aurelia Quispe Gayona</w:t>
            </w:r>
          </w:p>
        </w:tc>
        <w:tc>
          <w:tcPr>
            <w:tcW w:w="1583" w:type="dxa"/>
          </w:tcPr>
          <w:p w14:paraId="78F96B75" w14:textId="2F443D3F"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 meses</w:t>
            </w:r>
          </w:p>
        </w:tc>
      </w:tr>
      <w:tr w:rsidR="008D159E" w:rsidRPr="00C41275" w14:paraId="1CDD990B"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2885965" w14:textId="677CB898"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19. </w:t>
            </w:r>
            <w:r w:rsidR="008D159E" w:rsidRPr="00C41275">
              <w:rPr>
                <w:rFonts w:asciiTheme="majorHAnsi" w:hAnsiTheme="majorHAnsi"/>
                <w:b w:val="0"/>
                <w:bCs w:val="0"/>
                <w:sz w:val="20"/>
                <w:szCs w:val="20"/>
                <w:lang w:val="es-ES_tradnl"/>
              </w:rPr>
              <w:t>Benito Jesús Ventura Mamani</w:t>
            </w:r>
          </w:p>
        </w:tc>
        <w:tc>
          <w:tcPr>
            <w:tcW w:w="1583" w:type="dxa"/>
          </w:tcPr>
          <w:p w14:paraId="73DA683B" w14:textId="3F48E0FA"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 meses</w:t>
            </w:r>
          </w:p>
        </w:tc>
      </w:tr>
      <w:tr w:rsidR="008D159E" w:rsidRPr="00C41275" w14:paraId="0E9C89FC"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7C450D57" w14:textId="36C27C6E"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20. </w:t>
            </w:r>
            <w:r w:rsidR="008D159E" w:rsidRPr="00C41275">
              <w:rPr>
                <w:rFonts w:asciiTheme="majorHAnsi" w:hAnsiTheme="majorHAnsi"/>
                <w:b w:val="0"/>
                <w:bCs w:val="0"/>
                <w:sz w:val="20"/>
                <w:szCs w:val="20"/>
                <w:lang w:val="es-ES_tradnl"/>
              </w:rPr>
              <w:t>Gregorio Quispe Tito</w:t>
            </w:r>
          </w:p>
        </w:tc>
        <w:tc>
          <w:tcPr>
            <w:tcW w:w="1583" w:type="dxa"/>
          </w:tcPr>
          <w:p w14:paraId="001DB45A" w14:textId="583A6774"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días</w:t>
            </w:r>
          </w:p>
        </w:tc>
      </w:tr>
      <w:tr w:rsidR="008D159E" w:rsidRPr="00C41275" w14:paraId="64DF141A"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6663F3F" w14:textId="5E2C604D"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21. </w:t>
            </w:r>
            <w:r w:rsidR="008D159E" w:rsidRPr="00C41275">
              <w:rPr>
                <w:rFonts w:asciiTheme="majorHAnsi" w:hAnsiTheme="majorHAnsi"/>
                <w:b w:val="0"/>
                <w:bCs w:val="0"/>
                <w:sz w:val="20"/>
                <w:szCs w:val="20"/>
                <w:lang w:val="es-ES_tradnl"/>
              </w:rPr>
              <w:t xml:space="preserve">Fredy Ochoa </w:t>
            </w:r>
            <w:r w:rsidRPr="00C41275">
              <w:rPr>
                <w:rFonts w:asciiTheme="majorHAnsi" w:hAnsiTheme="majorHAnsi"/>
                <w:b w:val="0"/>
                <w:bCs w:val="0"/>
                <w:sz w:val="20"/>
                <w:szCs w:val="20"/>
                <w:lang w:val="es-ES_tradnl"/>
              </w:rPr>
              <w:t>León</w:t>
            </w:r>
          </w:p>
        </w:tc>
        <w:tc>
          <w:tcPr>
            <w:tcW w:w="1583" w:type="dxa"/>
          </w:tcPr>
          <w:p w14:paraId="3B952CA9" w14:textId="4F7619B3"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 meses</w:t>
            </w:r>
          </w:p>
        </w:tc>
      </w:tr>
      <w:tr w:rsidR="008D159E" w:rsidRPr="00C41275" w14:paraId="51239097"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D1318F0" w14:textId="677749BB"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22. </w:t>
            </w:r>
            <w:r w:rsidR="008D159E" w:rsidRPr="00C41275">
              <w:rPr>
                <w:rFonts w:asciiTheme="majorHAnsi" w:hAnsiTheme="majorHAnsi"/>
                <w:b w:val="0"/>
                <w:bCs w:val="0"/>
                <w:sz w:val="20"/>
                <w:szCs w:val="20"/>
                <w:lang w:val="es-ES_tradnl"/>
              </w:rPr>
              <w:t>Eustaquio Quispe Tito</w:t>
            </w:r>
          </w:p>
        </w:tc>
        <w:tc>
          <w:tcPr>
            <w:tcW w:w="1583" w:type="dxa"/>
          </w:tcPr>
          <w:p w14:paraId="40B093D1" w14:textId="5E81C4BA" w:rsidR="008D159E" w:rsidRPr="00C41275" w:rsidRDefault="007A3768" w:rsidP="007A3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7 meses</w:t>
            </w:r>
          </w:p>
        </w:tc>
      </w:tr>
      <w:tr w:rsidR="008D159E" w:rsidRPr="00C41275" w14:paraId="7E6F238B"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C6EDEA0" w14:textId="66546A04"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23. </w:t>
            </w:r>
            <w:r w:rsidR="008D159E" w:rsidRPr="00C41275">
              <w:rPr>
                <w:rFonts w:asciiTheme="majorHAnsi" w:hAnsiTheme="majorHAnsi"/>
                <w:b w:val="0"/>
                <w:bCs w:val="0"/>
                <w:sz w:val="20"/>
                <w:szCs w:val="20"/>
                <w:lang w:val="es-ES_tradnl"/>
              </w:rPr>
              <w:t>Martín Carmen Yana Quispesayhua</w:t>
            </w:r>
          </w:p>
        </w:tc>
        <w:tc>
          <w:tcPr>
            <w:tcW w:w="1583" w:type="dxa"/>
          </w:tcPr>
          <w:p w14:paraId="245F7DF0" w14:textId="16468276"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107 meses</w:t>
            </w:r>
          </w:p>
        </w:tc>
      </w:tr>
      <w:tr w:rsidR="008D159E" w:rsidRPr="00C41275" w14:paraId="7E0B98A5"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8B39704" w14:textId="2FD653DD"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24. </w:t>
            </w:r>
            <w:r w:rsidR="008D159E" w:rsidRPr="00C41275">
              <w:rPr>
                <w:rFonts w:asciiTheme="majorHAnsi" w:hAnsiTheme="majorHAnsi"/>
                <w:b w:val="0"/>
                <w:bCs w:val="0"/>
                <w:sz w:val="20"/>
                <w:szCs w:val="20"/>
                <w:lang w:val="es-ES_tradnl"/>
              </w:rPr>
              <w:t>Melquiades Llacsa Flores</w:t>
            </w:r>
          </w:p>
        </w:tc>
        <w:tc>
          <w:tcPr>
            <w:tcW w:w="1583" w:type="dxa"/>
          </w:tcPr>
          <w:p w14:paraId="6CB53052" w14:textId="37051C71"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17 meses</w:t>
            </w:r>
          </w:p>
        </w:tc>
      </w:tr>
      <w:tr w:rsidR="008D159E" w:rsidRPr="00C41275" w14:paraId="4AF896FB"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DEBF0A6" w14:textId="4C5C1B14"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25. </w:t>
            </w:r>
            <w:r w:rsidR="008D159E" w:rsidRPr="00C41275">
              <w:rPr>
                <w:rFonts w:asciiTheme="majorHAnsi" w:hAnsiTheme="majorHAnsi"/>
                <w:b w:val="0"/>
                <w:bCs w:val="0"/>
                <w:sz w:val="20"/>
                <w:szCs w:val="20"/>
                <w:lang w:val="es-ES_tradnl"/>
              </w:rPr>
              <w:t>Diego Aurélio Mamani Pacha</w:t>
            </w:r>
          </w:p>
        </w:tc>
        <w:tc>
          <w:tcPr>
            <w:tcW w:w="1583" w:type="dxa"/>
          </w:tcPr>
          <w:p w14:paraId="7F7BC9C5" w14:textId="1BCAC70F"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 meses</w:t>
            </w:r>
          </w:p>
        </w:tc>
      </w:tr>
      <w:tr w:rsidR="008D159E" w:rsidRPr="00C41275" w14:paraId="0BF4BE49"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3DC5044F" w14:textId="0487A749"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26. </w:t>
            </w:r>
            <w:r w:rsidR="008D159E" w:rsidRPr="00C41275">
              <w:rPr>
                <w:rFonts w:asciiTheme="majorHAnsi" w:hAnsiTheme="majorHAnsi"/>
                <w:b w:val="0"/>
                <w:bCs w:val="0"/>
                <w:sz w:val="20"/>
                <w:szCs w:val="20"/>
                <w:lang w:val="es-ES_tradnl"/>
              </w:rPr>
              <w:t>César Tacora Alata</w:t>
            </w:r>
          </w:p>
        </w:tc>
        <w:tc>
          <w:tcPr>
            <w:tcW w:w="1583" w:type="dxa"/>
          </w:tcPr>
          <w:p w14:paraId="4A431E78" w14:textId="5F741F2A"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 meses</w:t>
            </w:r>
          </w:p>
        </w:tc>
      </w:tr>
      <w:tr w:rsidR="008D159E" w:rsidRPr="00C41275" w14:paraId="72348478"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7349E15" w14:textId="632946E7"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27. </w:t>
            </w:r>
            <w:r w:rsidR="008D159E" w:rsidRPr="00C41275">
              <w:rPr>
                <w:rFonts w:asciiTheme="majorHAnsi" w:hAnsiTheme="majorHAnsi"/>
                <w:b w:val="0"/>
                <w:bCs w:val="0"/>
                <w:sz w:val="20"/>
                <w:szCs w:val="20"/>
                <w:lang w:val="es-ES_tradnl"/>
              </w:rPr>
              <w:t>Andrés Rogelio Alata Quiza</w:t>
            </w:r>
          </w:p>
        </w:tc>
        <w:tc>
          <w:tcPr>
            <w:tcW w:w="1583" w:type="dxa"/>
          </w:tcPr>
          <w:p w14:paraId="48A161DF" w14:textId="515683F3"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 meses</w:t>
            </w:r>
          </w:p>
        </w:tc>
      </w:tr>
      <w:tr w:rsidR="008D159E" w:rsidRPr="00C41275" w14:paraId="48C5EBD3"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3CAF557" w14:textId="4191EC47"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lastRenderedPageBreak/>
              <w:t xml:space="preserve">28. </w:t>
            </w:r>
            <w:r w:rsidR="008D159E" w:rsidRPr="00C41275">
              <w:rPr>
                <w:rFonts w:asciiTheme="majorHAnsi" w:hAnsiTheme="majorHAnsi"/>
                <w:b w:val="0"/>
                <w:bCs w:val="0"/>
                <w:sz w:val="20"/>
                <w:szCs w:val="20"/>
                <w:lang w:val="es-ES_tradnl"/>
              </w:rPr>
              <w:t>Simón Claudio Ramos Huamán</w:t>
            </w:r>
          </w:p>
        </w:tc>
        <w:tc>
          <w:tcPr>
            <w:tcW w:w="1583" w:type="dxa"/>
          </w:tcPr>
          <w:p w14:paraId="7C32ED48" w14:textId="6F90DD3A"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meses</w:t>
            </w:r>
          </w:p>
        </w:tc>
      </w:tr>
      <w:tr w:rsidR="008D159E" w:rsidRPr="00C41275" w14:paraId="052DF37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BF4E37A" w14:textId="162229E6"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29. </w:t>
            </w:r>
            <w:r w:rsidR="008D159E" w:rsidRPr="00C41275">
              <w:rPr>
                <w:rFonts w:asciiTheme="majorHAnsi" w:hAnsiTheme="majorHAnsi"/>
                <w:b w:val="0"/>
                <w:bCs w:val="0"/>
                <w:sz w:val="20"/>
                <w:szCs w:val="20"/>
                <w:lang w:val="es-ES_tradnl"/>
              </w:rPr>
              <w:t>Wenceslao Huaracha Ortega</w:t>
            </w:r>
          </w:p>
        </w:tc>
        <w:tc>
          <w:tcPr>
            <w:tcW w:w="1583" w:type="dxa"/>
          </w:tcPr>
          <w:p w14:paraId="2CC7B9C1" w14:textId="54F7C850"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24 meses</w:t>
            </w:r>
          </w:p>
        </w:tc>
      </w:tr>
      <w:tr w:rsidR="008D159E" w:rsidRPr="00C41275" w14:paraId="596E6E17"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4EE1C13F" w14:textId="37AE28AF"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30. </w:t>
            </w:r>
            <w:r w:rsidR="008D159E" w:rsidRPr="00C41275">
              <w:rPr>
                <w:rFonts w:asciiTheme="majorHAnsi" w:hAnsiTheme="majorHAnsi"/>
                <w:b w:val="0"/>
                <w:bCs w:val="0"/>
                <w:sz w:val="20"/>
                <w:szCs w:val="20"/>
                <w:lang w:val="es-ES_tradnl"/>
              </w:rPr>
              <w:t>Juan Pedro Quispe Mamani</w:t>
            </w:r>
          </w:p>
        </w:tc>
        <w:tc>
          <w:tcPr>
            <w:tcW w:w="1583" w:type="dxa"/>
          </w:tcPr>
          <w:p w14:paraId="45BF5D63" w14:textId="4FB0729C"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120 meses</w:t>
            </w:r>
          </w:p>
        </w:tc>
      </w:tr>
      <w:tr w:rsidR="008D159E" w:rsidRPr="00C41275" w14:paraId="45DFBAC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C823AFF" w14:textId="2F5B8A08"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31. </w:t>
            </w:r>
            <w:r w:rsidR="008D159E" w:rsidRPr="00C41275">
              <w:rPr>
                <w:rFonts w:asciiTheme="majorHAnsi" w:hAnsiTheme="majorHAnsi"/>
                <w:b w:val="0"/>
                <w:bCs w:val="0"/>
                <w:sz w:val="20"/>
                <w:szCs w:val="20"/>
                <w:lang w:val="es-ES_tradnl"/>
              </w:rPr>
              <w:t>Julio Eloy Morocco Mamani</w:t>
            </w:r>
          </w:p>
        </w:tc>
        <w:tc>
          <w:tcPr>
            <w:tcW w:w="1583" w:type="dxa"/>
          </w:tcPr>
          <w:p w14:paraId="2B1E5641" w14:textId="6D33EF23" w:rsidR="008D159E" w:rsidRPr="00C41275" w:rsidRDefault="007A3768"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5 meses</w:t>
            </w:r>
          </w:p>
        </w:tc>
      </w:tr>
      <w:tr w:rsidR="008D159E" w:rsidRPr="00C41275" w14:paraId="5ACB7EAE"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330D42DB" w14:textId="65CB212E" w:rsidR="008D159E" w:rsidRPr="00C41275" w:rsidRDefault="007A3768"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32. </w:t>
            </w:r>
            <w:r w:rsidR="008D159E" w:rsidRPr="00C41275">
              <w:rPr>
                <w:rFonts w:asciiTheme="majorHAnsi" w:hAnsiTheme="majorHAnsi"/>
                <w:b w:val="0"/>
                <w:bCs w:val="0"/>
                <w:sz w:val="20"/>
                <w:szCs w:val="20"/>
                <w:lang w:val="es-ES_tradnl"/>
              </w:rPr>
              <w:t>Enrique Ccallo Ccajma</w:t>
            </w:r>
          </w:p>
        </w:tc>
        <w:tc>
          <w:tcPr>
            <w:tcW w:w="1583" w:type="dxa"/>
          </w:tcPr>
          <w:p w14:paraId="1ECA87E1" w14:textId="2CB2014F"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 mes</w:t>
            </w:r>
          </w:p>
        </w:tc>
      </w:tr>
      <w:tr w:rsidR="008D159E" w:rsidRPr="00C41275" w14:paraId="0885E99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BC7BF0A" w14:textId="3CC4DE78"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33. </w:t>
            </w:r>
            <w:r w:rsidR="008D159E" w:rsidRPr="00C41275">
              <w:rPr>
                <w:rFonts w:asciiTheme="majorHAnsi" w:hAnsiTheme="majorHAnsi"/>
                <w:b w:val="0"/>
                <w:bCs w:val="0"/>
                <w:sz w:val="20"/>
                <w:szCs w:val="20"/>
                <w:lang w:val="es-ES_tradnl"/>
              </w:rPr>
              <w:t>Sebastián Quispe Zamata</w:t>
            </w:r>
          </w:p>
        </w:tc>
        <w:tc>
          <w:tcPr>
            <w:tcW w:w="1583" w:type="dxa"/>
          </w:tcPr>
          <w:p w14:paraId="48F8B6B4" w14:textId="3DD1311E"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31 meses</w:t>
            </w:r>
          </w:p>
        </w:tc>
      </w:tr>
      <w:tr w:rsidR="008D159E" w:rsidRPr="00C41275" w14:paraId="6C7A1511"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145F034D" w14:textId="679765A0"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34. </w:t>
            </w:r>
            <w:r w:rsidR="008D159E" w:rsidRPr="00C41275">
              <w:rPr>
                <w:rFonts w:asciiTheme="majorHAnsi" w:hAnsiTheme="majorHAnsi"/>
                <w:b w:val="0"/>
                <w:bCs w:val="0"/>
                <w:sz w:val="20"/>
                <w:szCs w:val="20"/>
                <w:lang w:val="es-ES_tradnl"/>
              </w:rPr>
              <w:t>Toribio Teófilo Quispe Asillo</w:t>
            </w:r>
          </w:p>
        </w:tc>
        <w:tc>
          <w:tcPr>
            <w:tcW w:w="1583" w:type="dxa"/>
          </w:tcPr>
          <w:p w14:paraId="1C0E525A" w14:textId="589E625C"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31 meses</w:t>
            </w:r>
          </w:p>
        </w:tc>
      </w:tr>
      <w:tr w:rsidR="008D159E" w:rsidRPr="00C41275" w14:paraId="224CD720"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2872D3B" w14:textId="3622A8A1"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35. </w:t>
            </w:r>
            <w:r w:rsidR="008D159E" w:rsidRPr="00C41275">
              <w:rPr>
                <w:rFonts w:asciiTheme="majorHAnsi" w:hAnsiTheme="majorHAnsi"/>
                <w:b w:val="0"/>
                <w:bCs w:val="0"/>
                <w:sz w:val="20"/>
                <w:szCs w:val="20"/>
                <w:lang w:val="es-ES_tradnl"/>
              </w:rPr>
              <w:t>Pedro Leonardo Quispe Quincho</w:t>
            </w:r>
          </w:p>
        </w:tc>
        <w:tc>
          <w:tcPr>
            <w:tcW w:w="1583" w:type="dxa"/>
          </w:tcPr>
          <w:p w14:paraId="36DEF43F" w14:textId="20BE6132"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106 meses</w:t>
            </w:r>
          </w:p>
        </w:tc>
      </w:tr>
      <w:tr w:rsidR="00A52702" w:rsidRPr="00C41275" w14:paraId="08968584"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78E5AFFA" w14:textId="6AAC0BD7"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36. </w:t>
            </w:r>
            <w:r w:rsidR="008D159E" w:rsidRPr="00C41275">
              <w:rPr>
                <w:rFonts w:asciiTheme="majorHAnsi" w:hAnsiTheme="majorHAnsi"/>
                <w:b w:val="0"/>
                <w:bCs w:val="0"/>
                <w:sz w:val="20"/>
                <w:szCs w:val="20"/>
                <w:lang w:val="es-ES_tradnl"/>
              </w:rPr>
              <w:t>Fernando Johnny Huanca Portillo</w:t>
            </w:r>
          </w:p>
        </w:tc>
        <w:tc>
          <w:tcPr>
            <w:tcW w:w="1583" w:type="dxa"/>
          </w:tcPr>
          <w:p w14:paraId="1E9D035B" w14:textId="437E3293"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123 meses</w:t>
            </w:r>
          </w:p>
        </w:tc>
      </w:tr>
      <w:tr w:rsidR="00A52702" w:rsidRPr="00C41275" w14:paraId="59FFA829"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18CC90F" w14:textId="654F31C3"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37. </w:t>
            </w:r>
            <w:r w:rsidR="008D159E" w:rsidRPr="00C41275">
              <w:rPr>
                <w:rFonts w:asciiTheme="majorHAnsi" w:hAnsiTheme="majorHAnsi"/>
                <w:b w:val="0"/>
                <w:bCs w:val="0"/>
                <w:sz w:val="20"/>
                <w:szCs w:val="20"/>
                <w:lang w:val="es-ES_tradnl"/>
              </w:rPr>
              <w:t>Teodora Jacinta Tacora Pacha</w:t>
            </w:r>
          </w:p>
        </w:tc>
        <w:tc>
          <w:tcPr>
            <w:tcW w:w="1583" w:type="dxa"/>
          </w:tcPr>
          <w:p w14:paraId="610A0F73" w14:textId="2E3ECDFB"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 meses</w:t>
            </w:r>
          </w:p>
        </w:tc>
      </w:tr>
      <w:tr w:rsidR="00A52702" w:rsidRPr="00C41275" w14:paraId="29A03C0D"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3FE310A0" w14:textId="2A34ECF1"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38. </w:t>
            </w:r>
            <w:r w:rsidR="008D159E" w:rsidRPr="00C41275">
              <w:rPr>
                <w:rFonts w:asciiTheme="majorHAnsi" w:hAnsiTheme="majorHAnsi"/>
                <w:b w:val="0"/>
                <w:bCs w:val="0"/>
                <w:sz w:val="20"/>
                <w:szCs w:val="20"/>
                <w:lang w:val="es-ES_tradnl"/>
              </w:rPr>
              <w:t>Josefina Quispe Huanca</w:t>
            </w:r>
          </w:p>
        </w:tc>
        <w:tc>
          <w:tcPr>
            <w:tcW w:w="1583" w:type="dxa"/>
          </w:tcPr>
          <w:p w14:paraId="05019AE7" w14:textId="43DA4BCE"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24 meses</w:t>
            </w:r>
          </w:p>
        </w:tc>
      </w:tr>
      <w:tr w:rsidR="00A52702" w:rsidRPr="00C41275" w14:paraId="5FFDC0B4"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32C980B" w14:textId="4B72B0FE" w:rsidR="008D159E" w:rsidRPr="00C41275" w:rsidRDefault="003079AB"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39. </w:t>
            </w:r>
            <w:r w:rsidR="008D159E" w:rsidRPr="00C41275">
              <w:rPr>
                <w:rFonts w:asciiTheme="majorHAnsi" w:hAnsiTheme="majorHAnsi"/>
                <w:b w:val="0"/>
                <w:bCs w:val="0"/>
                <w:sz w:val="20"/>
                <w:szCs w:val="20"/>
                <w:lang w:val="es-ES_tradnl"/>
              </w:rPr>
              <w:t>Favio Cutisaca Condori</w:t>
            </w:r>
          </w:p>
        </w:tc>
        <w:tc>
          <w:tcPr>
            <w:tcW w:w="1583" w:type="dxa"/>
          </w:tcPr>
          <w:p w14:paraId="60D17EE3" w14:textId="49133D2C" w:rsidR="008D159E" w:rsidRPr="00C41275" w:rsidRDefault="003079AB"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107 meses</w:t>
            </w:r>
          </w:p>
        </w:tc>
      </w:tr>
      <w:tr w:rsidR="00A52702" w:rsidRPr="00C41275" w14:paraId="13341A69"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4D69C00" w14:textId="09FCD924" w:rsidR="008D159E" w:rsidRPr="00C41275" w:rsidRDefault="00C65790"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40. </w:t>
            </w:r>
            <w:r w:rsidR="008D159E" w:rsidRPr="00C41275">
              <w:rPr>
                <w:rFonts w:asciiTheme="majorHAnsi" w:hAnsiTheme="majorHAnsi"/>
                <w:b w:val="0"/>
                <w:bCs w:val="0"/>
                <w:sz w:val="20"/>
                <w:szCs w:val="20"/>
                <w:lang w:val="es-ES_tradnl"/>
              </w:rPr>
              <w:t>Jesús Arístedes Chavez Diaz</w:t>
            </w:r>
          </w:p>
        </w:tc>
        <w:tc>
          <w:tcPr>
            <w:tcW w:w="1583" w:type="dxa"/>
          </w:tcPr>
          <w:p w14:paraId="582B60F9" w14:textId="60C8BA0D" w:rsidR="008D159E" w:rsidRPr="00C41275" w:rsidRDefault="00C65790"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119 meses</w:t>
            </w:r>
          </w:p>
        </w:tc>
      </w:tr>
      <w:tr w:rsidR="00A52702" w:rsidRPr="00C41275" w14:paraId="2FF82AAE"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0E5DB7A" w14:textId="4422FDE3" w:rsidR="008D159E" w:rsidRPr="00C41275" w:rsidRDefault="00C65790"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41. </w:t>
            </w:r>
            <w:r w:rsidR="008D159E" w:rsidRPr="00C41275">
              <w:rPr>
                <w:rFonts w:asciiTheme="majorHAnsi" w:hAnsiTheme="majorHAnsi"/>
                <w:b w:val="0"/>
                <w:bCs w:val="0"/>
                <w:sz w:val="20"/>
                <w:szCs w:val="20"/>
                <w:lang w:val="es-ES_tradnl"/>
              </w:rPr>
              <w:t>Raúl Perez Inga</w:t>
            </w:r>
          </w:p>
        </w:tc>
        <w:tc>
          <w:tcPr>
            <w:tcW w:w="1583" w:type="dxa"/>
          </w:tcPr>
          <w:p w14:paraId="1D21AD0A" w14:textId="5C637203" w:rsidR="008D159E" w:rsidRPr="00C41275" w:rsidRDefault="00C65790"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119 meses</w:t>
            </w:r>
          </w:p>
        </w:tc>
      </w:tr>
      <w:tr w:rsidR="00A52702" w:rsidRPr="00C41275" w14:paraId="1C2F2AE1"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E8A2B14" w14:textId="0D72D611" w:rsidR="008D159E" w:rsidRPr="00C41275" w:rsidRDefault="00C65790"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42. </w:t>
            </w:r>
            <w:r w:rsidR="008D159E" w:rsidRPr="00C41275">
              <w:rPr>
                <w:rFonts w:asciiTheme="majorHAnsi" w:hAnsiTheme="majorHAnsi"/>
                <w:b w:val="0"/>
                <w:bCs w:val="0"/>
                <w:sz w:val="20"/>
                <w:szCs w:val="20"/>
                <w:lang w:val="es-ES_tradnl"/>
              </w:rPr>
              <w:t>Basílio Mendoza Chipana</w:t>
            </w:r>
          </w:p>
        </w:tc>
        <w:tc>
          <w:tcPr>
            <w:tcW w:w="1583" w:type="dxa"/>
          </w:tcPr>
          <w:p w14:paraId="75A37E3F" w14:textId="3BE418EA" w:rsidR="008D159E" w:rsidRPr="00C41275" w:rsidRDefault="00C65790"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 meses</w:t>
            </w:r>
          </w:p>
        </w:tc>
      </w:tr>
      <w:tr w:rsidR="00A52702" w:rsidRPr="00C41275" w14:paraId="28813600"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88CB41B" w14:textId="098B1389" w:rsidR="008D159E" w:rsidRPr="00C41275" w:rsidRDefault="00C65790"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43. </w:t>
            </w:r>
            <w:r w:rsidR="008D159E" w:rsidRPr="00C41275">
              <w:rPr>
                <w:rFonts w:asciiTheme="majorHAnsi" w:hAnsiTheme="majorHAnsi"/>
                <w:b w:val="0"/>
                <w:bCs w:val="0"/>
                <w:sz w:val="20"/>
                <w:szCs w:val="20"/>
                <w:lang w:val="es-ES_tradnl"/>
              </w:rPr>
              <w:t>Víctor Cansaya Palomino</w:t>
            </w:r>
          </w:p>
        </w:tc>
        <w:tc>
          <w:tcPr>
            <w:tcW w:w="1583" w:type="dxa"/>
          </w:tcPr>
          <w:p w14:paraId="28E65CC2" w14:textId="2A39C234" w:rsidR="008D159E" w:rsidRPr="00C41275" w:rsidRDefault="00C65790"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 meses</w:t>
            </w:r>
          </w:p>
        </w:tc>
      </w:tr>
      <w:tr w:rsidR="00A52702" w:rsidRPr="00C41275" w14:paraId="5DEEC051"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0016855" w14:textId="37791B94" w:rsidR="008D159E" w:rsidRPr="00C41275" w:rsidRDefault="00C65790"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44. </w:t>
            </w:r>
            <w:r w:rsidR="008D159E" w:rsidRPr="00C41275">
              <w:rPr>
                <w:rFonts w:asciiTheme="majorHAnsi" w:hAnsiTheme="majorHAnsi"/>
                <w:b w:val="0"/>
                <w:bCs w:val="0"/>
                <w:sz w:val="20"/>
                <w:szCs w:val="20"/>
                <w:lang w:val="es-ES_tradnl"/>
              </w:rPr>
              <w:t>Eduardo Flores Catunta</w:t>
            </w:r>
          </w:p>
        </w:tc>
        <w:tc>
          <w:tcPr>
            <w:tcW w:w="1583" w:type="dxa"/>
          </w:tcPr>
          <w:p w14:paraId="510C3F8C" w14:textId="4141A66B" w:rsidR="008D159E" w:rsidRPr="00C41275" w:rsidRDefault="00C65790"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72 meses</w:t>
            </w:r>
          </w:p>
        </w:tc>
      </w:tr>
      <w:tr w:rsidR="00A52702" w:rsidRPr="00C41275" w14:paraId="240E3730"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B54BEB1" w14:textId="3C23C812"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45. </w:t>
            </w:r>
            <w:r w:rsidR="008D159E" w:rsidRPr="00C41275">
              <w:rPr>
                <w:rFonts w:asciiTheme="majorHAnsi" w:hAnsiTheme="majorHAnsi"/>
                <w:b w:val="0"/>
                <w:bCs w:val="0"/>
                <w:sz w:val="20"/>
                <w:szCs w:val="20"/>
                <w:lang w:val="es-ES_tradnl"/>
              </w:rPr>
              <w:t>Roberto Moisés Ccallohuanca Barriales</w:t>
            </w:r>
          </w:p>
        </w:tc>
        <w:tc>
          <w:tcPr>
            <w:tcW w:w="1583" w:type="dxa"/>
          </w:tcPr>
          <w:p w14:paraId="6D2448EA" w14:textId="29FBEF75"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6 meses</w:t>
            </w:r>
          </w:p>
        </w:tc>
      </w:tr>
      <w:tr w:rsidR="00A52702" w:rsidRPr="00C41275" w14:paraId="7D9C142D"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06801C8" w14:textId="43BF2312"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46. </w:t>
            </w:r>
            <w:r w:rsidR="008D159E" w:rsidRPr="00C41275">
              <w:rPr>
                <w:rFonts w:asciiTheme="majorHAnsi" w:hAnsiTheme="majorHAnsi"/>
                <w:b w:val="0"/>
                <w:bCs w:val="0"/>
                <w:sz w:val="20"/>
                <w:szCs w:val="20"/>
                <w:lang w:val="es-ES_tradnl"/>
              </w:rPr>
              <w:t>Yonel Joaquin Quispe Chunga</w:t>
            </w:r>
          </w:p>
        </w:tc>
        <w:tc>
          <w:tcPr>
            <w:tcW w:w="1583" w:type="dxa"/>
          </w:tcPr>
          <w:p w14:paraId="41192B3A" w14:textId="22C04E3D"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132 meses</w:t>
            </w:r>
          </w:p>
        </w:tc>
      </w:tr>
      <w:tr w:rsidR="00A52702" w:rsidRPr="00C41275" w14:paraId="05903A5A"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7BF06D2" w14:textId="16B13CCA"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47. </w:t>
            </w:r>
            <w:r w:rsidR="008D159E" w:rsidRPr="00C41275">
              <w:rPr>
                <w:rFonts w:asciiTheme="majorHAnsi" w:hAnsiTheme="majorHAnsi"/>
                <w:b w:val="0"/>
                <w:bCs w:val="0"/>
                <w:sz w:val="20"/>
                <w:szCs w:val="20"/>
                <w:lang w:val="es-ES_tradnl"/>
              </w:rPr>
              <w:t>Clodoaldo Aracayo Valencia</w:t>
            </w:r>
          </w:p>
        </w:tc>
        <w:tc>
          <w:tcPr>
            <w:tcW w:w="1583" w:type="dxa"/>
          </w:tcPr>
          <w:p w14:paraId="26758586" w14:textId="59331488"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 meses</w:t>
            </w:r>
          </w:p>
        </w:tc>
      </w:tr>
      <w:tr w:rsidR="00A52702" w:rsidRPr="00C41275" w14:paraId="56ABC335"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91B4BEA" w14:textId="2875BD4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48. </w:t>
            </w:r>
            <w:r w:rsidR="008D159E" w:rsidRPr="00C41275">
              <w:rPr>
                <w:rFonts w:asciiTheme="majorHAnsi" w:hAnsiTheme="majorHAnsi"/>
                <w:b w:val="0"/>
                <w:bCs w:val="0"/>
                <w:sz w:val="20"/>
                <w:szCs w:val="20"/>
                <w:lang w:val="es-ES_tradnl"/>
              </w:rPr>
              <w:t>Felipe Condori Huanca</w:t>
            </w:r>
          </w:p>
        </w:tc>
        <w:tc>
          <w:tcPr>
            <w:tcW w:w="1583" w:type="dxa"/>
          </w:tcPr>
          <w:p w14:paraId="773C12D7" w14:textId="709C8762"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 meses</w:t>
            </w:r>
          </w:p>
        </w:tc>
      </w:tr>
      <w:tr w:rsidR="00A52702" w:rsidRPr="00C41275" w14:paraId="284CEB78"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66CA0E6" w14:textId="47EBAAA8"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49. </w:t>
            </w:r>
            <w:r w:rsidR="008D159E" w:rsidRPr="00C41275">
              <w:rPr>
                <w:rFonts w:asciiTheme="majorHAnsi" w:hAnsiTheme="majorHAnsi"/>
                <w:b w:val="0"/>
                <w:bCs w:val="0"/>
                <w:sz w:val="20"/>
                <w:szCs w:val="20"/>
                <w:lang w:val="es-ES_tradnl"/>
              </w:rPr>
              <w:t>Florentino Aracayo Valencia</w:t>
            </w:r>
          </w:p>
        </w:tc>
        <w:tc>
          <w:tcPr>
            <w:tcW w:w="1583" w:type="dxa"/>
          </w:tcPr>
          <w:p w14:paraId="60654675" w14:textId="09CEC296"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 meses</w:t>
            </w:r>
          </w:p>
        </w:tc>
      </w:tr>
      <w:tr w:rsidR="00A52702" w:rsidRPr="00C41275" w14:paraId="24E376B9"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9F222D4" w14:textId="36FEC2A7"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50. </w:t>
            </w:r>
            <w:r w:rsidR="008D159E" w:rsidRPr="00C41275">
              <w:rPr>
                <w:rFonts w:asciiTheme="majorHAnsi" w:hAnsiTheme="majorHAnsi"/>
                <w:b w:val="0"/>
                <w:bCs w:val="0"/>
                <w:sz w:val="20"/>
                <w:szCs w:val="20"/>
                <w:lang w:val="es-ES_tradnl"/>
              </w:rPr>
              <w:t>José Julián Parraga Alta</w:t>
            </w:r>
          </w:p>
        </w:tc>
        <w:tc>
          <w:tcPr>
            <w:tcW w:w="1583" w:type="dxa"/>
          </w:tcPr>
          <w:p w14:paraId="492ED663" w14:textId="1FAFEDB8"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13 meses</w:t>
            </w:r>
          </w:p>
        </w:tc>
      </w:tr>
      <w:tr w:rsidR="00A52702" w:rsidRPr="00C41275" w14:paraId="6DAA98C0"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54E5A1E" w14:textId="667E4F6A"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51. </w:t>
            </w:r>
            <w:r w:rsidR="008D159E" w:rsidRPr="00C41275">
              <w:rPr>
                <w:rFonts w:asciiTheme="majorHAnsi" w:hAnsiTheme="majorHAnsi"/>
                <w:b w:val="0"/>
                <w:bCs w:val="0"/>
                <w:sz w:val="20"/>
                <w:szCs w:val="20"/>
                <w:lang w:val="es-ES_tradnl"/>
              </w:rPr>
              <w:t>Cosme Eleazar Huamani Martínez</w:t>
            </w:r>
          </w:p>
        </w:tc>
        <w:tc>
          <w:tcPr>
            <w:tcW w:w="1583" w:type="dxa"/>
          </w:tcPr>
          <w:p w14:paraId="69E4129A" w14:textId="54C964BE"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49 meses</w:t>
            </w:r>
          </w:p>
        </w:tc>
      </w:tr>
      <w:tr w:rsidR="00A52702" w:rsidRPr="00C41275" w14:paraId="79F1337B"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44B2F2CA" w14:textId="16B9920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52. </w:t>
            </w:r>
            <w:r w:rsidR="008D159E" w:rsidRPr="00C41275">
              <w:rPr>
                <w:rFonts w:asciiTheme="majorHAnsi" w:hAnsiTheme="majorHAnsi"/>
                <w:b w:val="0"/>
                <w:bCs w:val="0"/>
                <w:sz w:val="20"/>
                <w:szCs w:val="20"/>
                <w:lang w:val="es-ES_tradnl"/>
              </w:rPr>
              <w:t>Bruno Guerra Quispe</w:t>
            </w:r>
          </w:p>
        </w:tc>
        <w:tc>
          <w:tcPr>
            <w:tcW w:w="1583" w:type="dxa"/>
          </w:tcPr>
          <w:p w14:paraId="2018FEBC" w14:textId="4A05E2A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50 meses</w:t>
            </w:r>
          </w:p>
        </w:tc>
      </w:tr>
      <w:tr w:rsidR="00A52702" w:rsidRPr="00C41275" w14:paraId="6327DD71"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3550F6F0" w14:textId="68245F20"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53. </w:t>
            </w:r>
            <w:r w:rsidR="008D159E" w:rsidRPr="00C41275">
              <w:rPr>
                <w:rFonts w:asciiTheme="majorHAnsi" w:hAnsiTheme="majorHAnsi"/>
                <w:b w:val="0"/>
                <w:bCs w:val="0"/>
                <w:sz w:val="20"/>
                <w:szCs w:val="20"/>
                <w:lang w:val="es-ES_tradnl"/>
              </w:rPr>
              <w:t>Nestor Canaza Enriquez</w:t>
            </w:r>
          </w:p>
        </w:tc>
        <w:tc>
          <w:tcPr>
            <w:tcW w:w="1583" w:type="dxa"/>
          </w:tcPr>
          <w:p w14:paraId="7E1E1566" w14:textId="3918AF24"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41 meses</w:t>
            </w:r>
          </w:p>
        </w:tc>
      </w:tr>
      <w:tr w:rsidR="00A52702" w:rsidRPr="00C41275" w14:paraId="6D64CC37"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0B672DC4" w14:textId="56623221"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54. </w:t>
            </w:r>
            <w:r w:rsidR="008D159E" w:rsidRPr="00C41275">
              <w:rPr>
                <w:rFonts w:asciiTheme="majorHAnsi" w:hAnsiTheme="majorHAnsi"/>
                <w:b w:val="0"/>
                <w:bCs w:val="0"/>
                <w:sz w:val="20"/>
                <w:szCs w:val="20"/>
                <w:lang w:val="es-ES_tradnl"/>
              </w:rPr>
              <w:t>Prudencia Gil Ticona</w:t>
            </w:r>
          </w:p>
        </w:tc>
        <w:tc>
          <w:tcPr>
            <w:tcW w:w="1583" w:type="dxa"/>
          </w:tcPr>
          <w:p w14:paraId="10537965" w14:textId="78721CC7"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 meses</w:t>
            </w:r>
          </w:p>
        </w:tc>
      </w:tr>
      <w:tr w:rsidR="00A52702" w:rsidRPr="00C41275" w14:paraId="5E7C2E4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EFB407B" w14:textId="1029FE39"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55. </w:t>
            </w:r>
            <w:r w:rsidR="008D159E" w:rsidRPr="00C41275">
              <w:rPr>
                <w:rFonts w:asciiTheme="majorHAnsi" w:hAnsiTheme="majorHAnsi"/>
                <w:b w:val="0"/>
                <w:bCs w:val="0"/>
                <w:sz w:val="20"/>
                <w:szCs w:val="20"/>
                <w:lang w:val="es-ES_tradnl"/>
              </w:rPr>
              <w:t>Manuel Mamani Machaca</w:t>
            </w:r>
          </w:p>
        </w:tc>
        <w:tc>
          <w:tcPr>
            <w:tcW w:w="1583" w:type="dxa"/>
          </w:tcPr>
          <w:p w14:paraId="17E59B1C" w14:textId="04BCDCA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 meses</w:t>
            </w:r>
          </w:p>
        </w:tc>
      </w:tr>
      <w:tr w:rsidR="00A52702" w:rsidRPr="00C41275" w14:paraId="4C37519B"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D0840F8" w14:textId="360A8934"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56. </w:t>
            </w:r>
            <w:r w:rsidR="008D159E" w:rsidRPr="00C41275">
              <w:rPr>
                <w:rFonts w:asciiTheme="majorHAnsi" w:hAnsiTheme="majorHAnsi"/>
                <w:b w:val="0"/>
                <w:bCs w:val="0"/>
                <w:sz w:val="20"/>
                <w:szCs w:val="20"/>
                <w:lang w:val="es-ES_tradnl"/>
              </w:rPr>
              <w:t>José Tomás Urbina Gil</w:t>
            </w:r>
          </w:p>
        </w:tc>
        <w:tc>
          <w:tcPr>
            <w:tcW w:w="1583" w:type="dxa"/>
          </w:tcPr>
          <w:p w14:paraId="20B14881" w14:textId="44479B9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 meses</w:t>
            </w:r>
          </w:p>
        </w:tc>
      </w:tr>
      <w:tr w:rsidR="00A52702" w:rsidRPr="00C41275" w14:paraId="15153F55"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14291DC" w14:textId="4D3E6815"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57. </w:t>
            </w:r>
            <w:r w:rsidR="008D159E" w:rsidRPr="00C41275">
              <w:rPr>
                <w:rFonts w:asciiTheme="majorHAnsi" w:hAnsiTheme="majorHAnsi"/>
                <w:b w:val="0"/>
                <w:bCs w:val="0"/>
                <w:sz w:val="20"/>
                <w:szCs w:val="20"/>
                <w:lang w:val="es-ES_tradnl"/>
              </w:rPr>
              <w:t>Lorenzo Mamani Machaca</w:t>
            </w:r>
          </w:p>
        </w:tc>
        <w:tc>
          <w:tcPr>
            <w:tcW w:w="1583" w:type="dxa"/>
          </w:tcPr>
          <w:p w14:paraId="71E263A2" w14:textId="16F31F2A"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 meses</w:t>
            </w:r>
          </w:p>
        </w:tc>
      </w:tr>
      <w:tr w:rsidR="00A52702" w:rsidRPr="00C41275" w14:paraId="3409687C"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B2B5A19" w14:textId="6E2BBF73"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lastRenderedPageBreak/>
              <w:t xml:space="preserve">58. </w:t>
            </w:r>
            <w:r w:rsidR="008D159E" w:rsidRPr="00C41275">
              <w:rPr>
                <w:rFonts w:asciiTheme="majorHAnsi" w:hAnsiTheme="majorHAnsi"/>
                <w:b w:val="0"/>
                <w:bCs w:val="0"/>
                <w:sz w:val="20"/>
                <w:szCs w:val="20"/>
                <w:lang w:val="es-ES_tradnl"/>
              </w:rPr>
              <w:t>Etelvina Inés Reategui García</w:t>
            </w:r>
          </w:p>
        </w:tc>
        <w:tc>
          <w:tcPr>
            <w:tcW w:w="1583" w:type="dxa"/>
          </w:tcPr>
          <w:p w14:paraId="792C5017" w14:textId="22E0B69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14 meses</w:t>
            </w:r>
          </w:p>
        </w:tc>
      </w:tr>
      <w:tr w:rsidR="00A52702" w:rsidRPr="00C41275" w14:paraId="0AC2E3BA"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7FA26B3" w14:textId="1F5C861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59. </w:t>
            </w:r>
            <w:r w:rsidR="008D159E" w:rsidRPr="00C41275">
              <w:rPr>
                <w:rFonts w:asciiTheme="majorHAnsi" w:hAnsiTheme="majorHAnsi"/>
                <w:b w:val="0"/>
                <w:bCs w:val="0"/>
                <w:sz w:val="20"/>
                <w:szCs w:val="20"/>
                <w:lang w:val="es-ES_tradnl"/>
              </w:rPr>
              <w:t>José Antonio Pasquel Yalta</w:t>
            </w:r>
          </w:p>
        </w:tc>
        <w:tc>
          <w:tcPr>
            <w:tcW w:w="1583" w:type="dxa"/>
          </w:tcPr>
          <w:p w14:paraId="02AB9013" w14:textId="3E1980C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40 meses</w:t>
            </w:r>
          </w:p>
        </w:tc>
      </w:tr>
      <w:tr w:rsidR="00A52702" w:rsidRPr="00C41275" w14:paraId="3EC321CD"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71A6FA3C" w14:textId="3B917FD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60. </w:t>
            </w:r>
            <w:r w:rsidR="008D159E" w:rsidRPr="00C41275">
              <w:rPr>
                <w:rFonts w:asciiTheme="majorHAnsi" w:hAnsiTheme="majorHAnsi"/>
                <w:b w:val="0"/>
                <w:bCs w:val="0"/>
                <w:sz w:val="20"/>
                <w:szCs w:val="20"/>
                <w:lang w:val="es-ES_tradnl"/>
              </w:rPr>
              <w:t>César Luis Ramirez Yalta</w:t>
            </w:r>
          </w:p>
        </w:tc>
        <w:tc>
          <w:tcPr>
            <w:tcW w:w="1583" w:type="dxa"/>
          </w:tcPr>
          <w:p w14:paraId="2DDAD250" w14:textId="760EA489"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29 meses</w:t>
            </w:r>
          </w:p>
        </w:tc>
      </w:tr>
      <w:tr w:rsidR="00A52702" w:rsidRPr="00C41275" w14:paraId="1BAA1A8C"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EF48E09" w14:textId="57E33B1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61. </w:t>
            </w:r>
            <w:r w:rsidR="008D159E" w:rsidRPr="00C41275">
              <w:rPr>
                <w:rFonts w:asciiTheme="majorHAnsi" w:hAnsiTheme="majorHAnsi"/>
                <w:b w:val="0"/>
                <w:bCs w:val="0"/>
                <w:sz w:val="20"/>
                <w:szCs w:val="20"/>
                <w:lang w:val="es-ES_tradnl"/>
              </w:rPr>
              <w:t>Juan José Cholan Ramírez</w:t>
            </w:r>
          </w:p>
        </w:tc>
        <w:tc>
          <w:tcPr>
            <w:tcW w:w="1583" w:type="dxa"/>
          </w:tcPr>
          <w:p w14:paraId="66F9E3EE" w14:textId="3A97CD45"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29 meses</w:t>
            </w:r>
          </w:p>
        </w:tc>
      </w:tr>
      <w:tr w:rsidR="00A52702" w:rsidRPr="00C41275" w14:paraId="4898F0A8"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7C934B7" w14:textId="435FD513"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62. </w:t>
            </w:r>
            <w:r w:rsidR="008D159E" w:rsidRPr="00C41275">
              <w:rPr>
                <w:rFonts w:asciiTheme="majorHAnsi" w:hAnsiTheme="majorHAnsi"/>
                <w:b w:val="0"/>
                <w:bCs w:val="0"/>
                <w:sz w:val="20"/>
                <w:szCs w:val="20"/>
                <w:lang w:val="es-ES_tradnl"/>
              </w:rPr>
              <w:t>Víctor Ruiz García</w:t>
            </w:r>
          </w:p>
        </w:tc>
        <w:tc>
          <w:tcPr>
            <w:tcW w:w="1583" w:type="dxa"/>
          </w:tcPr>
          <w:p w14:paraId="2CF831BD" w14:textId="32A2A5B3"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44 meses</w:t>
            </w:r>
          </w:p>
        </w:tc>
      </w:tr>
      <w:tr w:rsidR="00A52702" w:rsidRPr="00C41275" w14:paraId="6369232C"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E55446F" w14:textId="4E7E1850"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63. </w:t>
            </w:r>
            <w:r w:rsidR="008D159E" w:rsidRPr="00C41275">
              <w:rPr>
                <w:rFonts w:asciiTheme="majorHAnsi" w:hAnsiTheme="majorHAnsi"/>
                <w:b w:val="0"/>
                <w:bCs w:val="0"/>
                <w:sz w:val="20"/>
                <w:szCs w:val="20"/>
                <w:lang w:val="es-ES_tradnl"/>
              </w:rPr>
              <w:t>Aníbal Ruiz García</w:t>
            </w:r>
          </w:p>
        </w:tc>
        <w:tc>
          <w:tcPr>
            <w:tcW w:w="1583" w:type="dxa"/>
          </w:tcPr>
          <w:p w14:paraId="182F2347" w14:textId="4CC76369"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29 meses</w:t>
            </w:r>
          </w:p>
        </w:tc>
      </w:tr>
      <w:tr w:rsidR="00A52702" w:rsidRPr="00C41275" w14:paraId="716AD384"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3773AA8" w14:textId="567789C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64. </w:t>
            </w:r>
            <w:r w:rsidR="008D159E" w:rsidRPr="00C41275">
              <w:rPr>
                <w:rFonts w:asciiTheme="majorHAnsi" w:hAnsiTheme="majorHAnsi"/>
                <w:b w:val="0"/>
                <w:bCs w:val="0"/>
                <w:sz w:val="20"/>
                <w:szCs w:val="20"/>
                <w:lang w:val="es-ES_tradnl"/>
              </w:rPr>
              <w:t>César Santillan Pandura</w:t>
            </w:r>
          </w:p>
        </w:tc>
        <w:tc>
          <w:tcPr>
            <w:tcW w:w="1583" w:type="dxa"/>
          </w:tcPr>
          <w:p w14:paraId="2012198C" w14:textId="4796D744"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128 meses</w:t>
            </w:r>
          </w:p>
        </w:tc>
      </w:tr>
      <w:tr w:rsidR="00A52702" w:rsidRPr="00C41275" w14:paraId="4629A7D2"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A416FFB" w14:textId="42EE8E62"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65. </w:t>
            </w:r>
            <w:r w:rsidR="008D159E" w:rsidRPr="00C41275">
              <w:rPr>
                <w:rFonts w:asciiTheme="majorHAnsi" w:hAnsiTheme="majorHAnsi"/>
                <w:b w:val="0"/>
                <w:bCs w:val="0"/>
                <w:sz w:val="20"/>
                <w:szCs w:val="20"/>
                <w:lang w:val="es-ES_tradnl"/>
              </w:rPr>
              <w:t>Carlos Gonzales Saavedra</w:t>
            </w:r>
          </w:p>
        </w:tc>
        <w:tc>
          <w:tcPr>
            <w:tcW w:w="1583" w:type="dxa"/>
          </w:tcPr>
          <w:p w14:paraId="2B71C1EF" w14:textId="78B5FF77"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15 meses</w:t>
            </w:r>
          </w:p>
        </w:tc>
      </w:tr>
      <w:tr w:rsidR="00A52702" w:rsidRPr="00C41275" w14:paraId="6867CBBE"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4717ED65" w14:textId="54D92AA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6</w:t>
            </w:r>
            <w:r w:rsidR="00207663" w:rsidRPr="00C41275">
              <w:rPr>
                <w:rFonts w:asciiTheme="majorHAnsi" w:hAnsiTheme="majorHAnsi"/>
                <w:b w:val="0"/>
                <w:bCs w:val="0"/>
                <w:sz w:val="20"/>
                <w:szCs w:val="20"/>
                <w:lang w:val="es-ES_tradnl"/>
              </w:rPr>
              <w:t>6</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Sergio Shuña Isuiza</w:t>
            </w:r>
          </w:p>
        </w:tc>
        <w:tc>
          <w:tcPr>
            <w:tcW w:w="1583" w:type="dxa"/>
          </w:tcPr>
          <w:p w14:paraId="7BFB07D1" w14:textId="6E85AA47"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44 meses</w:t>
            </w:r>
          </w:p>
        </w:tc>
      </w:tr>
      <w:tr w:rsidR="00A52702" w:rsidRPr="00C41275" w14:paraId="4447103E"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1002ABC" w14:textId="2A473053"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6</w:t>
            </w:r>
            <w:r w:rsidR="00207663" w:rsidRPr="00C41275">
              <w:rPr>
                <w:rFonts w:asciiTheme="majorHAnsi" w:hAnsiTheme="majorHAnsi"/>
                <w:b w:val="0"/>
                <w:bCs w:val="0"/>
                <w:sz w:val="20"/>
                <w:szCs w:val="20"/>
                <w:lang w:val="es-ES_tradnl"/>
              </w:rPr>
              <w:t>7</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Carlos Enrique Cotrina Saldaña</w:t>
            </w:r>
          </w:p>
        </w:tc>
        <w:tc>
          <w:tcPr>
            <w:tcW w:w="1583" w:type="dxa"/>
          </w:tcPr>
          <w:p w14:paraId="2E747206" w14:textId="0718DA85"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39 meses</w:t>
            </w:r>
          </w:p>
        </w:tc>
      </w:tr>
      <w:tr w:rsidR="00A52702" w:rsidRPr="00C41275" w14:paraId="33F83006"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7546FFF9" w14:textId="0815B533"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6</w:t>
            </w:r>
            <w:r w:rsidR="00207663" w:rsidRPr="00C41275">
              <w:rPr>
                <w:rFonts w:asciiTheme="majorHAnsi" w:hAnsiTheme="majorHAnsi"/>
                <w:b w:val="0"/>
                <w:bCs w:val="0"/>
                <w:sz w:val="20"/>
                <w:szCs w:val="20"/>
                <w:lang w:val="es-ES_tradnl"/>
              </w:rPr>
              <w:t>8</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Jhon Fernando Vidaurre Fasanando</w:t>
            </w:r>
          </w:p>
        </w:tc>
        <w:tc>
          <w:tcPr>
            <w:tcW w:w="1583" w:type="dxa"/>
          </w:tcPr>
          <w:p w14:paraId="3FD6F169" w14:textId="5356970C"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29 meses</w:t>
            </w:r>
          </w:p>
        </w:tc>
      </w:tr>
      <w:tr w:rsidR="00A52702" w:rsidRPr="00C41275" w14:paraId="18ED4DCE"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35718B7" w14:textId="43D51F39" w:rsidR="008D159E" w:rsidRPr="00C41275" w:rsidRDefault="00207663"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69</w:t>
            </w:r>
            <w:r w:rsidR="00594AC4"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Alexander Lozano Panduro</w:t>
            </w:r>
          </w:p>
        </w:tc>
        <w:tc>
          <w:tcPr>
            <w:tcW w:w="1583" w:type="dxa"/>
          </w:tcPr>
          <w:p w14:paraId="4F5C09B5" w14:textId="6AB6B7EB"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30 meses</w:t>
            </w:r>
          </w:p>
        </w:tc>
      </w:tr>
      <w:tr w:rsidR="00A52702" w:rsidRPr="00C41275" w14:paraId="0081CDBC"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62CEA4A3" w14:textId="621BA24D"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0</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Fernando Rojas Luna</w:t>
            </w:r>
          </w:p>
        </w:tc>
        <w:tc>
          <w:tcPr>
            <w:tcW w:w="1583" w:type="dxa"/>
          </w:tcPr>
          <w:p w14:paraId="2C8EE206" w14:textId="61827BFB"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meses</w:t>
            </w:r>
          </w:p>
        </w:tc>
      </w:tr>
      <w:tr w:rsidR="00A52702" w:rsidRPr="00C41275" w14:paraId="1C460FF3"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EBE58B3" w14:textId="592E4095"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1</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Juan Manuel Clavijo Ortiz</w:t>
            </w:r>
          </w:p>
        </w:tc>
        <w:tc>
          <w:tcPr>
            <w:tcW w:w="1583" w:type="dxa"/>
          </w:tcPr>
          <w:p w14:paraId="375D95BC" w14:textId="1BCAC04B"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9 meses</w:t>
            </w:r>
          </w:p>
        </w:tc>
      </w:tr>
      <w:tr w:rsidR="00A52702" w:rsidRPr="00C41275" w14:paraId="24122B96"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46DE9360" w14:textId="5E708173"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2</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Pablo Lozano Sanancima</w:t>
            </w:r>
          </w:p>
        </w:tc>
        <w:tc>
          <w:tcPr>
            <w:tcW w:w="1583" w:type="dxa"/>
          </w:tcPr>
          <w:p w14:paraId="63C8A942" w14:textId="4E2AE2BE"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 meses</w:t>
            </w:r>
          </w:p>
        </w:tc>
      </w:tr>
      <w:tr w:rsidR="00A52702" w:rsidRPr="00C41275" w14:paraId="35DED968"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81ECE77" w14:textId="1D22F325"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3</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Walter Vega Olivos</w:t>
            </w:r>
          </w:p>
        </w:tc>
        <w:tc>
          <w:tcPr>
            <w:tcW w:w="1583" w:type="dxa"/>
          </w:tcPr>
          <w:p w14:paraId="00E3952F" w14:textId="0D87A8F2"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9 meses</w:t>
            </w:r>
          </w:p>
        </w:tc>
      </w:tr>
      <w:tr w:rsidR="00A52702" w:rsidRPr="00C41275" w14:paraId="52AADCF1"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41474080" w14:textId="60D6882A"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4</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Jorge Roberto Cordova Peña</w:t>
            </w:r>
          </w:p>
        </w:tc>
        <w:tc>
          <w:tcPr>
            <w:tcW w:w="1583" w:type="dxa"/>
          </w:tcPr>
          <w:p w14:paraId="65824C02" w14:textId="3F85D5A2"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15 meses</w:t>
            </w:r>
          </w:p>
        </w:tc>
      </w:tr>
      <w:tr w:rsidR="00A52702" w:rsidRPr="00C41275" w14:paraId="0DF597E2"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FEAD8D2" w14:textId="2132962A"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5</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Jorge Hipólito Jimenez Vite</w:t>
            </w:r>
          </w:p>
        </w:tc>
        <w:tc>
          <w:tcPr>
            <w:tcW w:w="1583" w:type="dxa"/>
          </w:tcPr>
          <w:p w14:paraId="6F8CF73B" w14:textId="283312ED"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meses</w:t>
            </w:r>
          </w:p>
        </w:tc>
      </w:tr>
      <w:tr w:rsidR="00A52702" w:rsidRPr="00C41275" w14:paraId="4C05C8DE"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1D07FE9" w14:textId="2CB79A1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6</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Elsa Tenorio Torrejon</w:t>
            </w:r>
          </w:p>
        </w:tc>
        <w:tc>
          <w:tcPr>
            <w:tcW w:w="1583" w:type="dxa"/>
          </w:tcPr>
          <w:p w14:paraId="56C7DA12" w14:textId="36FA97DF"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36 meses</w:t>
            </w:r>
          </w:p>
        </w:tc>
      </w:tr>
      <w:tr w:rsidR="00A52702" w:rsidRPr="00C41275" w14:paraId="12B497E3"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4F7CECF" w14:textId="1A9FD747"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7</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Elvia Rosa Tenorio Torrejon</w:t>
            </w:r>
          </w:p>
        </w:tc>
        <w:tc>
          <w:tcPr>
            <w:tcW w:w="1583" w:type="dxa"/>
          </w:tcPr>
          <w:p w14:paraId="01C58CBB" w14:textId="5D14DBBA"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36 meses</w:t>
            </w:r>
          </w:p>
        </w:tc>
      </w:tr>
      <w:tr w:rsidR="00A52702" w:rsidRPr="00C41275" w14:paraId="4A41FDA4"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35338A8D" w14:textId="01126DA1"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w:t>
            </w:r>
            <w:r w:rsidR="00207663" w:rsidRPr="00C41275">
              <w:rPr>
                <w:rFonts w:asciiTheme="majorHAnsi" w:hAnsiTheme="majorHAnsi"/>
                <w:b w:val="0"/>
                <w:bCs w:val="0"/>
                <w:sz w:val="20"/>
                <w:szCs w:val="20"/>
                <w:lang w:val="es-ES_tradnl"/>
              </w:rPr>
              <w:t>8</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Irma del Pilar Aguirre Ruelas</w:t>
            </w:r>
          </w:p>
        </w:tc>
        <w:tc>
          <w:tcPr>
            <w:tcW w:w="1583" w:type="dxa"/>
          </w:tcPr>
          <w:p w14:paraId="15571EB7" w14:textId="4E415BB1"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34 meses</w:t>
            </w:r>
          </w:p>
        </w:tc>
      </w:tr>
      <w:tr w:rsidR="00A52702" w:rsidRPr="00C41275" w14:paraId="54F6FAE1"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0AC4807" w14:textId="3B045AC2" w:rsidR="008D159E" w:rsidRPr="00C41275" w:rsidRDefault="00207663"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79</w:t>
            </w:r>
            <w:r w:rsidR="00594AC4"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Proceso Vidal Sulca Ramos</w:t>
            </w:r>
          </w:p>
        </w:tc>
        <w:tc>
          <w:tcPr>
            <w:tcW w:w="1583" w:type="dxa"/>
          </w:tcPr>
          <w:p w14:paraId="4C543160" w14:textId="533698A3"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5 meses</w:t>
            </w:r>
          </w:p>
        </w:tc>
      </w:tr>
      <w:tr w:rsidR="00A52702" w:rsidRPr="00C41275" w14:paraId="07665C08"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2035CC3" w14:textId="311A90D5"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0</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Nixon Henrry Heredia Carreazo</w:t>
            </w:r>
          </w:p>
        </w:tc>
        <w:tc>
          <w:tcPr>
            <w:tcW w:w="1583" w:type="dxa"/>
          </w:tcPr>
          <w:p w14:paraId="760A6234" w14:textId="49AB496F"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10 meses</w:t>
            </w:r>
          </w:p>
        </w:tc>
      </w:tr>
      <w:tr w:rsidR="00A52702" w:rsidRPr="00C41275" w14:paraId="3A6AE077"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CE54B2F" w14:textId="6332FDD7"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1</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Rosario Rondinel Palomino</w:t>
            </w:r>
          </w:p>
        </w:tc>
        <w:tc>
          <w:tcPr>
            <w:tcW w:w="1583" w:type="dxa"/>
          </w:tcPr>
          <w:p w14:paraId="038257B1" w14:textId="32B6DD3B"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119 meses</w:t>
            </w:r>
          </w:p>
        </w:tc>
      </w:tr>
      <w:tr w:rsidR="00A52702" w:rsidRPr="00C41275" w14:paraId="2704BB1F"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313213CB" w14:textId="3640FF5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2</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Laura Vela Vela</w:t>
            </w:r>
          </w:p>
        </w:tc>
        <w:tc>
          <w:tcPr>
            <w:tcW w:w="1583" w:type="dxa"/>
          </w:tcPr>
          <w:p w14:paraId="692E0F10" w14:textId="032A0D18"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19 meses</w:t>
            </w:r>
          </w:p>
        </w:tc>
      </w:tr>
      <w:tr w:rsidR="00A52702" w:rsidRPr="00C41275" w14:paraId="4D2B97ED"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7B8B53B9" w14:textId="76917FF4"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3</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Jorge Enrique Cruz Gavilan</w:t>
            </w:r>
          </w:p>
        </w:tc>
        <w:tc>
          <w:tcPr>
            <w:tcW w:w="1583" w:type="dxa"/>
          </w:tcPr>
          <w:p w14:paraId="2B17DAA4" w14:textId="338C48FD"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25 meses</w:t>
            </w:r>
          </w:p>
        </w:tc>
      </w:tr>
      <w:tr w:rsidR="00A52702" w:rsidRPr="00C41275" w14:paraId="0BF49C6B"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1C702A7A" w14:textId="46E6A66E"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4</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Sixto Muñoz Torres</w:t>
            </w:r>
          </w:p>
        </w:tc>
        <w:tc>
          <w:tcPr>
            <w:tcW w:w="1583" w:type="dxa"/>
          </w:tcPr>
          <w:p w14:paraId="161A59D2" w14:textId="5982ADF4"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16 meses</w:t>
            </w:r>
          </w:p>
        </w:tc>
      </w:tr>
      <w:tr w:rsidR="00A52702" w:rsidRPr="00C41275" w14:paraId="29187A40"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2216127" w14:textId="198BAE4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5</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Félix Guerrero Guevara</w:t>
            </w:r>
          </w:p>
        </w:tc>
        <w:tc>
          <w:tcPr>
            <w:tcW w:w="1583" w:type="dxa"/>
          </w:tcPr>
          <w:p w14:paraId="1598FC6C" w14:textId="128FC05D"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12 meses</w:t>
            </w:r>
          </w:p>
        </w:tc>
      </w:tr>
      <w:tr w:rsidR="00A52702" w:rsidRPr="00C41275" w14:paraId="7E0FD461"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2B16B9E0" w14:textId="1EAA2F0B" w:rsidR="008D159E" w:rsidRPr="00C41275" w:rsidRDefault="00594AC4"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8</w:t>
            </w:r>
            <w:r w:rsidR="00207663" w:rsidRPr="00C41275">
              <w:rPr>
                <w:rFonts w:asciiTheme="majorHAnsi" w:hAnsiTheme="majorHAnsi"/>
                <w:b w:val="0"/>
                <w:bCs w:val="0"/>
                <w:sz w:val="20"/>
                <w:szCs w:val="20"/>
                <w:lang w:val="es-ES_tradnl"/>
              </w:rPr>
              <w:t>6</w:t>
            </w:r>
            <w:r w:rsidRPr="00C41275">
              <w:rPr>
                <w:rFonts w:asciiTheme="majorHAnsi" w:hAnsiTheme="majorHAnsi"/>
                <w:b w:val="0"/>
                <w:bCs w:val="0"/>
                <w:sz w:val="20"/>
                <w:szCs w:val="20"/>
                <w:lang w:val="es-ES_tradnl"/>
              </w:rPr>
              <w:t xml:space="preserve">. </w:t>
            </w:r>
            <w:r w:rsidR="008D159E" w:rsidRPr="00C41275">
              <w:rPr>
                <w:rFonts w:asciiTheme="majorHAnsi" w:hAnsiTheme="majorHAnsi"/>
                <w:b w:val="0"/>
                <w:bCs w:val="0"/>
                <w:sz w:val="20"/>
                <w:szCs w:val="20"/>
                <w:lang w:val="es-ES_tradnl"/>
              </w:rPr>
              <w:t>César Augusto Guerrero Caballero</w:t>
            </w:r>
          </w:p>
        </w:tc>
        <w:tc>
          <w:tcPr>
            <w:tcW w:w="1583" w:type="dxa"/>
          </w:tcPr>
          <w:p w14:paraId="21E58AF0" w14:textId="27B7E6E9" w:rsidR="008D159E" w:rsidRPr="00C41275" w:rsidRDefault="00594AC4"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41 meses</w:t>
            </w:r>
          </w:p>
        </w:tc>
      </w:tr>
      <w:tr w:rsidR="00A52702" w:rsidRPr="00C41275" w14:paraId="20362FAE"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0537A1C" w14:textId="01DB6A87" w:rsidR="008D159E" w:rsidRPr="00C41275" w:rsidRDefault="00207663"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87. </w:t>
            </w:r>
            <w:r w:rsidR="008D159E" w:rsidRPr="00C41275">
              <w:rPr>
                <w:rFonts w:asciiTheme="majorHAnsi" w:hAnsiTheme="majorHAnsi"/>
                <w:b w:val="0"/>
                <w:bCs w:val="0"/>
                <w:sz w:val="20"/>
                <w:szCs w:val="20"/>
                <w:lang w:val="es-ES_tradnl"/>
              </w:rPr>
              <w:t>Gerónimo Tucto Ramírez</w:t>
            </w:r>
          </w:p>
        </w:tc>
        <w:tc>
          <w:tcPr>
            <w:tcW w:w="1583" w:type="dxa"/>
          </w:tcPr>
          <w:p w14:paraId="5D805B2A" w14:textId="3F4D9A6B" w:rsidR="008D159E" w:rsidRPr="00C41275" w:rsidRDefault="00207663"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85 meses</w:t>
            </w:r>
          </w:p>
        </w:tc>
      </w:tr>
      <w:tr w:rsidR="00A52702" w:rsidRPr="00C41275" w14:paraId="29F44C20" w14:textId="77777777" w:rsidTr="00594AC4">
        <w:tc>
          <w:tcPr>
            <w:cnfStyle w:val="001000000000" w:firstRow="0" w:lastRow="0" w:firstColumn="1" w:lastColumn="0" w:oddVBand="0" w:evenVBand="0" w:oddHBand="0" w:evenHBand="0" w:firstRowFirstColumn="0" w:firstRowLastColumn="0" w:lastRowFirstColumn="0" w:lastRowLastColumn="0"/>
            <w:tcW w:w="2963" w:type="dxa"/>
          </w:tcPr>
          <w:p w14:paraId="59CFDC62" w14:textId="599272FD" w:rsidR="008D159E" w:rsidRPr="00C41275" w:rsidRDefault="00207663"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t xml:space="preserve">88. </w:t>
            </w:r>
            <w:r w:rsidR="008D159E" w:rsidRPr="00C41275">
              <w:rPr>
                <w:rFonts w:asciiTheme="majorHAnsi" w:hAnsiTheme="majorHAnsi"/>
                <w:b w:val="0"/>
                <w:bCs w:val="0"/>
                <w:sz w:val="20"/>
                <w:szCs w:val="20"/>
                <w:lang w:val="es-ES_tradnl"/>
              </w:rPr>
              <w:t>Susana Elena Oleachea Lazarte</w:t>
            </w:r>
          </w:p>
        </w:tc>
        <w:tc>
          <w:tcPr>
            <w:tcW w:w="1583" w:type="dxa"/>
          </w:tcPr>
          <w:p w14:paraId="164681F5" w14:textId="4847DFCF" w:rsidR="008D159E" w:rsidRPr="00C41275" w:rsidRDefault="00207663"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14 meses</w:t>
            </w:r>
          </w:p>
        </w:tc>
      </w:tr>
      <w:tr w:rsidR="00A52702" w:rsidRPr="00C41275" w14:paraId="7AA72592" w14:textId="77777777" w:rsidTr="0059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1C194357" w14:textId="62524BB9" w:rsidR="008D159E" w:rsidRPr="00C41275" w:rsidRDefault="00207663" w:rsidP="00472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rPr>
                <w:rFonts w:asciiTheme="majorHAnsi" w:hAnsiTheme="majorHAnsi"/>
                <w:b w:val="0"/>
                <w:bCs w:val="0"/>
                <w:sz w:val="20"/>
                <w:szCs w:val="20"/>
                <w:lang w:val="es-ES_tradnl"/>
              </w:rPr>
            </w:pPr>
            <w:r w:rsidRPr="00C41275">
              <w:rPr>
                <w:rFonts w:asciiTheme="majorHAnsi" w:hAnsiTheme="majorHAnsi"/>
                <w:b w:val="0"/>
                <w:bCs w:val="0"/>
                <w:sz w:val="20"/>
                <w:szCs w:val="20"/>
                <w:lang w:val="es-ES_tradnl"/>
              </w:rPr>
              <w:lastRenderedPageBreak/>
              <w:t xml:space="preserve">89. </w:t>
            </w:r>
            <w:r w:rsidR="008D159E" w:rsidRPr="00C41275">
              <w:rPr>
                <w:rFonts w:asciiTheme="majorHAnsi" w:hAnsiTheme="majorHAnsi"/>
                <w:b w:val="0"/>
                <w:bCs w:val="0"/>
                <w:sz w:val="20"/>
                <w:szCs w:val="20"/>
                <w:lang w:val="es-ES_tradnl"/>
              </w:rPr>
              <w:t>Ricardo Roberto Siguas Zamora</w:t>
            </w:r>
          </w:p>
        </w:tc>
        <w:tc>
          <w:tcPr>
            <w:tcW w:w="1583" w:type="dxa"/>
          </w:tcPr>
          <w:p w14:paraId="103920AC" w14:textId="1271B917" w:rsidR="008D159E" w:rsidRPr="00C41275" w:rsidRDefault="00207663" w:rsidP="002076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1275">
              <w:rPr>
                <w:rFonts w:asciiTheme="majorHAnsi" w:hAnsiTheme="majorHAnsi"/>
                <w:sz w:val="20"/>
                <w:szCs w:val="20"/>
                <w:lang w:val="es-ES_tradnl"/>
              </w:rPr>
              <w:t>46 meses</w:t>
            </w:r>
          </w:p>
        </w:tc>
      </w:tr>
    </w:tbl>
    <w:p w14:paraId="49D2EEE8" w14:textId="77777777" w:rsidR="00C64F1A" w:rsidRPr="00C41275" w:rsidRDefault="00C64F1A" w:rsidP="003540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p>
    <w:p w14:paraId="24986D0C" w14:textId="77777777" w:rsidR="001A715C" w:rsidRDefault="001A715C" w:rsidP="0035400C">
      <w:pPr>
        <w:spacing w:after="120"/>
        <w:jc w:val="both"/>
        <w:rPr>
          <w:rFonts w:asciiTheme="majorHAnsi" w:hAnsiTheme="majorHAnsi" w:cs="Calibri"/>
          <w:sz w:val="20"/>
          <w:szCs w:val="20"/>
          <w:lang w:val="es-ES_tradnl"/>
        </w:rPr>
      </w:pPr>
    </w:p>
    <w:p w14:paraId="3EDDFD86" w14:textId="6553D80B" w:rsidR="00C64B5B" w:rsidRDefault="00C64B5B">
      <w:pPr>
        <w:rPr>
          <w:rFonts w:asciiTheme="majorHAnsi" w:hAnsiTheme="majorHAnsi" w:cs="Calibri"/>
          <w:sz w:val="20"/>
          <w:szCs w:val="20"/>
          <w:lang w:val="es-ES_tradnl"/>
        </w:rPr>
      </w:pPr>
      <w:r>
        <w:rPr>
          <w:rFonts w:asciiTheme="majorHAnsi" w:hAnsiTheme="majorHAnsi" w:cs="Calibri"/>
          <w:sz w:val="20"/>
          <w:szCs w:val="20"/>
          <w:lang w:val="es-ES_tradnl"/>
        </w:rPr>
        <w:br w:type="page"/>
      </w:r>
    </w:p>
    <w:p w14:paraId="33EDDA89" w14:textId="6132C70D" w:rsidR="00C64B5B" w:rsidRPr="00166DC6" w:rsidRDefault="009C320F" w:rsidP="00C64B5B">
      <w:pPr>
        <w:pStyle w:val="Title"/>
        <w:spacing w:line="276" w:lineRule="auto"/>
        <w:jc w:val="center"/>
        <w:rPr>
          <w:rFonts w:ascii="Cambria" w:hAnsi="Cambria"/>
          <w:b/>
          <w:bCs/>
          <w:sz w:val="28"/>
          <w:szCs w:val="28"/>
          <w:lang w:val="es-ES"/>
        </w:rPr>
      </w:pPr>
      <w:r w:rsidRPr="00166DC6">
        <w:rPr>
          <w:rFonts w:ascii="Cambria" w:hAnsi="Cambria"/>
          <w:b/>
          <w:bCs/>
          <w:sz w:val="28"/>
          <w:szCs w:val="28"/>
          <w:lang w:val="es-ES"/>
        </w:rPr>
        <w:lastRenderedPageBreak/>
        <w:t>Voto razonado</w:t>
      </w:r>
      <w:r w:rsidR="00C64B5B" w:rsidRPr="00166DC6">
        <w:rPr>
          <w:rFonts w:ascii="Cambria" w:hAnsi="Cambria"/>
          <w:b/>
          <w:bCs/>
          <w:sz w:val="28"/>
          <w:szCs w:val="28"/>
          <w:lang w:val="es-ES"/>
        </w:rPr>
        <w:t xml:space="preserve"> del Comisionado Carlos Bernal Pulido Comisión Interamericana de Derechos Humanos</w:t>
      </w:r>
    </w:p>
    <w:p w14:paraId="46E58A9E" w14:textId="77777777" w:rsidR="00C64B5B" w:rsidRPr="00166DC6" w:rsidRDefault="00C64B5B" w:rsidP="00C64B5B">
      <w:pPr>
        <w:pStyle w:val="Title"/>
        <w:spacing w:line="276" w:lineRule="auto"/>
        <w:jc w:val="center"/>
        <w:rPr>
          <w:rFonts w:ascii="Cambria" w:hAnsi="Cambria"/>
          <w:b/>
          <w:bCs/>
          <w:sz w:val="28"/>
          <w:szCs w:val="28"/>
          <w:lang w:val="es-ES"/>
        </w:rPr>
      </w:pPr>
      <w:r w:rsidRPr="00166DC6">
        <w:rPr>
          <w:rFonts w:ascii="Cambria" w:hAnsi="Cambria"/>
          <w:b/>
          <w:bCs/>
          <w:sz w:val="28"/>
          <w:szCs w:val="28"/>
          <w:lang w:val="es-ES"/>
        </w:rPr>
        <w:t xml:space="preserve">Informe de Admisibilidad No. 352/22, Petición 1523-08 </w:t>
      </w:r>
    </w:p>
    <w:p w14:paraId="6F03A8DC" w14:textId="77777777" w:rsidR="00C64B5B" w:rsidRPr="00166DC6" w:rsidRDefault="00C64B5B" w:rsidP="00C64B5B">
      <w:pPr>
        <w:pStyle w:val="Title"/>
        <w:spacing w:line="276" w:lineRule="auto"/>
        <w:jc w:val="center"/>
        <w:rPr>
          <w:rFonts w:ascii="Cambria" w:hAnsi="Cambria"/>
          <w:b/>
          <w:bCs/>
          <w:sz w:val="28"/>
          <w:szCs w:val="28"/>
          <w:lang w:val="es-ES"/>
        </w:rPr>
      </w:pPr>
      <w:r w:rsidRPr="00166DC6">
        <w:rPr>
          <w:rFonts w:ascii="Cambria" w:hAnsi="Cambria"/>
          <w:b/>
          <w:bCs/>
          <w:sz w:val="28"/>
          <w:szCs w:val="28"/>
          <w:lang w:val="es-ES"/>
        </w:rPr>
        <w:t>(José Patricio Tolentino Rojas y Otros-Perú)</w:t>
      </w:r>
    </w:p>
    <w:p w14:paraId="7A71FB7A" w14:textId="77777777" w:rsidR="00C64B5B" w:rsidRPr="00166DC6" w:rsidRDefault="00C64B5B" w:rsidP="00C64B5B">
      <w:pPr>
        <w:spacing w:line="276" w:lineRule="auto"/>
        <w:rPr>
          <w:rFonts w:ascii="Cambria" w:hAnsi="Cambria"/>
          <w:lang w:val="es-ES"/>
        </w:rPr>
      </w:pPr>
    </w:p>
    <w:p w14:paraId="01C96565" w14:textId="77777777" w:rsidR="00C64B5B" w:rsidRPr="00166DC6" w:rsidRDefault="00C64B5B" w:rsidP="00C64B5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b/>
          <w:bCs/>
          <w:color w:val="auto"/>
          <w:sz w:val="20"/>
          <w:szCs w:val="20"/>
          <w:lang w:val="es-ES"/>
        </w:rPr>
      </w:pPr>
      <w:r w:rsidRPr="00166DC6">
        <w:rPr>
          <w:b/>
          <w:bCs/>
          <w:color w:val="auto"/>
          <w:sz w:val="20"/>
          <w:szCs w:val="20"/>
          <w:lang w:val="es-ES"/>
        </w:rPr>
        <w:t>Introducción</w:t>
      </w:r>
    </w:p>
    <w:p w14:paraId="264380BA"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En el marco del respeto por las decisiones que la Comisión Interamericana de Derechos Humanos profiere y en ejercicio de mi derecho a presentar un voto razonado, de conformidad con el término que establece para el efecto el artículo 19 del Reglamento de la Comisión, presento las consideraciones que me llevaron a apartarme parcialmente de la decisión del Informe de Admisibilidad del caso 1523-08- José Patricio Tolentino Rojas y Otros en relación con el Estado de Perú.</w:t>
      </w:r>
    </w:p>
    <w:p w14:paraId="6D24DB29" w14:textId="77777777" w:rsidR="00472B5E" w:rsidRPr="00166DC6" w:rsidRDefault="00472B5E" w:rsidP="00031B4F">
      <w:pPr>
        <w:spacing w:line="276" w:lineRule="auto"/>
        <w:ind w:firstLine="720"/>
        <w:jc w:val="both"/>
        <w:rPr>
          <w:rFonts w:ascii="Cambria" w:hAnsi="Cambria"/>
          <w:sz w:val="20"/>
          <w:szCs w:val="20"/>
          <w:lang w:val="es-ES"/>
        </w:rPr>
      </w:pPr>
    </w:p>
    <w:p w14:paraId="06AE196C"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Aclaro que </w:t>
      </w:r>
      <w:r w:rsidRPr="00166DC6">
        <w:rPr>
          <w:rFonts w:ascii="Cambria" w:hAnsi="Cambria"/>
          <w:b/>
          <w:bCs/>
          <w:sz w:val="20"/>
          <w:szCs w:val="20"/>
          <w:lang w:val="es-ES"/>
        </w:rPr>
        <w:t xml:space="preserve">respaldo la decisión de declarar la admisibilidad del presente caso, </w:t>
      </w:r>
      <w:r w:rsidRPr="00166DC6">
        <w:rPr>
          <w:rFonts w:ascii="Cambria" w:hAnsi="Cambria"/>
          <w:sz w:val="20"/>
          <w:szCs w:val="20"/>
          <w:lang w:val="es-ES"/>
        </w:rPr>
        <w:t>por cuanto considero que el Estado no acreditó el carácter adecuado y efectivo de los recursos que alegó como no agotados –vía de argumentación que resulta suficiente para efectos declarar improcedente el alegato en cuestión</w:t>
      </w:r>
      <w:r w:rsidRPr="00166DC6">
        <w:rPr>
          <w:rStyle w:val="FootnoteReference"/>
          <w:rFonts w:ascii="Cambria" w:hAnsi="Cambria"/>
          <w:sz w:val="20"/>
          <w:szCs w:val="20"/>
          <w:lang w:val="es-ES"/>
        </w:rPr>
        <w:footnoteReference w:id="9"/>
      </w:r>
      <w:r w:rsidRPr="00166DC6">
        <w:rPr>
          <w:rFonts w:ascii="Cambria" w:hAnsi="Cambria"/>
          <w:sz w:val="20"/>
          <w:szCs w:val="20"/>
          <w:lang w:val="es-ES"/>
        </w:rPr>
        <w:t xml:space="preserve">–. </w:t>
      </w:r>
    </w:p>
    <w:p w14:paraId="2F09A16C" w14:textId="77777777" w:rsidR="00472B5E" w:rsidRPr="00166DC6" w:rsidRDefault="00472B5E" w:rsidP="00031B4F">
      <w:pPr>
        <w:spacing w:line="276" w:lineRule="auto"/>
        <w:ind w:firstLine="720"/>
        <w:jc w:val="both"/>
        <w:rPr>
          <w:rFonts w:ascii="Cambria" w:hAnsi="Cambria"/>
          <w:sz w:val="20"/>
          <w:szCs w:val="20"/>
          <w:lang w:val="es-ES"/>
        </w:rPr>
      </w:pPr>
    </w:p>
    <w:p w14:paraId="2B58FE4D" w14:textId="0DD69A93" w:rsidR="00C64B5B" w:rsidRPr="00166DC6" w:rsidRDefault="00C64B5B" w:rsidP="0081267C">
      <w:pPr>
        <w:spacing w:line="276" w:lineRule="auto"/>
        <w:ind w:firstLine="360"/>
        <w:jc w:val="both"/>
        <w:rPr>
          <w:rFonts w:ascii="Cambria" w:hAnsi="Cambria"/>
          <w:sz w:val="20"/>
          <w:szCs w:val="20"/>
          <w:lang w:val="es-ES"/>
        </w:rPr>
      </w:pPr>
      <w:r w:rsidRPr="00166DC6">
        <w:rPr>
          <w:rFonts w:ascii="Cambria" w:hAnsi="Cambria"/>
          <w:sz w:val="20"/>
          <w:szCs w:val="20"/>
          <w:lang w:val="es-ES"/>
        </w:rPr>
        <w:t xml:space="preserve">Sin embargo, discrepo de la línea argumentativa invocada por la mayoría de la Comisión Interamericana de Derechos Humanos. Por lo anterior, me permito formular algunas </w:t>
      </w:r>
      <w:r w:rsidR="00166DC6" w:rsidRPr="00166DC6">
        <w:rPr>
          <w:rFonts w:ascii="Cambria" w:hAnsi="Cambria"/>
          <w:sz w:val="20"/>
          <w:szCs w:val="20"/>
          <w:lang w:val="es-ES"/>
        </w:rPr>
        <w:t>observaciones respecto</w:t>
      </w:r>
      <w:r w:rsidRPr="00166DC6">
        <w:rPr>
          <w:rFonts w:ascii="Cambria" w:hAnsi="Cambria"/>
          <w:sz w:val="20"/>
          <w:szCs w:val="20"/>
          <w:lang w:val="es-ES"/>
        </w:rPr>
        <w:t xml:space="preserve"> de la aplicación del artículo 46.2.b. de la CADH, en casos de personas en situación de indigencia.</w:t>
      </w:r>
    </w:p>
    <w:p w14:paraId="10209882" w14:textId="0906EDE7" w:rsidR="00C64B5B" w:rsidRPr="00166DC6" w:rsidRDefault="00C64B5B" w:rsidP="00297911">
      <w:pPr>
        <w:pStyle w:val="Heading2"/>
        <w:numPr>
          <w:ilvl w:val="0"/>
          <w:numId w:val="62"/>
        </w:numPr>
        <w:tabs>
          <w:tab w:val="num" w:pos="720"/>
        </w:tabs>
        <w:spacing w:line="276" w:lineRule="auto"/>
        <w:ind w:left="720" w:hanging="360"/>
        <w:jc w:val="both"/>
        <w:rPr>
          <w:rFonts w:ascii="Cambria" w:hAnsi="Cambria"/>
          <w:b w:val="0"/>
          <w:bCs w:val="0"/>
          <w:sz w:val="20"/>
          <w:szCs w:val="20"/>
          <w:lang w:val="es-ES"/>
        </w:rPr>
      </w:pPr>
      <w:r w:rsidRPr="00166DC6">
        <w:rPr>
          <w:rFonts w:ascii="Cambria" w:hAnsi="Cambria"/>
          <w:sz w:val="20"/>
          <w:szCs w:val="20"/>
          <w:lang w:val="es-ES"/>
        </w:rPr>
        <w:t>Aplicación de la excepción al agotamiento de</w:t>
      </w:r>
      <w:r w:rsidR="00166DC6">
        <w:rPr>
          <w:rFonts w:ascii="Cambria" w:hAnsi="Cambria"/>
          <w:sz w:val="20"/>
          <w:szCs w:val="20"/>
          <w:lang w:val="es-ES"/>
        </w:rPr>
        <w:t xml:space="preserve"> </w:t>
      </w:r>
      <w:r w:rsidRPr="00166DC6">
        <w:rPr>
          <w:rFonts w:ascii="Cambria" w:hAnsi="Cambria"/>
          <w:sz w:val="20"/>
          <w:szCs w:val="20"/>
          <w:lang w:val="es-ES"/>
        </w:rPr>
        <w:t>l</w:t>
      </w:r>
      <w:r w:rsidR="00166DC6">
        <w:rPr>
          <w:rFonts w:ascii="Cambria" w:hAnsi="Cambria"/>
          <w:sz w:val="20"/>
          <w:szCs w:val="20"/>
          <w:lang w:val="es-ES"/>
        </w:rPr>
        <w:t>os</w:t>
      </w:r>
      <w:r w:rsidRPr="00166DC6">
        <w:rPr>
          <w:rFonts w:ascii="Cambria" w:hAnsi="Cambria"/>
          <w:sz w:val="20"/>
          <w:szCs w:val="20"/>
          <w:lang w:val="es-ES"/>
        </w:rPr>
        <w:t xml:space="preserve"> recursos internos del 46.2.b en los casos de personas en situación de indigencia</w:t>
      </w:r>
    </w:p>
    <w:p w14:paraId="4D87601C" w14:textId="77777777" w:rsidR="00C64B5B" w:rsidRPr="00166DC6" w:rsidRDefault="00C64B5B" w:rsidP="00297911">
      <w:pPr>
        <w:spacing w:line="276" w:lineRule="auto"/>
        <w:jc w:val="both"/>
        <w:rPr>
          <w:rFonts w:ascii="Cambria" w:hAnsi="Cambria"/>
          <w:sz w:val="20"/>
          <w:szCs w:val="20"/>
          <w:lang w:val="es-ES"/>
        </w:rPr>
      </w:pPr>
    </w:p>
    <w:p w14:paraId="5D7EE471" w14:textId="0A143B56"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El artículo 46.2.b de la Convención Americana sobre Derechos Humanos (CADH), establece como una de las excepciones al agotamiento </w:t>
      </w:r>
      <w:r w:rsidR="00166DC6" w:rsidRPr="00166DC6">
        <w:rPr>
          <w:rFonts w:ascii="Cambria" w:hAnsi="Cambria"/>
          <w:sz w:val="20"/>
          <w:szCs w:val="20"/>
          <w:lang w:val="es-ES"/>
        </w:rPr>
        <w:t>que “</w:t>
      </w:r>
      <w:r w:rsidRPr="00166DC6">
        <w:rPr>
          <w:rFonts w:ascii="Cambria" w:hAnsi="Cambria"/>
          <w:sz w:val="20"/>
          <w:szCs w:val="20"/>
          <w:lang w:val="es-ES"/>
        </w:rPr>
        <w:t>no se haya permitido al presunto lesionado en sus derechos el acceso a los recursos de la jurisdicción interna, o haya sido impedido de agotarlos”</w:t>
      </w:r>
      <w:r w:rsidRPr="00166DC6">
        <w:rPr>
          <w:rStyle w:val="FootnoteReference"/>
          <w:rFonts w:ascii="Cambria" w:hAnsi="Cambria"/>
          <w:sz w:val="20"/>
          <w:szCs w:val="20"/>
        </w:rPr>
        <w:footnoteReference w:id="10"/>
      </w:r>
      <w:r w:rsidRPr="00166DC6">
        <w:rPr>
          <w:rFonts w:ascii="Cambria" w:hAnsi="Cambria"/>
          <w:sz w:val="20"/>
          <w:szCs w:val="20"/>
          <w:lang w:val="es-ES"/>
        </w:rPr>
        <w:t>.</w:t>
      </w:r>
    </w:p>
    <w:p w14:paraId="5FBF5F85" w14:textId="77777777" w:rsidR="00472B5E" w:rsidRPr="00166DC6" w:rsidRDefault="00472B5E" w:rsidP="00031B4F">
      <w:pPr>
        <w:spacing w:line="276" w:lineRule="auto"/>
        <w:ind w:firstLine="720"/>
        <w:jc w:val="both"/>
        <w:rPr>
          <w:rFonts w:ascii="Cambria" w:hAnsi="Cambria"/>
          <w:sz w:val="20"/>
          <w:szCs w:val="20"/>
          <w:lang w:val="es-ES"/>
        </w:rPr>
      </w:pPr>
    </w:p>
    <w:p w14:paraId="680EADD2"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Esta causal de excepción se establece mediante una cláusula abierta, por lo que, los supuestos en los que resulta aplicable no son taxativos y se han analizado, entre otros, frente a casos en los que las presuntas víctimas se encuentran en situación de indigencia. El principal antecedente del Sistema Interamericano sobre Derechos Humanos en la materia es la Opinión Consultiva 11 de 1990.</w:t>
      </w:r>
    </w:p>
    <w:p w14:paraId="102B6DFE" w14:textId="77777777" w:rsidR="00472B5E" w:rsidRPr="00166DC6" w:rsidRDefault="00472B5E" w:rsidP="00031B4F">
      <w:pPr>
        <w:spacing w:line="276" w:lineRule="auto"/>
        <w:ind w:firstLine="720"/>
        <w:jc w:val="both"/>
        <w:rPr>
          <w:rFonts w:ascii="Cambria" w:hAnsi="Cambria"/>
          <w:sz w:val="20"/>
          <w:szCs w:val="20"/>
          <w:lang w:val="es-ES"/>
        </w:rPr>
      </w:pPr>
    </w:p>
    <w:p w14:paraId="162F4B46"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En dicha Opinión, la Corte IDH consideró que el hecho de que una persona se encuentre en situación de indigencia no significa que por ello no deba agotar los recursos internos, sino que “el indigente tendrá o no que agotar los recursos internos, según si la ley o las circunstancias se lo permiten”</w:t>
      </w:r>
      <w:r w:rsidRPr="00166DC6">
        <w:rPr>
          <w:rStyle w:val="FootnoteReference"/>
          <w:rFonts w:ascii="Cambria" w:hAnsi="Cambria"/>
          <w:sz w:val="20"/>
          <w:szCs w:val="20"/>
        </w:rPr>
        <w:footnoteReference w:id="11"/>
      </w:r>
      <w:r w:rsidRPr="00166DC6">
        <w:rPr>
          <w:rFonts w:ascii="Cambria" w:hAnsi="Cambria"/>
          <w:sz w:val="20"/>
          <w:szCs w:val="20"/>
          <w:lang w:val="es-ES"/>
        </w:rPr>
        <w:t xml:space="preserve">. </w:t>
      </w:r>
    </w:p>
    <w:p w14:paraId="4FDFF013" w14:textId="77777777" w:rsidR="00472B5E" w:rsidRPr="00166DC6" w:rsidRDefault="00472B5E" w:rsidP="00031B4F">
      <w:pPr>
        <w:spacing w:line="276" w:lineRule="auto"/>
        <w:ind w:firstLine="720"/>
        <w:jc w:val="both"/>
        <w:rPr>
          <w:rFonts w:ascii="Cambria" w:hAnsi="Cambria"/>
          <w:sz w:val="20"/>
          <w:szCs w:val="20"/>
          <w:lang w:val="es-ES"/>
        </w:rPr>
      </w:pPr>
    </w:p>
    <w:p w14:paraId="2F678B2E"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A su vez, la Corte IDH consideró que, en virtud de los artículos 1.1 y 24 de la CADH, si la posición económica de una persona le impide acceder a la protección de la ley porque no puede pagar asistencia legal o cubrir costos judiciales, se configuraría una discriminación por motivo de su posición económica</w:t>
      </w:r>
      <w:r w:rsidRPr="00166DC6">
        <w:rPr>
          <w:rStyle w:val="FootnoteReference"/>
          <w:rFonts w:ascii="Cambria" w:hAnsi="Cambria"/>
          <w:sz w:val="20"/>
          <w:szCs w:val="20"/>
        </w:rPr>
        <w:footnoteReference w:id="12"/>
      </w:r>
      <w:r w:rsidRPr="00166DC6">
        <w:rPr>
          <w:rFonts w:ascii="Cambria" w:hAnsi="Cambria"/>
          <w:sz w:val="20"/>
          <w:szCs w:val="20"/>
          <w:lang w:val="es-ES"/>
        </w:rPr>
        <w:t>.</w:t>
      </w:r>
    </w:p>
    <w:p w14:paraId="4A108D3E" w14:textId="77777777" w:rsidR="00472B5E" w:rsidRPr="00166DC6" w:rsidRDefault="00472B5E" w:rsidP="00031B4F">
      <w:pPr>
        <w:spacing w:line="276" w:lineRule="auto"/>
        <w:ind w:firstLine="720"/>
        <w:jc w:val="both"/>
        <w:rPr>
          <w:rFonts w:ascii="Cambria" w:hAnsi="Cambria"/>
          <w:sz w:val="20"/>
          <w:szCs w:val="20"/>
          <w:lang w:val="es-ES"/>
        </w:rPr>
      </w:pPr>
    </w:p>
    <w:p w14:paraId="325339E1"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lastRenderedPageBreak/>
        <w:t>Además, de conformidad con el artículo 8 de la CADH, la Corte consideró que la asistencia legal sólo se exige cuando esta resulte necesaria y, en esos casos, si el Estado no provee gratuitamente asistencia legal a una persona en situación de indigencia, no podrá alegar que el recurso no fue agotado –lo que también resulta aplicable cuando los costos necesarios para el proceso no permiten su agotamiento–. Al respecto, quiero resaltar que, la Corte IDH consideró que, para efectuar dichas determinaciones “</w:t>
      </w:r>
      <w:r w:rsidRPr="00166DC6">
        <w:rPr>
          <w:rFonts w:ascii="Cambria" w:hAnsi="Cambria"/>
          <w:b/>
          <w:bCs/>
          <w:sz w:val="20"/>
          <w:szCs w:val="20"/>
          <w:lang w:val="es-ES"/>
        </w:rPr>
        <w:t>hay que tener presentes las circunstancias de cada caso y de cada sistema legal particular</w:t>
      </w:r>
      <w:r w:rsidRPr="00166DC6">
        <w:rPr>
          <w:rFonts w:ascii="Cambria" w:hAnsi="Cambria"/>
          <w:sz w:val="20"/>
          <w:szCs w:val="20"/>
          <w:lang w:val="es-ES"/>
        </w:rPr>
        <w:t>”</w:t>
      </w:r>
      <w:r w:rsidRPr="00166DC6">
        <w:rPr>
          <w:rStyle w:val="FootnoteReference"/>
          <w:rFonts w:ascii="Cambria" w:hAnsi="Cambria"/>
          <w:sz w:val="20"/>
          <w:szCs w:val="20"/>
        </w:rPr>
        <w:footnoteReference w:id="13"/>
      </w:r>
      <w:r w:rsidRPr="00166DC6">
        <w:rPr>
          <w:rFonts w:ascii="Cambria" w:hAnsi="Cambria"/>
          <w:sz w:val="20"/>
          <w:szCs w:val="20"/>
          <w:lang w:val="es-ES"/>
        </w:rPr>
        <w:t xml:space="preserve">. </w:t>
      </w:r>
    </w:p>
    <w:p w14:paraId="5F131A50" w14:textId="77777777" w:rsidR="00472B5E" w:rsidRPr="00166DC6" w:rsidRDefault="00472B5E" w:rsidP="00031B4F">
      <w:pPr>
        <w:spacing w:line="276" w:lineRule="auto"/>
        <w:ind w:firstLine="720"/>
        <w:jc w:val="both"/>
        <w:rPr>
          <w:rFonts w:ascii="Cambria" w:hAnsi="Cambria"/>
          <w:sz w:val="20"/>
          <w:szCs w:val="20"/>
          <w:lang w:val="es-ES"/>
        </w:rPr>
      </w:pPr>
    </w:p>
    <w:p w14:paraId="3DE0423B"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En ese sentido, la Corte IDH concluyó en dicha oportunidad que para que la persona en situación de indigencia esté exenta del requisito del previo agotamiento deben concurrir los siguientes presupuestos –además de la debida acreditación de tal situación–: (i) los servicios jurídicos  o el pago de gastos judiciales deben ser necesarios por razones legales o de hecho para el reconocimiento de derechos de la Convención,  (ii) la persona no puede obtenerlos por razón de su indigencia de conformidad con la ley y las circunstancias del caso, y (iii) el Estado no provee mecanismos distintos para poder acceder al reconocimiento.</w:t>
      </w:r>
    </w:p>
    <w:p w14:paraId="59B6F579" w14:textId="77777777" w:rsidR="00472B5E" w:rsidRPr="00166DC6" w:rsidRDefault="00472B5E" w:rsidP="00031B4F">
      <w:pPr>
        <w:spacing w:line="276" w:lineRule="auto"/>
        <w:ind w:firstLine="720"/>
        <w:jc w:val="both"/>
        <w:rPr>
          <w:rFonts w:ascii="Cambria" w:hAnsi="Cambria"/>
          <w:sz w:val="20"/>
          <w:szCs w:val="20"/>
          <w:lang w:val="es-ES"/>
        </w:rPr>
      </w:pPr>
    </w:p>
    <w:p w14:paraId="5F59B4F0" w14:textId="571FC13D"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Por último, estableció que el Estado debe probar la existencia de recursos efectivos, y una vez logre probar </w:t>
      </w:r>
      <w:r w:rsidR="00166DC6" w:rsidRPr="00166DC6">
        <w:rPr>
          <w:rFonts w:ascii="Cambria" w:hAnsi="Cambria"/>
          <w:sz w:val="20"/>
          <w:szCs w:val="20"/>
          <w:lang w:val="es-ES"/>
        </w:rPr>
        <w:t>ello, “</w:t>
      </w:r>
      <w:r w:rsidRPr="00166DC6">
        <w:rPr>
          <w:rFonts w:ascii="Cambria" w:hAnsi="Cambria"/>
          <w:sz w:val="20"/>
          <w:szCs w:val="20"/>
          <w:lang w:val="es-ES"/>
        </w:rPr>
        <w:t xml:space="preserve">la carga de la prueba se traslada al reclamante que deberá, entonces, </w:t>
      </w:r>
      <w:r w:rsidRPr="00166DC6">
        <w:rPr>
          <w:rFonts w:ascii="Cambria" w:hAnsi="Cambria"/>
          <w:b/>
          <w:bCs/>
          <w:sz w:val="20"/>
          <w:szCs w:val="20"/>
          <w:lang w:val="es-ES"/>
        </w:rPr>
        <w:t>demostrar que las excepciones contempladas en el artículo 46.2 son aplicables</w:t>
      </w:r>
      <w:r w:rsidRPr="00166DC6">
        <w:rPr>
          <w:rFonts w:ascii="Cambria" w:hAnsi="Cambria"/>
          <w:sz w:val="20"/>
          <w:szCs w:val="20"/>
          <w:lang w:val="es-ES"/>
        </w:rPr>
        <w:t>” (negrillas fuera del texto original)</w:t>
      </w:r>
      <w:r w:rsidRPr="00166DC6">
        <w:rPr>
          <w:rStyle w:val="FootnoteReference"/>
          <w:rFonts w:ascii="Cambria" w:hAnsi="Cambria"/>
          <w:sz w:val="20"/>
          <w:szCs w:val="20"/>
        </w:rPr>
        <w:footnoteReference w:id="14"/>
      </w:r>
      <w:r w:rsidRPr="00166DC6">
        <w:rPr>
          <w:rFonts w:ascii="Cambria" w:hAnsi="Cambria"/>
          <w:sz w:val="20"/>
          <w:szCs w:val="20"/>
          <w:lang w:val="es-ES"/>
        </w:rPr>
        <w:t xml:space="preserve">, por ejemplo, en casos de indigencia. </w:t>
      </w:r>
    </w:p>
    <w:p w14:paraId="31CEDD93" w14:textId="77777777" w:rsidR="00472B5E" w:rsidRPr="00166DC6" w:rsidRDefault="00472B5E" w:rsidP="00031B4F">
      <w:pPr>
        <w:spacing w:line="276" w:lineRule="auto"/>
        <w:ind w:firstLine="720"/>
        <w:jc w:val="both"/>
        <w:rPr>
          <w:rFonts w:ascii="Cambria" w:hAnsi="Cambria"/>
          <w:sz w:val="20"/>
          <w:szCs w:val="20"/>
          <w:lang w:val="es-ES"/>
        </w:rPr>
      </w:pPr>
    </w:p>
    <w:p w14:paraId="0F7F3D6C" w14:textId="0F2F34E8"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Dichas consideraciones han sido reiteradas por la CIDH. Por ejemplo, en el caso Peter Blaine en relación con Jamaica, consideró que, en virtud del artículo 46.2.b y </w:t>
      </w:r>
      <w:r w:rsidR="00166DC6" w:rsidRPr="00166DC6">
        <w:rPr>
          <w:rFonts w:ascii="Cambria" w:hAnsi="Cambria"/>
          <w:sz w:val="20"/>
          <w:szCs w:val="20"/>
          <w:lang w:val="es-ES"/>
        </w:rPr>
        <w:t>lo señalado</w:t>
      </w:r>
      <w:r w:rsidRPr="00166DC6">
        <w:rPr>
          <w:rFonts w:ascii="Cambria" w:hAnsi="Cambria"/>
          <w:sz w:val="20"/>
          <w:szCs w:val="20"/>
          <w:lang w:val="es-ES"/>
        </w:rPr>
        <w:t xml:space="preserve"> por la Corte IDH en la OC 11-90, si alguien por su razón de indigencia no puede acceder a servicios jurídicos necesarios, estaría exento de agotarlos –circunstancia que demanda una revisión caso a caso–</w:t>
      </w:r>
      <w:r w:rsidRPr="00166DC6">
        <w:rPr>
          <w:rStyle w:val="FootnoteReference"/>
          <w:rFonts w:ascii="Cambria" w:hAnsi="Cambria"/>
          <w:sz w:val="20"/>
          <w:szCs w:val="20"/>
        </w:rPr>
        <w:footnoteReference w:id="15"/>
      </w:r>
      <w:r w:rsidRPr="00166DC6">
        <w:rPr>
          <w:rFonts w:ascii="Cambria" w:hAnsi="Cambria"/>
          <w:sz w:val="20"/>
          <w:szCs w:val="20"/>
          <w:lang w:val="es-ES"/>
        </w:rPr>
        <w:t>.</w:t>
      </w:r>
    </w:p>
    <w:p w14:paraId="312A580F" w14:textId="77777777" w:rsidR="00472B5E" w:rsidRPr="00166DC6" w:rsidRDefault="00472B5E" w:rsidP="00031B4F">
      <w:pPr>
        <w:spacing w:line="276" w:lineRule="auto"/>
        <w:ind w:firstLine="720"/>
        <w:jc w:val="both"/>
        <w:rPr>
          <w:rFonts w:ascii="Cambria" w:hAnsi="Cambria"/>
          <w:sz w:val="20"/>
          <w:szCs w:val="20"/>
          <w:lang w:val="es-ES"/>
        </w:rPr>
      </w:pPr>
    </w:p>
    <w:p w14:paraId="1F6410BC" w14:textId="19C224ED"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Asimismo, en el caso Vinicio Poblete Wilches en relación con el Estado de Chile, la </w:t>
      </w:r>
      <w:r w:rsidR="00166DC6" w:rsidRPr="00166DC6">
        <w:rPr>
          <w:rFonts w:ascii="Cambria" w:hAnsi="Cambria"/>
          <w:sz w:val="20"/>
          <w:szCs w:val="20"/>
          <w:lang w:val="es-ES"/>
        </w:rPr>
        <w:t>CIDH reiteró</w:t>
      </w:r>
      <w:r w:rsidRPr="00166DC6">
        <w:rPr>
          <w:rFonts w:ascii="Cambria" w:hAnsi="Cambria"/>
          <w:sz w:val="20"/>
          <w:szCs w:val="20"/>
          <w:lang w:val="es-ES"/>
        </w:rPr>
        <w:t xml:space="preserve"> que “el hecho de que una persona sea indigente</w:t>
      </w:r>
      <w:r w:rsidRPr="00166DC6">
        <w:rPr>
          <w:rFonts w:ascii="Cambria" w:hAnsi="Cambria"/>
          <w:b/>
          <w:bCs/>
          <w:sz w:val="20"/>
          <w:szCs w:val="20"/>
          <w:lang w:val="es-ES"/>
        </w:rPr>
        <w:t>, por sí solo,</w:t>
      </w:r>
      <w:r w:rsidRPr="00166DC6">
        <w:rPr>
          <w:rFonts w:ascii="Cambria" w:hAnsi="Cambria"/>
          <w:sz w:val="20"/>
          <w:szCs w:val="20"/>
          <w:lang w:val="es-ES"/>
        </w:rPr>
        <w:t xml:space="preserve"> no significa que no tenga que agotar los recursos internos, sino que el indigente tendrá o no que agotar los recursos internos, según si la ley o las circunstancias se lo permiten”</w:t>
      </w:r>
      <w:r w:rsidRPr="00166DC6">
        <w:rPr>
          <w:rStyle w:val="FootnoteReference"/>
          <w:rFonts w:ascii="Cambria" w:hAnsi="Cambria"/>
          <w:sz w:val="20"/>
          <w:szCs w:val="20"/>
        </w:rPr>
        <w:footnoteReference w:id="16"/>
      </w:r>
      <w:r w:rsidRPr="00166DC6">
        <w:rPr>
          <w:rFonts w:ascii="Cambria" w:hAnsi="Cambria"/>
          <w:sz w:val="20"/>
          <w:szCs w:val="20"/>
          <w:lang w:val="es-ES"/>
        </w:rPr>
        <w:t xml:space="preserve"> (Negrillas fuera del texto original). </w:t>
      </w:r>
    </w:p>
    <w:p w14:paraId="0022A87E" w14:textId="77777777" w:rsidR="00472B5E" w:rsidRPr="00166DC6" w:rsidRDefault="00472B5E" w:rsidP="00031B4F">
      <w:pPr>
        <w:spacing w:line="276" w:lineRule="auto"/>
        <w:ind w:firstLine="720"/>
        <w:jc w:val="both"/>
        <w:rPr>
          <w:rFonts w:ascii="Cambria" w:hAnsi="Cambria"/>
          <w:sz w:val="20"/>
          <w:szCs w:val="20"/>
          <w:lang w:val="es-ES"/>
        </w:rPr>
      </w:pPr>
    </w:p>
    <w:p w14:paraId="5CE2AE1F" w14:textId="77777777" w:rsidR="00C64B5B" w:rsidRPr="00166DC6" w:rsidRDefault="00C64B5B" w:rsidP="00031B4F">
      <w:pPr>
        <w:spacing w:line="276" w:lineRule="auto"/>
        <w:ind w:firstLine="720"/>
        <w:jc w:val="both"/>
        <w:rPr>
          <w:rFonts w:ascii="Cambria" w:hAnsi="Cambria"/>
          <w:sz w:val="20"/>
          <w:szCs w:val="20"/>
          <w:lang w:val="es-ES"/>
        </w:rPr>
      </w:pPr>
      <w:r w:rsidRPr="00166DC6">
        <w:rPr>
          <w:rFonts w:ascii="Cambria" w:hAnsi="Cambria"/>
          <w:sz w:val="20"/>
          <w:szCs w:val="20"/>
          <w:lang w:val="es-ES"/>
        </w:rPr>
        <w:t xml:space="preserve">Estos pronunciamientos, en consecuencia, permiten señalar que, para la configuración del artículo 46.2.b de la CADH, en un caso de una persona en situación de indigencia, se requerirá la acreditación (i) del carácter adecuado y efectivo del recurso que se considera que no fue agotado –por parte del Estado–; (ii) de la situación de indigencia de las presuntas víctimas; (iii) de la existencia de un gasto necesario para el acceso a la justicia que no es susceptible de sus cancelado por la víctima y (iv) la ausencia de otros mecanismos previstos por el Estado a fin de brindar apoyo económico a quienes no tienen la posibilidad sufragar los gastos referidos. </w:t>
      </w:r>
    </w:p>
    <w:p w14:paraId="7F3ED371" w14:textId="77777777" w:rsidR="00C64B5B" w:rsidRPr="00166DC6" w:rsidRDefault="00C64B5B" w:rsidP="00297911">
      <w:pPr>
        <w:spacing w:line="276" w:lineRule="auto"/>
        <w:jc w:val="both"/>
        <w:rPr>
          <w:rFonts w:ascii="Cambria" w:hAnsi="Cambria"/>
          <w:sz w:val="20"/>
          <w:szCs w:val="20"/>
          <w:lang w:val="es-ES"/>
        </w:rPr>
      </w:pPr>
    </w:p>
    <w:p w14:paraId="2842A3BE" w14:textId="77777777" w:rsidR="00C64B5B" w:rsidRPr="00166DC6" w:rsidRDefault="00C64B5B" w:rsidP="0029791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jc w:val="both"/>
        <w:rPr>
          <w:b/>
          <w:bCs/>
          <w:color w:val="auto"/>
          <w:sz w:val="20"/>
          <w:szCs w:val="20"/>
          <w:lang w:val="es-ES_tradnl"/>
        </w:rPr>
      </w:pPr>
      <w:r w:rsidRPr="00166DC6">
        <w:rPr>
          <w:b/>
          <w:bCs/>
          <w:color w:val="auto"/>
          <w:sz w:val="20"/>
          <w:szCs w:val="20"/>
          <w:lang w:val="es-ES_tradnl"/>
        </w:rPr>
        <w:t>Del caso en concreto</w:t>
      </w:r>
    </w:p>
    <w:p w14:paraId="1F907615" w14:textId="77777777" w:rsidR="00C64B5B" w:rsidRPr="00166DC6" w:rsidRDefault="00C64B5B" w:rsidP="00297911">
      <w:pPr>
        <w:pStyle w:val="ListParagraph"/>
        <w:spacing w:line="276" w:lineRule="auto"/>
        <w:ind w:left="1080"/>
        <w:jc w:val="both"/>
        <w:rPr>
          <w:b/>
          <w:bCs/>
          <w:color w:val="auto"/>
          <w:sz w:val="20"/>
          <w:szCs w:val="20"/>
          <w:lang w:val="es-ES_tradnl"/>
        </w:rPr>
      </w:pPr>
    </w:p>
    <w:p w14:paraId="040ED71A" w14:textId="77777777" w:rsidR="00C64B5B" w:rsidRPr="00166DC6" w:rsidRDefault="00C64B5B" w:rsidP="00031B4F">
      <w:pPr>
        <w:spacing w:line="276" w:lineRule="auto"/>
        <w:ind w:firstLine="708"/>
        <w:jc w:val="both"/>
        <w:rPr>
          <w:rFonts w:ascii="Cambria" w:hAnsi="Cambria"/>
          <w:b/>
          <w:bCs/>
          <w:sz w:val="20"/>
          <w:szCs w:val="20"/>
          <w:lang w:val="es-ES_tradnl"/>
        </w:rPr>
      </w:pPr>
      <w:r w:rsidRPr="00166DC6">
        <w:rPr>
          <w:rFonts w:ascii="Cambria" w:hAnsi="Cambria"/>
          <w:sz w:val="20"/>
          <w:szCs w:val="20"/>
          <w:lang w:val="es-ES_tradnl"/>
        </w:rPr>
        <w:t>En el párrafo 23 del Informe de Admisibilidad, la posición mayoritaria de la CIDH consideró que:</w:t>
      </w:r>
    </w:p>
    <w:p w14:paraId="485EC142" w14:textId="47030CD6" w:rsidR="00C64B5B" w:rsidRPr="00166DC6" w:rsidRDefault="00C64B5B" w:rsidP="00297911">
      <w:pPr>
        <w:spacing w:line="276" w:lineRule="auto"/>
        <w:ind w:left="708"/>
        <w:jc w:val="both"/>
        <w:rPr>
          <w:rFonts w:ascii="Cambria" w:hAnsi="Cambria"/>
          <w:sz w:val="20"/>
          <w:szCs w:val="20"/>
          <w:lang w:val="es-ES_tradnl"/>
        </w:rPr>
      </w:pPr>
      <w:r w:rsidRPr="00166DC6">
        <w:rPr>
          <w:rFonts w:ascii="Cambria" w:hAnsi="Cambria"/>
          <w:sz w:val="20"/>
          <w:szCs w:val="20"/>
          <w:lang w:val="es-ES_tradnl"/>
        </w:rPr>
        <w:t>“23.</w:t>
      </w:r>
      <w:r w:rsidRPr="00166DC6">
        <w:rPr>
          <w:rFonts w:ascii="Cambria" w:hAnsi="Cambria"/>
          <w:sz w:val="20"/>
          <w:szCs w:val="20"/>
          <w:lang w:val="es-ES_tradnl"/>
        </w:rPr>
        <w:tab/>
        <w:t xml:space="preserve">A este respecto, la CIDH ya ha decidido un caso idéntico al presente por medio de su Informe No. 38/21 en el que concluyó que los gastos de litigio exigidos a quienes reclaman reparaciones en el marco del Plan Integral de Reparaciones en Perú constituyen una barrera al acceso a la justicia de las </w:t>
      </w:r>
      <w:r w:rsidRPr="00166DC6">
        <w:rPr>
          <w:rFonts w:ascii="Cambria" w:hAnsi="Cambria"/>
          <w:sz w:val="20"/>
          <w:szCs w:val="20"/>
          <w:lang w:val="es-ES_tradnl"/>
        </w:rPr>
        <w:lastRenderedPageBreak/>
        <w:t>presuntas víctimas, que justifica la aplicación de la excepción prevista en el artículo 46.1.b) de la Convención Americana ; declarando la admisibilidad de la petición respecto de todas las presuntas víctimas. De igual forma, la Comisión ha considerado en otras decisiones de admisibilidad que, dependiendo de las particularidades de un caso, los gastos de litigio podrían llegan a constituir un impedimento al acceso a la justicia que justifique la aplicación de una excepción al agotamiento de los recursos internos.</w:t>
      </w:r>
      <w:r w:rsidR="00A857B5" w:rsidRPr="00166DC6">
        <w:rPr>
          <w:rFonts w:ascii="Cambria" w:hAnsi="Cambria"/>
          <w:sz w:val="20"/>
          <w:szCs w:val="20"/>
          <w:lang w:val="es-ES_tradnl"/>
        </w:rPr>
        <w:t>”</w:t>
      </w:r>
    </w:p>
    <w:p w14:paraId="418FF06D" w14:textId="77777777" w:rsidR="00297911" w:rsidRPr="00166DC6" w:rsidRDefault="00297911" w:rsidP="00297911">
      <w:pPr>
        <w:spacing w:line="276" w:lineRule="auto"/>
        <w:ind w:left="708"/>
        <w:jc w:val="both"/>
        <w:rPr>
          <w:rFonts w:ascii="Cambria" w:hAnsi="Cambria"/>
          <w:sz w:val="20"/>
          <w:szCs w:val="20"/>
          <w:lang w:val="es-ES_tradnl"/>
        </w:rPr>
      </w:pPr>
    </w:p>
    <w:p w14:paraId="7628DF62" w14:textId="5DC607D8" w:rsidR="00C64B5B" w:rsidRPr="00166DC6" w:rsidRDefault="00C64B5B" w:rsidP="00472B5E">
      <w:pPr>
        <w:spacing w:line="276" w:lineRule="auto"/>
        <w:ind w:firstLine="708"/>
        <w:jc w:val="both"/>
        <w:rPr>
          <w:rFonts w:ascii="Cambria" w:hAnsi="Cambria"/>
          <w:sz w:val="20"/>
          <w:szCs w:val="20"/>
          <w:lang w:val="es-ES"/>
        </w:rPr>
      </w:pPr>
      <w:r w:rsidRPr="00166DC6">
        <w:rPr>
          <w:rFonts w:ascii="Cambria" w:hAnsi="Cambria"/>
          <w:sz w:val="20"/>
          <w:szCs w:val="20"/>
          <w:lang w:val="es-ES_tradnl"/>
        </w:rPr>
        <w:t xml:space="preserve">En el Informe de Admisibilidad No 38/21 al que hace referencia la posición mayoritaria, la CIDH consideró procedente aplicar la excepción prevista en el artículo 46.2b de la Convención frente a </w:t>
      </w:r>
      <w:r w:rsidR="00297911" w:rsidRPr="00166DC6">
        <w:rPr>
          <w:rFonts w:ascii="Cambria" w:hAnsi="Cambria"/>
          <w:sz w:val="20"/>
          <w:szCs w:val="20"/>
          <w:lang w:val="es-ES_tradnl"/>
        </w:rPr>
        <w:t>víctimas</w:t>
      </w:r>
      <w:r w:rsidRPr="00166DC6">
        <w:rPr>
          <w:rFonts w:ascii="Cambria" w:hAnsi="Cambria"/>
          <w:sz w:val="20"/>
          <w:szCs w:val="20"/>
          <w:lang w:val="es-ES_tradnl"/>
        </w:rPr>
        <w:t xml:space="preserve"> que no activaron la jurisdicción interna, debido a la situación de indigencia en la que se encontraban, cuestión que no les permitía cubrir </w:t>
      </w:r>
      <w:r w:rsidRPr="00166DC6">
        <w:rPr>
          <w:rFonts w:ascii="Cambria" w:hAnsi="Cambria"/>
          <w:sz w:val="20"/>
          <w:szCs w:val="20"/>
          <w:lang w:val="es-ES"/>
        </w:rPr>
        <w:t>los costos de la justicia.</w:t>
      </w:r>
    </w:p>
    <w:p w14:paraId="7D1FFC75" w14:textId="77777777" w:rsidR="00297911" w:rsidRPr="00166DC6" w:rsidRDefault="00297911" w:rsidP="00297911">
      <w:pPr>
        <w:spacing w:line="276" w:lineRule="auto"/>
        <w:jc w:val="both"/>
        <w:rPr>
          <w:rFonts w:ascii="Cambria" w:hAnsi="Cambria"/>
          <w:sz w:val="20"/>
          <w:szCs w:val="20"/>
          <w:lang w:val="es-ES"/>
        </w:rPr>
      </w:pPr>
    </w:p>
    <w:p w14:paraId="190EADB6" w14:textId="5296C568" w:rsidR="00C64B5B" w:rsidRPr="00166DC6" w:rsidRDefault="00C64B5B" w:rsidP="00297911">
      <w:pPr>
        <w:spacing w:line="276" w:lineRule="auto"/>
        <w:ind w:firstLine="720"/>
        <w:jc w:val="both"/>
        <w:rPr>
          <w:rFonts w:ascii="Cambria" w:hAnsi="Cambria"/>
          <w:sz w:val="20"/>
          <w:szCs w:val="20"/>
          <w:lang w:val="es-ES"/>
        </w:rPr>
      </w:pPr>
      <w:r w:rsidRPr="00166DC6">
        <w:rPr>
          <w:rFonts w:ascii="Cambria" w:hAnsi="Cambria"/>
          <w:sz w:val="20"/>
          <w:szCs w:val="20"/>
          <w:lang w:val="es-ES"/>
        </w:rPr>
        <w:t>En ese sentido, en el Informe de Admisibilidad del caso concreto, la posición mayoritaria fundamentó la admisibilidad del caso respecto de las ochenta y nueve personas que no presentaron ningún recurso, en su situación de indigencia, de acuerdo con lo alegado por los representantes de las presuntas víctimas.</w:t>
      </w:r>
    </w:p>
    <w:p w14:paraId="1E0F78B7" w14:textId="77777777" w:rsidR="00297911" w:rsidRPr="00166DC6" w:rsidRDefault="00297911" w:rsidP="00297911">
      <w:pPr>
        <w:spacing w:line="276" w:lineRule="auto"/>
        <w:jc w:val="both"/>
        <w:rPr>
          <w:rFonts w:ascii="Cambria" w:hAnsi="Cambria"/>
          <w:sz w:val="20"/>
          <w:szCs w:val="20"/>
          <w:lang w:val="es-ES"/>
        </w:rPr>
      </w:pPr>
    </w:p>
    <w:p w14:paraId="632AE360" w14:textId="77777777" w:rsidR="00C64B5B" w:rsidRPr="00166DC6" w:rsidRDefault="00C64B5B" w:rsidP="00297911">
      <w:pPr>
        <w:spacing w:line="276" w:lineRule="auto"/>
        <w:ind w:firstLine="720"/>
        <w:jc w:val="both"/>
        <w:rPr>
          <w:rFonts w:ascii="Cambria" w:hAnsi="Cambria"/>
          <w:sz w:val="20"/>
          <w:szCs w:val="20"/>
          <w:lang w:val="es-ES"/>
        </w:rPr>
      </w:pPr>
      <w:r w:rsidRPr="00166DC6">
        <w:rPr>
          <w:rFonts w:ascii="Cambria" w:hAnsi="Cambria"/>
          <w:sz w:val="20"/>
          <w:szCs w:val="20"/>
          <w:lang w:val="es-ES"/>
        </w:rPr>
        <w:t>Al respecto, reitero que, de conformidad con la Corte IDH, para que la excepción del agotamiento aplique en casos de indigencia se deben cumplir los siguientes presupuestos, los cuales deben ser analizados según las circunstancias del caso concreto: (i) los servicios jurídicos  o el pago de gastos judiciales deben ser necesarios para el reconocimiento de derechos de la Convención,  (ii) la persona no puede obtenerlos por razón de su indigencia –acreditada–, y (iii) el Estado no provee mecanismos distintos para poder acceder al reconocimiento</w:t>
      </w:r>
      <w:r w:rsidRPr="00166DC6">
        <w:rPr>
          <w:rStyle w:val="FootnoteReference"/>
          <w:rFonts w:ascii="Cambria" w:hAnsi="Cambria"/>
          <w:sz w:val="20"/>
          <w:szCs w:val="20"/>
        </w:rPr>
        <w:footnoteReference w:id="17"/>
      </w:r>
      <w:r w:rsidRPr="00166DC6">
        <w:rPr>
          <w:rFonts w:ascii="Cambria" w:hAnsi="Cambria"/>
          <w:sz w:val="20"/>
          <w:szCs w:val="20"/>
          <w:lang w:val="es-ES"/>
        </w:rPr>
        <w:t>.</w:t>
      </w:r>
    </w:p>
    <w:p w14:paraId="0161C4C0" w14:textId="77777777" w:rsidR="00297911" w:rsidRPr="00166DC6" w:rsidRDefault="00297911" w:rsidP="00297911">
      <w:pPr>
        <w:spacing w:line="276" w:lineRule="auto"/>
        <w:jc w:val="both"/>
        <w:rPr>
          <w:rFonts w:ascii="Cambria" w:hAnsi="Cambria"/>
          <w:sz w:val="20"/>
          <w:szCs w:val="20"/>
          <w:lang w:val="es-ES"/>
        </w:rPr>
      </w:pPr>
    </w:p>
    <w:p w14:paraId="7F61C5EB" w14:textId="77777777" w:rsidR="00C64B5B" w:rsidRPr="00166DC6" w:rsidRDefault="00C64B5B" w:rsidP="00472B5E">
      <w:pPr>
        <w:spacing w:line="276" w:lineRule="auto"/>
        <w:ind w:firstLine="708"/>
        <w:jc w:val="both"/>
        <w:rPr>
          <w:rFonts w:ascii="Cambria" w:hAnsi="Cambria"/>
          <w:sz w:val="20"/>
          <w:szCs w:val="20"/>
          <w:lang w:val="es-ES"/>
        </w:rPr>
      </w:pPr>
      <w:r w:rsidRPr="00166DC6">
        <w:rPr>
          <w:rFonts w:ascii="Cambria" w:hAnsi="Cambria"/>
          <w:sz w:val="20"/>
          <w:szCs w:val="20"/>
          <w:lang w:val="es-ES"/>
        </w:rPr>
        <w:t>En el caso del Informe de Admisibilidad respecto del cual presento este voto razonado, la posición mayoritaria de la CIDH omitió la aplicación de estos criterios, y decidió invocar la excepción  de una manera genérica, sin entrar a verificar caso por caso estos presupuestos y, en ese sentido, sin comprobar: (i) la situación de indigencia de las presuntas víctimas -que tampoco se encuentra probada en el expediente</w:t>
      </w:r>
      <w:r w:rsidRPr="00166DC6">
        <w:rPr>
          <w:rStyle w:val="FootnoteReference"/>
          <w:rFonts w:ascii="Cambria" w:hAnsi="Cambria"/>
          <w:sz w:val="20"/>
          <w:szCs w:val="20"/>
        </w:rPr>
        <w:footnoteReference w:id="18"/>
      </w:r>
      <w:r w:rsidRPr="00166DC6">
        <w:rPr>
          <w:rFonts w:ascii="Cambria" w:hAnsi="Cambria"/>
          <w:sz w:val="20"/>
          <w:szCs w:val="20"/>
          <w:lang w:val="es-ES"/>
        </w:rPr>
        <w:t xml:space="preserve">-; (ii) la imposibilidad real de agotar los recursos en cada caso concreto, y (iii) la ausencia de mecanismos contemplados por el Estado que permitan eliminar o mitigar la brecha de acceso.   </w:t>
      </w:r>
    </w:p>
    <w:p w14:paraId="3811DB89" w14:textId="77777777" w:rsidR="00297911" w:rsidRPr="00166DC6" w:rsidRDefault="00297911" w:rsidP="00297911">
      <w:pPr>
        <w:spacing w:line="276" w:lineRule="auto"/>
        <w:jc w:val="both"/>
        <w:rPr>
          <w:rFonts w:ascii="Cambria" w:hAnsi="Cambria"/>
          <w:sz w:val="20"/>
          <w:szCs w:val="20"/>
          <w:lang w:val="es-ES"/>
        </w:rPr>
      </w:pPr>
    </w:p>
    <w:p w14:paraId="64F2C5B9" w14:textId="77777777" w:rsidR="00C64B5B" w:rsidRPr="00166DC6" w:rsidRDefault="00C64B5B" w:rsidP="00297911">
      <w:pPr>
        <w:spacing w:line="276" w:lineRule="auto"/>
        <w:ind w:firstLine="708"/>
        <w:jc w:val="both"/>
        <w:rPr>
          <w:rFonts w:ascii="Cambria" w:hAnsi="Cambria"/>
          <w:sz w:val="20"/>
          <w:szCs w:val="20"/>
          <w:lang w:val="es-ES"/>
        </w:rPr>
      </w:pPr>
      <w:r w:rsidRPr="00166DC6">
        <w:rPr>
          <w:rFonts w:ascii="Cambria" w:hAnsi="Cambria"/>
          <w:sz w:val="20"/>
          <w:szCs w:val="20"/>
          <w:lang w:val="es-ES"/>
        </w:rPr>
        <w:t>En virtud de lo anterior de forma respetuosa, considero que esta decisión resulta contraria, no sólo a lo que ha sido establecido por la Corte IDH para la aplicación de la excepción en casos de indigencia</w:t>
      </w:r>
      <w:r w:rsidRPr="00166DC6">
        <w:rPr>
          <w:rStyle w:val="FootnoteReference"/>
          <w:rFonts w:ascii="Cambria" w:hAnsi="Cambria"/>
          <w:sz w:val="20"/>
          <w:szCs w:val="20"/>
        </w:rPr>
        <w:footnoteReference w:id="19"/>
      </w:r>
      <w:r w:rsidRPr="00166DC6">
        <w:rPr>
          <w:rFonts w:ascii="Cambria" w:hAnsi="Cambria"/>
          <w:sz w:val="20"/>
          <w:szCs w:val="20"/>
          <w:lang w:val="es-ES"/>
        </w:rPr>
        <w:t>, sino también al espíritu mismo de la excepción contemplada en el artículo 46.2.b y, en consecuencia, al principio de subsidiariedad, del cual se derivan las reglas de agotamiento de recursos internos</w:t>
      </w:r>
      <w:r w:rsidRPr="00166DC6">
        <w:rPr>
          <w:rStyle w:val="FootnoteReference"/>
          <w:rFonts w:ascii="Cambria" w:hAnsi="Cambria"/>
          <w:sz w:val="20"/>
          <w:szCs w:val="20"/>
        </w:rPr>
        <w:footnoteReference w:id="20"/>
      </w:r>
      <w:r w:rsidRPr="00166DC6">
        <w:rPr>
          <w:rFonts w:ascii="Cambria" w:hAnsi="Cambria"/>
          <w:sz w:val="20"/>
          <w:szCs w:val="20"/>
          <w:lang w:val="es-ES"/>
        </w:rPr>
        <w:t>.</w:t>
      </w:r>
    </w:p>
    <w:p w14:paraId="5C93FA15" w14:textId="77777777" w:rsidR="00C64B5B" w:rsidRPr="00166DC6" w:rsidRDefault="00C64B5B" w:rsidP="00297911">
      <w:pPr>
        <w:spacing w:after="120"/>
        <w:jc w:val="both"/>
        <w:rPr>
          <w:rFonts w:ascii="Cambria" w:hAnsi="Cambria" w:cs="Calibri"/>
          <w:sz w:val="20"/>
          <w:szCs w:val="20"/>
          <w:lang w:val="es-ES"/>
        </w:rPr>
      </w:pPr>
    </w:p>
    <w:sectPr w:rsidR="00C64B5B" w:rsidRPr="00166DC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1D02" w14:textId="77777777" w:rsidR="003302EB" w:rsidRDefault="003302EB">
      <w:r>
        <w:separator/>
      </w:r>
    </w:p>
  </w:endnote>
  <w:endnote w:type="continuationSeparator" w:id="0">
    <w:p w14:paraId="3F66BF17" w14:textId="77777777" w:rsidR="003302EB" w:rsidRDefault="0033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BC89" w14:textId="77777777" w:rsidR="003302EB" w:rsidRPr="000F35ED" w:rsidRDefault="003302E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7DAF2B" w14:textId="77777777" w:rsidR="003302EB" w:rsidRPr="000F35ED" w:rsidRDefault="003302EB" w:rsidP="000F35ED">
      <w:pPr>
        <w:rPr>
          <w:rFonts w:asciiTheme="majorHAnsi" w:hAnsiTheme="majorHAnsi"/>
          <w:sz w:val="16"/>
          <w:szCs w:val="16"/>
        </w:rPr>
      </w:pPr>
      <w:r w:rsidRPr="000F35ED">
        <w:rPr>
          <w:rFonts w:asciiTheme="majorHAnsi" w:hAnsiTheme="majorHAnsi"/>
          <w:sz w:val="16"/>
          <w:szCs w:val="16"/>
        </w:rPr>
        <w:separator/>
      </w:r>
    </w:p>
    <w:p w14:paraId="27B5CD9A" w14:textId="77777777" w:rsidR="003302EB" w:rsidRPr="000F35ED" w:rsidRDefault="003302E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5044420" w14:textId="77777777" w:rsidR="003302EB" w:rsidRPr="000F35ED" w:rsidRDefault="003302E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6C7F47" w14:textId="248E7D14" w:rsidR="00456943" w:rsidRPr="00E853F4" w:rsidRDefault="00456943" w:rsidP="00DD08AC">
      <w:pPr>
        <w:pStyle w:val="FootnoteText"/>
        <w:ind w:firstLine="720"/>
        <w:jc w:val="both"/>
        <w:rPr>
          <w:rFonts w:asciiTheme="majorHAnsi" w:hAnsiTheme="majorHAnsi"/>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w:t>
      </w:r>
      <w:r w:rsidR="00014190" w:rsidRPr="00E853F4">
        <w:rPr>
          <w:rFonts w:asciiTheme="majorHAnsi" w:hAnsiTheme="majorHAnsi"/>
          <w:sz w:val="16"/>
          <w:szCs w:val="16"/>
          <w:lang w:val="es-ES"/>
        </w:rPr>
        <w:t xml:space="preserve">Las personas identificadas por la parte peticionaria están detalladas en los anexos 1 y 2. </w:t>
      </w:r>
    </w:p>
  </w:footnote>
  <w:footnote w:id="3">
    <w:p w14:paraId="597AB875" w14:textId="77777777" w:rsidR="00B41FB9" w:rsidRPr="00E853F4" w:rsidRDefault="00B41FB9" w:rsidP="00DD08AC">
      <w:pPr>
        <w:pStyle w:val="FootnoteText"/>
        <w:ind w:firstLine="720"/>
        <w:jc w:val="both"/>
        <w:rPr>
          <w:rFonts w:asciiTheme="majorHAnsi" w:hAnsiTheme="majorHAnsi"/>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4">
    <w:p w14:paraId="6971E8D8" w14:textId="77777777" w:rsidR="00B41FB9" w:rsidRPr="00E853F4" w:rsidRDefault="00B41FB9" w:rsidP="00DD08AC">
      <w:pPr>
        <w:pStyle w:val="FootnoteText"/>
        <w:ind w:firstLine="720"/>
        <w:jc w:val="both"/>
        <w:rPr>
          <w:rFonts w:asciiTheme="majorHAnsi" w:hAnsiTheme="majorHAnsi"/>
          <w:color w:val="000000" w:themeColor="text1"/>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En adelante “la Convención Americana” o “la Convención”</w:t>
      </w:r>
    </w:p>
  </w:footnote>
  <w:footnote w:id="5">
    <w:p w14:paraId="1AFEF3B0" w14:textId="7C2A3BAC" w:rsidR="008E3BFE" w:rsidRPr="00E853F4" w:rsidRDefault="008E3BFE" w:rsidP="00DD08AC">
      <w:pPr>
        <w:pStyle w:val="FootnoteText"/>
        <w:ind w:firstLine="720"/>
        <w:jc w:val="both"/>
        <w:rPr>
          <w:rFonts w:asciiTheme="majorHAnsi" w:hAnsiTheme="majorHAnsi"/>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Las observaciones de cada parte fueron debidamente trasladadas a la parte contraria.</w:t>
      </w:r>
      <w:r w:rsidR="009A56CE" w:rsidRPr="00E853F4">
        <w:rPr>
          <w:rFonts w:asciiTheme="majorHAnsi" w:hAnsiTheme="majorHAnsi"/>
          <w:sz w:val="16"/>
          <w:szCs w:val="16"/>
          <w:lang w:val="es-ES"/>
        </w:rPr>
        <w:t xml:space="preserve"> </w:t>
      </w:r>
    </w:p>
  </w:footnote>
  <w:footnote w:id="6">
    <w:p w14:paraId="303B9AA0" w14:textId="77777777" w:rsidR="007A23AB" w:rsidRPr="00E853F4" w:rsidRDefault="007A23AB" w:rsidP="007A23AB">
      <w:pPr>
        <w:pStyle w:val="FootnoteText"/>
        <w:ind w:firstLine="720"/>
        <w:jc w:val="both"/>
        <w:rPr>
          <w:rFonts w:asciiTheme="majorHAnsi" w:hAnsiTheme="majorHAnsi"/>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CIDH, Informe No. 38/21, Petición 1534-08. Admisibilidad. Segundo Leovigildo Yoplac Requejo y otros. Perú. 2 de marzo de 2021, párr. 14. </w:t>
      </w:r>
    </w:p>
  </w:footnote>
  <w:footnote w:id="7">
    <w:p w14:paraId="133D456F" w14:textId="2B68245C" w:rsidR="000A2EE1" w:rsidRPr="00E853F4" w:rsidRDefault="000A2EE1" w:rsidP="000A2EE1">
      <w:pPr>
        <w:pStyle w:val="FootnoteText"/>
        <w:ind w:firstLine="720"/>
        <w:jc w:val="both"/>
        <w:rPr>
          <w:rFonts w:asciiTheme="majorHAnsi" w:hAnsiTheme="majorHAnsi"/>
          <w:sz w:val="16"/>
          <w:szCs w:val="16"/>
          <w:lang w:val="es-ES"/>
        </w:rPr>
      </w:pPr>
      <w:r w:rsidRPr="00E853F4">
        <w:rPr>
          <w:rStyle w:val="FootnoteReference"/>
          <w:rFonts w:asciiTheme="majorHAnsi" w:hAnsiTheme="majorHAnsi"/>
          <w:sz w:val="16"/>
          <w:szCs w:val="16"/>
        </w:rPr>
        <w:footnoteRef/>
      </w:r>
      <w:r w:rsidRPr="00E853F4">
        <w:rPr>
          <w:rFonts w:asciiTheme="majorHAnsi" w:hAnsiTheme="majorHAnsi"/>
          <w:sz w:val="16"/>
          <w:szCs w:val="16"/>
          <w:lang w:val="es-ES"/>
        </w:rPr>
        <w:t xml:space="preserve"> </w:t>
      </w:r>
      <w:r w:rsidR="007A23AB" w:rsidRPr="00E853F4">
        <w:rPr>
          <w:rFonts w:asciiTheme="majorHAnsi" w:hAnsiTheme="majorHAnsi"/>
          <w:sz w:val="16"/>
          <w:szCs w:val="16"/>
          <w:lang w:val="es-ES"/>
        </w:rPr>
        <w:t xml:space="preserve">A este respecto, véase por ejemplo, </w:t>
      </w:r>
      <w:r w:rsidRPr="00E853F4">
        <w:rPr>
          <w:rFonts w:asciiTheme="majorHAnsi" w:hAnsiTheme="majorHAnsi"/>
          <w:sz w:val="16"/>
          <w:szCs w:val="16"/>
          <w:lang w:val="es-ES"/>
        </w:rPr>
        <w:t xml:space="preserve">CIDH, Informe No. 125/17, Petición 1477-08. Admisibilidad. Henry Torres y otros. Colombia. 7 de septiembre de 2017, párr.10. </w:t>
      </w:r>
    </w:p>
  </w:footnote>
  <w:footnote w:id="8">
    <w:p w14:paraId="5DB9E3DC" w14:textId="4CC6DABD" w:rsidR="00AF04E0" w:rsidRPr="00E853F4" w:rsidRDefault="00AF04E0" w:rsidP="00AF04E0">
      <w:pPr>
        <w:pStyle w:val="FootnoteText"/>
        <w:ind w:firstLine="720"/>
        <w:jc w:val="both"/>
        <w:rPr>
          <w:rFonts w:asciiTheme="majorHAnsi" w:hAnsiTheme="majorHAnsi"/>
          <w:sz w:val="16"/>
          <w:szCs w:val="16"/>
          <w:lang w:val="es-US"/>
        </w:rPr>
      </w:pPr>
      <w:r w:rsidRPr="00E853F4">
        <w:rPr>
          <w:rStyle w:val="FootnoteReference"/>
          <w:rFonts w:asciiTheme="majorHAnsi" w:hAnsiTheme="majorHAnsi"/>
          <w:sz w:val="16"/>
          <w:szCs w:val="16"/>
        </w:rPr>
        <w:footnoteRef/>
      </w:r>
      <w:r w:rsidRPr="00E853F4">
        <w:rPr>
          <w:rFonts w:asciiTheme="majorHAnsi" w:hAnsiTheme="majorHAnsi"/>
          <w:sz w:val="16"/>
          <w:szCs w:val="16"/>
          <w:lang w:val="es-US"/>
        </w:rPr>
        <w:t xml:space="preserve"> Además del precedente previo del reciente informe No. 38/21, Caso 14.520, la CIDH considera pertinente recordar que ha dado seguimiento a este tema por medio de algunos de sus mecanismos de monitoreo; como por ejemplo, en la audiencia sobre “Implementación del Plan Integral de Reparaciones en Perú”, celebrada en su 172º Periodo de Sesiones de mayo de 2019, y solicitada por el propio Estado peruano. En esta audiencia, los miembros de la Comisión recordaron al Estado la necesidad de “</w:t>
      </w:r>
      <w:r w:rsidRPr="00E853F4">
        <w:rPr>
          <w:rFonts w:asciiTheme="majorHAnsi" w:hAnsiTheme="majorHAnsi"/>
          <w:i/>
          <w:iCs/>
          <w:sz w:val="16"/>
          <w:szCs w:val="16"/>
          <w:lang w:val="es-US"/>
        </w:rPr>
        <w:t>un trato equitativo en la asignación de indemnizaciones</w:t>
      </w:r>
      <w:r w:rsidRPr="00E853F4">
        <w:rPr>
          <w:rFonts w:asciiTheme="majorHAnsi" w:hAnsiTheme="majorHAnsi"/>
          <w:sz w:val="16"/>
          <w:szCs w:val="16"/>
          <w:lang w:val="es-US"/>
        </w:rPr>
        <w:t xml:space="preserve">”. Véase: </w:t>
      </w:r>
      <w:r w:rsidR="00B51A93" w:rsidRPr="00E853F4">
        <w:rPr>
          <w:rFonts w:asciiTheme="majorHAnsi" w:hAnsiTheme="majorHAnsi"/>
          <w:sz w:val="16"/>
          <w:szCs w:val="16"/>
          <w:lang w:val="es-US"/>
        </w:rPr>
        <w:t xml:space="preserve">Anexo al Comunicado de Prensa No. 129-19, disponible en: </w:t>
      </w:r>
      <w:hyperlink r:id="rId1" w:history="1">
        <w:r w:rsidR="00B51A93" w:rsidRPr="00E853F4">
          <w:rPr>
            <w:rStyle w:val="Hyperlink"/>
            <w:rFonts w:asciiTheme="majorHAnsi" w:hAnsiTheme="majorHAnsi"/>
            <w:sz w:val="16"/>
            <w:szCs w:val="16"/>
            <w:lang w:val="es-US"/>
          </w:rPr>
          <w:t>http://www.oas.org/es/cidh/prensa/comunicados/2019/129.pdf</w:t>
        </w:r>
      </w:hyperlink>
      <w:r w:rsidR="00B51A93" w:rsidRPr="00E853F4">
        <w:rPr>
          <w:rFonts w:asciiTheme="majorHAnsi" w:hAnsiTheme="majorHAnsi"/>
          <w:sz w:val="16"/>
          <w:szCs w:val="16"/>
          <w:lang w:val="es-US"/>
        </w:rPr>
        <w:t xml:space="preserve"> </w:t>
      </w:r>
    </w:p>
    <w:p w14:paraId="35AE08FC" w14:textId="3FFED522" w:rsidR="00B51A93" w:rsidRPr="00E853F4" w:rsidRDefault="0006613B" w:rsidP="00E853F4">
      <w:pPr>
        <w:pStyle w:val="FootnoteText"/>
        <w:ind w:firstLine="720"/>
        <w:jc w:val="both"/>
        <w:rPr>
          <w:rFonts w:asciiTheme="majorHAnsi" w:hAnsiTheme="majorHAnsi"/>
          <w:sz w:val="16"/>
          <w:szCs w:val="16"/>
          <w:lang w:val="es-US"/>
        </w:rPr>
      </w:pPr>
      <w:r w:rsidRPr="00E853F4">
        <w:rPr>
          <w:rFonts w:asciiTheme="majorHAnsi" w:hAnsiTheme="majorHAnsi"/>
          <w:sz w:val="16"/>
          <w:szCs w:val="16"/>
          <w:lang w:val="es-US"/>
        </w:rPr>
        <w:t xml:space="preserve">Asimismo, la CIDH había celebrado una audiencia en su 157º Periodo de Sesiones sobre el “Plan Nacional de Reparaciones en Perú”, en junio de 2016, en la que igualmente las organizaciones solicitantes informaron acerca de algunos desafíos en el acceso judicial a reparaciones, y el Estado tuvo la oportunidad de informar a la Comisión acerca de </w:t>
      </w:r>
      <w:r w:rsidR="00E853F4" w:rsidRPr="00E853F4">
        <w:rPr>
          <w:rFonts w:asciiTheme="majorHAnsi" w:hAnsiTheme="majorHAnsi"/>
          <w:sz w:val="16"/>
          <w:szCs w:val="16"/>
          <w:lang w:val="es-US"/>
        </w:rPr>
        <w:t>avances alcanzados. La CIDH, por su parte, manifestó su mejor deseo de dar seguimiento al tema, incluso mediante una visita de trabajo de su Relatoría de País.</w:t>
      </w:r>
    </w:p>
  </w:footnote>
  <w:footnote w:id="9">
    <w:p w14:paraId="50984610" w14:textId="77777777" w:rsidR="00C64B5B" w:rsidRPr="00297911" w:rsidRDefault="00C64B5B" w:rsidP="00297911">
      <w:pPr>
        <w:pStyle w:val="FootnoteText"/>
        <w:ind w:firstLine="720"/>
        <w:jc w:val="both"/>
        <w:rPr>
          <w:rFonts w:asciiTheme="majorHAnsi" w:hAnsiTheme="majorHAnsi"/>
          <w:sz w:val="16"/>
          <w:szCs w:val="16"/>
          <w:lang w:val="es-US"/>
        </w:rPr>
      </w:pPr>
      <w:r>
        <w:rPr>
          <w:rStyle w:val="FootnoteReference"/>
        </w:rPr>
        <w:footnoteRef/>
      </w:r>
      <w:r w:rsidRPr="00C64B5B">
        <w:rPr>
          <w:lang w:val="es-ES"/>
        </w:rPr>
        <w:t xml:space="preserve"> </w:t>
      </w:r>
      <w:r w:rsidRPr="00297911">
        <w:rPr>
          <w:rFonts w:asciiTheme="majorHAnsi" w:hAnsiTheme="majorHAnsi"/>
          <w:sz w:val="16"/>
          <w:szCs w:val="16"/>
          <w:lang w:val="es-US"/>
        </w:rPr>
        <w:t>Respuesta de Estado. Informe N 063 de 2018. 28 de marzo de 2018. Apartado. 2.1.2; Observaciones adicionales del Estado. Informe N° 278 de 2020.14 de octubre de 2020. Apartado 3.3.</w:t>
      </w:r>
    </w:p>
  </w:footnote>
  <w:footnote w:id="10">
    <w:p w14:paraId="7CC4B750" w14:textId="77777777"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CADH Artículo 46.2.b</w:t>
      </w:r>
    </w:p>
  </w:footnote>
  <w:footnote w:id="11">
    <w:p w14:paraId="21B980A9" w14:textId="77777777"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Corte IDH. Opinión Consultiva 11 de 1990.</w:t>
      </w:r>
    </w:p>
  </w:footnote>
  <w:footnote w:id="12">
    <w:p w14:paraId="64898BF7" w14:textId="77777777"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Corte IDH. Opinión Consultiva 11 de 1990.</w:t>
      </w:r>
    </w:p>
  </w:footnote>
  <w:footnote w:id="13">
    <w:p w14:paraId="0BCB61E5" w14:textId="77777777"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Ibidem.</w:t>
      </w:r>
    </w:p>
  </w:footnote>
  <w:footnote w:id="14">
    <w:p w14:paraId="14773588" w14:textId="77777777"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Ibidem</w:t>
      </w:r>
    </w:p>
  </w:footnote>
  <w:footnote w:id="15">
    <w:p w14:paraId="3C4D63BF" w14:textId="7495A8CA"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Informe Nº 96/98. Caso 11.827.Peter Blaine-Jamaica. 17 </w:t>
      </w:r>
      <w:r w:rsidR="00166DC6">
        <w:rPr>
          <w:rFonts w:asciiTheme="majorHAnsi" w:hAnsiTheme="majorHAnsi"/>
          <w:sz w:val="16"/>
          <w:szCs w:val="16"/>
          <w:lang w:val="es-US"/>
        </w:rPr>
        <w:t>d</w:t>
      </w:r>
      <w:r w:rsidRPr="00297911">
        <w:rPr>
          <w:rFonts w:asciiTheme="majorHAnsi" w:hAnsiTheme="majorHAnsi"/>
          <w:sz w:val="16"/>
          <w:szCs w:val="16"/>
          <w:lang w:val="es-US"/>
        </w:rPr>
        <w:t xml:space="preserve">e </w:t>
      </w:r>
      <w:r w:rsidR="00166DC6" w:rsidRPr="00297911">
        <w:rPr>
          <w:rFonts w:asciiTheme="majorHAnsi" w:hAnsiTheme="majorHAnsi"/>
          <w:sz w:val="16"/>
          <w:szCs w:val="16"/>
          <w:lang w:val="es-US"/>
        </w:rPr>
        <w:t>diciembre</w:t>
      </w:r>
      <w:r w:rsidRPr="00297911">
        <w:rPr>
          <w:rFonts w:asciiTheme="majorHAnsi" w:hAnsiTheme="majorHAnsi"/>
          <w:sz w:val="16"/>
          <w:szCs w:val="16"/>
          <w:lang w:val="es-US"/>
        </w:rPr>
        <w:t xml:space="preserve"> </w:t>
      </w:r>
      <w:r w:rsidR="00166DC6">
        <w:rPr>
          <w:rFonts w:asciiTheme="majorHAnsi" w:hAnsiTheme="majorHAnsi"/>
          <w:sz w:val="16"/>
          <w:szCs w:val="16"/>
          <w:lang w:val="es-US"/>
        </w:rPr>
        <w:t>d</w:t>
      </w:r>
      <w:r w:rsidRPr="00297911">
        <w:rPr>
          <w:rFonts w:asciiTheme="majorHAnsi" w:hAnsiTheme="majorHAnsi"/>
          <w:sz w:val="16"/>
          <w:szCs w:val="16"/>
          <w:lang w:val="es-US"/>
        </w:rPr>
        <w:t>e 1998; Informe No. 38/</w:t>
      </w:r>
      <w:r w:rsidR="00166DC6" w:rsidRPr="00297911">
        <w:rPr>
          <w:rFonts w:asciiTheme="majorHAnsi" w:hAnsiTheme="majorHAnsi"/>
          <w:sz w:val="16"/>
          <w:szCs w:val="16"/>
          <w:lang w:val="es-US"/>
        </w:rPr>
        <w:t>21. Petición</w:t>
      </w:r>
      <w:r w:rsidRPr="00297911">
        <w:rPr>
          <w:rFonts w:asciiTheme="majorHAnsi" w:hAnsiTheme="majorHAnsi"/>
          <w:sz w:val="16"/>
          <w:szCs w:val="16"/>
          <w:lang w:val="es-US"/>
        </w:rPr>
        <w:t xml:space="preserve"> 1534-08. Informe De Admisibilidad. Segundo Leovigildo Yoplac Requejo Y Otros-Perú; Informe Nº 95/06. Petición 92-</w:t>
      </w:r>
      <w:r w:rsidR="00166DC6" w:rsidRPr="00297911">
        <w:rPr>
          <w:rFonts w:asciiTheme="majorHAnsi" w:hAnsiTheme="majorHAnsi"/>
          <w:sz w:val="16"/>
          <w:szCs w:val="16"/>
          <w:lang w:val="es-US"/>
        </w:rPr>
        <w:t>04. Admisibilidad</w:t>
      </w:r>
      <w:r w:rsidRPr="00297911">
        <w:rPr>
          <w:rFonts w:asciiTheme="majorHAnsi" w:hAnsiTheme="majorHAnsi"/>
          <w:sz w:val="16"/>
          <w:szCs w:val="16"/>
          <w:lang w:val="es-US"/>
        </w:rPr>
        <w:t>. Jesús Tranquilino Vélez Loor-Panamá.23 De Octubre De 2006. Párrafo 45.</w:t>
      </w:r>
    </w:p>
  </w:footnote>
  <w:footnote w:id="16">
    <w:p w14:paraId="7FF858D8" w14:textId="09A98694" w:rsidR="00C64B5B" w:rsidRPr="00297911" w:rsidRDefault="00C64B5B" w:rsidP="00297911">
      <w:pPr>
        <w:pStyle w:val="FootnoteText"/>
        <w:ind w:firstLine="720"/>
        <w:jc w:val="both"/>
        <w:rPr>
          <w:rFonts w:asciiTheme="majorHAnsi" w:hAnsiTheme="majorHAnsi"/>
          <w:sz w:val="16"/>
          <w:szCs w:val="16"/>
          <w:lang w:val="es-US"/>
        </w:rPr>
      </w:pPr>
      <w:r w:rsidRPr="00297911">
        <w:rPr>
          <w:rFonts w:asciiTheme="majorHAnsi" w:hAnsiTheme="majorHAnsi"/>
          <w:sz w:val="16"/>
          <w:szCs w:val="16"/>
          <w:lang w:val="es-US"/>
        </w:rPr>
        <w:footnoteRef/>
      </w:r>
      <w:r w:rsidRPr="00297911">
        <w:rPr>
          <w:rFonts w:asciiTheme="majorHAnsi" w:hAnsiTheme="majorHAnsi"/>
          <w:sz w:val="16"/>
          <w:szCs w:val="16"/>
          <w:lang w:val="es-US"/>
        </w:rPr>
        <w:t xml:space="preserve"> Informe No. 13/09. Petición 339-02. Admisibilidad. Vinicio Poblete Vilches En Relación Con Chile. 19 </w:t>
      </w:r>
      <w:r w:rsidR="00166DC6">
        <w:rPr>
          <w:rFonts w:asciiTheme="majorHAnsi" w:hAnsiTheme="majorHAnsi"/>
          <w:sz w:val="16"/>
          <w:szCs w:val="16"/>
          <w:lang w:val="es-US"/>
        </w:rPr>
        <w:t>d</w:t>
      </w:r>
      <w:r w:rsidRPr="00297911">
        <w:rPr>
          <w:rFonts w:asciiTheme="majorHAnsi" w:hAnsiTheme="majorHAnsi"/>
          <w:sz w:val="16"/>
          <w:szCs w:val="16"/>
          <w:lang w:val="es-US"/>
        </w:rPr>
        <w:t xml:space="preserve">e Marzo </w:t>
      </w:r>
      <w:r w:rsidR="00166DC6">
        <w:rPr>
          <w:rFonts w:asciiTheme="majorHAnsi" w:hAnsiTheme="majorHAnsi"/>
          <w:sz w:val="16"/>
          <w:szCs w:val="16"/>
          <w:lang w:val="es-US"/>
        </w:rPr>
        <w:t>d</w:t>
      </w:r>
      <w:r w:rsidRPr="00297911">
        <w:rPr>
          <w:rFonts w:asciiTheme="majorHAnsi" w:hAnsiTheme="majorHAnsi"/>
          <w:sz w:val="16"/>
          <w:szCs w:val="16"/>
          <w:lang w:val="es-US"/>
        </w:rPr>
        <w:t>e 2009. Párrafo 47.</w:t>
      </w:r>
    </w:p>
  </w:footnote>
  <w:footnote w:id="17">
    <w:p w14:paraId="75755B17" w14:textId="77777777" w:rsidR="00C64B5B" w:rsidRPr="00166DC6" w:rsidRDefault="00C64B5B" w:rsidP="00297911">
      <w:pPr>
        <w:pStyle w:val="FootnoteText"/>
        <w:ind w:firstLine="720"/>
        <w:jc w:val="both"/>
        <w:rPr>
          <w:rFonts w:ascii="Cambria" w:hAnsi="Cambria"/>
          <w:sz w:val="16"/>
          <w:szCs w:val="16"/>
          <w:lang w:val="es-US"/>
        </w:rPr>
      </w:pPr>
      <w:r w:rsidRPr="00166DC6">
        <w:rPr>
          <w:rFonts w:ascii="Cambria" w:hAnsi="Cambria"/>
          <w:sz w:val="16"/>
          <w:szCs w:val="16"/>
          <w:lang w:val="es-US"/>
        </w:rPr>
        <w:footnoteRef/>
      </w:r>
      <w:r w:rsidRPr="00166DC6">
        <w:rPr>
          <w:rFonts w:ascii="Cambria" w:hAnsi="Cambria"/>
          <w:sz w:val="16"/>
          <w:szCs w:val="16"/>
          <w:lang w:val="es-US"/>
        </w:rPr>
        <w:t xml:space="preserve"> Corte IDH. Opinión Consultiva 11 de 1990.</w:t>
      </w:r>
    </w:p>
  </w:footnote>
  <w:footnote w:id="18">
    <w:p w14:paraId="32346EAD" w14:textId="77777777" w:rsidR="00C64B5B" w:rsidRPr="00166DC6" w:rsidRDefault="00C64B5B" w:rsidP="00297911">
      <w:pPr>
        <w:pStyle w:val="FootnoteText"/>
        <w:ind w:firstLine="720"/>
        <w:jc w:val="both"/>
        <w:rPr>
          <w:rFonts w:ascii="Cambria" w:hAnsi="Cambria"/>
          <w:sz w:val="16"/>
          <w:szCs w:val="16"/>
          <w:lang w:val="es-US"/>
        </w:rPr>
      </w:pPr>
      <w:r w:rsidRPr="00166DC6">
        <w:rPr>
          <w:rFonts w:ascii="Cambria" w:hAnsi="Cambria"/>
          <w:sz w:val="16"/>
          <w:szCs w:val="16"/>
          <w:lang w:val="es-US"/>
        </w:rPr>
        <w:footnoteRef/>
      </w:r>
      <w:r w:rsidRPr="00166DC6">
        <w:rPr>
          <w:rFonts w:ascii="Cambria" w:hAnsi="Cambria"/>
          <w:sz w:val="16"/>
          <w:szCs w:val="16"/>
          <w:lang w:val="es-US"/>
        </w:rPr>
        <w:t xml:space="preserve"> Réplica del peticionario. 22 de noviembre de 2019. Párrafos 19 y 44</w:t>
      </w:r>
    </w:p>
  </w:footnote>
  <w:footnote w:id="19">
    <w:p w14:paraId="2086BD4A" w14:textId="77777777" w:rsidR="00C64B5B" w:rsidRPr="00166DC6" w:rsidRDefault="00C64B5B" w:rsidP="00297911">
      <w:pPr>
        <w:pStyle w:val="FootnoteText"/>
        <w:ind w:firstLine="720"/>
        <w:jc w:val="both"/>
        <w:rPr>
          <w:rFonts w:ascii="Cambria" w:hAnsi="Cambria"/>
          <w:sz w:val="16"/>
          <w:szCs w:val="16"/>
          <w:lang w:val="es-US"/>
        </w:rPr>
      </w:pPr>
      <w:r w:rsidRPr="00166DC6">
        <w:rPr>
          <w:rFonts w:ascii="Cambria" w:hAnsi="Cambria"/>
          <w:sz w:val="16"/>
          <w:szCs w:val="16"/>
          <w:lang w:val="es-US"/>
        </w:rPr>
        <w:footnoteRef/>
      </w:r>
      <w:r w:rsidRPr="00166DC6">
        <w:rPr>
          <w:rFonts w:ascii="Cambria" w:hAnsi="Cambria"/>
          <w:sz w:val="16"/>
          <w:szCs w:val="16"/>
          <w:lang w:val="es-US"/>
        </w:rPr>
        <w:t xml:space="preserve"> Corte IDH. Opinión Consultiva 11 de 1990.</w:t>
      </w:r>
    </w:p>
  </w:footnote>
  <w:footnote w:id="20">
    <w:p w14:paraId="6C187C93" w14:textId="77777777" w:rsidR="00C64B5B" w:rsidRPr="00297911" w:rsidRDefault="00C64B5B" w:rsidP="00297911">
      <w:pPr>
        <w:pStyle w:val="FootnoteText"/>
        <w:ind w:firstLine="720"/>
        <w:jc w:val="both"/>
        <w:rPr>
          <w:rFonts w:asciiTheme="majorHAnsi" w:hAnsiTheme="majorHAnsi"/>
          <w:sz w:val="16"/>
          <w:szCs w:val="16"/>
          <w:lang w:val="es-US"/>
        </w:rPr>
      </w:pPr>
      <w:r w:rsidRPr="00166DC6">
        <w:rPr>
          <w:rFonts w:ascii="Cambria" w:hAnsi="Cambria"/>
          <w:sz w:val="16"/>
          <w:szCs w:val="16"/>
          <w:lang w:val="es-US"/>
        </w:rPr>
        <w:footnoteRef/>
      </w:r>
      <w:r w:rsidRPr="00166DC6">
        <w:rPr>
          <w:rFonts w:ascii="Cambria" w:hAnsi="Cambria"/>
          <w:sz w:val="16"/>
          <w:szCs w:val="16"/>
          <w:lang w:val="es-US"/>
        </w:rPr>
        <w:t xml:space="preserve"> Corte IDH. Caso Trabajadores Cesados de Petroperú y otros Vs. Perú. Excepciones Preliminares, Fondo, Reparaciones y Costas. Sentencia de 23 de noviembre de 2017. Serie C No. 344., Párrafo 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753B58" w:rsidP="00A50FCF">
    <w:pPr>
      <w:pStyle w:val="Header"/>
      <w:tabs>
        <w:tab w:val="clear" w:pos="4320"/>
        <w:tab w:val="clear" w:pos="8640"/>
      </w:tabs>
      <w:jc w:val="center"/>
      <w:rPr>
        <w:sz w:val="22"/>
        <w:szCs w:val="22"/>
      </w:rPr>
    </w:pPr>
    <w:r>
      <w:rPr>
        <w:noProof/>
        <w:sz w:val="22"/>
        <w:szCs w:val="22"/>
        <w:bdr w:val="nil"/>
      </w:rPr>
      <w:pict w14:anchorId="2646EE8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C93A18"/>
    <w:multiLevelType w:val="hybridMultilevel"/>
    <w:tmpl w:val="90E8A3CA"/>
    <w:lvl w:ilvl="0" w:tplc="D4AED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C651AE"/>
    <w:multiLevelType w:val="hybridMultilevel"/>
    <w:tmpl w:val="24A66696"/>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AF60B54"/>
    <w:multiLevelType w:val="hybridMultilevel"/>
    <w:tmpl w:val="AE9E88E8"/>
    <w:lvl w:ilvl="0" w:tplc="91BA342E">
      <w:start w:val="1"/>
      <w:numFmt w:val="decimal"/>
      <w:lvlText w:val="%1."/>
      <w:lvlJc w:val="left"/>
      <w:pPr>
        <w:ind w:left="1080" w:hanging="72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4E7B59"/>
    <w:multiLevelType w:val="multilevel"/>
    <w:tmpl w:val="BCA49666"/>
    <w:lvl w:ilvl="0">
      <w:start w:val="1"/>
      <w:numFmt w:val="decimal"/>
      <w:lvlText w:val="%1."/>
      <w:lvlJc w:val="left"/>
      <w:pPr>
        <w:ind w:left="1069" w:hanging="360"/>
      </w:pPr>
      <w:rPr>
        <w:rFonts w:hint="default"/>
        <w:lang w:val="es-CO"/>
      </w:rPr>
    </w:lvl>
    <w:lvl w:ilvl="1">
      <w:start w:val="1"/>
      <w:numFmt w:val="decimal"/>
      <w:isLgl/>
      <w:lvlText w:val="%1.%2."/>
      <w:lvlJc w:val="left"/>
      <w:pPr>
        <w:ind w:left="1789" w:hanging="720"/>
      </w:pPr>
      <w:rPr>
        <w:rFonts w:hint="default"/>
        <w:b/>
        <w:bCs/>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82002712">
    <w:abstractNumId w:val="3"/>
  </w:num>
  <w:num w:numId="2" w16cid:durableId="1774738590">
    <w:abstractNumId w:val="5"/>
  </w:num>
  <w:num w:numId="3" w16cid:durableId="1755854186">
    <w:abstractNumId w:val="57"/>
  </w:num>
  <w:num w:numId="4" w16cid:durableId="909073615">
    <w:abstractNumId w:val="22"/>
  </w:num>
  <w:num w:numId="5" w16cid:durableId="1003704400">
    <w:abstractNumId w:val="51"/>
  </w:num>
  <w:num w:numId="6" w16cid:durableId="2042894267">
    <w:abstractNumId w:val="29"/>
  </w:num>
  <w:num w:numId="7" w16cid:durableId="1947153858">
    <w:abstractNumId w:val="7"/>
  </w:num>
  <w:num w:numId="8" w16cid:durableId="2030452507">
    <w:abstractNumId w:val="18"/>
  </w:num>
  <w:num w:numId="9" w16cid:durableId="1022974059">
    <w:abstractNumId w:val="45"/>
  </w:num>
  <w:num w:numId="10" w16cid:durableId="1020820017">
    <w:abstractNumId w:val="0"/>
  </w:num>
  <w:num w:numId="11" w16cid:durableId="851064602">
    <w:abstractNumId w:val="40"/>
  </w:num>
  <w:num w:numId="12" w16cid:durableId="1016081121">
    <w:abstractNumId w:val="41"/>
  </w:num>
  <w:num w:numId="13" w16cid:durableId="772558172">
    <w:abstractNumId w:val="47"/>
  </w:num>
  <w:num w:numId="14" w16cid:durableId="1393457644">
    <w:abstractNumId w:val="1"/>
  </w:num>
  <w:num w:numId="15" w16cid:durableId="1752655795">
    <w:abstractNumId w:val="2"/>
  </w:num>
  <w:num w:numId="16" w16cid:durableId="1273781952">
    <w:abstractNumId w:val="8"/>
  </w:num>
  <w:num w:numId="17" w16cid:durableId="1094088395">
    <w:abstractNumId w:val="9"/>
  </w:num>
  <w:num w:numId="18" w16cid:durableId="1924994634">
    <w:abstractNumId w:val="10"/>
  </w:num>
  <w:num w:numId="19" w16cid:durableId="948780403">
    <w:abstractNumId w:val="11"/>
  </w:num>
  <w:num w:numId="20" w16cid:durableId="713896224">
    <w:abstractNumId w:val="12"/>
  </w:num>
  <w:num w:numId="21" w16cid:durableId="1433939443">
    <w:abstractNumId w:val="13"/>
  </w:num>
  <w:num w:numId="22" w16cid:durableId="723220770">
    <w:abstractNumId w:val="14"/>
  </w:num>
  <w:num w:numId="23" w16cid:durableId="1818494664">
    <w:abstractNumId w:val="16"/>
  </w:num>
  <w:num w:numId="24" w16cid:durableId="106390122">
    <w:abstractNumId w:val="17"/>
  </w:num>
  <w:num w:numId="25" w16cid:durableId="1785541966">
    <w:abstractNumId w:val="19"/>
  </w:num>
  <w:num w:numId="26" w16cid:durableId="1299611471">
    <w:abstractNumId w:val="20"/>
  </w:num>
  <w:num w:numId="27" w16cid:durableId="469520340">
    <w:abstractNumId w:val="23"/>
  </w:num>
  <w:num w:numId="28" w16cid:durableId="1328942577">
    <w:abstractNumId w:val="24"/>
  </w:num>
  <w:num w:numId="29" w16cid:durableId="743451088">
    <w:abstractNumId w:val="25"/>
  </w:num>
  <w:num w:numId="30" w16cid:durableId="1005397817">
    <w:abstractNumId w:val="27"/>
  </w:num>
  <w:num w:numId="31" w16cid:durableId="1732385563">
    <w:abstractNumId w:val="30"/>
  </w:num>
  <w:num w:numId="32" w16cid:durableId="1765614066">
    <w:abstractNumId w:val="31"/>
  </w:num>
  <w:num w:numId="33" w16cid:durableId="1080712970">
    <w:abstractNumId w:val="32"/>
  </w:num>
  <w:num w:numId="34" w16cid:durableId="2006399367">
    <w:abstractNumId w:val="33"/>
  </w:num>
  <w:num w:numId="35" w16cid:durableId="1618023468">
    <w:abstractNumId w:val="34"/>
  </w:num>
  <w:num w:numId="36" w16cid:durableId="993873970">
    <w:abstractNumId w:val="35"/>
  </w:num>
  <w:num w:numId="37" w16cid:durableId="769353717">
    <w:abstractNumId w:val="36"/>
  </w:num>
  <w:num w:numId="38" w16cid:durableId="1415201149">
    <w:abstractNumId w:val="37"/>
  </w:num>
  <w:num w:numId="39" w16cid:durableId="1657103120">
    <w:abstractNumId w:val="42"/>
  </w:num>
  <w:num w:numId="40" w16cid:durableId="2054688327">
    <w:abstractNumId w:val="43"/>
  </w:num>
  <w:num w:numId="41" w16cid:durableId="604384698">
    <w:abstractNumId w:val="49"/>
  </w:num>
  <w:num w:numId="42" w16cid:durableId="705062099">
    <w:abstractNumId w:val="52"/>
  </w:num>
  <w:num w:numId="43" w16cid:durableId="682972213">
    <w:abstractNumId w:val="53"/>
  </w:num>
  <w:num w:numId="44" w16cid:durableId="438644910">
    <w:abstractNumId w:val="55"/>
  </w:num>
  <w:num w:numId="45" w16cid:durableId="724840683">
    <w:abstractNumId w:val="56"/>
  </w:num>
  <w:num w:numId="46" w16cid:durableId="1140463786">
    <w:abstractNumId w:val="58"/>
  </w:num>
  <w:num w:numId="47" w16cid:durableId="1104379553">
    <w:abstractNumId w:val="59"/>
  </w:num>
  <w:num w:numId="48" w16cid:durableId="28839484">
    <w:abstractNumId w:val="60"/>
  </w:num>
  <w:num w:numId="49" w16cid:durableId="142742361">
    <w:abstractNumId w:val="61"/>
  </w:num>
  <w:num w:numId="50" w16cid:durableId="1159032151">
    <w:abstractNumId w:val="62"/>
  </w:num>
  <w:num w:numId="51" w16cid:durableId="13042060">
    <w:abstractNumId w:val="21"/>
  </w:num>
  <w:num w:numId="52" w16cid:durableId="270405918">
    <w:abstractNumId w:val="44"/>
  </w:num>
  <w:num w:numId="53" w16cid:durableId="884029323">
    <w:abstractNumId w:val="54"/>
  </w:num>
  <w:num w:numId="54" w16cid:durableId="339236889">
    <w:abstractNumId w:val="48"/>
  </w:num>
  <w:num w:numId="55" w16cid:durableId="2089302530">
    <w:abstractNumId w:val="46"/>
  </w:num>
  <w:num w:numId="56" w16cid:durableId="706610113">
    <w:abstractNumId w:val="28"/>
  </w:num>
  <w:num w:numId="57" w16cid:durableId="1756248017">
    <w:abstractNumId w:val="26"/>
  </w:num>
  <w:num w:numId="58" w16cid:durableId="2087342862">
    <w:abstractNumId w:val="38"/>
  </w:num>
  <w:num w:numId="59" w16cid:durableId="1616208970">
    <w:abstractNumId w:val="4"/>
  </w:num>
  <w:num w:numId="60" w16cid:durableId="1408959032">
    <w:abstractNumId w:val="15"/>
  </w:num>
  <w:num w:numId="61" w16cid:durableId="428350121">
    <w:abstractNumId w:val="6"/>
  </w:num>
  <w:num w:numId="62" w16cid:durableId="27801402">
    <w:abstractNumId w:val="39"/>
  </w:num>
  <w:num w:numId="63" w16cid:durableId="76245257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E8C"/>
    <w:rsid w:val="00006E1F"/>
    <w:rsid w:val="000070D7"/>
    <w:rsid w:val="00014190"/>
    <w:rsid w:val="00015542"/>
    <w:rsid w:val="0001788C"/>
    <w:rsid w:val="00031B4F"/>
    <w:rsid w:val="000337EF"/>
    <w:rsid w:val="000379C7"/>
    <w:rsid w:val="00040C3A"/>
    <w:rsid w:val="000419AD"/>
    <w:rsid w:val="000433C9"/>
    <w:rsid w:val="0006613B"/>
    <w:rsid w:val="00066BB6"/>
    <w:rsid w:val="00071174"/>
    <w:rsid w:val="000716C5"/>
    <w:rsid w:val="00075E23"/>
    <w:rsid w:val="0009344A"/>
    <w:rsid w:val="000A2EE1"/>
    <w:rsid w:val="000A392E"/>
    <w:rsid w:val="000A575F"/>
    <w:rsid w:val="000D05CB"/>
    <w:rsid w:val="000D10DB"/>
    <w:rsid w:val="000D1AB2"/>
    <w:rsid w:val="000E5EB5"/>
    <w:rsid w:val="000F35ED"/>
    <w:rsid w:val="001004FE"/>
    <w:rsid w:val="00107131"/>
    <w:rsid w:val="0010736F"/>
    <w:rsid w:val="00113F73"/>
    <w:rsid w:val="0012137B"/>
    <w:rsid w:val="00121CC2"/>
    <w:rsid w:val="0012519F"/>
    <w:rsid w:val="00131425"/>
    <w:rsid w:val="00133495"/>
    <w:rsid w:val="00133EE5"/>
    <w:rsid w:val="00136079"/>
    <w:rsid w:val="0013794D"/>
    <w:rsid w:val="00160047"/>
    <w:rsid w:val="00166DC6"/>
    <w:rsid w:val="00167911"/>
    <w:rsid w:val="00167A34"/>
    <w:rsid w:val="00193785"/>
    <w:rsid w:val="001941ED"/>
    <w:rsid w:val="001A520D"/>
    <w:rsid w:val="001A715C"/>
    <w:rsid w:val="001A7870"/>
    <w:rsid w:val="001B3A00"/>
    <w:rsid w:val="001B478B"/>
    <w:rsid w:val="001C1B41"/>
    <w:rsid w:val="001D65EF"/>
    <w:rsid w:val="001D7F96"/>
    <w:rsid w:val="001E49E7"/>
    <w:rsid w:val="001F7201"/>
    <w:rsid w:val="00204D1D"/>
    <w:rsid w:val="00207663"/>
    <w:rsid w:val="00223A29"/>
    <w:rsid w:val="002250A3"/>
    <w:rsid w:val="00235217"/>
    <w:rsid w:val="00236946"/>
    <w:rsid w:val="00244CEE"/>
    <w:rsid w:val="00246D1F"/>
    <w:rsid w:val="00247403"/>
    <w:rsid w:val="00247542"/>
    <w:rsid w:val="00263FA5"/>
    <w:rsid w:val="00266B61"/>
    <w:rsid w:val="0026712A"/>
    <w:rsid w:val="002704DB"/>
    <w:rsid w:val="00297911"/>
    <w:rsid w:val="002A0AAE"/>
    <w:rsid w:val="002A5820"/>
    <w:rsid w:val="002D2B26"/>
    <w:rsid w:val="002D7EA2"/>
    <w:rsid w:val="002E187C"/>
    <w:rsid w:val="002E7C49"/>
    <w:rsid w:val="003015B8"/>
    <w:rsid w:val="00302733"/>
    <w:rsid w:val="00305835"/>
    <w:rsid w:val="00306F33"/>
    <w:rsid w:val="003072AE"/>
    <w:rsid w:val="003079AB"/>
    <w:rsid w:val="00314078"/>
    <w:rsid w:val="0031535D"/>
    <w:rsid w:val="003239B8"/>
    <w:rsid w:val="0032628F"/>
    <w:rsid w:val="00326799"/>
    <w:rsid w:val="003302EB"/>
    <w:rsid w:val="00330F1B"/>
    <w:rsid w:val="0033169F"/>
    <w:rsid w:val="00344977"/>
    <w:rsid w:val="00346C95"/>
    <w:rsid w:val="0035400C"/>
    <w:rsid w:val="003542DC"/>
    <w:rsid w:val="00354918"/>
    <w:rsid w:val="00356185"/>
    <w:rsid w:val="00360380"/>
    <w:rsid w:val="0037519E"/>
    <w:rsid w:val="00386CF0"/>
    <w:rsid w:val="00394073"/>
    <w:rsid w:val="003B70FB"/>
    <w:rsid w:val="003C3C25"/>
    <w:rsid w:val="003C676B"/>
    <w:rsid w:val="003D3BC2"/>
    <w:rsid w:val="003E4F81"/>
    <w:rsid w:val="003E6CA1"/>
    <w:rsid w:val="003F5154"/>
    <w:rsid w:val="003F640F"/>
    <w:rsid w:val="00405F9C"/>
    <w:rsid w:val="004065A8"/>
    <w:rsid w:val="004165C2"/>
    <w:rsid w:val="0042260B"/>
    <w:rsid w:val="0042371E"/>
    <w:rsid w:val="004241A0"/>
    <w:rsid w:val="00424B8F"/>
    <w:rsid w:val="00441ECB"/>
    <w:rsid w:val="00445193"/>
    <w:rsid w:val="00456943"/>
    <w:rsid w:val="00462C1B"/>
    <w:rsid w:val="004647A4"/>
    <w:rsid w:val="00467B7E"/>
    <w:rsid w:val="00472B5E"/>
    <w:rsid w:val="00472D11"/>
    <w:rsid w:val="00473BB4"/>
    <w:rsid w:val="00477592"/>
    <w:rsid w:val="004827BD"/>
    <w:rsid w:val="00486F1C"/>
    <w:rsid w:val="0049419D"/>
    <w:rsid w:val="004A042E"/>
    <w:rsid w:val="004A057B"/>
    <w:rsid w:val="004A3DD0"/>
    <w:rsid w:val="004A6A54"/>
    <w:rsid w:val="004A792D"/>
    <w:rsid w:val="004B421C"/>
    <w:rsid w:val="004C20D2"/>
    <w:rsid w:val="004C2312"/>
    <w:rsid w:val="004C4B62"/>
    <w:rsid w:val="004C54C9"/>
    <w:rsid w:val="004D09FB"/>
    <w:rsid w:val="004D4ABA"/>
    <w:rsid w:val="004D6025"/>
    <w:rsid w:val="004E2649"/>
    <w:rsid w:val="004E481C"/>
    <w:rsid w:val="004F0942"/>
    <w:rsid w:val="004F626F"/>
    <w:rsid w:val="00501399"/>
    <w:rsid w:val="005047ED"/>
    <w:rsid w:val="0050633D"/>
    <w:rsid w:val="00506605"/>
    <w:rsid w:val="005067D3"/>
    <w:rsid w:val="00507BC4"/>
    <w:rsid w:val="005122BB"/>
    <w:rsid w:val="005128E4"/>
    <w:rsid w:val="005133DB"/>
    <w:rsid w:val="00514504"/>
    <w:rsid w:val="00521E1F"/>
    <w:rsid w:val="00525560"/>
    <w:rsid w:val="00541080"/>
    <w:rsid w:val="00544C49"/>
    <w:rsid w:val="005516A1"/>
    <w:rsid w:val="00555120"/>
    <w:rsid w:val="005559EF"/>
    <w:rsid w:val="00563557"/>
    <w:rsid w:val="00565C6C"/>
    <w:rsid w:val="0057402A"/>
    <w:rsid w:val="00575F34"/>
    <w:rsid w:val="005771D0"/>
    <w:rsid w:val="0059191A"/>
    <w:rsid w:val="005921FF"/>
    <w:rsid w:val="00594AC4"/>
    <w:rsid w:val="00595F09"/>
    <w:rsid w:val="005A24ED"/>
    <w:rsid w:val="005A6D0E"/>
    <w:rsid w:val="005B52B0"/>
    <w:rsid w:val="005B6806"/>
    <w:rsid w:val="005C4225"/>
    <w:rsid w:val="005C76A1"/>
    <w:rsid w:val="005D5C14"/>
    <w:rsid w:val="005F0DAD"/>
    <w:rsid w:val="005F0F33"/>
    <w:rsid w:val="00600DEB"/>
    <w:rsid w:val="006270A0"/>
    <w:rsid w:val="00627C9F"/>
    <w:rsid w:val="006311E9"/>
    <w:rsid w:val="00632354"/>
    <w:rsid w:val="00635421"/>
    <w:rsid w:val="00642537"/>
    <w:rsid w:val="00642810"/>
    <w:rsid w:val="00652333"/>
    <w:rsid w:val="00654EA9"/>
    <w:rsid w:val="0068009E"/>
    <w:rsid w:val="006833A9"/>
    <w:rsid w:val="00687904"/>
    <w:rsid w:val="00692219"/>
    <w:rsid w:val="006963D0"/>
    <w:rsid w:val="006A17D2"/>
    <w:rsid w:val="006A73E6"/>
    <w:rsid w:val="006B204A"/>
    <w:rsid w:val="006B2D5C"/>
    <w:rsid w:val="006C0ECF"/>
    <w:rsid w:val="006C4EB1"/>
    <w:rsid w:val="006E0166"/>
    <w:rsid w:val="006E2FFB"/>
    <w:rsid w:val="006E7B34"/>
    <w:rsid w:val="006F6B7D"/>
    <w:rsid w:val="0070697F"/>
    <w:rsid w:val="007103C4"/>
    <w:rsid w:val="00720914"/>
    <w:rsid w:val="0072199C"/>
    <w:rsid w:val="00722C9F"/>
    <w:rsid w:val="007253B8"/>
    <w:rsid w:val="00735E07"/>
    <w:rsid w:val="0073741F"/>
    <w:rsid w:val="00744E50"/>
    <w:rsid w:val="00750B38"/>
    <w:rsid w:val="00752BE6"/>
    <w:rsid w:val="00753B58"/>
    <w:rsid w:val="0076643F"/>
    <w:rsid w:val="00774BBC"/>
    <w:rsid w:val="00777F63"/>
    <w:rsid w:val="007A0B88"/>
    <w:rsid w:val="007A1A57"/>
    <w:rsid w:val="007A23AB"/>
    <w:rsid w:val="007A3768"/>
    <w:rsid w:val="007A5817"/>
    <w:rsid w:val="007B05C4"/>
    <w:rsid w:val="007B60E9"/>
    <w:rsid w:val="007B6CC3"/>
    <w:rsid w:val="007B76D3"/>
    <w:rsid w:val="007C0447"/>
    <w:rsid w:val="007C3334"/>
    <w:rsid w:val="007C445A"/>
    <w:rsid w:val="007D2B98"/>
    <w:rsid w:val="007D7D02"/>
    <w:rsid w:val="007E0FDB"/>
    <w:rsid w:val="007E16FF"/>
    <w:rsid w:val="007E21BC"/>
    <w:rsid w:val="007E7C82"/>
    <w:rsid w:val="007F2AA1"/>
    <w:rsid w:val="007F588D"/>
    <w:rsid w:val="00803F1C"/>
    <w:rsid w:val="0080600E"/>
    <w:rsid w:val="0081267C"/>
    <w:rsid w:val="00814688"/>
    <w:rsid w:val="00814CAB"/>
    <w:rsid w:val="00817612"/>
    <w:rsid w:val="008338A4"/>
    <w:rsid w:val="00834D49"/>
    <w:rsid w:val="00836634"/>
    <w:rsid w:val="00837C45"/>
    <w:rsid w:val="008442C5"/>
    <w:rsid w:val="00844730"/>
    <w:rsid w:val="008457C2"/>
    <w:rsid w:val="008472D8"/>
    <w:rsid w:val="00857A82"/>
    <w:rsid w:val="00873836"/>
    <w:rsid w:val="008803D5"/>
    <w:rsid w:val="00885737"/>
    <w:rsid w:val="008863F4"/>
    <w:rsid w:val="00890650"/>
    <w:rsid w:val="008944DC"/>
    <w:rsid w:val="008953BA"/>
    <w:rsid w:val="00897E12"/>
    <w:rsid w:val="008A7A58"/>
    <w:rsid w:val="008A7E0F"/>
    <w:rsid w:val="008B12F5"/>
    <w:rsid w:val="008B7673"/>
    <w:rsid w:val="008B7827"/>
    <w:rsid w:val="008C5E2D"/>
    <w:rsid w:val="008D159E"/>
    <w:rsid w:val="008D768D"/>
    <w:rsid w:val="008E3759"/>
    <w:rsid w:val="008E3BFE"/>
    <w:rsid w:val="008E76A7"/>
    <w:rsid w:val="008F1912"/>
    <w:rsid w:val="008F780D"/>
    <w:rsid w:val="0090270B"/>
    <w:rsid w:val="009038CF"/>
    <w:rsid w:val="009041DC"/>
    <w:rsid w:val="00917B5A"/>
    <w:rsid w:val="00920A58"/>
    <w:rsid w:val="00920A8C"/>
    <w:rsid w:val="00934A2C"/>
    <w:rsid w:val="00936FB4"/>
    <w:rsid w:val="0096706E"/>
    <w:rsid w:val="0096739C"/>
    <w:rsid w:val="00974491"/>
    <w:rsid w:val="00975C4E"/>
    <w:rsid w:val="00981FBA"/>
    <w:rsid w:val="00983F1B"/>
    <w:rsid w:val="00984263"/>
    <w:rsid w:val="00985938"/>
    <w:rsid w:val="00997BC5"/>
    <w:rsid w:val="009A4F41"/>
    <w:rsid w:val="009A56CE"/>
    <w:rsid w:val="009B0EDD"/>
    <w:rsid w:val="009B1476"/>
    <w:rsid w:val="009B381B"/>
    <w:rsid w:val="009C320F"/>
    <w:rsid w:val="009D1753"/>
    <w:rsid w:val="009D464A"/>
    <w:rsid w:val="009D5057"/>
    <w:rsid w:val="009D7611"/>
    <w:rsid w:val="009E0B61"/>
    <w:rsid w:val="009E3034"/>
    <w:rsid w:val="009E53DE"/>
    <w:rsid w:val="00A11212"/>
    <w:rsid w:val="00A11E44"/>
    <w:rsid w:val="00A14261"/>
    <w:rsid w:val="00A15562"/>
    <w:rsid w:val="00A30100"/>
    <w:rsid w:val="00A32179"/>
    <w:rsid w:val="00A328B3"/>
    <w:rsid w:val="00A50FCF"/>
    <w:rsid w:val="00A52702"/>
    <w:rsid w:val="00A528D1"/>
    <w:rsid w:val="00A56EF6"/>
    <w:rsid w:val="00A610CD"/>
    <w:rsid w:val="00A758AA"/>
    <w:rsid w:val="00A857B5"/>
    <w:rsid w:val="00A86D04"/>
    <w:rsid w:val="00AA09A2"/>
    <w:rsid w:val="00AA7996"/>
    <w:rsid w:val="00AC19CB"/>
    <w:rsid w:val="00AE5488"/>
    <w:rsid w:val="00AE6F91"/>
    <w:rsid w:val="00AF04E0"/>
    <w:rsid w:val="00AF5571"/>
    <w:rsid w:val="00B03E75"/>
    <w:rsid w:val="00B04818"/>
    <w:rsid w:val="00B04D76"/>
    <w:rsid w:val="00B07341"/>
    <w:rsid w:val="00B07C39"/>
    <w:rsid w:val="00B1629D"/>
    <w:rsid w:val="00B21950"/>
    <w:rsid w:val="00B30539"/>
    <w:rsid w:val="00B314DB"/>
    <w:rsid w:val="00B361F2"/>
    <w:rsid w:val="00B3718B"/>
    <w:rsid w:val="00B3745F"/>
    <w:rsid w:val="00B41FB9"/>
    <w:rsid w:val="00B4632A"/>
    <w:rsid w:val="00B51A93"/>
    <w:rsid w:val="00B530F1"/>
    <w:rsid w:val="00B5641A"/>
    <w:rsid w:val="00B876A3"/>
    <w:rsid w:val="00B9119C"/>
    <w:rsid w:val="00B93D7F"/>
    <w:rsid w:val="00BA276C"/>
    <w:rsid w:val="00BB019D"/>
    <w:rsid w:val="00BB306F"/>
    <w:rsid w:val="00BB6F90"/>
    <w:rsid w:val="00BB6FDF"/>
    <w:rsid w:val="00BD0FF5"/>
    <w:rsid w:val="00BD4B89"/>
    <w:rsid w:val="00BD5922"/>
    <w:rsid w:val="00BE171F"/>
    <w:rsid w:val="00BE3BF2"/>
    <w:rsid w:val="00BF02CB"/>
    <w:rsid w:val="00BF6FD8"/>
    <w:rsid w:val="00C03680"/>
    <w:rsid w:val="00C054DF"/>
    <w:rsid w:val="00C100F5"/>
    <w:rsid w:val="00C12F47"/>
    <w:rsid w:val="00C21762"/>
    <w:rsid w:val="00C21FEF"/>
    <w:rsid w:val="00C23BA4"/>
    <w:rsid w:val="00C24543"/>
    <w:rsid w:val="00C256A2"/>
    <w:rsid w:val="00C25ADB"/>
    <w:rsid w:val="00C36FDF"/>
    <w:rsid w:val="00C41275"/>
    <w:rsid w:val="00C44C5A"/>
    <w:rsid w:val="00C51515"/>
    <w:rsid w:val="00C51F00"/>
    <w:rsid w:val="00C5660B"/>
    <w:rsid w:val="00C57ADD"/>
    <w:rsid w:val="00C63D1A"/>
    <w:rsid w:val="00C64B5B"/>
    <w:rsid w:val="00C64F1A"/>
    <w:rsid w:val="00C65790"/>
    <w:rsid w:val="00C66B72"/>
    <w:rsid w:val="00C70EFC"/>
    <w:rsid w:val="00C77DDC"/>
    <w:rsid w:val="00C82C74"/>
    <w:rsid w:val="00C87AC4"/>
    <w:rsid w:val="00C91ECD"/>
    <w:rsid w:val="00C9567A"/>
    <w:rsid w:val="00CB212D"/>
    <w:rsid w:val="00CB2660"/>
    <w:rsid w:val="00CC5E90"/>
    <w:rsid w:val="00CD046C"/>
    <w:rsid w:val="00CE076C"/>
    <w:rsid w:val="00CE5199"/>
    <w:rsid w:val="00CE5BFD"/>
    <w:rsid w:val="00CE66D5"/>
    <w:rsid w:val="00CF637A"/>
    <w:rsid w:val="00D03BB0"/>
    <w:rsid w:val="00D059DE"/>
    <w:rsid w:val="00D05ABD"/>
    <w:rsid w:val="00D13FCE"/>
    <w:rsid w:val="00D306D1"/>
    <w:rsid w:val="00D30800"/>
    <w:rsid w:val="00D34786"/>
    <w:rsid w:val="00D37BFC"/>
    <w:rsid w:val="00D46BC7"/>
    <w:rsid w:val="00D47A8E"/>
    <w:rsid w:val="00D52D14"/>
    <w:rsid w:val="00D61225"/>
    <w:rsid w:val="00D712D3"/>
    <w:rsid w:val="00D71422"/>
    <w:rsid w:val="00D72DC6"/>
    <w:rsid w:val="00D7558D"/>
    <w:rsid w:val="00D81D92"/>
    <w:rsid w:val="00D82E1D"/>
    <w:rsid w:val="00D876F9"/>
    <w:rsid w:val="00D974A1"/>
    <w:rsid w:val="00DA7B5F"/>
    <w:rsid w:val="00DC11E7"/>
    <w:rsid w:val="00DC24E3"/>
    <w:rsid w:val="00DC7023"/>
    <w:rsid w:val="00DC769A"/>
    <w:rsid w:val="00DD08AC"/>
    <w:rsid w:val="00DD20E9"/>
    <w:rsid w:val="00DD3D86"/>
    <w:rsid w:val="00DD4AD2"/>
    <w:rsid w:val="00DE2862"/>
    <w:rsid w:val="00DF1EC4"/>
    <w:rsid w:val="00E0340B"/>
    <w:rsid w:val="00E0480C"/>
    <w:rsid w:val="00E04A90"/>
    <w:rsid w:val="00E0551F"/>
    <w:rsid w:val="00E13D2F"/>
    <w:rsid w:val="00E219C7"/>
    <w:rsid w:val="00E30F07"/>
    <w:rsid w:val="00E4118C"/>
    <w:rsid w:val="00E411BF"/>
    <w:rsid w:val="00E43157"/>
    <w:rsid w:val="00E435A2"/>
    <w:rsid w:val="00E461CE"/>
    <w:rsid w:val="00E471B0"/>
    <w:rsid w:val="00E573E4"/>
    <w:rsid w:val="00E60DCF"/>
    <w:rsid w:val="00E64C3D"/>
    <w:rsid w:val="00E720CA"/>
    <w:rsid w:val="00E74F3A"/>
    <w:rsid w:val="00E81543"/>
    <w:rsid w:val="00E84EB5"/>
    <w:rsid w:val="00E853F4"/>
    <w:rsid w:val="00E85662"/>
    <w:rsid w:val="00E8789F"/>
    <w:rsid w:val="00E90AF6"/>
    <w:rsid w:val="00E97B71"/>
    <w:rsid w:val="00E97FCC"/>
    <w:rsid w:val="00EA3D34"/>
    <w:rsid w:val="00EA52CC"/>
    <w:rsid w:val="00EB454D"/>
    <w:rsid w:val="00EB66DE"/>
    <w:rsid w:val="00ED1720"/>
    <w:rsid w:val="00ED33C7"/>
    <w:rsid w:val="00ED3A4F"/>
    <w:rsid w:val="00ED549D"/>
    <w:rsid w:val="00ED5E10"/>
    <w:rsid w:val="00ED76BE"/>
    <w:rsid w:val="00EE00E9"/>
    <w:rsid w:val="00EF1AAA"/>
    <w:rsid w:val="00EF619B"/>
    <w:rsid w:val="00F00B55"/>
    <w:rsid w:val="00F02AD1"/>
    <w:rsid w:val="00F0586B"/>
    <w:rsid w:val="00F174A7"/>
    <w:rsid w:val="00F21990"/>
    <w:rsid w:val="00F253CC"/>
    <w:rsid w:val="00F35235"/>
    <w:rsid w:val="00F37106"/>
    <w:rsid w:val="00F37B15"/>
    <w:rsid w:val="00F44E25"/>
    <w:rsid w:val="00F519CF"/>
    <w:rsid w:val="00F532B1"/>
    <w:rsid w:val="00F56BA5"/>
    <w:rsid w:val="00F56ECB"/>
    <w:rsid w:val="00F60E22"/>
    <w:rsid w:val="00F81395"/>
    <w:rsid w:val="00F81BB8"/>
    <w:rsid w:val="00F90C64"/>
    <w:rsid w:val="00F917D1"/>
    <w:rsid w:val="00F93BF7"/>
    <w:rsid w:val="00F94F84"/>
    <w:rsid w:val="00F9653B"/>
    <w:rsid w:val="00FB62CF"/>
    <w:rsid w:val="00FD3C3B"/>
    <w:rsid w:val="00FD69CE"/>
    <w:rsid w:val="00FE07DD"/>
    <w:rsid w:val="00FE240F"/>
    <w:rsid w:val="00FE6B45"/>
    <w:rsid w:val="00FF00D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64F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C64F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64F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CommentReference">
    <w:name w:val="annotation reference"/>
    <w:basedOn w:val="DefaultParagraphFont"/>
    <w:uiPriority w:val="99"/>
    <w:semiHidden/>
    <w:unhideWhenUsed/>
    <w:rsid w:val="00B21950"/>
    <w:rPr>
      <w:sz w:val="16"/>
      <w:szCs w:val="16"/>
    </w:rPr>
  </w:style>
  <w:style w:type="paragraph" w:styleId="CommentText">
    <w:name w:val="annotation text"/>
    <w:basedOn w:val="Normal"/>
    <w:link w:val="CommentTextChar"/>
    <w:uiPriority w:val="99"/>
    <w:unhideWhenUsed/>
    <w:rsid w:val="00B21950"/>
    <w:rPr>
      <w:sz w:val="20"/>
      <w:szCs w:val="20"/>
    </w:rPr>
  </w:style>
  <w:style w:type="character" w:customStyle="1" w:styleId="CommentTextChar">
    <w:name w:val="Comment Text Char"/>
    <w:basedOn w:val="DefaultParagraphFont"/>
    <w:link w:val="CommentText"/>
    <w:uiPriority w:val="99"/>
    <w:rsid w:val="00B21950"/>
    <w:rPr>
      <w:lang w:val="en-US" w:eastAsia="en-US"/>
    </w:rPr>
  </w:style>
  <w:style w:type="paragraph" w:styleId="CommentSubject">
    <w:name w:val="annotation subject"/>
    <w:basedOn w:val="CommentText"/>
    <w:next w:val="CommentText"/>
    <w:link w:val="CommentSubjectChar"/>
    <w:uiPriority w:val="99"/>
    <w:semiHidden/>
    <w:unhideWhenUsed/>
    <w:rsid w:val="00B21950"/>
    <w:rPr>
      <w:b/>
      <w:bCs/>
    </w:rPr>
  </w:style>
  <w:style w:type="character" w:customStyle="1" w:styleId="CommentSubjectChar">
    <w:name w:val="Comment Subject Char"/>
    <w:basedOn w:val="CommentTextChar"/>
    <w:link w:val="CommentSubject"/>
    <w:uiPriority w:val="99"/>
    <w:semiHidden/>
    <w:rsid w:val="00B21950"/>
    <w:rPr>
      <w:b/>
      <w:bCs/>
      <w:lang w:val="en-US" w:eastAsia="en-US"/>
    </w:rPr>
  </w:style>
  <w:style w:type="character" w:styleId="UnresolvedMention">
    <w:name w:val="Unresolved Mention"/>
    <w:basedOn w:val="DefaultParagraphFont"/>
    <w:uiPriority w:val="99"/>
    <w:semiHidden/>
    <w:unhideWhenUsed/>
    <w:rsid w:val="00B51A93"/>
    <w:rPr>
      <w:color w:val="605E5C"/>
      <w:shd w:val="clear" w:color="auto" w:fill="E1DFDD"/>
    </w:rPr>
  </w:style>
  <w:style w:type="paragraph" w:customStyle="1" w:styleId="paragraph">
    <w:name w:val="paragraph"/>
    <w:basedOn w:val="Normal"/>
    <w:rsid w:val="008B76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B7673"/>
  </w:style>
  <w:style w:type="character" w:customStyle="1" w:styleId="eop">
    <w:name w:val="eop"/>
    <w:basedOn w:val="DefaultParagraphFont"/>
    <w:rsid w:val="008B7673"/>
  </w:style>
  <w:style w:type="paragraph" w:styleId="Title">
    <w:name w:val="Title"/>
    <w:basedOn w:val="Normal"/>
    <w:next w:val="Normal"/>
    <w:link w:val="TitleChar"/>
    <w:uiPriority w:val="10"/>
    <w:qFormat/>
    <w:rsid w:val="00C64B5B"/>
    <w:pPr>
      <w:pBdr>
        <w:top w:val="none" w:sz="0" w:space="0" w:color="auto"/>
        <w:left w:val="none" w:sz="0" w:space="0" w:color="auto"/>
        <w:bottom w:val="none" w:sz="0" w:space="0" w:color="auto"/>
        <w:right w:val="none" w:sz="0" w:space="0" w:color="auto"/>
        <w:between w:val="none" w:sz="0" w:space="0" w:color="auto"/>
        <w:bar w:val="none" w:sz="0" w:color="auto"/>
      </w:pBdr>
      <w:ind w:firstLine="709"/>
      <w:contextualSpacing/>
      <w:jc w:val="both"/>
    </w:pPr>
    <w:rPr>
      <w:rFonts w:asciiTheme="majorHAnsi" w:eastAsiaTheme="majorEastAsia" w:hAnsiTheme="majorHAnsi" w:cstheme="majorBidi"/>
      <w:spacing w:val="-10"/>
      <w:kern w:val="28"/>
      <w:sz w:val="56"/>
      <w:szCs w:val="56"/>
      <w:bdr w:val="none" w:sz="0" w:space="0" w:color="auto"/>
      <w:lang w:val="es-CO"/>
    </w:rPr>
  </w:style>
  <w:style w:type="character" w:customStyle="1" w:styleId="TitleChar">
    <w:name w:val="Title Char"/>
    <w:basedOn w:val="DefaultParagraphFont"/>
    <w:link w:val="Title"/>
    <w:uiPriority w:val="10"/>
    <w:rsid w:val="00C64B5B"/>
    <w:rPr>
      <w:rFonts w:asciiTheme="majorHAnsi" w:eastAsiaTheme="majorEastAsia" w:hAnsiTheme="majorHAnsi" w:cstheme="majorBidi"/>
      <w:spacing w:val="-10"/>
      <w:kern w:val="28"/>
      <w:sz w:val="56"/>
      <w:szCs w:val="56"/>
      <w:bdr w:val="none" w:sz="0" w:space="0" w:color="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prensa/comunicados/2019/1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1404"/>
    <w:rsid w:val="00161C53"/>
    <w:rsid w:val="001B2D5D"/>
    <w:rsid w:val="00200821"/>
    <w:rsid w:val="0025245B"/>
    <w:rsid w:val="002A3923"/>
    <w:rsid w:val="002E7528"/>
    <w:rsid w:val="0038570E"/>
    <w:rsid w:val="00394049"/>
    <w:rsid w:val="003B0C71"/>
    <w:rsid w:val="00491E17"/>
    <w:rsid w:val="004B5BBB"/>
    <w:rsid w:val="004F2DF8"/>
    <w:rsid w:val="00517E2A"/>
    <w:rsid w:val="00672ACF"/>
    <w:rsid w:val="00692E57"/>
    <w:rsid w:val="006D3128"/>
    <w:rsid w:val="006F24A1"/>
    <w:rsid w:val="007C172C"/>
    <w:rsid w:val="00806458"/>
    <w:rsid w:val="00875B8A"/>
    <w:rsid w:val="008953BC"/>
    <w:rsid w:val="008B7C22"/>
    <w:rsid w:val="009317A4"/>
    <w:rsid w:val="009A261B"/>
    <w:rsid w:val="00A152AD"/>
    <w:rsid w:val="00A206F3"/>
    <w:rsid w:val="00A95DAB"/>
    <w:rsid w:val="00AA2E17"/>
    <w:rsid w:val="00AC15A4"/>
    <w:rsid w:val="00AD5D22"/>
    <w:rsid w:val="00B0336C"/>
    <w:rsid w:val="00B14AF4"/>
    <w:rsid w:val="00BD5819"/>
    <w:rsid w:val="00BF5B91"/>
    <w:rsid w:val="00D241E9"/>
    <w:rsid w:val="00D7750D"/>
    <w:rsid w:val="00DB31EF"/>
    <w:rsid w:val="00E92C85"/>
    <w:rsid w:val="00F00D2F"/>
    <w:rsid w:val="00F128DF"/>
    <w:rsid w:val="00F8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32241</Characters>
  <Application>Microsoft Office Word</Application>
  <DocSecurity>0</DocSecurity>
  <Lines>268</Lines>
  <Paragraphs>75</Paragraphs>
  <ScaleCrop>false</ScaleCrop>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2023-02-03T14:44:00Z</dcterms:created>
  <dcterms:modified xsi:type="dcterms:W3CDTF">2023-02-03T14:44:00Z</dcterms:modified>
</cp:coreProperties>
</file>