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D404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2171FA80" w:rsidR="00040C3A" w:rsidRPr="0090270B" w:rsidRDefault="0048037A"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112880CA">
                <wp:simplePos x="0" y="0"/>
                <wp:positionH relativeFrom="column">
                  <wp:posOffset>-350520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48BED7DC" w:rsidR="00627C9F" w:rsidRPr="0015756D" w:rsidRDefault="00834D49" w:rsidP="007A5817">
                            <w:pPr>
                              <w:spacing w:line="276" w:lineRule="auto"/>
                              <w:jc w:val="right"/>
                              <w:rPr>
                                <w:rFonts w:asciiTheme="minorHAnsi" w:hAnsiTheme="minorHAnsi"/>
                                <w:color w:val="FFFFFF" w:themeColor="background1"/>
                                <w:sz w:val="22"/>
                                <w:lang w:val="es-AR"/>
                              </w:rPr>
                            </w:pPr>
                            <w:r w:rsidRPr="0015756D">
                              <w:rPr>
                                <w:rFonts w:asciiTheme="minorHAnsi" w:hAnsiTheme="minorHAnsi"/>
                                <w:color w:val="FFFFFF" w:themeColor="background1"/>
                                <w:sz w:val="22"/>
                                <w:lang w:val="es-AR"/>
                              </w:rPr>
                              <w:t>OEA/Ser.L/V/II</w:t>
                            </w:r>
                          </w:p>
                          <w:p w14:paraId="6A41611B" w14:textId="12FEBE22" w:rsidR="00627C9F" w:rsidRPr="0015756D" w:rsidRDefault="00627C9F" w:rsidP="007A5817">
                            <w:pPr>
                              <w:spacing w:line="276" w:lineRule="auto"/>
                              <w:jc w:val="right"/>
                              <w:rPr>
                                <w:rFonts w:asciiTheme="minorHAnsi" w:hAnsiTheme="minorHAnsi"/>
                                <w:color w:val="FFFFFF" w:themeColor="background1"/>
                                <w:sz w:val="22"/>
                                <w:lang w:val="es-AR"/>
                              </w:rPr>
                            </w:pPr>
                            <w:r w:rsidRPr="0015756D">
                              <w:rPr>
                                <w:rFonts w:asciiTheme="minorHAnsi" w:hAnsiTheme="minorHAnsi"/>
                                <w:color w:val="FFFFFF" w:themeColor="background1"/>
                                <w:sz w:val="22"/>
                                <w:lang w:val="es-AR"/>
                              </w:rPr>
                              <w:t xml:space="preserve">Doc. </w:t>
                            </w:r>
                            <w:r w:rsidR="00C3342E" w:rsidRPr="0015756D">
                              <w:rPr>
                                <w:rFonts w:asciiTheme="minorHAnsi" w:hAnsiTheme="minorHAnsi"/>
                                <w:color w:val="FFFFFF" w:themeColor="background1"/>
                                <w:sz w:val="22"/>
                                <w:lang w:val="es-AR"/>
                              </w:rPr>
                              <w:t>393</w:t>
                            </w:r>
                          </w:p>
                          <w:p w14:paraId="69373ED2" w14:textId="5FBD8565" w:rsidR="00627C9F" w:rsidRPr="00C25ADB" w:rsidRDefault="00E23AE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17 diciembre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48037A">
                              <w:rPr>
                                <w:rFonts w:asciiTheme="minorHAnsi" w:hAnsiTheme="minorHAnsi"/>
                                <w:color w:val="FFFFFF" w:themeColor="background1"/>
                                <w:sz w:val="22"/>
                                <w:lang w:val="es-PA"/>
                              </w:rPr>
                              <w:t>2</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7" type="#_x0000_t202" style="position:absolute;left:0;text-align:left;margin-left:-27.6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" filled="f" stroked="f" strokeweight=".5pt">
                <v:textbox>
                  <w:txbxContent>
                    <w:p w14:paraId="6CF0BAF6" w14:textId="48BED7DC" w:rsidR="00627C9F" w:rsidRPr="0015756D" w:rsidRDefault="00834D49" w:rsidP="007A5817">
                      <w:pPr>
                        <w:spacing w:line="276" w:lineRule="auto"/>
                        <w:jc w:val="right"/>
                        <w:rPr>
                          <w:rFonts w:asciiTheme="minorHAnsi" w:hAnsiTheme="minorHAnsi"/>
                          <w:color w:val="FFFFFF" w:themeColor="background1"/>
                          <w:sz w:val="22"/>
                          <w:lang w:val="es-AR"/>
                        </w:rPr>
                      </w:pPr>
                      <w:r w:rsidRPr="0015756D">
                        <w:rPr>
                          <w:rFonts w:asciiTheme="minorHAnsi" w:hAnsiTheme="minorHAnsi"/>
                          <w:color w:val="FFFFFF" w:themeColor="background1"/>
                          <w:sz w:val="22"/>
                          <w:lang w:val="es-AR"/>
                        </w:rPr>
                        <w:t>OEA/Ser.L/V/II</w:t>
                      </w:r>
                    </w:p>
                    <w:p w14:paraId="6A41611B" w14:textId="12FEBE22" w:rsidR="00627C9F" w:rsidRPr="0015756D" w:rsidRDefault="00627C9F" w:rsidP="007A5817">
                      <w:pPr>
                        <w:spacing w:line="276" w:lineRule="auto"/>
                        <w:jc w:val="right"/>
                        <w:rPr>
                          <w:rFonts w:asciiTheme="minorHAnsi" w:hAnsiTheme="minorHAnsi"/>
                          <w:color w:val="FFFFFF" w:themeColor="background1"/>
                          <w:sz w:val="22"/>
                          <w:lang w:val="es-AR"/>
                        </w:rPr>
                      </w:pPr>
                      <w:r w:rsidRPr="0015756D">
                        <w:rPr>
                          <w:rFonts w:asciiTheme="minorHAnsi" w:hAnsiTheme="minorHAnsi"/>
                          <w:color w:val="FFFFFF" w:themeColor="background1"/>
                          <w:sz w:val="22"/>
                          <w:lang w:val="es-AR"/>
                        </w:rPr>
                        <w:t xml:space="preserve">Doc. </w:t>
                      </w:r>
                      <w:r w:rsidR="00C3342E" w:rsidRPr="0015756D">
                        <w:rPr>
                          <w:rFonts w:asciiTheme="minorHAnsi" w:hAnsiTheme="minorHAnsi"/>
                          <w:color w:val="FFFFFF" w:themeColor="background1"/>
                          <w:sz w:val="22"/>
                          <w:lang w:val="es-AR"/>
                        </w:rPr>
                        <w:t>393</w:t>
                      </w:r>
                    </w:p>
                    <w:p w14:paraId="69373ED2" w14:textId="5FBD8565" w:rsidR="00627C9F" w:rsidRPr="00C25ADB" w:rsidRDefault="00E23AE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17 diciembre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48037A">
                        <w:rPr>
                          <w:rFonts w:asciiTheme="minorHAnsi" w:hAnsiTheme="minorHAnsi"/>
                          <w:color w:val="FFFFFF" w:themeColor="background1"/>
                          <w:sz w:val="22"/>
                          <w:lang w:val="es-PA"/>
                        </w:rPr>
                        <w:t>2</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r w:rsidR="003D3BC2"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2CA3B22E">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458322D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3342E">
                              <w:rPr>
                                <w:rFonts w:asciiTheme="majorHAnsi" w:hAnsiTheme="majorHAnsi" w:cs="Arial"/>
                                <w:b/>
                                <w:bCs/>
                                <w:color w:val="0D0D0D" w:themeColor="text1" w:themeTint="F2"/>
                                <w:sz w:val="36"/>
                                <w:szCs w:val="22"/>
                                <w:lang w:val="es-ES_tradnl"/>
                              </w:rPr>
                              <w:t>384</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2678AB">
                              <w:rPr>
                                <w:rFonts w:asciiTheme="majorHAnsi" w:hAnsiTheme="majorHAnsi" w:cs="Arial"/>
                                <w:b/>
                                <w:bCs/>
                                <w:color w:val="0D0D0D" w:themeColor="text1" w:themeTint="F2"/>
                                <w:sz w:val="36"/>
                                <w:szCs w:val="22"/>
                                <w:lang w:val="es-ES_tradnl"/>
                              </w:rPr>
                              <w:t>2</w:t>
                            </w:r>
                          </w:p>
                          <w:p w14:paraId="09C54AB3" w14:textId="2A55BCF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A602F">
                              <w:rPr>
                                <w:rFonts w:asciiTheme="majorHAnsi" w:hAnsiTheme="majorHAnsi" w:cs="Arial"/>
                                <w:b/>
                                <w:color w:val="0D0D0D" w:themeColor="text1" w:themeTint="F2"/>
                                <w:sz w:val="36"/>
                                <w:szCs w:val="22"/>
                                <w:lang w:val="es-ES_tradnl"/>
                              </w:rPr>
                              <w:t>1</w:t>
                            </w:r>
                            <w:r w:rsidR="00B14EBA">
                              <w:rPr>
                                <w:rFonts w:asciiTheme="majorHAnsi" w:hAnsiTheme="majorHAnsi" w:cs="Arial"/>
                                <w:b/>
                                <w:color w:val="0D0D0D" w:themeColor="text1" w:themeTint="F2"/>
                                <w:sz w:val="36"/>
                                <w:szCs w:val="22"/>
                                <w:lang w:val="es-ES_tradnl"/>
                              </w:rPr>
                              <w:t>573</w:t>
                            </w:r>
                            <w:r w:rsidR="00246D1F" w:rsidRPr="004E2649">
                              <w:rPr>
                                <w:rFonts w:asciiTheme="majorHAnsi" w:hAnsiTheme="majorHAnsi" w:cs="Arial"/>
                                <w:b/>
                                <w:color w:val="0D0D0D" w:themeColor="text1" w:themeTint="F2"/>
                                <w:sz w:val="36"/>
                                <w:szCs w:val="22"/>
                                <w:lang w:val="es-ES_tradnl"/>
                              </w:rPr>
                              <w:t>-</w:t>
                            </w:r>
                            <w:r w:rsidR="00CA602F">
                              <w:rPr>
                                <w:rFonts w:asciiTheme="majorHAnsi" w:hAnsiTheme="majorHAnsi" w:cs="Arial"/>
                                <w:b/>
                                <w:color w:val="0D0D0D" w:themeColor="text1" w:themeTint="F2"/>
                                <w:sz w:val="36"/>
                                <w:szCs w:val="22"/>
                                <w:lang w:val="es-ES_tradnl"/>
                              </w:rPr>
                              <w:t>1</w:t>
                            </w:r>
                            <w:r w:rsidR="00B14EBA">
                              <w:rPr>
                                <w:rFonts w:asciiTheme="majorHAnsi" w:hAnsiTheme="majorHAnsi" w:cs="Arial"/>
                                <w:b/>
                                <w:color w:val="0D0D0D" w:themeColor="text1" w:themeTint="F2"/>
                                <w:sz w:val="36"/>
                                <w:szCs w:val="22"/>
                                <w:lang w:val="es-ES_tradnl"/>
                              </w:rPr>
                              <w:t>4</w:t>
                            </w:r>
                            <w:r w:rsidR="00246D1F" w:rsidRPr="004E2649">
                              <w:rPr>
                                <w:rFonts w:asciiTheme="majorHAnsi" w:hAnsiTheme="majorHAnsi" w:cs="Arial"/>
                                <w:b/>
                                <w:color w:val="0D0D0D" w:themeColor="text1" w:themeTint="F2"/>
                                <w:sz w:val="36"/>
                                <w:szCs w:val="22"/>
                                <w:lang w:val="es-ES_tradnl"/>
                              </w:rPr>
                              <w:t xml:space="preserve"> </w:t>
                            </w:r>
                          </w:p>
                          <w:p w14:paraId="70CF6833" w14:textId="19458A81"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29252C3F" w:rsidR="005B52B0" w:rsidRPr="0010736F" w:rsidRDefault="0048037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P.E.M.M</w:t>
                            </w:r>
                            <w:r w:rsidR="00B00885">
                              <w:rPr>
                                <w:rFonts w:asciiTheme="majorHAnsi" w:hAnsiTheme="majorHAnsi" w:cs="Arial"/>
                                <w:color w:val="0D0D0D" w:themeColor="text1" w:themeTint="F2"/>
                                <w:szCs w:val="22"/>
                                <w:lang w:val="es-ES_tradnl"/>
                              </w:rPr>
                              <w:t>.</w:t>
                            </w:r>
                          </w:p>
                          <w:bookmarkEnd w:id="0"/>
                          <w:p w14:paraId="35068D0D" w14:textId="615FCE8E" w:rsidR="005B52B0" w:rsidRPr="0010736F" w:rsidRDefault="005B52B0" w:rsidP="00997BC5">
                            <w:pPr>
                              <w:spacing w:line="276" w:lineRule="auto"/>
                              <w:rPr>
                                <w:rFonts w:asciiTheme="majorHAnsi" w:hAnsiTheme="majorHAnsi" w:cs="Arial"/>
                                <w:color w:val="0D0D0D" w:themeColor="text1" w:themeTint="F2"/>
                                <w:szCs w:val="22"/>
                                <w:lang w:val="es-ES"/>
                              </w:rPr>
                            </w:pPr>
                            <w:r w:rsidRPr="0010736F">
                              <w:rPr>
                                <w:rFonts w:asciiTheme="majorHAnsi" w:hAnsiTheme="majorHAnsi" w:cs="Arial"/>
                                <w:color w:val="0D0D0D" w:themeColor="text1" w:themeTint="F2"/>
                                <w:szCs w:val="22"/>
                                <w:lang w:val="es-ES_tradnl"/>
                              </w:rPr>
                              <w:t>P</w:t>
                            </w:r>
                            <w:r w:rsidR="0048037A">
                              <w:rPr>
                                <w:rFonts w:asciiTheme="majorHAnsi" w:hAnsiTheme="majorHAnsi" w:cs="Arial"/>
                                <w:color w:val="0D0D0D" w:themeColor="text1" w:themeTint="F2"/>
                                <w:szCs w:val="22"/>
                                <w:lang w:val="es-ES_tradnl"/>
                              </w:rPr>
                              <w:t>ERÚ</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8"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" filled="f" stroked="f" strokeweight=".5pt">
                <v:textbox>
                  <w:txbxContent>
                    <w:p w14:paraId="4D9FE29C" w14:textId="458322D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3342E">
                        <w:rPr>
                          <w:rFonts w:asciiTheme="majorHAnsi" w:hAnsiTheme="majorHAnsi" w:cs="Arial"/>
                          <w:b/>
                          <w:bCs/>
                          <w:color w:val="0D0D0D" w:themeColor="text1" w:themeTint="F2"/>
                          <w:sz w:val="36"/>
                          <w:szCs w:val="22"/>
                          <w:lang w:val="es-ES_tradnl"/>
                        </w:rPr>
                        <w:t>384</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2678AB">
                        <w:rPr>
                          <w:rFonts w:asciiTheme="majorHAnsi" w:hAnsiTheme="majorHAnsi" w:cs="Arial"/>
                          <w:b/>
                          <w:bCs/>
                          <w:color w:val="0D0D0D" w:themeColor="text1" w:themeTint="F2"/>
                          <w:sz w:val="36"/>
                          <w:szCs w:val="22"/>
                          <w:lang w:val="es-ES_tradnl"/>
                        </w:rPr>
                        <w:t>2</w:t>
                      </w:r>
                    </w:p>
                    <w:p w14:paraId="09C54AB3" w14:textId="2A55BCF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A602F">
                        <w:rPr>
                          <w:rFonts w:asciiTheme="majorHAnsi" w:hAnsiTheme="majorHAnsi" w:cs="Arial"/>
                          <w:b/>
                          <w:color w:val="0D0D0D" w:themeColor="text1" w:themeTint="F2"/>
                          <w:sz w:val="36"/>
                          <w:szCs w:val="22"/>
                          <w:lang w:val="es-ES_tradnl"/>
                        </w:rPr>
                        <w:t>1</w:t>
                      </w:r>
                      <w:r w:rsidR="00B14EBA">
                        <w:rPr>
                          <w:rFonts w:asciiTheme="majorHAnsi" w:hAnsiTheme="majorHAnsi" w:cs="Arial"/>
                          <w:b/>
                          <w:color w:val="0D0D0D" w:themeColor="text1" w:themeTint="F2"/>
                          <w:sz w:val="36"/>
                          <w:szCs w:val="22"/>
                          <w:lang w:val="es-ES_tradnl"/>
                        </w:rPr>
                        <w:t>573</w:t>
                      </w:r>
                      <w:r w:rsidR="00246D1F" w:rsidRPr="004E2649">
                        <w:rPr>
                          <w:rFonts w:asciiTheme="majorHAnsi" w:hAnsiTheme="majorHAnsi" w:cs="Arial"/>
                          <w:b/>
                          <w:color w:val="0D0D0D" w:themeColor="text1" w:themeTint="F2"/>
                          <w:sz w:val="36"/>
                          <w:szCs w:val="22"/>
                          <w:lang w:val="es-ES_tradnl"/>
                        </w:rPr>
                        <w:t>-</w:t>
                      </w:r>
                      <w:r w:rsidR="00CA602F">
                        <w:rPr>
                          <w:rFonts w:asciiTheme="majorHAnsi" w:hAnsiTheme="majorHAnsi" w:cs="Arial"/>
                          <w:b/>
                          <w:color w:val="0D0D0D" w:themeColor="text1" w:themeTint="F2"/>
                          <w:sz w:val="36"/>
                          <w:szCs w:val="22"/>
                          <w:lang w:val="es-ES_tradnl"/>
                        </w:rPr>
                        <w:t>1</w:t>
                      </w:r>
                      <w:r w:rsidR="00B14EBA">
                        <w:rPr>
                          <w:rFonts w:asciiTheme="majorHAnsi" w:hAnsiTheme="majorHAnsi" w:cs="Arial"/>
                          <w:b/>
                          <w:color w:val="0D0D0D" w:themeColor="text1" w:themeTint="F2"/>
                          <w:sz w:val="36"/>
                          <w:szCs w:val="22"/>
                          <w:lang w:val="es-ES_tradnl"/>
                        </w:rPr>
                        <w:t>4</w:t>
                      </w:r>
                      <w:r w:rsidR="00246D1F" w:rsidRPr="004E2649">
                        <w:rPr>
                          <w:rFonts w:asciiTheme="majorHAnsi" w:hAnsiTheme="majorHAnsi" w:cs="Arial"/>
                          <w:b/>
                          <w:color w:val="0D0D0D" w:themeColor="text1" w:themeTint="F2"/>
                          <w:sz w:val="36"/>
                          <w:szCs w:val="22"/>
                          <w:lang w:val="es-ES_tradnl"/>
                        </w:rPr>
                        <w:t xml:space="preserve"> </w:t>
                      </w:r>
                    </w:p>
                    <w:p w14:paraId="70CF6833" w14:textId="19458A81"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29252C3F" w:rsidR="005B52B0" w:rsidRPr="0010736F" w:rsidRDefault="0048037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P.E.M.M</w:t>
                      </w:r>
                      <w:r w:rsidR="00B00885">
                        <w:rPr>
                          <w:rFonts w:asciiTheme="majorHAnsi" w:hAnsiTheme="majorHAnsi" w:cs="Arial"/>
                          <w:color w:val="0D0D0D" w:themeColor="text1" w:themeTint="F2"/>
                          <w:szCs w:val="22"/>
                          <w:lang w:val="es-ES_tradnl"/>
                        </w:rPr>
                        <w:t>.</w:t>
                      </w:r>
                    </w:p>
                    <w:bookmarkEnd w:id="1"/>
                    <w:p w14:paraId="35068D0D" w14:textId="615FCE8E" w:rsidR="005B52B0" w:rsidRPr="0010736F" w:rsidRDefault="005B52B0" w:rsidP="00997BC5">
                      <w:pPr>
                        <w:spacing w:line="276" w:lineRule="auto"/>
                        <w:rPr>
                          <w:rFonts w:asciiTheme="majorHAnsi" w:hAnsiTheme="majorHAnsi" w:cs="Arial"/>
                          <w:color w:val="0D0D0D" w:themeColor="text1" w:themeTint="F2"/>
                          <w:szCs w:val="22"/>
                          <w:lang w:val="es-ES"/>
                        </w:rPr>
                      </w:pPr>
                      <w:r w:rsidRPr="0010736F">
                        <w:rPr>
                          <w:rFonts w:asciiTheme="majorHAnsi" w:hAnsiTheme="majorHAnsi" w:cs="Arial"/>
                          <w:color w:val="0D0D0D" w:themeColor="text1" w:themeTint="F2"/>
                          <w:szCs w:val="22"/>
                          <w:lang w:val="es-ES_tradnl"/>
                        </w:rPr>
                        <w:t>P</w:t>
                      </w:r>
                      <w:r w:rsidR="0048037A">
                        <w:rPr>
                          <w:rFonts w:asciiTheme="majorHAnsi" w:hAnsiTheme="majorHAnsi" w:cs="Arial"/>
                          <w:color w:val="0D0D0D" w:themeColor="text1" w:themeTint="F2"/>
                          <w:szCs w:val="22"/>
                          <w:lang w:val="es-ES_tradnl"/>
                        </w:rPr>
                        <w:t>ERÚ</w:t>
                      </w:r>
                    </w:p>
                    <w:p w14:paraId="575DFD52" w14:textId="77777777" w:rsidR="005B52B0" w:rsidRPr="00AE5488" w:rsidRDefault="005B52B0" w:rsidP="007A5817">
                      <w:pPr>
                        <w:rPr>
                          <w:color w:val="0D0D0D" w:themeColor="text1" w:themeTint="F2"/>
                          <w:lang w:val="es-ES_tradnl"/>
                        </w:rPr>
                      </w:pP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4EC5CB2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E23AE1">
                              <w:rPr>
                                <w:rFonts w:asciiTheme="majorHAnsi" w:hAnsiTheme="majorHAnsi"/>
                                <w:color w:val="0D0D0D" w:themeColor="text1" w:themeTint="F2"/>
                                <w:sz w:val="18"/>
                                <w:szCs w:val="22"/>
                                <w:lang w:val="es-ES"/>
                              </w:rPr>
                              <w:t>17</w:t>
                            </w:r>
                            <w:r w:rsidRPr="00890650">
                              <w:rPr>
                                <w:rFonts w:asciiTheme="majorHAnsi" w:hAnsiTheme="majorHAnsi"/>
                                <w:color w:val="0D0D0D" w:themeColor="text1" w:themeTint="F2"/>
                                <w:sz w:val="18"/>
                                <w:szCs w:val="22"/>
                                <w:lang w:val="es-ES"/>
                              </w:rPr>
                              <w:t xml:space="preserve"> de </w:t>
                            </w:r>
                            <w:r w:rsidR="00E23AE1">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48037A">
                              <w:rPr>
                                <w:rFonts w:asciiTheme="majorHAnsi" w:hAnsiTheme="majorHAnsi"/>
                                <w:color w:val="0D0D0D" w:themeColor="text1" w:themeTint="F2"/>
                                <w:sz w:val="18"/>
                                <w:szCs w:val="22"/>
                                <w:lang w:val="es-ES"/>
                              </w:rPr>
                              <w:t>2</w:t>
                            </w:r>
                            <w:r w:rsidR="00E23AE1">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4EC5CB2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E23AE1">
                        <w:rPr>
                          <w:rFonts w:asciiTheme="majorHAnsi" w:hAnsiTheme="majorHAnsi"/>
                          <w:color w:val="0D0D0D" w:themeColor="text1" w:themeTint="F2"/>
                          <w:sz w:val="18"/>
                          <w:szCs w:val="22"/>
                          <w:lang w:val="es-ES"/>
                        </w:rPr>
                        <w:t>17</w:t>
                      </w:r>
                      <w:r w:rsidRPr="00890650">
                        <w:rPr>
                          <w:rFonts w:asciiTheme="majorHAnsi" w:hAnsiTheme="majorHAnsi"/>
                          <w:color w:val="0D0D0D" w:themeColor="text1" w:themeTint="F2"/>
                          <w:sz w:val="18"/>
                          <w:szCs w:val="22"/>
                          <w:lang w:val="es-ES"/>
                        </w:rPr>
                        <w:t xml:space="preserve"> de </w:t>
                      </w:r>
                      <w:r w:rsidR="00E23AE1">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48037A">
                        <w:rPr>
                          <w:rFonts w:asciiTheme="majorHAnsi" w:hAnsiTheme="majorHAnsi"/>
                          <w:color w:val="0D0D0D" w:themeColor="text1" w:themeTint="F2"/>
                          <w:sz w:val="18"/>
                          <w:szCs w:val="22"/>
                          <w:lang w:val="es-ES"/>
                        </w:rPr>
                        <w:t>2</w:t>
                      </w:r>
                      <w:r w:rsidR="00E23AE1">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B076D6" w14:textId="77777777" w:rsidR="002758FB"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23AE1" w:rsidRPr="00E23AE1">
                              <w:rPr>
                                <w:rFonts w:asciiTheme="majorHAnsi" w:hAnsiTheme="majorHAnsi"/>
                                <w:color w:val="595959" w:themeColor="text1" w:themeTint="A6"/>
                                <w:sz w:val="18"/>
                                <w:szCs w:val="18"/>
                                <w:lang w:val="pt-BR"/>
                              </w:rPr>
                              <w:t>384</w:t>
                            </w:r>
                            <w:r w:rsidR="007B05C4" w:rsidRPr="00E23AE1">
                              <w:rPr>
                                <w:rFonts w:asciiTheme="majorHAnsi" w:hAnsiTheme="majorHAnsi"/>
                                <w:color w:val="595959" w:themeColor="text1" w:themeTint="A6"/>
                                <w:sz w:val="18"/>
                                <w:szCs w:val="18"/>
                                <w:lang w:val="pt-BR"/>
                              </w:rPr>
                              <w:t>/</w:t>
                            </w:r>
                            <w:r w:rsidR="00E23AE1" w:rsidRPr="00E23AE1">
                              <w:rPr>
                                <w:rFonts w:asciiTheme="majorHAnsi" w:hAnsiTheme="majorHAnsi"/>
                                <w:color w:val="595959" w:themeColor="text1" w:themeTint="A6"/>
                                <w:sz w:val="18"/>
                                <w:szCs w:val="18"/>
                                <w:lang w:val="pt-BR"/>
                              </w:rPr>
                              <w:t>22</w:t>
                            </w:r>
                            <w:r w:rsidRPr="00E23AE1">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48037A">
                              <w:rPr>
                                <w:rFonts w:asciiTheme="majorHAnsi" w:hAnsiTheme="majorHAnsi"/>
                                <w:color w:val="595959" w:themeColor="text1" w:themeTint="A6"/>
                                <w:sz w:val="18"/>
                                <w:szCs w:val="18"/>
                                <w:lang w:val="es-ES"/>
                              </w:rPr>
                              <w:t>1573</w:t>
                            </w:r>
                            <w:r w:rsidR="000433C9">
                              <w:rPr>
                                <w:rFonts w:asciiTheme="majorHAnsi" w:hAnsiTheme="majorHAnsi"/>
                                <w:color w:val="595959" w:themeColor="text1" w:themeTint="A6"/>
                                <w:sz w:val="18"/>
                                <w:szCs w:val="18"/>
                                <w:lang w:val="es-ES"/>
                              </w:rPr>
                              <w:t>-</w:t>
                            </w:r>
                            <w:r w:rsidR="0048037A">
                              <w:rPr>
                                <w:rFonts w:asciiTheme="majorHAnsi" w:hAnsiTheme="majorHAnsi"/>
                                <w:color w:val="595959" w:themeColor="text1" w:themeTint="A6"/>
                                <w:sz w:val="18"/>
                                <w:szCs w:val="18"/>
                                <w:lang w:val="es-ES"/>
                              </w:rPr>
                              <w:t>14</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48037A">
                              <w:rPr>
                                <w:rFonts w:asciiTheme="majorHAnsi" w:hAnsiTheme="majorHAnsi"/>
                                <w:color w:val="595959" w:themeColor="text1" w:themeTint="A6"/>
                                <w:sz w:val="18"/>
                                <w:szCs w:val="18"/>
                                <w:lang w:val="es-ES_tradnl"/>
                              </w:rPr>
                              <w:t>P.E.M.M</w:t>
                            </w:r>
                            <w:r w:rsidRPr="00890650">
                              <w:rPr>
                                <w:rFonts w:asciiTheme="majorHAnsi" w:hAnsiTheme="majorHAnsi"/>
                                <w:color w:val="595959" w:themeColor="text1" w:themeTint="A6"/>
                                <w:sz w:val="18"/>
                                <w:szCs w:val="18"/>
                                <w:lang w:val="es-ES_tradnl"/>
                              </w:rPr>
                              <w:t xml:space="preserve">. </w:t>
                            </w:r>
                          </w:p>
                          <w:p w14:paraId="0D1B22CF" w14:textId="1AE224F4" w:rsidR="00113F73" w:rsidRPr="007B05C4" w:rsidRDefault="0048037A"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Perú</w:t>
                            </w:r>
                            <w:r w:rsidR="00113F73" w:rsidRPr="00890650">
                              <w:rPr>
                                <w:rFonts w:asciiTheme="majorHAnsi" w:hAnsiTheme="majorHAnsi"/>
                                <w:color w:val="595959" w:themeColor="text1" w:themeTint="A6"/>
                                <w:sz w:val="18"/>
                                <w:szCs w:val="18"/>
                                <w:lang w:val="es-ES_tradnl"/>
                              </w:rPr>
                              <w:t xml:space="preserve">. </w:t>
                            </w:r>
                            <w:r w:rsidR="002758FB">
                              <w:rPr>
                                <w:rFonts w:asciiTheme="majorHAnsi" w:hAnsiTheme="majorHAnsi"/>
                                <w:color w:val="595959" w:themeColor="text1" w:themeTint="A6"/>
                                <w:sz w:val="18"/>
                                <w:szCs w:val="18"/>
                                <w:lang w:val="es-ES"/>
                              </w:rPr>
                              <w:t>17 de diciembre de 2022</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0B076D6" w14:textId="77777777" w:rsidR="002758FB"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23AE1" w:rsidRPr="00E23AE1">
                        <w:rPr>
                          <w:rFonts w:asciiTheme="majorHAnsi" w:hAnsiTheme="majorHAnsi"/>
                          <w:color w:val="595959" w:themeColor="text1" w:themeTint="A6"/>
                          <w:sz w:val="18"/>
                          <w:szCs w:val="18"/>
                          <w:lang w:val="pt-BR"/>
                        </w:rPr>
                        <w:t>384</w:t>
                      </w:r>
                      <w:r w:rsidR="007B05C4" w:rsidRPr="00E23AE1">
                        <w:rPr>
                          <w:rFonts w:asciiTheme="majorHAnsi" w:hAnsiTheme="majorHAnsi"/>
                          <w:color w:val="595959" w:themeColor="text1" w:themeTint="A6"/>
                          <w:sz w:val="18"/>
                          <w:szCs w:val="18"/>
                          <w:lang w:val="pt-BR"/>
                        </w:rPr>
                        <w:t>/</w:t>
                      </w:r>
                      <w:r w:rsidR="00E23AE1" w:rsidRPr="00E23AE1">
                        <w:rPr>
                          <w:rFonts w:asciiTheme="majorHAnsi" w:hAnsiTheme="majorHAnsi"/>
                          <w:color w:val="595959" w:themeColor="text1" w:themeTint="A6"/>
                          <w:sz w:val="18"/>
                          <w:szCs w:val="18"/>
                          <w:lang w:val="pt-BR"/>
                        </w:rPr>
                        <w:t>22</w:t>
                      </w:r>
                      <w:r w:rsidRPr="00E23AE1">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48037A">
                        <w:rPr>
                          <w:rFonts w:asciiTheme="majorHAnsi" w:hAnsiTheme="majorHAnsi"/>
                          <w:color w:val="595959" w:themeColor="text1" w:themeTint="A6"/>
                          <w:sz w:val="18"/>
                          <w:szCs w:val="18"/>
                          <w:lang w:val="es-ES"/>
                        </w:rPr>
                        <w:t>1573</w:t>
                      </w:r>
                      <w:r w:rsidR="000433C9">
                        <w:rPr>
                          <w:rFonts w:asciiTheme="majorHAnsi" w:hAnsiTheme="majorHAnsi"/>
                          <w:color w:val="595959" w:themeColor="text1" w:themeTint="A6"/>
                          <w:sz w:val="18"/>
                          <w:szCs w:val="18"/>
                          <w:lang w:val="es-ES"/>
                        </w:rPr>
                        <w:t>-</w:t>
                      </w:r>
                      <w:r w:rsidR="0048037A">
                        <w:rPr>
                          <w:rFonts w:asciiTheme="majorHAnsi" w:hAnsiTheme="majorHAnsi"/>
                          <w:color w:val="595959" w:themeColor="text1" w:themeTint="A6"/>
                          <w:sz w:val="18"/>
                          <w:szCs w:val="18"/>
                          <w:lang w:val="es-ES"/>
                        </w:rPr>
                        <w:t>14</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48037A">
                        <w:rPr>
                          <w:rFonts w:asciiTheme="majorHAnsi" w:hAnsiTheme="majorHAnsi"/>
                          <w:color w:val="595959" w:themeColor="text1" w:themeTint="A6"/>
                          <w:sz w:val="18"/>
                          <w:szCs w:val="18"/>
                          <w:lang w:val="es-ES_tradnl"/>
                        </w:rPr>
                        <w:t>P.E.M.M</w:t>
                      </w:r>
                      <w:r w:rsidRPr="00890650">
                        <w:rPr>
                          <w:rFonts w:asciiTheme="majorHAnsi" w:hAnsiTheme="majorHAnsi"/>
                          <w:color w:val="595959" w:themeColor="text1" w:themeTint="A6"/>
                          <w:sz w:val="18"/>
                          <w:szCs w:val="18"/>
                          <w:lang w:val="es-ES_tradnl"/>
                        </w:rPr>
                        <w:t xml:space="preserve">. </w:t>
                      </w:r>
                    </w:p>
                    <w:p w14:paraId="0D1B22CF" w14:textId="1AE224F4" w:rsidR="00113F73" w:rsidRPr="007B05C4" w:rsidRDefault="0048037A"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Perú</w:t>
                      </w:r>
                      <w:r w:rsidR="00113F73" w:rsidRPr="00890650">
                        <w:rPr>
                          <w:rFonts w:asciiTheme="majorHAnsi" w:hAnsiTheme="majorHAnsi"/>
                          <w:color w:val="595959" w:themeColor="text1" w:themeTint="A6"/>
                          <w:sz w:val="18"/>
                          <w:szCs w:val="18"/>
                          <w:lang w:val="es-ES_tradnl"/>
                        </w:rPr>
                        <w:t xml:space="preserve">. </w:t>
                      </w:r>
                      <w:r w:rsidR="002758FB">
                        <w:rPr>
                          <w:rFonts w:asciiTheme="majorHAnsi" w:hAnsiTheme="majorHAnsi"/>
                          <w:color w:val="595959" w:themeColor="text1" w:themeTint="A6"/>
                          <w:sz w:val="18"/>
                          <w:szCs w:val="18"/>
                          <w:lang w:val="es-ES"/>
                        </w:rPr>
                        <w:t>17 de diciembre de 2022</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6569921C" w:rsidR="00D72DC6" w:rsidRPr="00D72DC6" w:rsidRDefault="006E75B1" w:rsidP="00F02AD1">
                            <w:pPr>
                              <w:rPr>
                                <w:color w:val="FFFFFF" w:themeColor="background1"/>
                                <w14:textFill>
                                  <w14:noFill/>
                                </w14:textFill>
                              </w:rPr>
                            </w:pPr>
                            <w:r>
                              <w:rPr>
                                <w:noProof/>
                                <w:color w:val="FFFFFF" w:themeColor="background1"/>
                              </w:rPr>
                              <w:drawing>
                                <wp:inline distT="0" distB="0" distL="0" distR="0" wp14:anchorId="1E17382E" wp14:editId="7BD307C9">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A1ECD3C" w14:textId="6569921C" w:rsidR="00D72DC6" w:rsidRPr="00D72DC6" w:rsidRDefault="006E75B1" w:rsidP="00F02AD1">
                      <w:pPr>
                        <w:rPr>
                          <w:color w:val="FFFFFF" w:themeColor="background1"/>
                          <w14:textFill>
                            <w14:noFill/>
                          </w14:textFill>
                        </w:rPr>
                      </w:pPr>
                      <w:r>
                        <w:rPr>
                          <w:noProof/>
                          <w:color w:val="FFFFFF" w:themeColor="background1"/>
                        </w:rPr>
                        <w:drawing>
                          <wp:inline distT="0" distB="0" distL="0" distR="0" wp14:anchorId="1E17382E" wp14:editId="7BD307C9">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15756D" w14:paraId="5A79D1F7" w14:textId="77777777" w:rsidTr="00F42B28">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3C5315D8" w14:textId="2AAF5C99" w:rsidR="003239B8" w:rsidRPr="0048037A" w:rsidRDefault="0048037A" w:rsidP="008D2290">
            <w:pPr>
              <w:jc w:val="both"/>
              <w:rPr>
                <w:rFonts w:ascii="Cambria" w:hAnsi="Cambria"/>
                <w:bCs/>
                <w:sz w:val="20"/>
                <w:szCs w:val="20"/>
                <w:lang w:val="es-ES"/>
              </w:rPr>
            </w:pPr>
            <w:r w:rsidRPr="0048037A">
              <w:rPr>
                <w:rFonts w:ascii="Cambria" w:hAnsi="Cambria"/>
                <w:bCs/>
                <w:sz w:val="20"/>
                <w:szCs w:val="20"/>
                <w:lang w:val="es-ES"/>
              </w:rPr>
              <w:t>Aldo Enrique Araujo Neyra, R</w:t>
            </w:r>
            <w:r>
              <w:rPr>
                <w:rFonts w:ascii="Cambria" w:hAnsi="Cambria"/>
                <w:bCs/>
                <w:sz w:val="20"/>
                <w:szCs w:val="20"/>
                <w:lang w:val="es-ES"/>
              </w:rPr>
              <w:t>afael Alonso Ynga Zevallos y Asociación Civil LTGB</w:t>
            </w:r>
          </w:p>
        </w:tc>
      </w:tr>
      <w:tr w:rsidR="003239B8" w:rsidRPr="001E49E7" w14:paraId="593A7E45" w14:textId="77777777" w:rsidTr="00F42B28">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5E4E6E"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647" w:type="dxa"/>
            <w:vAlign w:val="center"/>
          </w:tcPr>
          <w:p w14:paraId="4AEBF59E" w14:textId="660505BA" w:rsidR="003239B8" w:rsidRPr="000D05CB" w:rsidRDefault="0048037A" w:rsidP="008D2290">
            <w:pPr>
              <w:jc w:val="both"/>
              <w:rPr>
                <w:rFonts w:ascii="Cambria" w:hAnsi="Cambria"/>
                <w:bCs/>
                <w:sz w:val="20"/>
                <w:szCs w:val="20"/>
                <w:lang w:val="es-ES"/>
              </w:rPr>
            </w:pPr>
            <w:r>
              <w:rPr>
                <w:rFonts w:ascii="Cambria" w:hAnsi="Cambria"/>
                <w:bCs/>
                <w:sz w:val="20"/>
                <w:szCs w:val="20"/>
                <w:lang w:val="es-ES"/>
              </w:rPr>
              <w:t>P.E.M.M</w:t>
            </w:r>
            <w:r w:rsidR="00F42B28">
              <w:rPr>
                <w:rFonts w:ascii="Cambria" w:hAnsi="Cambria"/>
                <w:bCs/>
                <w:sz w:val="20"/>
                <w:szCs w:val="20"/>
                <w:lang w:val="es-ES"/>
              </w:rPr>
              <w:t>.</w:t>
            </w:r>
          </w:p>
        </w:tc>
      </w:tr>
      <w:tr w:rsidR="003239B8" w14:paraId="3E62E1D3" w14:textId="77777777" w:rsidTr="00F42B28">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274C8A50" w14:textId="14084D62" w:rsidR="003239B8" w:rsidRPr="000D05CB" w:rsidRDefault="0048037A" w:rsidP="008D2290">
            <w:pPr>
              <w:jc w:val="both"/>
              <w:rPr>
                <w:rFonts w:ascii="Cambria" w:hAnsi="Cambria"/>
                <w:bCs/>
                <w:sz w:val="20"/>
                <w:szCs w:val="20"/>
              </w:rPr>
            </w:pPr>
            <w:r>
              <w:rPr>
                <w:rFonts w:ascii="Cambria" w:hAnsi="Cambria"/>
                <w:bCs/>
                <w:sz w:val="20"/>
                <w:szCs w:val="20"/>
              </w:rPr>
              <w:t>Perú</w:t>
            </w:r>
            <w:r w:rsidR="007B633B">
              <w:rPr>
                <w:rStyle w:val="FootnoteReference"/>
                <w:rFonts w:ascii="Cambria" w:hAnsi="Cambria"/>
                <w:bCs/>
                <w:sz w:val="20"/>
                <w:szCs w:val="20"/>
              </w:rPr>
              <w:footnoteReference w:id="2"/>
            </w:r>
          </w:p>
        </w:tc>
      </w:tr>
      <w:tr w:rsidR="00223A29" w:rsidRPr="0015756D" w14:paraId="632511BC" w14:textId="77777777" w:rsidTr="00F42B28">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6DEE1EEB" w14:textId="5ABB7FE3" w:rsidR="00223A29" w:rsidRPr="007B633B" w:rsidRDefault="0097745C" w:rsidP="008D2290">
            <w:pPr>
              <w:jc w:val="both"/>
              <w:rPr>
                <w:rFonts w:ascii="Cambria" w:hAnsi="Cambria"/>
                <w:bCs/>
                <w:sz w:val="20"/>
                <w:szCs w:val="20"/>
                <w:lang w:val="es-ES"/>
              </w:rPr>
            </w:pPr>
            <w:r w:rsidRPr="0097745C">
              <w:rPr>
                <w:rFonts w:ascii="Cambria" w:hAnsi="Cambria"/>
                <w:bCs/>
                <w:sz w:val="20"/>
                <w:szCs w:val="20"/>
                <w:lang w:val="es-ES"/>
              </w:rPr>
              <w:t>Artículos 4</w:t>
            </w:r>
            <w:r>
              <w:rPr>
                <w:rFonts w:ascii="Cambria" w:hAnsi="Cambria"/>
                <w:bCs/>
                <w:sz w:val="20"/>
                <w:szCs w:val="20"/>
                <w:lang w:val="es-ES"/>
              </w:rPr>
              <w:t xml:space="preserve"> (vida)</w:t>
            </w:r>
            <w:r w:rsidRPr="0097745C">
              <w:rPr>
                <w:rFonts w:ascii="Cambria" w:hAnsi="Cambria"/>
                <w:bCs/>
                <w:sz w:val="20"/>
                <w:szCs w:val="20"/>
                <w:lang w:val="es-ES"/>
              </w:rPr>
              <w:t>, 8</w:t>
            </w:r>
            <w:r>
              <w:rPr>
                <w:rFonts w:ascii="Cambria" w:hAnsi="Cambria"/>
                <w:bCs/>
                <w:sz w:val="20"/>
                <w:szCs w:val="20"/>
                <w:lang w:val="es-ES"/>
              </w:rPr>
              <w:t xml:space="preserve"> (garantías judiciales)</w:t>
            </w:r>
            <w:r w:rsidRPr="0097745C">
              <w:rPr>
                <w:rFonts w:ascii="Cambria" w:hAnsi="Cambria"/>
                <w:bCs/>
                <w:sz w:val="20"/>
                <w:szCs w:val="20"/>
                <w:lang w:val="es-ES"/>
              </w:rPr>
              <w:t>, 11</w:t>
            </w:r>
            <w:r>
              <w:rPr>
                <w:rFonts w:ascii="Cambria" w:hAnsi="Cambria"/>
                <w:bCs/>
                <w:sz w:val="20"/>
                <w:szCs w:val="20"/>
                <w:lang w:val="es-ES"/>
              </w:rPr>
              <w:t xml:space="preserve"> (derecho a la honra y a la dignidad)</w:t>
            </w:r>
            <w:r w:rsidRPr="0097745C">
              <w:rPr>
                <w:rFonts w:ascii="Cambria" w:hAnsi="Cambria"/>
                <w:bCs/>
                <w:sz w:val="20"/>
                <w:szCs w:val="20"/>
                <w:lang w:val="es-ES"/>
              </w:rPr>
              <w:t>, 24</w:t>
            </w:r>
            <w:r>
              <w:rPr>
                <w:rFonts w:ascii="Cambria" w:hAnsi="Cambria"/>
                <w:bCs/>
                <w:sz w:val="20"/>
                <w:szCs w:val="20"/>
                <w:lang w:val="es-ES"/>
              </w:rPr>
              <w:t xml:space="preserve"> (igualdad ante la ley)</w:t>
            </w:r>
            <w:r w:rsidRPr="0097745C">
              <w:rPr>
                <w:rFonts w:ascii="Cambria" w:hAnsi="Cambria"/>
                <w:bCs/>
                <w:sz w:val="20"/>
                <w:szCs w:val="20"/>
                <w:lang w:val="es-ES"/>
              </w:rPr>
              <w:t xml:space="preserve"> y 25</w:t>
            </w:r>
            <w:r>
              <w:rPr>
                <w:rFonts w:ascii="Cambria" w:hAnsi="Cambria"/>
                <w:bCs/>
                <w:sz w:val="20"/>
                <w:szCs w:val="20"/>
                <w:lang w:val="es-ES"/>
              </w:rPr>
              <w:t xml:space="preserve"> (protección judicial)</w:t>
            </w:r>
            <w:r w:rsidRPr="0097745C">
              <w:rPr>
                <w:rFonts w:ascii="Cambria" w:hAnsi="Cambria"/>
                <w:bCs/>
                <w:sz w:val="20"/>
                <w:szCs w:val="20"/>
                <w:lang w:val="es-ES"/>
              </w:rPr>
              <w:t xml:space="preserve"> de la Convención Americana sobre Derechos Human</w:t>
            </w:r>
            <w:r>
              <w:rPr>
                <w:rFonts w:ascii="Cambria" w:hAnsi="Cambria"/>
                <w:bCs/>
                <w:sz w:val="20"/>
                <w:szCs w:val="20"/>
                <w:lang w:val="es-ES"/>
              </w:rPr>
              <w:t>os</w:t>
            </w:r>
            <w:r w:rsidRPr="00ED35CB">
              <w:rPr>
                <w:rStyle w:val="FootnoteReference"/>
                <w:rFonts w:ascii="Cambria" w:hAnsi="Cambria"/>
                <w:bCs/>
                <w:sz w:val="20"/>
                <w:szCs w:val="20"/>
              </w:rPr>
              <w:footnoteReference w:id="3"/>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306EFCB0" w14:textId="77777777" w:rsidTr="00F42B28">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6E579153" w14:textId="11BF520D" w:rsidR="004C2312" w:rsidRPr="003239B8" w:rsidRDefault="0048037A" w:rsidP="002625EA">
            <w:pPr>
              <w:jc w:val="both"/>
              <w:rPr>
                <w:rFonts w:ascii="Cambria" w:hAnsi="Cambria"/>
                <w:bCs/>
                <w:sz w:val="20"/>
                <w:szCs w:val="20"/>
                <w:lang w:val="es-ES"/>
              </w:rPr>
            </w:pPr>
            <w:r>
              <w:rPr>
                <w:rFonts w:ascii="Cambria" w:hAnsi="Cambria"/>
                <w:bCs/>
                <w:sz w:val="20"/>
                <w:szCs w:val="20"/>
                <w:lang w:val="es-ES"/>
              </w:rPr>
              <w:t>3</w:t>
            </w:r>
            <w:r w:rsidR="00CA602F">
              <w:rPr>
                <w:rFonts w:ascii="Cambria" w:hAnsi="Cambria"/>
                <w:bCs/>
                <w:sz w:val="20"/>
                <w:szCs w:val="20"/>
                <w:lang w:val="es-ES"/>
              </w:rPr>
              <w:t xml:space="preserve"> de noviembre de 201</w:t>
            </w:r>
            <w:r>
              <w:rPr>
                <w:rFonts w:ascii="Cambria" w:hAnsi="Cambria"/>
                <w:bCs/>
                <w:sz w:val="20"/>
                <w:szCs w:val="20"/>
                <w:lang w:val="es-ES"/>
              </w:rPr>
              <w:t>4</w:t>
            </w:r>
          </w:p>
        </w:tc>
      </w:tr>
      <w:tr w:rsidR="00131425" w:rsidRPr="0015756D" w14:paraId="337129E8" w14:textId="77777777" w:rsidTr="00F42B28">
        <w:tc>
          <w:tcPr>
            <w:tcW w:w="3600" w:type="dxa"/>
            <w:tcBorders>
              <w:top w:val="single" w:sz="6" w:space="0" w:color="auto"/>
              <w:bottom w:val="single" w:sz="6" w:space="0" w:color="auto"/>
            </w:tcBorders>
            <w:shd w:val="clear" w:color="auto" w:fill="386294"/>
            <w:vAlign w:val="center"/>
          </w:tcPr>
          <w:p w14:paraId="3D52E482" w14:textId="0FA8B3B3"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647" w:type="dxa"/>
            <w:vAlign w:val="center"/>
          </w:tcPr>
          <w:p w14:paraId="30151270" w14:textId="0CF44F80" w:rsidR="00131425" w:rsidRPr="003239B8" w:rsidRDefault="0054579D" w:rsidP="002625EA">
            <w:pPr>
              <w:jc w:val="both"/>
              <w:rPr>
                <w:rFonts w:ascii="Cambria" w:hAnsi="Cambria"/>
                <w:bCs/>
                <w:sz w:val="20"/>
                <w:szCs w:val="20"/>
                <w:lang w:val="es-ES"/>
              </w:rPr>
            </w:pPr>
            <w:r>
              <w:rPr>
                <w:rFonts w:ascii="Cambria" w:hAnsi="Cambria"/>
                <w:bCs/>
                <w:sz w:val="20"/>
                <w:szCs w:val="20"/>
                <w:lang w:val="es-ES"/>
              </w:rPr>
              <w:t>11</w:t>
            </w:r>
            <w:r w:rsidR="00CA602F">
              <w:rPr>
                <w:rFonts w:ascii="Cambria" w:hAnsi="Cambria"/>
                <w:bCs/>
                <w:sz w:val="20"/>
                <w:szCs w:val="20"/>
                <w:lang w:val="es-ES"/>
              </w:rPr>
              <w:t xml:space="preserve"> de </w:t>
            </w:r>
            <w:r>
              <w:rPr>
                <w:rFonts w:ascii="Cambria" w:hAnsi="Cambria"/>
                <w:bCs/>
                <w:sz w:val="20"/>
                <w:szCs w:val="20"/>
                <w:lang w:val="es-ES"/>
              </w:rPr>
              <w:t>mayo</w:t>
            </w:r>
            <w:r w:rsidR="00CA602F">
              <w:rPr>
                <w:rFonts w:ascii="Cambria" w:hAnsi="Cambria"/>
                <w:bCs/>
                <w:sz w:val="20"/>
                <w:szCs w:val="20"/>
                <w:lang w:val="es-ES"/>
              </w:rPr>
              <w:t xml:space="preserve"> de 201</w:t>
            </w:r>
            <w:r>
              <w:rPr>
                <w:rFonts w:ascii="Cambria" w:hAnsi="Cambria"/>
                <w:bCs/>
                <w:sz w:val="20"/>
                <w:szCs w:val="20"/>
                <w:lang w:val="es-ES"/>
              </w:rPr>
              <w:t>5</w:t>
            </w:r>
            <w:r w:rsidR="00CA602F">
              <w:rPr>
                <w:rFonts w:ascii="Cambria" w:hAnsi="Cambria"/>
                <w:bCs/>
                <w:sz w:val="20"/>
                <w:szCs w:val="20"/>
                <w:lang w:val="es-ES"/>
              </w:rPr>
              <w:t xml:space="preserve"> y 20 de octubre de 2016</w:t>
            </w:r>
          </w:p>
        </w:tc>
      </w:tr>
      <w:tr w:rsidR="004C2312" w:rsidRPr="00CA602F" w14:paraId="1BDCD5C6" w14:textId="77777777" w:rsidTr="00F42B28">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1519DA6A" w14:textId="43298A82" w:rsidR="004C2312" w:rsidRPr="003239B8" w:rsidRDefault="0048037A" w:rsidP="008D2290">
            <w:pPr>
              <w:jc w:val="both"/>
              <w:rPr>
                <w:rFonts w:ascii="Cambria" w:hAnsi="Cambria"/>
                <w:bCs/>
                <w:sz w:val="20"/>
                <w:szCs w:val="20"/>
                <w:lang w:val="es-ES"/>
              </w:rPr>
            </w:pPr>
            <w:r>
              <w:rPr>
                <w:rFonts w:ascii="Cambria" w:hAnsi="Cambria"/>
                <w:bCs/>
                <w:sz w:val="20"/>
                <w:szCs w:val="20"/>
                <w:lang w:val="es-ES"/>
              </w:rPr>
              <w:t xml:space="preserve">22 de octubre de 2021 </w:t>
            </w:r>
          </w:p>
        </w:tc>
      </w:tr>
      <w:tr w:rsidR="004C2312" w:rsidRPr="0048037A" w14:paraId="6147A8D5" w14:textId="77777777" w:rsidTr="00F42B28">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647" w:type="dxa"/>
            <w:vAlign w:val="center"/>
          </w:tcPr>
          <w:p w14:paraId="1972B99E" w14:textId="2436C73C" w:rsidR="004C2312" w:rsidRPr="003239B8" w:rsidRDefault="0048037A" w:rsidP="008D2290">
            <w:pPr>
              <w:jc w:val="both"/>
              <w:rPr>
                <w:rFonts w:ascii="Cambria" w:hAnsi="Cambria"/>
                <w:bCs/>
                <w:sz w:val="20"/>
                <w:szCs w:val="20"/>
                <w:lang w:val="es-ES"/>
              </w:rPr>
            </w:pPr>
            <w:r>
              <w:rPr>
                <w:rFonts w:ascii="Cambria" w:hAnsi="Cambria"/>
                <w:bCs/>
                <w:sz w:val="20"/>
                <w:szCs w:val="20"/>
                <w:lang w:val="es-ES"/>
              </w:rPr>
              <w:t>17 de febrero de 2022</w:t>
            </w:r>
          </w:p>
        </w:tc>
      </w:tr>
      <w:tr w:rsidR="001E49E7" w:rsidRPr="007B76D3" w14:paraId="0F502B44" w14:textId="77777777" w:rsidTr="00F42B28">
        <w:tc>
          <w:tcPr>
            <w:tcW w:w="3600" w:type="dxa"/>
            <w:tcBorders>
              <w:top w:val="single" w:sz="6" w:space="0" w:color="auto"/>
              <w:bottom w:val="single" w:sz="6" w:space="0" w:color="auto"/>
            </w:tcBorders>
            <w:shd w:val="clear" w:color="auto" w:fill="386294"/>
            <w:vAlign w:val="center"/>
          </w:tcPr>
          <w:p w14:paraId="046FEDC0" w14:textId="6303B0E3" w:rsidR="001E49E7" w:rsidRPr="003239B8" w:rsidRDefault="00B46FBB"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del Estado</w:t>
            </w:r>
            <w:r w:rsidR="001E49E7" w:rsidRPr="003239B8">
              <w:rPr>
                <w:rFonts w:ascii="Cambria" w:hAnsi="Cambria"/>
                <w:b/>
                <w:bCs/>
                <w:color w:val="FFFFFF" w:themeColor="background1"/>
                <w:sz w:val="20"/>
                <w:szCs w:val="20"/>
                <w:lang w:val="es-ES"/>
              </w:rPr>
              <w:t>:</w:t>
            </w:r>
          </w:p>
        </w:tc>
        <w:tc>
          <w:tcPr>
            <w:tcW w:w="5647" w:type="dxa"/>
            <w:vAlign w:val="center"/>
          </w:tcPr>
          <w:p w14:paraId="5500808B" w14:textId="1150C797" w:rsidR="001E49E7" w:rsidRPr="003239B8" w:rsidRDefault="0048037A" w:rsidP="002625EA">
            <w:pPr>
              <w:jc w:val="both"/>
              <w:rPr>
                <w:rFonts w:ascii="Cambria" w:hAnsi="Cambria"/>
                <w:bCs/>
                <w:sz w:val="20"/>
                <w:szCs w:val="20"/>
                <w:lang w:val="es-ES"/>
              </w:rPr>
            </w:pPr>
            <w:r>
              <w:rPr>
                <w:rFonts w:ascii="Cambria" w:hAnsi="Cambria"/>
                <w:bCs/>
                <w:sz w:val="20"/>
                <w:szCs w:val="20"/>
                <w:lang w:val="es-ES"/>
              </w:rPr>
              <w:t>2</w:t>
            </w:r>
            <w:r w:rsidR="00B46FBB">
              <w:rPr>
                <w:rFonts w:ascii="Cambria" w:hAnsi="Cambria"/>
                <w:bCs/>
                <w:sz w:val="20"/>
                <w:szCs w:val="20"/>
                <w:lang w:val="es-ES"/>
              </w:rPr>
              <w:t>0</w:t>
            </w:r>
            <w:r>
              <w:rPr>
                <w:rFonts w:ascii="Cambria" w:hAnsi="Cambria"/>
                <w:bCs/>
                <w:sz w:val="20"/>
                <w:szCs w:val="20"/>
                <w:lang w:val="es-ES"/>
              </w:rPr>
              <w:t xml:space="preserve"> de </w:t>
            </w:r>
            <w:r w:rsidR="00B46FBB">
              <w:rPr>
                <w:rFonts w:ascii="Cambria" w:hAnsi="Cambria"/>
                <w:bCs/>
                <w:sz w:val="20"/>
                <w:szCs w:val="20"/>
                <w:lang w:val="es-ES"/>
              </w:rPr>
              <w:t xml:space="preserve">abril </w:t>
            </w:r>
            <w:r>
              <w:rPr>
                <w:rFonts w:ascii="Cambria" w:hAnsi="Cambria"/>
                <w:bCs/>
                <w:sz w:val="20"/>
                <w:szCs w:val="20"/>
                <w:lang w:val="es-ES"/>
              </w:rPr>
              <w:t>de 202</w:t>
            </w:r>
            <w:r w:rsidR="00B46FBB">
              <w:rPr>
                <w:rFonts w:ascii="Cambria" w:hAnsi="Cambria"/>
                <w:bCs/>
                <w:sz w:val="20"/>
                <w:szCs w:val="20"/>
                <w:lang w:val="es-ES"/>
              </w:rPr>
              <w:t>2</w:t>
            </w:r>
          </w:p>
        </w:tc>
      </w:tr>
      <w:tr w:rsidR="00B46FBB" w:rsidRPr="00CA602F" w14:paraId="789A7AF7" w14:textId="77777777" w:rsidTr="00F42B28">
        <w:tc>
          <w:tcPr>
            <w:tcW w:w="3600" w:type="dxa"/>
            <w:tcBorders>
              <w:top w:val="single" w:sz="6" w:space="0" w:color="auto"/>
              <w:bottom w:val="single" w:sz="6" w:space="0" w:color="auto"/>
            </w:tcBorders>
            <w:shd w:val="clear" w:color="auto" w:fill="386294"/>
            <w:vAlign w:val="center"/>
          </w:tcPr>
          <w:p w14:paraId="11989038" w14:textId="339A5E7B" w:rsidR="00B46FBB" w:rsidRPr="003239B8" w:rsidRDefault="00B46FBB" w:rsidP="00B46FBB">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r w:rsidRPr="003239B8">
              <w:rPr>
                <w:rFonts w:ascii="Cambria" w:hAnsi="Cambria"/>
                <w:b/>
                <w:bCs/>
                <w:color w:val="FFFFFF" w:themeColor="background1"/>
                <w:sz w:val="20"/>
                <w:szCs w:val="20"/>
                <w:lang w:val="es-ES"/>
              </w:rPr>
              <w:t>:</w:t>
            </w:r>
          </w:p>
        </w:tc>
        <w:tc>
          <w:tcPr>
            <w:tcW w:w="5647" w:type="dxa"/>
            <w:vAlign w:val="center"/>
          </w:tcPr>
          <w:p w14:paraId="24E176E2" w14:textId="3C9AB498" w:rsidR="00B46FBB" w:rsidRPr="003239B8" w:rsidRDefault="00B46FBB" w:rsidP="00B46FBB">
            <w:pPr>
              <w:jc w:val="both"/>
              <w:rPr>
                <w:rFonts w:ascii="Cambria" w:hAnsi="Cambria"/>
                <w:bCs/>
                <w:sz w:val="20"/>
                <w:szCs w:val="20"/>
                <w:lang w:val="es-ES"/>
              </w:rPr>
            </w:pPr>
            <w:r>
              <w:rPr>
                <w:rFonts w:ascii="Cambria" w:hAnsi="Cambria"/>
                <w:bCs/>
                <w:sz w:val="20"/>
                <w:szCs w:val="20"/>
                <w:lang w:val="es-ES"/>
              </w:rPr>
              <w:t>4 de agosto de 2022</w:t>
            </w:r>
          </w:p>
        </w:tc>
      </w:tr>
      <w:tr w:rsidR="00B46FBB" w:rsidRPr="00CA602F" w14:paraId="0145CC0A" w14:textId="77777777" w:rsidTr="00F42B28">
        <w:tc>
          <w:tcPr>
            <w:tcW w:w="3600" w:type="dxa"/>
            <w:tcBorders>
              <w:top w:val="single" w:sz="6" w:space="0" w:color="auto"/>
              <w:bottom w:val="single" w:sz="6" w:space="0" w:color="auto"/>
            </w:tcBorders>
            <w:shd w:val="clear" w:color="auto" w:fill="386294"/>
            <w:vAlign w:val="center"/>
          </w:tcPr>
          <w:p w14:paraId="52F7DF06" w14:textId="6D533766" w:rsidR="00B46FBB" w:rsidRDefault="00B46FBB" w:rsidP="00B46FBB">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Pr="003239B8">
              <w:rPr>
                <w:rFonts w:ascii="Cambria" w:hAnsi="Cambria"/>
                <w:b/>
                <w:bCs/>
                <w:color w:val="FFFFFF" w:themeColor="background1"/>
                <w:sz w:val="20"/>
                <w:szCs w:val="20"/>
                <w:lang w:val="es-ES"/>
              </w:rPr>
              <w:t>dvertencia sobre posible archivo:</w:t>
            </w:r>
          </w:p>
        </w:tc>
        <w:tc>
          <w:tcPr>
            <w:tcW w:w="5647" w:type="dxa"/>
            <w:vAlign w:val="center"/>
          </w:tcPr>
          <w:p w14:paraId="0A33D382" w14:textId="73476AA0" w:rsidR="00B46FBB" w:rsidRDefault="00B46FBB" w:rsidP="00B46FBB">
            <w:pPr>
              <w:jc w:val="both"/>
              <w:rPr>
                <w:rFonts w:ascii="Cambria" w:hAnsi="Cambria"/>
                <w:bCs/>
                <w:sz w:val="20"/>
                <w:szCs w:val="20"/>
                <w:lang w:val="es-ES"/>
              </w:rPr>
            </w:pPr>
            <w:r>
              <w:rPr>
                <w:rFonts w:ascii="Cambria" w:hAnsi="Cambria"/>
                <w:bCs/>
                <w:sz w:val="20"/>
                <w:szCs w:val="20"/>
                <w:lang w:val="es-ES"/>
              </w:rPr>
              <w:t>24 de septiembre de 2020</w:t>
            </w:r>
          </w:p>
        </w:tc>
      </w:tr>
      <w:tr w:rsidR="00B46FBB" w:rsidRPr="00CA602F" w14:paraId="4E7D76F3" w14:textId="77777777" w:rsidTr="00F42B28">
        <w:tc>
          <w:tcPr>
            <w:tcW w:w="3600" w:type="dxa"/>
            <w:tcBorders>
              <w:top w:val="single" w:sz="6" w:space="0" w:color="auto"/>
              <w:bottom w:val="single" w:sz="6" w:space="0" w:color="auto"/>
            </w:tcBorders>
            <w:shd w:val="clear" w:color="auto" w:fill="386294"/>
            <w:vAlign w:val="center"/>
          </w:tcPr>
          <w:p w14:paraId="529BA40F" w14:textId="15D26494" w:rsidR="00B46FBB" w:rsidRDefault="00B46FBB" w:rsidP="00B46FBB">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Pr="003239B8">
              <w:rPr>
                <w:rFonts w:ascii="Cambria" w:hAnsi="Cambria"/>
                <w:b/>
                <w:bCs/>
                <w:color w:val="FFFFFF" w:themeColor="background1"/>
                <w:sz w:val="20"/>
                <w:szCs w:val="20"/>
                <w:lang w:val="es-ES"/>
              </w:rPr>
              <w:t xml:space="preserve">espuesta de la parte peticionaria ante advertencia </w:t>
            </w:r>
            <w:r>
              <w:rPr>
                <w:rFonts w:ascii="Cambria" w:hAnsi="Cambria"/>
                <w:b/>
                <w:bCs/>
                <w:color w:val="FFFFFF" w:themeColor="background1"/>
                <w:sz w:val="20"/>
                <w:szCs w:val="20"/>
                <w:lang w:val="es-ES"/>
              </w:rPr>
              <w:t xml:space="preserve">de </w:t>
            </w:r>
            <w:r w:rsidRPr="003239B8">
              <w:rPr>
                <w:rFonts w:ascii="Cambria" w:hAnsi="Cambria"/>
                <w:b/>
                <w:bCs/>
                <w:color w:val="FFFFFF" w:themeColor="background1"/>
                <w:sz w:val="20"/>
                <w:szCs w:val="20"/>
                <w:lang w:val="es-ES"/>
              </w:rPr>
              <w:t>posible archivo:</w:t>
            </w:r>
          </w:p>
        </w:tc>
        <w:tc>
          <w:tcPr>
            <w:tcW w:w="5647" w:type="dxa"/>
            <w:vAlign w:val="center"/>
          </w:tcPr>
          <w:p w14:paraId="37F1B36F" w14:textId="43693D55" w:rsidR="00B46FBB" w:rsidRDefault="00B46FBB" w:rsidP="00B46FBB">
            <w:pPr>
              <w:jc w:val="both"/>
              <w:rPr>
                <w:rFonts w:ascii="Cambria" w:hAnsi="Cambria"/>
                <w:bCs/>
                <w:sz w:val="20"/>
                <w:szCs w:val="20"/>
                <w:lang w:val="es-ES"/>
              </w:rPr>
            </w:pPr>
            <w:r>
              <w:rPr>
                <w:rFonts w:ascii="Cambria" w:hAnsi="Cambria"/>
                <w:bCs/>
                <w:sz w:val="20"/>
                <w:szCs w:val="20"/>
                <w:lang w:val="es-ES"/>
              </w:rPr>
              <w:t>28 de septiembre de 2020</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7707F3E9" w14:textId="0EB3B68C" w:rsidR="003239B8" w:rsidRPr="00B3745F" w:rsidRDefault="00E06AC5" w:rsidP="008D2290">
            <w:pPr>
              <w:rPr>
                <w:rFonts w:ascii="Cambria" w:hAnsi="Cambria"/>
                <w:bCs/>
                <w:sz w:val="20"/>
                <w:szCs w:val="20"/>
              </w:rPr>
            </w:pPr>
            <w:r>
              <w:rPr>
                <w:rFonts w:ascii="Cambria" w:hAnsi="Cambria"/>
                <w:bCs/>
                <w:sz w:val="20"/>
                <w:szCs w:val="20"/>
              </w:rPr>
              <w:t>Sí</w:t>
            </w:r>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12C931CB" w14:textId="53759ED9" w:rsidR="003239B8" w:rsidRPr="00B3745F" w:rsidRDefault="00E06AC5" w:rsidP="008D2290">
            <w:pPr>
              <w:rPr>
                <w:rFonts w:ascii="Cambria" w:hAnsi="Cambria"/>
                <w:bCs/>
                <w:sz w:val="20"/>
                <w:szCs w:val="20"/>
              </w:rPr>
            </w:pPr>
            <w:r>
              <w:rPr>
                <w:rFonts w:ascii="Cambria" w:hAnsi="Cambria"/>
                <w:bCs/>
                <w:sz w:val="20"/>
                <w:szCs w:val="20"/>
              </w:rPr>
              <w:t>Sí</w:t>
            </w:r>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6F8B059B" w14:textId="2B33EBAE" w:rsidR="003239B8" w:rsidRPr="00B3745F" w:rsidRDefault="00E06AC5" w:rsidP="008D2290">
            <w:pPr>
              <w:rPr>
                <w:rFonts w:ascii="Cambria" w:hAnsi="Cambria"/>
                <w:bCs/>
                <w:sz w:val="20"/>
                <w:szCs w:val="20"/>
              </w:rPr>
            </w:pPr>
            <w:r>
              <w:rPr>
                <w:rFonts w:ascii="Cambria" w:hAnsi="Cambria"/>
                <w:bCs/>
                <w:sz w:val="20"/>
                <w:szCs w:val="20"/>
              </w:rPr>
              <w:t>Sí</w:t>
            </w:r>
          </w:p>
        </w:tc>
      </w:tr>
      <w:tr w:rsidR="003239B8" w:rsidRPr="0015756D"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0C122F44" w14:textId="0D822334" w:rsidR="003239B8" w:rsidRPr="00B3745F" w:rsidRDefault="00E06AC5" w:rsidP="008D2290">
            <w:pPr>
              <w:jc w:val="both"/>
              <w:rPr>
                <w:rFonts w:ascii="Cambria" w:hAnsi="Cambria"/>
                <w:bCs/>
                <w:sz w:val="20"/>
                <w:szCs w:val="20"/>
                <w:lang w:val="es-ES"/>
              </w:rPr>
            </w:pPr>
            <w:r>
              <w:rPr>
                <w:rFonts w:ascii="Cambria" w:hAnsi="Cambria"/>
                <w:bCs/>
                <w:sz w:val="20"/>
                <w:szCs w:val="20"/>
                <w:lang w:val="es-ES"/>
              </w:rPr>
              <w:t xml:space="preserve">Sí, </w:t>
            </w:r>
            <w:r w:rsidR="0097745C" w:rsidRPr="0097745C">
              <w:rPr>
                <w:rFonts w:ascii="Cambria" w:hAnsi="Cambria"/>
                <w:bCs/>
                <w:sz w:val="20"/>
                <w:szCs w:val="20"/>
                <w:lang w:val="es-ES"/>
              </w:rPr>
              <w:t>Convención Americana (depósito del instrumento de ratificación realizado el 28 de julio de 1978)</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EE00E9" w:rsidRPr="00CA602F"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73846E64" w:rsidR="00EE00E9" w:rsidRPr="00DC24E3" w:rsidRDefault="00E06AC5" w:rsidP="008D2290">
            <w:pPr>
              <w:jc w:val="both"/>
              <w:rPr>
                <w:rFonts w:ascii="Cambria" w:hAnsi="Cambria"/>
                <w:bCs/>
                <w:sz w:val="20"/>
                <w:szCs w:val="20"/>
                <w:lang w:val="es-ES"/>
              </w:rPr>
            </w:pPr>
            <w:r>
              <w:rPr>
                <w:rFonts w:ascii="Cambria" w:hAnsi="Cambria"/>
                <w:bCs/>
                <w:sz w:val="20"/>
                <w:szCs w:val="20"/>
                <w:lang w:val="es-ES"/>
              </w:rPr>
              <w:t>No</w:t>
            </w:r>
          </w:p>
        </w:tc>
      </w:tr>
      <w:tr w:rsidR="003239B8" w:rsidRPr="0015756D"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6310C8F7" w14:textId="337B0B2B" w:rsidR="003239B8" w:rsidRPr="00B75EE9" w:rsidRDefault="001957A0" w:rsidP="008D2290">
            <w:pPr>
              <w:jc w:val="both"/>
              <w:rPr>
                <w:rFonts w:ascii="Cambria" w:hAnsi="Cambria"/>
                <w:bCs/>
                <w:sz w:val="20"/>
                <w:szCs w:val="20"/>
                <w:lang w:val="es-ES"/>
              </w:rPr>
            </w:pPr>
            <w:r>
              <w:rPr>
                <w:rFonts w:ascii="Cambria" w:hAnsi="Cambria"/>
                <w:sz w:val="20"/>
                <w:szCs w:val="20"/>
                <w:lang w:val="es-ES_tradnl"/>
              </w:rPr>
              <w:t xml:space="preserve">Artículos </w:t>
            </w:r>
            <w:r w:rsidR="00934FFA" w:rsidRPr="00537AF8">
              <w:rPr>
                <w:rFonts w:ascii="Cambria" w:hAnsi="Cambria"/>
                <w:sz w:val="20"/>
                <w:szCs w:val="20"/>
                <w:lang w:val="es-ES_tradnl"/>
              </w:rPr>
              <w:t>3 (reconocimiento de la personalidad jurídica),</w:t>
            </w:r>
            <w:r w:rsidR="00934FFA">
              <w:rPr>
                <w:rFonts w:ascii="Cambria" w:hAnsi="Cambria"/>
                <w:sz w:val="20"/>
                <w:szCs w:val="20"/>
                <w:lang w:val="es-ES_tradnl"/>
              </w:rPr>
              <w:t xml:space="preserve"> 5 (integridad personal)</w:t>
            </w:r>
            <w:r w:rsidR="00934FFA" w:rsidRPr="00537AF8">
              <w:rPr>
                <w:rFonts w:ascii="Cambria" w:hAnsi="Cambria"/>
                <w:sz w:val="20"/>
                <w:szCs w:val="20"/>
                <w:lang w:val="es-ES_tradnl"/>
              </w:rPr>
              <w:t xml:space="preserve"> 8 (garantías judiciales), 11 (protección de la honra y de la dignidad), 24 (igualdad ante la ley)</w:t>
            </w:r>
            <w:r>
              <w:rPr>
                <w:rFonts w:ascii="Cambria" w:hAnsi="Cambria"/>
                <w:sz w:val="20"/>
                <w:szCs w:val="20"/>
                <w:lang w:val="es-ES_tradnl"/>
              </w:rPr>
              <w:t xml:space="preserve">, </w:t>
            </w:r>
            <w:r w:rsidR="00934FFA" w:rsidRPr="00537AF8">
              <w:rPr>
                <w:rFonts w:ascii="Cambria" w:hAnsi="Cambria"/>
                <w:sz w:val="20"/>
                <w:szCs w:val="20"/>
                <w:lang w:val="es-ES_tradnl"/>
              </w:rPr>
              <w:t>25 (protección judicial)</w:t>
            </w:r>
            <w:r w:rsidR="00934FFA">
              <w:rPr>
                <w:rFonts w:ascii="Cambria" w:hAnsi="Cambria"/>
                <w:sz w:val="20"/>
                <w:szCs w:val="20"/>
                <w:lang w:val="es-ES_tradnl"/>
              </w:rPr>
              <w:t xml:space="preserve"> y 26 (derechos económicos, sociales y culturales)</w:t>
            </w:r>
            <w:r w:rsidR="00934FFA" w:rsidRPr="00B75EE9">
              <w:rPr>
                <w:rFonts w:ascii="Cambria" w:hAnsi="Cambria"/>
                <w:bCs/>
                <w:sz w:val="20"/>
                <w:szCs w:val="20"/>
                <w:lang w:val="es-ES"/>
              </w:rPr>
              <w:t xml:space="preserve"> </w:t>
            </w:r>
            <w:r w:rsidR="00B75EE9" w:rsidRPr="00B75EE9">
              <w:rPr>
                <w:rFonts w:ascii="Cambria" w:hAnsi="Cambria"/>
                <w:bCs/>
                <w:sz w:val="20"/>
                <w:szCs w:val="20"/>
                <w:lang w:val="es-ES"/>
              </w:rPr>
              <w:t>de la Convención Americana.</w:t>
            </w:r>
          </w:p>
        </w:tc>
      </w:tr>
      <w:tr w:rsidR="003239B8" w:rsidRPr="0015756D"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69C53E8A" w14:textId="5AF42045" w:rsidR="003239B8" w:rsidRPr="00DC24E3" w:rsidRDefault="0097745C" w:rsidP="008D2290">
            <w:pPr>
              <w:rPr>
                <w:rFonts w:ascii="Cambria" w:hAnsi="Cambria"/>
                <w:bCs/>
                <w:sz w:val="20"/>
                <w:szCs w:val="20"/>
                <w:lang w:val="es-ES"/>
              </w:rPr>
            </w:pPr>
            <w:r>
              <w:rPr>
                <w:rFonts w:ascii="Cambria" w:hAnsi="Cambria"/>
                <w:bCs/>
                <w:sz w:val="20"/>
                <w:szCs w:val="20"/>
                <w:lang w:val="es-ES"/>
              </w:rPr>
              <w:t>Sí, en los términos de la sección VI</w:t>
            </w:r>
          </w:p>
        </w:tc>
      </w:tr>
      <w:tr w:rsidR="003239B8" w:rsidRPr="0015756D"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4A2A4569" w14:textId="05F3A1E1" w:rsidR="003239B8" w:rsidRPr="0097745C" w:rsidRDefault="0097745C" w:rsidP="008D2290">
            <w:pPr>
              <w:rPr>
                <w:rFonts w:ascii="Cambria" w:hAnsi="Cambria"/>
                <w:bCs/>
                <w:sz w:val="20"/>
                <w:szCs w:val="20"/>
                <w:lang w:val="es-ES"/>
              </w:rPr>
            </w:pPr>
            <w:r w:rsidRPr="0097745C">
              <w:rPr>
                <w:rFonts w:ascii="Cambria" w:hAnsi="Cambria"/>
                <w:bCs/>
                <w:sz w:val="20"/>
                <w:szCs w:val="20"/>
                <w:lang w:val="es-ES"/>
              </w:rPr>
              <w:t>Sí, en los términos de la sección VI</w:t>
            </w:r>
          </w:p>
        </w:tc>
      </w:tr>
    </w:tbl>
    <w:p w14:paraId="274EDD2C" w14:textId="77777777" w:rsidR="006E75B1" w:rsidRDefault="006E75B1" w:rsidP="003239B8">
      <w:pPr>
        <w:spacing w:before="240" w:after="240"/>
        <w:ind w:firstLine="720"/>
        <w:jc w:val="both"/>
        <w:rPr>
          <w:rFonts w:asciiTheme="majorHAnsi" w:hAnsiTheme="majorHAnsi"/>
          <w:b/>
          <w:sz w:val="20"/>
          <w:szCs w:val="20"/>
          <w:lang w:val="es-ES_tradnl"/>
        </w:rPr>
      </w:pPr>
    </w:p>
    <w:p w14:paraId="18E6423B" w14:textId="416A5515" w:rsidR="003239B8" w:rsidRPr="00537AF8" w:rsidRDefault="00223A29" w:rsidP="003239B8">
      <w:pPr>
        <w:spacing w:before="240" w:after="240"/>
        <w:ind w:firstLine="720"/>
        <w:jc w:val="both"/>
        <w:rPr>
          <w:rFonts w:asciiTheme="majorHAnsi" w:hAnsiTheme="majorHAnsi"/>
          <w:b/>
          <w:sz w:val="20"/>
          <w:szCs w:val="20"/>
          <w:lang w:val="es-ES_tradnl"/>
        </w:rPr>
      </w:pPr>
      <w:r w:rsidRPr="00537AF8">
        <w:rPr>
          <w:rFonts w:asciiTheme="majorHAnsi" w:hAnsiTheme="majorHAnsi"/>
          <w:b/>
          <w:sz w:val="20"/>
          <w:szCs w:val="20"/>
          <w:lang w:val="es-ES_tradnl"/>
        </w:rPr>
        <w:lastRenderedPageBreak/>
        <w:t xml:space="preserve">V. </w:t>
      </w:r>
      <w:r w:rsidRPr="00537AF8">
        <w:rPr>
          <w:rFonts w:asciiTheme="majorHAnsi" w:hAnsiTheme="majorHAnsi"/>
          <w:b/>
          <w:sz w:val="20"/>
          <w:szCs w:val="20"/>
          <w:lang w:val="es-ES_tradnl"/>
        </w:rPr>
        <w:tab/>
      </w:r>
      <w:r w:rsidR="003239B8" w:rsidRPr="00537AF8">
        <w:rPr>
          <w:rFonts w:asciiTheme="majorHAnsi" w:hAnsiTheme="majorHAnsi"/>
          <w:b/>
          <w:sz w:val="20"/>
          <w:szCs w:val="20"/>
          <w:lang w:val="es-ES_tradnl"/>
        </w:rPr>
        <w:t xml:space="preserve">HECHOS ALEGADOS </w:t>
      </w:r>
    </w:p>
    <w:p w14:paraId="19EBAEB3" w14:textId="66261D53" w:rsidR="008C5E2D" w:rsidRPr="00537AF8" w:rsidRDefault="00954437" w:rsidP="00093B4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537AF8">
        <w:rPr>
          <w:rFonts w:ascii="Cambria" w:hAnsi="Cambria"/>
          <w:sz w:val="20"/>
          <w:szCs w:val="20"/>
          <w:lang w:val="es-ES_tradnl"/>
        </w:rPr>
        <w:t xml:space="preserve">La parte peticionaria denuncia </w:t>
      </w:r>
      <w:r w:rsidR="00093B48" w:rsidRPr="00537AF8">
        <w:rPr>
          <w:rFonts w:ascii="Cambria" w:hAnsi="Cambria"/>
          <w:sz w:val="20"/>
          <w:szCs w:val="20"/>
          <w:lang w:val="es-ES_tradnl"/>
        </w:rPr>
        <w:t xml:space="preserve">que el Estado discriminó a la presunta víctima en su condición de mujer trans, toda vez que las autoridades administrativas y judiciales rechazaron su solicitud de </w:t>
      </w:r>
      <w:r w:rsidR="00242203" w:rsidRPr="00537AF8">
        <w:rPr>
          <w:rFonts w:ascii="Cambria" w:hAnsi="Cambria"/>
          <w:sz w:val="20"/>
          <w:szCs w:val="20"/>
          <w:lang w:val="es-ES_tradnl"/>
        </w:rPr>
        <w:t>reconocimiento de</w:t>
      </w:r>
      <w:r w:rsidR="00093B48" w:rsidRPr="00537AF8">
        <w:rPr>
          <w:rFonts w:ascii="Cambria" w:hAnsi="Cambria"/>
          <w:sz w:val="20"/>
          <w:szCs w:val="20"/>
          <w:lang w:val="es-ES_tradnl"/>
        </w:rPr>
        <w:t xml:space="preserve"> sexo, provocando que hasta la fecha no cuente con un documento nacional de identidad (</w:t>
      </w:r>
      <w:r w:rsidR="00F42B28" w:rsidRPr="00537AF8">
        <w:rPr>
          <w:rFonts w:ascii="Cambria" w:hAnsi="Cambria"/>
          <w:sz w:val="20"/>
          <w:szCs w:val="20"/>
          <w:lang w:val="es-ES_tradnl"/>
        </w:rPr>
        <w:t>o</w:t>
      </w:r>
      <w:r w:rsidR="00093B48" w:rsidRPr="00537AF8">
        <w:rPr>
          <w:rFonts w:ascii="Cambria" w:hAnsi="Cambria"/>
          <w:sz w:val="20"/>
          <w:szCs w:val="20"/>
          <w:lang w:val="es-ES_tradnl"/>
        </w:rPr>
        <w:t xml:space="preserve"> </w:t>
      </w:r>
      <w:r w:rsidR="00F42B28" w:rsidRPr="00537AF8">
        <w:rPr>
          <w:rFonts w:ascii="Cambria" w:hAnsi="Cambria"/>
          <w:sz w:val="20"/>
          <w:szCs w:val="20"/>
          <w:lang w:val="es-ES_tradnl"/>
        </w:rPr>
        <w:t>“</w:t>
      </w:r>
      <w:r w:rsidR="00093B48" w:rsidRPr="00537AF8">
        <w:rPr>
          <w:rFonts w:ascii="Cambria" w:hAnsi="Cambria"/>
          <w:sz w:val="20"/>
          <w:szCs w:val="20"/>
          <w:lang w:val="es-ES_tradnl"/>
        </w:rPr>
        <w:t>DNI</w:t>
      </w:r>
      <w:r w:rsidR="00F42B28" w:rsidRPr="00537AF8">
        <w:rPr>
          <w:rFonts w:ascii="Cambria" w:hAnsi="Cambria"/>
          <w:sz w:val="20"/>
          <w:szCs w:val="20"/>
          <w:lang w:val="es-ES_tradnl"/>
        </w:rPr>
        <w:t>”</w:t>
      </w:r>
      <w:r w:rsidR="00093B48" w:rsidRPr="00537AF8">
        <w:rPr>
          <w:rFonts w:ascii="Cambria" w:hAnsi="Cambria"/>
          <w:sz w:val="20"/>
          <w:szCs w:val="20"/>
          <w:lang w:val="es-ES_tradnl"/>
        </w:rPr>
        <w:t xml:space="preserve">) acorde a su identidad de género. </w:t>
      </w:r>
    </w:p>
    <w:p w14:paraId="220973B6" w14:textId="7106E864" w:rsidR="00531FF9" w:rsidRPr="00537AF8" w:rsidRDefault="00F42B28" w:rsidP="003F0F2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537AF8">
        <w:rPr>
          <w:rFonts w:ascii="Cambria" w:hAnsi="Cambria"/>
          <w:sz w:val="20"/>
          <w:szCs w:val="20"/>
          <w:lang w:val="es-ES_tradnl"/>
        </w:rPr>
        <w:t>La parte peticionaria e</w:t>
      </w:r>
      <w:r w:rsidR="00242203" w:rsidRPr="00537AF8">
        <w:rPr>
          <w:rFonts w:ascii="Cambria" w:hAnsi="Cambria"/>
          <w:sz w:val="20"/>
          <w:szCs w:val="20"/>
          <w:lang w:val="es-ES_tradnl"/>
        </w:rPr>
        <w:t xml:space="preserve">xplica </w:t>
      </w:r>
      <w:r w:rsidR="00A57BFC" w:rsidRPr="00537AF8">
        <w:rPr>
          <w:rFonts w:ascii="Cambria" w:hAnsi="Cambria"/>
          <w:sz w:val="20"/>
          <w:szCs w:val="20"/>
          <w:lang w:val="es-ES_tradnl"/>
        </w:rPr>
        <w:t xml:space="preserve">que P.E.M.M, de nacionalidad peruana y española, logró </w:t>
      </w:r>
      <w:r w:rsidR="003F0F28" w:rsidRPr="00537AF8">
        <w:rPr>
          <w:rFonts w:ascii="Cambria" w:hAnsi="Cambria"/>
          <w:sz w:val="20"/>
          <w:szCs w:val="20"/>
          <w:lang w:val="es-ES_tradnl"/>
        </w:rPr>
        <w:t>que en España se le reconozca con nombre y sexo femenino</w:t>
      </w:r>
      <w:r w:rsidR="00537AF8" w:rsidRPr="00537AF8">
        <w:rPr>
          <w:rFonts w:ascii="Cambria" w:hAnsi="Cambria"/>
          <w:sz w:val="20"/>
          <w:szCs w:val="20"/>
          <w:lang w:val="es-ES_tradnl"/>
        </w:rPr>
        <w:t>,</w:t>
      </w:r>
      <w:r w:rsidR="003F0F28" w:rsidRPr="00537AF8">
        <w:rPr>
          <w:rFonts w:ascii="Cambria" w:hAnsi="Cambria"/>
          <w:sz w:val="20"/>
          <w:szCs w:val="20"/>
          <w:lang w:val="es-ES_tradnl"/>
        </w:rPr>
        <w:t xml:space="preserve"> </w:t>
      </w:r>
      <w:r w:rsidR="00537AF8" w:rsidRPr="00537AF8">
        <w:rPr>
          <w:rFonts w:ascii="Cambria" w:hAnsi="Cambria"/>
          <w:sz w:val="20"/>
          <w:szCs w:val="20"/>
          <w:lang w:val="es-ES_tradnl"/>
        </w:rPr>
        <w:t>tras lo cual</w:t>
      </w:r>
      <w:r w:rsidR="003F0F28" w:rsidRPr="00537AF8">
        <w:rPr>
          <w:rFonts w:ascii="Cambria" w:hAnsi="Cambria"/>
          <w:sz w:val="20"/>
          <w:szCs w:val="20"/>
          <w:lang w:val="es-ES_tradnl"/>
        </w:rPr>
        <w:t xml:space="preserve"> interpuso una demanda en Perú a efectos de lograr </w:t>
      </w:r>
      <w:r w:rsidR="00394E7B" w:rsidRPr="00537AF8">
        <w:rPr>
          <w:rFonts w:ascii="Cambria" w:hAnsi="Cambria"/>
          <w:sz w:val="20"/>
          <w:szCs w:val="20"/>
          <w:lang w:val="es-ES_tradnl"/>
        </w:rPr>
        <w:t xml:space="preserve">el </w:t>
      </w:r>
      <w:r w:rsidR="003F0F28" w:rsidRPr="00537AF8">
        <w:rPr>
          <w:rFonts w:ascii="Cambria" w:hAnsi="Cambria"/>
          <w:sz w:val="20"/>
          <w:szCs w:val="20"/>
          <w:lang w:val="es-ES_tradnl"/>
        </w:rPr>
        <w:t>reconocimiento</w:t>
      </w:r>
      <w:r w:rsidR="00394E7B" w:rsidRPr="00537AF8">
        <w:rPr>
          <w:rFonts w:ascii="Cambria" w:hAnsi="Cambria"/>
          <w:sz w:val="20"/>
          <w:szCs w:val="20"/>
          <w:lang w:val="es-ES_tradnl"/>
        </w:rPr>
        <w:t xml:space="preserve"> de su nombre</w:t>
      </w:r>
      <w:r w:rsidR="00242203" w:rsidRPr="00537AF8">
        <w:rPr>
          <w:rFonts w:ascii="Cambria" w:hAnsi="Cambria"/>
          <w:sz w:val="20"/>
          <w:szCs w:val="20"/>
          <w:lang w:val="es-ES_tradnl"/>
        </w:rPr>
        <w:t xml:space="preserve"> también</w:t>
      </w:r>
      <w:r w:rsidR="003F0F28" w:rsidRPr="00537AF8">
        <w:rPr>
          <w:rFonts w:ascii="Cambria" w:hAnsi="Cambria"/>
          <w:sz w:val="20"/>
          <w:szCs w:val="20"/>
          <w:lang w:val="es-ES_tradnl"/>
        </w:rPr>
        <w:t xml:space="preserve"> </w:t>
      </w:r>
      <w:r w:rsidR="00242203" w:rsidRPr="00537AF8">
        <w:rPr>
          <w:rFonts w:ascii="Cambria" w:hAnsi="Cambria"/>
          <w:sz w:val="20"/>
          <w:szCs w:val="20"/>
          <w:lang w:val="es-ES_tradnl"/>
        </w:rPr>
        <w:t>en su</w:t>
      </w:r>
      <w:r w:rsidR="003F0F28" w:rsidRPr="00537AF8">
        <w:rPr>
          <w:rFonts w:ascii="Cambria" w:hAnsi="Cambria"/>
          <w:sz w:val="20"/>
          <w:szCs w:val="20"/>
          <w:lang w:val="es-ES_tradnl"/>
        </w:rPr>
        <w:t xml:space="preserve"> país</w:t>
      </w:r>
      <w:r w:rsidR="00242203" w:rsidRPr="00537AF8">
        <w:rPr>
          <w:rFonts w:ascii="Cambria" w:hAnsi="Cambria"/>
          <w:sz w:val="20"/>
          <w:szCs w:val="20"/>
          <w:lang w:val="es-ES_tradnl"/>
        </w:rPr>
        <w:t xml:space="preserve"> de origen</w:t>
      </w:r>
      <w:r w:rsidR="003F0F28" w:rsidRPr="00537AF8">
        <w:rPr>
          <w:rFonts w:ascii="Cambria" w:hAnsi="Cambria"/>
          <w:sz w:val="20"/>
          <w:szCs w:val="20"/>
          <w:lang w:val="es-ES_tradnl"/>
        </w:rPr>
        <w:t>. Como consecuencia, e</w:t>
      </w:r>
      <w:r w:rsidR="00531FF9" w:rsidRPr="00537AF8">
        <w:rPr>
          <w:rFonts w:ascii="Cambria" w:hAnsi="Cambria"/>
          <w:sz w:val="20"/>
          <w:szCs w:val="20"/>
          <w:lang w:val="es-ES_tradnl"/>
        </w:rPr>
        <w:t xml:space="preserve">l 20 de octubre de 2009 el Juzgado Especializado en lo Civil de San Martín declaró fundada la </w:t>
      </w:r>
      <w:r w:rsidR="00A57BFC" w:rsidRPr="00537AF8">
        <w:rPr>
          <w:rFonts w:ascii="Cambria" w:hAnsi="Cambria"/>
          <w:sz w:val="20"/>
          <w:szCs w:val="20"/>
          <w:lang w:val="es-ES_tradnl"/>
        </w:rPr>
        <w:t>acción</w:t>
      </w:r>
      <w:r w:rsidR="00580C40" w:rsidRPr="00537AF8">
        <w:rPr>
          <w:rFonts w:ascii="Cambria" w:hAnsi="Cambria"/>
          <w:sz w:val="20"/>
          <w:szCs w:val="20"/>
          <w:lang w:val="es-ES_tradnl"/>
        </w:rPr>
        <w:t>, al considerar que la parte demandante había acreditado fehacientemente identificarse con el género femenino</w:t>
      </w:r>
      <w:r w:rsidR="003F0F28" w:rsidRPr="00537AF8">
        <w:rPr>
          <w:rFonts w:ascii="Cambria" w:hAnsi="Cambria"/>
          <w:sz w:val="20"/>
          <w:szCs w:val="20"/>
          <w:lang w:val="es-ES_tradnl"/>
        </w:rPr>
        <w:t xml:space="preserve">. </w:t>
      </w:r>
      <w:r w:rsidR="00AC6F11">
        <w:rPr>
          <w:rFonts w:ascii="Cambria" w:hAnsi="Cambria"/>
          <w:sz w:val="20"/>
          <w:szCs w:val="20"/>
          <w:lang w:val="es-ES_tradnl"/>
        </w:rPr>
        <w:t>Dado</w:t>
      </w:r>
      <w:r w:rsidR="00580C40" w:rsidRPr="00537AF8">
        <w:rPr>
          <w:rFonts w:ascii="Cambria" w:hAnsi="Cambria"/>
          <w:sz w:val="20"/>
          <w:szCs w:val="20"/>
          <w:lang w:val="es-ES_tradnl"/>
        </w:rPr>
        <w:t xml:space="preserve"> que</w:t>
      </w:r>
      <w:r w:rsidR="00A57BFC" w:rsidRPr="00537AF8">
        <w:rPr>
          <w:rFonts w:ascii="Cambria" w:hAnsi="Cambria"/>
          <w:sz w:val="20"/>
          <w:szCs w:val="20"/>
          <w:lang w:val="es-ES_tradnl"/>
        </w:rPr>
        <w:t xml:space="preserve"> </w:t>
      </w:r>
      <w:r w:rsidR="00AC6F11">
        <w:rPr>
          <w:rFonts w:ascii="Cambria" w:hAnsi="Cambria"/>
          <w:sz w:val="20"/>
          <w:szCs w:val="20"/>
          <w:lang w:val="es-ES_tradnl"/>
        </w:rPr>
        <w:t xml:space="preserve">ni </w:t>
      </w:r>
      <w:r w:rsidR="00A57BFC" w:rsidRPr="00537AF8">
        <w:rPr>
          <w:rFonts w:ascii="Cambria" w:hAnsi="Cambria"/>
          <w:sz w:val="20"/>
          <w:szCs w:val="20"/>
          <w:lang w:val="es-ES_tradnl"/>
        </w:rPr>
        <w:t xml:space="preserve">el Ministerio Público ni ninguna otra autoridad </w:t>
      </w:r>
      <w:r w:rsidR="003F0F28" w:rsidRPr="00537AF8">
        <w:rPr>
          <w:rFonts w:ascii="Cambria" w:hAnsi="Cambria"/>
          <w:sz w:val="20"/>
          <w:szCs w:val="20"/>
          <w:lang w:val="es-ES_tradnl"/>
        </w:rPr>
        <w:t>presentó un recurso de apelación</w:t>
      </w:r>
      <w:r w:rsidR="00531FF9" w:rsidRPr="00537AF8">
        <w:rPr>
          <w:rFonts w:ascii="Cambria" w:hAnsi="Cambria"/>
          <w:sz w:val="20"/>
          <w:szCs w:val="20"/>
          <w:lang w:val="es-ES_tradnl"/>
        </w:rPr>
        <w:t xml:space="preserve">, el 27 de enero de 2010 </w:t>
      </w:r>
      <w:r w:rsidR="003F0F28" w:rsidRPr="00537AF8">
        <w:rPr>
          <w:rFonts w:ascii="Cambria" w:hAnsi="Cambria"/>
          <w:sz w:val="20"/>
          <w:szCs w:val="20"/>
          <w:lang w:val="es-ES_tradnl"/>
        </w:rPr>
        <w:t xml:space="preserve">la referida resolución </w:t>
      </w:r>
      <w:r w:rsidR="00531FF9" w:rsidRPr="00537AF8">
        <w:rPr>
          <w:rFonts w:ascii="Cambria" w:hAnsi="Cambria"/>
          <w:sz w:val="20"/>
          <w:szCs w:val="20"/>
          <w:lang w:val="es-ES_tradnl"/>
        </w:rPr>
        <w:t xml:space="preserve">adquirió </w:t>
      </w:r>
      <w:r w:rsidR="00A57BFC" w:rsidRPr="00537AF8">
        <w:rPr>
          <w:rFonts w:ascii="Cambria" w:hAnsi="Cambria"/>
          <w:sz w:val="20"/>
          <w:szCs w:val="20"/>
          <w:lang w:val="es-ES_tradnl"/>
        </w:rPr>
        <w:t xml:space="preserve">la </w:t>
      </w:r>
      <w:r w:rsidR="00531FF9" w:rsidRPr="00537AF8">
        <w:rPr>
          <w:rFonts w:ascii="Cambria" w:hAnsi="Cambria"/>
          <w:sz w:val="20"/>
          <w:szCs w:val="20"/>
          <w:lang w:val="es-ES_tradnl"/>
        </w:rPr>
        <w:t>calidad de cosa juzgada.</w:t>
      </w:r>
    </w:p>
    <w:p w14:paraId="289778CD" w14:textId="328998BD" w:rsidR="00531FF9" w:rsidRPr="00537AF8" w:rsidRDefault="00A57BFC"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537AF8">
        <w:rPr>
          <w:rFonts w:ascii="Cambria" w:hAnsi="Cambria"/>
          <w:sz w:val="20"/>
          <w:szCs w:val="20"/>
          <w:lang w:val="es-ES_tradnl"/>
        </w:rPr>
        <w:t xml:space="preserve">A partir de dicha decisión, </w:t>
      </w:r>
      <w:r w:rsidR="00531FF9" w:rsidRPr="00537AF8">
        <w:rPr>
          <w:rFonts w:ascii="Cambria" w:hAnsi="Cambria"/>
          <w:sz w:val="20"/>
          <w:szCs w:val="20"/>
          <w:lang w:val="es-ES_tradnl"/>
        </w:rPr>
        <w:t>el 23 de agosto de 2010 la presunta víctima interpuso un recurso de amparo</w:t>
      </w:r>
      <w:r w:rsidR="00954437" w:rsidRPr="00537AF8">
        <w:rPr>
          <w:rFonts w:ascii="Cambria" w:hAnsi="Cambria"/>
          <w:sz w:val="20"/>
          <w:szCs w:val="20"/>
          <w:lang w:val="es-ES_tradnl"/>
        </w:rPr>
        <w:t xml:space="preserve"> contra el Registro Nacional de Identificación y Estado Civil (en adelante, RENIEC)</w:t>
      </w:r>
      <w:r w:rsidR="00531FF9" w:rsidRPr="00537AF8">
        <w:rPr>
          <w:rFonts w:ascii="Cambria" w:hAnsi="Cambria"/>
          <w:sz w:val="20"/>
          <w:szCs w:val="20"/>
          <w:lang w:val="es-ES_tradnl"/>
        </w:rPr>
        <w:t>, solicitando el reconocimiento de su sexo</w:t>
      </w:r>
      <w:r w:rsidR="00954437" w:rsidRPr="00537AF8">
        <w:rPr>
          <w:rFonts w:ascii="Cambria" w:hAnsi="Cambria"/>
          <w:sz w:val="20"/>
          <w:szCs w:val="20"/>
          <w:lang w:val="es-ES_tradnl"/>
        </w:rPr>
        <w:t xml:space="preserve"> femenino</w:t>
      </w:r>
      <w:r w:rsidR="00531FF9" w:rsidRPr="00537AF8">
        <w:rPr>
          <w:rFonts w:ascii="Cambria" w:hAnsi="Cambria"/>
          <w:sz w:val="20"/>
          <w:szCs w:val="20"/>
          <w:lang w:val="es-ES_tradnl"/>
        </w:rPr>
        <w:t xml:space="preserve"> en su DNI; y el 3 de mayo de 2012 el Juzgado Civil de la Provincia de San Martín declar</w:t>
      </w:r>
      <w:r w:rsidR="00AF6DB7">
        <w:rPr>
          <w:rFonts w:ascii="Cambria" w:hAnsi="Cambria"/>
          <w:sz w:val="20"/>
          <w:szCs w:val="20"/>
          <w:lang w:val="es-ES_tradnl"/>
        </w:rPr>
        <w:t>ó</w:t>
      </w:r>
      <w:r w:rsidR="00531FF9" w:rsidRPr="00537AF8">
        <w:rPr>
          <w:rFonts w:ascii="Cambria" w:hAnsi="Cambria"/>
          <w:sz w:val="20"/>
          <w:szCs w:val="20"/>
          <w:lang w:val="es-ES_tradnl"/>
        </w:rPr>
        <w:t xml:space="preserve"> fundada la demanda. Sin embargo, indica que el RENIEC recurrió esta decisión, alegando que la vía constitucional no era adecuada para atender el reclamo de P.E.M.M</w:t>
      </w:r>
      <w:r w:rsidR="00242203" w:rsidRPr="00537AF8">
        <w:rPr>
          <w:rFonts w:ascii="Cambria" w:hAnsi="Cambria"/>
          <w:sz w:val="20"/>
          <w:szCs w:val="20"/>
          <w:lang w:val="es-ES_tradnl"/>
        </w:rPr>
        <w:t>, toda vez que el asunto debía ser conocido en la vía ordinaria civil</w:t>
      </w:r>
      <w:r w:rsidR="00531FF9" w:rsidRPr="00537AF8">
        <w:rPr>
          <w:rFonts w:ascii="Cambria" w:hAnsi="Cambria"/>
          <w:sz w:val="20"/>
          <w:szCs w:val="20"/>
          <w:lang w:val="es-ES_tradnl"/>
        </w:rPr>
        <w:t>. En razón a ello, el 10 de septiembre de 2012  la Sala Mixta Descentralizada de Tarapoto revocó la sentencia apelada declarándola improcedente</w:t>
      </w:r>
      <w:r w:rsidR="00242203" w:rsidRPr="00537AF8">
        <w:rPr>
          <w:rFonts w:ascii="Cambria" w:hAnsi="Cambria"/>
          <w:sz w:val="20"/>
          <w:szCs w:val="20"/>
          <w:lang w:val="es-ES_tradnl"/>
        </w:rPr>
        <w:t>, al considerar que el asunto no debía ser resuelto mediante un proceso de amparo.</w:t>
      </w:r>
    </w:p>
    <w:p w14:paraId="37D66BA3" w14:textId="63B55044" w:rsidR="00E704E9" w:rsidRPr="00537AF8" w:rsidRDefault="00531FF9" w:rsidP="00E704E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537AF8">
        <w:rPr>
          <w:rFonts w:ascii="Cambria" w:hAnsi="Cambria"/>
          <w:sz w:val="20"/>
          <w:szCs w:val="20"/>
          <w:lang w:val="es-ES_tradnl"/>
        </w:rPr>
        <w:t xml:space="preserve">Ante ello, la presunta víctima interpuso un recurso de agravio </w:t>
      </w:r>
      <w:r w:rsidRPr="00537AF8">
        <w:rPr>
          <w:rFonts w:ascii="Cambria" w:hAnsi="Cambria"/>
          <w:color w:val="000000" w:themeColor="text1"/>
          <w:sz w:val="20"/>
          <w:szCs w:val="20"/>
          <w:lang w:val="es-ES_tradnl"/>
        </w:rPr>
        <w:t>constitucional, pero el 18 de marzo de 2014 el Tribunal Constitucional, a través de sentencia recaída en el Expediente Nº 00139-2013-PA/TC</w:t>
      </w:r>
      <w:r w:rsidR="00207259" w:rsidRPr="00537AF8">
        <w:rPr>
          <w:rFonts w:ascii="Cambria" w:hAnsi="Cambria"/>
          <w:color w:val="000000" w:themeColor="text1"/>
          <w:sz w:val="20"/>
          <w:szCs w:val="20"/>
          <w:lang w:val="es-ES_tradnl"/>
        </w:rPr>
        <w:t xml:space="preserve">, lo declaró infundado. </w:t>
      </w:r>
      <w:r w:rsidR="00242203" w:rsidRPr="00537AF8">
        <w:rPr>
          <w:rFonts w:ascii="Cambria" w:hAnsi="Cambria"/>
          <w:color w:val="000000" w:themeColor="text1"/>
          <w:sz w:val="20"/>
          <w:szCs w:val="20"/>
          <w:lang w:val="es-ES_tradnl"/>
        </w:rPr>
        <w:t xml:space="preserve">Entre sus consideraciones, el referido órgano judicial sostuvo </w:t>
      </w:r>
      <w:r w:rsidR="009F357A" w:rsidRPr="00537AF8">
        <w:rPr>
          <w:rFonts w:ascii="Cambria" w:hAnsi="Cambria"/>
          <w:color w:val="000000" w:themeColor="text1"/>
          <w:sz w:val="20"/>
          <w:szCs w:val="20"/>
          <w:lang w:val="es-ES_tradnl"/>
        </w:rPr>
        <w:t>lo siguiente:</w:t>
      </w:r>
    </w:p>
    <w:p w14:paraId="75B12478" w14:textId="0429ECE8" w:rsidR="00E704E9" w:rsidRPr="00EB18F6" w:rsidRDefault="00E704E9" w:rsidP="006676D4">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720"/>
        <w:jc w:val="both"/>
        <w:rPr>
          <w:color w:val="auto"/>
          <w:sz w:val="20"/>
          <w:szCs w:val="20"/>
          <w:lang w:val="es-ES_tradnl"/>
        </w:rPr>
      </w:pPr>
      <w:r w:rsidRPr="00EB18F6">
        <w:rPr>
          <w:color w:val="000000" w:themeColor="text1"/>
          <w:sz w:val="20"/>
          <w:szCs w:val="20"/>
          <w:lang w:val="es-ES_tradnl"/>
        </w:rPr>
        <w:t xml:space="preserve">para el Derecho </w:t>
      </w:r>
      <w:r w:rsidR="00EB18F6">
        <w:rPr>
          <w:color w:val="000000" w:themeColor="text1"/>
          <w:sz w:val="20"/>
          <w:szCs w:val="20"/>
          <w:lang w:val="es-ES_tradnl"/>
        </w:rPr>
        <w:t>[</w:t>
      </w:r>
      <w:r w:rsidRPr="00EB18F6">
        <w:rPr>
          <w:color w:val="000000" w:themeColor="text1"/>
          <w:sz w:val="20"/>
          <w:szCs w:val="20"/>
          <w:lang w:val="es-ES_tradnl"/>
        </w:rPr>
        <w:t>…</w:t>
      </w:r>
      <w:r w:rsidR="00EB18F6">
        <w:rPr>
          <w:color w:val="000000" w:themeColor="text1"/>
          <w:sz w:val="20"/>
          <w:szCs w:val="20"/>
          <w:lang w:val="es-ES_tradnl"/>
        </w:rPr>
        <w:t>]</w:t>
      </w:r>
      <w:r w:rsidRPr="00EB18F6">
        <w:rPr>
          <w:color w:val="000000" w:themeColor="text1"/>
          <w:sz w:val="20"/>
          <w:szCs w:val="20"/>
          <w:lang w:val="es-ES_tradnl"/>
        </w:rPr>
        <w:t xml:space="preserve"> el sexo viene a ser el sexo biológico </w:t>
      </w:r>
      <w:r w:rsidR="00EB18F6">
        <w:rPr>
          <w:color w:val="000000" w:themeColor="text1"/>
          <w:sz w:val="20"/>
          <w:szCs w:val="20"/>
          <w:lang w:val="es-ES_tradnl"/>
        </w:rPr>
        <w:t>[</w:t>
      </w:r>
      <w:r w:rsidRPr="00EB18F6">
        <w:rPr>
          <w:color w:val="000000" w:themeColor="text1"/>
          <w:sz w:val="20"/>
          <w:szCs w:val="20"/>
          <w:lang w:val="es-ES_tradnl"/>
        </w:rPr>
        <w:t>…</w:t>
      </w:r>
      <w:r w:rsidR="00EB18F6">
        <w:rPr>
          <w:color w:val="000000" w:themeColor="text1"/>
          <w:sz w:val="20"/>
          <w:szCs w:val="20"/>
          <w:lang w:val="es-ES_tradnl"/>
        </w:rPr>
        <w:t>]</w:t>
      </w:r>
      <w:r w:rsidRPr="00EB18F6">
        <w:rPr>
          <w:color w:val="000000" w:themeColor="text1"/>
          <w:sz w:val="20"/>
          <w:szCs w:val="20"/>
          <w:lang w:val="es-ES_tradnl"/>
        </w:rPr>
        <w:t xml:space="preserve">. La diferencia entre los sexos responde, pues, a una realidad extrajurídica y biológica que debe ser constitucionalmente respetada por fundarse en 'la naturaleza de las cosas' </w:t>
      </w:r>
      <w:r w:rsidR="00EB18F6">
        <w:rPr>
          <w:color w:val="000000" w:themeColor="text1"/>
          <w:sz w:val="20"/>
          <w:szCs w:val="20"/>
          <w:lang w:val="es-ES_tradnl"/>
        </w:rPr>
        <w:t>[</w:t>
      </w:r>
      <w:r w:rsidRPr="00EB18F6">
        <w:rPr>
          <w:color w:val="000000" w:themeColor="text1"/>
          <w:sz w:val="20"/>
          <w:szCs w:val="20"/>
          <w:lang w:val="es-ES_tradnl"/>
        </w:rPr>
        <w:t>…</w:t>
      </w:r>
      <w:r w:rsidR="00EB18F6">
        <w:rPr>
          <w:color w:val="000000" w:themeColor="text1"/>
          <w:sz w:val="20"/>
          <w:szCs w:val="20"/>
          <w:lang w:val="es-ES_tradnl"/>
        </w:rPr>
        <w:t>]</w:t>
      </w:r>
      <w:r w:rsidRPr="00EB18F6">
        <w:rPr>
          <w:color w:val="000000" w:themeColor="text1"/>
          <w:sz w:val="20"/>
          <w:szCs w:val="20"/>
          <w:lang w:val="es-ES_tradnl"/>
        </w:rPr>
        <w:t>. En el caso de autos, el recurrente en ningún momento aduce que P.E.M.M sea cromosómica, hormonal, gonádica o morfológicamente correspond</w:t>
      </w:r>
      <w:r w:rsidR="00394E7B" w:rsidRPr="00EB18F6">
        <w:rPr>
          <w:color w:val="000000" w:themeColor="text1"/>
          <w:sz w:val="20"/>
          <w:szCs w:val="20"/>
          <w:lang w:val="es-ES_tradnl"/>
        </w:rPr>
        <w:t>iente</w:t>
      </w:r>
      <w:r w:rsidRPr="00EB18F6">
        <w:rPr>
          <w:color w:val="000000" w:themeColor="text1"/>
          <w:sz w:val="20"/>
          <w:szCs w:val="20"/>
          <w:lang w:val="es-ES_tradnl"/>
        </w:rPr>
        <w:t xml:space="preserve"> al sexo femenino. El recurrente sustenta el reclamo de cambio de sexo de P.E.M.M en razones exclusivamente de orden psicológico </w:t>
      </w:r>
      <w:r w:rsidR="00EB18F6">
        <w:rPr>
          <w:color w:val="000000" w:themeColor="text1"/>
          <w:sz w:val="20"/>
          <w:szCs w:val="20"/>
          <w:lang w:val="es-ES_tradnl"/>
        </w:rPr>
        <w:t>[</w:t>
      </w:r>
      <w:r w:rsidRPr="00EB18F6">
        <w:rPr>
          <w:color w:val="000000" w:themeColor="text1"/>
          <w:sz w:val="20"/>
          <w:szCs w:val="20"/>
          <w:lang w:val="es-ES_tradnl"/>
        </w:rPr>
        <w:t>…</w:t>
      </w:r>
      <w:r w:rsidR="00EB18F6">
        <w:rPr>
          <w:color w:val="000000" w:themeColor="text1"/>
          <w:sz w:val="20"/>
          <w:szCs w:val="20"/>
          <w:lang w:val="es-ES_tradnl"/>
        </w:rPr>
        <w:t>]</w:t>
      </w:r>
      <w:r w:rsidRPr="00EB18F6">
        <w:rPr>
          <w:color w:val="000000" w:themeColor="text1"/>
          <w:sz w:val="20"/>
          <w:szCs w:val="20"/>
          <w:lang w:val="es-ES_tradnl"/>
        </w:rPr>
        <w:t xml:space="preserve"> Es claro que no identificarse con el sexo biológico masculino o sentirse del sexo femenino, hace alusión a una 'patología' (como ella misma le llama) psicológica, como lo prueba además, según ella manifiesta, haber sido sometida a una 'evaluación minuciosa' de orden psicológico para diagnosticarle 'transexuali</w:t>
      </w:r>
      <w:r w:rsidR="00394E7B" w:rsidRPr="00EB18F6">
        <w:rPr>
          <w:color w:val="000000" w:themeColor="text1"/>
          <w:sz w:val="20"/>
          <w:szCs w:val="20"/>
          <w:lang w:val="es-ES_tradnl"/>
        </w:rPr>
        <w:t>s</w:t>
      </w:r>
      <w:r w:rsidRPr="00EB18F6">
        <w:rPr>
          <w:color w:val="000000" w:themeColor="text1"/>
          <w:sz w:val="20"/>
          <w:szCs w:val="20"/>
          <w:lang w:val="es-ES_tradnl"/>
        </w:rPr>
        <w:t>mo'.</w:t>
      </w:r>
    </w:p>
    <w:p w14:paraId="06782B6F" w14:textId="73632A70" w:rsidR="003F0F28" w:rsidRPr="00537AF8" w:rsidRDefault="00AB05A4" w:rsidP="0068118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537AF8">
        <w:rPr>
          <w:rFonts w:ascii="Cambria" w:hAnsi="Cambria"/>
          <w:color w:val="000000" w:themeColor="text1"/>
          <w:sz w:val="20"/>
          <w:szCs w:val="20"/>
          <w:lang w:val="es-ES_tradnl"/>
        </w:rPr>
        <w:t>Asimismo, el Tribunal Constitucional consideró que de aceptarse la solicitud de P.E.M.M</w:t>
      </w:r>
      <w:r w:rsidR="00CF51A7">
        <w:rPr>
          <w:rFonts w:ascii="Cambria" w:hAnsi="Cambria"/>
          <w:color w:val="000000" w:themeColor="text1"/>
          <w:sz w:val="20"/>
          <w:szCs w:val="20"/>
          <w:lang w:val="es-ES_tradnl"/>
        </w:rPr>
        <w:t>.</w:t>
      </w:r>
      <w:r w:rsidR="00681183" w:rsidRPr="00537AF8">
        <w:rPr>
          <w:rFonts w:ascii="Cambria" w:hAnsi="Cambria"/>
          <w:color w:val="000000" w:themeColor="text1"/>
          <w:sz w:val="20"/>
          <w:szCs w:val="20"/>
          <w:lang w:val="es-ES_tradnl"/>
        </w:rPr>
        <w:t xml:space="preserve"> se ocasionaría un gran impacto y complejidad en el campo del Derecho Civil</w:t>
      </w:r>
      <w:r w:rsidR="000A2C24">
        <w:rPr>
          <w:rFonts w:ascii="Cambria" w:hAnsi="Cambria"/>
          <w:color w:val="000000" w:themeColor="text1"/>
          <w:sz w:val="20"/>
          <w:szCs w:val="20"/>
          <w:lang w:val="es-ES_tradnl"/>
        </w:rPr>
        <w:t>;</w:t>
      </w:r>
      <w:r w:rsidR="00681183" w:rsidRPr="00537AF8">
        <w:rPr>
          <w:rFonts w:ascii="Cambria" w:hAnsi="Cambria"/>
          <w:color w:val="000000" w:themeColor="text1"/>
          <w:sz w:val="20"/>
          <w:szCs w:val="20"/>
          <w:lang w:val="es-ES_tradnl"/>
        </w:rPr>
        <w:t xml:space="preserve"> y que particularmente </w:t>
      </w:r>
      <w:r w:rsidRPr="00537AF8">
        <w:rPr>
          <w:rFonts w:ascii="Cambria" w:hAnsi="Cambria"/>
          <w:color w:val="000000" w:themeColor="text1"/>
          <w:sz w:val="20"/>
          <w:szCs w:val="20"/>
          <w:lang w:val="es-ES_tradnl"/>
        </w:rPr>
        <w:t xml:space="preserve">ocurrirían </w:t>
      </w:r>
      <w:r w:rsidR="00681183" w:rsidRPr="00537AF8">
        <w:rPr>
          <w:rFonts w:ascii="Cambria" w:hAnsi="Cambria"/>
          <w:color w:val="000000" w:themeColor="text1"/>
          <w:sz w:val="20"/>
          <w:szCs w:val="20"/>
          <w:lang w:val="es-ES_tradnl"/>
        </w:rPr>
        <w:t>las siguientes consecuencias</w:t>
      </w:r>
      <w:r w:rsidRPr="00537AF8">
        <w:rPr>
          <w:rFonts w:ascii="Cambria" w:hAnsi="Cambria"/>
          <w:color w:val="000000" w:themeColor="text1"/>
          <w:sz w:val="20"/>
          <w:szCs w:val="20"/>
          <w:lang w:val="es-ES_tradnl"/>
        </w:rPr>
        <w:t xml:space="preserve">: “1) </w:t>
      </w:r>
      <w:r w:rsidRPr="00537AF8">
        <w:rPr>
          <w:rFonts w:ascii="Cambria" w:hAnsi="Cambria"/>
          <w:i/>
          <w:iCs/>
          <w:color w:val="000000" w:themeColor="text1"/>
          <w:sz w:val="20"/>
          <w:szCs w:val="20"/>
          <w:lang w:val="es-ES_tradnl"/>
        </w:rPr>
        <w:t>que una persona pueda cambiar a su voluntad su sexo en el registro civil; 2) admitir el matrimonio de personas del mismo sexo, ya que un transexual operado, a pesar del cambio externo, sigue teniendo el mismo sexo cromosómico</w:t>
      </w:r>
      <w:r w:rsidRPr="00537AF8">
        <w:rPr>
          <w:rFonts w:ascii="Cambria" w:hAnsi="Cambria"/>
          <w:color w:val="000000" w:themeColor="text1"/>
          <w:sz w:val="20"/>
          <w:szCs w:val="20"/>
          <w:lang w:val="es-ES_tradnl"/>
        </w:rPr>
        <w:t>”. En razón a ello</w:t>
      </w:r>
      <w:r w:rsidR="00681183" w:rsidRPr="00537AF8">
        <w:rPr>
          <w:rFonts w:ascii="Cambria" w:hAnsi="Cambria"/>
          <w:color w:val="000000" w:themeColor="text1"/>
          <w:sz w:val="20"/>
          <w:szCs w:val="20"/>
          <w:lang w:val="es-ES_tradnl"/>
        </w:rPr>
        <w:t xml:space="preserve">, estableció que su decisión constituía doctrina constitucional vinculante y obligatoria para todos los tribunales del país. </w:t>
      </w:r>
    </w:p>
    <w:p w14:paraId="33DDA4AA" w14:textId="45230978" w:rsidR="00B75EE9" w:rsidRPr="00537AF8" w:rsidRDefault="00AB05A4" w:rsidP="00AB05A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537AF8">
        <w:rPr>
          <w:rFonts w:ascii="Cambria" w:hAnsi="Cambria"/>
          <w:sz w:val="20"/>
          <w:szCs w:val="20"/>
          <w:lang w:val="es-ES_tradnl"/>
        </w:rPr>
        <w:t xml:space="preserve">En virtud de las citadas consideraciones, la parte peticionaria denuncia que el Estado violó </w:t>
      </w:r>
      <w:r w:rsidR="00394E7B" w:rsidRPr="00537AF8">
        <w:rPr>
          <w:rFonts w:ascii="Cambria" w:hAnsi="Cambria"/>
          <w:sz w:val="20"/>
          <w:szCs w:val="20"/>
          <w:lang w:val="es-ES_tradnl"/>
        </w:rPr>
        <w:t xml:space="preserve">principalmente </w:t>
      </w:r>
      <w:r w:rsidRPr="00537AF8">
        <w:rPr>
          <w:rFonts w:ascii="Cambria" w:hAnsi="Cambria"/>
          <w:sz w:val="20"/>
          <w:szCs w:val="20"/>
          <w:lang w:val="es-ES_tradnl"/>
        </w:rPr>
        <w:t xml:space="preserve">el derecho a la identidad </w:t>
      </w:r>
      <w:r w:rsidR="00394E7B" w:rsidRPr="00537AF8">
        <w:rPr>
          <w:rFonts w:ascii="Cambria" w:hAnsi="Cambria"/>
          <w:sz w:val="20"/>
          <w:szCs w:val="20"/>
          <w:lang w:val="es-ES_tradnl"/>
        </w:rPr>
        <w:t>e</w:t>
      </w:r>
      <w:r w:rsidRPr="00537AF8">
        <w:rPr>
          <w:rFonts w:ascii="Cambria" w:hAnsi="Cambria"/>
          <w:sz w:val="20"/>
          <w:szCs w:val="20"/>
          <w:lang w:val="es-ES_tradnl"/>
        </w:rPr>
        <w:t xml:space="preserve"> igualdad de la presunta víctima</w:t>
      </w:r>
      <w:r w:rsidR="00394E7B" w:rsidRPr="00537AF8">
        <w:rPr>
          <w:rFonts w:ascii="Cambria" w:hAnsi="Cambria"/>
          <w:sz w:val="20"/>
          <w:szCs w:val="20"/>
          <w:lang w:val="es-ES_tradnl"/>
        </w:rPr>
        <w:t xml:space="preserve">; y </w:t>
      </w:r>
      <w:r w:rsidRPr="00537AF8">
        <w:rPr>
          <w:rFonts w:ascii="Cambria" w:hAnsi="Cambria"/>
          <w:sz w:val="20"/>
          <w:szCs w:val="20"/>
          <w:lang w:val="es-ES_tradnl"/>
        </w:rPr>
        <w:t>que la denegación del reconocimiento de la identidad de género también implicó otras vulneraciones, toda vez que P.E.M.M</w:t>
      </w:r>
      <w:r w:rsidR="00CF51A7">
        <w:rPr>
          <w:rFonts w:ascii="Cambria" w:hAnsi="Cambria"/>
          <w:sz w:val="20"/>
          <w:szCs w:val="20"/>
          <w:lang w:val="es-ES_tradnl"/>
        </w:rPr>
        <w:t>.</w:t>
      </w:r>
      <w:r w:rsidRPr="00537AF8">
        <w:rPr>
          <w:rFonts w:ascii="Cambria" w:hAnsi="Cambria"/>
          <w:sz w:val="20"/>
          <w:szCs w:val="20"/>
          <w:lang w:val="es-ES_tradnl"/>
        </w:rPr>
        <w:t xml:space="preserve"> ha tenido problemas en los trámites personales que debe realizar, ya sea en bancos, centros comerciales </w:t>
      </w:r>
      <w:r w:rsidR="00AE1239">
        <w:rPr>
          <w:rFonts w:ascii="Cambria" w:hAnsi="Cambria"/>
          <w:sz w:val="20"/>
          <w:szCs w:val="20"/>
          <w:lang w:val="es-ES_tradnl"/>
        </w:rPr>
        <w:t>o</w:t>
      </w:r>
      <w:r w:rsidRPr="00537AF8">
        <w:rPr>
          <w:rFonts w:ascii="Cambria" w:hAnsi="Cambria"/>
          <w:sz w:val="20"/>
          <w:szCs w:val="20"/>
          <w:lang w:val="es-ES_tradnl"/>
        </w:rPr>
        <w:t xml:space="preserve"> entidades del Estado</w:t>
      </w:r>
      <w:r w:rsidR="00AD0999">
        <w:rPr>
          <w:rFonts w:ascii="Cambria" w:hAnsi="Cambria"/>
          <w:sz w:val="20"/>
          <w:szCs w:val="20"/>
          <w:lang w:val="es-ES_tradnl"/>
        </w:rPr>
        <w:t>, impidiéndole realizar una vida plena sin temor</w:t>
      </w:r>
      <w:r w:rsidR="00062F36">
        <w:rPr>
          <w:rFonts w:ascii="Cambria" w:hAnsi="Cambria"/>
          <w:sz w:val="20"/>
          <w:szCs w:val="20"/>
          <w:lang w:val="es-ES_tradnl"/>
        </w:rPr>
        <w:t xml:space="preserve"> a ningún tipo de riesgo</w:t>
      </w:r>
      <w:r w:rsidRPr="00537AF8">
        <w:rPr>
          <w:rFonts w:ascii="Cambria" w:hAnsi="Cambria"/>
          <w:sz w:val="20"/>
          <w:szCs w:val="20"/>
          <w:lang w:val="es-ES_tradnl"/>
        </w:rPr>
        <w:t>. Finalmente, d</w:t>
      </w:r>
      <w:r w:rsidR="00B75EE9" w:rsidRPr="00537AF8">
        <w:rPr>
          <w:rFonts w:ascii="Cambria" w:hAnsi="Cambria"/>
          <w:color w:val="000000" w:themeColor="text1"/>
          <w:sz w:val="20"/>
          <w:szCs w:val="20"/>
          <w:lang w:val="es-ES_tradnl"/>
        </w:rPr>
        <w:t>etalla que en Perú no existe un proceso específico que contemple el reconocimiento de la identidad de género y que las vías actuales no permiten una decisión de manera célere</w:t>
      </w:r>
      <w:r w:rsidRPr="00537AF8">
        <w:rPr>
          <w:rFonts w:ascii="Cambria" w:hAnsi="Cambria"/>
          <w:color w:val="000000" w:themeColor="text1"/>
          <w:sz w:val="20"/>
          <w:szCs w:val="20"/>
          <w:lang w:val="es-ES_tradnl"/>
        </w:rPr>
        <w:t xml:space="preserve">, toda vez que contemplan etapas probatorias que resultan discriminatorias para las personas trans. </w:t>
      </w:r>
      <w:r w:rsidR="00D60ACC" w:rsidRPr="00537AF8">
        <w:rPr>
          <w:rFonts w:ascii="Cambria" w:hAnsi="Cambria"/>
          <w:color w:val="000000" w:themeColor="text1"/>
          <w:sz w:val="20"/>
          <w:szCs w:val="20"/>
          <w:lang w:val="es-ES_tradnl"/>
        </w:rPr>
        <w:t xml:space="preserve">Afirma que esta situación se agravó con la decisión del Tribunal Constitucional, que estableció una doctrina constitucional vinculante un criterio discriminatorio. </w:t>
      </w:r>
    </w:p>
    <w:p w14:paraId="31E85933" w14:textId="45273124" w:rsidR="00A54886" w:rsidRPr="00537AF8" w:rsidRDefault="00A54886" w:rsidP="007E5C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537AF8">
        <w:rPr>
          <w:rFonts w:ascii="Cambria" w:hAnsi="Cambria"/>
          <w:sz w:val="20"/>
          <w:szCs w:val="20"/>
          <w:lang w:val="es-ES_tradnl"/>
        </w:rPr>
        <w:lastRenderedPageBreak/>
        <w:t xml:space="preserve">El Estado, por su parte, </w:t>
      </w:r>
      <w:r w:rsidR="00CF51A7">
        <w:rPr>
          <w:rFonts w:ascii="Cambria" w:hAnsi="Cambria"/>
          <w:sz w:val="20"/>
          <w:szCs w:val="20"/>
          <w:lang w:val="es-ES_tradnl"/>
        </w:rPr>
        <w:t>aduce</w:t>
      </w:r>
      <w:r w:rsidRPr="00537AF8">
        <w:rPr>
          <w:rFonts w:ascii="Cambria" w:hAnsi="Cambria"/>
          <w:sz w:val="20"/>
          <w:szCs w:val="20"/>
          <w:lang w:val="es-ES_tradnl"/>
        </w:rPr>
        <w:t xml:space="preserve"> que la presente petición es inadmisible. En primer lugar, presenta la excepción de falta de competencia material por la alegada vulneración del derecho a la identidad de la presunta víctima</w:t>
      </w:r>
      <w:r w:rsidR="003B263F" w:rsidRPr="00537AF8">
        <w:rPr>
          <w:rFonts w:ascii="Cambria" w:hAnsi="Cambria"/>
          <w:sz w:val="20"/>
          <w:szCs w:val="20"/>
          <w:lang w:val="es-ES_tradnl"/>
        </w:rPr>
        <w:t xml:space="preserve">, toda vez que dicho </w:t>
      </w:r>
      <w:r w:rsidRPr="00537AF8">
        <w:rPr>
          <w:rFonts w:ascii="Cambria" w:hAnsi="Cambria"/>
          <w:sz w:val="20"/>
          <w:szCs w:val="20"/>
          <w:lang w:val="es-ES_tradnl"/>
        </w:rPr>
        <w:t>derecho no se encuentra expresamente consagrado en</w:t>
      </w:r>
      <w:r w:rsidR="007E5C37" w:rsidRPr="00537AF8">
        <w:rPr>
          <w:rFonts w:ascii="Cambria" w:hAnsi="Cambria"/>
          <w:sz w:val="20"/>
          <w:szCs w:val="20"/>
          <w:lang w:val="es-ES_tradnl"/>
        </w:rPr>
        <w:t xml:space="preserve"> ningún</w:t>
      </w:r>
      <w:r w:rsidRPr="00537AF8">
        <w:rPr>
          <w:rFonts w:ascii="Cambria" w:hAnsi="Cambria"/>
          <w:sz w:val="20"/>
          <w:szCs w:val="20"/>
          <w:lang w:val="es-ES_tradnl"/>
        </w:rPr>
        <w:t xml:space="preserve"> artículo de la Convención Americana, ni tampoco en otros instrumentos del sistema interamericano. En </w:t>
      </w:r>
      <w:r w:rsidR="00537AF8" w:rsidRPr="00537AF8">
        <w:rPr>
          <w:rFonts w:ascii="Cambria" w:hAnsi="Cambria"/>
          <w:sz w:val="20"/>
          <w:szCs w:val="20"/>
          <w:lang w:val="es-ES_tradnl"/>
        </w:rPr>
        <w:t>consecuencia, afirma</w:t>
      </w:r>
      <w:r w:rsidR="007E5C37" w:rsidRPr="00537AF8">
        <w:rPr>
          <w:rFonts w:ascii="Cambria" w:hAnsi="Cambria"/>
          <w:sz w:val="20"/>
          <w:szCs w:val="20"/>
          <w:lang w:val="es-ES_tradnl"/>
        </w:rPr>
        <w:t xml:space="preserve"> que </w:t>
      </w:r>
      <w:r w:rsidRPr="00537AF8">
        <w:rPr>
          <w:rFonts w:ascii="Cambria" w:hAnsi="Cambria"/>
          <w:sz w:val="20"/>
          <w:szCs w:val="20"/>
          <w:lang w:val="es-ES_tradnl"/>
        </w:rPr>
        <w:t>no resulta posible debatir sobre la alegada violación de dicho derecho en el marco de peticiones y casos de la CIDH</w:t>
      </w:r>
      <w:r w:rsidR="007E5C37" w:rsidRPr="00537AF8">
        <w:rPr>
          <w:rFonts w:ascii="Cambria" w:hAnsi="Cambria"/>
          <w:sz w:val="20"/>
          <w:szCs w:val="20"/>
          <w:lang w:val="es-ES_tradnl"/>
        </w:rPr>
        <w:t>.</w:t>
      </w:r>
    </w:p>
    <w:p w14:paraId="7164DE02" w14:textId="33C15D0F" w:rsidR="00A54886" w:rsidRPr="00537AF8" w:rsidRDefault="00A54886" w:rsidP="00456FE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537AF8">
        <w:rPr>
          <w:rFonts w:ascii="Cambria" w:hAnsi="Cambria"/>
          <w:sz w:val="20"/>
          <w:szCs w:val="20"/>
          <w:lang w:val="es-ES_tradnl"/>
        </w:rPr>
        <w:t xml:space="preserve">Adicionalmente, plantea que la parte peticionaria no agotó adecuadamente los recursos de la jurisdicción interna. </w:t>
      </w:r>
      <w:r w:rsidR="007E5C37" w:rsidRPr="00537AF8">
        <w:rPr>
          <w:rFonts w:ascii="Cambria" w:hAnsi="Cambria"/>
          <w:sz w:val="20"/>
          <w:szCs w:val="20"/>
          <w:lang w:val="es-ES_tradnl"/>
        </w:rPr>
        <w:t xml:space="preserve">Informa </w:t>
      </w:r>
      <w:r w:rsidRPr="00537AF8">
        <w:rPr>
          <w:rFonts w:ascii="Cambria" w:hAnsi="Cambria"/>
          <w:sz w:val="20"/>
          <w:szCs w:val="20"/>
          <w:lang w:val="es-ES_tradnl"/>
        </w:rPr>
        <w:t xml:space="preserve">que conforme al </w:t>
      </w:r>
      <w:r w:rsidR="00531FF9" w:rsidRPr="00537AF8">
        <w:rPr>
          <w:rFonts w:ascii="Cambria" w:hAnsi="Cambria"/>
          <w:sz w:val="20"/>
          <w:szCs w:val="20"/>
          <w:lang w:val="es-ES_tradnl"/>
        </w:rPr>
        <w:t>artículo 5 del Código Procesal Constitucional entonces vigente</w:t>
      </w:r>
      <w:r w:rsidR="00531FF9" w:rsidRPr="00537AF8">
        <w:rPr>
          <w:rStyle w:val="FootnoteReference"/>
          <w:rFonts w:ascii="Cambria" w:hAnsi="Cambria"/>
          <w:sz w:val="20"/>
          <w:szCs w:val="20"/>
          <w:lang w:val="es-ES_tradnl"/>
        </w:rPr>
        <w:footnoteReference w:id="5"/>
      </w:r>
      <w:r w:rsidRPr="00537AF8">
        <w:rPr>
          <w:rFonts w:ascii="Cambria" w:hAnsi="Cambria"/>
          <w:sz w:val="20"/>
          <w:szCs w:val="20"/>
          <w:lang w:val="es-ES_tradnl"/>
        </w:rPr>
        <w:t>,</w:t>
      </w:r>
      <w:r w:rsidR="007E5C37" w:rsidRPr="00537AF8">
        <w:rPr>
          <w:rFonts w:ascii="Cambria" w:hAnsi="Cambria"/>
          <w:sz w:val="20"/>
          <w:szCs w:val="20"/>
          <w:lang w:val="es-ES_tradnl"/>
        </w:rPr>
        <w:t xml:space="preserve"> la vía de amparo resultaba procedente para la protección de derechos fundamentales, siempre que no exista una vía igualmente satisfactoria. Señala que, en el presente caso, tanto la Sala Mixta descentralizada de Tarapoto como el Tribunal Constitucional rechazaron la demanda de la presunta víctima, al considerar</w:t>
      </w:r>
      <w:r w:rsidR="00D60ACC" w:rsidRPr="00537AF8">
        <w:rPr>
          <w:rFonts w:ascii="Cambria" w:hAnsi="Cambria"/>
          <w:sz w:val="20"/>
          <w:szCs w:val="20"/>
          <w:lang w:val="es-ES_tradnl"/>
        </w:rPr>
        <w:t>, en</w:t>
      </w:r>
      <w:r w:rsidR="00AE1239">
        <w:rPr>
          <w:rFonts w:ascii="Cambria" w:hAnsi="Cambria"/>
          <w:sz w:val="20"/>
          <w:szCs w:val="20"/>
          <w:lang w:val="es-ES_tradnl"/>
        </w:rPr>
        <w:t>tre</w:t>
      </w:r>
      <w:r w:rsidR="00D60ACC" w:rsidRPr="00537AF8">
        <w:rPr>
          <w:rFonts w:ascii="Cambria" w:hAnsi="Cambria"/>
          <w:sz w:val="20"/>
          <w:szCs w:val="20"/>
          <w:lang w:val="es-ES_tradnl"/>
        </w:rPr>
        <w:t xml:space="preserve"> otros argumentos, </w:t>
      </w:r>
      <w:r w:rsidR="007E5C37" w:rsidRPr="00537AF8">
        <w:rPr>
          <w:rFonts w:ascii="Cambria" w:hAnsi="Cambria"/>
          <w:sz w:val="20"/>
          <w:szCs w:val="20"/>
          <w:lang w:val="es-ES_tradnl"/>
        </w:rPr>
        <w:t xml:space="preserve">que el asunto debía ser resuelto mediante un proceso ordinario civil. Asimismo, detalla que existe diversa jurisprudencia nacional similar al presente caso que, al ser tramitadas por la vía adecuada, obtuvieron los resultados esperados. En particular, el Estado aporta </w:t>
      </w:r>
      <w:r w:rsidR="00456FEF" w:rsidRPr="00537AF8">
        <w:rPr>
          <w:rFonts w:ascii="Cambria" w:hAnsi="Cambria"/>
          <w:sz w:val="20"/>
          <w:szCs w:val="20"/>
          <w:lang w:val="es-ES_tradnl"/>
        </w:rPr>
        <w:t xml:space="preserve">tres </w:t>
      </w:r>
      <w:r w:rsidR="007E5C37" w:rsidRPr="00537AF8">
        <w:rPr>
          <w:rFonts w:ascii="Cambria" w:hAnsi="Cambria"/>
          <w:sz w:val="20"/>
          <w:szCs w:val="20"/>
          <w:lang w:val="es-ES_tradnl"/>
        </w:rPr>
        <w:t xml:space="preserve">resoluciones </w:t>
      </w:r>
      <w:r w:rsidR="00456FEF" w:rsidRPr="00537AF8">
        <w:rPr>
          <w:rFonts w:ascii="Cambria" w:hAnsi="Cambria"/>
          <w:sz w:val="20"/>
          <w:szCs w:val="20"/>
          <w:lang w:val="es-ES_tradnl"/>
        </w:rPr>
        <w:t>proferidas por juzgados y salas civiles que ordenaron el cambio de nombre y sexo de las personas demandantes</w:t>
      </w:r>
      <w:r w:rsidR="00D60ACC" w:rsidRPr="00537AF8">
        <w:rPr>
          <w:rFonts w:ascii="Cambria" w:hAnsi="Cambria"/>
          <w:sz w:val="20"/>
          <w:szCs w:val="20"/>
          <w:lang w:val="es-ES_tradnl"/>
        </w:rPr>
        <w:t>; y, e</w:t>
      </w:r>
      <w:r w:rsidR="00456FEF" w:rsidRPr="00537AF8">
        <w:rPr>
          <w:rFonts w:ascii="Cambria" w:hAnsi="Cambria"/>
          <w:sz w:val="20"/>
          <w:szCs w:val="20"/>
          <w:lang w:val="es-ES_tradnl"/>
        </w:rPr>
        <w:t xml:space="preserve">n base a ello, concluye que, toda vez que se demostró que existía una vía adecuada y efectivo que la presunta víctima no </w:t>
      </w:r>
      <w:r w:rsidR="00537AF8" w:rsidRPr="00537AF8">
        <w:rPr>
          <w:rFonts w:ascii="Cambria" w:hAnsi="Cambria"/>
          <w:sz w:val="20"/>
          <w:szCs w:val="20"/>
          <w:lang w:val="es-ES_tradnl"/>
        </w:rPr>
        <w:t>utilizó, la</w:t>
      </w:r>
      <w:r w:rsidR="00456FEF" w:rsidRPr="00537AF8">
        <w:rPr>
          <w:rFonts w:ascii="Cambria" w:hAnsi="Cambria"/>
          <w:sz w:val="20"/>
          <w:szCs w:val="20"/>
          <w:lang w:val="es-ES_tradnl"/>
        </w:rPr>
        <w:t xml:space="preserve"> presente petición no cumple con el requisito previsto en el artículo 46.1.a) de la Convención Americana. </w:t>
      </w:r>
    </w:p>
    <w:p w14:paraId="18B30D42" w14:textId="3E1AC20B" w:rsidR="00F35648" w:rsidRPr="00537AF8" w:rsidRDefault="00F35648" w:rsidP="00456FE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537AF8">
        <w:rPr>
          <w:rFonts w:ascii="Cambria" w:hAnsi="Cambria"/>
          <w:sz w:val="20"/>
          <w:szCs w:val="20"/>
          <w:lang w:val="es-ES_tradnl"/>
        </w:rPr>
        <w:t>En sentido similar, el Estado también sostiene que</w:t>
      </w:r>
      <w:r w:rsidR="00456FEF" w:rsidRPr="00537AF8">
        <w:rPr>
          <w:rFonts w:ascii="Cambria" w:hAnsi="Cambria"/>
          <w:sz w:val="20"/>
          <w:szCs w:val="20"/>
          <w:lang w:val="es-ES_tradnl"/>
        </w:rPr>
        <w:t xml:space="preserve"> la presunta víctima no a</w:t>
      </w:r>
      <w:r w:rsidRPr="00537AF8">
        <w:rPr>
          <w:rFonts w:ascii="Cambria" w:hAnsi="Cambria"/>
          <w:sz w:val="20"/>
          <w:szCs w:val="20"/>
          <w:lang w:val="es-ES_tradnl"/>
        </w:rPr>
        <w:t xml:space="preserve">gotó el recurso correspondiente para cuestionar una posible violación del artículo 24 de la Convención Americana. </w:t>
      </w:r>
      <w:r w:rsidR="00456FEF" w:rsidRPr="00537AF8">
        <w:rPr>
          <w:rFonts w:ascii="Cambria" w:hAnsi="Cambria"/>
          <w:sz w:val="20"/>
          <w:szCs w:val="20"/>
          <w:lang w:val="es-ES_tradnl"/>
        </w:rPr>
        <w:t xml:space="preserve">Al respecto, detalla que </w:t>
      </w:r>
      <w:r w:rsidR="00537AF8" w:rsidRPr="00537AF8">
        <w:rPr>
          <w:rFonts w:ascii="Cambria" w:hAnsi="Cambria"/>
          <w:sz w:val="20"/>
          <w:szCs w:val="20"/>
          <w:lang w:val="es-ES_tradnl"/>
        </w:rPr>
        <w:t>a pesar de que</w:t>
      </w:r>
      <w:r w:rsidR="00456FEF" w:rsidRPr="00537AF8">
        <w:rPr>
          <w:rFonts w:ascii="Cambria" w:hAnsi="Cambria"/>
          <w:sz w:val="20"/>
          <w:szCs w:val="20"/>
          <w:lang w:val="es-ES_tradnl"/>
        </w:rPr>
        <w:t xml:space="preserve"> el ordenamiento peruano prevé la posibilidad de cuestionar </w:t>
      </w:r>
      <w:r w:rsidR="00D60ACC" w:rsidRPr="00537AF8">
        <w:rPr>
          <w:rFonts w:ascii="Cambria" w:hAnsi="Cambria"/>
          <w:sz w:val="20"/>
          <w:szCs w:val="20"/>
          <w:lang w:val="es-ES_tradnl"/>
        </w:rPr>
        <w:t xml:space="preserve">por </w:t>
      </w:r>
      <w:r w:rsidR="00456FEF" w:rsidRPr="00537AF8">
        <w:rPr>
          <w:rFonts w:ascii="Cambria" w:hAnsi="Cambria"/>
          <w:sz w:val="20"/>
          <w:szCs w:val="20"/>
          <w:lang w:val="es-ES_tradnl"/>
        </w:rPr>
        <w:t xml:space="preserve">vía de amparo la constitucionalidad de una disposición de carácter autoaplicativo, P.E.M.M no cuestionó ni solicitó la inaplicación de una norma por ser discriminatoria. </w:t>
      </w:r>
      <w:r w:rsidRPr="00537AF8">
        <w:rPr>
          <w:rFonts w:ascii="Cambria" w:hAnsi="Cambria"/>
          <w:sz w:val="20"/>
          <w:szCs w:val="20"/>
          <w:lang w:val="es-ES_tradnl"/>
        </w:rPr>
        <w:t xml:space="preserve">En razón a ello, el Estado considera que no contó con la oportunidad de pronunciarse </w:t>
      </w:r>
      <w:r w:rsidR="00537AF8" w:rsidRPr="00537AF8">
        <w:rPr>
          <w:rFonts w:ascii="Cambria" w:hAnsi="Cambria"/>
          <w:sz w:val="20"/>
          <w:szCs w:val="20"/>
          <w:lang w:val="es-ES_tradnl"/>
        </w:rPr>
        <w:t>con relación a</w:t>
      </w:r>
      <w:r w:rsidRPr="00537AF8">
        <w:rPr>
          <w:rFonts w:ascii="Cambria" w:hAnsi="Cambria"/>
          <w:sz w:val="20"/>
          <w:szCs w:val="20"/>
          <w:lang w:val="es-ES_tradnl"/>
        </w:rPr>
        <w:t xml:space="preserve"> este asunto en la jurisdicción nacional, por lo que este extremo de la petición </w:t>
      </w:r>
      <w:r w:rsidR="00456FEF" w:rsidRPr="00537AF8">
        <w:rPr>
          <w:rFonts w:ascii="Cambria" w:hAnsi="Cambria"/>
          <w:sz w:val="20"/>
          <w:szCs w:val="20"/>
          <w:lang w:val="es-ES_tradnl"/>
        </w:rPr>
        <w:t xml:space="preserve">tampoco </w:t>
      </w:r>
      <w:r w:rsidRPr="00537AF8">
        <w:rPr>
          <w:rFonts w:ascii="Cambria" w:hAnsi="Cambria"/>
          <w:sz w:val="20"/>
          <w:szCs w:val="20"/>
          <w:lang w:val="es-ES_tradnl"/>
        </w:rPr>
        <w:t>cumple el requisito establecido en el artículo 46.1.a) de la Convención.</w:t>
      </w:r>
    </w:p>
    <w:p w14:paraId="5110342E" w14:textId="31B36710" w:rsidR="00F35648" w:rsidRPr="00537AF8" w:rsidRDefault="00F35648"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537AF8">
        <w:rPr>
          <w:rFonts w:ascii="Cambria" w:hAnsi="Cambria"/>
          <w:sz w:val="20"/>
          <w:szCs w:val="20"/>
          <w:lang w:val="es-ES_tradnl"/>
        </w:rPr>
        <w:t xml:space="preserve">Finalmente, arguye que los hechos denunciados no caracterizan una violación de derechos humanos. </w:t>
      </w:r>
      <w:r w:rsidR="00673ED5" w:rsidRPr="00537AF8">
        <w:rPr>
          <w:rFonts w:ascii="Cambria" w:hAnsi="Cambria"/>
          <w:sz w:val="20"/>
          <w:szCs w:val="20"/>
          <w:lang w:val="es-ES_tradnl"/>
        </w:rPr>
        <w:t xml:space="preserve">Indica que </w:t>
      </w:r>
      <w:r w:rsidR="00537AF8" w:rsidRPr="00537AF8">
        <w:rPr>
          <w:rFonts w:ascii="Cambria" w:hAnsi="Cambria"/>
          <w:sz w:val="20"/>
          <w:szCs w:val="20"/>
          <w:lang w:val="es-ES_tradnl"/>
        </w:rPr>
        <w:t>los primeros avances</w:t>
      </w:r>
      <w:r w:rsidR="00673ED5" w:rsidRPr="00537AF8">
        <w:rPr>
          <w:rFonts w:ascii="Cambria" w:hAnsi="Cambria"/>
          <w:sz w:val="20"/>
          <w:szCs w:val="20"/>
          <w:lang w:val="es-ES_tradnl"/>
        </w:rPr>
        <w:t xml:space="preserve"> por parte de los órganos del sistema interamericano respecto a la diferencia de trato, igualdad y no discriminación por orientación sexual iniciaron en el 2012, a través sentencia recaída en el caso Atala Riffo y Niñas vs. Chile. En consecuencia, resalta que cuando P.E.M.M inició su proceso en sede interna, aún no se encontraba vigente algún estándar internacional de protección al derecho a la identidad de género; y que recién en el 2017, mediante la Opinión Consultiva </w:t>
      </w:r>
      <w:r w:rsidR="00673ED5" w:rsidRPr="00537AF8">
        <w:rPr>
          <w:rFonts w:ascii="Cambria" w:hAnsi="Cambria"/>
          <w:color w:val="000000" w:themeColor="text1"/>
          <w:sz w:val="20"/>
          <w:szCs w:val="20"/>
          <w:lang w:val="es-ES_tradnl"/>
        </w:rPr>
        <w:t>Nº 24, la Corte Interamericana desarrolló</w:t>
      </w:r>
      <w:r w:rsidR="001A2855" w:rsidRPr="00537AF8">
        <w:rPr>
          <w:rFonts w:ascii="Cambria" w:hAnsi="Cambria"/>
          <w:color w:val="000000" w:themeColor="text1"/>
          <w:sz w:val="20"/>
          <w:szCs w:val="20"/>
          <w:lang w:val="es-ES_tradnl"/>
        </w:rPr>
        <w:t xml:space="preserve"> dicho parámetro jurídico</w:t>
      </w:r>
      <w:r w:rsidR="00673ED5" w:rsidRPr="00537AF8">
        <w:rPr>
          <w:rFonts w:ascii="Cambria" w:hAnsi="Cambria"/>
          <w:color w:val="000000" w:themeColor="text1"/>
          <w:sz w:val="20"/>
          <w:szCs w:val="20"/>
          <w:lang w:val="es-ES_tradnl"/>
        </w:rPr>
        <w:t>.</w:t>
      </w:r>
      <w:r w:rsidR="001A2855" w:rsidRPr="00537AF8">
        <w:rPr>
          <w:rFonts w:ascii="Cambria" w:hAnsi="Cambria"/>
          <w:color w:val="000000" w:themeColor="text1"/>
          <w:sz w:val="20"/>
          <w:szCs w:val="20"/>
          <w:lang w:val="es-ES_tradnl"/>
        </w:rPr>
        <w:t xml:space="preserve"> En base a ello, el Estado solicita a la CIDH que tome en cuenta que, ante la falta de consenso internacional sobre el asunto en controversia, resulta aplicable doctrina del margen de apreciación. </w:t>
      </w:r>
    </w:p>
    <w:p w14:paraId="47241CC8" w14:textId="3836332A" w:rsidR="001A2855" w:rsidRPr="00537AF8" w:rsidRDefault="001A2855"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537AF8">
        <w:rPr>
          <w:rFonts w:ascii="Cambria" w:hAnsi="Cambria"/>
          <w:color w:val="000000" w:themeColor="text1"/>
          <w:sz w:val="20"/>
          <w:szCs w:val="20"/>
          <w:lang w:val="es-ES_tradnl"/>
        </w:rPr>
        <w:t xml:space="preserve">En cuanto a la alegada afectación a las garantías y protección judicial, arguye que el hecho de que el resultado del proceso no haya sido satisfactoria para P.E.M.M tampoco significa que los recursos existentes en el ordenamiento jurídico resulten ilusorios, o hayan implicado alguna irregularidad procesal. Además, reitera que la presunta víctima contaba con otra vía igualmente satisfactoria para hacer valer el derecho considera transgredido. </w:t>
      </w:r>
    </w:p>
    <w:p w14:paraId="1255A2A9" w14:textId="507DB757" w:rsidR="001A2855" w:rsidRPr="001A3153" w:rsidRDefault="000F1336"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537AF8">
        <w:rPr>
          <w:rFonts w:ascii="Cambria" w:hAnsi="Cambria"/>
          <w:color w:val="000000" w:themeColor="text1"/>
          <w:sz w:val="20"/>
          <w:szCs w:val="20"/>
          <w:lang w:val="es-ES_tradnl"/>
        </w:rPr>
        <w:t>Finalmente</w:t>
      </w:r>
      <w:r w:rsidR="00AE1239">
        <w:rPr>
          <w:rFonts w:ascii="Cambria" w:hAnsi="Cambria"/>
          <w:color w:val="000000" w:themeColor="text1"/>
          <w:sz w:val="20"/>
          <w:szCs w:val="20"/>
          <w:lang w:val="es-ES_tradnl"/>
        </w:rPr>
        <w:t>,</w:t>
      </w:r>
      <w:r w:rsidR="001A2855" w:rsidRPr="00537AF8">
        <w:rPr>
          <w:rFonts w:ascii="Cambria" w:hAnsi="Cambria"/>
          <w:color w:val="000000" w:themeColor="text1"/>
          <w:sz w:val="20"/>
          <w:szCs w:val="20"/>
          <w:lang w:val="es-ES_tradnl"/>
        </w:rPr>
        <w:t xml:space="preserve"> </w:t>
      </w:r>
      <w:r w:rsidRPr="00537AF8">
        <w:rPr>
          <w:rFonts w:ascii="Cambria" w:hAnsi="Cambria"/>
          <w:color w:val="000000" w:themeColor="text1"/>
          <w:sz w:val="20"/>
          <w:szCs w:val="20"/>
          <w:lang w:val="es-ES_tradnl"/>
        </w:rPr>
        <w:t xml:space="preserve">el Estado sostiene que la parte peticionaria </w:t>
      </w:r>
      <w:r w:rsidR="00AE1239">
        <w:rPr>
          <w:rFonts w:ascii="Cambria" w:hAnsi="Cambria"/>
          <w:color w:val="000000" w:themeColor="text1"/>
          <w:sz w:val="20"/>
          <w:szCs w:val="20"/>
          <w:lang w:val="es-ES_tradnl"/>
        </w:rPr>
        <w:t xml:space="preserve">no </w:t>
      </w:r>
      <w:r w:rsidRPr="00537AF8">
        <w:rPr>
          <w:rFonts w:ascii="Cambria" w:hAnsi="Cambria"/>
          <w:color w:val="000000" w:themeColor="text1"/>
          <w:sz w:val="20"/>
          <w:szCs w:val="20"/>
          <w:lang w:val="es-ES_tradnl"/>
        </w:rPr>
        <w:t>detall</w:t>
      </w:r>
      <w:r w:rsidR="005D3A3F">
        <w:rPr>
          <w:rFonts w:ascii="Cambria" w:hAnsi="Cambria"/>
          <w:color w:val="000000" w:themeColor="text1"/>
          <w:sz w:val="20"/>
          <w:szCs w:val="20"/>
          <w:lang w:val="es-ES_tradnl"/>
        </w:rPr>
        <w:t>a</w:t>
      </w:r>
      <w:r w:rsidRPr="00537AF8">
        <w:rPr>
          <w:rFonts w:ascii="Cambria" w:hAnsi="Cambria"/>
          <w:color w:val="000000" w:themeColor="text1"/>
          <w:sz w:val="20"/>
          <w:szCs w:val="20"/>
          <w:lang w:val="es-ES_tradnl"/>
        </w:rPr>
        <w:t xml:space="preserve"> en qué medida existió una violación de a los derechos a la vida, integridad personal y honra de P.E.M.M; y que tampoco se produce una violación del derecho a la igualdad ant</w:t>
      </w:r>
      <w:r w:rsidRPr="001A3153">
        <w:rPr>
          <w:rFonts w:ascii="Cambria" w:hAnsi="Cambria"/>
          <w:color w:val="000000" w:themeColor="text1"/>
          <w:sz w:val="20"/>
          <w:szCs w:val="20"/>
          <w:lang w:val="es-ES_tradnl"/>
        </w:rPr>
        <w:t>e la ley, toda vez que cuenta con normas interna</w:t>
      </w:r>
      <w:r w:rsidR="00AE1239" w:rsidRPr="001A3153">
        <w:rPr>
          <w:rFonts w:ascii="Cambria" w:hAnsi="Cambria"/>
          <w:color w:val="000000" w:themeColor="text1"/>
          <w:sz w:val="20"/>
          <w:szCs w:val="20"/>
          <w:lang w:val="es-ES_tradnl"/>
        </w:rPr>
        <w:t>s</w:t>
      </w:r>
      <w:r w:rsidRPr="001A3153">
        <w:rPr>
          <w:rFonts w:ascii="Cambria" w:hAnsi="Cambria"/>
          <w:color w:val="000000" w:themeColor="text1"/>
          <w:sz w:val="20"/>
          <w:szCs w:val="20"/>
          <w:lang w:val="es-ES_tradnl"/>
        </w:rPr>
        <w:t xml:space="preserve"> relativa</w:t>
      </w:r>
      <w:r w:rsidR="00AE1239" w:rsidRPr="001A3153">
        <w:rPr>
          <w:rFonts w:ascii="Cambria" w:hAnsi="Cambria"/>
          <w:color w:val="000000" w:themeColor="text1"/>
          <w:sz w:val="20"/>
          <w:szCs w:val="20"/>
          <w:lang w:val="es-ES_tradnl"/>
        </w:rPr>
        <w:t>s</w:t>
      </w:r>
      <w:r w:rsidRPr="001A3153">
        <w:rPr>
          <w:rFonts w:ascii="Cambria" w:hAnsi="Cambria"/>
          <w:color w:val="000000" w:themeColor="text1"/>
          <w:sz w:val="20"/>
          <w:szCs w:val="20"/>
          <w:lang w:val="es-ES_tradnl"/>
        </w:rPr>
        <w:t xml:space="preserve"> a la protección de los derechos de las personas trans en el ámbito electoral y de salud. Por las citadas razones, solicita que la petición sea declarada inadmisible con fundamento en el artículo 47.b) de la Convención Americana, toda vez </w:t>
      </w:r>
      <w:r w:rsidRPr="001A3153">
        <w:rPr>
          <w:rFonts w:ascii="Cambria" w:hAnsi="Cambria"/>
          <w:color w:val="000000" w:themeColor="text1"/>
          <w:sz w:val="20"/>
          <w:szCs w:val="20"/>
          <w:lang w:val="es-ES_tradnl"/>
        </w:rPr>
        <w:lastRenderedPageBreak/>
        <w:t>que considera que la pretensión de la peticionaria es que la Comisión actúe como un tribunal de alzada, en contradicción de su naturaleza complementaria.</w:t>
      </w:r>
    </w:p>
    <w:p w14:paraId="6F4D4171" w14:textId="415C062D" w:rsidR="003239B8" w:rsidRPr="001A3153" w:rsidRDefault="003239B8" w:rsidP="003239B8">
      <w:pPr>
        <w:spacing w:before="240" w:after="240"/>
        <w:ind w:firstLine="720"/>
        <w:jc w:val="both"/>
        <w:rPr>
          <w:rFonts w:asciiTheme="majorHAnsi" w:eastAsia="Cambria" w:hAnsiTheme="majorHAnsi" w:cs="Cambria"/>
          <w:b/>
          <w:bCs/>
          <w:color w:val="000000"/>
          <w:sz w:val="20"/>
          <w:szCs w:val="20"/>
          <w:u w:color="000000"/>
          <w:lang w:val="es-ES_tradnl" w:eastAsia="es-ES"/>
        </w:rPr>
      </w:pPr>
      <w:r w:rsidRPr="001A3153">
        <w:rPr>
          <w:rFonts w:asciiTheme="majorHAnsi" w:eastAsia="Cambria" w:hAnsiTheme="majorHAnsi" w:cs="Cambria"/>
          <w:b/>
          <w:bCs/>
          <w:color w:val="000000"/>
          <w:sz w:val="20"/>
          <w:szCs w:val="20"/>
          <w:u w:color="000000"/>
          <w:lang w:val="es-ES_tradnl" w:eastAsia="es-ES"/>
        </w:rPr>
        <w:t>VI.</w:t>
      </w:r>
      <w:r w:rsidRPr="001A3153">
        <w:rPr>
          <w:rFonts w:asciiTheme="majorHAnsi" w:eastAsia="Cambria" w:hAnsiTheme="majorHAnsi" w:cs="Cambria"/>
          <w:b/>
          <w:bCs/>
          <w:color w:val="000000"/>
          <w:sz w:val="20"/>
          <w:szCs w:val="20"/>
          <w:u w:color="000000"/>
          <w:lang w:val="es-ES_tradnl" w:eastAsia="es-ES"/>
        </w:rPr>
        <w:tab/>
      </w:r>
      <w:r w:rsidR="004A6A54" w:rsidRPr="001A3153">
        <w:rPr>
          <w:rFonts w:asciiTheme="majorHAnsi" w:hAnsiTheme="majorHAnsi"/>
          <w:b/>
          <w:bCs/>
          <w:sz w:val="20"/>
          <w:szCs w:val="20"/>
          <w:lang w:val="es-ES_tradnl"/>
        </w:rPr>
        <w:t xml:space="preserve">ANÁLISIS DE </w:t>
      </w:r>
      <w:r w:rsidR="00C21FEF" w:rsidRPr="001A3153">
        <w:rPr>
          <w:rFonts w:asciiTheme="majorHAnsi" w:hAnsiTheme="majorHAnsi"/>
          <w:b/>
          <w:sz w:val="20"/>
          <w:szCs w:val="20"/>
          <w:lang w:val="es-ES_tradnl"/>
        </w:rPr>
        <w:t>AGOTAMIENTO DE LOS RECURSOS INTERNOS Y PLAZO DE PRESENTACIÓN</w:t>
      </w:r>
      <w:r w:rsidR="00C21FEF" w:rsidRPr="001A3153">
        <w:rPr>
          <w:rFonts w:asciiTheme="majorHAnsi" w:eastAsia="Cambria" w:hAnsiTheme="majorHAnsi" w:cs="Cambria"/>
          <w:b/>
          <w:bCs/>
          <w:color w:val="000000"/>
          <w:sz w:val="20"/>
          <w:szCs w:val="20"/>
          <w:u w:color="000000"/>
          <w:lang w:val="es-ES_tradnl" w:eastAsia="es-ES"/>
        </w:rPr>
        <w:t xml:space="preserve"> </w:t>
      </w:r>
    </w:p>
    <w:p w14:paraId="470C9B02" w14:textId="77777777" w:rsidR="001A3153" w:rsidRPr="001A3153" w:rsidRDefault="002661F2" w:rsidP="001A315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000000" w:themeColor="text1"/>
          <w:sz w:val="20"/>
          <w:szCs w:val="20"/>
          <w:lang w:val="es-ES_tradnl"/>
        </w:rPr>
      </w:pPr>
      <w:r w:rsidRPr="001A3153">
        <w:rPr>
          <w:rFonts w:ascii="Cambria" w:hAnsi="Cambria"/>
          <w:color w:val="000000" w:themeColor="text1"/>
          <w:sz w:val="20"/>
          <w:szCs w:val="20"/>
          <w:lang w:val="es-ES_tradnl"/>
        </w:rPr>
        <w:t xml:space="preserve">En el presente asunto la Comisión Interamericana observa que la presunta víctima </w:t>
      </w:r>
      <w:r w:rsidR="001F54D7" w:rsidRPr="001A3153">
        <w:rPr>
          <w:rFonts w:ascii="Cambria" w:hAnsi="Cambria"/>
          <w:color w:val="000000" w:themeColor="text1"/>
          <w:sz w:val="20"/>
          <w:szCs w:val="20"/>
          <w:lang w:val="es-ES_tradnl"/>
        </w:rPr>
        <w:t>interpuso una acción de amparo</w:t>
      </w:r>
      <w:r w:rsidR="00AE1239" w:rsidRPr="001A3153">
        <w:rPr>
          <w:rFonts w:ascii="Cambria" w:hAnsi="Cambria"/>
          <w:color w:val="000000" w:themeColor="text1"/>
          <w:sz w:val="20"/>
          <w:szCs w:val="20"/>
          <w:lang w:val="es-ES_tradnl"/>
        </w:rPr>
        <w:t>,</w:t>
      </w:r>
      <w:r w:rsidR="001F54D7" w:rsidRPr="001A3153">
        <w:rPr>
          <w:rFonts w:ascii="Cambria" w:hAnsi="Cambria"/>
          <w:color w:val="000000" w:themeColor="text1"/>
          <w:sz w:val="20"/>
          <w:szCs w:val="20"/>
          <w:lang w:val="es-ES_tradnl"/>
        </w:rPr>
        <w:t xml:space="preserve"> y ante su denegatoria</w:t>
      </w:r>
      <w:r w:rsidR="00A41658" w:rsidRPr="001A3153">
        <w:rPr>
          <w:rFonts w:ascii="Cambria" w:hAnsi="Cambria"/>
          <w:color w:val="000000" w:themeColor="text1"/>
          <w:sz w:val="20"/>
          <w:szCs w:val="20"/>
          <w:lang w:val="es-ES_tradnl"/>
        </w:rPr>
        <w:t>, presentó</w:t>
      </w:r>
      <w:r w:rsidR="001F54D7" w:rsidRPr="001A3153">
        <w:rPr>
          <w:rFonts w:ascii="Cambria" w:hAnsi="Cambria"/>
          <w:color w:val="000000" w:themeColor="text1"/>
          <w:sz w:val="20"/>
          <w:szCs w:val="20"/>
          <w:lang w:val="es-ES_tradnl"/>
        </w:rPr>
        <w:t xml:space="preserve"> un recurso de agravio constitucional, cuya decisión definitiva fue emitida el 18 de marzo de 2014 por el Tribunal Constitucional, a través de sentencia recaída en el Expediente Nº 00139-2013-PA/TC. Esta sentencia fue notificada el 12 de mayo de ese mismo año.</w:t>
      </w:r>
      <w:r w:rsidR="00B16C6E" w:rsidRPr="001A3153">
        <w:rPr>
          <w:rFonts w:ascii="Cambria" w:hAnsi="Cambria"/>
          <w:color w:val="000000" w:themeColor="text1"/>
          <w:sz w:val="20"/>
          <w:szCs w:val="20"/>
          <w:lang w:val="es-ES_tradnl"/>
        </w:rPr>
        <w:t xml:space="preserve"> </w:t>
      </w:r>
      <w:r w:rsidR="001F54D7" w:rsidRPr="001A3153">
        <w:rPr>
          <w:rFonts w:ascii="Cambria" w:hAnsi="Cambria"/>
          <w:color w:val="000000" w:themeColor="text1"/>
          <w:sz w:val="20"/>
          <w:szCs w:val="20"/>
          <w:lang w:val="es-ES_tradnl"/>
        </w:rPr>
        <w:t xml:space="preserve">A este respecto, la CIDH considera que </w:t>
      </w:r>
      <w:r w:rsidR="00B16C6E" w:rsidRPr="001A3153">
        <w:rPr>
          <w:rFonts w:ascii="Cambria" w:hAnsi="Cambria"/>
          <w:color w:val="000000" w:themeColor="text1"/>
          <w:sz w:val="20"/>
          <w:szCs w:val="20"/>
          <w:lang w:val="es-ES_tradnl"/>
        </w:rPr>
        <w:t>la presunta víctima acudió a una vía recursiva que</w:t>
      </w:r>
      <w:r w:rsidR="00A41658" w:rsidRPr="001A3153">
        <w:rPr>
          <w:rFonts w:ascii="Cambria" w:hAnsi="Cambria"/>
          <w:color w:val="000000" w:themeColor="text1"/>
          <w:sz w:val="20"/>
          <w:szCs w:val="20"/>
          <w:lang w:val="es-ES_tradnl"/>
        </w:rPr>
        <w:t xml:space="preserve">, </w:t>
      </w:r>
      <w:r w:rsidR="00B16C6E" w:rsidRPr="001A3153">
        <w:rPr>
          <w:rFonts w:ascii="Cambria" w:hAnsi="Cambria"/>
          <w:color w:val="000000" w:themeColor="text1"/>
          <w:sz w:val="20"/>
          <w:szCs w:val="20"/>
          <w:lang w:val="es-ES_tradnl"/>
        </w:rPr>
        <w:t>en principio</w:t>
      </w:r>
      <w:r w:rsidR="00A41658" w:rsidRPr="001A3153">
        <w:rPr>
          <w:rFonts w:ascii="Cambria" w:hAnsi="Cambria"/>
          <w:color w:val="000000" w:themeColor="text1"/>
          <w:sz w:val="20"/>
          <w:szCs w:val="20"/>
          <w:lang w:val="es-ES_tradnl"/>
        </w:rPr>
        <w:t>,</w:t>
      </w:r>
      <w:r w:rsidR="00B16C6E" w:rsidRPr="001A3153">
        <w:rPr>
          <w:rFonts w:ascii="Cambria" w:hAnsi="Cambria"/>
          <w:color w:val="000000" w:themeColor="text1"/>
          <w:sz w:val="20"/>
          <w:szCs w:val="20"/>
          <w:lang w:val="es-ES_tradnl"/>
        </w:rPr>
        <w:t xml:space="preserve"> podría haber tenido un resultado que tutelara los derechos que consideraba vulnerados, agotándola hasta su última instancia.</w:t>
      </w:r>
    </w:p>
    <w:p w14:paraId="2C839D9B" w14:textId="50421A73" w:rsidR="001A3153" w:rsidRPr="001A3153" w:rsidRDefault="00A41658" w:rsidP="001A315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000000" w:themeColor="text1"/>
          <w:sz w:val="20"/>
          <w:szCs w:val="20"/>
          <w:lang w:val="es-ES_tradnl"/>
        </w:rPr>
      </w:pPr>
      <w:r w:rsidRPr="001A3153">
        <w:rPr>
          <w:rFonts w:ascii="Cambria" w:hAnsi="Cambria"/>
          <w:color w:val="000000" w:themeColor="text1"/>
          <w:sz w:val="20"/>
          <w:szCs w:val="20"/>
          <w:lang w:val="es-ES_tradnl"/>
        </w:rPr>
        <w:t xml:space="preserve">Asimismo, si bien el Estado alega que la presunta víctima tenía a su disposición la vía civil, </w:t>
      </w:r>
      <w:r w:rsidRPr="001A3153">
        <w:rPr>
          <w:rFonts w:ascii="Cambria" w:hAnsi="Cambria"/>
          <w:color w:val="000000" w:themeColor="text1"/>
          <w:sz w:val="20"/>
          <w:szCs w:val="20"/>
          <w:lang w:val="es-US"/>
        </w:rPr>
        <w:t>la Comisión reitera que el requisito de agotamiento de los recursos internos no implica que las presuntas víctimas tengan la obligación de agotar todos los recursos posibles a su disposición. En este sentido, la CIDH ha mantenido que si la presunta víctima planteó la cuestión por alguna de las alternativas válidas y adecuadas según el ordenamiento jurídico interno y el Estado tuvo la oportunidad de remediar la cuestión en su jurisdicción, la finalidad de la norma internacional está cumplida</w:t>
      </w:r>
      <w:r w:rsidRPr="001A3153">
        <w:rPr>
          <w:rStyle w:val="FootnoteReference"/>
          <w:rFonts w:ascii="Cambria" w:hAnsi="Cambria"/>
          <w:color w:val="000000" w:themeColor="text1"/>
          <w:sz w:val="20"/>
          <w:szCs w:val="20"/>
          <w:lang w:val="es-US"/>
        </w:rPr>
        <w:footnoteReference w:id="6"/>
      </w:r>
      <w:r w:rsidR="001A3153" w:rsidRPr="001A3153">
        <w:rPr>
          <w:rFonts w:ascii="Cambria" w:hAnsi="Cambria"/>
          <w:color w:val="000000" w:themeColor="text1"/>
          <w:sz w:val="20"/>
          <w:szCs w:val="20"/>
          <w:lang w:val="es-US"/>
        </w:rPr>
        <w:t>.</w:t>
      </w:r>
    </w:p>
    <w:p w14:paraId="7F5FB878" w14:textId="77777777" w:rsidR="001A3153" w:rsidRPr="001A3153" w:rsidRDefault="00A41658" w:rsidP="001A315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000000" w:themeColor="text1"/>
          <w:sz w:val="20"/>
          <w:szCs w:val="20"/>
          <w:lang w:val="es-ES_tradnl"/>
        </w:rPr>
      </w:pPr>
      <w:r w:rsidRPr="001A3153">
        <w:rPr>
          <w:rFonts w:ascii="Cambria" w:hAnsi="Cambria"/>
          <w:color w:val="000000" w:themeColor="text1"/>
          <w:sz w:val="20"/>
          <w:szCs w:val="20"/>
          <w:lang w:val="es-ES_tradnl"/>
        </w:rPr>
        <w:t>Con base en tal parámetro, la Comisión</w:t>
      </w:r>
      <w:r w:rsidR="001A3153" w:rsidRPr="001A3153">
        <w:rPr>
          <w:rFonts w:ascii="Cambria" w:hAnsi="Cambria"/>
          <w:color w:val="000000" w:themeColor="text1"/>
          <w:sz w:val="20"/>
          <w:szCs w:val="20"/>
          <w:lang w:val="es-ES_tradnl"/>
        </w:rPr>
        <w:t xml:space="preserve"> considera que</w:t>
      </w:r>
      <w:r w:rsidRPr="001A3153">
        <w:rPr>
          <w:rFonts w:ascii="Cambria" w:hAnsi="Cambria"/>
          <w:color w:val="000000" w:themeColor="text1"/>
          <w:sz w:val="20"/>
          <w:szCs w:val="20"/>
          <w:lang w:val="es-ES_tradnl"/>
        </w:rPr>
        <w:t xml:space="preserve"> resulta improcedente el alegato del Estado </w:t>
      </w:r>
      <w:r w:rsidR="001A3153" w:rsidRPr="001A3153">
        <w:rPr>
          <w:rFonts w:ascii="Cambria" w:hAnsi="Cambria"/>
          <w:color w:val="000000" w:themeColor="text1"/>
          <w:sz w:val="20"/>
          <w:szCs w:val="20"/>
          <w:lang w:val="es-ES_tradnl"/>
        </w:rPr>
        <w:t>referido respecto a la idoneidad y efectividad de la vía ordinaria civil; dado que aun</w:t>
      </w:r>
      <w:r w:rsidRPr="001A3153">
        <w:rPr>
          <w:rFonts w:ascii="Cambria" w:hAnsi="Cambria"/>
          <w:color w:val="000000" w:themeColor="text1"/>
          <w:sz w:val="20"/>
          <w:szCs w:val="20"/>
          <w:lang w:val="es-ES_tradnl"/>
        </w:rPr>
        <w:t xml:space="preserve"> cuando las sentencias remitidas como anexos por el Estado dan cuenta de la existencia de decisiones favorables a pretensiones similares a las del presente caso, </w:t>
      </w:r>
      <w:r w:rsidR="001A3153" w:rsidRPr="001A3153">
        <w:rPr>
          <w:rFonts w:ascii="Cambria" w:hAnsi="Cambria"/>
          <w:color w:val="000000" w:themeColor="text1"/>
          <w:sz w:val="20"/>
          <w:szCs w:val="20"/>
          <w:lang w:val="es-ES_tradnl"/>
        </w:rPr>
        <w:t xml:space="preserve">en el proceso de la presunta víctima </w:t>
      </w:r>
      <w:r w:rsidRPr="001A3153">
        <w:rPr>
          <w:rFonts w:ascii="Cambria" w:hAnsi="Cambria"/>
          <w:color w:val="000000" w:themeColor="text1"/>
          <w:sz w:val="20"/>
          <w:szCs w:val="20"/>
          <w:lang w:val="es-ES_tradnl"/>
        </w:rPr>
        <w:t xml:space="preserve">a nivel interno –salvo en la segunda instancia del recurso de amparo– no se advirtió sobre la existencia de otra vía adecuada para resolver la controversia. </w:t>
      </w:r>
      <w:r w:rsidR="001A3153" w:rsidRPr="001A3153">
        <w:rPr>
          <w:rFonts w:ascii="Cambria" w:hAnsi="Cambria"/>
          <w:color w:val="000000" w:themeColor="text1"/>
          <w:sz w:val="20"/>
          <w:szCs w:val="20"/>
          <w:lang w:val="es-ES_tradnl"/>
        </w:rPr>
        <w:t>Así, e</w:t>
      </w:r>
      <w:r w:rsidRPr="001A3153">
        <w:rPr>
          <w:rFonts w:ascii="Cambria" w:hAnsi="Cambria"/>
          <w:color w:val="000000" w:themeColor="text1"/>
          <w:sz w:val="20"/>
          <w:szCs w:val="20"/>
          <w:lang w:val="es-ES_tradnl"/>
        </w:rPr>
        <w:t>n primera instancia, se concluyó que, a pesar del carácter excepcional del recurso de amparo, la acción procedía por el vacío legislativo sobre el asunto en debate. Y, finalmente, el Tribunal Constitucional analiz</w:t>
      </w:r>
      <w:r w:rsidR="001A3153" w:rsidRPr="001A3153">
        <w:rPr>
          <w:rFonts w:ascii="Cambria" w:hAnsi="Cambria"/>
          <w:color w:val="000000" w:themeColor="text1"/>
          <w:sz w:val="20"/>
          <w:szCs w:val="20"/>
          <w:lang w:val="es-ES_tradnl"/>
        </w:rPr>
        <w:t>ó</w:t>
      </w:r>
      <w:r w:rsidRPr="001A3153">
        <w:rPr>
          <w:rFonts w:ascii="Cambria" w:hAnsi="Cambria"/>
          <w:color w:val="000000" w:themeColor="text1"/>
          <w:sz w:val="20"/>
          <w:szCs w:val="20"/>
          <w:lang w:val="es-ES_tradnl"/>
        </w:rPr>
        <w:t xml:space="preserve"> directamente el fondo del asunto sin identificar la existencia de otro recurso y sin dirigir; en correspondencia, a la presunta víctima a tal mecanismo. Por esto, y dado que la presunta víctima ya había agotado los recursos de amparo y agravio constitucional, resultaría desproporcionado exigírsele el agotamiento de otros mecanismos previstos a nivel interno. </w:t>
      </w:r>
    </w:p>
    <w:p w14:paraId="42B144FD" w14:textId="7126FA5D" w:rsidR="00845AED" w:rsidRPr="001A3153" w:rsidRDefault="00A41658" w:rsidP="001A315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000000" w:themeColor="text1"/>
          <w:sz w:val="20"/>
          <w:szCs w:val="20"/>
          <w:lang w:val="es-ES_tradnl"/>
        </w:rPr>
      </w:pPr>
      <w:r w:rsidRPr="001A3153">
        <w:rPr>
          <w:rFonts w:ascii="Cambria" w:hAnsi="Cambria"/>
          <w:color w:val="000000" w:themeColor="text1"/>
          <w:sz w:val="20"/>
          <w:szCs w:val="20"/>
          <w:lang w:val="es-ES_tradnl"/>
        </w:rPr>
        <w:t>Por las razones expuestas,</w:t>
      </w:r>
      <w:r w:rsidR="00B16C6E" w:rsidRPr="001A3153">
        <w:rPr>
          <w:rFonts w:ascii="Cambria" w:hAnsi="Cambria"/>
          <w:color w:val="000000" w:themeColor="text1"/>
          <w:sz w:val="20"/>
          <w:szCs w:val="20"/>
          <w:lang w:val="es-ES_tradnl"/>
        </w:rPr>
        <w:t xml:space="preserve"> la CIDH considera que</w:t>
      </w:r>
      <w:r w:rsidRPr="001A3153">
        <w:rPr>
          <w:rFonts w:ascii="Cambria" w:hAnsi="Cambria"/>
          <w:color w:val="000000" w:themeColor="text1"/>
          <w:sz w:val="20"/>
          <w:szCs w:val="20"/>
          <w:lang w:val="es-ES_tradnl"/>
        </w:rPr>
        <w:t>,</w:t>
      </w:r>
      <w:r w:rsidR="00B16C6E" w:rsidRPr="001A3153">
        <w:rPr>
          <w:rFonts w:ascii="Cambria" w:hAnsi="Cambria"/>
          <w:color w:val="000000" w:themeColor="text1"/>
          <w:sz w:val="20"/>
          <w:szCs w:val="20"/>
          <w:lang w:val="es-ES_tradnl"/>
        </w:rPr>
        <w:t xml:space="preserve"> para los efectos de la admisibilidad del presente informe, la petición cumple formalmente con el requisito del agotamiento de los recursos internos dispuesto en el artículo 46.1.a) de la Convención Americana. Asimismo, en cuanto al requisito del plazo de presentación, establecido en el artículo 46.1.b) de ese tratado, la Comisión observa que la citada decisión fue notificada </w:t>
      </w:r>
      <w:r w:rsidR="00364BD6" w:rsidRPr="001A3153">
        <w:rPr>
          <w:rFonts w:ascii="Cambria" w:hAnsi="Cambria"/>
          <w:color w:val="000000" w:themeColor="text1"/>
          <w:sz w:val="20"/>
          <w:szCs w:val="20"/>
          <w:lang w:val="es-ES_tradnl"/>
        </w:rPr>
        <w:t xml:space="preserve">el 12 de mayo de 2014 y la petición presentada a la CIDH el 3 de noviembre ese año, por lo tanto dentro del plazo de seis meses establecido en dicha norma. El Estado, por su parte, no ha controvertido el agotamiento de los recursos internos. </w:t>
      </w:r>
    </w:p>
    <w:p w14:paraId="4FFBE378" w14:textId="74246336" w:rsidR="003239B8" w:rsidRDefault="007B633B" w:rsidP="003239B8">
      <w:pPr>
        <w:pStyle w:val="ListParagraph"/>
        <w:spacing w:before="240" w:after="240"/>
        <w:jc w:val="both"/>
        <w:rPr>
          <w:rFonts w:asciiTheme="majorHAnsi" w:hAnsiTheme="majorHAnsi"/>
          <w:b/>
          <w:bCs/>
          <w:sz w:val="20"/>
          <w:szCs w:val="20"/>
          <w:lang w:val="es-ES_tradnl"/>
        </w:rPr>
      </w:pPr>
      <w:r w:rsidRPr="00537AF8">
        <w:rPr>
          <w:rFonts w:asciiTheme="majorHAnsi" w:hAnsiTheme="majorHAnsi"/>
          <w:b/>
          <w:bCs/>
          <w:sz w:val="20"/>
          <w:szCs w:val="20"/>
          <w:lang w:val="es-ES_tradnl"/>
        </w:rPr>
        <w:t>V</w:t>
      </w:r>
      <w:r w:rsidR="003239B8" w:rsidRPr="00537AF8">
        <w:rPr>
          <w:rFonts w:asciiTheme="majorHAnsi" w:hAnsiTheme="majorHAnsi"/>
          <w:b/>
          <w:bCs/>
          <w:sz w:val="20"/>
          <w:szCs w:val="20"/>
          <w:lang w:val="es-ES_tradnl"/>
        </w:rPr>
        <w:t>II.</w:t>
      </w:r>
      <w:r w:rsidR="003239B8" w:rsidRPr="00537AF8">
        <w:rPr>
          <w:rFonts w:asciiTheme="majorHAnsi" w:hAnsiTheme="majorHAnsi"/>
          <w:b/>
          <w:bCs/>
          <w:sz w:val="20"/>
          <w:szCs w:val="20"/>
          <w:lang w:val="es-ES_tradnl"/>
        </w:rPr>
        <w:tab/>
      </w:r>
      <w:r w:rsidR="004A6A54" w:rsidRPr="00537AF8">
        <w:rPr>
          <w:rFonts w:asciiTheme="majorHAnsi" w:hAnsiTheme="majorHAnsi"/>
          <w:b/>
          <w:bCs/>
          <w:sz w:val="20"/>
          <w:szCs w:val="20"/>
          <w:lang w:val="es-ES_tradnl"/>
        </w:rPr>
        <w:t xml:space="preserve">ANÁLISIS DE </w:t>
      </w:r>
      <w:r w:rsidR="00C21FEF" w:rsidRPr="00537AF8">
        <w:rPr>
          <w:rFonts w:asciiTheme="majorHAnsi" w:hAnsiTheme="majorHAnsi"/>
          <w:b/>
          <w:bCs/>
          <w:sz w:val="20"/>
          <w:szCs w:val="20"/>
          <w:lang w:val="es-ES_tradnl"/>
        </w:rPr>
        <w:t>CARACTERIZACIÓN DE LOS HECHOS ALEGADOS</w:t>
      </w:r>
    </w:p>
    <w:p w14:paraId="77A3750F" w14:textId="17FE03C6" w:rsidR="00380080" w:rsidRPr="001A3153" w:rsidRDefault="00845AED" w:rsidP="0038008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A3153">
        <w:rPr>
          <w:rFonts w:ascii="Cambria" w:hAnsi="Cambria"/>
          <w:sz w:val="20"/>
          <w:szCs w:val="20"/>
          <w:lang w:val="es-ES_tradnl"/>
        </w:rPr>
        <w:t xml:space="preserve">En primer lugar, la Comisión reitera que el criterio de evaluación de la fase de admisibilidad difiere del que se utiliza para pronunciarse sobre el fondo de una petición; la CIDH debe realizar en esta etapa una evaluación prima facie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 A los efectos de la admisibilidad, la Comisión debe decidir si los hechos alegados pueden caracterizar una violación de derechos, según lo </w:t>
      </w:r>
      <w:r w:rsidRPr="001A3153">
        <w:rPr>
          <w:rFonts w:ascii="Cambria" w:hAnsi="Cambria"/>
          <w:sz w:val="20"/>
          <w:szCs w:val="20"/>
          <w:lang w:val="es-ES_tradnl"/>
        </w:rPr>
        <w:lastRenderedPageBreak/>
        <w:t>estipulado en el artículo 47.b</w:t>
      </w:r>
      <w:r w:rsidR="002F5CB4" w:rsidRPr="001A3153">
        <w:rPr>
          <w:rFonts w:ascii="Cambria" w:hAnsi="Cambria"/>
          <w:sz w:val="20"/>
          <w:szCs w:val="20"/>
          <w:lang w:val="es-ES_tradnl"/>
        </w:rPr>
        <w:t>)</w:t>
      </w:r>
      <w:r w:rsidRPr="001A3153">
        <w:rPr>
          <w:rFonts w:ascii="Cambria" w:hAnsi="Cambria"/>
          <w:sz w:val="20"/>
          <w:szCs w:val="20"/>
          <w:lang w:val="es-ES_tradnl"/>
        </w:rPr>
        <w:t xml:space="preserve"> de la Convención Americana o si la petición es "manifiestamente infundada" o es "evidente su total improcedencia", conforme al 47.c</w:t>
      </w:r>
      <w:r w:rsidR="002F5CB4" w:rsidRPr="001A3153">
        <w:rPr>
          <w:rFonts w:ascii="Cambria" w:hAnsi="Cambria"/>
          <w:sz w:val="20"/>
          <w:szCs w:val="20"/>
          <w:lang w:val="es-ES_tradnl"/>
        </w:rPr>
        <w:t>)</w:t>
      </w:r>
      <w:r w:rsidRPr="001A3153">
        <w:rPr>
          <w:rFonts w:ascii="Cambria" w:hAnsi="Cambria"/>
          <w:sz w:val="20"/>
          <w:szCs w:val="20"/>
          <w:lang w:val="es-ES_tradnl"/>
        </w:rPr>
        <w:t xml:space="preserve"> de la Convención Americana</w:t>
      </w:r>
      <w:r w:rsidR="0054579D">
        <w:rPr>
          <w:rStyle w:val="FootnoteReference"/>
          <w:rFonts w:ascii="Cambria" w:hAnsi="Cambria"/>
          <w:sz w:val="20"/>
          <w:szCs w:val="20"/>
          <w:lang w:val="es-ES_tradnl"/>
        </w:rPr>
        <w:footnoteReference w:id="7"/>
      </w:r>
      <w:r w:rsidRPr="001A3153">
        <w:rPr>
          <w:rFonts w:ascii="Cambria" w:hAnsi="Cambria"/>
          <w:sz w:val="20"/>
          <w:szCs w:val="20"/>
          <w:lang w:val="es-ES_tradnl"/>
        </w:rPr>
        <w:t>.</w:t>
      </w:r>
    </w:p>
    <w:p w14:paraId="5ABF5B38" w14:textId="40B12BDB" w:rsidR="00380080" w:rsidRPr="001A3153" w:rsidRDefault="004D2E7A" w:rsidP="00380080">
      <w:pPr>
        <w:pStyle w:val="ListParagraph"/>
        <w:numPr>
          <w:ilvl w:val="0"/>
          <w:numId w:val="103"/>
        </w:numPr>
        <w:jc w:val="both"/>
        <w:rPr>
          <w:rFonts w:eastAsia="Arial Unicode MS" w:cs="Times New Roman"/>
          <w:color w:val="auto"/>
          <w:sz w:val="20"/>
          <w:szCs w:val="20"/>
          <w:lang w:val="es-ES_tradnl" w:eastAsia="en-US"/>
        </w:rPr>
      </w:pPr>
      <w:r w:rsidRPr="001A3153">
        <w:rPr>
          <w:sz w:val="20"/>
          <w:szCs w:val="20"/>
          <w:lang w:val="es-ES_tradnl"/>
        </w:rPr>
        <w:t>L</w:t>
      </w:r>
      <w:r w:rsidR="00A92391" w:rsidRPr="001A3153">
        <w:rPr>
          <w:sz w:val="20"/>
          <w:szCs w:val="20"/>
          <w:lang w:val="es-ES_tradnl"/>
        </w:rPr>
        <w:t xml:space="preserve">a Comisión considera pertinente recordar que </w:t>
      </w:r>
      <w:r w:rsidR="00A92391" w:rsidRPr="001A3153">
        <w:rPr>
          <w:rFonts w:eastAsia="Arial Unicode MS" w:cs="Times New Roman"/>
          <w:color w:val="auto"/>
          <w:sz w:val="20"/>
          <w:szCs w:val="20"/>
          <w:lang w:val="es-ES_tradnl" w:eastAsia="en-US"/>
        </w:rPr>
        <w:t>ni la Convención Americana ni el Reglamento de la CIDH exigen al peticionario identificar los derechos específicos que se alegan violados por parte del Estado en el asunto sometido a la Comisión, aunque los peticionarios pueden hacerlo. Corresponde a la Comisión, con base en la jurisprudencia del sistema, determinar en sus informes de admisibilidad, qué disposición de los instrumentos interamericanos relevantes es aplicable o podría establecerse su violación, si los hechos alegados son probados mediante elementos suficientes</w:t>
      </w:r>
      <w:r w:rsidR="00A92391" w:rsidRPr="001A3153">
        <w:rPr>
          <w:rStyle w:val="FootnoteReference"/>
          <w:rFonts w:eastAsia="Arial Unicode MS" w:cs="Times New Roman"/>
          <w:color w:val="auto"/>
          <w:sz w:val="20"/>
          <w:szCs w:val="20"/>
          <w:lang w:val="es-ES_tradnl" w:eastAsia="en-US"/>
        </w:rPr>
        <w:footnoteReference w:id="8"/>
      </w:r>
    </w:p>
    <w:p w14:paraId="67EC3EDB" w14:textId="3627E4A0" w:rsidR="004D2E7A" w:rsidRPr="001A3153" w:rsidRDefault="004D2E7A" w:rsidP="004D2E7A">
      <w:pPr>
        <w:ind w:left="720"/>
        <w:jc w:val="both"/>
        <w:rPr>
          <w:sz w:val="20"/>
          <w:szCs w:val="20"/>
          <w:lang w:val="es-ES_tradnl"/>
        </w:rPr>
      </w:pPr>
    </w:p>
    <w:p w14:paraId="4C4EB96D" w14:textId="0CDD88BB" w:rsidR="00380080" w:rsidRPr="001A3153" w:rsidRDefault="004D2E7A" w:rsidP="0038008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A3153">
        <w:rPr>
          <w:rFonts w:ascii="Cambria" w:hAnsi="Cambria"/>
          <w:sz w:val="20"/>
          <w:szCs w:val="20"/>
          <w:lang w:val="es-ES_tradnl"/>
        </w:rPr>
        <w:t>En atención a los hechos planteados por la parte peticionaria, y a la determinación ya realizada en un precedente similar</w:t>
      </w:r>
      <w:r w:rsidRPr="001A3153">
        <w:rPr>
          <w:rStyle w:val="FootnoteReference"/>
          <w:rFonts w:ascii="Cambria" w:hAnsi="Cambria"/>
          <w:sz w:val="20"/>
          <w:szCs w:val="20"/>
          <w:lang w:val="es-ES_tradnl"/>
        </w:rPr>
        <w:footnoteReference w:id="9"/>
      </w:r>
      <w:r w:rsidRPr="001A3153">
        <w:rPr>
          <w:rFonts w:ascii="Cambria" w:hAnsi="Cambria"/>
          <w:sz w:val="20"/>
          <w:szCs w:val="20"/>
          <w:lang w:val="es-ES_tradnl"/>
        </w:rPr>
        <w:t xml:space="preserve">, la Comisión observa que los alegatos de la parte peticionaria no resultan manifiestamente infundados y requieren un estudio de fondo, a la luz de las obligaciones establecidas al Estado peruano por la Convención Americana. En este sentido, la Comisión considera proceder con el examen de los artículos indicados al final de la presente decisión. </w:t>
      </w:r>
    </w:p>
    <w:p w14:paraId="602A1BC5" w14:textId="74AB4DE2" w:rsidR="00ED4529" w:rsidRPr="001A3153" w:rsidRDefault="00225D04" w:rsidP="00D800F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A3153">
        <w:rPr>
          <w:rFonts w:ascii="Cambria" w:hAnsi="Cambria"/>
          <w:sz w:val="20"/>
          <w:szCs w:val="20"/>
          <w:lang w:val="es-ES_tradnl"/>
        </w:rPr>
        <w:t xml:space="preserve">Finalmente, y con respecto </w:t>
      </w:r>
      <w:r w:rsidR="00D73EF6" w:rsidRPr="001A3153">
        <w:rPr>
          <w:rFonts w:ascii="Cambria" w:hAnsi="Cambria"/>
          <w:sz w:val="20"/>
          <w:szCs w:val="20"/>
          <w:lang w:val="es-ES_tradnl"/>
        </w:rPr>
        <w:t>al argumento de la</w:t>
      </w:r>
      <w:r w:rsidRPr="001A3153">
        <w:rPr>
          <w:rFonts w:ascii="Cambria" w:hAnsi="Cambria"/>
          <w:sz w:val="20"/>
          <w:szCs w:val="20"/>
          <w:lang w:val="es-ES_tradnl"/>
        </w:rPr>
        <w:t xml:space="preserve"> “fórmula de la cuarta instancia”, la Comisión</w:t>
      </w:r>
      <w:r w:rsidR="00DD69FD" w:rsidRPr="001A3153">
        <w:rPr>
          <w:rFonts w:ascii="Cambria" w:hAnsi="Cambria"/>
          <w:sz w:val="20"/>
          <w:szCs w:val="20"/>
          <w:lang w:val="es-ES_tradnl"/>
        </w:rPr>
        <w:t xml:space="preserve"> </w:t>
      </w:r>
      <w:r w:rsidR="002F4EA2" w:rsidRPr="001A3153">
        <w:rPr>
          <w:rFonts w:ascii="Cambria" w:hAnsi="Cambria"/>
          <w:sz w:val="20"/>
          <w:szCs w:val="20"/>
          <w:lang w:val="es-ES_tradnl"/>
        </w:rPr>
        <w:t>subraya el</w:t>
      </w:r>
      <w:r w:rsidR="00DD69FD" w:rsidRPr="001A3153">
        <w:rPr>
          <w:rFonts w:ascii="Cambria" w:hAnsi="Cambria"/>
          <w:sz w:val="20"/>
          <w:szCs w:val="20"/>
          <w:lang w:val="es-ES_tradnl"/>
        </w:rPr>
        <w:t xml:space="preserve"> carácter complementario del sistema interamericano y </w:t>
      </w:r>
      <w:r w:rsidR="002F4EA2" w:rsidRPr="001A3153">
        <w:rPr>
          <w:rFonts w:ascii="Cambria" w:hAnsi="Cambria"/>
          <w:sz w:val="20"/>
          <w:szCs w:val="20"/>
          <w:lang w:val="es-ES_tradnl"/>
        </w:rPr>
        <w:t>resalta que, s</w:t>
      </w:r>
      <w:r w:rsidR="00491248" w:rsidRPr="001A3153">
        <w:rPr>
          <w:rFonts w:ascii="Cambria" w:hAnsi="Cambria"/>
          <w:sz w:val="20"/>
          <w:szCs w:val="20"/>
          <w:lang w:val="es-ES_tradnl"/>
        </w:rPr>
        <w:t>egún lo ha indicado la Corte Interamericana, para que proceda una excepción de “cuarta instancia” sería necesario que se “busque que […][se]  revise el fallo de un tribunal interno en virtud de su incorrecta apreciación de la prueba, los hechos o el derecho interno, sin que, a la vez, se alegue que tal fallo incurrió en una violación de tratados internacionales</w:t>
      </w:r>
      <w:r w:rsidR="00491248" w:rsidRPr="001A3153">
        <w:rPr>
          <w:lang w:val="es-ES_tradnl"/>
        </w:rPr>
        <w:t xml:space="preserve"> </w:t>
      </w:r>
      <w:r w:rsidR="00491248" w:rsidRPr="001A3153">
        <w:rPr>
          <w:rFonts w:ascii="Cambria" w:hAnsi="Cambria"/>
          <w:sz w:val="20"/>
          <w:szCs w:val="20"/>
          <w:lang w:val="es-ES_tradnl"/>
        </w:rPr>
        <w:t>[ …]”</w:t>
      </w:r>
      <w:r w:rsidR="002F4EA2" w:rsidRPr="001A3153">
        <w:rPr>
          <w:rStyle w:val="FootnoteReference"/>
          <w:rFonts w:ascii="Cambria" w:hAnsi="Cambria"/>
          <w:sz w:val="20"/>
          <w:szCs w:val="20"/>
          <w:lang w:val="es-ES_tradnl"/>
        </w:rPr>
        <w:footnoteReference w:id="10"/>
      </w:r>
      <w:r w:rsidR="002F4EA2" w:rsidRPr="001A3153">
        <w:rPr>
          <w:rFonts w:ascii="Cambria" w:hAnsi="Cambria"/>
          <w:sz w:val="20"/>
          <w:szCs w:val="20"/>
          <w:lang w:val="es-ES_tradnl"/>
        </w:rPr>
        <w:t>.</w:t>
      </w:r>
      <w:r w:rsidR="00D800F2" w:rsidRPr="001A3153">
        <w:rPr>
          <w:rFonts w:ascii="Cambria" w:hAnsi="Cambria"/>
          <w:sz w:val="20"/>
          <w:szCs w:val="20"/>
          <w:lang w:val="es-ES_tradnl"/>
        </w:rPr>
        <w:t xml:space="preserve"> En el presente caso, la Comisión considera que, tal como lo ha indicado la Corte Interamericana, “[le]compete verificar si en los pasos efectivamente dados a nivel interno se violaron o no obligaciones internacionales del Estado derivadas de los instrumentos interamericanos que le otorgan competencia”</w:t>
      </w:r>
      <w:r w:rsidR="00AA68E0" w:rsidRPr="001A3153">
        <w:rPr>
          <w:sz w:val="20"/>
          <w:szCs w:val="20"/>
          <w:vertAlign w:val="superscript"/>
          <w:lang w:val="es-ES_tradnl"/>
        </w:rPr>
        <w:t xml:space="preserve"> </w:t>
      </w:r>
      <w:r w:rsidR="00AA68E0" w:rsidRPr="001A3153">
        <w:rPr>
          <w:sz w:val="20"/>
          <w:szCs w:val="20"/>
          <w:vertAlign w:val="superscript"/>
        </w:rPr>
        <w:footnoteReference w:id="11"/>
      </w:r>
      <w:r w:rsidR="00D800F2" w:rsidRPr="001A3153">
        <w:rPr>
          <w:rFonts w:ascii="Cambria" w:hAnsi="Cambria"/>
          <w:sz w:val="20"/>
          <w:szCs w:val="20"/>
          <w:lang w:val="es-ES_tradnl"/>
        </w:rPr>
        <w:t xml:space="preserve">.  Asimismo, le corresponde </w:t>
      </w:r>
      <w:r w:rsidR="00347AC4" w:rsidRPr="001A3153">
        <w:rPr>
          <w:rFonts w:ascii="Cambria" w:hAnsi="Cambria"/>
          <w:sz w:val="20"/>
          <w:szCs w:val="20"/>
          <w:lang w:val="es-ES_tradnl"/>
        </w:rPr>
        <w:t>examinar “</w:t>
      </w:r>
      <w:r w:rsidR="00D800F2" w:rsidRPr="001A3153">
        <w:rPr>
          <w:rFonts w:ascii="Cambria" w:hAnsi="Cambria"/>
          <w:sz w:val="20"/>
          <w:szCs w:val="20"/>
          <w:lang w:val="es-ES_tradnl"/>
        </w:rPr>
        <w:t>si las actuaciones de órganos judiciales constituyen o no una violación de las obligaciones internacionales del Estado, [ lo cual ]puede conducir a que [ …]deba ocuparse de examinar los respectivos procesos internos para establecer su compatibilidad con la Convención Americana”</w:t>
      </w:r>
      <w:r w:rsidR="00D800F2" w:rsidRPr="001A3153">
        <w:rPr>
          <w:sz w:val="20"/>
          <w:szCs w:val="20"/>
          <w:vertAlign w:val="superscript"/>
        </w:rPr>
        <w:footnoteReference w:id="12"/>
      </w:r>
      <w:r w:rsidR="00D800F2" w:rsidRPr="001A3153">
        <w:rPr>
          <w:rFonts w:ascii="Cambria" w:hAnsi="Cambria"/>
          <w:sz w:val="20"/>
          <w:szCs w:val="20"/>
          <w:lang w:val="es-ES_tradnl"/>
        </w:rPr>
        <w:t>. En este sentido, el análisis sobre si el Estado incurrió en violaciones a la Convención Americana es una cuestión que corresponde ser decidida en el fondo del presente asunto.</w:t>
      </w:r>
      <w:r w:rsidRPr="001A3153">
        <w:rPr>
          <w:rFonts w:ascii="Cambria" w:hAnsi="Cambria"/>
          <w:sz w:val="20"/>
          <w:szCs w:val="20"/>
          <w:lang w:val="es-ES_tradnl"/>
        </w:rPr>
        <w:t xml:space="preserve"> </w:t>
      </w:r>
    </w:p>
    <w:p w14:paraId="29BB41F5" w14:textId="77777777" w:rsidR="003239B8" w:rsidRPr="001A3153" w:rsidRDefault="003239B8" w:rsidP="003239B8">
      <w:pPr>
        <w:pStyle w:val="ListParagraph"/>
        <w:spacing w:before="240" w:after="240"/>
        <w:jc w:val="both"/>
        <w:rPr>
          <w:rFonts w:asciiTheme="majorHAnsi" w:hAnsiTheme="majorHAnsi"/>
          <w:b/>
          <w:bCs/>
          <w:sz w:val="20"/>
          <w:szCs w:val="20"/>
          <w:lang w:val="es-ES_tradnl"/>
        </w:rPr>
      </w:pPr>
      <w:r w:rsidRPr="001A3153">
        <w:rPr>
          <w:rFonts w:asciiTheme="majorHAnsi" w:hAnsiTheme="majorHAnsi"/>
          <w:b/>
          <w:bCs/>
          <w:sz w:val="20"/>
          <w:szCs w:val="20"/>
          <w:lang w:val="es-ES_tradnl"/>
        </w:rPr>
        <w:t xml:space="preserve">VIII. </w:t>
      </w:r>
      <w:r w:rsidRPr="001A3153">
        <w:rPr>
          <w:rFonts w:asciiTheme="majorHAnsi" w:hAnsiTheme="majorHAnsi"/>
          <w:b/>
          <w:bCs/>
          <w:sz w:val="20"/>
          <w:szCs w:val="20"/>
          <w:lang w:val="es-ES_tradnl"/>
        </w:rPr>
        <w:tab/>
        <w:t>DECISIÓN</w:t>
      </w:r>
    </w:p>
    <w:p w14:paraId="41AA5BF6" w14:textId="1768CEE7" w:rsidR="000419AD" w:rsidRPr="001A3153" w:rsidRDefault="003239B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A3153">
        <w:rPr>
          <w:rFonts w:asciiTheme="majorHAnsi" w:hAnsiTheme="majorHAnsi"/>
          <w:sz w:val="20"/>
          <w:szCs w:val="20"/>
          <w:lang w:val="es-ES_tradnl"/>
        </w:rPr>
        <w:t xml:space="preserve">Declarar admisible la presente petición en relación con </w:t>
      </w:r>
      <w:r w:rsidR="00C26DA0" w:rsidRPr="001A3153">
        <w:rPr>
          <w:rFonts w:asciiTheme="majorHAnsi" w:hAnsiTheme="majorHAnsi"/>
          <w:sz w:val="20"/>
          <w:szCs w:val="20"/>
          <w:lang w:val="es-ES_tradnl"/>
        </w:rPr>
        <w:t xml:space="preserve">3, </w:t>
      </w:r>
      <w:r w:rsidR="00AD0999" w:rsidRPr="001A3153">
        <w:rPr>
          <w:rFonts w:asciiTheme="majorHAnsi" w:hAnsiTheme="majorHAnsi"/>
          <w:sz w:val="20"/>
          <w:szCs w:val="20"/>
          <w:lang w:val="es-ES_tradnl"/>
        </w:rPr>
        <w:t xml:space="preserve">5, </w:t>
      </w:r>
      <w:r w:rsidR="00C26DA0" w:rsidRPr="001A3153">
        <w:rPr>
          <w:rFonts w:asciiTheme="majorHAnsi" w:hAnsiTheme="majorHAnsi"/>
          <w:sz w:val="20"/>
          <w:szCs w:val="20"/>
          <w:lang w:val="es-ES_tradnl"/>
        </w:rPr>
        <w:t>8, 11, 24</w:t>
      </w:r>
      <w:r w:rsidR="00AD0999" w:rsidRPr="001A3153">
        <w:rPr>
          <w:rFonts w:asciiTheme="majorHAnsi" w:hAnsiTheme="majorHAnsi"/>
          <w:sz w:val="20"/>
          <w:szCs w:val="20"/>
          <w:lang w:val="es-ES_tradnl"/>
        </w:rPr>
        <w:t xml:space="preserve">, </w:t>
      </w:r>
      <w:r w:rsidR="00C26DA0" w:rsidRPr="001A3153">
        <w:rPr>
          <w:rFonts w:asciiTheme="majorHAnsi" w:hAnsiTheme="majorHAnsi"/>
          <w:sz w:val="20"/>
          <w:szCs w:val="20"/>
          <w:lang w:val="es-ES_tradnl"/>
        </w:rPr>
        <w:t>25</w:t>
      </w:r>
      <w:r w:rsidR="00AD0999" w:rsidRPr="001A3153">
        <w:rPr>
          <w:rFonts w:asciiTheme="majorHAnsi" w:hAnsiTheme="majorHAnsi"/>
          <w:sz w:val="20"/>
          <w:szCs w:val="20"/>
          <w:lang w:val="es-ES_tradnl"/>
        </w:rPr>
        <w:t xml:space="preserve"> y 26</w:t>
      </w:r>
      <w:r w:rsidR="00C26DA0" w:rsidRPr="001A3153">
        <w:rPr>
          <w:rFonts w:asciiTheme="majorHAnsi" w:hAnsiTheme="majorHAnsi"/>
          <w:sz w:val="20"/>
          <w:szCs w:val="20"/>
          <w:lang w:val="es-ES_tradnl"/>
        </w:rPr>
        <w:t xml:space="preserve"> de la Convención Americana</w:t>
      </w:r>
      <w:r w:rsidR="00380080" w:rsidRPr="001A3153">
        <w:rPr>
          <w:rFonts w:asciiTheme="majorHAnsi" w:hAnsiTheme="majorHAnsi"/>
          <w:sz w:val="20"/>
          <w:szCs w:val="20"/>
          <w:lang w:val="es-ES_tradnl"/>
        </w:rPr>
        <w:t>, en relación con su artículo 1.1</w:t>
      </w:r>
      <w:r w:rsidR="00A758AA" w:rsidRPr="001A3153">
        <w:rPr>
          <w:rFonts w:asciiTheme="majorHAnsi" w:hAnsiTheme="majorHAnsi"/>
          <w:sz w:val="20"/>
          <w:szCs w:val="20"/>
          <w:lang w:val="es-ES_tradnl"/>
        </w:rPr>
        <w:t>;</w:t>
      </w:r>
      <w:r w:rsidR="007B76D3" w:rsidRPr="001A3153">
        <w:rPr>
          <w:rFonts w:asciiTheme="majorHAnsi" w:hAnsiTheme="majorHAnsi"/>
          <w:sz w:val="20"/>
          <w:szCs w:val="20"/>
          <w:lang w:val="es-ES_tradnl"/>
        </w:rPr>
        <w:t xml:space="preserve"> y</w:t>
      </w:r>
    </w:p>
    <w:p w14:paraId="089DC4DE" w14:textId="4D32F22E" w:rsidR="0015756D" w:rsidRDefault="004A6A54" w:rsidP="0015756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1A3153">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3681B07F" w14:textId="285CC431" w:rsidR="0015756D" w:rsidRDefault="0015756D" w:rsidP="0015756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09DF4D4B" w14:textId="77777777" w:rsidR="0015756D" w:rsidRPr="0015756D" w:rsidRDefault="0015756D" w:rsidP="0015756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6AC80CA6" w14:textId="0E3D002D" w:rsidR="00722C9F" w:rsidRPr="0015756D" w:rsidRDefault="007C406F" w:rsidP="0015756D">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584D35">
        <w:rPr>
          <w:rStyle w:val="normaltextrun"/>
          <w:rFonts w:ascii="Cambria" w:hAnsi="Cambria" w:cs="Segoe UI"/>
          <w:sz w:val="20"/>
          <w:szCs w:val="20"/>
          <w:lang w:val="es-CL"/>
        </w:rPr>
        <w:t>17</w:t>
      </w:r>
      <w:r>
        <w:rPr>
          <w:rStyle w:val="normaltextrun"/>
          <w:rFonts w:ascii="Cambria" w:hAnsi="Cambria" w:cs="Segoe UI"/>
          <w:sz w:val="20"/>
          <w:szCs w:val="20"/>
          <w:lang w:val="es-CL"/>
        </w:rPr>
        <w:t xml:space="preserve"> días del mes de </w:t>
      </w:r>
      <w:r w:rsidR="00584D35">
        <w:rPr>
          <w:rStyle w:val="normaltextrun"/>
          <w:rFonts w:ascii="Cambria" w:hAnsi="Cambria" w:cs="Segoe UI"/>
          <w:sz w:val="20"/>
          <w:szCs w:val="20"/>
          <w:lang w:val="es-CL"/>
        </w:rPr>
        <w:t>diciembre</w:t>
      </w:r>
      <w:r>
        <w:rPr>
          <w:rStyle w:val="normaltextrun"/>
          <w:rFonts w:ascii="Cambria" w:hAnsi="Cambria" w:cs="Segoe UI"/>
          <w:sz w:val="20"/>
          <w:szCs w:val="20"/>
          <w:lang w:val="es-CL"/>
        </w:rPr>
        <w:t xml:space="preserve"> de 202</w:t>
      </w:r>
      <w:r w:rsidR="00584D35">
        <w:rPr>
          <w:rStyle w:val="normaltextrun"/>
          <w:rFonts w:ascii="Cambria" w:hAnsi="Cambria" w:cs="Segoe UI"/>
          <w:sz w:val="20"/>
          <w:szCs w:val="20"/>
          <w:lang w:val="es-CL"/>
        </w:rPr>
        <w:t>2</w:t>
      </w:r>
      <w:r>
        <w:rPr>
          <w:rStyle w:val="normaltextrun"/>
          <w:rFonts w:ascii="Cambria" w:hAnsi="Cambria" w:cs="Segoe UI"/>
          <w:sz w:val="20"/>
          <w:szCs w:val="20"/>
          <w:lang w:val="es-CL"/>
        </w:rPr>
        <w:t>.  (Firmado): Stuardo Ralón Orellana</w:t>
      </w:r>
      <w:r w:rsidR="00584D35">
        <w:rPr>
          <w:rStyle w:val="normaltextrun"/>
          <w:rFonts w:ascii="Cambria" w:hAnsi="Cambria" w:cs="Segoe UI"/>
          <w:sz w:val="20"/>
          <w:szCs w:val="20"/>
          <w:lang w:val="es-CL"/>
        </w:rPr>
        <w:t xml:space="preserve"> (en disidencia)</w:t>
      </w:r>
      <w:r>
        <w:rPr>
          <w:rStyle w:val="normaltextrun"/>
          <w:rFonts w:ascii="Cambria" w:hAnsi="Cambria" w:cs="Segoe UI"/>
          <w:sz w:val="20"/>
          <w:szCs w:val="20"/>
          <w:lang w:val="es-CL"/>
        </w:rPr>
        <w:t xml:space="preserve">, Primer Vicepresidente; Margarette May Macaulay, Segunda Vicepresidenta; Esmeralda Arosemena de Troitiño, Joel Hernández, Roberta Clarke y Carlos Bernal Pulido, </w:t>
      </w:r>
      <w:r w:rsidR="0015756D">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sectPr w:rsidR="00722C9F" w:rsidRPr="0015756D"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41A88" w14:textId="77777777" w:rsidR="00856C02" w:rsidRDefault="00856C02">
      <w:r>
        <w:separator/>
      </w:r>
    </w:p>
  </w:endnote>
  <w:endnote w:type="continuationSeparator" w:id="0">
    <w:p w14:paraId="28F09B0B" w14:textId="77777777" w:rsidR="00856C02" w:rsidRDefault="00856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6C63D" w14:textId="77777777" w:rsidR="00856C02" w:rsidRPr="000F35ED" w:rsidRDefault="00856C02">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045E0AC" w14:textId="77777777" w:rsidR="00856C02" w:rsidRPr="000F35ED" w:rsidRDefault="00856C02" w:rsidP="000F35ED">
      <w:pPr>
        <w:rPr>
          <w:rFonts w:asciiTheme="majorHAnsi" w:hAnsiTheme="majorHAnsi"/>
          <w:sz w:val="16"/>
          <w:szCs w:val="16"/>
        </w:rPr>
      </w:pPr>
      <w:r w:rsidRPr="000F35ED">
        <w:rPr>
          <w:rFonts w:asciiTheme="majorHAnsi" w:hAnsiTheme="majorHAnsi"/>
          <w:sz w:val="16"/>
          <w:szCs w:val="16"/>
        </w:rPr>
        <w:separator/>
      </w:r>
    </w:p>
    <w:p w14:paraId="13C8CAD4" w14:textId="77777777" w:rsidR="00856C02" w:rsidRPr="000F35ED" w:rsidRDefault="00856C02"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06CCD7B" w14:textId="77777777" w:rsidR="00856C02" w:rsidRPr="000F35ED" w:rsidRDefault="00856C02"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D8D72DC" w14:textId="40526ECE" w:rsidR="007B633B" w:rsidRPr="00347AC4" w:rsidRDefault="007B633B" w:rsidP="00347AC4">
      <w:pPr>
        <w:pStyle w:val="FootnoteText"/>
        <w:ind w:firstLine="720"/>
        <w:jc w:val="both"/>
        <w:rPr>
          <w:rFonts w:asciiTheme="majorHAnsi" w:hAnsiTheme="majorHAnsi"/>
          <w:sz w:val="16"/>
          <w:szCs w:val="16"/>
          <w:lang w:val="es-ES"/>
        </w:rPr>
      </w:pPr>
      <w:r w:rsidRPr="00347AC4">
        <w:rPr>
          <w:rStyle w:val="FootnoteReference"/>
          <w:rFonts w:asciiTheme="majorHAnsi" w:hAnsiTheme="majorHAnsi"/>
          <w:sz w:val="16"/>
          <w:szCs w:val="16"/>
        </w:rPr>
        <w:footnoteRef/>
      </w:r>
      <w:r w:rsidRPr="00347AC4">
        <w:rPr>
          <w:rFonts w:asciiTheme="majorHAnsi" w:hAnsiTheme="majorHAnsi"/>
          <w:sz w:val="16"/>
          <w:szCs w:val="16"/>
          <w:lang w:val="es-ES"/>
        </w:rPr>
        <w:t xml:space="preserve"> Conforme a lo dispuesto en el artículo 17.2.a del Reglamento de la Comisión, </w:t>
      </w:r>
      <w:r w:rsidRPr="00347AC4">
        <w:rPr>
          <w:rFonts w:asciiTheme="majorHAnsi" w:hAnsiTheme="majorHAnsi"/>
          <w:color w:val="auto"/>
          <w:sz w:val="16"/>
          <w:szCs w:val="16"/>
          <w:lang w:val="es-ES"/>
        </w:rPr>
        <w:t xml:space="preserve">la Comisionada </w:t>
      </w:r>
      <w:r w:rsidRPr="00347AC4">
        <w:rPr>
          <w:rFonts w:asciiTheme="majorHAnsi" w:hAnsiTheme="majorHAnsi"/>
          <w:color w:val="000000" w:themeColor="text1"/>
          <w:sz w:val="16"/>
          <w:szCs w:val="16"/>
          <w:lang w:val="es-ES"/>
        </w:rPr>
        <w:t>Julissa Mantilla Falcón</w:t>
      </w:r>
      <w:r w:rsidRPr="00347AC4">
        <w:rPr>
          <w:rFonts w:asciiTheme="majorHAnsi" w:hAnsiTheme="majorHAnsi"/>
          <w:sz w:val="16"/>
          <w:szCs w:val="16"/>
          <w:lang w:val="es-ES"/>
        </w:rPr>
        <w:t xml:space="preserve">, de </w:t>
      </w:r>
      <w:r w:rsidRPr="00347AC4">
        <w:rPr>
          <w:rFonts w:asciiTheme="majorHAnsi" w:hAnsiTheme="majorHAnsi"/>
          <w:color w:val="auto"/>
          <w:sz w:val="16"/>
          <w:szCs w:val="16"/>
          <w:lang w:val="es-ES"/>
        </w:rPr>
        <w:t>nacionalidad peruana, no participó en el debate ni en la decisión del presente asunto.</w:t>
      </w:r>
    </w:p>
  </w:footnote>
  <w:footnote w:id="3">
    <w:p w14:paraId="413271BD" w14:textId="77777777" w:rsidR="0097745C" w:rsidRPr="00347AC4" w:rsidRDefault="0097745C" w:rsidP="00347AC4">
      <w:pPr>
        <w:pStyle w:val="FootnoteText"/>
        <w:ind w:firstLine="720"/>
        <w:jc w:val="both"/>
        <w:rPr>
          <w:rFonts w:asciiTheme="majorHAnsi" w:hAnsiTheme="majorHAnsi"/>
          <w:sz w:val="16"/>
          <w:szCs w:val="16"/>
          <w:lang w:val="es-MX"/>
        </w:rPr>
      </w:pPr>
      <w:r w:rsidRPr="00347AC4">
        <w:rPr>
          <w:rStyle w:val="FootnoteReference"/>
          <w:rFonts w:asciiTheme="majorHAnsi" w:hAnsiTheme="majorHAnsi"/>
          <w:sz w:val="16"/>
          <w:szCs w:val="16"/>
        </w:rPr>
        <w:footnoteRef/>
      </w:r>
      <w:r w:rsidRPr="00347AC4">
        <w:rPr>
          <w:rFonts w:asciiTheme="majorHAnsi" w:hAnsiTheme="majorHAnsi"/>
          <w:sz w:val="16"/>
          <w:szCs w:val="16"/>
          <w:lang w:val="es-MX"/>
        </w:rPr>
        <w:t xml:space="preserve"> </w:t>
      </w:r>
      <w:r w:rsidRPr="00347AC4">
        <w:rPr>
          <w:rFonts w:asciiTheme="majorHAnsi" w:hAnsiTheme="majorHAnsi"/>
          <w:sz w:val="16"/>
          <w:szCs w:val="16"/>
          <w:lang w:val="es-ES"/>
        </w:rPr>
        <w:t>En adelante “la Convención” o “la Convención Americana”.</w:t>
      </w:r>
    </w:p>
  </w:footnote>
  <w:footnote w:id="4">
    <w:p w14:paraId="79F07139" w14:textId="77777777" w:rsidR="008E3BFE" w:rsidRPr="00347AC4" w:rsidRDefault="008E3BFE" w:rsidP="00347AC4">
      <w:pPr>
        <w:pStyle w:val="FootnoteText"/>
        <w:spacing w:after="120"/>
        <w:ind w:firstLine="720"/>
        <w:jc w:val="both"/>
        <w:rPr>
          <w:rFonts w:asciiTheme="majorHAnsi" w:hAnsiTheme="majorHAnsi"/>
          <w:sz w:val="16"/>
          <w:szCs w:val="16"/>
          <w:lang w:val="es-ES"/>
        </w:rPr>
      </w:pPr>
      <w:r w:rsidRPr="00347AC4">
        <w:rPr>
          <w:rStyle w:val="FootnoteReference"/>
          <w:rFonts w:asciiTheme="majorHAnsi" w:hAnsiTheme="majorHAnsi"/>
          <w:sz w:val="16"/>
          <w:szCs w:val="16"/>
        </w:rPr>
        <w:footnoteRef/>
      </w:r>
      <w:r w:rsidRPr="00347AC4">
        <w:rPr>
          <w:rFonts w:asciiTheme="majorHAnsi" w:hAnsiTheme="majorHAnsi"/>
          <w:sz w:val="16"/>
          <w:szCs w:val="16"/>
          <w:lang w:val="es-ES"/>
        </w:rPr>
        <w:t xml:space="preserve"> Las observaciones de cada parte fueron debidamente trasladadas a la parte contraria.</w:t>
      </w:r>
    </w:p>
  </w:footnote>
  <w:footnote w:id="5">
    <w:p w14:paraId="3CE85CA9" w14:textId="0B08451B" w:rsidR="00531FF9" w:rsidRPr="00347AC4" w:rsidRDefault="00531FF9" w:rsidP="00347AC4">
      <w:pPr>
        <w:pStyle w:val="Default"/>
        <w:ind w:firstLine="720"/>
        <w:jc w:val="both"/>
        <w:rPr>
          <w:rFonts w:asciiTheme="majorHAnsi" w:eastAsia="Arial Unicode MS" w:hAnsiTheme="majorHAnsi" w:cs="Arial"/>
          <w:sz w:val="16"/>
          <w:szCs w:val="16"/>
          <w:bdr w:val="nil"/>
          <w:lang w:val="es-ES" w:eastAsia="es-ES"/>
        </w:rPr>
      </w:pPr>
      <w:r w:rsidRPr="00347AC4">
        <w:rPr>
          <w:rStyle w:val="FootnoteReference"/>
          <w:rFonts w:asciiTheme="majorHAnsi" w:hAnsiTheme="majorHAnsi"/>
          <w:sz w:val="16"/>
          <w:szCs w:val="16"/>
        </w:rPr>
        <w:footnoteRef/>
      </w:r>
      <w:r w:rsidRPr="00347AC4">
        <w:rPr>
          <w:rFonts w:asciiTheme="majorHAnsi" w:hAnsiTheme="majorHAnsi"/>
          <w:sz w:val="16"/>
          <w:szCs w:val="16"/>
          <w:lang w:val="es-ES"/>
        </w:rPr>
        <w:t xml:space="preserve"> </w:t>
      </w:r>
      <w:r w:rsidR="00207259" w:rsidRPr="00347AC4">
        <w:rPr>
          <w:rFonts w:asciiTheme="majorHAnsi" w:hAnsiTheme="majorHAnsi"/>
          <w:sz w:val="16"/>
          <w:szCs w:val="16"/>
          <w:lang w:val="es-ES"/>
        </w:rPr>
        <w:t xml:space="preserve">Código Procesal Constitucional. </w:t>
      </w:r>
      <w:r w:rsidR="00207259" w:rsidRPr="00347AC4">
        <w:rPr>
          <w:rFonts w:asciiTheme="majorHAnsi" w:eastAsia="Arial Unicode MS" w:hAnsiTheme="majorHAnsi" w:cs="Arial"/>
          <w:sz w:val="16"/>
          <w:szCs w:val="16"/>
          <w:bdr w:val="nil"/>
          <w:lang w:val="es-ES" w:eastAsia="es-ES"/>
        </w:rPr>
        <w:t xml:space="preserve">Artículo 5.- Causales de improcedencia. </w:t>
      </w:r>
      <w:r w:rsidR="00207259" w:rsidRPr="00347AC4">
        <w:rPr>
          <w:rFonts w:asciiTheme="majorHAnsi" w:hAnsiTheme="majorHAnsi" w:cs="Arial"/>
          <w:sz w:val="16"/>
          <w:szCs w:val="16"/>
          <w:lang w:val="es-ES" w:eastAsia="es-ES"/>
        </w:rPr>
        <w:t xml:space="preserve">No proceden los procesos constitucionales cuando: </w:t>
      </w:r>
      <w:r w:rsidR="00207259" w:rsidRPr="00347AC4">
        <w:rPr>
          <w:rFonts w:asciiTheme="majorHAnsi" w:eastAsia="Arial Unicode MS" w:hAnsiTheme="majorHAnsi" w:cs="Arial"/>
          <w:sz w:val="16"/>
          <w:szCs w:val="16"/>
          <w:lang w:val="es-ES"/>
        </w:rPr>
        <w:t xml:space="preserve">[…] </w:t>
      </w:r>
      <w:r w:rsidR="00207259" w:rsidRPr="00347AC4">
        <w:rPr>
          <w:rFonts w:asciiTheme="majorHAnsi" w:hAnsiTheme="majorHAnsi"/>
          <w:sz w:val="16"/>
          <w:szCs w:val="16"/>
          <w:lang w:val="es-ES"/>
        </w:rPr>
        <w:t>2. Existan vías procedimentales específicas, igualmente satisfactorias, para la protección del derecho constitucional amenazado o vulnerado, salvo cuando se trate del proceso de hábeas corpus. […]</w:t>
      </w:r>
    </w:p>
  </w:footnote>
  <w:footnote w:id="6">
    <w:p w14:paraId="27D5F54C" w14:textId="475DD694" w:rsidR="00A41658" w:rsidRPr="00A41658" w:rsidRDefault="00A41658" w:rsidP="00F21761">
      <w:pPr>
        <w:pStyle w:val="FootnoteText"/>
        <w:ind w:firstLine="720"/>
        <w:jc w:val="both"/>
        <w:rPr>
          <w:rFonts w:asciiTheme="majorHAnsi" w:hAnsiTheme="majorHAnsi"/>
          <w:sz w:val="16"/>
          <w:szCs w:val="16"/>
          <w:lang w:val="es-US"/>
        </w:rPr>
      </w:pPr>
      <w:r w:rsidRPr="00A41658">
        <w:rPr>
          <w:rStyle w:val="FootnoteReference"/>
          <w:rFonts w:asciiTheme="majorHAnsi" w:hAnsiTheme="majorHAnsi"/>
          <w:sz w:val="16"/>
          <w:szCs w:val="16"/>
        </w:rPr>
        <w:footnoteRef/>
      </w:r>
      <w:r w:rsidRPr="00A41658">
        <w:rPr>
          <w:rFonts w:asciiTheme="majorHAnsi" w:hAnsiTheme="majorHAnsi"/>
          <w:sz w:val="16"/>
          <w:szCs w:val="16"/>
          <w:lang w:val="es-US"/>
        </w:rPr>
        <w:t xml:space="preserve"> CIDH, Informe No. 70/04, Petición 667/01, Admisibilidad, </w:t>
      </w:r>
      <w:bookmarkStart w:id="2" w:name="_Hlk121394314"/>
      <w:r w:rsidRPr="00A41658">
        <w:rPr>
          <w:rFonts w:asciiTheme="majorHAnsi" w:hAnsiTheme="majorHAnsi"/>
          <w:sz w:val="16"/>
          <w:szCs w:val="16"/>
          <w:lang w:val="es-US"/>
        </w:rPr>
        <w:t>Jesús Manuel Naranjo Cárdenas y otros, Jubilados de la empresa venezolana de aviación VIASA. Venezuela, 15 de octubre de 2004, párr. 52</w:t>
      </w:r>
    </w:p>
    <w:bookmarkEnd w:id="2"/>
  </w:footnote>
  <w:footnote w:id="7">
    <w:p w14:paraId="06E37CA1" w14:textId="4C190174" w:rsidR="0054579D" w:rsidRPr="0054579D" w:rsidRDefault="0054579D" w:rsidP="0054579D">
      <w:pPr>
        <w:pStyle w:val="FootnoteText"/>
        <w:ind w:firstLine="720"/>
        <w:jc w:val="both"/>
        <w:rPr>
          <w:lang w:val="es-US"/>
        </w:rPr>
      </w:pPr>
      <w:r>
        <w:rPr>
          <w:rStyle w:val="FootnoteReference"/>
        </w:rPr>
        <w:footnoteRef/>
      </w:r>
      <w:r w:rsidRPr="0054579D">
        <w:rPr>
          <w:lang w:val="es-US"/>
        </w:rPr>
        <w:t xml:space="preserve"> </w:t>
      </w:r>
      <w:r w:rsidRPr="0054579D">
        <w:rPr>
          <w:rFonts w:asciiTheme="majorHAnsi" w:hAnsiTheme="majorHAnsi"/>
          <w:sz w:val="16"/>
          <w:szCs w:val="16"/>
          <w:lang w:val="es-US"/>
        </w:rPr>
        <w:t>CIDH, Informe No. 69/08, Petición 681-00. Admisibilidad. Guillermo Patricio Lynn. Argentina. 16 de octubre de 2008, párr. 48.</w:t>
      </w:r>
    </w:p>
  </w:footnote>
  <w:footnote w:id="8">
    <w:p w14:paraId="50162D6C" w14:textId="4F693DC4" w:rsidR="00A92391" w:rsidRPr="00347AC4" w:rsidRDefault="00A92391" w:rsidP="00347AC4">
      <w:pPr>
        <w:pStyle w:val="FootnoteText"/>
        <w:ind w:firstLine="720"/>
        <w:jc w:val="both"/>
        <w:rPr>
          <w:rFonts w:asciiTheme="majorHAnsi" w:hAnsiTheme="majorHAnsi"/>
          <w:sz w:val="16"/>
          <w:szCs w:val="16"/>
          <w:lang w:val="es-US"/>
        </w:rPr>
      </w:pPr>
      <w:r w:rsidRPr="00347AC4">
        <w:rPr>
          <w:rStyle w:val="FootnoteReference"/>
          <w:rFonts w:asciiTheme="majorHAnsi" w:hAnsiTheme="majorHAnsi"/>
          <w:sz w:val="16"/>
          <w:szCs w:val="16"/>
        </w:rPr>
        <w:footnoteRef/>
      </w:r>
      <w:r w:rsidRPr="00347AC4">
        <w:rPr>
          <w:rFonts w:asciiTheme="majorHAnsi" w:hAnsiTheme="majorHAnsi"/>
          <w:sz w:val="16"/>
          <w:szCs w:val="16"/>
          <w:lang w:val="es-US"/>
        </w:rPr>
        <w:t xml:space="preserve"> </w:t>
      </w:r>
      <w:r w:rsidR="001F0E97" w:rsidRPr="00347AC4">
        <w:rPr>
          <w:rFonts w:asciiTheme="majorHAnsi" w:hAnsiTheme="majorHAnsi"/>
          <w:sz w:val="16"/>
          <w:szCs w:val="16"/>
          <w:lang w:val="es-US"/>
        </w:rPr>
        <w:t xml:space="preserve">Este es un criterio ampliamente reiterado por la Comisión, véase, entre otros: </w:t>
      </w:r>
      <w:r w:rsidRPr="00347AC4">
        <w:rPr>
          <w:rFonts w:asciiTheme="majorHAnsi" w:hAnsiTheme="majorHAnsi"/>
          <w:sz w:val="16"/>
          <w:szCs w:val="16"/>
          <w:lang w:val="es-US"/>
        </w:rPr>
        <w:t>CIDH, Informe 7/12, Petición 609-98, Admisibilidad. Guillermo Armando Capó. Argentina. 19 de marzo de 2012, párr. 26.</w:t>
      </w:r>
    </w:p>
  </w:footnote>
  <w:footnote w:id="9">
    <w:p w14:paraId="5668F76C" w14:textId="77777777" w:rsidR="004D2E7A" w:rsidRPr="00347AC4" w:rsidRDefault="004D2E7A" w:rsidP="00347AC4">
      <w:pPr>
        <w:pStyle w:val="FootnoteText"/>
        <w:ind w:firstLine="720"/>
        <w:jc w:val="both"/>
        <w:rPr>
          <w:rFonts w:asciiTheme="majorHAnsi" w:hAnsiTheme="majorHAnsi"/>
          <w:sz w:val="16"/>
          <w:szCs w:val="16"/>
          <w:lang w:val="es-US"/>
        </w:rPr>
      </w:pPr>
      <w:r w:rsidRPr="00347AC4">
        <w:rPr>
          <w:rStyle w:val="FootnoteReference"/>
          <w:rFonts w:asciiTheme="majorHAnsi" w:hAnsiTheme="majorHAnsi"/>
          <w:sz w:val="16"/>
          <w:szCs w:val="16"/>
        </w:rPr>
        <w:footnoteRef/>
      </w:r>
      <w:r w:rsidRPr="00347AC4">
        <w:rPr>
          <w:rFonts w:asciiTheme="majorHAnsi" w:hAnsiTheme="majorHAnsi"/>
          <w:sz w:val="16"/>
          <w:szCs w:val="16"/>
          <w:lang w:val="es-US"/>
        </w:rPr>
        <w:t xml:space="preserve"> CIDH, Informe 57/18, Petición 969-07, Admisibilidad. Karen Mañuca Quiroz Cabanillas. Perú. 5 de mayo de 2018, párr. 15.</w:t>
      </w:r>
    </w:p>
  </w:footnote>
  <w:footnote w:id="10">
    <w:p w14:paraId="629F06F2" w14:textId="1F30C3BA" w:rsidR="002F4EA2" w:rsidRPr="00347AC4" w:rsidRDefault="002F4EA2" w:rsidP="009C59AA">
      <w:pPr>
        <w:pStyle w:val="FootnoteText"/>
        <w:ind w:firstLine="720"/>
        <w:jc w:val="both"/>
        <w:rPr>
          <w:rFonts w:asciiTheme="majorHAnsi" w:hAnsiTheme="majorHAnsi"/>
          <w:sz w:val="16"/>
          <w:szCs w:val="16"/>
          <w:lang w:val="es-ES_tradnl"/>
        </w:rPr>
      </w:pPr>
      <w:r w:rsidRPr="00347AC4">
        <w:rPr>
          <w:rStyle w:val="FootnoteReference"/>
          <w:rFonts w:asciiTheme="majorHAnsi" w:hAnsiTheme="majorHAnsi"/>
          <w:sz w:val="16"/>
          <w:szCs w:val="16"/>
        </w:rPr>
        <w:footnoteRef/>
      </w:r>
      <w:r w:rsidRPr="00347AC4">
        <w:rPr>
          <w:rFonts w:asciiTheme="majorHAnsi" w:hAnsiTheme="majorHAnsi"/>
          <w:sz w:val="16"/>
          <w:szCs w:val="16"/>
          <w:lang w:val="es-ES_tradnl"/>
        </w:rPr>
        <w:t xml:space="preserve"> </w:t>
      </w:r>
      <w:r w:rsidR="00AA68E0" w:rsidRPr="00347AC4">
        <w:rPr>
          <w:rFonts w:asciiTheme="majorHAnsi" w:hAnsiTheme="majorHAnsi"/>
          <w:sz w:val="16"/>
          <w:szCs w:val="16"/>
          <w:lang w:val="es-ES_tradnl"/>
        </w:rPr>
        <w:t>Corte IDH. Caso Cabrera García y Montiel Flores Vs. México. Excepción Preliminar, Fondo, Reparaciones y Costas. Sentencia de 26 de noviembre de 2010. Serie C No. 220, párr. 18.</w:t>
      </w:r>
    </w:p>
  </w:footnote>
  <w:footnote w:id="11">
    <w:p w14:paraId="37BE8602" w14:textId="77777777" w:rsidR="00AA68E0" w:rsidRPr="00347AC4" w:rsidRDefault="00AA68E0" w:rsidP="009C59AA">
      <w:pPr>
        <w:pStyle w:val="FootnoteText"/>
        <w:ind w:firstLine="720"/>
        <w:jc w:val="both"/>
        <w:rPr>
          <w:rFonts w:asciiTheme="majorHAnsi" w:hAnsiTheme="majorHAnsi"/>
          <w:sz w:val="16"/>
          <w:szCs w:val="16"/>
          <w:lang w:val="es-ES_tradnl"/>
        </w:rPr>
      </w:pPr>
      <w:r w:rsidRPr="00347AC4">
        <w:rPr>
          <w:rStyle w:val="FootnoteReference"/>
          <w:rFonts w:asciiTheme="majorHAnsi" w:hAnsiTheme="majorHAnsi"/>
          <w:sz w:val="16"/>
          <w:szCs w:val="16"/>
        </w:rPr>
        <w:footnoteRef/>
      </w:r>
      <w:r w:rsidRPr="00347AC4">
        <w:rPr>
          <w:rFonts w:asciiTheme="majorHAnsi" w:hAnsiTheme="majorHAnsi"/>
          <w:sz w:val="16"/>
          <w:szCs w:val="16"/>
          <w:lang w:val="es-ES_tradnl"/>
        </w:rPr>
        <w:t xml:space="preserve"> Corte IDH. Caso Cabrera García y Montiel Flores Vs. México. Excepción Preliminar, Fondo, Reparaciones y Costas. Sentencia de 26 de noviembre de 2010. Serie C No. 220, párr. 19.</w:t>
      </w:r>
    </w:p>
  </w:footnote>
  <w:footnote w:id="12">
    <w:p w14:paraId="6654F6B7" w14:textId="4539CE8B" w:rsidR="00D800F2" w:rsidRPr="00347AC4" w:rsidRDefault="00D800F2" w:rsidP="009C59AA">
      <w:pPr>
        <w:pStyle w:val="FootnoteText"/>
        <w:ind w:firstLine="720"/>
        <w:jc w:val="both"/>
        <w:rPr>
          <w:rFonts w:asciiTheme="majorHAnsi" w:hAnsiTheme="majorHAnsi"/>
          <w:sz w:val="16"/>
          <w:szCs w:val="16"/>
          <w:lang w:val="es-ES_tradnl"/>
        </w:rPr>
      </w:pPr>
      <w:r w:rsidRPr="00347AC4">
        <w:rPr>
          <w:rStyle w:val="FootnoteReference"/>
          <w:rFonts w:asciiTheme="majorHAnsi" w:hAnsiTheme="majorHAnsi"/>
          <w:sz w:val="16"/>
          <w:szCs w:val="16"/>
        </w:rPr>
        <w:footnoteRef/>
      </w:r>
      <w:r w:rsidRPr="00347AC4">
        <w:rPr>
          <w:rFonts w:asciiTheme="majorHAnsi" w:hAnsiTheme="majorHAnsi"/>
          <w:sz w:val="16"/>
          <w:szCs w:val="16"/>
          <w:lang w:val="es-ES_tradnl"/>
        </w:rPr>
        <w:t xml:space="preserve"> </w:t>
      </w:r>
      <w:r w:rsidR="00AA68E0" w:rsidRPr="00347AC4">
        <w:rPr>
          <w:rFonts w:asciiTheme="majorHAnsi" w:hAnsiTheme="majorHAnsi"/>
          <w:sz w:val="16"/>
          <w:szCs w:val="16"/>
          <w:lang w:val="es-ES_tradnl"/>
        </w:rPr>
        <w:t xml:space="preserve">Corte IDH. Caso Palma Mendoza y otros Vs. Ecuador. Excepción Preliminar y Fondo. Sentencia de 3 de septiembre de 2012. </w:t>
      </w:r>
      <w:r w:rsidR="00AA68E0" w:rsidRPr="00F21761">
        <w:rPr>
          <w:rFonts w:asciiTheme="majorHAnsi" w:hAnsiTheme="majorHAnsi"/>
          <w:sz w:val="16"/>
          <w:szCs w:val="16"/>
          <w:lang w:val="es-US"/>
        </w:rPr>
        <w:t xml:space="preserve">Serie C No. 247, párr. 18; </w:t>
      </w:r>
      <w:r w:rsidR="00347AC4" w:rsidRPr="00F21761">
        <w:rPr>
          <w:rFonts w:asciiTheme="majorHAnsi" w:hAnsiTheme="majorHAnsi"/>
          <w:sz w:val="16"/>
          <w:szCs w:val="16"/>
          <w:lang w:val="es-US"/>
        </w:rPr>
        <w:t xml:space="preserve">Corte IDH. Caso Rosadio Villavicencio Vs. </w:t>
      </w:r>
      <w:r w:rsidR="00347AC4" w:rsidRPr="00347AC4">
        <w:rPr>
          <w:rFonts w:asciiTheme="majorHAnsi" w:hAnsiTheme="majorHAnsi"/>
          <w:sz w:val="16"/>
          <w:szCs w:val="16"/>
          <w:lang w:val="es-ES_tradnl"/>
        </w:rPr>
        <w:t xml:space="preserve">Perú. Excepciones Preliminares, Fondo, Reparaciones y Costas. </w:t>
      </w:r>
      <w:r w:rsidR="00347AC4" w:rsidRPr="0038421D">
        <w:rPr>
          <w:rFonts w:asciiTheme="majorHAnsi" w:hAnsiTheme="majorHAnsi"/>
          <w:sz w:val="16"/>
          <w:szCs w:val="16"/>
          <w:lang w:val="es-US"/>
        </w:rPr>
        <w:t xml:space="preserve">Sentencia de 14 de octubre de 2019. Serie C No. 388., párr. 24; </w:t>
      </w:r>
      <w:r w:rsidRPr="00347AC4">
        <w:rPr>
          <w:rFonts w:asciiTheme="majorHAnsi" w:hAnsiTheme="majorHAnsi"/>
          <w:sz w:val="16"/>
          <w:szCs w:val="16"/>
          <w:lang w:val="es-ES_tradnl"/>
        </w:rPr>
        <w:t xml:space="preserve">Corte IDH. Caso Cabrera García y Montiel Flores Vs. México. Excepción Preliminar, Fondo, Reparaciones y Costas. </w:t>
      </w:r>
      <w:r w:rsidRPr="0038421D">
        <w:rPr>
          <w:rFonts w:asciiTheme="majorHAnsi" w:hAnsiTheme="majorHAnsi"/>
          <w:sz w:val="16"/>
          <w:szCs w:val="16"/>
          <w:lang w:val="es-US"/>
        </w:rPr>
        <w:t xml:space="preserve">Sentencia de 26 de noviembre de 2010. </w:t>
      </w:r>
      <w:r w:rsidRPr="00347AC4">
        <w:rPr>
          <w:rFonts w:asciiTheme="majorHAnsi" w:hAnsiTheme="majorHAnsi"/>
          <w:sz w:val="16"/>
          <w:szCs w:val="16"/>
        </w:rPr>
        <w:t>Serie C No. 220, párr.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5E4E6E" w:rsidP="00A50FCF">
    <w:pPr>
      <w:pStyle w:val="Header"/>
      <w:tabs>
        <w:tab w:val="clear" w:pos="4320"/>
        <w:tab w:val="clear" w:pos="8640"/>
      </w:tabs>
      <w:jc w:val="center"/>
      <w:rPr>
        <w:sz w:val="22"/>
        <w:szCs w:val="22"/>
      </w:rPr>
    </w:pPr>
    <w:r>
      <w:rPr>
        <w:noProof/>
        <w:sz w:val="22"/>
        <w:szCs w:val="22"/>
        <w:bdr w:val="nil"/>
      </w:rPr>
      <w:pict w14:anchorId="5F124F1A">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0569695">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1284921576">
    <w:abstractNumId w:val="5"/>
  </w:num>
  <w:num w:numId="3" w16cid:durableId="1650019378">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1708141992">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252512132">
    <w:abstractNumId w:val="7"/>
  </w:num>
  <w:num w:numId="6" w16cid:durableId="1565725818">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842549851">
    <w:abstractNumId w:val="60"/>
  </w:num>
  <w:num w:numId="8" w16cid:durableId="27754426">
    <w:abstractNumId w:val="23"/>
  </w:num>
  <w:num w:numId="9" w16cid:durableId="1081951313">
    <w:abstractNumId w:val="51"/>
  </w:num>
  <w:num w:numId="10" w16cid:durableId="749615873">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200216126">
    <w:abstractNumId w:val="29"/>
  </w:num>
  <w:num w:numId="12" w16cid:durableId="755980736">
    <w:abstractNumId w:val="58"/>
  </w:num>
  <w:num w:numId="13" w16cid:durableId="9332557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52543471">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526254862">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165852138">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2155312">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309750203">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65515754">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158232831">
    <w:abstractNumId w:val="8"/>
  </w:num>
  <w:num w:numId="21" w16cid:durableId="200821783">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96083925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353507931">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1232234296">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175389191">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63321327">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453525210">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1188177376">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4777240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21489403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37115674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1679305401">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536938098">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912736189">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344013606">
    <w:abstractNumId w:val="19"/>
  </w:num>
  <w:num w:numId="36" w16cid:durableId="1740861232">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14836943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63996421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78811306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4294396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710448045">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2089110308">
    <w:abstractNumId w:val="41"/>
  </w:num>
  <w:num w:numId="43" w16cid:durableId="1743479074">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2054310117">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76620719">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979646935">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57917744">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178731706">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260769218">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64057456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2020891933">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793602201">
    <w:abstractNumId w:val="45"/>
  </w:num>
  <w:num w:numId="53" w16cid:durableId="1125927773">
    <w:abstractNumId w:val="0"/>
  </w:num>
  <w:num w:numId="54" w16cid:durableId="213473675">
    <w:abstractNumId w:val="40"/>
  </w:num>
  <w:num w:numId="55" w16cid:durableId="909929547">
    <w:abstractNumId w:val="41"/>
  </w:num>
  <w:num w:numId="56" w16cid:durableId="1591738831">
    <w:abstractNumId w:val="47"/>
  </w:num>
  <w:num w:numId="57" w16cid:durableId="2049797477">
    <w:abstractNumId w:val="1"/>
  </w:num>
  <w:num w:numId="58" w16cid:durableId="563223704">
    <w:abstractNumId w:val="2"/>
  </w:num>
  <w:num w:numId="59" w16cid:durableId="1577786925">
    <w:abstractNumId w:val="9"/>
  </w:num>
  <w:num w:numId="60" w16cid:durableId="960843593">
    <w:abstractNumId w:val="10"/>
  </w:num>
  <w:num w:numId="61" w16cid:durableId="1982078869">
    <w:abstractNumId w:val="11"/>
  </w:num>
  <w:num w:numId="62" w16cid:durableId="1392314641">
    <w:abstractNumId w:val="12"/>
  </w:num>
  <w:num w:numId="63" w16cid:durableId="1356538007">
    <w:abstractNumId w:val="13"/>
  </w:num>
  <w:num w:numId="64" w16cid:durableId="480389388">
    <w:abstractNumId w:val="15"/>
  </w:num>
  <w:num w:numId="65" w16cid:durableId="1823497468">
    <w:abstractNumId w:val="16"/>
  </w:num>
  <w:num w:numId="66" w16cid:durableId="1829513482">
    <w:abstractNumId w:val="17"/>
  </w:num>
  <w:num w:numId="67" w16cid:durableId="544606773">
    <w:abstractNumId w:val="18"/>
  </w:num>
  <w:num w:numId="68" w16cid:durableId="1066143544">
    <w:abstractNumId w:val="20"/>
  </w:num>
  <w:num w:numId="69" w16cid:durableId="551306904">
    <w:abstractNumId w:val="21"/>
  </w:num>
  <w:num w:numId="70" w16cid:durableId="1636909170">
    <w:abstractNumId w:val="24"/>
  </w:num>
  <w:num w:numId="71" w16cid:durableId="7103305">
    <w:abstractNumId w:val="25"/>
  </w:num>
  <w:num w:numId="72" w16cid:durableId="1519199839">
    <w:abstractNumId w:val="26"/>
  </w:num>
  <w:num w:numId="73" w16cid:durableId="927542731">
    <w:abstractNumId w:val="28"/>
  </w:num>
  <w:num w:numId="74" w16cid:durableId="669404888">
    <w:abstractNumId w:val="30"/>
  </w:num>
  <w:num w:numId="75" w16cid:durableId="83382481">
    <w:abstractNumId w:val="32"/>
  </w:num>
  <w:num w:numId="76" w16cid:durableId="1180050791">
    <w:abstractNumId w:val="33"/>
  </w:num>
  <w:num w:numId="77" w16cid:durableId="1812674219">
    <w:abstractNumId w:val="34"/>
  </w:num>
  <w:num w:numId="78" w16cid:durableId="7682999">
    <w:abstractNumId w:val="35"/>
  </w:num>
  <w:num w:numId="79" w16cid:durableId="785470967">
    <w:abstractNumId w:val="36"/>
  </w:num>
  <w:num w:numId="80" w16cid:durableId="2146851010">
    <w:abstractNumId w:val="37"/>
  </w:num>
  <w:num w:numId="81" w16cid:durableId="795609728">
    <w:abstractNumId w:val="38"/>
  </w:num>
  <w:num w:numId="82" w16cid:durableId="80564304">
    <w:abstractNumId w:val="42"/>
  </w:num>
  <w:num w:numId="83" w16cid:durableId="723484063">
    <w:abstractNumId w:val="43"/>
  </w:num>
  <w:num w:numId="84" w16cid:durableId="534970420">
    <w:abstractNumId w:val="49"/>
  </w:num>
  <w:num w:numId="85" w16cid:durableId="1417360573">
    <w:abstractNumId w:val="52"/>
  </w:num>
  <w:num w:numId="86" w16cid:durableId="108819837">
    <w:abstractNumId w:val="55"/>
  </w:num>
  <w:num w:numId="87" w16cid:durableId="1299535745">
    <w:abstractNumId w:val="57"/>
  </w:num>
  <w:num w:numId="88" w16cid:durableId="1769421580">
    <w:abstractNumId w:val="59"/>
  </w:num>
  <w:num w:numId="89" w16cid:durableId="495071255">
    <w:abstractNumId w:val="61"/>
  </w:num>
  <w:num w:numId="90" w16cid:durableId="80225721">
    <w:abstractNumId w:val="62"/>
  </w:num>
  <w:num w:numId="91" w16cid:durableId="1687823559">
    <w:abstractNumId w:val="63"/>
  </w:num>
  <w:num w:numId="92" w16cid:durableId="639728180">
    <w:abstractNumId w:val="64"/>
  </w:num>
  <w:num w:numId="93" w16cid:durableId="2090423746">
    <w:abstractNumId w:val="66"/>
  </w:num>
  <w:num w:numId="94" w16cid:durableId="90399372">
    <w:abstractNumId w:val="22"/>
  </w:num>
  <w:num w:numId="95" w16cid:durableId="2067877829">
    <w:abstractNumId w:val="44"/>
  </w:num>
  <w:num w:numId="96" w16cid:durableId="1607885175">
    <w:abstractNumId w:val="56"/>
  </w:num>
  <w:num w:numId="97" w16cid:durableId="2089424974">
    <w:abstractNumId w:val="53"/>
  </w:num>
  <w:num w:numId="98" w16cid:durableId="1090656812">
    <w:abstractNumId w:val="48"/>
  </w:num>
  <w:num w:numId="99" w16cid:durableId="945696731">
    <w:abstractNumId w:val="39"/>
  </w:num>
  <w:num w:numId="100" w16cid:durableId="844125482">
    <w:abstractNumId w:val="3"/>
  </w:num>
  <w:num w:numId="101" w16cid:durableId="1860007362">
    <w:abstractNumId w:val="27"/>
  </w:num>
  <w:num w:numId="102" w16cid:durableId="1973442954">
    <w:abstractNumId w:val="50"/>
  </w:num>
  <w:num w:numId="103" w16cid:durableId="211889725">
    <w:abstractNumId w:val="6"/>
  </w:num>
  <w:num w:numId="104" w16cid:durableId="1735926459">
    <w:abstractNumId w:val="65"/>
  </w:num>
  <w:num w:numId="105" w16cid:durableId="672608585">
    <w:abstractNumId w:val="54"/>
  </w:num>
  <w:num w:numId="106" w16cid:durableId="28116136">
    <w:abstractNumId w:val="4"/>
  </w:num>
  <w:num w:numId="107" w16cid:durableId="145784314">
    <w:abstractNumId w:val="31"/>
  </w:num>
  <w:num w:numId="108" w16cid:durableId="2089618385">
    <w:abstractNumId w:val="14"/>
  </w:num>
  <w:num w:numId="109" w16cid:durableId="1186939933">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337EF"/>
    <w:rsid w:val="00040C3A"/>
    <w:rsid w:val="000419AD"/>
    <w:rsid w:val="000433C9"/>
    <w:rsid w:val="00062F36"/>
    <w:rsid w:val="000716C5"/>
    <w:rsid w:val="000743F4"/>
    <w:rsid w:val="00075E23"/>
    <w:rsid w:val="0009344A"/>
    <w:rsid w:val="00093B48"/>
    <w:rsid w:val="000A2C24"/>
    <w:rsid w:val="000A392E"/>
    <w:rsid w:val="000A575F"/>
    <w:rsid w:val="000D05CB"/>
    <w:rsid w:val="000D10DB"/>
    <w:rsid w:val="000E5EB5"/>
    <w:rsid w:val="000F1336"/>
    <w:rsid w:val="000F26F2"/>
    <w:rsid w:val="000F35ED"/>
    <w:rsid w:val="00107131"/>
    <w:rsid w:val="0010736F"/>
    <w:rsid w:val="00113AA2"/>
    <w:rsid w:val="00113F73"/>
    <w:rsid w:val="00117EA8"/>
    <w:rsid w:val="00121CC2"/>
    <w:rsid w:val="00131425"/>
    <w:rsid w:val="00133EE5"/>
    <w:rsid w:val="0014377F"/>
    <w:rsid w:val="0015756D"/>
    <w:rsid w:val="00167A34"/>
    <w:rsid w:val="001870CE"/>
    <w:rsid w:val="001957A0"/>
    <w:rsid w:val="001A2855"/>
    <w:rsid w:val="001A3153"/>
    <w:rsid w:val="001A7870"/>
    <w:rsid w:val="001B3A00"/>
    <w:rsid w:val="001C1B41"/>
    <w:rsid w:val="001D65EF"/>
    <w:rsid w:val="001E49E7"/>
    <w:rsid w:val="001E5A31"/>
    <w:rsid w:val="001F0E97"/>
    <w:rsid w:val="001F54D7"/>
    <w:rsid w:val="001F7201"/>
    <w:rsid w:val="00207259"/>
    <w:rsid w:val="00223A29"/>
    <w:rsid w:val="002250A3"/>
    <w:rsid w:val="00225D04"/>
    <w:rsid w:val="00235217"/>
    <w:rsid w:val="00240E4A"/>
    <w:rsid w:val="00242203"/>
    <w:rsid w:val="00246D1F"/>
    <w:rsid w:val="00247403"/>
    <w:rsid w:val="00247542"/>
    <w:rsid w:val="002661F2"/>
    <w:rsid w:val="00266B61"/>
    <w:rsid w:val="0026712A"/>
    <w:rsid w:val="002678AB"/>
    <w:rsid w:val="002704DB"/>
    <w:rsid w:val="002758FB"/>
    <w:rsid w:val="00286B90"/>
    <w:rsid w:val="00294529"/>
    <w:rsid w:val="002A0AAE"/>
    <w:rsid w:val="002A5820"/>
    <w:rsid w:val="002C3385"/>
    <w:rsid w:val="002D2B26"/>
    <w:rsid w:val="002D7EA2"/>
    <w:rsid w:val="002E187C"/>
    <w:rsid w:val="002F4EA2"/>
    <w:rsid w:val="002F5CB4"/>
    <w:rsid w:val="00301589"/>
    <w:rsid w:val="00301794"/>
    <w:rsid w:val="00301A34"/>
    <w:rsid w:val="00302733"/>
    <w:rsid w:val="00314078"/>
    <w:rsid w:val="0031535D"/>
    <w:rsid w:val="0032118B"/>
    <w:rsid w:val="003239B8"/>
    <w:rsid w:val="0033169F"/>
    <w:rsid w:val="00344977"/>
    <w:rsid w:val="00346C95"/>
    <w:rsid w:val="00347AC4"/>
    <w:rsid w:val="00356185"/>
    <w:rsid w:val="00360380"/>
    <w:rsid w:val="00364BD6"/>
    <w:rsid w:val="0037519E"/>
    <w:rsid w:val="00380080"/>
    <w:rsid w:val="0038421D"/>
    <w:rsid w:val="00386CF0"/>
    <w:rsid w:val="00394E7B"/>
    <w:rsid w:val="003B263F"/>
    <w:rsid w:val="003B70FB"/>
    <w:rsid w:val="003C0203"/>
    <w:rsid w:val="003C676B"/>
    <w:rsid w:val="003D3BC2"/>
    <w:rsid w:val="003E6CA1"/>
    <w:rsid w:val="003F0F28"/>
    <w:rsid w:val="003F4308"/>
    <w:rsid w:val="00405F9C"/>
    <w:rsid w:val="004065A8"/>
    <w:rsid w:val="00407218"/>
    <w:rsid w:val="00410F6C"/>
    <w:rsid w:val="004165C2"/>
    <w:rsid w:val="00441ECB"/>
    <w:rsid w:val="00445193"/>
    <w:rsid w:val="00456FEF"/>
    <w:rsid w:val="00462C1B"/>
    <w:rsid w:val="00467B7E"/>
    <w:rsid w:val="00473BB4"/>
    <w:rsid w:val="00476DF1"/>
    <w:rsid w:val="00477592"/>
    <w:rsid w:val="0048037A"/>
    <w:rsid w:val="00486F1C"/>
    <w:rsid w:val="00491248"/>
    <w:rsid w:val="0049419D"/>
    <w:rsid w:val="004A6A54"/>
    <w:rsid w:val="004C20D2"/>
    <w:rsid w:val="004C2312"/>
    <w:rsid w:val="004C4B62"/>
    <w:rsid w:val="004C54C9"/>
    <w:rsid w:val="004D2E7A"/>
    <w:rsid w:val="004D4ABA"/>
    <w:rsid w:val="004D6025"/>
    <w:rsid w:val="004E2649"/>
    <w:rsid w:val="004F626F"/>
    <w:rsid w:val="00501399"/>
    <w:rsid w:val="0050633D"/>
    <w:rsid w:val="00507BC4"/>
    <w:rsid w:val="005128E4"/>
    <w:rsid w:val="005133DB"/>
    <w:rsid w:val="00514504"/>
    <w:rsid w:val="00525560"/>
    <w:rsid w:val="00531FF9"/>
    <w:rsid w:val="00537AF8"/>
    <w:rsid w:val="00541BE6"/>
    <w:rsid w:val="00544C49"/>
    <w:rsid w:val="0054579D"/>
    <w:rsid w:val="005516A1"/>
    <w:rsid w:val="005559EF"/>
    <w:rsid w:val="00563557"/>
    <w:rsid w:val="0057402A"/>
    <w:rsid w:val="005771D0"/>
    <w:rsid w:val="00580C40"/>
    <w:rsid w:val="00584D35"/>
    <w:rsid w:val="0059191A"/>
    <w:rsid w:val="005921FF"/>
    <w:rsid w:val="005A24ED"/>
    <w:rsid w:val="005A6D0E"/>
    <w:rsid w:val="005B52B0"/>
    <w:rsid w:val="005B6806"/>
    <w:rsid w:val="005C1EBB"/>
    <w:rsid w:val="005C4225"/>
    <w:rsid w:val="005D38F9"/>
    <w:rsid w:val="005D3A3F"/>
    <w:rsid w:val="005E4E6E"/>
    <w:rsid w:val="005F0DAD"/>
    <w:rsid w:val="005F0F33"/>
    <w:rsid w:val="005F2486"/>
    <w:rsid w:val="00600DEB"/>
    <w:rsid w:val="00627C9F"/>
    <w:rsid w:val="006311E9"/>
    <w:rsid w:val="00632354"/>
    <w:rsid w:val="00635421"/>
    <w:rsid w:val="006356BD"/>
    <w:rsid w:val="00642810"/>
    <w:rsid w:val="00652333"/>
    <w:rsid w:val="006676D4"/>
    <w:rsid w:val="0067055C"/>
    <w:rsid w:val="00673ED5"/>
    <w:rsid w:val="0068009E"/>
    <w:rsid w:val="00681183"/>
    <w:rsid w:val="00692219"/>
    <w:rsid w:val="006A17D2"/>
    <w:rsid w:val="006A73E6"/>
    <w:rsid w:val="006B2D5C"/>
    <w:rsid w:val="006C4EB1"/>
    <w:rsid w:val="006E0166"/>
    <w:rsid w:val="006E2FFB"/>
    <w:rsid w:val="006E75B1"/>
    <w:rsid w:val="006E7B34"/>
    <w:rsid w:val="0070697F"/>
    <w:rsid w:val="0070729D"/>
    <w:rsid w:val="007118F8"/>
    <w:rsid w:val="0072199C"/>
    <w:rsid w:val="00722C9F"/>
    <w:rsid w:val="007253B8"/>
    <w:rsid w:val="0072731B"/>
    <w:rsid w:val="0073741F"/>
    <w:rsid w:val="00745E0B"/>
    <w:rsid w:val="0076643F"/>
    <w:rsid w:val="00777F63"/>
    <w:rsid w:val="007A5817"/>
    <w:rsid w:val="007B05C4"/>
    <w:rsid w:val="007B0C32"/>
    <w:rsid w:val="007B60E9"/>
    <w:rsid w:val="007B633B"/>
    <w:rsid w:val="007B6CC3"/>
    <w:rsid w:val="007B76D3"/>
    <w:rsid w:val="007C089D"/>
    <w:rsid w:val="007C3334"/>
    <w:rsid w:val="007C406F"/>
    <w:rsid w:val="007D2B98"/>
    <w:rsid w:val="007E21BC"/>
    <w:rsid w:val="007E5C37"/>
    <w:rsid w:val="007E7C82"/>
    <w:rsid w:val="007F2AA1"/>
    <w:rsid w:val="007F588D"/>
    <w:rsid w:val="00803F1C"/>
    <w:rsid w:val="0080600E"/>
    <w:rsid w:val="00814688"/>
    <w:rsid w:val="00817612"/>
    <w:rsid w:val="008338A4"/>
    <w:rsid w:val="00834D49"/>
    <w:rsid w:val="00837C45"/>
    <w:rsid w:val="00844730"/>
    <w:rsid w:val="008457C2"/>
    <w:rsid w:val="00845AED"/>
    <w:rsid w:val="00856C02"/>
    <w:rsid w:val="00857A82"/>
    <w:rsid w:val="0086188A"/>
    <w:rsid w:val="00873836"/>
    <w:rsid w:val="0088145B"/>
    <w:rsid w:val="00885737"/>
    <w:rsid w:val="00890650"/>
    <w:rsid w:val="008909AE"/>
    <w:rsid w:val="00896C47"/>
    <w:rsid w:val="00897E12"/>
    <w:rsid w:val="008A7E0F"/>
    <w:rsid w:val="008B12F5"/>
    <w:rsid w:val="008C448E"/>
    <w:rsid w:val="008C5E2D"/>
    <w:rsid w:val="008D4F3E"/>
    <w:rsid w:val="008D768D"/>
    <w:rsid w:val="008E3759"/>
    <w:rsid w:val="008E3BFE"/>
    <w:rsid w:val="008F1912"/>
    <w:rsid w:val="009025A6"/>
    <w:rsid w:val="0090270B"/>
    <w:rsid w:val="009041DC"/>
    <w:rsid w:val="00917B5A"/>
    <w:rsid w:val="00920A58"/>
    <w:rsid w:val="00920A8C"/>
    <w:rsid w:val="00934A2C"/>
    <w:rsid w:val="00934FFA"/>
    <w:rsid w:val="00954437"/>
    <w:rsid w:val="0096706E"/>
    <w:rsid w:val="00974491"/>
    <w:rsid w:val="00975C4E"/>
    <w:rsid w:val="0097745C"/>
    <w:rsid w:val="00981FBA"/>
    <w:rsid w:val="00997BC5"/>
    <w:rsid w:val="009A4F41"/>
    <w:rsid w:val="009B381B"/>
    <w:rsid w:val="009C59AA"/>
    <w:rsid w:val="009D1753"/>
    <w:rsid w:val="009D7611"/>
    <w:rsid w:val="009E0B61"/>
    <w:rsid w:val="009E53DE"/>
    <w:rsid w:val="009F357A"/>
    <w:rsid w:val="00A11212"/>
    <w:rsid w:val="00A11E44"/>
    <w:rsid w:val="00A12D89"/>
    <w:rsid w:val="00A20D91"/>
    <w:rsid w:val="00A30100"/>
    <w:rsid w:val="00A328B3"/>
    <w:rsid w:val="00A41658"/>
    <w:rsid w:val="00A50FCF"/>
    <w:rsid w:val="00A528D1"/>
    <w:rsid w:val="00A54886"/>
    <w:rsid w:val="00A57BFC"/>
    <w:rsid w:val="00A610CD"/>
    <w:rsid w:val="00A758AA"/>
    <w:rsid w:val="00A92391"/>
    <w:rsid w:val="00A97AA6"/>
    <w:rsid w:val="00AA09A2"/>
    <w:rsid w:val="00AA68E0"/>
    <w:rsid w:val="00AA7996"/>
    <w:rsid w:val="00AB05A4"/>
    <w:rsid w:val="00AC19CB"/>
    <w:rsid w:val="00AC6F11"/>
    <w:rsid w:val="00AD0999"/>
    <w:rsid w:val="00AE1239"/>
    <w:rsid w:val="00AE5488"/>
    <w:rsid w:val="00AE6F91"/>
    <w:rsid w:val="00AF5571"/>
    <w:rsid w:val="00AF6DB7"/>
    <w:rsid w:val="00AF7AA6"/>
    <w:rsid w:val="00B00885"/>
    <w:rsid w:val="00B07341"/>
    <w:rsid w:val="00B13C79"/>
    <w:rsid w:val="00B14EBA"/>
    <w:rsid w:val="00B16C6E"/>
    <w:rsid w:val="00B30539"/>
    <w:rsid w:val="00B314DB"/>
    <w:rsid w:val="00B361F2"/>
    <w:rsid w:val="00B3718B"/>
    <w:rsid w:val="00B3745F"/>
    <w:rsid w:val="00B4632A"/>
    <w:rsid w:val="00B46FBB"/>
    <w:rsid w:val="00B530F1"/>
    <w:rsid w:val="00B7101F"/>
    <w:rsid w:val="00B75EE9"/>
    <w:rsid w:val="00BA276C"/>
    <w:rsid w:val="00BB306F"/>
    <w:rsid w:val="00BD4B89"/>
    <w:rsid w:val="00BD5922"/>
    <w:rsid w:val="00BF02CB"/>
    <w:rsid w:val="00BF16F2"/>
    <w:rsid w:val="00BF6FD8"/>
    <w:rsid w:val="00C03680"/>
    <w:rsid w:val="00C054DF"/>
    <w:rsid w:val="00C15799"/>
    <w:rsid w:val="00C21762"/>
    <w:rsid w:val="00C21FEF"/>
    <w:rsid w:val="00C23BA4"/>
    <w:rsid w:val="00C24543"/>
    <w:rsid w:val="00C256A2"/>
    <w:rsid w:val="00C25ADB"/>
    <w:rsid w:val="00C26DA0"/>
    <w:rsid w:val="00C3342E"/>
    <w:rsid w:val="00C4437A"/>
    <w:rsid w:val="00C51515"/>
    <w:rsid w:val="00C5660B"/>
    <w:rsid w:val="00C62D65"/>
    <w:rsid w:val="00C66B72"/>
    <w:rsid w:val="00C87AC4"/>
    <w:rsid w:val="00C9567A"/>
    <w:rsid w:val="00CA602F"/>
    <w:rsid w:val="00CB212D"/>
    <w:rsid w:val="00CB2660"/>
    <w:rsid w:val="00CB59B8"/>
    <w:rsid w:val="00CC5E90"/>
    <w:rsid w:val="00CD046C"/>
    <w:rsid w:val="00CE076C"/>
    <w:rsid w:val="00CE5199"/>
    <w:rsid w:val="00CE66D5"/>
    <w:rsid w:val="00CF51A7"/>
    <w:rsid w:val="00CF637A"/>
    <w:rsid w:val="00D059DE"/>
    <w:rsid w:val="00D05ABD"/>
    <w:rsid w:val="00D13FCE"/>
    <w:rsid w:val="00D306D1"/>
    <w:rsid w:val="00D30800"/>
    <w:rsid w:val="00D34786"/>
    <w:rsid w:val="00D36223"/>
    <w:rsid w:val="00D37BFC"/>
    <w:rsid w:val="00D47A8E"/>
    <w:rsid w:val="00D52D14"/>
    <w:rsid w:val="00D60ACC"/>
    <w:rsid w:val="00D712D3"/>
    <w:rsid w:val="00D71422"/>
    <w:rsid w:val="00D72DC6"/>
    <w:rsid w:val="00D73EF6"/>
    <w:rsid w:val="00D7558D"/>
    <w:rsid w:val="00D800F2"/>
    <w:rsid w:val="00D81D92"/>
    <w:rsid w:val="00D83E15"/>
    <w:rsid w:val="00D876F9"/>
    <w:rsid w:val="00D931D1"/>
    <w:rsid w:val="00DA7B5F"/>
    <w:rsid w:val="00DC11E7"/>
    <w:rsid w:val="00DC24E3"/>
    <w:rsid w:val="00DC7023"/>
    <w:rsid w:val="00DC70DE"/>
    <w:rsid w:val="00DC769A"/>
    <w:rsid w:val="00DD3D86"/>
    <w:rsid w:val="00DD4AD2"/>
    <w:rsid w:val="00DD69FD"/>
    <w:rsid w:val="00DF1EC4"/>
    <w:rsid w:val="00E0340B"/>
    <w:rsid w:val="00E04A90"/>
    <w:rsid w:val="00E0551F"/>
    <w:rsid w:val="00E06AC5"/>
    <w:rsid w:val="00E10125"/>
    <w:rsid w:val="00E219C7"/>
    <w:rsid w:val="00E23AE1"/>
    <w:rsid w:val="00E4118C"/>
    <w:rsid w:val="00E43157"/>
    <w:rsid w:val="00E43E8B"/>
    <w:rsid w:val="00E461CE"/>
    <w:rsid w:val="00E573E4"/>
    <w:rsid w:val="00E64C3D"/>
    <w:rsid w:val="00E704E9"/>
    <w:rsid w:val="00E720CA"/>
    <w:rsid w:val="00E84EB5"/>
    <w:rsid w:val="00E85662"/>
    <w:rsid w:val="00E8789F"/>
    <w:rsid w:val="00E97B71"/>
    <w:rsid w:val="00EA3D34"/>
    <w:rsid w:val="00EB18F6"/>
    <w:rsid w:val="00EB454D"/>
    <w:rsid w:val="00ED4529"/>
    <w:rsid w:val="00ED549D"/>
    <w:rsid w:val="00ED76BE"/>
    <w:rsid w:val="00EE00E9"/>
    <w:rsid w:val="00EE7C39"/>
    <w:rsid w:val="00EF1AAA"/>
    <w:rsid w:val="00EF619B"/>
    <w:rsid w:val="00F00B55"/>
    <w:rsid w:val="00F02AD1"/>
    <w:rsid w:val="00F13228"/>
    <w:rsid w:val="00F15A1F"/>
    <w:rsid w:val="00F21761"/>
    <w:rsid w:val="00F253CC"/>
    <w:rsid w:val="00F35648"/>
    <w:rsid w:val="00F37106"/>
    <w:rsid w:val="00F42B28"/>
    <w:rsid w:val="00F44E25"/>
    <w:rsid w:val="00F519CF"/>
    <w:rsid w:val="00F56BA5"/>
    <w:rsid w:val="00F60E22"/>
    <w:rsid w:val="00F65BBC"/>
    <w:rsid w:val="00F73722"/>
    <w:rsid w:val="00F81395"/>
    <w:rsid w:val="00F81BB8"/>
    <w:rsid w:val="00F90C64"/>
    <w:rsid w:val="00F917D1"/>
    <w:rsid w:val="00F9653B"/>
    <w:rsid w:val="00FB3760"/>
    <w:rsid w:val="00FB62CF"/>
    <w:rsid w:val="00FD3C3B"/>
    <w:rsid w:val="00FE07DD"/>
    <w:rsid w:val="00FE146F"/>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97745C"/>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Revision">
    <w:name w:val="Revision"/>
    <w:hidden/>
    <w:uiPriority w:val="99"/>
    <w:semiHidden/>
    <w:rsid w:val="00286B9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EndnoteReference">
    <w:name w:val="endnote reference"/>
    <w:basedOn w:val="DefaultParagraphFont"/>
    <w:uiPriority w:val="99"/>
    <w:semiHidden/>
    <w:unhideWhenUsed/>
    <w:rsid w:val="0054579D"/>
    <w:rPr>
      <w:vertAlign w:val="superscript"/>
    </w:rPr>
  </w:style>
  <w:style w:type="paragraph" w:customStyle="1" w:styleId="paragraph">
    <w:name w:val="paragraph"/>
    <w:basedOn w:val="Normal"/>
    <w:rsid w:val="007C406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7C406F"/>
  </w:style>
  <w:style w:type="character" w:customStyle="1" w:styleId="eop">
    <w:name w:val="eop"/>
    <w:basedOn w:val="DefaultParagraphFont"/>
    <w:rsid w:val="007C4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710E"/>
    <w:rsid w:val="001970DD"/>
    <w:rsid w:val="00200821"/>
    <w:rsid w:val="0025245B"/>
    <w:rsid w:val="002A2616"/>
    <w:rsid w:val="002A3923"/>
    <w:rsid w:val="00394049"/>
    <w:rsid w:val="0043640D"/>
    <w:rsid w:val="004B5BBB"/>
    <w:rsid w:val="004F2DF8"/>
    <w:rsid w:val="005C4D8F"/>
    <w:rsid w:val="006542C0"/>
    <w:rsid w:val="006F24A1"/>
    <w:rsid w:val="009611C2"/>
    <w:rsid w:val="00966E9D"/>
    <w:rsid w:val="009A261B"/>
    <w:rsid w:val="009C675B"/>
    <w:rsid w:val="00A22C01"/>
    <w:rsid w:val="00AA2E17"/>
    <w:rsid w:val="00AA4BC3"/>
    <w:rsid w:val="00AC15A4"/>
    <w:rsid w:val="00B0336C"/>
    <w:rsid w:val="00B83582"/>
    <w:rsid w:val="00B856A7"/>
    <w:rsid w:val="00BC4B66"/>
    <w:rsid w:val="00CB664F"/>
    <w:rsid w:val="00CE3804"/>
    <w:rsid w:val="00D164F9"/>
    <w:rsid w:val="00D241E9"/>
    <w:rsid w:val="00D7750D"/>
    <w:rsid w:val="00D934B5"/>
    <w:rsid w:val="00F00D2F"/>
    <w:rsid w:val="00F128DF"/>
    <w:rsid w:val="00FE062A"/>
    <w:rsid w:val="00FE5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2711</Words>
  <Characters>15453</Characters>
  <Application>Microsoft Office Word</Application>
  <DocSecurity>0</DocSecurity>
  <Lines>128</Lines>
  <Paragraphs>36</Paragraphs>
  <ScaleCrop>false</ScaleCrop>
  <Company/>
  <LinksUpToDate>false</LinksUpToDate>
  <CharactersWithSpaces>18128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2023-03-16T14:59:00Z</dcterms:created>
  <dcterms:modified xsi:type="dcterms:W3CDTF">2023-03-16T14:59:00Z</dcterms:modified>
</cp:coreProperties>
</file>