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71EF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D28C3C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0CA6">
                              <w:rPr>
                                <w:rFonts w:asciiTheme="majorHAnsi" w:hAnsiTheme="majorHAnsi" w:cs="Arial"/>
                                <w:b/>
                                <w:bCs/>
                                <w:color w:val="0D0D0D" w:themeColor="text1" w:themeTint="F2"/>
                                <w:sz w:val="36"/>
                                <w:szCs w:val="22"/>
                                <w:lang w:val="es-ES_tradnl"/>
                              </w:rPr>
                              <w:t>345</w:t>
                            </w:r>
                            <w:r w:rsidR="007B05C4">
                              <w:rPr>
                                <w:rFonts w:asciiTheme="majorHAnsi" w:hAnsiTheme="majorHAnsi" w:cs="Arial"/>
                                <w:b/>
                                <w:bCs/>
                                <w:color w:val="0D0D0D" w:themeColor="text1" w:themeTint="F2"/>
                                <w:sz w:val="36"/>
                                <w:szCs w:val="22"/>
                                <w:lang w:val="es-ES_tradnl"/>
                              </w:rPr>
                              <w:t>/</w:t>
                            </w:r>
                            <w:r w:rsidR="00A56BC6">
                              <w:rPr>
                                <w:rFonts w:asciiTheme="majorHAnsi" w:hAnsiTheme="majorHAnsi" w:cs="Arial"/>
                                <w:b/>
                                <w:bCs/>
                                <w:color w:val="0D0D0D" w:themeColor="text1" w:themeTint="F2"/>
                                <w:sz w:val="36"/>
                                <w:szCs w:val="22"/>
                                <w:lang w:val="es-ES_tradnl"/>
                              </w:rPr>
                              <w:t>22</w:t>
                            </w:r>
                          </w:p>
                          <w:p w14:paraId="45F30ECA" w14:textId="752CD9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0F3D">
                              <w:rPr>
                                <w:rFonts w:asciiTheme="majorHAnsi" w:hAnsiTheme="majorHAnsi" w:cs="Arial"/>
                                <w:b/>
                                <w:color w:val="0D0D0D" w:themeColor="text1" w:themeTint="F2"/>
                                <w:sz w:val="36"/>
                                <w:szCs w:val="22"/>
                                <w:lang w:val="es-ES_tradnl"/>
                              </w:rPr>
                              <w:t>562</w:t>
                            </w:r>
                            <w:r w:rsidR="00246D1F" w:rsidRPr="004E2649">
                              <w:rPr>
                                <w:rFonts w:asciiTheme="majorHAnsi" w:hAnsiTheme="majorHAnsi" w:cs="Arial"/>
                                <w:b/>
                                <w:color w:val="0D0D0D" w:themeColor="text1" w:themeTint="F2"/>
                                <w:sz w:val="36"/>
                                <w:szCs w:val="22"/>
                                <w:lang w:val="es-ES_tradnl"/>
                              </w:rPr>
                              <w:t>-</w:t>
                            </w:r>
                            <w:r w:rsidR="006C0F3D">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7FF45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E266803" w:rsidR="005B52B0" w:rsidRPr="0010736F" w:rsidRDefault="006C0F3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ELSA CÁCERES DE DIJKHUIZEN Y CORNELIS DIJKHUIZEN</w:t>
                            </w:r>
                          </w:p>
                          <w:bookmarkEnd w:id="0"/>
                          <w:p w14:paraId="0B9F7D22" w14:textId="5D9C824E"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6C0F3D">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D28C3C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0CA6">
                        <w:rPr>
                          <w:rFonts w:asciiTheme="majorHAnsi" w:hAnsiTheme="majorHAnsi" w:cs="Arial"/>
                          <w:b/>
                          <w:bCs/>
                          <w:color w:val="0D0D0D" w:themeColor="text1" w:themeTint="F2"/>
                          <w:sz w:val="36"/>
                          <w:szCs w:val="22"/>
                          <w:lang w:val="es-ES_tradnl"/>
                        </w:rPr>
                        <w:t>345</w:t>
                      </w:r>
                      <w:r w:rsidR="007B05C4">
                        <w:rPr>
                          <w:rFonts w:asciiTheme="majorHAnsi" w:hAnsiTheme="majorHAnsi" w:cs="Arial"/>
                          <w:b/>
                          <w:bCs/>
                          <w:color w:val="0D0D0D" w:themeColor="text1" w:themeTint="F2"/>
                          <w:sz w:val="36"/>
                          <w:szCs w:val="22"/>
                          <w:lang w:val="es-ES_tradnl"/>
                        </w:rPr>
                        <w:t>/</w:t>
                      </w:r>
                      <w:r w:rsidR="00A56BC6">
                        <w:rPr>
                          <w:rFonts w:asciiTheme="majorHAnsi" w:hAnsiTheme="majorHAnsi" w:cs="Arial"/>
                          <w:b/>
                          <w:bCs/>
                          <w:color w:val="0D0D0D" w:themeColor="text1" w:themeTint="F2"/>
                          <w:sz w:val="36"/>
                          <w:szCs w:val="22"/>
                          <w:lang w:val="es-ES_tradnl"/>
                        </w:rPr>
                        <w:t>22</w:t>
                      </w:r>
                    </w:p>
                    <w:p w14:paraId="45F30ECA" w14:textId="752CD9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0F3D">
                        <w:rPr>
                          <w:rFonts w:asciiTheme="majorHAnsi" w:hAnsiTheme="majorHAnsi" w:cs="Arial"/>
                          <w:b/>
                          <w:color w:val="0D0D0D" w:themeColor="text1" w:themeTint="F2"/>
                          <w:sz w:val="36"/>
                          <w:szCs w:val="22"/>
                          <w:lang w:val="es-ES_tradnl"/>
                        </w:rPr>
                        <w:t>562</w:t>
                      </w:r>
                      <w:r w:rsidR="00246D1F" w:rsidRPr="004E2649">
                        <w:rPr>
                          <w:rFonts w:asciiTheme="majorHAnsi" w:hAnsiTheme="majorHAnsi" w:cs="Arial"/>
                          <w:b/>
                          <w:color w:val="0D0D0D" w:themeColor="text1" w:themeTint="F2"/>
                          <w:sz w:val="36"/>
                          <w:szCs w:val="22"/>
                          <w:lang w:val="es-ES_tradnl"/>
                        </w:rPr>
                        <w:t>-</w:t>
                      </w:r>
                      <w:r w:rsidR="006C0F3D">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7FF45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E266803" w:rsidR="005B52B0" w:rsidRPr="0010736F" w:rsidRDefault="006C0F3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ELSA CÁCERES DE DIJKHUIZEN Y CORNELIS DIJKHUIZEN</w:t>
                      </w:r>
                    </w:p>
                    <w:bookmarkEnd w:id="1"/>
                    <w:p w14:paraId="0B9F7D22" w14:textId="5D9C824E"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6C0F3D">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FEBFF22" w:rsidR="00627C9F" w:rsidRPr="00DE03BD" w:rsidRDefault="00834D49" w:rsidP="007A5817">
                            <w:pPr>
                              <w:spacing w:line="276" w:lineRule="auto"/>
                              <w:jc w:val="right"/>
                              <w:rPr>
                                <w:rFonts w:asciiTheme="minorHAnsi" w:hAnsiTheme="minorHAnsi"/>
                                <w:color w:val="FFFFFF" w:themeColor="background1"/>
                                <w:sz w:val="22"/>
                                <w:lang w:val="es-AR"/>
                              </w:rPr>
                            </w:pPr>
                            <w:r w:rsidRPr="00DE03BD">
                              <w:rPr>
                                <w:rFonts w:asciiTheme="minorHAnsi" w:hAnsiTheme="minorHAnsi"/>
                                <w:color w:val="FFFFFF" w:themeColor="background1"/>
                                <w:sz w:val="22"/>
                                <w:lang w:val="es-AR"/>
                              </w:rPr>
                              <w:t>OEA/Ser.L/V/II</w:t>
                            </w:r>
                          </w:p>
                          <w:p w14:paraId="71D2D5D2" w14:textId="21955F96" w:rsidR="00627C9F" w:rsidRPr="00DE03BD" w:rsidRDefault="00627C9F" w:rsidP="007A5817">
                            <w:pPr>
                              <w:spacing w:line="276" w:lineRule="auto"/>
                              <w:jc w:val="right"/>
                              <w:rPr>
                                <w:rFonts w:asciiTheme="minorHAnsi" w:hAnsiTheme="minorHAnsi"/>
                                <w:color w:val="FFFFFF" w:themeColor="background1"/>
                                <w:sz w:val="22"/>
                                <w:lang w:val="es-AR"/>
                              </w:rPr>
                            </w:pPr>
                            <w:r w:rsidRPr="00DE03BD">
                              <w:rPr>
                                <w:rFonts w:asciiTheme="minorHAnsi" w:hAnsiTheme="minorHAnsi"/>
                                <w:color w:val="FFFFFF" w:themeColor="background1"/>
                                <w:sz w:val="22"/>
                                <w:lang w:val="es-AR"/>
                              </w:rPr>
                              <w:t xml:space="preserve">Doc. </w:t>
                            </w:r>
                            <w:r w:rsidR="00D27707" w:rsidRPr="00DE03BD">
                              <w:rPr>
                                <w:rFonts w:asciiTheme="minorHAnsi" w:hAnsiTheme="minorHAnsi"/>
                                <w:color w:val="FFFFFF" w:themeColor="background1"/>
                                <w:sz w:val="22"/>
                                <w:lang w:val="es-AR"/>
                              </w:rPr>
                              <w:t>352</w:t>
                            </w:r>
                          </w:p>
                          <w:p w14:paraId="4061DBBD" w14:textId="447F550F" w:rsidR="00627C9F" w:rsidRPr="00C25ADB" w:rsidRDefault="00D2770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C0F3D">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FEBFF22" w:rsidR="00627C9F" w:rsidRPr="00DE03BD" w:rsidRDefault="00834D49" w:rsidP="007A5817">
                      <w:pPr>
                        <w:spacing w:line="276" w:lineRule="auto"/>
                        <w:jc w:val="right"/>
                        <w:rPr>
                          <w:rFonts w:asciiTheme="minorHAnsi" w:hAnsiTheme="minorHAnsi"/>
                          <w:color w:val="FFFFFF" w:themeColor="background1"/>
                          <w:sz w:val="22"/>
                          <w:lang w:val="es-AR"/>
                        </w:rPr>
                      </w:pPr>
                      <w:r w:rsidRPr="00DE03BD">
                        <w:rPr>
                          <w:rFonts w:asciiTheme="minorHAnsi" w:hAnsiTheme="minorHAnsi"/>
                          <w:color w:val="FFFFFF" w:themeColor="background1"/>
                          <w:sz w:val="22"/>
                          <w:lang w:val="es-AR"/>
                        </w:rPr>
                        <w:t>OEA/Ser.L/V/II</w:t>
                      </w:r>
                    </w:p>
                    <w:p w14:paraId="71D2D5D2" w14:textId="21955F96" w:rsidR="00627C9F" w:rsidRPr="00DE03BD" w:rsidRDefault="00627C9F" w:rsidP="007A5817">
                      <w:pPr>
                        <w:spacing w:line="276" w:lineRule="auto"/>
                        <w:jc w:val="right"/>
                        <w:rPr>
                          <w:rFonts w:asciiTheme="minorHAnsi" w:hAnsiTheme="minorHAnsi"/>
                          <w:color w:val="FFFFFF" w:themeColor="background1"/>
                          <w:sz w:val="22"/>
                          <w:lang w:val="es-AR"/>
                        </w:rPr>
                      </w:pPr>
                      <w:r w:rsidRPr="00DE03BD">
                        <w:rPr>
                          <w:rFonts w:asciiTheme="minorHAnsi" w:hAnsiTheme="minorHAnsi"/>
                          <w:color w:val="FFFFFF" w:themeColor="background1"/>
                          <w:sz w:val="22"/>
                          <w:lang w:val="es-AR"/>
                        </w:rPr>
                        <w:t xml:space="preserve">Doc. </w:t>
                      </w:r>
                      <w:r w:rsidR="00D27707" w:rsidRPr="00DE03BD">
                        <w:rPr>
                          <w:rFonts w:asciiTheme="minorHAnsi" w:hAnsiTheme="minorHAnsi"/>
                          <w:color w:val="FFFFFF" w:themeColor="background1"/>
                          <w:sz w:val="22"/>
                          <w:lang w:val="es-AR"/>
                        </w:rPr>
                        <w:t>352</w:t>
                      </w:r>
                    </w:p>
                    <w:p w14:paraId="4061DBBD" w14:textId="447F550F" w:rsidR="00627C9F" w:rsidRPr="00C25ADB" w:rsidRDefault="00D2770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C0F3D">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27261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27707">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D27707">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5704C">
                              <w:rPr>
                                <w:rFonts w:asciiTheme="majorHAnsi" w:hAnsiTheme="majorHAnsi"/>
                                <w:color w:val="0D0D0D" w:themeColor="text1" w:themeTint="F2"/>
                                <w:sz w:val="18"/>
                                <w:szCs w:val="22"/>
                                <w:lang w:val="es-ES"/>
                              </w:rPr>
                              <w:t>2</w:t>
                            </w:r>
                            <w:r w:rsidR="00D2770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27261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27707">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D27707">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5704C">
                        <w:rPr>
                          <w:rFonts w:asciiTheme="majorHAnsi" w:hAnsiTheme="majorHAnsi"/>
                          <w:color w:val="0D0D0D" w:themeColor="text1" w:themeTint="F2"/>
                          <w:sz w:val="18"/>
                          <w:szCs w:val="22"/>
                          <w:lang w:val="es-ES"/>
                        </w:rPr>
                        <w:t>2</w:t>
                      </w:r>
                      <w:r w:rsidR="00D2770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F5AA80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27707" w:rsidRPr="00D27707">
                              <w:rPr>
                                <w:rFonts w:asciiTheme="majorHAnsi" w:hAnsiTheme="majorHAnsi"/>
                                <w:color w:val="595959" w:themeColor="text1" w:themeTint="A6"/>
                                <w:sz w:val="18"/>
                                <w:szCs w:val="18"/>
                                <w:lang w:val="pt-BR"/>
                              </w:rPr>
                              <w:t>345</w:t>
                            </w:r>
                            <w:r w:rsidR="007B05C4" w:rsidRPr="00D27707">
                              <w:rPr>
                                <w:rFonts w:asciiTheme="majorHAnsi" w:hAnsiTheme="majorHAnsi"/>
                                <w:color w:val="595959" w:themeColor="text1" w:themeTint="A6"/>
                                <w:sz w:val="18"/>
                                <w:szCs w:val="18"/>
                                <w:lang w:val="pt-BR"/>
                              </w:rPr>
                              <w:t>/</w:t>
                            </w:r>
                            <w:r w:rsidR="00D27707" w:rsidRPr="00D27707">
                              <w:rPr>
                                <w:rFonts w:asciiTheme="majorHAnsi" w:hAnsiTheme="majorHAnsi"/>
                                <w:color w:val="595959" w:themeColor="text1" w:themeTint="A6"/>
                                <w:sz w:val="18"/>
                                <w:szCs w:val="18"/>
                                <w:lang w:val="pt-BR"/>
                              </w:rPr>
                              <w:t>22</w:t>
                            </w:r>
                            <w:r w:rsidRPr="00D2770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C0F3D">
                              <w:rPr>
                                <w:rFonts w:asciiTheme="majorHAnsi" w:hAnsiTheme="majorHAnsi"/>
                                <w:color w:val="595959" w:themeColor="text1" w:themeTint="A6"/>
                                <w:sz w:val="18"/>
                                <w:szCs w:val="18"/>
                                <w:lang w:val="es-ES"/>
                              </w:rPr>
                              <w:t>562</w:t>
                            </w:r>
                            <w:r w:rsidR="000433C9">
                              <w:rPr>
                                <w:rFonts w:asciiTheme="majorHAnsi" w:hAnsiTheme="majorHAnsi"/>
                                <w:color w:val="595959" w:themeColor="text1" w:themeTint="A6"/>
                                <w:sz w:val="18"/>
                                <w:szCs w:val="18"/>
                                <w:lang w:val="es-ES"/>
                              </w:rPr>
                              <w:t>-</w:t>
                            </w:r>
                            <w:r w:rsidR="006C0F3D">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2173C">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6C0F3D">
                              <w:rPr>
                                <w:rFonts w:asciiTheme="majorHAnsi" w:hAnsiTheme="majorHAnsi"/>
                                <w:color w:val="595959" w:themeColor="text1" w:themeTint="A6"/>
                                <w:sz w:val="18"/>
                                <w:szCs w:val="18"/>
                                <w:lang w:val="es-ES_tradnl"/>
                              </w:rPr>
                              <w:t>Elsa Cáceres De Dijkhuizen y Cornelis Dijkhuizen</w:t>
                            </w:r>
                            <w:r w:rsidRPr="00890650">
                              <w:rPr>
                                <w:rFonts w:asciiTheme="majorHAnsi" w:hAnsiTheme="majorHAnsi"/>
                                <w:color w:val="595959" w:themeColor="text1" w:themeTint="A6"/>
                                <w:sz w:val="18"/>
                                <w:szCs w:val="18"/>
                                <w:lang w:val="es-ES_tradnl"/>
                              </w:rPr>
                              <w:t xml:space="preserve">. </w:t>
                            </w:r>
                            <w:r w:rsidR="006C0F3D">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804201">
                              <w:rPr>
                                <w:rFonts w:asciiTheme="majorHAnsi" w:hAnsiTheme="majorHAnsi"/>
                                <w:color w:val="595959" w:themeColor="text1" w:themeTint="A6"/>
                                <w:sz w:val="18"/>
                                <w:szCs w:val="18"/>
                                <w:lang w:val="es-ES"/>
                              </w:rPr>
                              <w:t>21 de octubre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F5AA80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27707" w:rsidRPr="00D27707">
                        <w:rPr>
                          <w:rFonts w:asciiTheme="majorHAnsi" w:hAnsiTheme="majorHAnsi"/>
                          <w:color w:val="595959" w:themeColor="text1" w:themeTint="A6"/>
                          <w:sz w:val="18"/>
                          <w:szCs w:val="18"/>
                          <w:lang w:val="pt-BR"/>
                        </w:rPr>
                        <w:t>345</w:t>
                      </w:r>
                      <w:r w:rsidR="007B05C4" w:rsidRPr="00D27707">
                        <w:rPr>
                          <w:rFonts w:asciiTheme="majorHAnsi" w:hAnsiTheme="majorHAnsi"/>
                          <w:color w:val="595959" w:themeColor="text1" w:themeTint="A6"/>
                          <w:sz w:val="18"/>
                          <w:szCs w:val="18"/>
                          <w:lang w:val="pt-BR"/>
                        </w:rPr>
                        <w:t>/</w:t>
                      </w:r>
                      <w:r w:rsidR="00D27707" w:rsidRPr="00D27707">
                        <w:rPr>
                          <w:rFonts w:asciiTheme="majorHAnsi" w:hAnsiTheme="majorHAnsi"/>
                          <w:color w:val="595959" w:themeColor="text1" w:themeTint="A6"/>
                          <w:sz w:val="18"/>
                          <w:szCs w:val="18"/>
                          <w:lang w:val="pt-BR"/>
                        </w:rPr>
                        <w:t>22</w:t>
                      </w:r>
                      <w:r w:rsidRPr="00D2770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C0F3D">
                        <w:rPr>
                          <w:rFonts w:asciiTheme="majorHAnsi" w:hAnsiTheme="majorHAnsi"/>
                          <w:color w:val="595959" w:themeColor="text1" w:themeTint="A6"/>
                          <w:sz w:val="18"/>
                          <w:szCs w:val="18"/>
                          <w:lang w:val="es-ES"/>
                        </w:rPr>
                        <w:t>562</w:t>
                      </w:r>
                      <w:r w:rsidR="000433C9">
                        <w:rPr>
                          <w:rFonts w:asciiTheme="majorHAnsi" w:hAnsiTheme="majorHAnsi"/>
                          <w:color w:val="595959" w:themeColor="text1" w:themeTint="A6"/>
                          <w:sz w:val="18"/>
                          <w:szCs w:val="18"/>
                          <w:lang w:val="es-ES"/>
                        </w:rPr>
                        <w:t>-</w:t>
                      </w:r>
                      <w:r w:rsidR="006C0F3D">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2173C">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6C0F3D">
                        <w:rPr>
                          <w:rFonts w:asciiTheme="majorHAnsi" w:hAnsiTheme="majorHAnsi"/>
                          <w:color w:val="595959" w:themeColor="text1" w:themeTint="A6"/>
                          <w:sz w:val="18"/>
                          <w:szCs w:val="18"/>
                          <w:lang w:val="es-ES_tradnl"/>
                        </w:rPr>
                        <w:t>Elsa Cáceres De Dijkhuizen y Cornelis Dijkhuizen</w:t>
                      </w:r>
                      <w:r w:rsidRPr="00890650">
                        <w:rPr>
                          <w:rFonts w:asciiTheme="majorHAnsi" w:hAnsiTheme="majorHAnsi"/>
                          <w:color w:val="595959" w:themeColor="text1" w:themeTint="A6"/>
                          <w:sz w:val="18"/>
                          <w:szCs w:val="18"/>
                          <w:lang w:val="es-ES_tradnl"/>
                        </w:rPr>
                        <w:t xml:space="preserve">. </w:t>
                      </w:r>
                      <w:r w:rsidR="006C0F3D">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804201">
                        <w:rPr>
                          <w:rFonts w:asciiTheme="majorHAnsi" w:hAnsiTheme="majorHAnsi"/>
                          <w:color w:val="595959" w:themeColor="text1" w:themeTint="A6"/>
                          <w:sz w:val="18"/>
                          <w:szCs w:val="18"/>
                          <w:lang w:val="es-ES"/>
                        </w:rPr>
                        <w:t>21 de octubre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55540F0" w:rsidR="003239B8" w:rsidRPr="000D05CB" w:rsidRDefault="0085704C" w:rsidP="008D2290">
            <w:pPr>
              <w:jc w:val="both"/>
              <w:rPr>
                <w:rFonts w:ascii="Cambria" w:hAnsi="Cambria"/>
                <w:bCs/>
                <w:sz w:val="20"/>
                <w:szCs w:val="20"/>
              </w:rPr>
            </w:pPr>
            <w:r>
              <w:rPr>
                <w:rFonts w:ascii="Cambria" w:hAnsi="Cambria"/>
                <w:bCs/>
                <w:sz w:val="20"/>
                <w:szCs w:val="20"/>
              </w:rPr>
              <w:t>Juan Alberto Elías Valdivia</w:t>
            </w:r>
          </w:p>
        </w:tc>
      </w:tr>
      <w:tr w:rsidR="003239B8" w:rsidRPr="00DE03BD"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12425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2E751054" w:rsidR="003239B8" w:rsidRPr="000D05CB" w:rsidRDefault="006C0F3D" w:rsidP="008D2290">
            <w:pPr>
              <w:jc w:val="both"/>
              <w:rPr>
                <w:rFonts w:ascii="Cambria" w:hAnsi="Cambria"/>
                <w:bCs/>
                <w:sz w:val="20"/>
                <w:szCs w:val="20"/>
                <w:lang w:val="es-ES"/>
              </w:rPr>
            </w:pPr>
            <w:r w:rsidRPr="006C0F3D">
              <w:rPr>
                <w:rFonts w:ascii="Cambria" w:hAnsi="Cambria"/>
                <w:bCs/>
                <w:sz w:val="20"/>
                <w:szCs w:val="20"/>
                <w:lang w:val="es-ES_tradnl"/>
              </w:rPr>
              <w:t xml:space="preserve">Elsa Cáceres </w:t>
            </w:r>
            <w:r w:rsidR="002A4887">
              <w:rPr>
                <w:rFonts w:ascii="Cambria" w:hAnsi="Cambria"/>
                <w:bCs/>
                <w:sz w:val="20"/>
                <w:szCs w:val="20"/>
                <w:lang w:val="es-ES_tradnl"/>
              </w:rPr>
              <w:t>d</w:t>
            </w:r>
            <w:r w:rsidRPr="006C0F3D">
              <w:rPr>
                <w:rFonts w:ascii="Cambria" w:hAnsi="Cambria"/>
                <w:bCs/>
                <w:sz w:val="20"/>
                <w:szCs w:val="20"/>
                <w:lang w:val="es-ES_tradnl"/>
              </w:rPr>
              <w:t>e Dijkhuizen y Cornelis Dijkhuizen</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2DA0AA19" w:rsidR="003239B8" w:rsidRPr="000D05CB" w:rsidRDefault="00382AC6"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DE03B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59854AC" w:rsidR="00223A29" w:rsidRPr="0085704C" w:rsidRDefault="002A4887" w:rsidP="008D2290">
            <w:pPr>
              <w:jc w:val="both"/>
              <w:rPr>
                <w:rFonts w:ascii="Cambria" w:hAnsi="Cambria"/>
                <w:bCs/>
                <w:sz w:val="20"/>
                <w:szCs w:val="20"/>
                <w:lang w:val="es-ES"/>
              </w:rPr>
            </w:pPr>
            <w:r>
              <w:rPr>
                <w:rFonts w:ascii="Cambria" w:hAnsi="Cambria"/>
                <w:bCs/>
                <w:sz w:val="20"/>
                <w:szCs w:val="20"/>
                <w:lang w:val="es-ES"/>
              </w:rPr>
              <w:t xml:space="preserve">Artículos 8 (garantías judiciales), 11 (protección de la honra y de la dignidad), 21 (propiedad privada), 22 (derecho de circulación y residencia) y 25 (protección judicial) </w:t>
            </w:r>
            <w:r w:rsidR="0085704C" w:rsidRPr="00E17FA2">
              <w:rPr>
                <w:rFonts w:ascii="Cambria" w:hAnsi="Cambria"/>
                <w:bCs/>
                <w:sz w:val="20"/>
                <w:szCs w:val="20"/>
                <w:lang w:val="es-ES"/>
              </w:rPr>
              <w:t>de la Convención Americana sobre Derechos Humanos</w:t>
            </w:r>
            <w:r w:rsidR="0085704C">
              <w:rPr>
                <w:rStyle w:val="FootnoteReference"/>
                <w:rFonts w:ascii="Cambria" w:hAnsi="Cambria"/>
                <w:bCs/>
                <w:sz w:val="20"/>
                <w:szCs w:val="20"/>
                <w:lang w:val="es-ES"/>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7E5FC86D" w:rsidR="004C2312" w:rsidRPr="003239B8" w:rsidRDefault="00382AC6" w:rsidP="002625EA">
            <w:pPr>
              <w:jc w:val="both"/>
              <w:rPr>
                <w:rFonts w:ascii="Cambria" w:hAnsi="Cambria"/>
                <w:bCs/>
                <w:sz w:val="20"/>
                <w:szCs w:val="20"/>
                <w:lang w:val="es-ES"/>
              </w:rPr>
            </w:pPr>
            <w:r>
              <w:rPr>
                <w:rFonts w:ascii="Cambria" w:hAnsi="Cambria"/>
                <w:bCs/>
                <w:sz w:val="20"/>
                <w:szCs w:val="20"/>
                <w:lang w:val="es-ES"/>
              </w:rPr>
              <w:t>23 de abril de 2014</w:t>
            </w:r>
          </w:p>
        </w:tc>
      </w:tr>
      <w:tr w:rsidR="00131425" w:rsidRPr="00DE03BD"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D2334B" w:rsidRDefault="00131425" w:rsidP="004A6A54">
            <w:pPr>
              <w:jc w:val="center"/>
              <w:rPr>
                <w:rFonts w:ascii="Cambria" w:hAnsi="Cambria"/>
                <w:b/>
                <w:bCs/>
                <w:color w:val="FFFFFF" w:themeColor="background1"/>
                <w:sz w:val="20"/>
                <w:szCs w:val="20"/>
                <w:lang w:val="es-PE"/>
              </w:rPr>
            </w:pPr>
            <w:r w:rsidRPr="00D2334B">
              <w:rPr>
                <w:rFonts w:ascii="Cambria" w:hAnsi="Cambria"/>
                <w:b/>
                <w:bCs/>
                <w:color w:val="FFFFFF" w:themeColor="background1"/>
                <w:sz w:val="20"/>
                <w:szCs w:val="20"/>
                <w:lang w:val="es-PE"/>
              </w:rPr>
              <w:t>Información adicional recibida durante la etapa de estudio:</w:t>
            </w:r>
          </w:p>
        </w:tc>
        <w:tc>
          <w:tcPr>
            <w:tcW w:w="5647" w:type="dxa"/>
            <w:vAlign w:val="center"/>
          </w:tcPr>
          <w:p w14:paraId="65CBC29E" w14:textId="6BE3B6FA" w:rsidR="00131425" w:rsidRPr="00D2334B" w:rsidRDefault="00382AC6" w:rsidP="002625EA">
            <w:pPr>
              <w:jc w:val="both"/>
              <w:rPr>
                <w:rFonts w:ascii="Cambria" w:hAnsi="Cambria"/>
                <w:bCs/>
                <w:sz w:val="20"/>
                <w:szCs w:val="20"/>
                <w:lang w:val="es-PE"/>
              </w:rPr>
            </w:pPr>
            <w:r w:rsidRPr="00D2334B">
              <w:rPr>
                <w:rFonts w:ascii="Cambria" w:hAnsi="Cambria"/>
                <w:bCs/>
                <w:sz w:val="20"/>
                <w:szCs w:val="20"/>
                <w:lang w:val="es-PE"/>
              </w:rPr>
              <w:t>30 de noviembre de 2017</w:t>
            </w:r>
            <w:r w:rsidR="00C0368D" w:rsidRPr="00D2334B">
              <w:rPr>
                <w:rFonts w:ascii="Cambria" w:hAnsi="Cambria"/>
                <w:bCs/>
                <w:sz w:val="20"/>
                <w:szCs w:val="20"/>
                <w:lang w:val="es-PE"/>
              </w:rPr>
              <w:t xml:space="preserve"> y 12 de agosto de 2020</w:t>
            </w:r>
          </w:p>
        </w:tc>
      </w:tr>
      <w:tr w:rsidR="004C2312" w:rsidRPr="00D2334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D2334B" w:rsidRDefault="004A6A54" w:rsidP="004A6A54">
            <w:pPr>
              <w:jc w:val="center"/>
              <w:rPr>
                <w:rFonts w:ascii="Cambria" w:hAnsi="Cambria"/>
                <w:b/>
                <w:bCs/>
                <w:color w:val="FFFFFF" w:themeColor="background1"/>
                <w:sz w:val="20"/>
                <w:szCs w:val="20"/>
                <w:lang w:val="es-PE"/>
              </w:rPr>
            </w:pPr>
            <w:r w:rsidRPr="00D2334B">
              <w:rPr>
                <w:rFonts w:ascii="Cambria" w:hAnsi="Cambria"/>
                <w:b/>
                <w:color w:val="FFFFFF" w:themeColor="background1"/>
                <w:sz w:val="20"/>
                <w:szCs w:val="20"/>
                <w:lang w:val="es-PE"/>
              </w:rPr>
              <w:t>N</w:t>
            </w:r>
            <w:r w:rsidR="004C2312" w:rsidRPr="00D2334B">
              <w:rPr>
                <w:rFonts w:ascii="Cambria" w:hAnsi="Cambria"/>
                <w:b/>
                <w:color w:val="FFFFFF" w:themeColor="background1"/>
                <w:sz w:val="20"/>
                <w:szCs w:val="20"/>
                <w:lang w:val="es-PE"/>
              </w:rPr>
              <w:t>otificación de la petición al Estado:</w:t>
            </w:r>
          </w:p>
        </w:tc>
        <w:tc>
          <w:tcPr>
            <w:tcW w:w="5647" w:type="dxa"/>
            <w:vAlign w:val="center"/>
          </w:tcPr>
          <w:p w14:paraId="58485921" w14:textId="26CB301E" w:rsidR="004C2312" w:rsidRPr="00D2334B" w:rsidRDefault="00C0368D" w:rsidP="008D2290">
            <w:pPr>
              <w:jc w:val="both"/>
              <w:rPr>
                <w:rFonts w:ascii="Cambria" w:hAnsi="Cambria"/>
                <w:bCs/>
                <w:sz w:val="20"/>
                <w:szCs w:val="20"/>
                <w:lang w:val="es-PE"/>
              </w:rPr>
            </w:pPr>
            <w:r w:rsidRPr="00D2334B">
              <w:rPr>
                <w:rFonts w:ascii="Cambria" w:hAnsi="Cambria"/>
                <w:bCs/>
                <w:sz w:val="20"/>
                <w:szCs w:val="20"/>
                <w:lang w:val="es-PE"/>
              </w:rPr>
              <w:t>26 de octubre de 2020</w:t>
            </w:r>
          </w:p>
        </w:tc>
      </w:tr>
      <w:tr w:rsidR="004C2312" w:rsidRPr="00DE03BD"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D2334B" w:rsidRDefault="004A6A54" w:rsidP="004A6A54">
            <w:pPr>
              <w:jc w:val="center"/>
              <w:rPr>
                <w:rFonts w:ascii="Cambria" w:hAnsi="Cambria"/>
                <w:b/>
                <w:bCs/>
                <w:color w:val="FFFFFF" w:themeColor="background1"/>
                <w:sz w:val="20"/>
                <w:szCs w:val="20"/>
                <w:lang w:val="es-PE"/>
              </w:rPr>
            </w:pPr>
            <w:r w:rsidRPr="00D2334B">
              <w:rPr>
                <w:rFonts w:ascii="Cambria" w:hAnsi="Cambria"/>
                <w:b/>
                <w:color w:val="FFFFFF" w:themeColor="background1"/>
                <w:sz w:val="20"/>
                <w:szCs w:val="20"/>
                <w:lang w:val="es-PE"/>
              </w:rPr>
              <w:t>P</w:t>
            </w:r>
            <w:r w:rsidR="004C2312" w:rsidRPr="00D2334B">
              <w:rPr>
                <w:rFonts w:ascii="Cambria" w:hAnsi="Cambria"/>
                <w:b/>
                <w:color w:val="FFFFFF" w:themeColor="background1"/>
                <w:sz w:val="20"/>
                <w:szCs w:val="20"/>
                <w:lang w:val="es-PE"/>
              </w:rPr>
              <w:t>rimera respuesta del Estado:</w:t>
            </w:r>
          </w:p>
        </w:tc>
        <w:tc>
          <w:tcPr>
            <w:tcW w:w="5647" w:type="dxa"/>
            <w:vAlign w:val="center"/>
          </w:tcPr>
          <w:p w14:paraId="6B47064C" w14:textId="53D8BCD9" w:rsidR="004C2312" w:rsidRPr="00D2334B" w:rsidRDefault="00C0368D" w:rsidP="008D2290">
            <w:pPr>
              <w:jc w:val="both"/>
              <w:rPr>
                <w:rFonts w:ascii="Cambria" w:hAnsi="Cambria"/>
                <w:bCs/>
                <w:sz w:val="20"/>
                <w:szCs w:val="20"/>
                <w:lang w:val="es-PE"/>
              </w:rPr>
            </w:pPr>
            <w:r w:rsidRPr="00D2334B">
              <w:rPr>
                <w:rFonts w:ascii="Cambria" w:hAnsi="Cambria"/>
                <w:bCs/>
                <w:sz w:val="20"/>
                <w:szCs w:val="20"/>
                <w:lang w:val="es-PE"/>
              </w:rPr>
              <w:t>27 de enero de 2021 y 19 de mayo de 2021</w:t>
            </w:r>
          </w:p>
        </w:tc>
      </w:tr>
      <w:tr w:rsidR="001E49E7" w:rsidRPr="00D2334B"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D2334B" w:rsidRDefault="004A6A54" w:rsidP="00DD4AD2">
            <w:pPr>
              <w:jc w:val="center"/>
              <w:rPr>
                <w:rFonts w:ascii="Cambria" w:hAnsi="Cambria"/>
                <w:b/>
                <w:bCs/>
                <w:color w:val="FFFFFF" w:themeColor="background1"/>
                <w:sz w:val="20"/>
                <w:szCs w:val="20"/>
                <w:lang w:val="es-PE"/>
              </w:rPr>
            </w:pPr>
            <w:r w:rsidRPr="00D2334B">
              <w:rPr>
                <w:rFonts w:ascii="Cambria" w:hAnsi="Cambria"/>
                <w:b/>
                <w:bCs/>
                <w:color w:val="FFFFFF" w:themeColor="background1"/>
                <w:sz w:val="20"/>
                <w:szCs w:val="20"/>
                <w:lang w:val="es-PE"/>
              </w:rPr>
              <w:t>A</w:t>
            </w:r>
            <w:r w:rsidR="001E49E7" w:rsidRPr="00D2334B">
              <w:rPr>
                <w:rFonts w:ascii="Cambria" w:hAnsi="Cambria"/>
                <w:b/>
                <w:bCs/>
                <w:color w:val="FFFFFF" w:themeColor="background1"/>
                <w:sz w:val="20"/>
                <w:szCs w:val="20"/>
                <w:lang w:val="es-PE"/>
              </w:rPr>
              <w:t>dvertencia sobre posible archivo:</w:t>
            </w:r>
          </w:p>
        </w:tc>
        <w:tc>
          <w:tcPr>
            <w:tcW w:w="5647" w:type="dxa"/>
            <w:vAlign w:val="center"/>
          </w:tcPr>
          <w:p w14:paraId="48CA2CFB" w14:textId="22E6C455" w:rsidR="001E49E7" w:rsidRPr="00D2334B" w:rsidRDefault="00382AC6" w:rsidP="002625EA">
            <w:pPr>
              <w:jc w:val="both"/>
              <w:rPr>
                <w:rFonts w:ascii="Cambria" w:hAnsi="Cambria"/>
                <w:bCs/>
                <w:sz w:val="20"/>
                <w:szCs w:val="20"/>
                <w:lang w:val="es-PE"/>
              </w:rPr>
            </w:pPr>
            <w:r w:rsidRPr="00D2334B">
              <w:rPr>
                <w:rFonts w:ascii="Cambria" w:hAnsi="Cambria"/>
                <w:bCs/>
                <w:sz w:val="20"/>
                <w:szCs w:val="20"/>
                <w:lang w:val="es-PE"/>
              </w:rPr>
              <w:t xml:space="preserve">10 </w:t>
            </w:r>
            <w:r w:rsidR="00C0368D" w:rsidRPr="00D2334B">
              <w:rPr>
                <w:rFonts w:ascii="Cambria" w:hAnsi="Cambria"/>
                <w:bCs/>
                <w:sz w:val="20"/>
                <w:szCs w:val="20"/>
                <w:lang w:val="es-PE"/>
              </w:rPr>
              <w:t>de julio de 2020</w:t>
            </w:r>
          </w:p>
        </w:tc>
      </w:tr>
      <w:tr w:rsidR="001E49E7" w:rsidRPr="00D2334B"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D2334B" w:rsidRDefault="004A6A54" w:rsidP="004A6A54">
            <w:pPr>
              <w:jc w:val="center"/>
              <w:rPr>
                <w:rFonts w:ascii="Cambria" w:hAnsi="Cambria"/>
                <w:b/>
                <w:bCs/>
                <w:color w:val="FFFFFF" w:themeColor="background1"/>
                <w:sz w:val="20"/>
                <w:szCs w:val="20"/>
                <w:lang w:val="es-PE"/>
              </w:rPr>
            </w:pPr>
            <w:r w:rsidRPr="00D2334B">
              <w:rPr>
                <w:rFonts w:ascii="Cambria" w:hAnsi="Cambria"/>
                <w:b/>
                <w:bCs/>
                <w:color w:val="FFFFFF" w:themeColor="background1"/>
                <w:sz w:val="20"/>
                <w:szCs w:val="20"/>
                <w:lang w:val="es-PE"/>
              </w:rPr>
              <w:t>R</w:t>
            </w:r>
            <w:r w:rsidR="001E49E7" w:rsidRPr="00D2334B">
              <w:rPr>
                <w:rFonts w:ascii="Cambria" w:hAnsi="Cambria"/>
                <w:b/>
                <w:bCs/>
                <w:color w:val="FFFFFF" w:themeColor="background1"/>
                <w:sz w:val="20"/>
                <w:szCs w:val="20"/>
                <w:lang w:val="es-PE"/>
              </w:rPr>
              <w:t xml:space="preserve">espuesta de la parte peticionaria ante advertencia </w:t>
            </w:r>
            <w:r w:rsidR="00DD4AD2" w:rsidRPr="00D2334B">
              <w:rPr>
                <w:rFonts w:ascii="Cambria" w:hAnsi="Cambria"/>
                <w:b/>
                <w:bCs/>
                <w:color w:val="FFFFFF" w:themeColor="background1"/>
                <w:sz w:val="20"/>
                <w:szCs w:val="20"/>
                <w:lang w:val="es-PE"/>
              </w:rPr>
              <w:t xml:space="preserve">de </w:t>
            </w:r>
            <w:r w:rsidR="001E49E7" w:rsidRPr="00D2334B">
              <w:rPr>
                <w:rFonts w:ascii="Cambria" w:hAnsi="Cambria"/>
                <w:b/>
                <w:bCs/>
                <w:color w:val="FFFFFF" w:themeColor="background1"/>
                <w:sz w:val="20"/>
                <w:szCs w:val="20"/>
                <w:lang w:val="es-PE"/>
              </w:rPr>
              <w:t>posible archivo:</w:t>
            </w:r>
          </w:p>
        </w:tc>
        <w:tc>
          <w:tcPr>
            <w:tcW w:w="5647" w:type="dxa"/>
            <w:vAlign w:val="center"/>
          </w:tcPr>
          <w:p w14:paraId="6E85D194" w14:textId="502AA93E" w:rsidR="001E49E7" w:rsidRPr="00D2334B" w:rsidRDefault="00C0368D" w:rsidP="002625EA">
            <w:pPr>
              <w:jc w:val="both"/>
              <w:rPr>
                <w:rFonts w:ascii="Cambria" w:hAnsi="Cambria"/>
                <w:bCs/>
                <w:sz w:val="20"/>
                <w:szCs w:val="20"/>
                <w:lang w:val="es-PE"/>
              </w:rPr>
            </w:pPr>
            <w:r w:rsidRPr="00D2334B">
              <w:rPr>
                <w:rFonts w:ascii="Cambria" w:hAnsi="Cambria"/>
                <w:bCs/>
                <w:sz w:val="20"/>
                <w:szCs w:val="20"/>
                <w:lang w:val="es-PE"/>
              </w:rPr>
              <w:t>30 de julio de 2020</w:t>
            </w:r>
          </w:p>
        </w:tc>
      </w:tr>
    </w:tbl>
    <w:p w14:paraId="0FC6E9E8" w14:textId="77777777" w:rsidR="003239B8" w:rsidRPr="00D2334B" w:rsidRDefault="003239B8" w:rsidP="003239B8">
      <w:pPr>
        <w:spacing w:before="240" w:after="240"/>
        <w:ind w:firstLine="720"/>
        <w:jc w:val="both"/>
        <w:rPr>
          <w:rFonts w:asciiTheme="majorHAnsi" w:hAnsiTheme="majorHAnsi"/>
          <w:b/>
          <w:bCs/>
          <w:sz w:val="20"/>
          <w:szCs w:val="20"/>
          <w:lang w:val="es-PE"/>
        </w:rPr>
      </w:pPr>
      <w:r w:rsidRPr="00D2334B">
        <w:rPr>
          <w:rFonts w:asciiTheme="majorHAnsi" w:hAnsiTheme="majorHAnsi"/>
          <w:b/>
          <w:bCs/>
          <w:sz w:val="20"/>
          <w:szCs w:val="20"/>
          <w:lang w:val="es-PE"/>
        </w:rPr>
        <w:t xml:space="preserve">III. </w:t>
      </w:r>
      <w:r w:rsidRPr="00D2334B">
        <w:rPr>
          <w:rFonts w:asciiTheme="majorHAnsi" w:hAnsiTheme="majorHAnsi"/>
          <w:b/>
          <w:bCs/>
          <w:sz w:val="20"/>
          <w:szCs w:val="20"/>
          <w:lang w:val="es-PE"/>
        </w:rPr>
        <w:tab/>
        <w:t>COMPETENCIA</w:t>
      </w:r>
      <w:r w:rsidR="00EE00E9" w:rsidRPr="00D2334B">
        <w:rPr>
          <w:rFonts w:asciiTheme="majorHAnsi" w:hAnsiTheme="majorHAnsi"/>
          <w:b/>
          <w:bCs/>
          <w:sz w:val="20"/>
          <w:szCs w:val="20"/>
          <w:lang w:val="es-P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2334B"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D2334B" w:rsidRDefault="003239B8" w:rsidP="008D2290">
            <w:pPr>
              <w:jc w:val="center"/>
              <w:rPr>
                <w:rFonts w:ascii="Cambria" w:hAnsi="Cambria"/>
                <w:b/>
                <w:bCs/>
                <w:i/>
                <w:color w:val="FFFFFF" w:themeColor="background1"/>
                <w:sz w:val="20"/>
                <w:szCs w:val="20"/>
                <w:lang w:val="es-PE"/>
              </w:rPr>
            </w:pPr>
            <w:r w:rsidRPr="00D2334B">
              <w:rPr>
                <w:rFonts w:ascii="Cambria" w:hAnsi="Cambria"/>
                <w:b/>
                <w:bCs/>
                <w:color w:val="FFFFFF" w:themeColor="background1"/>
                <w:sz w:val="20"/>
                <w:szCs w:val="20"/>
                <w:lang w:val="es-PE"/>
              </w:rPr>
              <w:t>Competencia</w:t>
            </w:r>
            <w:r w:rsidRPr="00D2334B">
              <w:rPr>
                <w:rFonts w:ascii="Cambria" w:hAnsi="Cambria"/>
                <w:b/>
                <w:bCs/>
                <w:i/>
                <w:color w:val="FFFFFF" w:themeColor="background1"/>
                <w:sz w:val="20"/>
                <w:szCs w:val="20"/>
                <w:lang w:val="es-PE"/>
              </w:rPr>
              <w:t xml:space="preserve"> Ratione personae:</w:t>
            </w:r>
          </w:p>
        </w:tc>
        <w:tc>
          <w:tcPr>
            <w:tcW w:w="5760" w:type="dxa"/>
            <w:vAlign w:val="center"/>
          </w:tcPr>
          <w:p w14:paraId="1E494D5D" w14:textId="47076B0C" w:rsidR="003239B8" w:rsidRPr="00D2334B" w:rsidRDefault="0085704C" w:rsidP="008D2290">
            <w:pPr>
              <w:rPr>
                <w:rFonts w:ascii="Cambria" w:hAnsi="Cambria"/>
                <w:bCs/>
                <w:sz w:val="20"/>
                <w:szCs w:val="20"/>
                <w:lang w:val="es-PE"/>
              </w:rPr>
            </w:pPr>
            <w:r w:rsidRPr="00D2334B">
              <w:rPr>
                <w:rFonts w:ascii="Cambria" w:hAnsi="Cambria"/>
                <w:bCs/>
                <w:sz w:val="20"/>
                <w:szCs w:val="20"/>
                <w:lang w:val="es-PE"/>
              </w:rPr>
              <w:t>Sí</w:t>
            </w:r>
          </w:p>
        </w:tc>
      </w:tr>
      <w:tr w:rsidR="003239B8" w:rsidRPr="00D2334B"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D2334B" w:rsidRDefault="003239B8" w:rsidP="008D2290">
            <w:pPr>
              <w:jc w:val="center"/>
              <w:rPr>
                <w:rFonts w:ascii="Cambria" w:hAnsi="Cambria"/>
                <w:b/>
                <w:bCs/>
                <w:color w:val="FFFFFF" w:themeColor="background1"/>
                <w:sz w:val="20"/>
                <w:szCs w:val="20"/>
                <w:lang w:val="es-PE"/>
              </w:rPr>
            </w:pPr>
            <w:r w:rsidRPr="00D2334B">
              <w:rPr>
                <w:rFonts w:ascii="Cambria" w:hAnsi="Cambria"/>
                <w:b/>
                <w:bCs/>
                <w:color w:val="FFFFFF" w:themeColor="background1"/>
                <w:sz w:val="20"/>
                <w:szCs w:val="20"/>
                <w:lang w:val="es-PE"/>
              </w:rPr>
              <w:t>Competencia</w:t>
            </w:r>
            <w:r w:rsidRPr="00D2334B">
              <w:rPr>
                <w:rFonts w:ascii="Cambria" w:hAnsi="Cambria"/>
                <w:b/>
                <w:bCs/>
                <w:i/>
                <w:color w:val="FFFFFF" w:themeColor="background1"/>
                <w:sz w:val="20"/>
                <w:szCs w:val="20"/>
                <w:lang w:val="es-PE"/>
              </w:rPr>
              <w:t xml:space="preserve"> Ratione loci</w:t>
            </w:r>
            <w:r w:rsidRPr="00D2334B">
              <w:rPr>
                <w:rFonts w:ascii="Cambria" w:hAnsi="Cambria"/>
                <w:b/>
                <w:bCs/>
                <w:color w:val="FFFFFF" w:themeColor="background1"/>
                <w:sz w:val="20"/>
                <w:szCs w:val="20"/>
                <w:lang w:val="es-PE"/>
              </w:rPr>
              <w:t>:</w:t>
            </w:r>
          </w:p>
        </w:tc>
        <w:tc>
          <w:tcPr>
            <w:tcW w:w="5760" w:type="dxa"/>
            <w:vAlign w:val="center"/>
          </w:tcPr>
          <w:p w14:paraId="77C8256A" w14:textId="35EA6DE1" w:rsidR="003239B8" w:rsidRPr="00D2334B" w:rsidRDefault="0085704C" w:rsidP="008D2290">
            <w:pPr>
              <w:rPr>
                <w:rFonts w:ascii="Cambria" w:hAnsi="Cambria"/>
                <w:bCs/>
                <w:sz w:val="20"/>
                <w:szCs w:val="20"/>
                <w:lang w:val="es-PE"/>
              </w:rPr>
            </w:pPr>
            <w:r w:rsidRPr="00D2334B">
              <w:rPr>
                <w:rFonts w:ascii="Cambria" w:hAnsi="Cambria"/>
                <w:bCs/>
                <w:sz w:val="20"/>
                <w:szCs w:val="20"/>
                <w:lang w:val="es-PE"/>
              </w:rPr>
              <w:t>Sí</w:t>
            </w:r>
          </w:p>
        </w:tc>
      </w:tr>
      <w:tr w:rsidR="003239B8" w:rsidRPr="00D2334B"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D2334B" w:rsidRDefault="003239B8" w:rsidP="008D2290">
            <w:pPr>
              <w:jc w:val="center"/>
              <w:rPr>
                <w:rFonts w:ascii="Cambria" w:hAnsi="Cambria"/>
                <w:b/>
                <w:bCs/>
                <w:color w:val="FFFFFF" w:themeColor="background1"/>
                <w:sz w:val="20"/>
                <w:szCs w:val="20"/>
                <w:lang w:val="es-PE"/>
              </w:rPr>
            </w:pPr>
            <w:r w:rsidRPr="00D2334B">
              <w:rPr>
                <w:rFonts w:ascii="Cambria" w:hAnsi="Cambria"/>
                <w:b/>
                <w:bCs/>
                <w:color w:val="FFFFFF" w:themeColor="background1"/>
                <w:sz w:val="20"/>
                <w:szCs w:val="20"/>
                <w:lang w:val="es-PE"/>
              </w:rPr>
              <w:t>Competencia</w:t>
            </w:r>
            <w:r w:rsidRPr="00D2334B">
              <w:rPr>
                <w:rFonts w:ascii="Cambria" w:hAnsi="Cambria"/>
                <w:b/>
                <w:bCs/>
                <w:i/>
                <w:color w:val="FFFFFF" w:themeColor="background1"/>
                <w:sz w:val="20"/>
                <w:szCs w:val="20"/>
                <w:lang w:val="es-PE"/>
              </w:rPr>
              <w:t xml:space="preserve"> Ratione temporis</w:t>
            </w:r>
            <w:r w:rsidRPr="00D2334B">
              <w:rPr>
                <w:rFonts w:ascii="Cambria" w:hAnsi="Cambria"/>
                <w:b/>
                <w:bCs/>
                <w:color w:val="FFFFFF" w:themeColor="background1"/>
                <w:sz w:val="20"/>
                <w:szCs w:val="20"/>
                <w:lang w:val="es-PE"/>
              </w:rPr>
              <w:t>:</w:t>
            </w:r>
          </w:p>
        </w:tc>
        <w:tc>
          <w:tcPr>
            <w:tcW w:w="5760" w:type="dxa"/>
            <w:vAlign w:val="center"/>
          </w:tcPr>
          <w:p w14:paraId="523F6BD6" w14:textId="60781466" w:rsidR="003239B8" w:rsidRPr="00D2334B" w:rsidRDefault="0085704C" w:rsidP="008D2290">
            <w:pPr>
              <w:rPr>
                <w:rFonts w:ascii="Cambria" w:hAnsi="Cambria"/>
                <w:bCs/>
                <w:sz w:val="20"/>
                <w:szCs w:val="20"/>
                <w:lang w:val="es-PE"/>
              </w:rPr>
            </w:pPr>
            <w:r w:rsidRPr="00D2334B">
              <w:rPr>
                <w:rFonts w:ascii="Cambria" w:hAnsi="Cambria"/>
                <w:bCs/>
                <w:sz w:val="20"/>
                <w:szCs w:val="20"/>
                <w:lang w:val="es-PE"/>
              </w:rPr>
              <w:t>Sí</w:t>
            </w:r>
          </w:p>
        </w:tc>
      </w:tr>
      <w:tr w:rsidR="003239B8" w:rsidRPr="00DE03B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D2334B" w:rsidRDefault="003239B8" w:rsidP="008D2290">
            <w:pPr>
              <w:jc w:val="center"/>
              <w:rPr>
                <w:rFonts w:ascii="Cambria" w:hAnsi="Cambria"/>
                <w:b/>
                <w:bCs/>
                <w:color w:val="FFFFFF" w:themeColor="background1"/>
                <w:sz w:val="20"/>
                <w:szCs w:val="20"/>
                <w:lang w:val="es-PE"/>
              </w:rPr>
            </w:pPr>
            <w:r w:rsidRPr="00D2334B">
              <w:rPr>
                <w:rFonts w:ascii="Cambria" w:hAnsi="Cambria"/>
                <w:b/>
                <w:bCs/>
                <w:color w:val="FFFFFF" w:themeColor="background1"/>
                <w:sz w:val="20"/>
                <w:szCs w:val="20"/>
                <w:lang w:val="es-PE"/>
              </w:rPr>
              <w:t>Competencia</w:t>
            </w:r>
            <w:r w:rsidRPr="00D2334B">
              <w:rPr>
                <w:rFonts w:ascii="Cambria" w:hAnsi="Cambria"/>
                <w:b/>
                <w:bCs/>
                <w:i/>
                <w:color w:val="FFFFFF" w:themeColor="background1"/>
                <w:sz w:val="20"/>
                <w:szCs w:val="20"/>
                <w:lang w:val="es-PE"/>
              </w:rPr>
              <w:t xml:space="preserve"> Ratione materia</w:t>
            </w:r>
            <w:r w:rsidR="00EE00E9" w:rsidRPr="00D2334B">
              <w:rPr>
                <w:rFonts w:ascii="Cambria" w:hAnsi="Cambria"/>
                <w:b/>
                <w:bCs/>
                <w:i/>
                <w:color w:val="FFFFFF" w:themeColor="background1"/>
                <w:sz w:val="20"/>
                <w:szCs w:val="20"/>
                <w:lang w:val="es-PE"/>
              </w:rPr>
              <w:t>e</w:t>
            </w:r>
            <w:r w:rsidRPr="00D2334B">
              <w:rPr>
                <w:rFonts w:ascii="Cambria" w:hAnsi="Cambria"/>
                <w:b/>
                <w:bCs/>
                <w:color w:val="FFFFFF" w:themeColor="background1"/>
                <w:sz w:val="20"/>
                <w:szCs w:val="20"/>
                <w:lang w:val="es-PE"/>
              </w:rPr>
              <w:t>:</w:t>
            </w:r>
          </w:p>
        </w:tc>
        <w:tc>
          <w:tcPr>
            <w:tcW w:w="5760" w:type="dxa"/>
            <w:vAlign w:val="center"/>
          </w:tcPr>
          <w:p w14:paraId="257C8337" w14:textId="6F2342CD" w:rsidR="003239B8" w:rsidRPr="00D2334B" w:rsidRDefault="0085704C" w:rsidP="008D2290">
            <w:pPr>
              <w:jc w:val="both"/>
              <w:rPr>
                <w:rFonts w:ascii="Cambria" w:hAnsi="Cambria"/>
                <w:bCs/>
                <w:sz w:val="20"/>
                <w:szCs w:val="20"/>
                <w:lang w:val="es-PE"/>
              </w:rPr>
            </w:pPr>
            <w:r w:rsidRPr="00D2334B">
              <w:rPr>
                <w:rFonts w:ascii="Cambria" w:hAnsi="Cambria"/>
                <w:bCs/>
                <w:sz w:val="20"/>
                <w:szCs w:val="20"/>
                <w:lang w:val="es-PE"/>
              </w:rPr>
              <w:t>Sí, Convención Americana (depósito del instrumento de ratificación realizado el 28 de julio de 1978)</w:t>
            </w:r>
          </w:p>
        </w:tc>
      </w:tr>
    </w:tbl>
    <w:p w14:paraId="299A3868" w14:textId="06DEC012" w:rsidR="003239B8" w:rsidRPr="00D2334B" w:rsidRDefault="003239B8" w:rsidP="003239B8">
      <w:pPr>
        <w:spacing w:before="240" w:after="240"/>
        <w:ind w:firstLine="720"/>
        <w:jc w:val="both"/>
        <w:rPr>
          <w:rFonts w:asciiTheme="majorHAnsi" w:hAnsiTheme="majorHAnsi"/>
          <w:b/>
          <w:bCs/>
          <w:sz w:val="20"/>
          <w:szCs w:val="20"/>
          <w:lang w:val="es-PE"/>
        </w:rPr>
      </w:pPr>
      <w:r w:rsidRPr="00D2334B">
        <w:rPr>
          <w:rFonts w:asciiTheme="majorHAnsi" w:hAnsiTheme="majorHAnsi"/>
          <w:b/>
          <w:bCs/>
          <w:sz w:val="20"/>
          <w:szCs w:val="20"/>
          <w:lang w:val="es-PE"/>
        </w:rPr>
        <w:t xml:space="preserve">IV. </w:t>
      </w:r>
      <w:r w:rsidRPr="00D2334B">
        <w:rPr>
          <w:rFonts w:asciiTheme="majorHAnsi" w:hAnsiTheme="majorHAnsi"/>
          <w:b/>
          <w:bCs/>
          <w:sz w:val="20"/>
          <w:szCs w:val="20"/>
          <w:lang w:val="es-PE"/>
        </w:rPr>
        <w:tab/>
      </w:r>
      <w:r w:rsidR="00EE00E9" w:rsidRPr="00D2334B">
        <w:rPr>
          <w:rFonts w:asciiTheme="majorHAnsi" w:hAnsiTheme="majorHAnsi"/>
          <w:b/>
          <w:bCs/>
          <w:sz w:val="20"/>
          <w:szCs w:val="20"/>
          <w:lang w:val="es-PE"/>
        </w:rPr>
        <w:t>DUPLICACIÓN</w:t>
      </w:r>
      <w:r w:rsidR="00EE00E9" w:rsidRPr="00D2334B">
        <w:rPr>
          <w:rFonts w:asciiTheme="majorHAnsi" w:hAnsiTheme="majorHAnsi"/>
          <w:b/>
          <w:bCs/>
          <w:color w:val="FFFFFF" w:themeColor="background1"/>
          <w:sz w:val="20"/>
          <w:szCs w:val="20"/>
          <w:lang w:val="es-PE"/>
        </w:rPr>
        <w:t xml:space="preserve"> </w:t>
      </w:r>
      <w:r w:rsidR="00EE00E9" w:rsidRPr="00D2334B">
        <w:rPr>
          <w:rFonts w:asciiTheme="majorHAnsi" w:hAnsiTheme="majorHAnsi"/>
          <w:b/>
          <w:bCs/>
          <w:sz w:val="20"/>
          <w:szCs w:val="20"/>
          <w:lang w:val="es-PE"/>
        </w:rPr>
        <w:t>DE PROCEDIMIENTOS Y COSA JUZGADA</w:t>
      </w:r>
      <w:r w:rsidR="00EE00E9" w:rsidRPr="00D2334B">
        <w:rPr>
          <w:rFonts w:asciiTheme="majorHAnsi" w:hAnsiTheme="majorHAnsi"/>
          <w:b/>
          <w:bCs/>
          <w:i/>
          <w:sz w:val="20"/>
          <w:szCs w:val="20"/>
          <w:lang w:val="es-PE"/>
        </w:rPr>
        <w:t xml:space="preserve"> </w:t>
      </w:r>
      <w:r w:rsidR="0085704C" w:rsidRPr="00D2334B">
        <w:rPr>
          <w:rFonts w:asciiTheme="majorHAnsi" w:hAnsiTheme="majorHAnsi"/>
          <w:b/>
          <w:bCs/>
          <w:sz w:val="20"/>
          <w:szCs w:val="20"/>
          <w:lang w:val="es-PE"/>
        </w:rPr>
        <w:t>INTERNACIONAL, CARACTERIZACIÓN</w:t>
      </w:r>
      <w:r w:rsidRPr="00D2334B">
        <w:rPr>
          <w:rFonts w:asciiTheme="majorHAnsi" w:hAnsiTheme="majorHAnsi"/>
          <w:b/>
          <w:bCs/>
          <w:sz w:val="20"/>
          <w:szCs w:val="20"/>
          <w:lang w:val="es-PE"/>
        </w:rPr>
        <w:t xml:space="preserve">, </w:t>
      </w:r>
      <w:r w:rsidRPr="00D2334B">
        <w:rPr>
          <w:rFonts w:asciiTheme="majorHAnsi" w:hAnsiTheme="majorHAnsi"/>
          <w:b/>
          <w:sz w:val="20"/>
          <w:szCs w:val="20"/>
          <w:lang w:val="es-P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2334B"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2334B" w:rsidRDefault="00EE00E9" w:rsidP="008D2290">
            <w:pPr>
              <w:jc w:val="center"/>
              <w:rPr>
                <w:rFonts w:ascii="Cambria" w:hAnsi="Cambria"/>
                <w:b/>
                <w:bCs/>
                <w:color w:val="FFFFFF" w:themeColor="background1"/>
                <w:sz w:val="20"/>
                <w:szCs w:val="20"/>
                <w:lang w:val="es-PE"/>
              </w:rPr>
            </w:pPr>
            <w:r w:rsidRPr="00D2334B">
              <w:rPr>
                <w:rFonts w:ascii="Cambria" w:hAnsi="Cambria"/>
                <w:b/>
                <w:bCs/>
                <w:color w:val="FFFFFF" w:themeColor="background1"/>
                <w:sz w:val="20"/>
                <w:szCs w:val="20"/>
                <w:lang w:val="es-PE"/>
              </w:rPr>
              <w:t>Duplicación de procedimientos y cosa juzgada internacional:</w:t>
            </w:r>
          </w:p>
        </w:tc>
        <w:tc>
          <w:tcPr>
            <w:tcW w:w="5760" w:type="dxa"/>
            <w:vAlign w:val="center"/>
          </w:tcPr>
          <w:p w14:paraId="764D7F60" w14:textId="4F207813" w:rsidR="00EE00E9" w:rsidRPr="00D2334B" w:rsidRDefault="006104F7" w:rsidP="008D2290">
            <w:pPr>
              <w:jc w:val="both"/>
              <w:rPr>
                <w:rFonts w:ascii="Cambria" w:hAnsi="Cambria"/>
                <w:bCs/>
                <w:sz w:val="20"/>
                <w:szCs w:val="20"/>
                <w:lang w:val="es-PE"/>
              </w:rPr>
            </w:pPr>
            <w:r w:rsidRPr="00D2334B">
              <w:rPr>
                <w:rFonts w:ascii="Cambria" w:hAnsi="Cambria"/>
                <w:bCs/>
                <w:sz w:val="20"/>
                <w:szCs w:val="20"/>
                <w:lang w:val="es-PE"/>
              </w:rPr>
              <w:t>No</w:t>
            </w:r>
          </w:p>
        </w:tc>
      </w:tr>
      <w:tr w:rsidR="003239B8" w:rsidRPr="00DE03B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2334B" w:rsidRDefault="003239B8" w:rsidP="008D2290">
            <w:pPr>
              <w:jc w:val="center"/>
              <w:rPr>
                <w:rFonts w:ascii="Cambria" w:hAnsi="Cambria"/>
                <w:b/>
                <w:bCs/>
                <w:i/>
                <w:color w:val="FFFFFF" w:themeColor="background1"/>
                <w:sz w:val="20"/>
                <w:szCs w:val="20"/>
                <w:lang w:val="es-PE"/>
              </w:rPr>
            </w:pPr>
            <w:r w:rsidRPr="00D2334B">
              <w:rPr>
                <w:rFonts w:ascii="Cambria" w:hAnsi="Cambria"/>
                <w:b/>
                <w:bCs/>
                <w:color w:val="FFFFFF" w:themeColor="background1"/>
                <w:sz w:val="20"/>
                <w:szCs w:val="20"/>
                <w:lang w:val="es-PE"/>
              </w:rPr>
              <w:t>Derechos declarados admisibles</w:t>
            </w:r>
            <w:r w:rsidRPr="00D2334B">
              <w:rPr>
                <w:rFonts w:ascii="Cambria" w:hAnsi="Cambria"/>
                <w:b/>
                <w:bCs/>
                <w:i/>
                <w:color w:val="FFFFFF" w:themeColor="background1"/>
                <w:sz w:val="20"/>
                <w:szCs w:val="20"/>
                <w:lang w:val="es-PE"/>
              </w:rPr>
              <w:t>:</w:t>
            </w:r>
          </w:p>
        </w:tc>
        <w:tc>
          <w:tcPr>
            <w:tcW w:w="5760" w:type="dxa"/>
            <w:vAlign w:val="center"/>
          </w:tcPr>
          <w:p w14:paraId="4DAE9D4D" w14:textId="7A3715B8" w:rsidR="003239B8" w:rsidRPr="00D2334B" w:rsidRDefault="00D5284C" w:rsidP="008D2290">
            <w:pPr>
              <w:jc w:val="both"/>
              <w:rPr>
                <w:rFonts w:ascii="Cambria" w:hAnsi="Cambria"/>
                <w:bCs/>
                <w:sz w:val="20"/>
                <w:szCs w:val="20"/>
                <w:lang w:val="es-PE"/>
              </w:rPr>
            </w:pPr>
            <w:r>
              <w:rPr>
                <w:rFonts w:ascii="Cambria" w:hAnsi="Cambria"/>
                <w:bCs/>
                <w:sz w:val="20"/>
                <w:szCs w:val="20"/>
                <w:lang w:val="es-ES"/>
              </w:rPr>
              <w:t>Artículos 8 (garantías judiciales), 21 (propiedad privada)</w:t>
            </w:r>
            <w:r w:rsidR="00F2173C">
              <w:rPr>
                <w:rFonts w:ascii="Cambria" w:hAnsi="Cambria"/>
                <w:bCs/>
                <w:sz w:val="20"/>
                <w:szCs w:val="20"/>
                <w:lang w:val="es-ES"/>
              </w:rPr>
              <w:t xml:space="preserve">, </w:t>
            </w:r>
            <w:r>
              <w:rPr>
                <w:rFonts w:ascii="Cambria" w:hAnsi="Cambria"/>
                <w:bCs/>
                <w:sz w:val="20"/>
                <w:szCs w:val="20"/>
                <w:lang w:val="es-ES"/>
              </w:rPr>
              <w:t>25 (protección judicial)</w:t>
            </w:r>
            <w:r w:rsidR="00F2173C">
              <w:rPr>
                <w:rFonts w:ascii="Cambria" w:hAnsi="Cambria"/>
                <w:bCs/>
                <w:sz w:val="20"/>
                <w:szCs w:val="20"/>
                <w:lang w:val="es-ES"/>
              </w:rPr>
              <w:t xml:space="preserve"> y 2</w:t>
            </w:r>
            <w:r w:rsidR="00F2173C">
              <w:rPr>
                <w:bCs/>
                <w:sz w:val="20"/>
                <w:szCs w:val="20"/>
                <w:lang w:val="es-ES"/>
              </w:rPr>
              <w:t xml:space="preserve">6 (derechos económicos, sociales y culturales) </w:t>
            </w:r>
            <w:r w:rsidRPr="00E17FA2">
              <w:rPr>
                <w:rFonts w:ascii="Cambria" w:hAnsi="Cambria"/>
                <w:bCs/>
                <w:sz w:val="20"/>
                <w:szCs w:val="20"/>
                <w:lang w:val="es-ES"/>
              </w:rPr>
              <w:t>de la Convención Americana</w:t>
            </w:r>
            <w:r w:rsidR="00687BD4">
              <w:rPr>
                <w:rFonts w:ascii="Cambria" w:hAnsi="Cambria"/>
                <w:bCs/>
                <w:sz w:val="20"/>
                <w:szCs w:val="20"/>
                <w:lang w:val="es-ES"/>
              </w:rPr>
              <w:t>, en relación con su artículo 1.1 (obligación de respetar los derechos)</w:t>
            </w:r>
            <w:r w:rsidRPr="00E17FA2">
              <w:rPr>
                <w:rFonts w:ascii="Cambria" w:hAnsi="Cambria"/>
                <w:bCs/>
                <w:sz w:val="20"/>
                <w:szCs w:val="20"/>
                <w:lang w:val="es-ES"/>
              </w:rPr>
              <w:t xml:space="preserve"> </w:t>
            </w:r>
          </w:p>
        </w:tc>
      </w:tr>
      <w:tr w:rsidR="003239B8" w:rsidRPr="00DE03B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2334B" w:rsidRDefault="003239B8" w:rsidP="008D2290">
            <w:pPr>
              <w:jc w:val="center"/>
              <w:rPr>
                <w:rFonts w:ascii="Cambria" w:hAnsi="Cambria"/>
                <w:b/>
                <w:bCs/>
                <w:color w:val="FFFFFF" w:themeColor="background1"/>
                <w:sz w:val="20"/>
                <w:szCs w:val="20"/>
                <w:lang w:val="es-PE"/>
              </w:rPr>
            </w:pPr>
            <w:r w:rsidRPr="00D2334B">
              <w:rPr>
                <w:rFonts w:ascii="Cambria" w:hAnsi="Cambria"/>
                <w:b/>
                <w:bCs/>
                <w:color w:val="FFFFFF" w:themeColor="background1"/>
                <w:sz w:val="20"/>
                <w:szCs w:val="20"/>
                <w:lang w:val="es-PE"/>
              </w:rPr>
              <w:t>Agotamiento de recursos internos</w:t>
            </w:r>
            <w:r w:rsidR="00EE00E9" w:rsidRPr="00D2334B">
              <w:rPr>
                <w:rFonts w:ascii="Cambria" w:hAnsi="Cambria"/>
                <w:b/>
                <w:bCs/>
                <w:color w:val="FFFFFF" w:themeColor="background1"/>
                <w:sz w:val="20"/>
                <w:szCs w:val="20"/>
                <w:lang w:val="es-PE"/>
              </w:rPr>
              <w:t xml:space="preserve"> o procedencia de una excepción</w:t>
            </w:r>
            <w:r w:rsidRPr="00D2334B">
              <w:rPr>
                <w:rFonts w:ascii="Cambria" w:hAnsi="Cambria"/>
                <w:b/>
                <w:bCs/>
                <w:color w:val="FFFFFF" w:themeColor="background1"/>
                <w:sz w:val="20"/>
                <w:szCs w:val="20"/>
                <w:lang w:val="es-PE"/>
              </w:rPr>
              <w:t>:</w:t>
            </w:r>
          </w:p>
        </w:tc>
        <w:tc>
          <w:tcPr>
            <w:tcW w:w="5760" w:type="dxa"/>
            <w:vAlign w:val="center"/>
          </w:tcPr>
          <w:p w14:paraId="7F7C1A19" w14:textId="7B142CAA" w:rsidR="003239B8" w:rsidRPr="00D2334B" w:rsidRDefault="003D6E32" w:rsidP="008D2290">
            <w:pPr>
              <w:rPr>
                <w:rFonts w:ascii="Cambria" w:hAnsi="Cambria"/>
                <w:bCs/>
                <w:sz w:val="20"/>
                <w:szCs w:val="20"/>
                <w:lang w:val="es-PE"/>
              </w:rPr>
            </w:pPr>
            <w:r>
              <w:rPr>
                <w:rFonts w:ascii="Cambria" w:hAnsi="Cambria"/>
                <w:bCs/>
                <w:sz w:val="20"/>
                <w:szCs w:val="20"/>
                <w:lang w:val="es-PE"/>
              </w:rPr>
              <w:t>Sí</w:t>
            </w:r>
            <w:r w:rsidR="0093252B" w:rsidRPr="00D2334B">
              <w:rPr>
                <w:rFonts w:ascii="Cambria" w:hAnsi="Cambria"/>
                <w:bCs/>
                <w:sz w:val="20"/>
                <w:szCs w:val="20"/>
                <w:lang w:val="es-PE"/>
              </w:rPr>
              <w:t>, en los términos de la sección VI</w:t>
            </w:r>
          </w:p>
        </w:tc>
      </w:tr>
      <w:tr w:rsidR="003239B8" w:rsidRPr="00DE03BD"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2334B" w:rsidRDefault="003239B8" w:rsidP="008D2290">
            <w:pPr>
              <w:jc w:val="center"/>
              <w:rPr>
                <w:rFonts w:ascii="Cambria" w:hAnsi="Cambria"/>
                <w:b/>
                <w:bCs/>
                <w:color w:val="FFFFFF" w:themeColor="background1"/>
                <w:sz w:val="20"/>
                <w:szCs w:val="20"/>
                <w:lang w:val="es-PE"/>
              </w:rPr>
            </w:pPr>
            <w:r w:rsidRPr="00D2334B">
              <w:rPr>
                <w:rFonts w:ascii="Cambria" w:hAnsi="Cambria"/>
                <w:b/>
                <w:bCs/>
                <w:color w:val="FFFFFF" w:themeColor="background1"/>
                <w:sz w:val="20"/>
                <w:szCs w:val="20"/>
                <w:lang w:val="es-PE"/>
              </w:rPr>
              <w:t>Presentación dentro de plazo:</w:t>
            </w:r>
          </w:p>
        </w:tc>
        <w:tc>
          <w:tcPr>
            <w:tcW w:w="5760" w:type="dxa"/>
            <w:vAlign w:val="center"/>
          </w:tcPr>
          <w:p w14:paraId="2AF0FC69" w14:textId="41B44F0E" w:rsidR="003239B8" w:rsidRPr="00D2334B" w:rsidRDefault="003D6E32" w:rsidP="008D2290">
            <w:pPr>
              <w:rPr>
                <w:rFonts w:ascii="Cambria" w:hAnsi="Cambria"/>
                <w:bCs/>
                <w:sz w:val="20"/>
                <w:szCs w:val="20"/>
                <w:lang w:val="es-PE"/>
              </w:rPr>
            </w:pPr>
            <w:r>
              <w:rPr>
                <w:rFonts w:ascii="Cambria" w:hAnsi="Cambria"/>
                <w:bCs/>
                <w:sz w:val="20"/>
                <w:szCs w:val="20"/>
                <w:lang w:val="es-PE"/>
              </w:rPr>
              <w:t>Sí</w:t>
            </w:r>
            <w:r w:rsidR="0093252B" w:rsidRPr="00D2334B">
              <w:rPr>
                <w:rFonts w:ascii="Cambria" w:hAnsi="Cambria"/>
                <w:bCs/>
                <w:sz w:val="20"/>
                <w:szCs w:val="20"/>
                <w:lang w:val="es-PE"/>
              </w:rPr>
              <w:t>, en los términos de la sección VI</w:t>
            </w:r>
          </w:p>
        </w:tc>
      </w:tr>
    </w:tbl>
    <w:p w14:paraId="56FD5D57" w14:textId="252B1FD5" w:rsidR="003239B8" w:rsidRPr="005E6556" w:rsidRDefault="00223A29" w:rsidP="003239B8">
      <w:pPr>
        <w:spacing w:before="240" w:after="240"/>
        <w:ind w:firstLine="720"/>
        <w:jc w:val="both"/>
        <w:rPr>
          <w:rFonts w:asciiTheme="majorHAnsi" w:hAnsiTheme="majorHAnsi"/>
          <w:b/>
          <w:sz w:val="20"/>
          <w:szCs w:val="20"/>
          <w:lang w:val="es-ES_tradnl"/>
        </w:rPr>
      </w:pPr>
      <w:r w:rsidRPr="005E6556">
        <w:rPr>
          <w:rFonts w:asciiTheme="majorHAnsi" w:hAnsiTheme="majorHAnsi"/>
          <w:b/>
          <w:sz w:val="20"/>
          <w:szCs w:val="20"/>
          <w:lang w:val="es-ES_tradnl"/>
        </w:rPr>
        <w:t xml:space="preserve">V. </w:t>
      </w:r>
      <w:r w:rsidRPr="005E6556">
        <w:rPr>
          <w:rFonts w:asciiTheme="majorHAnsi" w:hAnsiTheme="majorHAnsi"/>
          <w:b/>
          <w:sz w:val="20"/>
          <w:szCs w:val="20"/>
          <w:lang w:val="es-ES_tradnl"/>
        </w:rPr>
        <w:tab/>
      </w:r>
      <w:r w:rsidR="004241A0" w:rsidRPr="005E6556">
        <w:rPr>
          <w:rFonts w:asciiTheme="majorHAnsi" w:hAnsiTheme="majorHAnsi"/>
          <w:b/>
          <w:sz w:val="20"/>
          <w:szCs w:val="20"/>
          <w:lang w:val="es-ES_tradnl"/>
        </w:rPr>
        <w:t>POSICIÓN DE LAS PARTES</w:t>
      </w:r>
      <w:r w:rsidR="003239B8" w:rsidRPr="005E6556">
        <w:rPr>
          <w:rFonts w:asciiTheme="majorHAnsi" w:hAnsiTheme="majorHAnsi"/>
          <w:b/>
          <w:sz w:val="20"/>
          <w:szCs w:val="20"/>
          <w:lang w:val="es-ES_tradnl"/>
        </w:rPr>
        <w:t xml:space="preserve"> </w:t>
      </w:r>
    </w:p>
    <w:p w14:paraId="68A417B2" w14:textId="3D49B224" w:rsidR="00B93D7F" w:rsidRPr="005E6556" w:rsidRDefault="0085704C" w:rsidP="008570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Theme="majorHAnsi" w:hAnsiTheme="majorHAnsi"/>
          <w:sz w:val="20"/>
          <w:szCs w:val="20"/>
          <w:lang w:val="es-ES_tradnl"/>
        </w:rPr>
        <w:t xml:space="preserve">La parte peticionaria denuncia que </w:t>
      </w:r>
      <w:r w:rsidR="00340F48" w:rsidRPr="005E6556">
        <w:rPr>
          <w:rFonts w:asciiTheme="majorHAnsi" w:hAnsiTheme="majorHAnsi"/>
          <w:sz w:val="20"/>
          <w:szCs w:val="20"/>
          <w:lang w:val="es-ES_tradnl"/>
        </w:rPr>
        <w:t xml:space="preserve">las autoridades impusieron a la señora </w:t>
      </w:r>
      <w:r w:rsidR="00340F48" w:rsidRPr="005E6556">
        <w:rPr>
          <w:rFonts w:ascii="Cambria" w:hAnsi="Cambria"/>
          <w:bCs/>
          <w:sz w:val="20"/>
          <w:szCs w:val="20"/>
          <w:lang w:val="es-ES_tradnl"/>
        </w:rPr>
        <w:t>Cáceres de Dijkhuizen y al señor Dijkhuizen, una medida de embargo preventivo sobre los inmuebles de propiedad de la primera persona, lo que les ocasionó daños patrimoniales</w:t>
      </w:r>
      <w:r w:rsidR="00DD2331" w:rsidRPr="005E6556">
        <w:rPr>
          <w:rFonts w:ascii="Cambria" w:hAnsi="Cambria"/>
          <w:bCs/>
          <w:sz w:val="20"/>
          <w:szCs w:val="20"/>
          <w:lang w:val="es-ES_tradnl"/>
        </w:rPr>
        <w:t xml:space="preserve"> a ambos por su condición de cónyuges</w:t>
      </w:r>
      <w:r w:rsidR="00340F48" w:rsidRPr="005E6556">
        <w:rPr>
          <w:rFonts w:ascii="Cambria" w:hAnsi="Cambria"/>
          <w:bCs/>
          <w:sz w:val="20"/>
          <w:szCs w:val="20"/>
          <w:lang w:val="es-ES_tradnl"/>
        </w:rPr>
        <w:t xml:space="preserve">. Refiere que </w:t>
      </w:r>
      <w:r w:rsidR="00340F48" w:rsidRPr="005E6556">
        <w:rPr>
          <w:rFonts w:ascii="Cambria" w:hAnsi="Cambria"/>
          <w:bCs/>
          <w:sz w:val="20"/>
          <w:szCs w:val="20"/>
          <w:lang w:val="es-ES_tradnl"/>
        </w:rPr>
        <w:lastRenderedPageBreak/>
        <w:t xml:space="preserve">tal decisión resultó irrazonable, dado </w:t>
      </w:r>
      <w:r w:rsidR="00DD2331" w:rsidRPr="005E6556">
        <w:rPr>
          <w:rFonts w:ascii="Cambria" w:hAnsi="Cambria"/>
          <w:bCs/>
          <w:sz w:val="20"/>
          <w:szCs w:val="20"/>
          <w:lang w:val="es-ES_tradnl"/>
        </w:rPr>
        <w:t xml:space="preserve">que </w:t>
      </w:r>
      <w:r w:rsidR="00DD2331" w:rsidRPr="005E6556">
        <w:rPr>
          <w:rFonts w:asciiTheme="majorHAnsi" w:hAnsiTheme="majorHAnsi"/>
          <w:sz w:val="20"/>
          <w:szCs w:val="20"/>
          <w:lang w:val="es-ES_tradnl"/>
        </w:rPr>
        <w:t xml:space="preserve">la señora </w:t>
      </w:r>
      <w:r w:rsidR="00DD2331" w:rsidRPr="005E6556">
        <w:rPr>
          <w:rFonts w:ascii="Cambria" w:hAnsi="Cambria"/>
          <w:bCs/>
          <w:sz w:val="20"/>
          <w:szCs w:val="20"/>
          <w:lang w:val="es-ES_tradnl"/>
        </w:rPr>
        <w:t>Cáceres de Dijkhuizen adquirió tal propiedad</w:t>
      </w:r>
      <w:r w:rsidR="00340F48" w:rsidRPr="005E6556">
        <w:rPr>
          <w:rFonts w:ascii="Cambria" w:hAnsi="Cambria"/>
          <w:bCs/>
          <w:sz w:val="20"/>
          <w:szCs w:val="20"/>
          <w:lang w:val="es-ES_tradnl"/>
        </w:rPr>
        <w:t xml:space="preserve"> de manera lícita y no existían indicios de que estuviesen vinculados a</w:t>
      </w:r>
      <w:r w:rsidR="00DD2331" w:rsidRPr="005E6556">
        <w:rPr>
          <w:rFonts w:ascii="Cambria" w:hAnsi="Cambria"/>
          <w:bCs/>
          <w:sz w:val="20"/>
          <w:szCs w:val="20"/>
          <w:lang w:val="es-ES_tradnl"/>
        </w:rPr>
        <w:t xml:space="preserve"> los delitos que se estaban investigando. </w:t>
      </w:r>
    </w:p>
    <w:p w14:paraId="6E7C9D60" w14:textId="3027FBDD" w:rsidR="00525032" w:rsidRPr="005E6556" w:rsidRDefault="00525032" w:rsidP="005250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Cambria" w:hAnsiTheme="majorHAnsi" w:cs="Cambria"/>
          <w:b/>
          <w:bCs/>
          <w:i/>
          <w:iCs/>
          <w:color w:val="000000"/>
          <w:sz w:val="20"/>
          <w:szCs w:val="20"/>
          <w:u w:color="000000"/>
          <w:lang w:val="es-ES_tradnl" w:eastAsia="es-ES"/>
        </w:rPr>
      </w:pPr>
      <w:r w:rsidRPr="005E6556">
        <w:rPr>
          <w:rFonts w:asciiTheme="majorHAnsi" w:hAnsiTheme="majorHAnsi"/>
          <w:i/>
          <w:iCs/>
          <w:sz w:val="20"/>
          <w:szCs w:val="20"/>
          <w:lang w:val="es-ES_tradnl"/>
        </w:rPr>
        <w:t xml:space="preserve">Incautación de los inmuebles de </w:t>
      </w:r>
      <w:r w:rsidR="00DD2331" w:rsidRPr="005E6556">
        <w:rPr>
          <w:rFonts w:asciiTheme="majorHAnsi" w:hAnsiTheme="majorHAnsi"/>
          <w:i/>
          <w:iCs/>
          <w:sz w:val="20"/>
          <w:szCs w:val="20"/>
          <w:lang w:val="es-ES_tradnl"/>
        </w:rPr>
        <w:t xml:space="preserve">la señora </w:t>
      </w:r>
      <w:r w:rsidR="00DD2331" w:rsidRPr="005E6556">
        <w:rPr>
          <w:rFonts w:ascii="Cambria" w:hAnsi="Cambria"/>
          <w:bCs/>
          <w:i/>
          <w:iCs/>
          <w:sz w:val="20"/>
          <w:szCs w:val="20"/>
          <w:lang w:val="es-ES_tradnl"/>
        </w:rPr>
        <w:t>Cáceres de Dijkhuizen</w:t>
      </w:r>
    </w:p>
    <w:p w14:paraId="7D365CB1" w14:textId="77D03922" w:rsidR="00D86D37" w:rsidRPr="003D6E32" w:rsidRDefault="0040379D" w:rsidP="003D6E3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Theme="majorHAnsi" w:hAnsiTheme="majorHAnsi"/>
          <w:sz w:val="20"/>
          <w:szCs w:val="20"/>
          <w:lang w:val="es-ES_tradnl"/>
        </w:rPr>
        <w:t>El peticionario narra</w:t>
      </w:r>
      <w:r w:rsidR="00D86D37" w:rsidRPr="005E6556">
        <w:rPr>
          <w:rFonts w:asciiTheme="majorHAnsi" w:hAnsiTheme="majorHAnsi"/>
          <w:sz w:val="20"/>
          <w:szCs w:val="20"/>
          <w:lang w:val="es-ES_tradnl"/>
        </w:rPr>
        <w:t xml:space="preserve"> que la señora </w:t>
      </w:r>
      <w:r w:rsidR="00D86D37" w:rsidRPr="005E6556">
        <w:rPr>
          <w:rFonts w:ascii="Cambria" w:hAnsi="Cambria"/>
          <w:bCs/>
          <w:sz w:val="20"/>
          <w:szCs w:val="20"/>
          <w:lang w:val="es-ES_tradnl"/>
        </w:rPr>
        <w:t xml:space="preserve">Cáceres de Dijkhuizen es propietaria de dos inmuebles ubicados en Lima, los cuales </w:t>
      </w:r>
      <w:r w:rsidR="002E2462" w:rsidRPr="005E6556">
        <w:rPr>
          <w:rFonts w:ascii="Cambria" w:hAnsi="Cambria"/>
          <w:bCs/>
          <w:sz w:val="20"/>
          <w:szCs w:val="20"/>
          <w:lang w:val="es-ES_tradnl"/>
        </w:rPr>
        <w:t>utiliza</w:t>
      </w:r>
      <w:r w:rsidR="00CB2EBA" w:rsidRPr="005E6556">
        <w:rPr>
          <w:rFonts w:ascii="Cambria" w:hAnsi="Cambria"/>
          <w:bCs/>
          <w:sz w:val="20"/>
          <w:szCs w:val="20"/>
          <w:lang w:val="es-ES_tradnl"/>
        </w:rPr>
        <w:t xml:space="preserve"> respectivamente</w:t>
      </w:r>
      <w:r w:rsidR="00D86D37" w:rsidRPr="005E6556">
        <w:rPr>
          <w:rFonts w:ascii="Cambria" w:hAnsi="Cambria"/>
          <w:bCs/>
          <w:sz w:val="20"/>
          <w:szCs w:val="20"/>
          <w:lang w:val="es-ES_tradnl"/>
        </w:rPr>
        <w:t xml:space="preserve"> como su vivienda familiar y como fuente de alquiler. Refiere que a partir de una investigación penal iniciada contra sus hijos por los delitos de tráfico ilícito de drogas y lavado de dinero, el 5 de mayo de 2006, el Noveno Juzgado Penal del Callao dispuso el descerraje y allanamiento de dichos domicilios a efectos </w:t>
      </w:r>
      <w:r w:rsidR="003D6E32">
        <w:rPr>
          <w:rFonts w:ascii="Cambria" w:hAnsi="Cambria"/>
          <w:bCs/>
          <w:sz w:val="20"/>
          <w:szCs w:val="20"/>
          <w:lang w:val="es-ES_tradnl"/>
        </w:rPr>
        <w:t>la realización d</w:t>
      </w:r>
      <w:r w:rsidR="00D86D37" w:rsidRPr="005E6556">
        <w:rPr>
          <w:rFonts w:ascii="Cambria" w:hAnsi="Cambria"/>
          <w:bCs/>
          <w:sz w:val="20"/>
          <w:szCs w:val="20"/>
          <w:lang w:val="es-ES_tradnl"/>
        </w:rPr>
        <w:t>el registro e incautación de bienes y documentos. En razón a ello, el 8 de mayo de 200</w:t>
      </w:r>
      <w:r w:rsidR="00D86D37" w:rsidRPr="003D6E32">
        <w:rPr>
          <w:rFonts w:ascii="Cambria" w:hAnsi="Cambria"/>
          <w:bCs/>
          <w:sz w:val="20"/>
          <w:szCs w:val="20"/>
          <w:lang w:val="es-ES_tradnl"/>
        </w:rPr>
        <w:t>6</w:t>
      </w:r>
      <w:r w:rsidR="003D6E32">
        <w:rPr>
          <w:rFonts w:ascii="Cambria" w:hAnsi="Cambria"/>
          <w:bCs/>
          <w:sz w:val="20"/>
          <w:szCs w:val="20"/>
          <w:lang w:val="es-ES_tradnl"/>
        </w:rPr>
        <w:t>,</w:t>
      </w:r>
      <w:r w:rsidR="00D86D37" w:rsidRPr="003D6E32">
        <w:rPr>
          <w:rFonts w:ascii="Cambria" w:hAnsi="Cambria"/>
          <w:bCs/>
          <w:sz w:val="20"/>
          <w:szCs w:val="20"/>
          <w:lang w:val="es-ES_tradnl"/>
        </w:rPr>
        <w:t xml:space="preserve"> la Fiscalía Antidrogas realizó dicha diligencia y expidió acta de registro, en la cual se </w:t>
      </w:r>
      <w:r w:rsidR="004C15FB" w:rsidRPr="003D6E32">
        <w:rPr>
          <w:rFonts w:ascii="Cambria" w:hAnsi="Cambria"/>
          <w:bCs/>
          <w:sz w:val="20"/>
          <w:szCs w:val="20"/>
          <w:lang w:val="es-ES_tradnl"/>
        </w:rPr>
        <w:t>constató que no se encontraron drogas y/o insumos químicos, armas, municiones y/o documentos</w:t>
      </w:r>
      <w:r w:rsidR="00CB2EBA" w:rsidRPr="003D6E32">
        <w:rPr>
          <w:rFonts w:ascii="Cambria" w:hAnsi="Cambria"/>
          <w:bCs/>
          <w:sz w:val="20"/>
          <w:szCs w:val="20"/>
          <w:lang w:val="es-ES_tradnl"/>
        </w:rPr>
        <w:t xml:space="preserve"> en dichos bienes</w:t>
      </w:r>
      <w:r w:rsidR="004C15FB" w:rsidRPr="003D6E32">
        <w:rPr>
          <w:rFonts w:ascii="Cambria" w:hAnsi="Cambria"/>
          <w:bCs/>
          <w:sz w:val="20"/>
          <w:szCs w:val="20"/>
          <w:lang w:val="es-ES_tradnl"/>
        </w:rPr>
        <w:t xml:space="preserve"> relacionados a la investigación penal en curso. </w:t>
      </w:r>
    </w:p>
    <w:p w14:paraId="16F3C505" w14:textId="6FC04168" w:rsidR="001057EC" w:rsidRPr="005E6556" w:rsidRDefault="004C15FB" w:rsidP="001057E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Theme="majorHAnsi" w:eastAsia="Cambria" w:hAnsiTheme="majorHAnsi" w:cs="Cambria"/>
          <w:color w:val="000000"/>
          <w:sz w:val="20"/>
          <w:szCs w:val="20"/>
          <w:u w:color="000000"/>
          <w:lang w:val="es-ES_tradnl" w:eastAsia="es-ES"/>
        </w:rPr>
        <w:t>A pesar de ello, e</w:t>
      </w:r>
      <w:r w:rsidR="002A4887" w:rsidRPr="005E6556">
        <w:rPr>
          <w:rFonts w:asciiTheme="majorHAnsi" w:eastAsia="Cambria" w:hAnsiTheme="majorHAnsi" w:cs="Cambria"/>
          <w:color w:val="000000"/>
          <w:sz w:val="20"/>
          <w:szCs w:val="20"/>
          <w:u w:color="000000"/>
          <w:lang w:val="es-ES_tradnl" w:eastAsia="es-ES"/>
        </w:rPr>
        <w:t>l 20 de mayo de 2006</w:t>
      </w:r>
      <w:r w:rsidR="003D6E32">
        <w:rPr>
          <w:rFonts w:asciiTheme="majorHAnsi" w:eastAsia="Cambria" w:hAnsiTheme="majorHAnsi" w:cs="Cambria"/>
          <w:color w:val="000000"/>
          <w:sz w:val="20"/>
          <w:szCs w:val="20"/>
          <w:u w:color="000000"/>
          <w:lang w:val="es-ES_tradnl" w:eastAsia="es-ES"/>
        </w:rPr>
        <w:t>,</w:t>
      </w:r>
      <w:r w:rsidR="002A4887" w:rsidRPr="005E6556">
        <w:rPr>
          <w:rFonts w:asciiTheme="majorHAnsi" w:eastAsia="Cambria" w:hAnsiTheme="majorHAnsi" w:cs="Cambria"/>
          <w:color w:val="000000"/>
          <w:sz w:val="20"/>
          <w:szCs w:val="20"/>
          <w:u w:color="000000"/>
          <w:lang w:val="es-ES_tradnl" w:eastAsia="es-ES"/>
        </w:rPr>
        <w:t xml:space="preserve"> el Juzgado Penal del Callao dispuso el allanamiento para los fines de secuestro e incautación de</w:t>
      </w:r>
      <w:r w:rsidRPr="005E6556">
        <w:rPr>
          <w:rFonts w:asciiTheme="majorHAnsi" w:eastAsia="Cambria" w:hAnsiTheme="majorHAnsi" w:cs="Cambria"/>
          <w:color w:val="000000"/>
          <w:sz w:val="20"/>
          <w:szCs w:val="20"/>
          <w:u w:color="000000"/>
          <w:lang w:val="es-ES_tradnl" w:eastAsia="es-ES"/>
        </w:rPr>
        <w:t xml:space="preserve"> los</w:t>
      </w:r>
      <w:r w:rsidR="002A4887" w:rsidRPr="005E6556">
        <w:rPr>
          <w:rFonts w:asciiTheme="majorHAnsi" w:eastAsia="Cambria" w:hAnsiTheme="majorHAnsi" w:cs="Cambria"/>
          <w:color w:val="000000"/>
          <w:sz w:val="20"/>
          <w:szCs w:val="20"/>
          <w:u w:color="000000"/>
          <w:lang w:val="es-ES_tradnl" w:eastAsia="es-ES"/>
        </w:rPr>
        <w:t xml:space="preserve"> dos inmuebles de propiedad de la señora </w:t>
      </w:r>
      <w:r w:rsidR="002A4887" w:rsidRPr="005E6556">
        <w:rPr>
          <w:rFonts w:ascii="Cambria" w:hAnsi="Cambria"/>
          <w:bCs/>
          <w:sz w:val="20"/>
          <w:szCs w:val="20"/>
          <w:lang w:val="es-ES_tradnl"/>
        </w:rPr>
        <w:t xml:space="preserve">Cáceres de Dijkhuizen. </w:t>
      </w:r>
      <w:r w:rsidRPr="005E6556">
        <w:rPr>
          <w:rFonts w:ascii="Cambria" w:hAnsi="Cambria"/>
          <w:bCs/>
          <w:sz w:val="20"/>
          <w:szCs w:val="20"/>
          <w:lang w:val="es-ES_tradnl"/>
        </w:rPr>
        <w:t>En consecuencia</w:t>
      </w:r>
      <w:r w:rsidR="002A4887" w:rsidRPr="005E6556">
        <w:rPr>
          <w:rFonts w:ascii="Cambria" w:hAnsi="Cambria"/>
          <w:bCs/>
          <w:sz w:val="20"/>
          <w:szCs w:val="20"/>
          <w:lang w:val="es-ES_tradnl"/>
        </w:rPr>
        <w:t>, el 23 de mayo de 2006</w:t>
      </w:r>
      <w:r w:rsidR="003D6E32">
        <w:rPr>
          <w:rFonts w:ascii="Cambria" w:hAnsi="Cambria"/>
          <w:bCs/>
          <w:sz w:val="20"/>
          <w:szCs w:val="20"/>
          <w:lang w:val="es-ES_tradnl"/>
        </w:rPr>
        <w:t>,</w:t>
      </w:r>
      <w:r w:rsidR="002A4887" w:rsidRPr="005E6556">
        <w:rPr>
          <w:rFonts w:ascii="Cambria" w:hAnsi="Cambria"/>
          <w:bCs/>
          <w:sz w:val="20"/>
          <w:szCs w:val="20"/>
          <w:lang w:val="es-ES_tradnl"/>
        </w:rPr>
        <w:t xml:space="preserve"> las autoridades cumplieron </w:t>
      </w:r>
      <w:r w:rsidR="003D6E32">
        <w:rPr>
          <w:rFonts w:ascii="Cambria" w:hAnsi="Cambria"/>
          <w:bCs/>
          <w:sz w:val="20"/>
          <w:szCs w:val="20"/>
          <w:lang w:val="es-ES_tradnl"/>
        </w:rPr>
        <w:t>la mencionada</w:t>
      </w:r>
      <w:r w:rsidR="003D6E32" w:rsidRPr="005E6556">
        <w:rPr>
          <w:rFonts w:ascii="Cambria" w:hAnsi="Cambria"/>
          <w:bCs/>
          <w:sz w:val="20"/>
          <w:szCs w:val="20"/>
          <w:lang w:val="es-ES_tradnl"/>
        </w:rPr>
        <w:t xml:space="preserve"> </w:t>
      </w:r>
      <w:r w:rsidR="002A4887" w:rsidRPr="005E6556">
        <w:rPr>
          <w:rFonts w:ascii="Cambria" w:hAnsi="Cambria"/>
          <w:bCs/>
          <w:sz w:val="20"/>
          <w:szCs w:val="20"/>
          <w:lang w:val="es-ES_tradnl"/>
        </w:rPr>
        <w:t xml:space="preserve">resolución e incautaron tales </w:t>
      </w:r>
      <w:r w:rsidR="00CB2EBA" w:rsidRPr="005E6556">
        <w:rPr>
          <w:rFonts w:ascii="Cambria" w:hAnsi="Cambria"/>
          <w:bCs/>
          <w:sz w:val="20"/>
          <w:szCs w:val="20"/>
          <w:lang w:val="es-ES_tradnl"/>
        </w:rPr>
        <w:t>propiedades</w:t>
      </w:r>
      <w:r w:rsidR="002A4887" w:rsidRPr="005E6556">
        <w:rPr>
          <w:rFonts w:ascii="Cambria" w:hAnsi="Cambria"/>
          <w:bCs/>
          <w:sz w:val="20"/>
          <w:szCs w:val="20"/>
          <w:lang w:val="es-ES_tradnl"/>
        </w:rPr>
        <w:t xml:space="preserve"> como medida cautelar y</w:t>
      </w:r>
      <w:r w:rsidRPr="005E6556">
        <w:rPr>
          <w:rFonts w:ascii="Cambria" w:hAnsi="Cambria"/>
          <w:bCs/>
          <w:sz w:val="20"/>
          <w:szCs w:val="20"/>
          <w:lang w:val="es-ES_tradnl"/>
        </w:rPr>
        <w:t xml:space="preserve"> el 20 de octubre de 2006</w:t>
      </w:r>
      <w:r w:rsidR="003D6E32">
        <w:rPr>
          <w:rFonts w:ascii="Cambria" w:hAnsi="Cambria"/>
          <w:bCs/>
          <w:sz w:val="20"/>
          <w:szCs w:val="20"/>
          <w:lang w:val="es-ES_tradnl"/>
        </w:rPr>
        <w:t>,</w:t>
      </w:r>
      <w:r w:rsidRPr="005E6556">
        <w:rPr>
          <w:rFonts w:ascii="Cambria" w:hAnsi="Cambria"/>
          <w:bCs/>
          <w:sz w:val="20"/>
          <w:szCs w:val="20"/>
          <w:lang w:val="es-ES_tradnl"/>
        </w:rPr>
        <w:t xml:space="preserve"> el Séptimo Juzgado Penal del Callao ejecut</w:t>
      </w:r>
      <w:r w:rsidR="00CB2EBA" w:rsidRPr="005E6556">
        <w:rPr>
          <w:rFonts w:ascii="Cambria" w:hAnsi="Cambria"/>
          <w:bCs/>
          <w:sz w:val="20"/>
          <w:szCs w:val="20"/>
          <w:lang w:val="es-ES_tradnl"/>
        </w:rPr>
        <w:t>ó</w:t>
      </w:r>
      <w:r w:rsidRPr="005E6556">
        <w:rPr>
          <w:rFonts w:ascii="Cambria" w:hAnsi="Cambria"/>
          <w:bCs/>
          <w:sz w:val="20"/>
          <w:szCs w:val="20"/>
          <w:lang w:val="es-ES_tradnl"/>
        </w:rPr>
        <w:t xml:space="preserve"> su embargo en forma de inscripción preventiva. </w:t>
      </w:r>
    </w:p>
    <w:p w14:paraId="5600EEB3" w14:textId="3D9A1709" w:rsidR="00CB2EBA" w:rsidRPr="005E6556" w:rsidRDefault="00B43C3A" w:rsidP="00CB2EB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E</w:t>
      </w:r>
      <w:r w:rsidR="00CB2EBA" w:rsidRPr="005E6556">
        <w:rPr>
          <w:rFonts w:ascii="Cambria" w:hAnsi="Cambria"/>
          <w:bCs/>
          <w:sz w:val="20"/>
          <w:szCs w:val="20"/>
          <w:lang w:val="es-ES_tradnl"/>
        </w:rPr>
        <w:t>l 24 de agosto de 2006</w:t>
      </w:r>
      <w:r w:rsidR="003D6E32">
        <w:rPr>
          <w:rFonts w:ascii="Cambria" w:hAnsi="Cambria"/>
          <w:bCs/>
          <w:sz w:val="20"/>
          <w:szCs w:val="20"/>
          <w:lang w:val="es-ES_tradnl"/>
        </w:rPr>
        <w:t>,</w:t>
      </w:r>
      <w:r w:rsidR="00CB2EBA" w:rsidRPr="005E6556">
        <w:rPr>
          <w:rFonts w:ascii="Cambria" w:hAnsi="Cambria"/>
          <w:bCs/>
          <w:sz w:val="20"/>
          <w:szCs w:val="20"/>
          <w:lang w:val="es-ES_tradnl"/>
        </w:rPr>
        <w:t xml:space="preserve"> la defensa de la señora Cáceres de Dijkhuizen solicitó la devolución de los inmuebles embargados, argumentando que no existía evidencia </w:t>
      </w:r>
      <w:r w:rsidR="003D6E32">
        <w:rPr>
          <w:rFonts w:ascii="Cambria" w:hAnsi="Cambria"/>
          <w:bCs/>
          <w:sz w:val="20"/>
          <w:szCs w:val="20"/>
          <w:lang w:val="es-ES_tradnl"/>
        </w:rPr>
        <w:t xml:space="preserve">de </w:t>
      </w:r>
      <w:r w:rsidR="00CB2EBA" w:rsidRPr="005E6556">
        <w:rPr>
          <w:rFonts w:ascii="Cambria" w:hAnsi="Cambria"/>
          <w:bCs/>
          <w:sz w:val="20"/>
          <w:szCs w:val="20"/>
          <w:lang w:val="es-ES_tradnl"/>
        </w:rPr>
        <w:t>que dichas propiedades hayan sido adquiridas con dinero proveniente de actividades ilícitas y resaltando que la presunta víctima no había sido comprendida en el auto de apertura de instrucción proferido por la Fiscalía. Además, refiere que se aportaron pruebas que demostraban que los citados inmuebles fueron obtenidos de manera lícita. No obstante, el 5 de enero de 2007</w:t>
      </w:r>
      <w:r w:rsidR="003D6E32">
        <w:rPr>
          <w:rFonts w:ascii="Cambria" w:hAnsi="Cambria"/>
          <w:bCs/>
          <w:sz w:val="20"/>
          <w:szCs w:val="20"/>
          <w:lang w:val="es-ES_tradnl"/>
        </w:rPr>
        <w:t>,</w:t>
      </w:r>
      <w:r w:rsidR="00CB2EBA" w:rsidRPr="005E6556">
        <w:rPr>
          <w:rFonts w:ascii="Cambria" w:hAnsi="Cambria"/>
          <w:bCs/>
          <w:sz w:val="20"/>
          <w:szCs w:val="20"/>
          <w:lang w:val="es-ES_tradnl"/>
        </w:rPr>
        <w:t xml:space="preserve"> el Séptimo Juzgado Penal del Callao declaró improcedente tal </w:t>
      </w:r>
      <w:r w:rsidR="003D6E32">
        <w:rPr>
          <w:rFonts w:ascii="Cambria" w:hAnsi="Cambria"/>
          <w:bCs/>
          <w:sz w:val="20"/>
          <w:szCs w:val="20"/>
          <w:lang w:val="es-ES_tradnl"/>
        </w:rPr>
        <w:t>solicitud</w:t>
      </w:r>
      <w:r w:rsidR="00CB2EBA" w:rsidRPr="005E6556">
        <w:rPr>
          <w:rFonts w:ascii="Cambria" w:hAnsi="Cambria"/>
          <w:bCs/>
          <w:sz w:val="20"/>
          <w:szCs w:val="20"/>
          <w:lang w:val="es-ES_tradnl"/>
        </w:rPr>
        <w:t>, argumentando que la presunta víctima sí se encontró comprendida en la investigación y que sí existían indicios de que las citadas propiedades habrían estado involucradas en transacciones irregulares. Ante ello, el 15 de enero de 2007</w:t>
      </w:r>
      <w:r w:rsidR="003D6E32">
        <w:rPr>
          <w:rFonts w:ascii="Cambria" w:hAnsi="Cambria"/>
          <w:bCs/>
          <w:sz w:val="20"/>
          <w:szCs w:val="20"/>
          <w:lang w:val="es-ES_tradnl"/>
        </w:rPr>
        <w:t>,</w:t>
      </w:r>
      <w:r w:rsidR="00CB2EBA" w:rsidRPr="005E6556">
        <w:rPr>
          <w:rFonts w:ascii="Cambria" w:hAnsi="Cambria"/>
          <w:bCs/>
          <w:sz w:val="20"/>
          <w:szCs w:val="20"/>
          <w:lang w:val="es-ES_tradnl"/>
        </w:rPr>
        <w:t xml:space="preserve"> la representación de la presunta víctima interpuso recurso de apelación, pero </w:t>
      </w:r>
      <w:r w:rsidR="00A55D84" w:rsidRPr="005E6556">
        <w:rPr>
          <w:rFonts w:ascii="Cambria" w:hAnsi="Cambria"/>
          <w:bCs/>
          <w:sz w:val="20"/>
          <w:szCs w:val="20"/>
          <w:lang w:val="es-ES_tradnl"/>
        </w:rPr>
        <w:t>este result</w:t>
      </w:r>
      <w:r w:rsidR="00F76391" w:rsidRPr="005E6556">
        <w:rPr>
          <w:rFonts w:ascii="Cambria" w:hAnsi="Cambria"/>
          <w:bCs/>
          <w:sz w:val="20"/>
          <w:szCs w:val="20"/>
          <w:lang w:val="es-ES_tradnl"/>
        </w:rPr>
        <w:t>ó</w:t>
      </w:r>
      <w:r w:rsidR="00A55D84" w:rsidRPr="005E6556">
        <w:rPr>
          <w:rFonts w:ascii="Cambria" w:hAnsi="Cambria"/>
          <w:bCs/>
          <w:sz w:val="20"/>
          <w:szCs w:val="20"/>
          <w:lang w:val="es-ES_tradnl"/>
        </w:rPr>
        <w:t xml:space="preserve"> infructuoso</w:t>
      </w:r>
      <w:r w:rsidR="00BA44AF" w:rsidRPr="005E6556">
        <w:rPr>
          <w:rFonts w:ascii="Cambria" w:hAnsi="Cambria"/>
          <w:bCs/>
          <w:sz w:val="20"/>
          <w:szCs w:val="20"/>
          <w:lang w:val="es-ES_tradnl"/>
        </w:rPr>
        <w:t xml:space="preserve"> –la peticionaria no aporta mayores detalles de este recurso–</w:t>
      </w:r>
      <w:r w:rsidR="00A55D84" w:rsidRPr="005E6556">
        <w:rPr>
          <w:rFonts w:ascii="Cambria" w:hAnsi="Cambria"/>
          <w:bCs/>
          <w:sz w:val="20"/>
          <w:szCs w:val="20"/>
          <w:lang w:val="es-ES_tradnl"/>
        </w:rPr>
        <w:t xml:space="preserve">. </w:t>
      </w:r>
    </w:p>
    <w:p w14:paraId="3CB0FCE2" w14:textId="517E5E0A" w:rsidR="00154B09" w:rsidRPr="005E6556" w:rsidRDefault="00154B09" w:rsidP="00154B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Cambria" w:hAnsiTheme="majorHAnsi" w:cs="Cambria"/>
          <w:b/>
          <w:bCs/>
          <w:i/>
          <w:iCs/>
          <w:color w:val="000000"/>
          <w:sz w:val="20"/>
          <w:szCs w:val="20"/>
          <w:u w:color="000000"/>
          <w:lang w:val="es-ES_tradnl" w:eastAsia="es-ES"/>
        </w:rPr>
      </w:pPr>
      <w:r w:rsidRPr="005E6556">
        <w:rPr>
          <w:rFonts w:asciiTheme="majorHAnsi" w:eastAsia="Cambria" w:hAnsiTheme="majorHAnsi" w:cs="Cambria"/>
          <w:i/>
          <w:iCs/>
          <w:color w:val="000000"/>
          <w:sz w:val="20"/>
          <w:szCs w:val="20"/>
          <w:u w:color="000000"/>
          <w:lang w:val="es-ES_tradnl" w:eastAsia="es-ES"/>
        </w:rPr>
        <w:t>Solicitud de devolución del primer inmueble</w:t>
      </w:r>
    </w:p>
    <w:p w14:paraId="55447B8A" w14:textId="54FC1742" w:rsidR="00A7575A" w:rsidRPr="005E6556" w:rsidRDefault="00B21647" w:rsidP="00A7575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Luego de cuatro años</w:t>
      </w:r>
      <w:r w:rsidR="00121D7E" w:rsidRPr="005E6556">
        <w:rPr>
          <w:rFonts w:ascii="Cambria" w:hAnsi="Cambria"/>
          <w:bCs/>
          <w:sz w:val="20"/>
          <w:szCs w:val="20"/>
          <w:lang w:val="es-ES_tradnl"/>
        </w:rPr>
        <w:t xml:space="preserve">, el 30 de marzo de 2011 la señora </w:t>
      </w:r>
      <w:r w:rsidRPr="005E6556">
        <w:rPr>
          <w:rFonts w:ascii="Cambria" w:hAnsi="Cambria"/>
          <w:bCs/>
          <w:sz w:val="20"/>
          <w:szCs w:val="20"/>
          <w:lang w:val="es-ES_tradnl"/>
        </w:rPr>
        <w:t xml:space="preserve">Cáceres de Dijkhuizen solicitó nuevamente la desafectación y entrega de uno de los inmuebles, argumentando que </w:t>
      </w:r>
      <w:r w:rsidR="003D6E32">
        <w:rPr>
          <w:rFonts w:ascii="Cambria" w:hAnsi="Cambria"/>
          <w:bCs/>
          <w:sz w:val="20"/>
          <w:szCs w:val="20"/>
          <w:lang w:val="es-ES_tradnl"/>
        </w:rPr>
        <w:t xml:space="preserve">éste </w:t>
      </w:r>
      <w:r w:rsidRPr="005E6556">
        <w:rPr>
          <w:rFonts w:ascii="Cambria" w:hAnsi="Cambria"/>
          <w:bCs/>
          <w:sz w:val="20"/>
          <w:szCs w:val="20"/>
          <w:lang w:val="es-ES_tradnl"/>
        </w:rPr>
        <w:t>era de su propiedad y que no había sido procesada por delito alguno. En razón a ello, el 2 de abril de 2012</w:t>
      </w:r>
      <w:r w:rsidR="003D6E32">
        <w:rPr>
          <w:rFonts w:ascii="Cambria" w:hAnsi="Cambria"/>
          <w:bCs/>
          <w:sz w:val="20"/>
          <w:szCs w:val="20"/>
          <w:lang w:val="es-ES_tradnl"/>
        </w:rPr>
        <w:t>,</w:t>
      </w:r>
      <w:r w:rsidRPr="005E6556">
        <w:rPr>
          <w:rFonts w:ascii="Cambria" w:hAnsi="Cambria"/>
          <w:bCs/>
          <w:sz w:val="20"/>
          <w:szCs w:val="20"/>
          <w:lang w:val="es-ES_tradnl"/>
        </w:rPr>
        <w:t xml:space="preserve"> el Cuarto Juzgado Penal Supraprovincial declaró procedente tal pedido, al considerar que</w:t>
      </w:r>
      <w:r w:rsidR="00E94CEC">
        <w:rPr>
          <w:rFonts w:ascii="Cambria" w:hAnsi="Cambria"/>
          <w:bCs/>
          <w:sz w:val="20"/>
          <w:szCs w:val="20"/>
          <w:lang w:val="es-ES_tradnl"/>
        </w:rPr>
        <w:t>,</w:t>
      </w:r>
      <w:r w:rsidRPr="005E6556">
        <w:rPr>
          <w:rFonts w:ascii="Cambria" w:hAnsi="Cambria"/>
          <w:bCs/>
          <w:sz w:val="20"/>
          <w:szCs w:val="20"/>
          <w:lang w:val="es-ES_tradnl"/>
        </w:rPr>
        <w:t xml:space="preserve"> en el 2000</w:t>
      </w:r>
      <w:r w:rsidR="003D6E32">
        <w:rPr>
          <w:rFonts w:ascii="Cambria" w:hAnsi="Cambria"/>
          <w:bCs/>
          <w:sz w:val="20"/>
          <w:szCs w:val="20"/>
          <w:lang w:val="es-ES_tradnl"/>
        </w:rPr>
        <w:t>,</w:t>
      </w:r>
      <w:r w:rsidRPr="005E6556">
        <w:rPr>
          <w:rFonts w:ascii="Cambria" w:hAnsi="Cambria"/>
          <w:bCs/>
          <w:sz w:val="20"/>
          <w:szCs w:val="20"/>
          <w:lang w:val="es-ES_tradnl"/>
        </w:rPr>
        <w:t xml:space="preserve"> la presunta víctima adquirió la propiedad de dicho bien y que no existían indicios </w:t>
      </w:r>
      <w:r w:rsidR="003D6E32">
        <w:rPr>
          <w:rFonts w:ascii="Cambria" w:hAnsi="Cambria"/>
          <w:bCs/>
          <w:sz w:val="20"/>
          <w:szCs w:val="20"/>
          <w:lang w:val="es-ES_tradnl"/>
        </w:rPr>
        <w:t xml:space="preserve">de </w:t>
      </w:r>
      <w:r w:rsidRPr="005E6556">
        <w:rPr>
          <w:rFonts w:ascii="Cambria" w:hAnsi="Cambria"/>
          <w:bCs/>
          <w:sz w:val="20"/>
          <w:szCs w:val="20"/>
          <w:lang w:val="es-ES_tradnl"/>
        </w:rPr>
        <w:t>que tuviese conocimiento que la referida propiedad proviniese de algún acto ilícito, constituyéndose como adquiriente de buena fe. Refiere que</w:t>
      </w:r>
      <w:r w:rsidR="003D6E32">
        <w:rPr>
          <w:rFonts w:ascii="Cambria" w:hAnsi="Cambria"/>
          <w:bCs/>
          <w:sz w:val="20"/>
          <w:szCs w:val="20"/>
          <w:lang w:val="es-ES_tradnl"/>
        </w:rPr>
        <w:t>,</w:t>
      </w:r>
      <w:r w:rsidRPr="005E6556">
        <w:rPr>
          <w:rFonts w:ascii="Cambria" w:hAnsi="Cambria"/>
          <w:bCs/>
          <w:sz w:val="20"/>
          <w:szCs w:val="20"/>
          <w:lang w:val="es-ES_tradnl"/>
        </w:rPr>
        <w:t xml:space="preserve"> </w:t>
      </w:r>
      <w:r w:rsidR="00A7575A" w:rsidRPr="005E6556">
        <w:rPr>
          <w:rFonts w:ascii="Cambria" w:hAnsi="Cambria"/>
          <w:bCs/>
          <w:sz w:val="20"/>
          <w:szCs w:val="20"/>
          <w:lang w:val="es-ES_tradnl"/>
        </w:rPr>
        <w:t>a pesar de que</w:t>
      </w:r>
      <w:r w:rsidRPr="005E6556">
        <w:rPr>
          <w:rFonts w:ascii="Cambria" w:hAnsi="Cambria"/>
          <w:bCs/>
          <w:sz w:val="20"/>
          <w:szCs w:val="20"/>
          <w:lang w:val="es-ES_tradnl"/>
        </w:rPr>
        <w:t xml:space="preserve"> la Procuraduría Pública de Tráfico Ilícito de Drogas y Lavado de Act</w:t>
      </w:r>
      <w:r w:rsidR="008E32A6" w:rsidRPr="005E6556">
        <w:rPr>
          <w:rFonts w:ascii="Cambria" w:hAnsi="Cambria"/>
          <w:bCs/>
          <w:sz w:val="20"/>
          <w:szCs w:val="20"/>
          <w:lang w:val="es-ES_tradnl"/>
        </w:rPr>
        <w:t>ivos</w:t>
      </w:r>
      <w:r w:rsidRPr="005E6556">
        <w:rPr>
          <w:rFonts w:ascii="Cambria" w:hAnsi="Cambria"/>
          <w:bCs/>
          <w:sz w:val="20"/>
          <w:szCs w:val="20"/>
          <w:lang w:val="es-ES_tradnl"/>
        </w:rPr>
        <w:t xml:space="preserve"> impugnó esta decisión, el 22 de octubre de 2012</w:t>
      </w:r>
      <w:r w:rsidR="003D6E32">
        <w:rPr>
          <w:rFonts w:ascii="Cambria" w:hAnsi="Cambria"/>
          <w:bCs/>
          <w:sz w:val="20"/>
          <w:szCs w:val="20"/>
          <w:lang w:val="es-ES_tradnl"/>
        </w:rPr>
        <w:t>,</w:t>
      </w:r>
      <w:r w:rsidRPr="005E6556">
        <w:rPr>
          <w:rFonts w:ascii="Cambria" w:hAnsi="Cambria"/>
          <w:bCs/>
          <w:sz w:val="20"/>
          <w:szCs w:val="20"/>
          <w:lang w:val="es-ES_tradnl"/>
        </w:rPr>
        <w:t xml:space="preserve"> la Sala Penal Nacional confirmó la resolución y la procedencia de la solicitud de desafectación del referido inmueble. </w:t>
      </w:r>
    </w:p>
    <w:p w14:paraId="3B4CBC5B" w14:textId="01CB4F0F" w:rsidR="00A7575A" w:rsidRPr="005E6556" w:rsidRDefault="00A7575A" w:rsidP="00A7575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 xml:space="preserve">Sin embargo, el 28 de noviembre del 2012 dicha </w:t>
      </w:r>
      <w:r w:rsidR="00E94CEC">
        <w:rPr>
          <w:rFonts w:ascii="Cambria" w:hAnsi="Cambria"/>
          <w:bCs/>
          <w:sz w:val="20"/>
          <w:szCs w:val="20"/>
          <w:lang w:val="es-ES_tradnl"/>
        </w:rPr>
        <w:t>P</w:t>
      </w:r>
      <w:r w:rsidRPr="005E6556">
        <w:rPr>
          <w:rFonts w:ascii="Cambria" w:hAnsi="Cambria"/>
          <w:bCs/>
          <w:sz w:val="20"/>
          <w:szCs w:val="20"/>
          <w:lang w:val="es-ES_tradnl"/>
        </w:rPr>
        <w:t>rocuraduría presentó una queja excepcional contra esta decisión, la cual</w:t>
      </w:r>
      <w:r w:rsidR="003D6E32">
        <w:rPr>
          <w:rFonts w:ascii="Cambria" w:hAnsi="Cambria"/>
          <w:bCs/>
          <w:sz w:val="20"/>
          <w:szCs w:val="20"/>
          <w:lang w:val="es-ES_tradnl"/>
        </w:rPr>
        <w:t>,</w:t>
      </w:r>
      <w:r w:rsidRPr="005E6556">
        <w:rPr>
          <w:rFonts w:ascii="Cambria" w:hAnsi="Cambria"/>
          <w:bCs/>
          <w:sz w:val="20"/>
          <w:szCs w:val="20"/>
          <w:lang w:val="es-ES_tradnl"/>
        </w:rPr>
        <w:t xml:space="preserve"> a la fecha de presentación de </w:t>
      </w:r>
      <w:r w:rsidR="004E269C" w:rsidRPr="005E6556">
        <w:rPr>
          <w:rFonts w:ascii="Cambria" w:hAnsi="Cambria"/>
          <w:bCs/>
          <w:sz w:val="20"/>
          <w:szCs w:val="20"/>
          <w:lang w:val="es-ES_tradnl"/>
        </w:rPr>
        <w:t>la</w:t>
      </w:r>
      <w:r w:rsidRPr="005E6556">
        <w:rPr>
          <w:rFonts w:ascii="Cambria" w:hAnsi="Cambria"/>
          <w:bCs/>
          <w:sz w:val="20"/>
          <w:szCs w:val="20"/>
          <w:lang w:val="es-ES_tradnl"/>
        </w:rPr>
        <w:t xml:space="preserve"> petición</w:t>
      </w:r>
      <w:r w:rsidR="003D6E32">
        <w:rPr>
          <w:rFonts w:ascii="Cambria" w:hAnsi="Cambria"/>
          <w:bCs/>
          <w:sz w:val="20"/>
          <w:szCs w:val="20"/>
          <w:lang w:val="es-ES_tradnl"/>
        </w:rPr>
        <w:t>,</w:t>
      </w:r>
      <w:r w:rsidRPr="005E6556">
        <w:rPr>
          <w:rFonts w:ascii="Cambria" w:hAnsi="Cambria"/>
          <w:bCs/>
          <w:sz w:val="20"/>
          <w:szCs w:val="20"/>
          <w:lang w:val="es-ES_tradnl"/>
        </w:rPr>
        <w:t xml:space="preserve"> aún no había sido resuelta. </w:t>
      </w:r>
      <w:r w:rsidR="004E269C" w:rsidRPr="005E6556">
        <w:rPr>
          <w:rFonts w:asciiTheme="majorHAnsi" w:eastAsia="Cambria" w:hAnsiTheme="majorHAnsi" w:cs="Cambria"/>
          <w:color w:val="000000"/>
          <w:sz w:val="20"/>
          <w:szCs w:val="20"/>
          <w:u w:color="000000"/>
          <w:lang w:val="es-ES_tradnl" w:eastAsia="es-ES"/>
        </w:rPr>
        <w:t>El peticionario sostiene</w:t>
      </w:r>
      <w:r w:rsidR="00E94CEC">
        <w:rPr>
          <w:rFonts w:asciiTheme="majorHAnsi" w:eastAsia="Cambria" w:hAnsiTheme="majorHAnsi" w:cs="Cambria"/>
          <w:color w:val="000000"/>
          <w:sz w:val="20"/>
          <w:szCs w:val="20"/>
          <w:u w:color="000000"/>
          <w:lang w:val="es-ES_tradnl" w:eastAsia="es-ES"/>
        </w:rPr>
        <w:t>,</w:t>
      </w:r>
      <w:r w:rsidR="004E269C" w:rsidRPr="005E6556">
        <w:rPr>
          <w:rFonts w:asciiTheme="majorHAnsi" w:eastAsia="Cambria" w:hAnsiTheme="majorHAnsi" w:cs="Cambria"/>
          <w:color w:val="000000"/>
          <w:sz w:val="20"/>
          <w:szCs w:val="20"/>
          <w:u w:color="000000"/>
          <w:lang w:val="es-ES_tradnl" w:eastAsia="es-ES"/>
        </w:rPr>
        <w:t xml:space="preserve"> además</w:t>
      </w:r>
      <w:r w:rsidR="00E94CEC">
        <w:rPr>
          <w:rFonts w:asciiTheme="majorHAnsi" w:eastAsia="Cambria" w:hAnsiTheme="majorHAnsi" w:cs="Cambria"/>
          <w:color w:val="000000"/>
          <w:sz w:val="20"/>
          <w:szCs w:val="20"/>
          <w:u w:color="000000"/>
          <w:lang w:val="es-ES_tradnl" w:eastAsia="es-ES"/>
        </w:rPr>
        <w:t>,</w:t>
      </w:r>
      <w:r w:rsidRPr="005E6556">
        <w:rPr>
          <w:rFonts w:asciiTheme="majorHAnsi" w:eastAsia="Cambria" w:hAnsiTheme="majorHAnsi" w:cs="Cambria"/>
          <w:color w:val="000000"/>
          <w:sz w:val="20"/>
          <w:szCs w:val="20"/>
          <w:u w:color="000000"/>
          <w:lang w:val="es-ES_tradnl" w:eastAsia="es-ES"/>
        </w:rPr>
        <w:t xml:space="preserve"> que a pesar de que en octubre de 2012 se confirmó la desafectación del bien de la señora </w:t>
      </w:r>
      <w:r w:rsidRPr="005E6556">
        <w:rPr>
          <w:rFonts w:ascii="Cambria" w:hAnsi="Cambria"/>
          <w:bCs/>
          <w:sz w:val="20"/>
          <w:szCs w:val="20"/>
          <w:lang w:val="es-ES_tradnl"/>
        </w:rPr>
        <w:t>Cáceres de Dijkhuizen</w:t>
      </w:r>
      <w:r w:rsidR="00EF0AF0" w:rsidRPr="005E6556">
        <w:rPr>
          <w:rFonts w:ascii="Cambria" w:hAnsi="Cambria"/>
          <w:bCs/>
          <w:sz w:val="20"/>
          <w:szCs w:val="20"/>
          <w:lang w:val="es-ES_tradnl"/>
        </w:rPr>
        <w:t>, esta</w:t>
      </w:r>
      <w:r w:rsidRPr="005E6556">
        <w:rPr>
          <w:rFonts w:ascii="Cambria" w:hAnsi="Cambria"/>
          <w:bCs/>
          <w:sz w:val="20"/>
          <w:szCs w:val="20"/>
          <w:lang w:val="es-ES_tradnl"/>
        </w:rPr>
        <w:t xml:space="preserve"> tuvo que esperar hasta el 30 de abril de 2013 para que se le entregar</w:t>
      </w:r>
      <w:r w:rsidR="00E94CEC">
        <w:rPr>
          <w:rFonts w:ascii="Cambria" w:hAnsi="Cambria"/>
          <w:bCs/>
          <w:sz w:val="20"/>
          <w:szCs w:val="20"/>
          <w:lang w:val="es-ES_tradnl"/>
        </w:rPr>
        <w:t>a</w:t>
      </w:r>
      <w:r w:rsidR="00A46407" w:rsidRPr="005E6556">
        <w:rPr>
          <w:rFonts w:ascii="Cambria" w:hAnsi="Cambria"/>
          <w:bCs/>
          <w:sz w:val="20"/>
          <w:szCs w:val="20"/>
          <w:lang w:val="es-ES_tradnl"/>
        </w:rPr>
        <w:t xml:space="preserve"> y </w:t>
      </w:r>
      <w:r w:rsidR="00443316" w:rsidRPr="005E6556">
        <w:rPr>
          <w:rFonts w:ascii="Cambria" w:hAnsi="Cambria"/>
          <w:bCs/>
          <w:sz w:val="20"/>
          <w:szCs w:val="20"/>
          <w:lang w:val="es-ES_tradnl"/>
        </w:rPr>
        <w:t>que las autoridades</w:t>
      </w:r>
      <w:r w:rsidR="00A46407" w:rsidRPr="005E6556">
        <w:rPr>
          <w:rFonts w:ascii="Cambria" w:hAnsi="Cambria"/>
          <w:bCs/>
          <w:sz w:val="20"/>
          <w:szCs w:val="20"/>
          <w:lang w:val="es-ES_tradnl"/>
        </w:rPr>
        <w:t xml:space="preserve"> le</w:t>
      </w:r>
      <w:r w:rsidR="00443316" w:rsidRPr="005E6556">
        <w:rPr>
          <w:rFonts w:ascii="Cambria" w:hAnsi="Cambria"/>
          <w:bCs/>
          <w:sz w:val="20"/>
          <w:szCs w:val="20"/>
          <w:lang w:val="es-ES_tradnl"/>
        </w:rPr>
        <w:t xml:space="preserve"> devolvieron tal propiedad en pésimas condiciones</w:t>
      </w:r>
      <w:r w:rsidR="003740B6" w:rsidRPr="005E6556">
        <w:rPr>
          <w:rFonts w:ascii="Cambria" w:hAnsi="Cambria"/>
          <w:bCs/>
          <w:sz w:val="20"/>
          <w:szCs w:val="20"/>
          <w:lang w:val="es-ES_tradnl"/>
        </w:rPr>
        <w:t xml:space="preserve">, </w:t>
      </w:r>
      <w:r w:rsidR="00443316" w:rsidRPr="005E6556">
        <w:rPr>
          <w:rFonts w:ascii="Cambria" w:hAnsi="Cambria"/>
          <w:bCs/>
          <w:sz w:val="20"/>
          <w:szCs w:val="20"/>
          <w:lang w:val="es-ES_tradnl"/>
        </w:rPr>
        <w:t>con modificaciones que alteraron su estructura</w:t>
      </w:r>
      <w:r w:rsidR="003740B6" w:rsidRPr="005E6556">
        <w:rPr>
          <w:rFonts w:ascii="Cambria" w:hAnsi="Cambria"/>
          <w:bCs/>
          <w:sz w:val="20"/>
          <w:szCs w:val="20"/>
          <w:lang w:val="es-ES_tradnl"/>
        </w:rPr>
        <w:t xml:space="preserve"> y con deudas por no pagar distintos impuestos prediales y otros tributos. </w:t>
      </w:r>
    </w:p>
    <w:p w14:paraId="6747ABFE" w14:textId="3B2AA2D2" w:rsidR="003740B6" w:rsidRPr="005E6556" w:rsidRDefault="003740B6" w:rsidP="00A7575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Además, refiere que las autoridades no entregaron la totalidad de</w:t>
      </w:r>
      <w:r w:rsidR="00EF0AF0" w:rsidRPr="005E6556">
        <w:rPr>
          <w:rFonts w:ascii="Cambria" w:hAnsi="Cambria"/>
          <w:bCs/>
          <w:sz w:val="20"/>
          <w:szCs w:val="20"/>
          <w:lang w:val="es-ES_tradnl"/>
        </w:rPr>
        <w:t xml:space="preserve"> los</w:t>
      </w:r>
      <w:r w:rsidRPr="005E6556">
        <w:rPr>
          <w:rFonts w:ascii="Cambria" w:hAnsi="Cambria"/>
          <w:bCs/>
          <w:sz w:val="20"/>
          <w:szCs w:val="20"/>
          <w:lang w:val="es-ES_tradnl"/>
        </w:rPr>
        <w:t xml:space="preserve"> bienes que se encontraban en el referido inmueble. Por ello, el 20 de junio de 2013</w:t>
      </w:r>
      <w:r w:rsidR="00E94CEC">
        <w:rPr>
          <w:rFonts w:ascii="Cambria" w:hAnsi="Cambria"/>
          <w:bCs/>
          <w:sz w:val="20"/>
          <w:szCs w:val="20"/>
          <w:lang w:val="es-ES_tradnl"/>
        </w:rPr>
        <w:t>,</w:t>
      </w:r>
      <w:r w:rsidRPr="005E6556">
        <w:rPr>
          <w:rFonts w:ascii="Cambria" w:hAnsi="Cambria"/>
          <w:bCs/>
          <w:sz w:val="20"/>
          <w:szCs w:val="20"/>
          <w:lang w:val="es-ES_tradnl"/>
        </w:rPr>
        <w:t xml:space="preserve"> la señora Cáceres de Dijkhuizen presentó un escrito solicitando la entrega dichos objetos. Sin embargo, el 13 de septiembre de 2013</w:t>
      </w:r>
      <w:r w:rsidR="00E94CEC">
        <w:rPr>
          <w:rFonts w:ascii="Cambria" w:hAnsi="Cambria"/>
          <w:bCs/>
          <w:sz w:val="20"/>
          <w:szCs w:val="20"/>
          <w:lang w:val="es-ES_tradnl"/>
        </w:rPr>
        <w:t>,</w:t>
      </w:r>
      <w:r w:rsidRPr="005E6556">
        <w:rPr>
          <w:rFonts w:ascii="Cambria" w:hAnsi="Cambria"/>
          <w:bCs/>
          <w:sz w:val="20"/>
          <w:szCs w:val="20"/>
          <w:lang w:val="es-ES_tradnl"/>
        </w:rPr>
        <w:t xml:space="preserve"> la Sala Penal Nacional declaró no haber lugar a lo requerido, al considerar que el proceso contra sus hijos aún estaba pendiente de emitir el auto de control de acusación. </w:t>
      </w:r>
    </w:p>
    <w:p w14:paraId="70FC1559" w14:textId="593FE71F" w:rsidR="00154B09" w:rsidRPr="005E6556" w:rsidRDefault="00154B09" w:rsidP="00154B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Cambria" w:hAnsiTheme="majorHAnsi" w:cs="Cambria"/>
          <w:b/>
          <w:bCs/>
          <w:i/>
          <w:iCs/>
          <w:color w:val="000000"/>
          <w:sz w:val="20"/>
          <w:szCs w:val="20"/>
          <w:u w:color="000000"/>
          <w:lang w:val="es-ES_tradnl" w:eastAsia="es-ES"/>
        </w:rPr>
      </w:pPr>
      <w:r w:rsidRPr="005E6556">
        <w:rPr>
          <w:rFonts w:ascii="Cambria" w:hAnsi="Cambria"/>
          <w:bCs/>
          <w:i/>
          <w:iCs/>
          <w:sz w:val="20"/>
          <w:szCs w:val="20"/>
          <w:lang w:val="es-ES_tradnl"/>
        </w:rPr>
        <w:lastRenderedPageBreak/>
        <w:t>Solicitud de devolución del segundo inmueble</w:t>
      </w:r>
    </w:p>
    <w:p w14:paraId="7D0EB542" w14:textId="1643AA07" w:rsidR="00154B09" w:rsidRPr="005E6556" w:rsidRDefault="00EF0AF0" w:rsidP="00A7575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Theme="majorHAnsi" w:eastAsia="Cambria" w:hAnsiTheme="majorHAnsi" w:cs="Cambria"/>
          <w:color w:val="000000"/>
          <w:sz w:val="20"/>
          <w:szCs w:val="20"/>
          <w:u w:color="000000"/>
          <w:lang w:val="es-ES_tradnl" w:eastAsia="es-ES"/>
        </w:rPr>
        <w:t>El peticionario s</w:t>
      </w:r>
      <w:r w:rsidR="00154B09" w:rsidRPr="005E6556">
        <w:rPr>
          <w:rFonts w:asciiTheme="majorHAnsi" w:eastAsia="Cambria" w:hAnsiTheme="majorHAnsi" w:cs="Cambria"/>
          <w:color w:val="000000"/>
          <w:sz w:val="20"/>
          <w:szCs w:val="20"/>
          <w:u w:color="000000"/>
          <w:lang w:val="es-ES_tradnl" w:eastAsia="es-ES"/>
        </w:rPr>
        <w:t>eñala que el 17 de julio de 2012</w:t>
      </w:r>
      <w:r w:rsidR="00E94CEC">
        <w:rPr>
          <w:rFonts w:asciiTheme="majorHAnsi" w:eastAsia="Cambria" w:hAnsiTheme="majorHAnsi" w:cs="Cambria"/>
          <w:color w:val="000000"/>
          <w:sz w:val="20"/>
          <w:szCs w:val="20"/>
          <w:u w:color="000000"/>
          <w:lang w:val="es-ES_tradnl" w:eastAsia="es-ES"/>
        </w:rPr>
        <w:t>,</w:t>
      </w:r>
      <w:r w:rsidR="00154B09" w:rsidRPr="005E6556">
        <w:rPr>
          <w:rFonts w:asciiTheme="majorHAnsi" w:eastAsia="Cambria" w:hAnsiTheme="majorHAnsi" w:cs="Cambria"/>
          <w:color w:val="000000"/>
          <w:sz w:val="20"/>
          <w:szCs w:val="20"/>
          <w:u w:color="000000"/>
          <w:lang w:val="es-ES_tradnl" w:eastAsia="es-ES"/>
        </w:rPr>
        <w:t xml:space="preserve"> la presunta víctima solicitó la desafectación de su segundo inmueble y </w:t>
      </w:r>
      <w:r w:rsidR="00632E14" w:rsidRPr="005E6556">
        <w:rPr>
          <w:rFonts w:asciiTheme="majorHAnsi" w:eastAsia="Cambria" w:hAnsiTheme="majorHAnsi" w:cs="Cambria"/>
          <w:color w:val="000000"/>
          <w:sz w:val="20"/>
          <w:szCs w:val="20"/>
          <w:u w:color="000000"/>
          <w:lang w:val="es-ES_tradnl" w:eastAsia="es-ES"/>
        </w:rPr>
        <w:t xml:space="preserve">que </w:t>
      </w:r>
      <w:r w:rsidR="00154B09" w:rsidRPr="005E6556">
        <w:rPr>
          <w:rFonts w:asciiTheme="majorHAnsi" w:eastAsia="Cambria" w:hAnsiTheme="majorHAnsi" w:cs="Cambria"/>
          <w:color w:val="000000"/>
          <w:sz w:val="20"/>
          <w:szCs w:val="20"/>
          <w:u w:color="000000"/>
          <w:lang w:val="es-ES_tradnl" w:eastAsia="es-ES"/>
        </w:rPr>
        <w:t xml:space="preserve">el 16 de abril de 2013 la Sala Penal Nacional declaró procedente dicho pedido. No obstante, la Procuraduría Pública interpuso </w:t>
      </w:r>
      <w:r w:rsidR="00632E14" w:rsidRPr="005E6556">
        <w:rPr>
          <w:rFonts w:asciiTheme="majorHAnsi" w:eastAsia="Cambria" w:hAnsiTheme="majorHAnsi" w:cs="Cambria"/>
          <w:color w:val="000000"/>
          <w:sz w:val="20"/>
          <w:szCs w:val="20"/>
          <w:u w:color="000000"/>
          <w:lang w:val="es-ES_tradnl" w:eastAsia="es-ES"/>
        </w:rPr>
        <w:t xml:space="preserve">un </w:t>
      </w:r>
      <w:r w:rsidR="00154B09" w:rsidRPr="005E6556">
        <w:rPr>
          <w:rFonts w:asciiTheme="majorHAnsi" w:eastAsia="Cambria" w:hAnsiTheme="majorHAnsi" w:cs="Cambria"/>
          <w:color w:val="000000"/>
          <w:sz w:val="20"/>
          <w:szCs w:val="20"/>
          <w:u w:color="000000"/>
          <w:lang w:val="es-ES_tradnl" w:eastAsia="es-ES"/>
        </w:rPr>
        <w:t>recurso de nulidad contra esta decisión</w:t>
      </w:r>
      <w:r w:rsidR="00467718" w:rsidRPr="005E6556">
        <w:rPr>
          <w:rFonts w:asciiTheme="majorHAnsi" w:eastAsia="Cambria" w:hAnsiTheme="majorHAnsi" w:cs="Cambria"/>
          <w:color w:val="000000"/>
          <w:sz w:val="20"/>
          <w:szCs w:val="20"/>
          <w:u w:color="000000"/>
          <w:lang w:val="es-ES_tradnl" w:eastAsia="es-ES"/>
        </w:rPr>
        <w:t xml:space="preserve"> ante la Corte Suprema de Justicia</w:t>
      </w:r>
      <w:r w:rsidR="00154B09" w:rsidRPr="005E6556">
        <w:rPr>
          <w:rFonts w:asciiTheme="majorHAnsi" w:eastAsia="Cambria" w:hAnsiTheme="majorHAnsi" w:cs="Cambria"/>
          <w:color w:val="000000"/>
          <w:sz w:val="20"/>
          <w:szCs w:val="20"/>
          <w:u w:color="000000"/>
          <w:lang w:val="es-ES_tradnl" w:eastAsia="es-ES"/>
        </w:rPr>
        <w:t>, el cual fue admitido el 5 de junio de 2013</w:t>
      </w:r>
      <w:r w:rsidR="00E94CEC">
        <w:rPr>
          <w:rFonts w:asciiTheme="majorHAnsi" w:eastAsia="Cambria" w:hAnsiTheme="majorHAnsi" w:cs="Cambria"/>
          <w:color w:val="000000"/>
          <w:sz w:val="20"/>
          <w:szCs w:val="20"/>
          <w:u w:color="000000"/>
          <w:lang w:val="es-ES_tradnl" w:eastAsia="es-ES"/>
        </w:rPr>
        <w:t>.</w:t>
      </w:r>
      <w:r w:rsidR="00632E14" w:rsidRPr="005E6556">
        <w:rPr>
          <w:rFonts w:asciiTheme="majorHAnsi" w:eastAsia="Cambria" w:hAnsiTheme="majorHAnsi" w:cs="Cambria"/>
          <w:color w:val="000000"/>
          <w:sz w:val="20"/>
          <w:szCs w:val="20"/>
          <w:u w:color="000000"/>
          <w:lang w:val="es-ES_tradnl" w:eastAsia="es-ES"/>
        </w:rPr>
        <w:t xml:space="preserve"> </w:t>
      </w:r>
      <w:r w:rsidR="00E94CEC">
        <w:rPr>
          <w:rFonts w:asciiTheme="majorHAnsi" w:eastAsia="Cambria" w:hAnsiTheme="majorHAnsi" w:cs="Cambria"/>
          <w:color w:val="000000"/>
          <w:sz w:val="20"/>
          <w:szCs w:val="20"/>
          <w:u w:color="000000"/>
          <w:lang w:val="es-ES_tradnl" w:eastAsia="es-ES"/>
        </w:rPr>
        <w:t>No obstante</w:t>
      </w:r>
      <w:r w:rsidR="00632E14" w:rsidRPr="005E6556">
        <w:rPr>
          <w:rFonts w:asciiTheme="majorHAnsi" w:eastAsia="Cambria" w:hAnsiTheme="majorHAnsi" w:cs="Cambria"/>
          <w:color w:val="000000"/>
          <w:sz w:val="20"/>
          <w:szCs w:val="20"/>
          <w:u w:color="000000"/>
          <w:lang w:val="es-ES_tradnl" w:eastAsia="es-ES"/>
        </w:rPr>
        <w:t>, casi nueve</w:t>
      </w:r>
      <w:r w:rsidR="00C27005" w:rsidRPr="005E6556">
        <w:rPr>
          <w:rFonts w:asciiTheme="majorHAnsi" w:eastAsia="Cambria" w:hAnsiTheme="majorHAnsi" w:cs="Cambria"/>
          <w:color w:val="000000"/>
          <w:sz w:val="20"/>
          <w:szCs w:val="20"/>
          <w:u w:color="000000"/>
          <w:lang w:val="es-ES_tradnl" w:eastAsia="es-ES"/>
        </w:rPr>
        <w:t xml:space="preserve"> meses después,</w:t>
      </w:r>
      <w:r w:rsidR="00CF4174" w:rsidRPr="005E6556">
        <w:rPr>
          <w:rFonts w:asciiTheme="majorHAnsi" w:eastAsia="Cambria" w:hAnsiTheme="majorHAnsi" w:cs="Cambria"/>
          <w:color w:val="000000"/>
          <w:sz w:val="20"/>
          <w:szCs w:val="20"/>
          <w:u w:color="000000"/>
          <w:lang w:val="es-ES_tradnl" w:eastAsia="es-ES"/>
        </w:rPr>
        <w:t xml:space="preserve"> el </w:t>
      </w:r>
      <w:r w:rsidR="00467718" w:rsidRPr="005E6556">
        <w:rPr>
          <w:rFonts w:asciiTheme="majorHAnsi" w:eastAsia="Cambria" w:hAnsiTheme="majorHAnsi" w:cs="Cambria"/>
          <w:color w:val="000000"/>
          <w:sz w:val="20"/>
          <w:szCs w:val="20"/>
          <w:u w:color="000000"/>
          <w:lang w:val="es-ES_tradnl" w:eastAsia="es-ES"/>
        </w:rPr>
        <w:t>3 de marzo</w:t>
      </w:r>
      <w:r w:rsidR="00CF4174" w:rsidRPr="005E6556">
        <w:rPr>
          <w:rFonts w:asciiTheme="majorHAnsi" w:eastAsia="Cambria" w:hAnsiTheme="majorHAnsi" w:cs="Cambria"/>
          <w:color w:val="000000"/>
          <w:sz w:val="20"/>
          <w:szCs w:val="20"/>
          <w:u w:color="000000"/>
          <w:lang w:val="es-ES_tradnl" w:eastAsia="es-ES"/>
        </w:rPr>
        <w:t xml:space="preserve"> de 2014, se</w:t>
      </w:r>
      <w:r w:rsidR="00C27005" w:rsidRPr="005E6556">
        <w:rPr>
          <w:rFonts w:asciiTheme="majorHAnsi" w:eastAsia="Cambria" w:hAnsiTheme="majorHAnsi" w:cs="Cambria"/>
          <w:color w:val="000000"/>
          <w:sz w:val="20"/>
          <w:szCs w:val="20"/>
          <w:u w:color="000000"/>
          <w:lang w:val="es-ES_tradnl" w:eastAsia="es-ES"/>
        </w:rPr>
        <w:t xml:space="preserve"> declaró</w:t>
      </w:r>
      <w:r w:rsidR="00E94CEC">
        <w:rPr>
          <w:rFonts w:asciiTheme="majorHAnsi" w:eastAsia="Cambria" w:hAnsiTheme="majorHAnsi" w:cs="Cambria"/>
          <w:color w:val="000000"/>
          <w:sz w:val="20"/>
          <w:szCs w:val="20"/>
          <w:u w:color="000000"/>
          <w:lang w:val="es-ES_tradnl" w:eastAsia="es-ES"/>
        </w:rPr>
        <w:t xml:space="preserve"> la improcedencia del recurso </w:t>
      </w:r>
      <w:r w:rsidR="00C27005" w:rsidRPr="005E6556">
        <w:rPr>
          <w:rFonts w:asciiTheme="majorHAnsi" w:eastAsia="Cambria" w:hAnsiTheme="majorHAnsi" w:cs="Cambria"/>
          <w:color w:val="000000"/>
          <w:sz w:val="20"/>
          <w:szCs w:val="20"/>
          <w:u w:color="000000"/>
          <w:lang w:val="es-ES_tradnl" w:eastAsia="es-ES"/>
        </w:rPr>
        <w:t>respecto a la decisión cuestionada, confirmando la desafectación de la segunda propiedad de la señora</w:t>
      </w:r>
      <w:r w:rsidR="00C27005" w:rsidRPr="005E6556">
        <w:rPr>
          <w:rFonts w:ascii="Cambria" w:hAnsi="Cambria"/>
          <w:bCs/>
          <w:sz w:val="20"/>
          <w:szCs w:val="20"/>
          <w:lang w:val="es-ES_tradnl"/>
        </w:rPr>
        <w:t xml:space="preserve"> Cáceres de Dijkhuizen.</w:t>
      </w:r>
    </w:p>
    <w:p w14:paraId="7019E743" w14:textId="3CDE82C5" w:rsidR="00C27005" w:rsidRPr="005E6556" w:rsidRDefault="00F21B1F" w:rsidP="0046771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El peticionario reclama que a pesar de estas decisiones favorables a la presunta víctima,</w:t>
      </w:r>
      <w:r w:rsidR="00B24A93" w:rsidRPr="005E6556">
        <w:rPr>
          <w:rFonts w:ascii="Cambria" w:hAnsi="Cambria"/>
          <w:bCs/>
          <w:sz w:val="20"/>
          <w:szCs w:val="20"/>
          <w:lang w:val="es-ES_tradnl"/>
        </w:rPr>
        <w:t xml:space="preserve"> las autoridades no le han devuelto todos los bienes muebles que estaban en dicha propiedad. En particular, resalta que mientras el citado inmueble estuvo bajo </w:t>
      </w:r>
      <w:r w:rsidR="00E94CEC">
        <w:rPr>
          <w:rFonts w:ascii="Cambria" w:hAnsi="Cambria"/>
          <w:bCs/>
          <w:sz w:val="20"/>
          <w:szCs w:val="20"/>
          <w:lang w:val="es-ES_tradnl"/>
        </w:rPr>
        <w:t xml:space="preserve">la </w:t>
      </w:r>
      <w:r w:rsidR="00B24A93" w:rsidRPr="005E6556">
        <w:rPr>
          <w:rFonts w:ascii="Cambria" w:hAnsi="Cambria"/>
          <w:bCs/>
          <w:sz w:val="20"/>
          <w:szCs w:val="20"/>
          <w:lang w:val="es-ES_tradnl"/>
        </w:rPr>
        <w:t>administración del Estado, se produjo el hurto de algunos bienes</w:t>
      </w:r>
      <w:r w:rsidR="00A46407" w:rsidRPr="005E6556">
        <w:rPr>
          <w:rFonts w:ascii="Cambria" w:hAnsi="Cambria"/>
          <w:bCs/>
          <w:sz w:val="20"/>
          <w:szCs w:val="20"/>
          <w:lang w:val="es-ES_tradnl"/>
        </w:rPr>
        <w:t xml:space="preserve"> por parte de terceros privados</w:t>
      </w:r>
      <w:r w:rsidR="00B24A93" w:rsidRPr="005E6556">
        <w:rPr>
          <w:rFonts w:ascii="Cambria" w:hAnsi="Cambria"/>
          <w:bCs/>
          <w:sz w:val="20"/>
          <w:szCs w:val="20"/>
          <w:lang w:val="es-ES_tradnl"/>
        </w:rPr>
        <w:t xml:space="preserve">. </w:t>
      </w:r>
      <w:r w:rsidR="00467718" w:rsidRPr="005E6556">
        <w:rPr>
          <w:rFonts w:ascii="Cambria" w:hAnsi="Cambria"/>
          <w:bCs/>
          <w:sz w:val="20"/>
          <w:szCs w:val="20"/>
          <w:lang w:val="es-ES_tradnl"/>
        </w:rPr>
        <w:t>Señala que</w:t>
      </w:r>
      <w:r w:rsidR="00E94CEC">
        <w:rPr>
          <w:rFonts w:ascii="Cambria" w:hAnsi="Cambria"/>
          <w:bCs/>
          <w:sz w:val="20"/>
          <w:szCs w:val="20"/>
          <w:lang w:val="es-ES_tradnl"/>
        </w:rPr>
        <w:t>,</w:t>
      </w:r>
      <w:r w:rsidR="00467718" w:rsidRPr="005E6556">
        <w:rPr>
          <w:rFonts w:ascii="Cambria" w:hAnsi="Cambria"/>
          <w:bCs/>
          <w:sz w:val="20"/>
          <w:szCs w:val="20"/>
          <w:lang w:val="es-ES_tradnl"/>
        </w:rPr>
        <w:t xml:space="preserve"> debido a tal situación</w:t>
      </w:r>
      <w:r w:rsidR="00E94CEC">
        <w:rPr>
          <w:rFonts w:ascii="Cambria" w:hAnsi="Cambria"/>
          <w:bCs/>
          <w:sz w:val="20"/>
          <w:szCs w:val="20"/>
          <w:lang w:val="es-ES_tradnl"/>
        </w:rPr>
        <w:t>,</w:t>
      </w:r>
      <w:r w:rsidR="00B24A93" w:rsidRPr="005E6556">
        <w:rPr>
          <w:rFonts w:ascii="Cambria" w:hAnsi="Cambria"/>
          <w:bCs/>
          <w:sz w:val="20"/>
          <w:szCs w:val="20"/>
          <w:lang w:val="es-ES_tradnl"/>
        </w:rPr>
        <w:t xml:space="preserve"> solicitó que se realice una inspección respecto de los objetos que se encontraban dentro de la propiedad</w:t>
      </w:r>
      <w:r w:rsidR="00467718" w:rsidRPr="005E6556">
        <w:rPr>
          <w:rFonts w:ascii="Cambria" w:hAnsi="Cambria"/>
          <w:bCs/>
          <w:sz w:val="20"/>
          <w:szCs w:val="20"/>
          <w:lang w:val="es-ES_tradnl"/>
        </w:rPr>
        <w:t>. Sin embargo, refiere que</w:t>
      </w:r>
      <w:r w:rsidR="00B24A93" w:rsidRPr="005E6556">
        <w:rPr>
          <w:rFonts w:ascii="Cambria" w:hAnsi="Cambria"/>
          <w:bCs/>
          <w:sz w:val="20"/>
          <w:szCs w:val="20"/>
          <w:lang w:val="es-ES_tradnl"/>
        </w:rPr>
        <w:t xml:space="preserve"> nunca obtuvo una respuesta positiva, por lo cual no tienen completo conocimiento de los bienes personales que fueron hurtado</w:t>
      </w:r>
      <w:r w:rsidR="00A46407" w:rsidRPr="005E6556">
        <w:rPr>
          <w:rFonts w:ascii="Cambria" w:hAnsi="Cambria"/>
          <w:bCs/>
          <w:sz w:val="20"/>
          <w:szCs w:val="20"/>
          <w:lang w:val="es-ES_tradnl"/>
        </w:rPr>
        <w:t>s</w:t>
      </w:r>
      <w:r w:rsidR="00B24A93" w:rsidRPr="005E6556">
        <w:rPr>
          <w:rFonts w:ascii="Cambria" w:hAnsi="Cambria"/>
          <w:bCs/>
          <w:sz w:val="20"/>
          <w:szCs w:val="20"/>
          <w:lang w:val="es-ES_tradnl"/>
        </w:rPr>
        <w:t>.</w:t>
      </w:r>
    </w:p>
    <w:p w14:paraId="7D4716AA" w14:textId="64545371" w:rsidR="00B24A93" w:rsidRPr="005E6556" w:rsidRDefault="00B24A93" w:rsidP="00B24A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Cambria" w:hAnsiTheme="majorHAnsi" w:cs="Cambria"/>
          <w:b/>
          <w:bCs/>
          <w:i/>
          <w:iCs/>
          <w:color w:val="000000"/>
          <w:sz w:val="20"/>
          <w:szCs w:val="20"/>
          <w:u w:color="000000"/>
          <w:lang w:val="es-ES_tradnl" w:eastAsia="es-ES"/>
        </w:rPr>
      </w:pPr>
      <w:r w:rsidRPr="005E6556">
        <w:rPr>
          <w:rFonts w:ascii="Cambria" w:hAnsi="Cambria"/>
          <w:bCs/>
          <w:i/>
          <w:iCs/>
          <w:sz w:val="20"/>
          <w:szCs w:val="20"/>
          <w:lang w:val="es-ES_tradnl"/>
        </w:rPr>
        <w:t>Alegatos de la parte peticionaria</w:t>
      </w:r>
    </w:p>
    <w:p w14:paraId="5909A303" w14:textId="500176B5" w:rsidR="00B24A93" w:rsidRPr="005E6556" w:rsidRDefault="003D3708" w:rsidP="00A4640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 xml:space="preserve">En virtud de las citadas consideraciones, la parte peticionaria denuncia que </w:t>
      </w:r>
      <w:r w:rsidR="00B24A93" w:rsidRPr="005E6556">
        <w:rPr>
          <w:rFonts w:ascii="Cambria" w:hAnsi="Cambria"/>
          <w:bCs/>
          <w:sz w:val="20"/>
          <w:szCs w:val="20"/>
          <w:lang w:val="es-ES_tradnl"/>
        </w:rPr>
        <w:t xml:space="preserve">a la </w:t>
      </w:r>
      <w:r w:rsidR="00A46407" w:rsidRPr="005E6556">
        <w:rPr>
          <w:rFonts w:ascii="Cambria" w:hAnsi="Cambria"/>
          <w:bCs/>
          <w:sz w:val="20"/>
          <w:szCs w:val="20"/>
          <w:lang w:val="es-ES_tradnl"/>
        </w:rPr>
        <w:t xml:space="preserve">señora Cáceres de Dijkhuizen </w:t>
      </w:r>
      <w:r w:rsidR="00B24A93" w:rsidRPr="005E6556">
        <w:rPr>
          <w:rFonts w:ascii="Cambria" w:hAnsi="Cambria"/>
          <w:bCs/>
          <w:sz w:val="20"/>
          <w:szCs w:val="20"/>
          <w:lang w:val="es-ES_tradnl"/>
        </w:rPr>
        <w:t>se le priv</w:t>
      </w:r>
      <w:r w:rsidR="0068137A" w:rsidRPr="005E6556">
        <w:rPr>
          <w:rFonts w:ascii="Cambria" w:hAnsi="Cambria"/>
          <w:bCs/>
          <w:sz w:val="20"/>
          <w:szCs w:val="20"/>
          <w:lang w:val="es-ES_tradnl"/>
        </w:rPr>
        <w:t>ó</w:t>
      </w:r>
      <w:r w:rsidR="00B24A93" w:rsidRPr="005E6556">
        <w:rPr>
          <w:rFonts w:ascii="Cambria" w:hAnsi="Cambria"/>
          <w:bCs/>
          <w:sz w:val="20"/>
          <w:szCs w:val="20"/>
          <w:lang w:val="es-ES_tradnl"/>
        </w:rPr>
        <w:t xml:space="preserve"> de su derecho a la propiedad durante al menos siete años, </w:t>
      </w:r>
      <w:r w:rsidR="001057EC" w:rsidRPr="005E6556">
        <w:rPr>
          <w:rFonts w:ascii="Cambria" w:hAnsi="Cambria"/>
          <w:bCs/>
          <w:sz w:val="20"/>
          <w:szCs w:val="20"/>
          <w:lang w:val="es-ES_tradnl"/>
        </w:rPr>
        <w:t>a pesar de que</w:t>
      </w:r>
      <w:r w:rsidR="00B24A93" w:rsidRPr="005E6556">
        <w:rPr>
          <w:rFonts w:ascii="Cambria" w:hAnsi="Cambria"/>
          <w:bCs/>
          <w:sz w:val="20"/>
          <w:szCs w:val="20"/>
          <w:lang w:val="es-ES_tradnl"/>
        </w:rPr>
        <w:t xml:space="preserve"> nunca tuvo la condición de imputada ni procesada en el proceso principal. </w:t>
      </w:r>
      <w:r w:rsidR="001057EC" w:rsidRPr="005E6556">
        <w:rPr>
          <w:rFonts w:ascii="Cambria" w:hAnsi="Cambria"/>
          <w:bCs/>
          <w:sz w:val="20"/>
          <w:szCs w:val="20"/>
          <w:lang w:val="es-ES_tradnl"/>
        </w:rPr>
        <w:t xml:space="preserve">Refiere que </w:t>
      </w:r>
      <w:r w:rsidR="00A46407" w:rsidRPr="005E6556">
        <w:rPr>
          <w:rFonts w:ascii="Cambria" w:hAnsi="Cambria"/>
          <w:bCs/>
          <w:sz w:val="20"/>
          <w:szCs w:val="20"/>
          <w:lang w:val="es-ES_tradnl"/>
        </w:rPr>
        <w:t>tal medida cautelar resultó arbitraria</w:t>
      </w:r>
      <w:r w:rsidR="001057EC" w:rsidRPr="005E6556">
        <w:rPr>
          <w:rFonts w:ascii="Cambria" w:hAnsi="Cambria"/>
          <w:bCs/>
          <w:sz w:val="20"/>
          <w:szCs w:val="20"/>
          <w:lang w:val="es-ES_tradnl"/>
        </w:rPr>
        <w:t>, al no probarse desde el inicio que dichos inmuebles hayan sido obtenidos a partir de actividades irregulares</w:t>
      </w:r>
      <w:r w:rsidR="00A46407" w:rsidRPr="005E6556">
        <w:rPr>
          <w:rFonts w:ascii="Cambria" w:hAnsi="Cambria"/>
          <w:bCs/>
          <w:sz w:val="20"/>
          <w:szCs w:val="20"/>
          <w:lang w:val="es-ES_tradnl"/>
        </w:rPr>
        <w:t xml:space="preserve"> y que</w:t>
      </w:r>
      <w:r w:rsidR="001057EC" w:rsidRPr="005E6556">
        <w:rPr>
          <w:rFonts w:ascii="Cambria" w:hAnsi="Cambria"/>
          <w:bCs/>
          <w:sz w:val="20"/>
          <w:szCs w:val="20"/>
          <w:lang w:val="es-ES_tradnl"/>
        </w:rPr>
        <w:t xml:space="preserve"> el tiempo de incautación no </w:t>
      </w:r>
      <w:r w:rsidR="00A46407" w:rsidRPr="005E6556">
        <w:rPr>
          <w:rFonts w:ascii="Cambria" w:hAnsi="Cambria"/>
          <w:bCs/>
          <w:sz w:val="20"/>
          <w:szCs w:val="20"/>
          <w:lang w:val="es-ES_tradnl"/>
        </w:rPr>
        <w:t xml:space="preserve">fue </w:t>
      </w:r>
      <w:r w:rsidR="001057EC" w:rsidRPr="005E6556">
        <w:rPr>
          <w:rFonts w:ascii="Cambria" w:hAnsi="Cambria"/>
          <w:bCs/>
          <w:sz w:val="20"/>
          <w:szCs w:val="20"/>
          <w:lang w:val="es-ES_tradnl"/>
        </w:rPr>
        <w:t xml:space="preserve">razonable. </w:t>
      </w:r>
      <w:r w:rsidR="005D4E25" w:rsidRPr="005E6556">
        <w:rPr>
          <w:rFonts w:ascii="Cambria" w:hAnsi="Cambria"/>
          <w:bCs/>
          <w:sz w:val="20"/>
          <w:szCs w:val="20"/>
          <w:lang w:val="es-ES_tradnl"/>
        </w:rPr>
        <w:t>Finalmente, refiere que las autoridades no han devuelto todos los bienes muebles que se encontraban en tales propiedades y que dichos funcionarios no cumplieron con el R</w:t>
      </w:r>
      <w:r w:rsidR="00443316" w:rsidRPr="005E6556">
        <w:rPr>
          <w:rFonts w:ascii="Cambria" w:hAnsi="Cambria"/>
          <w:bCs/>
          <w:sz w:val="20"/>
          <w:szCs w:val="20"/>
          <w:lang w:val="es-ES_tradnl"/>
        </w:rPr>
        <w:t>eglamento de Administración de Bienes Incautados por Tráfico Ilícito de Drogas</w:t>
      </w:r>
      <w:r w:rsidR="005D4E25" w:rsidRPr="005E6556">
        <w:rPr>
          <w:rFonts w:ascii="Cambria" w:hAnsi="Cambria"/>
          <w:bCs/>
          <w:sz w:val="20"/>
          <w:szCs w:val="20"/>
          <w:lang w:val="es-ES_tradnl"/>
        </w:rPr>
        <w:t>, pues no los gestionaron adecuadamente, provocando daños en estos. Afirma que la familia de la señora Cáceres de Dijkhuizen se ha visto forzada a vender el primer inmueble, en tanto repararlo implicaba un gasto</w:t>
      </w:r>
      <w:r w:rsidR="0068137A" w:rsidRPr="005E6556">
        <w:rPr>
          <w:rFonts w:ascii="Cambria" w:hAnsi="Cambria"/>
          <w:bCs/>
          <w:sz w:val="20"/>
          <w:szCs w:val="20"/>
          <w:lang w:val="es-ES_tradnl"/>
        </w:rPr>
        <w:t xml:space="preserve"> mayor</w:t>
      </w:r>
      <w:r w:rsidR="005D4E25" w:rsidRPr="005E6556">
        <w:rPr>
          <w:rFonts w:ascii="Cambria" w:hAnsi="Cambria"/>
          <w:bCs/>
          <w:sz w:val="20"/>
          <w:szCs w:val="20"/>
          <w:lang w:val="es-ES_tradnl"/>
        </w:rPr>
        <w:t xml:space="preserve">. </w:t>
      </w:r>
      <w:r w:rsidR="00C44482" w:rsidRPr="005E6556">
        <w:rPr>
          <w:rFonts w:ascii="Cambria" w:hAnsi="Cambria"/>
          <w:bCs/>
          <w:sz w:val="20"/>
          <w:szCs w:val="20"/>
          <w:lang w:val="es-ES_tradnl"/>
        </w:rPr>
        <w:t xml:space="preserve">Finalmente, refiere que los citados acontecimientos también afectaron al señor Dijkhuizen, en su condición de cónyuge, dado que, a pesar de no ser propietario de los inmuebles, residía </w:t>
      </w:r>
      <w:r w:rsidR="00871637">
        <w:rPr>
          <w:rFonts w:ascii="Cambria" w:hAnsi="Cambria"/>
          <w:bCs/>
          <w:sz w:val="20"/>
          <w:szCs w:val="20"/>
          <w:lang w:val="es-ES_tradnl"/>
        </w:rPr>
        <w:t>en</w:t>
      </w:r>
      <w:r w:rsidR="00871637" w:rsidRPr="005E6556">
        <w:rPr>
          <w:rFonts w:ascii="Cambria" w:hAnsi="Cambria"/>
          <w:bCs/>
          <w:sz w:val="20"/>
          <w:szCs w:val="20"/>
          <w:lang w:val="es-ES_tradnl"/>
        </w:rPr>
        <w:t xml:space="preserve"> </w:t>
      </w:r>
      <w:r w:rsidR="00C44482" w:rsidRPr="005E6556">
        <w:rPr>
          <w:rFonts w:ascii="Cambria" w:hAnsi="Cambria"/>
          <w:bCs/>
          <w:sz w:val="20"/>
          <w:szCs w:val="20"/>
          <w:lang w:val="es-ES_tradnl"/>
        </w:rPr>
        <w:t xml:space="preserve">una de las propiedades incautadas. </w:t>
      </w:r>
    </w:p>
    <w:p w14:paraId="51B56BAB" w14:textId="44BF3C79" w:rsidR="003D3708" w:rsidRPr="005E6556" w:rsidRDefault="00B24A93" w:rsidP="00B24A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eastAsia="Cambria" w:hAnsiTheme="majorHAnsi" w:cs="Cambria"/>
          <w:b/>
          <w:bCs/>
          <w:i/>
          <w:iCs/>
          <w:color w:val="000000"/>
          <w:sz w:val="20"/>
          <w:szCs w:val="20"/>
          <w:u w:color="000000"/>
          <w:lang w:val="es-ES_tradnl" w:eastAsia="es-ES"/>
        </w:rPr>
      </w:pPr>
      <w:r w:rsidRPr="005E6556">
        <w:rPr>
          <w:rFonts w:ascii="Cambria" w:hAnsi="Cambria"/>
          <w:bCs/>
          <w:i/>
          <w:iCs/>
          <w:sz w:val="20"/>
          <w:szCs w:val="20"/>
          <w:lang w:val="es-ES_tradnl"/>
        </w:rPr>
        <w:t>Alegatos del Estado</w:t>
      </w:r>
      <w:r w:rsidR="00443316" w:rsidRPr="005E6556">
        <w:rPr>
          <w:rFonts w:ascii="Cambria" w:hAnsi="Cambria"/>
          <w:bCs/>
          <w:i/>
          <w:iCs/>
          <w:sz w:val="20"/>
          <w:szCs w:val="20"/>
          <w:lang w:val="es-ES_tradnl"/>
        </w:rPr>
        <w:t xml:space="preserve"> </w:t>
      </w:r>
    </w:p>
    <w:p w14:paraId="66FB9E4D" w14:textId="6333CFB9" w:rsidR="002A4887" w:rsidRPr="005E6556" w:rsidRDefault="002A4887" w:rsidP="008570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 xml:space="preserve">El Estado, por su parte, </w:t>
      </w:r>
      <w:r w:rsidR="009E5477" w:rsidRPr="005E6556">
        <w:rPr>
          <w:rFonts w:ascii="Cambria" w:hAnsi="Cambria"/>
          <w:bCs/>
          <w:sz w:val="20"/>
          <w:szCs w:val="20"/>
          <w:lang w:val="es-ES_tradnl"/>
        </w:rPr>
        <w:t>aduce</w:t>
      </w:r>
      <w:r w:rsidRPr="005E6556">
        <w:rPr>
          <w:rFonts w:ascii="Cambria" w:hAnsi="Cambria"/>
          <w:bCs/>
          <w:sz w:val="20"/>
          <w:szCs w:val="20"/>
          <w:lang w:val="es-ES_tradnl"/>
        </w:rPr>
        <w:t xml:space="preserve"> que la petición es inadmisible, dado que no se han agotado los recursos de la jurisdicción interna. </w:t>
      </w:r>
      <w:r w:rsidR="0074087A" w:rsidRPr="005E6556">
        <w:rPr>
          <w:rFonts w:ascii="Cambria" w:hAnsi="Cambria"/>
          <w:bCs/>
          <w:sz w:val="20"/>
          <w:szCs w:val="20"/>
          <w:lang w:val="es-ES_tradnl"/>
        </w:rPr>
        <w:t xml:space="preserve">Arguye que las presuntas víctimas no interpusieron una demanda civil de indemnización a efectos de reclamar una reparación económica por los alegados daños y perjuicios generados por no poder disponer, usar o arrendar los inmuebles incautados. </w:t>
      </w:r>
      <w:r w:rsidR="00AF1057" w:rsidRPr="005E6556">
        <w:rPr>
          <w:rFonts w:ascii="Cambria" w:hAnsi="Cambria"/>
          <w:bCs/>
          <w:sz w:val="20"/>
          <w:szCs w:val="20"/>
          <w:lang w:val="es-ES_tradnl"/>
        </w:rPr>
        <w:t xml:space="preserve">Por ende, sostiene que la parte peticionaria no ha cumplido con acreditar las gestiones emprendidas para agotar los recursos domésticos, toda vez que no ha aportado información sobre alguna acción idónea interpuesta para reclamar las posibles violaciones en </w:t>
      </w:r>
      <w:r w:rsidR="00A46407" w:rsidRPr="005E6556">
        <w:rPr>
          <w:rFonts w:ascii="Cambria" w:hAnsi="Cambria"/>
          <w:bCs/>
          <w:sz w:val="20"/>
          <w:szCs w:val="20"/>
          <w:lang w:val="es-ES_tradnl"/>
        </w:rPr>
        <w:t>contra de la</w:t>
      </w:r>
      <w:r w:rsidR="00C44482" w:rsidRPr="005E6556">
        <w:rPr>
          <w:rFonts w:ascii="Cambria" w:hAnsi="Cambria"/>
          <w:bCs/>
          <w:sz w:val="20"/>
          <w:szCs w:val="20"/>
          <w:lang w:val="es-ES_tradnl"/>
        </w:rPr>
        <w:t>s presuntas víctimas</w:t>
      </w:r>
      <w:r w:rsidR="00AF1057" w:rsidRPr="005E6556">
        <w:rPr>
          <w:rFonts w:ascii="Cambria" w:hAnsi="Cambria"/>
          <w:bCs/>
          <w:sz w:val="20"/>
          <w:szCs w:val="20"/>
          <w:lang w:val="es-ES_tradnl"/>
        </w:rPr>
        <w:t xml:space="preserve">, ni tampoco ha denunciado la falta de recursos efectivos para tal efecto. Por ello solicita a la CIDH que declare que el presente asunto no cumple con el requisito previsto en el artículo 46.1.a de la Convención y, en consecuencia, disponga su archivo. </w:t>
      </w:r>
    </w:p>
    <w:p w14:paraId="505D842D" w14:textId="642F45F2" w:rsidR="00AF1057" w:rsidRPr="005E6556" w:rsidRDefault="004D5B6C" w:rsidP="008570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Perú</w:t>
      </w:r>
      <w:r w:rsidR="000E24A8" w:rsidRPr="005E6556">
        <w:rPr>
          <w:rFonts w:ascii="Cambria" w:hAnsi="Cambria"/>
          <w:bCs/>
          <w:sz w:val="20"/>
          <w:szCs w:val="20"/>
          <w:lang w:val="es-ES_tradnl"/>
        </w:rPr>
        <w:t xml:space="preserve"> plantea </w:t>
      </w:r>
      <w:r w:rsidRPr="005E6556">
        <w:rPr>
          <w:rFonts w:ascii="Cambria" w:hAnsi="Cambria"/>
          <w:bCs/>
          <w:sz w:val="20"/>
          <w:szCs w:val="20"/>
          <w:lang w:val="es-ES_tradnl"/>
        </w:rPr>
        <w:t xml:space="preserve">adicionalmente </w:t>
      </w:r>
      <w:r w:rsidR="000E24A8" w:rsidRPr="005E6556">
        <w:rPr>
          <w:rFonts w:ascii="Cambria" w:hAnsi="Cambria"/>
          <w:bCs/>
          <w:sz w:val="20"/>
          <w:szCs w:val="20"/>
          <w:lang w:val="es-ES_tradnl"/>
        </w:rPr>
        <w:t xml:space="preserve">que los hechos denunciados no caracterizan violaciones de derechos humanos. </w:t>
      </w:r>
      <w:r w:rsidRPr="005E6556">
        <w:rPr>
          <w:rFonts w:ascii="Cambria" w:hAnsi="Cambria"/>
          <w:bCs/>
          <w:sz w:val="20"/>
          <w:szCs w:val="20"/>
          <w:lang w:val="es-ES_tradnl"/>
        </w:rPr>
        <w:t>I</w:t>
      </w:r>
      <w:r w:rsidR="000E24A8" w:rsidRPr="005E6556">
        <w:rPr>
          <w:rFonts w:ascii="Cambria" w:hAnsi="Cambria"/>
          <w:bCs/>
          <w:sz w:val="20"/>
          <w:szCs w:val="20"/>
          <w:lang w:val="es-ES_tradnl"/>
        </w:rPr>
        <w:t xml:space="preserve">nforma que las autoridades policiales, a partir de un conjunto de investigaciones preliminares, evidenciaron transferencias de dinero por parte de la organización de los </w:t>
      </w:r>
      <w:r w:rsidR="00A2138C" w:rsidRPr="005E6556">
        <w:rPr>
          <w:rFonts w:ascii="Cambria" w:hAnsi="Cambria"/>
          <w:bCs/>
          <w:sz w:val="20"/>
          <w:szCs w:val="20"/>
          <w:lang w:val="es-ES_tradnl"/>
        </w:rPr>
        <w:t>hijos de la señora Cáceres de Dijkhuizen</w:t>
      </w:r>
      <w:r w:rsidR="000E24A8" w:rsidRPr="005E6556">
        <w:rPr>
          <w:rFonts w:ascii="Cambria" w:hAnsi="Cambria"/>
          <w:bCs/>
          <w:sz w:val="20"/>
          <w:szCs w:val="20"/>
          <w:lang w:val="es-ES_tradnl"/>
        </w:rPr>
        <w:t xml:space="preserve"> desde España a favor de empresas extranjeras, con serios indicios de que provenían del tráfico ilícito de drogas. </w:t>
      </w:r>
      <w:r w:rsidR="002C4A5F" w:rsidRPr="005E6556">
        <w:rPr>
          <w:rFonts w:ascii="Cambria" w:hAnsi="Cambria"/>
          <w:bCs/>
          <w:sz w:val="20"/>
          <w:szCs w:val="20"/>
          <w:lang w:val="es-ES_tradnl"/>
        </w:rPr>
        <w:t>Tras constatar esta situación</w:t>
      </w:r>
      <w:r w:rsidR="00871637">
        <w:rPr>
          <w:rFonts w:ascii="Cambria" w:hAnsi="Cambria"/>
          <w:bCs/>
          <w:sz w:val="20"/>
          <w:szCs w:val="20"/>
          <w:lang w:val="es-ES_tradnl"/>
        </w:rPr>
        <w:t>,</w:t>
      </w:r>
      <w:r w:rsidRPr="005E6556">
        <w:rPr>
          <w:rFonts w:ascii="Cambria" w:hAnsi="Cambria"/>
          <w:bCs/>
          <w:sz w:val="20"/>
          <w:szCs w:val="20"/>
          <w:lang w:val="es-ES_tradnl"/>
        </w:rPr>
        <w:t xml:space="preserve"> </w:t>
      </w:r>
      <w:r w:rsidR="00A2138C" w:rsidRPr="005E6556">
        <w:rPr>
          <w:rFonts w:ascii="Cambria" w:hAnsi="Cambria"/>
          <w:bCs/>
          <w:sz w:val="20"/>
          <w:szCs w:val="20"/>
          <w:lang w:val="es-ES_tradnl"/>
        </w:rPr>
        <w:t xml:space="preserve">se inició un proceso penal contra los hermanos Dijkhuizen por los delitos de tráfico ilícito de drogas y lavado de activos en forma agravada; </w:t>
      </w:r>
      <w:r w:rsidRPr="005E6556">
        <w:rPr>
          <w:rFonts w:ascii="Cambria" w:hAnsi="Cambria"/>
          <w:bCs/>
          <w:sz w:val="20"/>
          <w:szCs w:val="20"/>
          <w:lang w:val="es-ES_tradnl"/>
        </w:rPr>
        <w:t>tras lo cual</w:t>
      </w:r>
      <w:r w:rsidR="00A2138C" w:rsidRPr="005E6556">
        <w:rPr>
          <w:rFonts w:ascii="Cambria" w:hAnsi="Cambria"/>
          <w:bCs/>
          <w:sz w:val="20"/>
          <w:szCs w:val="20"/>
          <w:lang w:val="es-ES_tradnl"/>
        </w:rPr>
        <w:t xml:space="preserve"> </w:t>
      </w:r>
      <w:r w:rsidR="00927353" w:rsidRPr="005E6556">
        <w:rPr>
          <w:rFonts w:ascii="Cambria" w:hAnsi="Cambria"/>
          <w:bCs/>
          <w:sz w:val="20"/>
          <w:szCs w:val="20"/>
          <w:lang w:val="es-ES_tradnl"/>
        </w:rPr>
        <w:t>el 20 de mayo de 2006</w:t>
      </w:r>
      <w:r w:rsidR="00871637">
        <w:rPr>
          <w:rFonts w:ascii="Cambria" w:hAnsi="Cambria"/>
          <w:bCs/>
          <w:sz w:val="20"/>
          <w:szCs w:val="20"/>
          <w:lang w:val="es-ES_tradnl"/>
        </w:rPr>
        <w:t>,</w:t>
      </w:r>
      <w:r w:rsidR="00927353" w:rsidRPr="005E6556">
        <w:rPr>
          <w:rFonts w:ascii="Cambria" w:hAnsi="Cambria"/>
          <w:bCs/>
          <w:sz w:val="20"/>
          <w:szCs w:val="20"/>
          <w:lang w:val="es-ES_tradnl"/>
        </w:rPr>
        <w:t xml:space="preserve"> el Primer Juzgado Especializado en lo Penal del Callao dispuso</w:t>
      </w:r>
      <w:r w:rsidR="00F86667" w:rsidRPr="005E6556">
        <w:rPr>
          <w:rFonts w:ascii="Cambria" w:hAnsi="Cambria"/>
          <w:bCs/>
          <w:sz w:val="20"/>
          <w:szCs w:val="20"/>
          <w:lang w:val="es-ES_tradnl"/>
        </w:rPr>
        <w:t xml:space="preserve">, </w:t>
      </w:r>
      <w:r w:rsidRPr="005E6556">
        <w:rPr>
          <w:rFonts w:ascii="Cambria" w:hAnsi="Cambria"/>
          <w:bCs/>
          <w:sz w:val="20"/>
          <w:szCs w:val="20"/>
          <w:lang w:val="es-ES_tradnl"/>
        </w:rPr>
        <w:t xml:space="preserve">a </w:t>
      </w:r>
      <w:r w:rsidR="00F86667" w:rsidRPr="005E6556">
        <w:rPr>
          <w:rFonts w:ascii="Cambria" w:hAnsi="Cambria"/>
          <w:bCs/>
          <w:sz w:val="20"/>
          <w:szCs w:val="20"/>
          <w:lang w:val="es-ES_tradnl"/>
        </w:rPr>
        <w:t xml:space="preserve">solicitud del Ministerio Público, el allanamiento para los fines de secuestro y la incautación con inscripción preventiva en registros públicos de dos bienes inmuebles </w:t>
      </w:r>
      <w:r w:rsidR="00736B50" w:rsidRPr="005E6556">
        <w:rPr>
          <w:rFonts w:ascii="Cambria" w:hAnsi="Cambria"/>
          <w:bCs/>
          <w:sz w:val="20"/>
          <w:szCs w:val="20"/>
          <w:lang w:val="es-ES_tradnl"/>
        </w:rPr>
        <w:t>de la señora Cáceres de Dijkhuizen</w:t>
      </w:r>
      <w:r w:rsidR="00F86667" w:rsidRPr="005E6556">
        <w:rPr>
          <w:rFonts w:ascii="Cambria" w:hAnsi="Cambria"/>
          <w:bCs/>
          <w:sz w:val="20"/>
          <w:szCs w:val="20"/>
          <w:lang w:val="es-ES_tradnl"/>
        </w:rPr>
        <w:t xml:space="preserve">. </w:t>
      </w:r>
    </w:p>
    <w:p w14:paraId="05ABE5C7" w14:textId="1FBF1532" w:rsidR="002C4A5F" w:rsidRPr="005E6556" w:rsidRDefault="002C4A5F" w:rsidP="002C4A5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val="es-ES_tradnl" w:eastAsia="es-ES"/>
        </w:rPr>
      </w:pPr>
      <w:r w:rsidRPr="005E6556">
        <w:rPr>
          <w:rFonts w:ascii="Cambria" w:hAnsi="Cambria"/>
          <w:bCs/>
          <w:sz w:val="20"/>
          <w:szCs w:val="20"/>
          <w:lang w:val="es-ES_tradnl"/>
        </w:rPr>
        <w:t xml:space="preserve">Al respecto, resalta que esta decisión obedeció a la potestad que tiene el órgano jurisdiccional de adoptar medidas en el marco de una investigación penal, a efectos </w:t>
      </w:r>
      <w:r w:rsidR="00871637">
        <w:rPr>
          <w:rFonts w:ascii="Cambria" w:hAnsi="Cambria"/>
          <w:bCs/>
          <w:sz w:val="20"/>
          <w:szCs w:val="20"/>
          <w:lang w:val="es-ES_tradnl"/>
        </w:rPr>
        <w:t xml:space="preserve">de </w:t>
      </w:r>
      <w:r w:rsidRPr="005E6556">
        <w:rPr>
          <w:rFonts w:ascii="Cambria" w:hAnsi="Cambria"/>
          <w:bCs/>
          <w:sz w:val="20"/>
          <w:szCs w:val="20"/>
          <w:lang w:val="es-ES_tradnl"/>
        </w:rPr>
        <w:t>que se pueda con</w:t>
      </w:r>
      <w:r w:rsidR="00905C19" w:rsidRPr="005E6556">
        <w:rPr>
          <w:rFonts w:ascii="Cambria" w:hAnsi="Cambria"/>
          <w:bCs/>
          <w:sz w:val="20"/>
          <w:szCs w:val="20"/>
          <w:lang w:val="es-ES_tradnl"/>
        </w:rPr>
        <w:t>serv</w:t>
      </w:r>
      <w:r w:rsidRPr="005E6556">
        <w:rPr>
          <w:rFonts w:ascii="Cambria" w:hAnsi="Cambria"/>
          <w:bCs/>
          <w:sz w:val="20"/>
          <w:szCs w:val="20"/>
          <w:lang w:val="es-ES_tradnl"/>
        </w:rPr>
        <w:t xml:space="preserve">ar y asegurar un posible medio probatorio en el proceso penal. En esa línea, el Estado resalta </w:t>
      </w:r>
      <w:r w:rsidR="002D62CC" w:rsidRPr="005E6556">
        <w:rPr>
          <w:rFonts w:ascii="Cambria" w:hAnsi="Cambria"/>
          <w:bCs/>
          <w:sz w:val="20"/>
          <w:szCs w:val="20"/>
          <w:lang w:val="es-ES_tradnl"/>
        </w:rPr>
        <w:t>que</w:t>
      </w:r>
      <w:r w:rsidRPr="005E6556">
        <w:rPr>
          <w:rFonts w:asciiTheme="majorHAnsi" w:eastAsia="Cambria" w:hAnsiTheme="majorHAnsi" w:cs="Cambria"/>
          <w:color w:val="000000"/>
          <w:sz w:val="20"/>
          <w:szCs w:val="20"/>
          <w:u w:color="000000"/>
          <w:lang w:val="es-ES_tradnl" w:eastAsia="es-ES"/>
        </w:rPr>
        <w:t xml:space="preserve"> el inicio de procesos penales</w:t>
      </w:r>
      <w:r w:rsidR="002D62CC" w:rsidRPr="005E6556">
        <w:rPr>
          <w:rFonts w:asciiTheme="majorHAnsi" w:eastAsia="Cambria" w:hAnsiTheme="majorHAnsi" w:cs="Cambria"/>
          <w:color w:val="000000"/>
          <w:sz w:val="20"/>
          <w:szCs w:val="20"/>
          <w:u w:color="000000"/>
          <w:lang w:val="es-ES_tradnl" w:eastAsia="es-ES"/>
        </w:rPr>
        <w:t xml:space="preserve"> </w:t>
      </w:r>
      <w:r w:rsidR="002D62CC" w:rsidRPr="005E6556">
        <w:rPr>
          <w:rFonts w:asciiTheme="majorHAnsi" w:eastAsia="Cambria" w:hAnsiTheme="majorHAnsi" w:cs="Cambria"/>
          <w:color w:val="000000"/>
          <w:sz w:val="20"/>
          <w:szCs w:val="20"/>
          <w:u w:color="000000"/>
          <w:lang w:val="es-ES_tradnl" w:eastAsia="es-ES"/>
        </w:rPr>
        <w:lastRenderedPageBreak/>
        <w:t>y las medidas adoptadas dentro de este</w:t>
      </w:r>
      <w:r w:rsidRPr="005E6556">
        <w:rPr>
          <w:rFonts w:asciiTheme="majorHAnsi" w:eastAsia="Cambria" w:hAnsiTheme="majorHAnsi" w:cs="Cambria"/>
          <w:color w:val="000000"/>
          <w:sz w:val="20"/>
          <w:szCs w:val="20"/>
          <w:u w:color="000000"/>
          <w:lang w:val="es-ES_tradnl" w:eastAsia="es-ES"/>
        </w:rPr>
        <w:t xml:space="preserve">, no pueden ser considerados como una violación </w:t>
      </w:r>
      <w:r w:rsidR="002D62CC" w:rsidRPr="005E6556">
        <w:rPr>
          <w:rFonts w:asciiTheme="majorHAnsi" w:eastAsia="Cambria" w:hAnsiTheme="majorHAnsi" w:cs="Cambria"/>
          <w:color w:val="000000"/>
          <w:sz w:val="20"/>
          <w:szCs w:val="20"/>
          <w:u w:color="000000"/>
          <w:lang w:val="es-ES_tradnl" w:eastAsia="es-ES"/>
        </w:rPr>
        <w:t>a los derechos</w:t>
      </w:r>
      <w:r w:rsidRPr="005E6556">
        <w:rPr>
          <w:rFonts w:asciiTheme="majorHAnsi" w:eastAsia="Cambria" w:hAnsiTheme="majorHAnsi" w:cs="Cambria"/>
          <w:color w:val="000000"/>
          <w:sz w:val="20"/>
          <w:szCs w:val="20"/>
          <w:u w:color="000000"/>
          <w:lang w:val="es-ES_tradnl" w:eastAsia="es-ES"/>
        </w:rPr>
        <w:t xml:space="preserve"> a la protección de la honra y de la dignidad</w:t>
      </w:r>
      <w:r w:rsidR="002D62CC" w:rsidRPr="005E6556">
        <w:rPr>
          <w:rFonts w:asciiTheme="majorHAnsi" w:eastAsia="Cambria" w:hAnsiTheme="majorHAnsi" w:cs="Cambria"/>
          <w:color w:val="000000"/>
          <w:sz w:val="20"/>
          <w:szCs w:val="20"/>
          <w:u w:color="000000"/>
          <w:lang w:val="es-ES_tradnl" w:eastAsia="es-ES"/>
        </w:rPr>
        <w:t xml:space="preserve"> o a la propiedad</w:t>
      </w:r>
      <w:r w:rsidRPr="005E6556">
        <w:rPr>
          <w:rFonts w:asciiTheme="majorHAnsi" w:eastAsia="Cambria" w:hAnsiTheme="majorHAnsi" w:cs="Cambria"/>
          <w:color w:val="000000"/>
          <w:sz w:val="20"/>
          <w:szCs w:val="20"/>
          <w:u w:color="000000"/>
          <w:lang w:val="es-ES_tradnl" w:eastAsia="es-ES"/>
        </w:rPr>
        <w:t xml:space="preserve">, a razón </w:t>
      </w:r>
      <w:r w:rsidR="00871637">
        <w:rPr>
          <w:rFonts w:asciiTheme="majorHAnsi" w:eastAsia="Cambria" w:hAnsiTheme="majorHAnsi" w:cs="Cambria"/>
          <w:color w:val="000000"/>
          <w:sz w:val="20"/>
          <w:szCs w:val="20"/>
          <w:u w:color="000000"/>
          <w:lang w:val="es-ES_tradnl" w:eastAsia="es-ES"/>
        </w:rPr>
        <w:t xml:space="preserve">de </w:t>
      </w:r>
      <w:r w:rsidRPr="005E6556">
        <w:rPr>
          <w:rFonts w:asciiTheme="majorHAnsi" w:eastAsia="Cambria" w:hAnsiTheme="majorHAnsi" w:cs="Cambria"/>
          <w:color w:val="000000"/>
          <w:sz w:val="20"/>
          <w:szCs w:val="20"/>
          <w:u w:color="000000"/>
          <w:lang w:val="es-ES_tradnl" w:eastAsia="es-ES"/>
        </w:rPr>
        <w:t xml:space="preserve">que dichas medidas dictadas por los órganos jurisdiccionales son parte de una investigación preliminar y suponen el ejercicio válido del </w:t>
      </w:r>
      <w:r w:rsidRPr="005E6556">
        <w:rPr>
          <w:rFonts w:asciiTheme="majorHAnsi" w:eastAsia="Cambria" w:hAnsiTheme="majorHAnsi" w:cs="Cambria"/>
          <w:i/>
          <w:iCs/>
          <w:color w:val="000000"/>
          <w:sz w:val="20"/>
          <w:szCs w:val="20"/>
          <w:u w:color="000000"/>
          <w:lang w:val="es-ES_tradnl" w:eastAsia="es-ES"/>
        </w:rPr>
        <w:t>ius puniendi</w:t>
      </w:r>
      <w:r w:rsidRPr="005E6556">
        <w:rPr>
          <w:rFonts w:asciiTheme="majorHAnsi" w:eastAsia="Cambria" w:hAnsiTheme="majorHAnsi" w:cs="Cambria"/>
          <w:color w:val="000000"/>
          <w:sz w:val="20"/>
          <w:szCs w:val="20"/>
          <w:u w:color="000000"/>
          <w:lang w:val="es-ES_tradnl" w:eastAsia="es-ES"/>
        </w:rPr>
        <w:t xml:space="preserve"> reconocido al Estado. En tal sentido, las autoridades, tiene la potestad de imponer penas, sanciones y medidas de seguridad, siempre que se encuentren previstas en la Ley.</w:t>
      </w:r>
    </w:p>
    <w:p w14:paraId="57A9E268" w14:textId="166B79EF" w:rsidR="00927353" w:rsidRPr="005E6556" w:rsidRDefault="002C4A5F" w:rsidP="008570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 xml:space="preserve">Además, resalta que </w:t>
      </w:r>
      <w:r w:rsidR="00927353" w:rsidRPr="005E6556">
        <w:rPr>
          <w:rFonts w:ascii="Cambria" w:hAnsi="Cambria"/>
          <w:bCs/>
          <w:sz w:val="20"/>
          <w:szCs w:val="20"/>
          <w:lang w:val="es-ES_tradnl"/>
        </w:rPr>
        <w:t xml:space="preserve">las autoridades nunca denegaron a las presuntas víctimas la posibilidad de recurrir ante un órgano jurisdiccional y tampoco se le ha negado hacer </w:t>
      </w:r>
      <w:r w:rsidR="00736B50" w:rsidRPr="005E6556">
        <w:rPr>
          <w:rFonts w:ascii="Cambria" w:hAnsi="Cambria"/>
          <w:bCs/>
          <w:sz w:val="20"/>
          <w:szCs w:val="20"/>
          <w:lang w:val="es-ES_tradnl"/>
        </w:rPr>
        <w:t xml:space="preserve">valer </w:t>
      </w:r>
      <w:r w:rsidR="00927353" w:rsidRPr="005E6556">
        <w:rPr>
          <w:rFonts w:ascii="Cambria" w:hAnsi="Cambria"/>
          <w:bCs/>
          <w:sz w:val="20"/>
          <w:szCs w:val="20"/>
          <w:lang w:val="es-ES_tradnl"/>
        </w:rPr>
        <w:t xml:space="preserve">sus derechos conforme a ley, como se puede evidenciar de los recursos impugnatorios que la defensa legal de dichas personas interpuso en su oportunidad. </w:t>
      </w:r>
      <w:r w:rsidR="0093252B" w:rsidRPr="005E6556">
        <w:rPr>
          <w:rFonts w:ascii="Cambria" w:hAnsi="Cambria"/>
          <w:bCs/>
          <w:sz w:val="20"/>
          <w:szCs w:val="20"/>
          <w:lang w:val="es-ES_tradnl"/>
        </w:rPr>
        <w:t>Por ende, siempre se tutelaron los derechos a</w:t>
      </w:r>
      <w:r w:rsidR="00736B50" w:rsidRPr="005E6556">
        <w:rPr>
          <w:rFonts w:ascii="Cambria" w:hAnsi="Cambria"/>
          <w:bCs/>
          <w:sz w:val="20"/>
          <w:szCs w:val="20"/>
          <w:lang w:val="es-ES_tradnl"/>
        </w:rPr>
        <w:t>l debido proceso</w:t>
      </w:r>
      <w:r w:rsidR="0093252B" w:rsidRPr="005E6556">
        <w:rPr>
          <w:rFonts w:ascii="Cambria" w:hAnsi="Cambria"/>
          <w:bCs/>
          <w:sz w:val="20"/>
          <w:szCs w:val="20"/>
          <w:lang w:val="es-ES_tradnl"/>
        </w:rPr>
        <w:t xml:space="preserve"> y a la protección</w:t>
      </w:r>
      <w:r w:rsidR="00736B50" w:rsidRPr="005E6556">
        <w:rPr>
          <w:rFonts w:ascii="Cambria" w:hAnsi="Cambria"/>
          <w:bCs/>
          <w:sz w:val="20"/>
          <w:szCs w:val="20"/>
          <w:lang w:val="es-ES_tradnl"/>
        </w:rPr>
        <w:t xml:space="preserve"> judicial</w:t>
      </w:r>
      <w:r w:rsidR="0093252B" w:rsidRPr="005E6556">
        <w:rPr>
          <w:rFonts w:ascii="Cambria" w:hAnsi="Cambria"/>
          <w:bCs/>
          <w:sz w:val="20"/>
          <w:szCs w:val="20"/>
          <w:lang w:val="es-ES_tradnl"/>
        </w:rPr>
        <w:t>.</w:t>
      </w:r>
    </w:p>
    <w:p w14:paraId="519715C3" w14:textId="2183C5E0" w:rsidR="00062D77" w:rsidRPr="005E6556" w:rsidRDefault="00871637" w:rsidP="002968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Pr>
          <w:rFonts w:ascii="Cambria" w:hAnsi="Cambria"/>
          <w:bCs/>
          <w:sz w:val="20"/>
          <w:szCs w:val="20"/>
          <w:lang w:val="es-ES_tradnl"/>
        </w:rPr>
        <w:t>El Estado</w:t>
      </w:r>
      <w:r w:rsidRPr="005E6556">
        <w:rPr>
          <w:rFonts w:ascii="Cambria" w:hAnsi="Cambria"/>
          <w:bCs/>
          <w:sz w:val="20"/>
          <w:szCs w:val="20"/>
          <w:lang w:val="es-ES_tradnl"/>
        </w:rPr>
        <w:t xml:space="preserve"> </w:t>
      </w:r>
      <w:r w:rsidR="00C664CB" w:rsidRPr="005E6556">
        <w:rPr>
          <w:rFonts w:ascii="Cambria" w:hAnsi="Cambria"/>
          <w:bCs/>
          <w:sz w:val="20"/>
          <w:szCs w:val="20"/>
          <w:lang w:val="es-ES_tradnl"/>
        </w:rPr>
        <w:t>indica</w:t>
      </w:r>
      <w:r w:rsidR="00725085" w:rsidRPr="005E6556">
        <w:rPr>
          <w:rFonts w:ascii="Cambria" w:hAnsi="Cambria"/>
          <w:bCs/>
          <w:sz w:val="20"/>
          <w:szCs w:val="20"/>
          <w:lang w:val="es-ES_tradnl"/>
        </w:rPr>
        <w:t xml:space="preserve"> que</w:t>
      </w:r>
      <w:r>
        <w:rPr>
          <w:rFonts w:ascii="Cambria" w:hAnsi="Cambria"/>
          <w:bCs/>
          <w:sz w:val="20"/>
          <w:szCs w:val="20"/>
          <w:lang w:val="es-ES_tradnl"/>
        </w:rPr>
        <w:t>,</w:t>
      </w:r>
      <w:r w:rsidR="0093252B" w:rsidRPr="005E6556">
        <w:rPr>
          <w:rFonts w:ascii="Cambria" w:hAnsi="Cambria"/>
          <w:bCs/>
          <w:sz w:val="20"/>
          <w:szCs w:val="20"/>
          <w:lang w:val="es-ES_tradnl"/>
        </w:rPr>
        <w:t xml:space="preserve"> </w:t>
      </w:r>
      <w:r w:rsidR="00C664CB" w:rsidRPr="005E6556">
        <w:rPr>
          <w:rFonts w:ascii="Cambria" w:hAnsi="Cambria"/>
          <w:bCs/>
          <w:sz w:val="20"/>
          <w:szCs w:val="20"/>
          <w:lang w:val="es-ES_tradnl"/>
        </w:rPr>
        <w:t>actualmente</w:t>
      </w:r>
      <w:r w:rsidR="00725085" w:rsidRPr="005E6556">
        <w:rPr>
          <w:rFonts w:ascii="Cambria" w:hAnsi="Cambria"/>
          <w:bCs/>
          <w:sz w:val="20"/>
          <w:szCs w:val="20"/>
          <w:lang w:val="es-ES_tradnl"/>
        </w:rPr>
        <w:t xml:space="preserve"> </w:t>
      </w:r>
      <w:r w:rsidR="00C664CB" w:rsidRPr="005E6556">
        <w:rPr>
          <w:rFonts w:ascii="Cambria" w:hAnsi="Cambria"/>
          <w:bCs/>
          <w:sz w:val="20"/>
          <w:szCs w:val="20"/>
          <w:lang w:val="es-ES_tradnl"/>
        </w:rPr>
        <w:t xml:space="preserve">y </w:t>
      </w:r>
      <w:r w:rsidR="00725085" w:rsidRPr="005E6556">
        <w:rPr>
          <w:rFonts w:ascii="Cambria" w:hAnsi="Cambria"/>
          <w:bCs/>
          <w:sz w:val="20"/>
          <w:szCs w:val="20"/>
          <w:lang w:val="es-ES_tradnl"/>
        </w:rPr>
        <w:t xml:space="preserve">en virtud de las acciones emprendidas por la señora </w:t>
      </w:r>
      <w:r w:rsidR="0029683D" w:rsidRPr="005E6556">
        <w:rPr>
          <w:rFonts w:ascii="Cambria" w:hAnsi="Cambria"/>
          <w:bCs/>
          <w:sz w:val="20"/>
          <w:szCs w:val="20"/>
          <w:lang w:val="es-ES_tradnl"/>
        </w:rPr>
        <w:t xml:space="preserve">Cáceres de Dijkhuizen, los inmuebles incautados </w:t>
      </w:r>
      <w:r w:rsidR="0093252B" w:rsidRPr="005E6556">
        <w:rPr>
          <w:rFonts w:ascii="Cambria" w:hAnsi="Cambria"/>
          <w:bCs/>
          <w:sz w:val="20"/>
          <w:szCs w:val="20"/>
          <w:lang w:val="es-ES_tradnl"/>
        </w:rPr>
        <w:t>y</w:t>
      </w:r>
      <w:r w:rsidR="0029683D" w:rsidRPr="005E6556">
        <w:rPr>
          <w:rFonts w:ascii="Cambria" w:hAnsi="Cambria"/>
          <w:bCs/>
          <w:sz w:val="20"/>
          <w:szCs w:val="20"/>
          <w:lang w:val="es-ES_tradnl"/>
        </w:rPr>
        <w:t xml:space="preserve">a </w:t>
      </w:r>
      <w:r w:rsidR="00C664CB" w:rsidRPr="005E6556">
        <w:rPr>
          <w:rFonts w:ascii="Cambria" w:hAnsi="Cambria"/>
          <w:bCs/>
          <w:sz w:val="20"/>
          <w:szCs w:val="20"/>
          <w:lang w:val="es-ES_tradnl"/>
        </w:rPr>
        <w:t xml:space="preserve">le </w:t>
      </w:r>
      <w:r w:rsidR="0029683D" w:rsidRPr="005E6556">
        <w:rPr>
          <w:rFonts w:ascii="Cambria" w:hAnsi="Cambria"/>
          <w:bCs/>
          <w:sz w:val="20"/>
          <w:szCs w:val="20"/>
          <w:lang w:val="es-ES_tradnl"/>
        </w:rPr>
        <w:t xml:space="preserve">han sido devueltos. </w:t>
      </w:r>
      <w:r w:rsidR="00C664CB" w:rsidRPr="005E6556">
        <w:rPr>
          <w:rFonts w:ascii="Cambria" w:hAnsi="Cambria"/>
          <w:bCs/>
          <w:sz w:val="20"/>
          <w:szCs w:val="20"/>
          <w:lang w:val="es-ES_tradnl"/>
        </w:rPr>
        <w:t>E</w:t>
      </w:r>
      <w:r w:rsidR="00FC1D4F" w:rsidRPr="005E6556">
        <w:rPr>
          <w:rFonts w:ascii="Cambria" w:hAnsi="Cambria"/>
          <w:bCs/>
          <w:sz w:val="20"/>
          <w:szCs w:val="20"/>
          <w:lang w:val="es-ES_tradnl"/>
        </w:rPr>
        <w:t>l 30 de marzo de 2011</w:t>
      </w:r>
      <w:r>
        <w:rPr>
          <w:rFonts w:ascii="Cambria" w:hAnsi="Cambria"/>
          <w:bCs/>
          <w:sz w:val="20"/>
          <w:szCs w:val="20"/>
          <w:lang w:val="es-ES_tradnl"/>
        </w:rPr>
        <w:t>,</w:t>
      </w:r>
      <w:r w:rsidR="00FC1D4F" w:rsidRPr="005E6556">
        <w:rPr>
          <w:rFonts w:ascii="Cambria" w:hAnsi="Cambria"/>
          <w:bCs/>
          <w:sz w:val="20"/>
          <w:szCs w:val="20"/>
          <w:lang w:val="es-ES_tradnl"/>
        </w:rPr>
        <w:t xml:space="preserve"> la representación de la señora Cáceres de Dijkhuizen</w:t>
      </w:r>
      <w:r w:rsidR="00725085" w:rsidRPr="005E6556">
        <w:rPr>
          <w:rFonts w:ascii="Cambria" w:hAnsi="Cambria"/>
          <w:bCs/>
          <w:sz w:val="20"/>
          <w:szCs w:val="20"/>
          <w:lang w:val="es-ES_tradnl"/>
        </w:rPr>
        <w:t xml:space="preserve"> solicitó la desafectación y entrega de uno de los bienes inmuebles y</w:t>
      </w:r>
      <w:r w:rsidR="00402280">
        <w:rPr>
          <w:rFonts w:ascii="Cambria" w:hAnsi="Cambria"/>
          <w:bCs/>
          <w:sz w:val="20"/>
          <w:szCs w:val="20"/>
          <w:lang w:val="es-ES_tradnl"/>
        </w:rPr>
        <w:t>,</w:t>
      </w:r>
      <w:r w:rsidR="00725085" w:rsidRPr="005E6556">
        <w:rPr>
          <w:rFonts w:ascii="Cambria" w:hAnsi="Cambria"/>
          <w:bCs/>
          <w:sz w:val="20"/>
          <w:szCs w:val="20"/>
          <w:lang w:val="es-ES_tradnl"/>
        </w:rPr>
        <w:t xml:space="preserve"> tras una decisión de primera instancia, el 22 de octubre de 2012</w:t>
      </w:r>
      <w:r w:rsidR="00402280">
        <w:rPr>
          <w:rFonts w:ascii="Cambria" w:hAnsi="Cambria"/>
          <w:bCs/>
          <w:sz w:val="20"/>
          <w:szCs w:val="20"/>
          <w:lang w:val="es-ES_tradnl"/>
        </w:rPr>
        <w:t>,</w:t>
      </w:r>
      <w:r w:rsidR="00725085" w:rsidRPr="005E6556">
        <w:rPr>
          <w:rFonts w:ascii="Cambria" w:hAnsi="Cambria"/>
          <w:bCs/>
          <w:sz w:val="20"/>
          <w:szCs w:val="20"/>
          <w:lang w:val="es-ES_tradnl"/>
        </w:rPr>
        <w:t xml:space="preserve"> la Sala Penal Nacional declaró procedente la solicitud de desafectación de dicha propiedad. </w:t>
      </w:r>
      <w:r w:rsidR="00C664CB" w:rsidRPr="005E6556">
        <w:rPr>
          <w:rFonts w:ascii="Cambria" w:hAnsi="Cambria"/>
          <w:bCs/>
          <w:sz w:val="20"/>
          <w:szCs w:val="20"/>
          <w:lang w:val="es-ES_tradnl"/>
        </w:rPr>
        <w:t>Así,</w:t>
      </w:r>
      <w:r w:rsidR="00725085" w:rsidRPr="005E6556">
        <w:rPr>
          <w:rFonts w:ascii="Cambria" w:hAnsi="Cambria"/>
          <w:bCs/>
          <w:sz w:val="20"/>
          <w:szCs w:val="20"/>
          <w:lang w:val="es-ES_tradnl"/>
        </w:rPr>
        <w:t xml:space="preserve"> el 30 de abril de 2013, conforme a lo resuelto por </w:t>
      </w:r>
      <w:r w:rsidR="0093252B" w:rsidRPr="005E6556">
        <w:rPr>
          <w:rFonts w:ascii="Cambria" w:hAnsi="Cambria"/>
          <w:bCs/>
          <w:sz w:val="20"/>
          <w:szCs w:val="20"/>
          <w:lang w:val="es-ES_tradnl"/>
        </w:rPr>
        <w:t>la citada instancia</w:t>
      </w:r>
      <w:r w:rsidR="00725085" w:rsidRPr="005E6556">
        <w:rPr>
          <w:rFonts w:ascii="Cambria" w:hAnsi="Cambria"/>
          <w:bCs/>
          <w:sz w:val="20"/>
          <w:szCs w:val="20"/>
          <w:lang w:val="es-ES_tradnl"/>
        </w:rPr>
        <w:t xml:space="preserve">, las autoridades </w:t>
      </w:r>
      <w:r w:rsidR="00C664CB" w:rsidRPr="005E6556">
        <w:rPr>
          <w:rFonts w:ascii="Cambria" w:hAnsi="Cambria"/>
          <w:bCs/>
          <w:sz w:val="20"/>
          <w:szCs w:val="20"/>
          <w:lang w:val="es-ES_tradnl"/>
        </w:rPr>
        <w:t xml:space="preserve">entregaron </w:t>
      </w:r>
      <w:r w:rsidR="00725085" w:rsidRPr="005E6556">
        <w:rPr>
          <w:rFonts w:ascii="Cambria" w:hAnsi="Cambria"/>
          <w:bCs/>
          <w:sz w:val="20"/>
          <w:szCs w:val="20"/>
          <w:lang w:val="es-ES_tradnl"/>
        </w:rPr>
        <w:t xml:space="preserve">el bien inmueble, contando con un acta de entrega firmada por las presuntas víctimas. </w:t>
      </w:r>
      <w:r w:rsidR="0029683D" w:rsidRPr="005E6556">
        <w:rPr>
          <w:rFonts w:ascii="Cambria" w:hAnsi="Cambria"/>
          <w:bCs/>
          <w:sz w:val="20"/>
          <w:szCs w:val="20"/>
          <w:lang w:val="es-ES_tradnl"/>
        </w:rPr>
        <w:t>En sentido similar, respecto del otro bien inmueble,</w:t>
      </w:r>
      <w:r w:rsidR="00C664CB" w:rsidRPr="005E6556">
        <w:rPr>
          <w:rFonts w:ascii="Cambria" w:hAnsi="Cambria"/>
          <w:bCs/>
          <w:sz w:val="20"/>
          <w:szCs w:val="20"/>
          <w:lang w:val="es-ES_tradnl"/>
        </w:rPr>
        <w:t xml:space="preserve"> el Estado</w:t>
      </w:r>
      <w:r w:rsidR="0029683D" w:rsidRPr="005E6556">
        <w:rPr>
          <w:rFonts w:ascii="Cambria" w:hAnsi="Cambria"/>
          <w:bCs/>
          <w:sz w:val="20"/>
          <w:szCs w:val="20"/>
          <w:lang w:val="es-ES_tradnl"/>
        </w:rPr>
        <w:t xml:space="preserve"> informa que e</w:t>
      </w:r>
      <w:r w:rsidR="00062D77" w:rsidRPr="005E6556">
        <w:rPr>
          <w:rFonts w:ascii="Cambria" w:hAnsi="Cambria"/>
          <w:bCs/>
          <w:sz w:val="20"/>
          <w:szCs w:val="20"/>
          <w:lang w:val="es-ES_tradnl"/>
        </w:rPr>
        <w:t>l 10 de junio de 2011</w:t>
      </w:r>
      <w:r w:rsidR="00402280">
        <w:rPr>
          <w:rFonts w:ascii="Cambria" w:hAnsi="Cambria"/>
          <w:bCs/>
          <w:sz w:val="20"/>
          <w:szCs w:val="20"/>
          <w:lang w:val="es-ES_tradnl"/>
        </w:rPr>
        <w:t xml:space="preserve">, </w:t>
      </w:r>
      <w:r w:rsidR="00062D77" w:rsidRPr="005E6556">
        <w:rPr>
          <w:rFonts w:ascii="Cambria" w:hAnsi="Cambria"/>
          <w:bCs/>
          <w:sz w:val="20"/>
          <w:szCs w:val="20"/>
          <w:lang w:val="es-ES_tradnl"/>
        </w:rPr>
        <w:t>el Juez del Cuarto Juzgado Penal Supraprovincial</w:t>
      </w:r>
      <w:r w:rsidR="00FC1D4F" w:rsidRPr="005E6556">
        <w:rPr>
          <w:rFonts w:ascii="Cambria" w:hAnsi="Cambria"/>
          <w:bCs/>
          <w:sz w:val="20"/>
          <w:szCs w:val="20"/>
          <w:lang w:val="es-ES_tradnl"/>
        </w:rPr>
        <w:t xml:space="preserve"> declaró fundada la solicitud de levantamiento de la medida de incautación preventiva </w:t>
      </w:r>
      <w:r w:rsidR="0029683D" w:rsidRPr="005E6556">
        <w:rPr>
          <w:rFonts w:ascii="Cambria" w:hAnsi="Cambria"/>
          <w:bCs/>
          <w:sz w:val="20"/>
          <w:szCs w:val="20"/>
          <w:lang w:val="es-ES_tradnl"/>
        </w:rPr>
        <w:t>presentada por la presunta víctima</w:t>
      </w:r>
      <w:r w:rsidR="007C4AC6" w:rsidRPr="005E6556">
        <w:rPr>
          <w:rFonts w:ascii="Cambria" w:hAnsi="Cambria"/>
          <w:bCs/>
          <w:sz w:val="20"/>
          <w:szCs w:val="20"/>
          <w:lang w:val="es-ES_tradnl"/>
        </w:rPr>
        <w:t xml:space="preserve"> y el 6 de marzo de 2015</w:t>
      </w:r>
      <w:r w:rsidR="00402280">
        <w:rPr>
          <w:rFonts w:ascii="Cambria" w:hAnsi="Cambria"/>
          <w:bCs/>
          <w:sz w:val="20"/>
          <w:szCs w:val="20"/>
          <w:lang w:val="es-ES_tradnl"/>
        </w:rPr>
        <w:t>,</w:t>
      </w:r>
      <w:r w:rsidR="007C4AC6" w:rsidRPr="005E6556">
        <w:rPr>
          <w:rFonts w:ascii="Cambria" w:hAnsi="Cambria"/>
          <w:bCs/>
          <w:sz w:val="20"/>
          <w:szCs w:val="20"/>
          <w:lang w:val="es-ES_tradnl"/>
        </w:rPr>
        <w:t xml:space="preserve"> las autoridades procedieron a la entrega de dicha propiedad, con la suscripción del acta de entrega, recepción e inventario. </w:t>
      </w:r>
    </w:p>
    <w:p w14:paraId="565E5E9E" w14:textId="574AD7F3" w:rsidR="0093252B" w:rsidRPr="005E6556" w:rsidRDefault="0093252B" w:rsidP="002968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Cambria" w:hAnsi="Cambria"/>
          <w:bCs/>
          <w:sz w:val="20"/>
          <w:szCs w:val="20"/>
          <w:lang w:val="es-ES_tradnl"/>
        </w:rPr>
        <w:t xml:space="preserve">Por las razones expuesta, el Estado considera que no ha cometido ninguna violación de derechos humanos y solicita a la Comisión que archive el presente asunto. </w:t>
      </w:r>
    </w:p>
    <w:p w14:paraId="51F68C92" w14:textId="23CC7AC9" w:rsidR="003239B8" w:rsidRPr="005E6556"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5E6556">
        <w:rPr>
          <w:rFonts w:asciiTheme="majorHAnsi" w:eastAsia="Cambria" w:hAnsiTheme="majorHAnsi" w:cs="Cambria"/>
          <w:b/>
          <w:bCs/>
          <w:color w:val="000000"/>
          <w:sz w:val="20"/>
          <w:szCs w:val="20"/>
          <w:u w:color="000000"/>
          <w:lang w:val="es-ES_tradnl" w:eastAsia="es-ES"/>
        </w:rPr>
        <w:t>VI.</w:t>
      </w:r>
      <w:r w:rsidRPr="005E6556">
        <w:rPr>
          <w:rFonts w:asciiTheme="majorHAnsi" w:eastAsia="Cambria" w:hAnsiTheme="majorHAnsi" w:cs="Cambria"/>
          <w:b/>
          <w:bCs/>
          <w:color w:val="000000"/>
          <w:sz w:val="20"/>
          <w:szCs w:val="20"/>
          <w:u w:color="000000"/>
          <w:lang w:val="es-ES_tradnl" w:eastAsia="es-ES"/>
        </w:rPr>
        <w:tab/>
      </w:r>
      <w:r w:rsidR="004A6A54" w:rsidRPr="005E6556">
        <w:rPr>
          <w:rFonts w:asciiTheme="majorHAnsi" w:hAnsiTheme="majorHAnsi"/>
          <w:b/>
          <w:bCs/>
          <w:sz w:val="20"/>
          <w:szCs w:val="20"/>
          <w:lang w:val="es-ES_tradnl"/>
        </w:rPr>
        <w:t xml:space="preserve">ANÁLISIS DE </w:t>
      </w:r>
      <w:r w:rsidR="00C21FEF" w:rsidRPr="005E6556">
        <w:rPr>
          <w:rFonts w:asciiTheme="majorHAnsi" w:hAnsiTheme="majorHAnsi"/>
          <w:b/>
          <w:sz w:val="20"/>
          <w:szCs w:val="20"/>
          <w:lang w:val="es-ES_tradnl"/>
        </w:rPr>
        <w:t>AGOTAMIENTO DE LOS RECURSOS INTERNOS Y PLAZO DE PRESENTACIÓN</w:t>
      </w:r>
      <w:r w:rsidR="00C21FEF" w:rsidRPr="005E6556">
        <w:rPr>
          <w:rFonts w:asciiTheme="majorHAnsi" w:eastAsia="Cambria" w:hAnsiTheme="majorHAnsi" w:cs="Cambria"/>
          <w:b/>
          <w:bCs/>
          <w:color w:val="000000"/>
          <w:sz w:val="20"/>
          <w:szCs w:val="20"/>
          <w:u w:color="000000"/>
          <w:lang w:val="es-ES_tradnl" w:eastAsia="es-ES"/>
        </w:rPr>
        <w:t xml:space="preserve"> </w:t>
      </w:r>
    </w:p>
    <w:p w14:paraId="768F3BDF" w14:textId="01F261BC" w:rsidR="0085704C" w:rsidRPr="005E6556" w:rsidRDefault="0085704C" w:rsidP="00736B5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_tradnl" w:eastAsia="es-ES"/>
        </w:rPr>
      </w:pPr>
      <w:r w:rsidRPr="005E6556">
        <w:rPr>
          <w:rFonts w:asciiTheme="majorHAnsi" w:hAnsiTheme="majorHAnsi"/>
          <w:sz w:val="20"/>
          <w:szCs w:val="20"/>
          <w:lang w:val="es-ES_tradnl"/>
        </w:rPr>
        <w:t xml:space="preserve">La parte peticionaria </w:t>
      </w:r>
      <w:r w:rsidR="007903C6" w:rsidRPr="005E6556">
        <w:rPr>
          <w:rFonts w:asciiTheme="majorHAnsi" w:hAnsiTheme="majorHAnsi"/>
          <w:sz w:val="20"/>
          <w:szCs w:val="20"/>
          <w:lang w:val="es-ES_tradnl"/>
        </w:rPr>
        <w:t xml:space="preserve">alega que las presuntas víctimas han ejercido todos los mecanismos judiciales que brinda el derecho interno peruano para la protección de sus derechos. Refiere que debido a la demora en emitir resoluciones definitivas que restauren completamente los derechos patrimoniales de la señora </w:t>
      </w:r>
      <w:r w:rsidR="007903C6" w:rsidRPr="005E6556">
        <w:rPr>
          <w:rFonts w:ascii="Cambria" w:hAnsi="Cambria"/>
          <w:bCs/>
          <w:sz w:val="20"/>
          <w:szCs w:val="20"/>
          <w:lang w:val="es-ES_tradnl"/>
        </w:rPr>
        <w:t xml:space="preserve">Cáceres de Dijkhuizen, se configura la excepción prevista en el artículo 46.2.c) de la Convención Americana. El Estado, por su parte, replica que </w:t>
      </w:r>
      <w:r w:rsidR="00736B50" w:rsidRPr="005E6556">
        <w:rPr>
          <w:rFonts w:ascii="Cambria" w:hAnsi="Cambria"/>
          <w:bCs/>
          <w:sz w:val="20"/>
          <w:szCs w:val="20"/>
          <w:lang w:val="es-ES_tradnl"/>
        </w:rPr>
        <w:t>no se han agotado los recursos de la jurisdicción interna, pues las presuntas víctimas no interpusieron una demanda civil de indemnización a efectos de reclamar una reparación económica por los alegados daños y perjuicios generados por no poder disponer, usar o arrendar los inmuebles incautados.</w:t>
      </w:r>
    </w:p>
    <w:p w14:paraId="14113B8E" w14:textId="16D86B39" w:rsidR="00D5284C" w:rsidRPr="005E6556" w:rsidRDefault="00D5284C" w:rsidP="00D528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E6556">
        <w:rPr>
          <w:rFonts w:asciiTheme="majorHAnsi" w:hAnsiTheme="majorHAnsi"/>
          <w:sz w:val="20"/>
          <w:szCs w:val="20"/>
          <w:lang w:val="es-ES_tradnl"/>
        </w:rPr>
        <w:t>Al respecto, la Comisión recuerda que, como regla general, la parte peticionaria solo tiene en principio la obligación de agotar las vías judiciales ordinarias a nivel interno</w:t>
      </w:r>
      <w:r w:rsidR="00092926">
        <w:rPr>
          <w:rStyle w:val="FootnoteReference"/>
          <w:rFonts w:asciiTheme="majorHAnsi" w:hAnsiTheme="majorHAnsi"/>
          <w:sz w:val="20"/>
          <w:szCs w:val="20"/>
          <w:lang w:val="es-ES_tradnl"/>
        </w:rPr>
        <w:footnoteReference w:id="5"/>
      </w:r>
      <w:r w:rsidRPr="005E6556">
        <w:rPr>
          <w:rFonts w:asciiTheme="majorHAnsi" w:hAnsiTheme="majorHAnsi"/>
          <w:sz w:val="20"/>
          <w:szCs w:val="20"/>
          <w:lang w:val="es-ES_tradnl"/>
        </w:rPr>
        <w:t>. Por ello, la CIDH considera que cuando se alegan irregularidades a lo largo de distintas etapas de un proceso, como por ejemplo la prolongación excesiva de una medida cautelar, no es necesario, en principio, un recurso extraordinario o una vía procesal adicional para cumplir con el requisito establecido en el artículo 46.1.a) de la Convención. A juicio de la Comisión, el hecho de que el asunto controvertido ya haya estado bajo conocimiento de una autoridad judicial, con la obligación y capacidad remediar cualquier posible violación de derechos que pudieran sufrir las personas involucradas en el trámite del proceso, acredita que el Estado tuvo la oportunidad de solucionar el asunto a nivel doméstico</w:t>
      </w:r>
      <w:r w:rsidR="00023069">
        <w:rPr>
          <w:rStyle w:val="FootnoteReference"/>
          <w:rFonts w:asciiTheme="majorHAnsi" w:hAnsiTheme="majorHAnsi"/>
          <w:sz w:val="20"/>
          <w:szCs w:val="20"/>
          <w:lang w:val="es-ES_tradnl"/>
        </w:rPr>
        <w:footnoteReference w:id="6"/>
      </w:r>
      <w:r w:rsidRPr="005E6556">
        <w:rPr>
          <w:rFonts w:asciiTheme="majorHAnsi" w:hAnsiTheme="majorHAnsi"/>
          <w:sz w:val="20"/>
          <w:szCs w:val="20"/>
          <w:lang w:val="es-ES_tradnl"/>
        </w:rPr>
        <w:t xml:space="preserve">. </w:t>
      </w:r>
    </w:p>
    <w:p w14:paraId="299C853C" w14:textId="6D4B5A3E" w:rsidR="00E73512" w:rsidRPr="005E6556" w:rsidRDefault="00D5284C" w:rsidP="00E7351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Cs/>
          <w:color w:val="000000"/>
          <w:sz w:val="20"/>
          <w:szCs w:val="20"/>
          <w:u w:color="000000"/>
          <w:lang w:val="es-ES_tradnl" w:eastAsia="es-ES"/>
        </w:rPr>
      </w:pPr>
      <w:r w:rsidRPr="005E6556">
        <w:rPr>
          <w:rFonts w:asciiTheme="majorHAnsi" w:hAnsiTheme="majorHAnsi"/>
          <w:sz w:val="20"/>
          <w:szCs w:val="20"/>
          <w:lang w:val="es-ES_tradnl"/>
        </w:rPr>
        <w:t>Con base en las citadas consideraciones</w:t>
      </w:r>
      <w:r w:rsidR="00736B50" w:rsidRPr="005E6556">
        <w:rPr>
          <w:rFonts w:asciiTheme="majorHAnsi" w:hAnsiTheme="majorHAnsi"/>
          <w:sz w:val="20"/>
          <w:szCs w:val="20"/>
          <w:lang w:val="es-ES_tradnl"/>
        </w:rPr>
        <w:t>, la Comisión</w:t>
      </w:r>
      <w:r w:rsidR="00402280">
        <w:rPr>
          <w:rFonts w:asciiTheme="majorHAnsi" w:hAnsiTheme="majorHAnsi"/>
          <w:sz w:val="20"/>
          <w:szCs w:val="20"/>
          <w:lang w:val="es-ES_tradnl"/>
        </w:rPr>
        <w:t xml:space="preserve"> destaca que</w:t>
      </w:r>
      <w:r w:rsidR="00CF4174" w:rsidRPr="005E6556">
        <w:rPr>
          <w:rFonts w:asciiTheme="majorHAnsi" w:hAnsiTheme="majorHAnsi"/>
          <w:sz w:val="20"/>
          <w:szCs w:val="20"/>
          <w:lang w:val="es-ES_tradnl"/>
        </w:rPr>
        <w:t xml:space="preserve"> </w:t>
      </w:r>
      <w:r w:rsidR="00CF4174" w:rsidRPr="005E6556">
        <w:rPr>
          <w:rFonts w:ascii="Cambria" w:hAnsi="Cambria"/>
          <w:bCs/>
          <w:sz w:val="20"/>
          <w:szCs w:val="20"/>
          <w:lang w:val="es-ES_tradnl"/>
        </w:rPr>
        <w:t>el 30 de marzo de 2011</w:t>
      </w:r>
      <w:r w:rsidR="00402280">
        <w:rPr>
          <w:rFonts w:ascii="Cambria" w:hAnsi="Cambria"/>
          <w:bCs/>
          <w:sz w:val="20"/>
          <w:szCs w:val="20"/>
          <w:lang w:val="es-ES_tradnl"/>
        </w:rPr>
        <w:t>,</w:t>
      </w:r>
      <w:r w:rsidR="00CF4174" w:rsidRPr="005E6556">
        <w:rPr>
          <w:rFonts w:ascii="Cambria" w:hAnsi="Cambria"/>
          <w:bCs/>
          <w:sz w:val="20"/>
          <w:szCs w:val="20"/>
          <w:lang w:val="es-ES_tradnl"/>
        </w:rPr>
        <w:t xml:space="preserve"> la señora Cáceres de Dijkhuizen solicitó la desafectación de su primer inmueble, logrando que el 22 de octubre de 2012 la Sala Penal Nacional confirme la procedencia de tal pedido. En razón a ello, ambas partes coinciden en que el 30 de abril de 2013 dicha persona recobr</w:t>
      </w:r>
      <w:r w:rsidR="00CF4174" w:rsidRPr="005E6556">
        <w:rPr>
          <w:rFonts w:asciiTheme="majorHAnsi" w:eastAsia="Cambria" w:hAnsiTheme="majorHAnsi" w:cs="Cambria"/>
          <w:bCs/>
          <w:color w:val="000000"/>
          <w:sz w:val="20"/>
          <w:szCs w:val="20"/>
          <w:u w:color="000000"/>
          <w:lang w:val="es-ES_tradnl" w:eastAsia="es-ES"/>
        </w:rPr>
        <w:t xml:space="preserve">ó la posesión de </w:t>
      </w:r>
      <w:r w:rsidR="000B4575" w:rsidRPr="005E6556">
        <w:rPr>
          <w:rFonts w:asciiTheme="majorHAnsi" w:eastAsia="Cambria" w:hAnsiTheme="majorHAnsi" w:cs="Cambria"/>
          <w:bCs/>
          <w:color w:val="000000"/>
          <w:sz w:val="20"/>
          <w:szCs w:val="20"/>
          <w:u w:color="000000"/>
          <w:lang w:val="es-ES_tradnl" w:eastAsia="es-ES"/>
        </w:rPr>
        <w:t>su</w:t>
      </w:r>
      <w:r w:rsidR="00CF4174" w:rsidRPr="005E6556">
        <w:rPr>
          <w:rFonts w:asciiTheme="majorHAnsi" w:eastAsia="Cambria" w:hAnsiTheme="majorHAnsi" w:cs="Cambria"/>
          <w:bCs/>
          <w:color w:val="000000"/>
          <w:sz w:val="20"/>
          <w:szCs w:val="20"/>
          <w:u w:color="000000"/>
          <w:lang w:val="es-ES_tradnl" w:eastAsia="es-ES"/>
        </w:rPr>
        <w:t xml:space="preserve"> propiedad. No obstante, de cara al </w:t>
      </w:r>
      <w:r w:rsidR="00CF4174" w:rsidRPr="005E6556">
        <w:rPr>
          <w:rFonts w:asciiTheme="majorHAnsi" w:eastAsia="Cambria" w:hAnsiTheme="majorHAnsi" w:cs="Cambria"/>
          <w:bCs/>
          <w:color w:val="000000"/>
          <w:sz w:val="20"/>
          <w:szCs w:val="20"/>
          <w:u w:color="000000"/>
          <w:lang w:val="es-ES_tradnl" w:eastAsia="es-ES"/>
        </w:rPr>
        <w:lastRenderedPageBreak/>
        <w:t>agotamiento de los recursos internos, sostiene que al momento de presentación de la petición aún estaba pendiente de decisión</w:t>
      </w:r>
      <w:r w:rsidR="008E32A6" w:rsidRPr="005E6556">
        <w:rPr>
          <w:rFonts w:asciiTheme="majorHAnsi" w:eastAsia="Cambria" w:hAnsiTheme="majorHAnsi" w:cs="Cambria"/>
          <w:bCs/>
          <w:color w:val="000000"/>
          <w:sz w:val="20"/>
          <w:szCs w:val="20"/>
          <w:u w:color="000000"/>
          <w:lang w:val="es-ES_tradnl" w:eastAsia="es-ES"/>
        </w:rPr>
        <w:t xml:space="preserve"> una queja excepcional presentada por </w:t>
      </w:r>
      <w:r w:rsidR="008E32A6" w:rsidRPr="005E6556">
        <w:rPr>
          <w:rFonts w:ascii="Cambria" w:hAnsi="Cambria"/>
          <w:bCs/>
          <w:sz w:val="20"/>
          <w:szCs w:val="20"/>
          <w:lang w:val="es-ES_tradnl"/>
        </w:rPr>
        <w:t xml:space="preserve">la Procuraduría Pública de Tráfico Ilícito de Drogas y Lavado de Activos contra esta decisión. </w:t>
      </w:r>
      <w:r w:rsidR="008E32A6" w:rsidRPr="005E6556">
        <w:rPr>
          <w:rFonts w:asciiTheme="majorHAnsi" w:eastAsia="Cambria" w:hAnsiTheme="majorHAnsi" w:cs="Cambria"/>
          <w:bCs/>
          <w:color w:val="000000"/>
          <w:sz w:val="20"/>
          <w:szCs w:val="20"/>
          <w:u w:color="000000"/>
          <w:lang w:val="es-ES_tradnl" w:eastAsia="es-ES"/>
        </w:rPr>
        <w:t xml:space="preserve">Asimismo, </w:t>
      </w:r>
      <w:r w:rsidR="008E32A6" w:rsidRPr="005E6556">
        <w:rPr>
          <w:rFonts w:asciiTheme="majorHAnsi" w:eastAsia="Cambria" w:hAnsiTheme="majorHAnsi" w:cs="Cambria"/>
          <w:color w:val="000000"/>
          <w:sz w:val="20"/>
          <w:szCs w:val="20"/>
          <w:u w:color="000000"/>
          <w:lang w:val="es-ES_tradnl" w:eastAsia="es-ES"/>
        </w:rPr>
        <w:t xml:space="preserve">el 17 de julio de 2012 la </w:t>
      </w:r>
      <w:r w:rsidR="008E32A6" w:rsidRPr="005E6556">
        <w:rPr>
          <w:rFonts w:ascii="Cambria" w:hAnsi="Cambria"/>
          <w:bCs/>
          <w:sz w:val="20"/>
          <w:szCs w:val="20"/>
          <w:lang w:val="es-ES_tradnl"/>
        </w:rPr>
        <w:t>señora Cáceres de Dijkhuizen</w:t>
      </w:r>
      <w:r w:rsidR="008E32A6" w:rsidRPr="005E6556">
        <w:rPr>
          <w:rFonts w:asciiTheme="majorHAnsi" w:eastAsia="Cambria" w:hAnsiTheme="majorHAnsi" w:cs="Cambria"/>
          <w:color w:val="000000"/>
          <w:sz w:val="20"/>
          <w:szCs w:val="20"/>
          <w:u w:color="000000"/>
          <w:lang w:val="es-ES_tradnl" w:eastAsia="es-ES"/>
        </w:rPr>
        <w:t xml:space="preserve"> solicitó la desafectación de su segundo inmueble</w:t>
      </w:r>
      <w:r w:rsidR="00E73512" w:rsidRPr="005E6556">
        <w:rPr>
          <w:rFonts w:asciiTheme="majorHAnsi" w:eastAsia="Cambria" w:hAnsiTheme="majorHAnsi" w:cs="Cambria"/>
          <w:color w:val="000000"/>
          <w:sz w:val="20"/>
          <w:szCs w:val="20"/>
          <w:u w:color="000000"/>
          <w:lang w:val="es-ES_tradnl" w:eastAsia="es-ES"/>
        </w:rPr>
        <w:t>,</w:t>
      </w:r>
      <w:r w:rsidR="008E32A6" w:rsidRPr="005E6556">
        <w:rPr>
          <w:rFonts w:asciiTheme="majorHAnsi" w:eastAsia="Cambria" w:hAnsiTheme="majorHAnsi" w:cs="Cambria"/>
          <w:color w:val="000000"/>
          <w:sz w:val="20"/>
          <w:szCs w:val="20"/>
          <w:u w:color="000000"/>
          <w:lang w:val="es-ES_tradnl" w:eastAsia="es-ES"/>
        </w:rPr>
        <w:t xml:space="preserve"> y tras dos decisiones previas, el 16 de abril de 2014 la autoridad judicial confirmó la desafectación de esta propiedad. </w:t>
      </w:r>
    </w:p>
    <w:p w14:paraId="2BAA2AA7" w14:textId="726C0AE2" w:rsidR="00E73512" w:rsidRPr="005E6556" w:rsidRDefault="00E73512" w:rsidP="003D3BF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Cs/>
          <w:color w:val="000000"/>
          <w:sz w:val="20"/>
          <w:szCs w:val="20"/>
          <w:u w:color="000000"/>
          <w:lang w:val="es-ES_tradnl" w:eastAsia="es-ES"/>
        </w:rPr>
      </w:pPr>
      <w:r w:rsidRPr="005E6556">
        <w:rPr>
          <w:rFonts w:asciiTheme="majorHAnsi" w:eastAsia="Cambria" w:hAnsiTheme="majorHAnsi" w:cs="Cambria"/>
          <w:bCs/>
          <w:color w:val="000000"/>
          <w:sz w:val="20"/>
          <w:szCs w:val="20"/>
          <w:u w:color="000000"/>
          <w:lang w:val="es-ES_tradnl" w:eastAsia="es-ES"/>
        </w:rPr>
        <w:t xml:space="preserve">En este sentido, la Comisión Interamericana considera que existe una continuidad procesal en los recursos agotados por la presunta víctima, que siempre estuvieron dirigidos recuperar el dominio de sus propiedades; es decir, todos estos recursos estuvieron dirigidos precisamente a la restitución de aquellas afectaciones que conforman el objeto de la petición ante la CIDH. Asimismo, y como ya se indicó, por medio de estos recursos el Estado tuvo la oportunidad de remediar la situación reclamada, </w:t>
      </w:r>
      <w:r w:rsidR="008A7AA1">
        <w:rPr>
          <w:rFonts w:asciiTheme="majorHAnsi" w:eastAsia="Cambria" w:hAnsiTheme="majorHAnsi" w:cs="Cambria"/>
          <w:bCs/>
          <w:color w:val="000000"/>
          <w:sz w:val="20"/>
          <w:szCs w:val="20"/>
          <w:u w:color="000000"/>
          <w:lang w:val="es-ES_tradnl" w:eastAsia="es-ES"/>
        </w:rPr>
        <w:t xml:space="preserve">en tanto las autoridades judiciales tiene la facultad de devolver o desafectar los inmuebles en controversia, </w:t>
      </w:r>
      <w:r w:rsidRPr="005E6556">
        <w:rPr>
          <w:rFonts w:asciiTheme="majorHAnsi" w:eastAsia="Cambria" w:hAnsiTheme="majorHAnsi" w:cs="Cambria"/>
          <w:bCs/>
          <w:color w:val="000000"/>
          <w:sz w:val="20"/>
          <w:szCs w:val="20"/>
          <w:u w:color="000000"/>
          <w:lang w:val="es-ES_tradnl" w:eastAsia="es-ES"/>
        </w:rPr>
        <w:t xml:space="preserve">siendo estos la vía ordinaria para tal fin. Por lo tanto, no resulta razonable, a juicio de la Comisión exigir a la parte peticionaria que agote la vía de la demanda civil de indemnización por los daños causados a su propiedad como requisito previo a acudir al Sistema Interamericano por medio de una petición. Estos alegados daños derivan del hecho mismo </w:t>
      </w:r>
      <w:r w:rsidR="005E6556" w:rsidRPr="005E6556">
        <w:rPr>
          <w:rFonts w:asciiTheme="majorHAnsi" w:eastAsia="Cambria" w:hAnsiTheme="majorHAnsi" w:cs="Cambria"/>
          <w:bCs/>
          <w:color w:val="000000"/>
          <w:sz w:val="20"/>
          <w:szCs w:val="20"/>
          <w:u w:color="000000"/>
          <w:lang w:val="es-ES_tradnl" w:eastAsia="es-ES"/>
        </w:rPr>
        <w:t xml:space="preserve">de la alegada negligencia o uso abusivo que hicieron las autoridades durante el tiempo que estuvieron en posesión de los inmuebles de la presunta víctima, para lo cual, la presunta víctima ya agotó los recursos que se detallan en el presente informe. </w:t>
      </w:r>
    </w:p>
    <w:p w14:paraId="038897F9" w14:textId="39FCC8F4" w:rsidR="008E32A6" w:rsidRPr="005E6556" w:rsidRDefault="008E32A6" w:rsidP="003D3BF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Cs/>
          <w:color w:val="000000"/>
          <w:sz w:val="20"/>
          <w:szCs w:val="20"/>
          <w:u w:color="000000"/>
          <w:lang w:val="es-ES_tradnl" w:eastAsia="es-ES"/>
        </w:rPr>
      </w:pPr>
      <w:r w:rsidRPr="005E6556">
        <w:rPr>
          <w:rFonts w:asciiTheme="majorHAnsi" w:eastAsia="Cambria" w:hAnsiTheme="majorHAnsi" w:cs="Cambria"/>
          <w:color w:val="000000"/>
          <w:sz w:val="20"/>
          <w:szCs w:val="20"/>
          <w:u w:color="000000"/>
          <w:lang w:val="es-ES_tradnl" w:eastAsia="es-ES"/>
        </w:rPr>
        <w:t>En consecuencia, dada la ausencia de cuestionamientos del Estado sobre este punto, la CIDH considera que también se cumple el requisito establecido en el artículo 46.1.a de la Convención Americana respecto de este punto. En sentido similar, concluye que también se cumple el requisito de</w:t>
      </w:r>
      <w:r w:rsidR="00402280">
        <w:rPr>
          <w:rFonts w:asciiTheme="majorHAnsi" w:eastAsia="Cambria" w:hAnsiTheme="majorHAnsi" w:cs="Cambria"/>
          <w:color w:val="000000"/>
          <w:sz w:val="20"/>
          <w:szCs w:val="20"/>
          <w:u w:color="000000"/>
          <w:lang w:val="es-ES_tradnl" w:eastAsia="es-ES"/>
        </w:rPr>
        <w:t xml:space="preserve"> la presentación de la petición en el</w:t>
      </w:r>
      <w:r w:rsidRPr="005E6556">
        <w:rPr>
          <w:rFonts w:asciiTheme="majorHAnsi" w:eastAsia="Cambria" w:hAnsiTheme="majorHAnsi" w:cs="Cambria"/>
          <w:color w:val="000000"/>
          <w:sz w:val="20"/>
          <w:szCs w:val="20"/>
          <w:u w:color="000000"/>
          <w:lang w:val="es-ES_tradnl" w:eastAsia="es-ES"/>
        </w:rPr>
        <w:t xml:space="preserve"> plazo </w:t>
      </w:r>
      <w:r w:rsidR="00402280">
        <w:rPr>
          <w:rFonts w:asciiTheme="majorHAnsi" w:eastAsia="Cambria" w:hAnsiTheme="majorHAnsi" w:cs="Cambria"/>
          <w:color w:val="000000"/>
          <w:sz w:val="20"/>
          <w:szCs w:val="20"/>
          <w:u w:color="000000"/>
          <w:lang w:val="es-ES_tradnl" w:eastAsia="es-ES"/>
        </w:rPr>
        <w:t xml:space="preserve">previsto en </w:t>
      </w:r>
      <w:r w:rsidRPr="005E6556">
        <w:rPr>
          <w:rFonts w:asciiTheme="majorHAnsi" w:eastAsia="Cambria" w:hAnsiTheme="majorHAnsi" w:cs="Cambria"/>
          <w:color w:val="000000"/>
          <w:sz w:val="20"/>
          <w:szCs w:val="20"/>
          <w:u w:color="000000"/>
          <w:lang w:val="es-ES_tradnl" w:eastAsia="es-ES"/>
        </w:rPr>
        <w:t>el artículo 46.1.b de la Convención, dado que la última decisión</w:t>
      </w:r>
      <w:r w:rsidR="00402280">
        <w:rPr>
          <w:rFonts w:asciiTheme="majorHAnsi" w:eastAsia="Cambria" w:hAnsiTheme="majorHAnsi" w:cs="Cambria"/>
          <w:color w:val="000000"/>
          <w:sz w:val="20"/>
          <w:szCs w:val="20"/>
          <w:u w:color="000000"/>
          <w:lang w:val="es-ES_tradnl" w:eastAsia="es-ES"/>
        </w:rPr>
        <w:t xml:space="preserve"> del proceso</w:t>
      </w:r>
      <w:r w:rsidRPr="005E6556">
        <w:rPr>
          <w:rFonts w:asciiTheme="majorHAnsi" w:eastAsia="Cambria" w:hAnsiTheme="majorHAnsi" w:cs="Cambria"/>
          <w:color w:val="000000"/>
          <w:sz w:val="20"/>
          <w:szCs w:val="20"/>
          <w:u w:color="000000"/>
          <w:lang w:val="es-ES_tradnl" w:eastAsia="es-ES"/>
        </w:rPr>
        <w:t xml:space="preserve"> se emitió mientras el presente asunto se encontraba bajo estudio.</w:t>
      </w:r>
    </w:p>
    <w:p w14:paraId="673598AF" w14:textId="77777777" w:rsidR="003239B8" w:rsidRPr="005E6556" w:rsidRDefault="003239B8" w:rsidP="003239B8">
      <w:pPr>
        <w:pStyle w:val="ListParagraph"/>
        <w:spacing w:before="240" w:after="240"/>
        <w:jc w:val="both"/>
        <w:rPr>
          <w:rFonts w:asciiTheme="majorHAnsi" w:hAnsiTheme="majorHAnsi"/>
          <w:b/>
          <w:sz w:val="20"/>
          <w:szCs w:val="20"/>
          <w:lang w:val="es-ES_tradnl"/>
        </w:rPr>
      </w:pPr>
      <w:r w:rsidRPr="005E6556">
        <w:rPr>
          <w:rFonts w:asciiTheme="majorHAnsi" w:hAnsiTheme="majorHAnsi"/>
          <w:b/>
          <w:bCs/>
          <w:sz w:val="20"/>
          <w:szCs w:val="20"/>
          <w:lang w:val="es-ES_tradnl"/>
        </w:rPr>
        <w:t>VII.</w:t>
      </w:r>
      <w:r w:rsidRPr="005E6556">
        <w:rPr>
          <w:rFonts w:asciiTheme="majorHAnsi" w:hAnsiTheme="majorHAnsi"/>
          <w:b/>
          <w:bCs/>
          <w:sz w:val="20"/>
          <w:szCs w:val="20"/>
          <w:lang w:val="es-ES_tradnl"/>
        </w:rPr>
        <w:tab/>
      </w:r>
      <w:r w:rsidR="004A6A54" w:rsidRPr="005E6556">
        <w:rPr>
          <w:rFonts w:asciiTheme="majorHAnsi" w:hAnsiTheme="majorHAnsi"/>
          <w:b/>
          <w:bCs/>
          <w:sz w:val="20"/>
          <w:szCs w:val="20"/>
          <w:lang w:val="es-ES_tradnl"/>
        </w:rPr>
        <w:t xml:space="preserve">ANÁLISIS DE </w:t>
      </w:r>
      <w:r w:rsidR="00C21FEF" w:rsidRPr="005E6556">
        <w:rPr>
          <w:rFonts w:asciiTheme="majorHAnsi" w:hAnsiTheme="majorHAnsi"/>
          <w:b/>
          <w:bCs/>
          <w:sz w:val="20"/>
          <w:szCs w:val="20"/>
          <w:lang w:val="es-ES_tradnl"/>
        </w:rPr>
        <w:t>CARACTERIZACIÓN DE LOS HECHOS ALEGADOS</w:t>
      </w:r>
    </w:p>
    <w:p w14:paraId="24FD8429" w14:textId="31B60FB5" w:rsidR="00905C19" w:rsidRPr="005E6556" w:rsidRDefault="00905C19" w:rsidP="00905C1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5E6556">
        <w:rPr>
          <w:rFonts w:asciiTheme="majorHAnsi" w:hAnsiTheme="majorHAnsi"/>
          <w:bCs/>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w:t>
      </w:r>
      <w:r w:rsidR="00402280">
        <w:rPr>
          <w:rFonts w:asciiTheme="majorHAnsi" w:hAnsiTheme="majorHAnsi"/>
          <w:bCs/>
          <w:sz w:val="20"/>
          <w:szCs w:val="20"/>
          <w:lang w:val="es-ES_tradnl"/>
        </w:rPr>
        <w:t>e</w:t>
      </w:r>
      <w:r w:rsidRPr="005E6556">
        <w:rPr>
          <w:rFonts w:asciiTheme="majorHAnsi" w:hAnsiTheme="majorHAnsi"/>
          <w:bCs/>
          <w:sz w:val="20"/>
          <w:szCs w:val="20"/>
          <w:lang w:val="es-ES_tradnl"/>
        </w:rPr>
        <w:t xml:space="preserv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092926">
        <w:rPr>
          <w:rFonts w:asciiTheme="majorHAnsi" w:hAnsiTheme="majorHAnsi"/>
          <w:bCs/>
          <w:i/>
          <w:iCs/>
          <w:sz w:val="20"/>
          <w:szCs w:val="20"/>
          <w:lang w:val="es-ES_tradnl"/>
        </w:rPr>
        <w:t>prima facie</w:t>
      </w:r>
      <w:r w:rsidRPr="005E6556">
        <w:rPr>
          <w:rFonts w:asciiTheme="majorHAnsi" w:hAnsiTheme="majorHAnsi"/>
          <w:bCs/>
          <w:sz w:val="20"/>
          <w:szCs w:val="20"/>
          <w:lang w:val="es-ES_tradnl"/>
        </w:rPr>
        <w:t xml:space="preserve"> violaciones a la Convención Americana”</w:t>
      </w:r>
      <w:r w:rsidRPr="005E6556">
        <w:rPr>
          <w:rStyle w:val="FootnoteReference"/>
          <w:rFonts w:asciiTheme="majorHAnsi" w:hAnsiTheme="majorHAnsi"/>
          <w:bCs/>
          <w:sz w:val="20"/>
          <w:szCs w:val="20"/>
          <w:lang w:val="es-ES_tradnl"/>
        </w:rPr>
        <w:footnoteReference w:id="7"/>
      </w:r>
      <w:r w:rsidRPr="005E6556">
        <w:rPr>
          <w:rFonts w:asciiTheme="majorHAnsi" w:hAnsiTheme="majorHAnsi"/>
          <w:bCs/>
          <w:sz w:val="20"/>
          <w:szCs w:val="20"/>
          <w:lang w:val="es-ES_tradnl"/>
        </w:rPr>
        <w:t xml:space="preserve">. </w:t>
      </w:r>
    </w:p>
    <w:p w14:paraId="0E19C323" w14:textId="0A05907F" w:rsidR="00916181" w:rsidRPr="00916181" w:rsidRDefault="00D5284C" w:rsidP="0091618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5E6556">
        <w:rPr>
          <w:sz w:val="20"/>
          <w:szCs w:val="20"/>
          <w:lang w:val="es-ES_tradnl"/>
        </w:rPr>
        <w:t xml:space="preserve">En atención a estas consideraciones y tras examinar los elementos de hecho y de derecho expuestos por las partes, la Comisión estima que </w:t>
      </w:r>
      <w:r w:rsidR="00916181">
        <w:rPr>
          <w:sz w:val="20"/>
          <w:szCs w:val="20"/>
          <w:lang w:val="es-ES_tradnl"/>
        </w:rPr>
        <w:t>los alegatos</w:t>
      </w:r>
      <w:r w:rsidRPr="005E6556">
        <w:rPr>
          <w:sz w:val="20"/>
          <w:szCs w:val="20"/>
          <w:lang w:val="es-ES_tradnl"/>
        </w:rPr>
        <w:t xml:space="preserve"> de la parte peticionaria</w:t>
      </w:r>
      <w:r w:rsidR="00F2173C" w:rsidRPr="005E6556">
        <w:rPr>
          <w:sz w:val="20"/>
          <w:szCs w:val="20"/>
          <w:lang w:val="es-ES_tradnl"/>
        </w:rPr>
        <w:t>, referid</w:t>
      </w:r>
      <w:r w:rsidR="00916181">
        <w:rPr>
          <w:sz w:val="20"/>
          <w:szCs w:val="20"/>
          <w:lang w:val="es-ES_tradnl"/>
        </w:rPr>
        <w:t>o</w:t>
      </w:r>
      <w:r w:rsidR="00F2173C" w:rsidRPr="005E6556">
        <w:rPr>
          <w:sz w:val="20"/>
          <w:szCs w:val="20"/>
          <w:lang w:val="es-ES_tradnl"/>
        </w:rPr>
        <w:t>s a la falta de justificación y prolongación excesiva de medida</w:t>
      </w:r>
      <w:r w:rsidR="00916181">
        <w:rPr>
          <w:sz w:val="20"/>
          <w:szCs w:val="20"/>
          <w:lang w:val="es-ES_tradnl"/>
        </w:rPr>
        <w:t>s</w:t>
      </w:r>
      <w:r w:rsidR="00F2173C" w:rsidRPr="005E6556">
        <w:rPr>
          <w:sz w:val="20"/>
          <w:szCs w:val="20"/>
          <w:lang w:val="es-ES_tradnl"/>
        </w:rPr>
        <w:t xml:space="preserve"> de embargo preventivo sobre los bienes de la señora </w:t>
      </w:r>
      <w:r w:rsidR="00F2173C" w:rsidRPr="005E6556">
        <w:rPr>
          <w:bCs/>
          <w:sz w:val="20"/>
          <w:szCs w:val="20"/>
          <w:lang w:val="es-ES_tradnl"/>
        </w:rPr>
        <w:t xml:space="preserve">Cáceres de Dijkhuizen, </w:t>
      </w:r>
      <w:r w:rsidR="00916181">
        <w:rPr>
          <w:bCs/>
          <w:sz w:val="20"/>
          <w:szCs w:val="20"/>
          <w:lang w:val="es-ES_tradnl"/>
        </w:rPr>
        <w:t xml:space="preserve">y los daños a sus propiedades, </w:t>
      </w:r>
      <w:r w:rsidRPr="005E6556">
        <w:rPr>
          <w:sz w:val="20"/>
          <w:szCs w:val="20"/>
          <w:lang w:val="es-ES_tradnl"/>
        </w:rPr>
        <w:t>no resultan manifiestamente infundad</w:t>
      </w:r>
      <w:r w:rsidR="00916181">
        <w:rPr>
          <w:sz w:val="20"/>
          <w:szCs w:val="20"/>
          <w:lang w:val="es-ES_tradnl"/>
        </w:rPr>
        <w:t>os</w:t>
      </w:r>
      <w:r w:rsidRPr="005E6556">
        <w:rPr>
          <w:sz w:val="20"/>
          <w:szCs w:val="20"/>
          <w:lang w:val="es-ES_tradnl"/>
        </w:rPr>
        <w:t xml:space="preserve"> y requieren de un estudio de fondo</w:t>
      </w:r>
      <w:r w:rsidR="00916181">
        <w:rPr>
          <w:sz w:val="20"/>
          <w:szCs w:val="20"/>
          <w:lang w:val="es-ES_tradnl"/>
        </w:rPr>
        <w:t>.</w:t>
      </w:r>
      <w:r w:rsidRPr="005E6556">
        <w:rPr>
          <w:sz w:val="20"/>
          <w:szCs w:val="20"/>
          <w:lang w:val="es-ES_tradnl"/>
        </w:rPr>
        <w:t xml:space="preserve"> </w:t>
      </w:r>
      <w:r w:rsidR="00916181">
        <w:rPr>
          <w:bCs/>
          <w:sz w:val="20"/>
          <w:szCs w:val="20"/>
          <w:lang w:val="es-ES_tradnl"/>
        </w:rPr>
        <w:t>La CIDH reconoce que las restricciones al ejercicio del derecho a la propiedad de las presuntas víctimas tuvieron sustento en la legislación vigente; sin embargo, en la etapa de fondo analizará si la forma c</w:t>
      </w:r>
      <w:r w:rsidR="00402280">
        <w:rPr>
          <w:bCs/>
          <w:sz w:val="20"/>
          <w:szCs w:val="20"/>
          <w:lang w:val="es-ES_tradnl"/>
        </w:rPr>
        <w:t>o</w:t>
      </w:r>
      <w:r w:rsidR="00916181">
        <w:rPr>
          <w:bCs/>
          <w:sz w:val="20"/>
          <w:szCs w:val="20"/>
          <w:lang w:val="es-ES_tradnl"/>
        </w:rPr>
        <w:t xml:space="preserve">mo se ejecutaron, su duración y la supervisión judicial que se hizo de estas se dio de acuerdo con el contenido y alcances de los derechos convencionales invocados, en particular del derecho a la propiedad. </w:t>
      </w:r>
    </w:p>
    <w:p w14:paraId="239E47B5" w14:textId="332E30FA" w:rsidR="00F2173C" w:rsidRPr="005E6556" w:rsidRDefault="00916181" w:rsidP="00BF590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sz w:val="20"/>
          <w:szCs w:val="20"/>
          <w:lang w:val="es-ES_tradnl"/>
        </w:rPr>
        <w:t>Así, l</w:t>
      </w:r>
      <w:r w:rsidR="00D5284C" w:rsidRPr="005E6556">
        <w:rPr>
          <w:sz w:val="20"/>
          <w:szCs w:val="20"/>
          <w:lang w:val="es-ES_tradnl"/>
        </w:rPr>
        <w:t xml:space="preserve">os hechos alegados, de corroborarse como ciertos podrían caracterizar violaciones a los artículos </w:t>
      </w:r>
      <w:r w:rsidR="00D5284C" w:rsidRPr="005E6556">
        <w:rPr>
          <w:bCs/>
          <w:sz w:val="20"/>
          <w:szCs w:val="20"/>
          <w:lang w:val="es-ES_tradnl"/>
        </w:rPr>
        <w:t xml:space="preserve">8 (garantías judiciales), 21 (propiedad privada), 25 (protección judicial) </w:t>
      </w:r>
      <w:r w:rsidR="00F2173C" w:rsidRPr="005E6556">
        <w:rPr>
          <w:bCs/>
          <w:sz w:val="20"/>
          <w:szCs w:val="20"/>
          <w:lang w:val="es-ES_tradnl"/>
        </w:rPr>
        <w:t xml:space="preserve">y 26 (derechos económicos, sociales y culturales) </w:t>
      </w:r>
      <w:r w:rsidR="00D5284C" w:rsidRPr="005E6556">
        <w:rPr>
          <w:bCs/>
          <w:sz w:val="20"/>
          <w:szCs w:val="20"/>
          <w:lang w:val="es-ES_tradnl"/>
        </w:rPr>
        <w:t xml:space="preserve">de la Convención Americana, en relación con </w:t>
      </w:r>
      <w:r w:rsidR="00F2173C" w:rsidRPr="005E6556">
        <w:rPr>
          <w:bCs/>
          <w:sz w:val="20"/>
          <w:szCs w:val="20"/>
          <w:lang w:val="es-ES_tradnl"/>
        </w:rPr>
        <w:t>el</w:t>
      </w:r>
      <w:r w:rsidR="00D5284C" w:rsidRPr="005E6556">
        <w:rPr>
          <w:bCs/>
          <w:sz w:val="20"/>
          <w:szCs w:val="20"/>
          <w:lang w:val="es-ES_tradnl"/>
        </w:rPr>
        <w:t xml:space="preserve"> artículo 1.1 del mismo instrumento</w:t>
      </w:r>
      <w:r w:rsidR="00F2173C" w:rsidRPr="005E6556">
        <w:rPr>
          <w:bCs/>
          <w:sz w:val="20"/>
          <w:szCs w:val="20"/>
          <w:lang w:val="es-ES_tradnl"/>
        </w:rPr>
        <w:t>,</w:t>
      </w:r>
      <w:r w:rsidR="00D5284C" w:rsidRPr="005E6556">
        <w:rPr>
          <w:bCs/>
          <w:sz w:val="20"/>
          <w:szCs w:val="20"/>
          <w:lang w:val="es-ES_tradnl"/>
        </w:rPr>
        <w:t xml:space="preserve"> en perjuicio de </w:t>
      </w:r>
      <w:r w:rsidR="00F2173C" w:rsidRPr="005E6556">
        <w:rPr>
          <w:sz w:val="20"/>
          <w:szCs w:val="20"/>
          <w:lang w:val="es-ES_tradnl"/>
        </w:rPr>
        <w:t xml:space="preserve">la señora </w:t>
      </w:r>
      <w:r w:rsidR="00F2173C" w:rsidRPr="005E6556">
        <w:rPr>
          <w:bCs/>
          <w:sz w:val="20"/>
          <w:szCs w:val="20"/>
          <w:lang w:val="es-ES_tradnl"/>
        </w:rPr>
        <w:t>Cáceres de Dijkhuizen</w:t>
      </w:r>
      <w:r w:rsidR="00F2173C" w:rsidRPr="005E6556">
        <w:rPr>
          <w:rFonts w:asciiTheme="majorHAnsi" w:eastAsia="Arial Unicode MS" w:hAnsiTheme="majorHAnsi" w:cs="Times New Roman"/>
          <w:bCs/>
          <w:color w:val="auto"/>
          <w:sz w:val="20"/>
          <w:szCs w:val="20"/>
          <w:lang w:val="es-ES_tradnl" w:eastAsia="en-US"/>
        </w:rPr>
        <w:t xml:space="preserve"> y, en lo pertinente, del señor </w:t>
      </w:r>
      <w:r w:rsidR="00F2173C" w:rsidRPr="005E6556">
        <w:rPr>
          <w:bCs/>
          <w:sz w:val="20"/>
          <w:szCs w:val="20"/>
          <w:lang w:val="es-ES_tradnl"/>
        </w:rPr>
        <w:t xml:space="preserve">Dijkhuizen. </w:t>
      </w:r>
    </w:p>
    <w:p w14:paraId="54761490" w14:textId="1CFD8778" w:rsidR="00D5284C" w:rsidRPr="005E6556" w:rsidRDefault="00D5284C" w:rsidP="00BF590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5E6556">
        <w:rPr>
          <w:rFonts w:asciiTheme="majorHAnsi" w:eastAsia="Arial Unicode MS" w:hAnsiTheme="majorHAnsi" w:cs="Times New Roman"/>
          <w:bCs/>
          <w:color w:val="auto"/>
          <w:sz w:val="20"/>
          <w:szCs w:val="20"/>
          <w:lang w:val="es-ES_tradnl" w:eastAsia="en-US"/>
        </w:rPr>
        <w:lastRenderedPageBreak/>
        <w:t xml:space="preserve">Finalmente, la Comisión considera que la peticionaria no ha presentado elementos básicos que establezcan </w:t>
      </w:r>
      <w:r w:rsidRPr="005E6556">
        <w:rPr>
          <w:rFonts w:asciiTheme="majorHAnsi" w:eastAsia="Arial Unicode MS" w:hAnsiTheme="majorHAnsi" w:cs="Times New Roman"/>
          <w:bCs/>
          <w:i/>
          <w:iCs/>
          <w:color w:val="auto"/>
          <w:sz w:val="20"/>
          <w:szCs w:val="20"/>
          <w:lang w:val="es-ES_tradnl" w:eastAsia="en-US"/>
        </w:rPr>
        <w:t>prima facie</w:t>
      </w:r>
      <w:r w:rsidRPr="005E6556">
        <w:rPr>
          <w:rFonts w:asciiTheme="majorHAnsi" w:eastAsia="Arial Unicode MS" w:hAnsiTheme="majorHAnsi" w:cs="Times New Roman"/>
          <w:bCs/>
          <w:color w:val="auto"/>
          <w:sz w:val="20"/>
          <w:szCs w:val="20"/>
          <w:lang w:val="es-ES_tradnl" w:eastAsia="en-US"/>
        </w:rPr>
        <w:t xml:space="preserve"> sus reclamos por una potencial violación</w:t>
      </w:r>
      <w:r w:rsidR="00402280">
        <w:rPr>
          <w:rFonts w:asciiTheme="majorHAnsi" w:eastAsia="Arial Unicode MS" w:hAnsiTheme="majorHAnsi" w:cs="Times New Roman"/>
          <w:bCs/>
          <w:color w:val="auto"/>
          <w:sz w:val="20"/>
          <w:szCs w:val="20"/>
          <w:lang w:val="es-ES_tradnl" w:eastAsia="en-US"/>
        </w:rPr>
        <w:t xml:space="preserve"> a los derechos consagrados en los</w:t>
      </w:r>
      <w:r w:rsidRPr="005E6556">
        <w:rPr>
          <w:rFonts w:asciiTheme="majorHAnsi" w:eastAsia="Arial Unicode MS" w:hAnsiTheme="majorHAnsi" w:cs="Times New Roman"/>
          <w:bCs/>
          <w:color w:val="auto"/>
          <w:sz w:val="20"/>
          <w:szCs w:val="20"/>
          <w:lang w:val="es-ES_tradnl" w:eastAsia="en-US"/>
        </w:rPr>
        <w:t xml:space="preserve"> artículos </w:t>
      </w:r>
      <w:r w:rsidRPr="005E6556">
        <w:rPr>
          <w:bCs/>
          <w:sz w:val="20"/>
          <w:szCs w:val="20"/>
          <w:lang w:val="es-ES_tradnl"/>
        </w:rPr>
        <w:t>11 (protección de la honra y de la dignidad) y 22 (derecho de circulación y residencia)</w:t>
      </w:r>
      <w:r w:rsidRPr="005E6556">
        <w:rPr>
          <w:rFonts w:asciiTheme="majorHAnsi" w:hAnsiTheme="majorHAnsi"/>
          <w:bCs/>
          <w:sz w:val="20"/>
          <w:szCs w:val="20"/>
          <w:lang w:val="es-ES_tradnl"/>
        </w:rPr>
        <w:t xml:space="preserve"> </w:t>
      </w:r>
      <w:r w:rsidRPr="005E6556">
        <w:rPr>
          <w:rFonts w:asciiTheme="majorHAnsi" w:eastAsia="Arial Unicode MS" w:hAnsiTheme="majorHAnsi" w:cs="Times New Roman"/>
          <w:bCs/>
          <w:color w:val="auto"/>
          <w:sz w:val="20"/>
          <w:szCs w:val="20"/>
          <w:lang w:val="es-ES_tradnl" w:eastAsia="en-US"/>
        </w:rPr>
        <w:t xml:space="preserve">de la Convención Americana. En consecuencia, la CIDH declara que esta alegación es inadmisible respecto de dichos alegatos, de conformidad con el artículo 47.b de la Convención Americana.  </w:t>
      </w:r>
    </w:p>
    <w:p w14:paraId="445BF42E" w14:textId="35BC05A0" w:rsidR="003239B8" w:rsidRPr="005E6556" w:rsidRDefault="003239B8" w:rsidP="003239B8">
      <w:pPr>
        <w:pStyle w:val="ListParagraph"/>
        <w:spacing w:before="240" w:after="240"/>
        <w:jc w:val="both"/>
        <w:rPr>
          <w:rFonts w:asciiTheme="majorHAnsi" w:hAnsiTheme="majorHAnsi"/>
          <w:b/>
          <w:bCs/>
          <w:sz w:val="20"/>
          <w:szCs w:val="20"/>
          <w:lang w:val="es-ES_tradnl"/>
        </w:rPr>
      </w:pPr>
      <w:r w:rsidRPr="005E6556">
        <w:rPr>
          <w:rFonts w:asciiTheme="majorHAnsi" w:hAnsiTheme="majorHAnsi"/>
          <w:b/>
          <w:bCs/>
          <w:sz w:val="20"/>
          <w:szCs w:val="20"/>
          <w:lang w:val="es-ES_tradnl"/>
        </w:rPr>
        <w:t xml:space="preserve">VIII. </w:t>
      </w:r>
      <w:r w:rsidRPr="005E6556">
        <w:rPr>
          <w:rFonts w:asciiTheme="majorHAnsi" w:hAnsiTheme="majorHAnsi"/>
          <w:b/>
          <w:bCs/>
          <w:sz w:val="20"/>
          <w:szCs w:val="20"/>
          <w:lang w:val="es-ES_tradnl"/>
        </w:rPr>
        <w:tab/>
        <w:t>DECISIÓN</w:t>
      </w:r>
    </w:p>
    <w:p w14:paraId="30F7618E" w14:textId="50CCDE75" w:rsidR="00D5284C" w:rsidRPr="005E6556" w:rsidRDefault="000419AD" w:rsidP="00D528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E6556">
        <w:rPr>
          <w:rFonts w:asciiTheme="majorHAnsi" w:hAnsiTheme="majorHAnsi"/>
          <w:sz w:val="20"/>
          <w:szCs w:val="20"/>
          <w:lang w:val="es-ES_tradnl"/>
        </w:rPr>
        <w:t>Declarar</w:t>
      </w:r>
      <w:r w:rsidR="00D5284C" w:rsidRPr="005E6556">
        <w:rPr>
          <w:rFonts w:asciiTheme="majorHAnsi" w:hAnsiTheme="majorHAnsi"/>
          <w:sz w:val="20"/>
          <w:szCs w:val="20"/>
          <w:lang w:val="es-ES_tradnl"/>
        </w:rPr>
        <w:t xml:space="preserve"> admisible la presente petición en relación con </w:t>
      </w:r>
      <w:r w:rsidR="00F44BA4" w:rsidRPr="005E6556">
        <w:rPr>
          <w:rFonts w:asciiTheme="majorHAnsi" w:hAnsiTheme="majorHAnsi"/>
          <w:sz w:val="20"/>
          <w:szCs w:val="20"/>
          <w:lang w:val="es-ES_tradnl"/>
        </w:rPr>
        <w:t xml:space="preserve">los artículos </w:t>
      </w:r>
      <w:r w:rsidR="00D5284C" w:rsidRPr="005E6556">
        <w:rPr>
          <w:rFonts w:asciiTheme="majorHAnsi" w:hAnsiTheme="majorHAnsi"/>
          <w:sz w:val="20"/>
          <w:szCs w:val="20"/>
          <w:lang w:val="es-ES_tradnl"/>
        </w:rPr>
        <w:t xml:space="preserve">8, 21, 25 y 26 de la Convención Americana; </w:t>
      </w:r>
    </w:p>
    <w:p w14:paraId="0E563EAD" w14:textId="0B91298E" w:rsidR="00F44BA4" w:rsidRPr="005E6556" w:rsidRDefault="00F44BA4" w:rsidP="00D528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E6556">
        <w:rPr>
          <w:rFonts w:asciiTheme="majorHAnsi" w:hAnsiTheme="majorHAnsi"/>
          <w:sz w:val="20"/>
          <w:szCs w:val="20"/>
          <w:lang w:val="es-ES_tradnl"/>
        </w:rPr>
        <w:t>Declarar inadmisible la presente petición en relación con los artículos 11 y 22 de la Convención Americana</w:t>
      </w:r>
      <w:r w:rsidR="00554DAE">
        <w:rPr>
          <w:rFonts w:asciiTheme="majorHAnsi" w:hAnsiTheme="majorHAnsi"/>
          <w:sz w:val="20"/>
          <w:szCs w:val="20"/>
          <w:lang w:val="es-ES_tradnl"/>
        </w:rPr>
        <w:t>, y;</w:t>
      </w:r>
    </w:p>
    <w:p w14:paraId="02C904B2" w14:textId="031357BF" w:rsidR="009A56CE" w:rsidRPr="00061473" w:rsidRDefault="00D5284C" w:rsidP="00F44B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5E6556">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Pr="005E6556">
        <w:rPr>
          <w:rFonts w:asciiTheme="majorHAnsi" w:hAnsiTheme="majorHAnsi" w:cs="Calibri"/>
          <w:color w:val="000000" w:themeColor="text1"/>
          <w:sz w:val="20"/>
          <w:szCs w:val="20"/>
          <w:lang w:val="es-ES_tradnl"/>
        </w:rPr>
        <w:tab/>
      </w:r>
    </w:p>
    <w:p w14:paraId="4E118522" w14:textId="2FFF595D" w:rsidR="00061473" w:rsidRPr="00DE03BD" w:rsidRDefault="00061473" w:rsidP="00DE03B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D37773">
        <w:rPr>
          <w:rStyle w:val="normaltextrun"/>
          <w:rFonts w:ascii="Cambria" w:hAnsi="Cambria" w:cs="Segoe UI"/>
          <w:sz w:val="20"/>
          <w:szCs w:val="20"/>
          <w:lang w:val="es-CL"/>
        </w:rPr>
        <w:t>21</w:t>
      </w:r>
      <w:r>
        <w:rPr>
          <w:rStyle w:val="normaltextrun"/>
          <w:rFonts w:ascii="Cambria" w:hAnsi="Cambria" w:cs="Segoe UI"/>
          <w:sz w:val="20"/>
          <w:szCs w:val="20"/>
          <w:lang w:val="es-CL"/>
        </w:rPr>
        <w:t xml:space="preserve"> días del mes de </w:t>
      </w:r>
      <w:r w:rsidR="00D37773">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2022.  (Firmado): Stuardo Ralón Orellana, Primer Vicepresidente; Esmeralda E. Arosemena Bernal de Troitiño, Joel Hernández y Carlos Bernal Pulido, </w:t>
      </w:r>
      <w:r w:rsidR="00DE03B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061473" w:rsidRPr="00DE03B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FB93" w14:textId="77777777" w:rsidR="001528B7" w:rsidRDefault="001528B7">
      <w:r>
        <w:separator/>
      </w:r>
    </w:p>
  </w:endnote>
  <w:endnote w:type="continuationSeparator" w:id="0">
    <w:p w14:paraId="4E352E77" w14:textId="77777777" w:rsidR="001528B7" w:rsidRDefault="0015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C22C" w14:textId="77777777" w:rsidR="001528B7" w:rsidRPr="000F35ED" w:rsidRDefault="001528B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53E4679" w14:textId="77777777" w:rsidR="001528B7" w:rsidRPr="000F35ED" w:rsidRDefault="001528B7" w:rsidP="000F35ED">
      <w:pPr>
        <w:rPr>
          <w:rFonts w:asciiTheme="majorHAnsi" w:hAnsiTheme="majorHAnsi"/>
          <w:sz w:val="16"/>
          <w:szCs w:val="16"/>
        </w:rPr>
      </w:pPr>
      <w:r w:rsidRPr="000F35ED">
        <w:rPr>
          <w:rFonts w:asciiTheme="majorHAnsi" w:hAnsiTheme="majorHAnsi"/>
          <w:sz w:val="16"/>
          <w:szCs w:val="16"/>
        </w:rPr>
        <w:separator/>
      </w:r>
    </w:p>
    <w:p w14:paraId="31227230" w14:textId="77777777" w:rsidR="001528B7" w:rsidRPr="000F35ED" w:rsidRDefault="001528B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F78DCC" w14:textId="77777777" w:rsidR="001528B7" w:rsidRPr="000F35ED" w:rsidRDefault="001528B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7AA5FCC" w14:textId="77777777" w:rsidR="00382AC6" w:rsidRPr="00306F33" w:rsidRDefault="00382AC6" w:rsidP="0040379D">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3E5FABCF" w14:textId="77777777" w:rsidR="0085704C" w:rsidRPr="00A65483" w:rsidRDefault="0085704C" w:rsidP="0040379D">
      <w:pPr>
        <w:pStyle w:val="FootnoteText"/>
        <w:ind w:firstLine="720"/>
        <w:jc w:val="both"/>
        <w:rPr>
          <w:rFonts w:asciiTheme="majorHAnsi" w:hAnsiTheme="majorHAnsi"/>
          <w:sz w:val="16"/>
          <w:szCs w:val="16"/>
          <w:lang w:val="es-ES"/>
        </w:rPr>
      </w:pPr>
      <w:r w:rsidRPr="00A65483">
        <w:rPr>
          <w:rStyle w:val="FootnoteReference"/>
          <w:rFonts w:asciiTheme="majorHAnsi" w:hAnsiTheme="majorHAnsi"/>
          <w:sz w:val="16"/>
          <w:szCs w:val="16"/>
        </w:rPr>
        <w:footnoteRef/>
      </w:r>
      <w:r w:rsidRPr="00A65483">
        <w:rPr>
          <w:rFonts w:asciiTheme="majorHAnsi" w:hAnsiTheme="majorHAnsi"/>
          <w:sz w:val="16"/>
          <w:szCs w:val="16"/>
          <w:lang w:val="es-ES"/>
        </w:rPr>
        <w:t xml:space="preserve"> En adelante “la Convención Americana” o “la Convención”</w:t>
      </w:r>
    </w:p>
  </w:footnote>
  <w:footnote w:id="4">
    <w:p w14:paraId="1AFEF3B0" w14:textId="488F7B54" w:rsidR="008E3BFE" w:rsidRPr="00306F33" w:rsidRDefault="008E3BFE" w:rsidP="0040379D">
      <w:pPr>
        <w:pStyle w:val="FootnoteText"/>
        <w:ind w:firstLine="720"/>
        <w:jc w:val="both"/>
        <w:rPr>
          <w:rFonts w:asciiTheme="majorHAnsi" w:hAnsiTheme="majorHAnsi"/>
          <w:sz w:val="16"/>
          <w:szCs w:val="16"/>
          <w:lang w:val="es-ES"/>
        </w:rPr>
      </w:pPr>
      <w:r w:rsidRPr="0085704C">
        <w:rPr>
          <w:rStyle w:val="FootnoteReference"/>
          <w:rFonts w:asciiTheme="majorHAnsi" w:hAnsiTheme="majorHAnsi"/>
          <w:sz w:val="16"/>
          <w:szCs w:val="16"/>
        </w:rPr>
        <w:footnoteRef/>
      </w:r>
      <w:r w:rsidRPr="0085704C">
        <w:rPr>
          <w:rFonts w:asciiTheme="majorHAnsi" w:hAnsiTheme="majorHAnsi"/>
          <w:sz w:val="16"/>
          <w:szCs w:val="16"/>
          <w:lang w:val="es-ES"/>
        </w:rPr>
        <w:t xml:space="preserve"> Las observaciones de cada parte fueron debidamente trasladadas a la parte contraria.</w:t>
      </w:r>
      <w:r w:rsidR="009A56CE" w:rsidRPr="0085704C">
        <w:rPr>
          <w:rFonts w:asciiTheme="majorHAnsi" w:hAnsiTheme="majorHAnsi"/>
          <w:sz w:val="16"/>
          <w:szCs w:val="16"/>
          <w:lang w:val="es-ES"/>
        </w:rPr>
        <w:t xml:space="preserve"> </w:t>
      </w:r>
    </w:p>
  </w:footnote>
  <w:footnote w:id="5">
    <w:p w14:paraId="1709C177" w14:textId="5EED6A90" w:rsidR="00092926" w:rsidRPr="00092926" w:rsidRDefault="00092926" w:rsidP="00092926">
      <w:pPr>
        <w:pStyle w:val="FootnoteText"/>
        <w:ind w:firstLine="720"/>
        <w:jc w:val="both"/>
        <w:rPr>
          <w:rFonts w:asciiTheme="majorHAnsi" w:hAnsiTheme="majorHAnsi"/>
          <w:sz w:val="16"/>
          <w:szCs w:val="16"/>
          <w:lang w:val="es-US"/>
        </w:rPr>
      </w:pPr>
      <w:r w:rsidRPr="00092926">
        <w:rPr>
          <w:rStyle w:val="FootnoteReference"/>
          <w:rFonts w:asciiTheme="majorHAnsi" w:hAnsiTheme="majorHAnsi"/>
          <w:sz w:val="16"/>
          <w:szCs w:val="16"/>
          <w:lang w:val="es-US"/>
        </w:rPr>
        <w:footnoteRef/>
      </w:r>
      <w:r w:rsidRPr="00092926">
        <w:rPr>
          <w:rFonts w:asciiTheme="majorHAnsi" w:hAnsiTheme="majorHAnsi"/>
          <w:sz w:val="16"/>
          <w:szCs w:val="16"/>
          <w:lang w:val="es-US"/>
        </w:rPr>
        <w:t xml:space="preserve"> CIDH, Informe No. 161/17, Petición 29-07. Admisibilidad. </w:t>
      </w:r>
      <w:r w:rsidRPr="00023069">
        <w:rPr>
          <w:rFonts w:asciiTheme="majorHAnsi" w:hAnsiTheme="majorHAnsi"/>
          <w:sz w:val="16"/>
          <w:szCs w:val="16"/>
        </w:rPr>
        <w:t xml:space="preserve">Andy Williams Garcés Suárez y familia. </w:t>
      </w:r>
      <w:r w:rsidRPr="00092926">
        <w:rPr>
          <w:rFonts w:asciiTheme="majorHAnsi" w:hAnsiTheme="majorHAnsi"/>
          <w:sz w:val="16"/>
          <w:szCs w:val="16"/>
          <w:lang w:val="es-US"/>
        </w:rPr>
        <w:t>Perú. 30 de noviembre de 2017, párr. 12.</w:t>
      </w:r>
    </w:p>
  </w:footnote>
  <w:footnote w:id="6">
    <w:p w14:paraId="079638C3" w14:textId="2F338C78" w:rsidR="00023069" w:rsidRPr="00023069" w:rsidRDefault="00023069" w:rsidP="00023069">
      <w:pPr>
        <w:pStyle w:val="FootnoteText"/>
        <w:ind w:firstLine="720"/>
        <w:rPr>
          <w:lang w:val="es-US"/>
        </w:rPr>
      </w:pPr>
      <w:r>
        <w:rPr>
          <w:rStyle w:val="FootnoteReference"/>
        </w:rPr>
        <w:footnoteRef/>
      </w:r>
      <w:r>
        <w:rPr>
          <w:lang w:val="es-US"/>
        </w:rPr>
        <w:t xml:space="preserve"> </w:t>
      </w:r>
      <w:r w:rsidRPr="000F4E49">
        <w:rPr>
          <w:rFonts w:asciiTheme="majorHAnsi" w:hAnsiTheme="majorHAnsi"/>
          <w:sz w:val="16"/>
          <w:szCs w:val="16"/>
          <w:lang w:val="es-US"/>
        </w:rPr>
        <w:t xml:space="preserve">Cfr. CIDH, Informe No. 221/22, Petición 434-12. Admisbilidad. Hugo Paz Lavadenz. Perú. 13 de agosto de 2022, párr. 23. </w:t>
      </w:r>
      <w:r w:rsidRPr="00023069">
        <w:rPr>
          <w:lang w:val="es-US"/>
        </w:rPr>
        <w:t xml:space="preserve"> </w:t>
      </w:r>
    </w:p>
  </w:footnote>
  <w:footnote w:id="7">
    <w:p w14:paraId="2CC3F00A" w14:textId="77777777" w:rsidR="00905C19" w:rsidRPr="00900CB5" w:rsidRDefault="00905C19" w:rsidP="0040379D">
      <w:pPr>
        <w:pStyle w:val="FootnoteText"/>
        <w:ind w:firstLine="720"/>
        <w:jc w:val="both"/>
        <w:rPr>
          <w:rFonts w:ascii="Cambria" w:hAnsi="Cambria"/>
          <w:sz w:val="16"/>
          <w:szCs w:val="16"/>
          <w:lang w:val="es-ES"/>
        </w:rPr>
      </w:pPr>
      <w:r w:rsidRPr="00900CB5">
        <w:rPr>
          <w:rStyle w:val="FootnoteReference"/>
          <w:rFonts w:ascii="Cambria" w:hAnsi="Cambria"/>
          <w:sz w:val="16"/>
          <w:szCs w:val="16"/>
        </w:rPr>
        <w:footnoteRef/>
      </w:r>
      <w:r w:rsidRPr="00900CB5">
        <w:rPr>
          <w:rFonts w:ascii="Cambria" w:hAnsi="Cambria"/>
          <w:sz w:val="16"/>
          <w:szCs w:val="16"/>
          <w:lang w:val="es-ES"/>
        </w:rPr>
        <w:t xml:space="preserve"> CIDH, Informe No. 143/18, Petición 940-08. Admisibilidad. Luis Américo Ayala Gonzales. Perú. 4 de diciembre de 2018, párr. </w:t>
      </w:r>
      <w:r w:rsidRPr="00C30750">
        <w:rPr>
          <w:rFonts w:ascii="Cambria" w:hAnsi="Cambria"/>
          <w:sz w:val="16"/>
          <w:szCs w:val="16"/>
          <w:lang w:val="es-ES"/>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24255"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D90B8A4"/>
    <w:lvl w:ilvl="0" w:tplc="EAB0FAAA">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A36DCF"/>
    <w:multiLevelType w:val="hybridMultilevel"/>
    <w:tmpl w:val="D4EA90BE"/>
    <w:lvl w:ilvl="0" w:tplc="FFFFFFFF">
      <w:start w:val="1"/>
      <w:numFmt w:val="decimal"/>
      <w:lvlText w:val="%1."/>
      <w:lvlJc w:val="left"/>
      <w:pPr>
        <w:tabs>
          <w:tab w:val="num" w:pos="720"/>
        </w:tabs>
        <w:ind w:left="0" w:firstLine="720"/>
      </w:pPr>
      <w:rPr>
        <w:rFonts w:hint="default"/>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82112603">
    <w:abstractNumId w:val="3"/>
  </w:num>
  <w:num w:numId="2" w16cid:durableId="2108496182">
    <w:abstractNumId w:val="5"/>
  </w:num>
  <w:num w:numId="3" w16cid:durableId="1140734061">
    <w:abstractNumId w:val="54"/>
  </w:num>
  <w:num w:numId="4" w16cid:durableId="1412433914">
    <w:abstractNumId w:val="20"/>
  </w:num>
  <w:num w:numId="5" w16cid:durableId="1292134723">
    <w:abstractNumId w:val="48"/>
  </w:num>
  <w:num w:numId="6" w16cid:durableId="629093170">
    <w:abstractNumId w:val="27"/>
  </w:num>
  <w:num w:numId="7" w16cid:durableId="1330014524">
    <w:abstractNumId w:val="6"/>
  </w:num>
  <w:num w:numId="8" w16cid:durableId="98792414">
    <w:abstractNumId w:val="16"/>
  </w:num>
  <w:num w:numId="9" w16cid:durableId="1275480517">
    <w:abstractNumId w:val="42"/>
  </w:num>
  <w:num w:numId="10" w16cid:durableId="874780235">
    <w:abstractNumId w:val="0"/>
  </w:num>
  <w:num w:numId="11" w16cid:durableId="1388605250">
    <w:abstractNumId w:val="37"/>
  </w:num>
  <w:num w:numId="12" w16cid:durableId="1232082628">
    <w:abstractNumId w:val="38"/>
  </w:num>
  <w:num w:numId="13" w16cid:durableId="1281104654">
    <w:abstractNumId w:val="45"/>
  </w:num>
  <w:num w:numId="14" w16cid:durableId="246306752">
    <w:abstractNumId w:val="1"/>
  </w:num>
  <w:num w:numId="15" w16cid:durableId="1487817983">
    <w:abstractNumId w:val="2"/>
  </w:num>
  <w:num w:numId="16" w16cid:durableId="1998922295">
    <w:abstractNumId w:val="7"/>
  </w:num>
  <w:num w:numId="17" w16cid:durableId="732893482">
    <w:abstractNumId w:val="8"/>
  </w:num>
  <w:num w:numId="18" w16cid:durableId="608397467">
    <w:abstractNumId w:val="9"/>
  </w:num>
  <w:num w:numId="19" w16cid:durableId="2117211977">
    <w:abstractNumId w:val="10"/>
  </w:num>
  <w:num w:numId="20" w16cid:durableId="1917588810">
    <w:abstractNumId w:val="11"/>
  </w:num>
  <w:num w:numId="21" w16cid:durableId="732658733">
    <w:abstractNumId w:val="12"/>
  </w:num>
  <w:num w:numId="22" w16cid:durableId="37825442">
    <w:abstractNumId w:val="13"/>
  </w:num>
  <w:num w:numId="23" w16cid:durableId="394935618">
    <w:abstractNumId w:val="14"/>
  </w:num>
  <w:num w:numId="24" w16cid:durableId="801771844">
    <w:abstractNumId w:val="15"/>
  </w:num>
  <w:num w:numId="25" w16cid:durableId="1095898668">
    <w:abstractNumId w:val="17"/>
  </w:num>
  <w:num w:numId="26" w16cid:durableId="1853954896">
    <w:abstractNumId w:val="18"/>
  </w:num>
  <w:num w:numId="27" w16cid:durableId="1618490777">
    <w:abstractNumId w:val="21"/>
  </w:num>
  <w:num w:numId="28" w16cid:durableId="1710063079">
    <w:abstractNumId w:val="22"/>
  </w:num>
  <w:num w:numId="29" w16cid:durableId="1150167885">
    <w:abstractNumId w:val="23"/>
  </w:num>
  <w:num w:numId="30" w16cid:durableId="138884116">
    <w:abstractNumId w:val="25"/>
  </w:num>
  <w:num w:numId="31" w16cid:durableId="599216424">
    <w:abstractNumId w:val="28"/>
  </w:num>
  <w:num w:numId="32" w16cid:durableId="950355641">
    <w:abstractNumId w:val="29"/>
  </w:num>
  <w:num w:numId="33" w16cid:durableId="716785903">
    <w:abstractNumId w:val="30"/>
  </w:num>
  <w:num w:numId="34" w16cid:durableId="81997059">
    <w:abstractNumId w:val="31"/>
  </w:num>
  <w:num w:numId="35" w16cid:durableId="1922637131">
    <w:abstractNumId w:val="32"/>
  </w:num>
  <w:num w:numId="36" w16cid:durableId="965745007">
    <w:abstractNumId w:val="33"/>
  </w:num>
  <w:num w:numId="37" w16cid:durableId="1572621020">
    <w:abstractNumId w:val="34"/>
  </w:num>
  <w:num w:numId="38" w16cid:durableId="1492595110">
    <w:abstractNumId w:val="35"/>
  </w:num>
  <w:num w:numId="39" w16cid:durableId="709375563">
    <w:abstractNumId w:val="39"/>
  </w:num>
  <w:num w:numId="40" w16cid:durableId="1740900235">
    <w:abstractNumId w:val="40"/>
  </w:num>
  <w:num w:numId="41" w16cid:durableId="1944341531">
    <w:abstractNumId w:val="47"/>
  </w:num>
  <w:num w:numId="42" w16cid:durableId="1778716649">
    <w:abstractNumId w:val="49"/>
  </w:num>
  <w:num w:numId="43" w16cid:durableId="1619994169">
    <w:abstractNumId w:val="50"/>
  </w:num>
  <w:num w:numId="44" w16cid:durableId="1937327891">
    <w:abstractNumId w:val="52"/>
  </w:num>
  <w:num w:numId="45" w16cid:durableId="1506440080">
    <w:abstractNumId w:val="53"/>
  </w:num>
  <w:num w:numId="46" w16cid:durableId="194004875">
    <w:abstractNumId w:val="55"/>
  </w:num>
  <w:num w:numId="47" w16cid:durableId="1170292459">
    <w:abstractNumId w:val="56"/>
  </w:num>
  <w:num w:numId="48" w16cid:durableId="717242483">
    <w:abstractNumId w:val="57"/>
  </w:num>
  <w:num w:numId="49" w16cid:durableId="1391147525">
    <w:abstractNumId w:val="58"/>
  </w:num>
  <w:num w:numId="50" w16cid:durableId="1040395403">
    <w:abstractNumId w:val="59"/>
  </w:num>
  <w:num w:numId="51" w16cid:durableId="2129280627">
    <w:abstractNumId w:val="19"/>
  </w:num>
  <w:num w:numId="52" w16cid:durableId="1454790017">
    <w:abstractNumId w:val="41"/>
  </w:num>
  <w:num w:numId="53" w16cid:durableId="464196377">
    <w:abstractNumId w:val="51"/>
  </w:num>
  <w:num w:numId="54" w16cid:durableId="1957911348">
    <w:abstractNumId w:val="46"/>
  </w:num>
  <w:num w:numId="55" w16cid:durableId="1022825598">
    <w:abstractNumId w:val="43"/>
  </w:num>
  <w:num w:numId="56" w16cid:durableId="873886917">
    <w:abstractNumId w:val="26"/>
  </w:num>
  <w:num w:numId="57" w16cid:durableId="663246982">
    <w:abstractNumId w:val="24"/>
  </w:num>
  <w:num w:numId="58" w16cid:durableId="667709913">
    <w:abstractNumId w:val="36"/>
  </w:num>
  <w:num w:numId="59" w16cid:durableId="1417364588">
    <w:abstractNumId w:val="4"/>
  </w:num>
  <w:num w:numId="60" w16cid:durableId="1825664044">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3069"/>
    <w:rsid w:val="000337EF"/>
    <w:rsid w:val="00040C3A"/>
    <w:rsid w:val="000419AD"/>
    <w:rsid w:val="000433C9"/>
    <w:rsid w:val="00061473"/>
    <w:rsid w:val="00062D77"/>
    <w:rsid w:val="00071174"/>
    <w:rsid w:val="000716C5"/>
    <w:rsid w:val="00075E23"/>
    <w:rsid w:val="00092926"/>
    <w:rsid w:val="0009344A"/>
    <w:rsid w:val="000A392E"/>
    <w:rsid w:val="000A575F"/>
    <w:rsid w:val="000B4575"/>
    <w:rsid w:val="000D05CB"/>
    <w:rsid w:val="000D10DB"/>
    <w:rsid w:val="000E24A8"/>
    <w:rsid w:val="000E5EB5"/>
    <w:rsid w:val="000F35ED"/>
    <w:rsid w:val="001004FE"/>
    <w:rsid w:val="001039AF"/>
    <w:rsid w:val="001057EC"/>
    <w:rsid w:val="00107131"/>
    <w:rsid w:val="0010736F"/>
    <w:rsid w:val="00113F73"/>
    <w:rsid w:val="00121CC2"/>
    <w:rsid w:val="00121D7E"/>
    <w:rsid w:val="00124255"/>
    <w:rsid w:val="00131425"/>
    <w:rsid w:val="00133EE5"/>
    <w:rsid w:val="001528B7"/>
    <w:rsid w:val="00154B09"/>
    <w:rsid w:val="00165BB7"/>
    <w:rsid w:val="00167A34"/>
    <w:rsid w:val="001A520D"/>
    <w:rsid w:val="001A7870"/>
    <w:rsid w:val="001B3A00"/>
    <w:rsid w:val="001B478B"/>
    <w:rsid w:val="001C1B41"/>
    <w:rsid w:val="001D65EF"/>
    <w:rsid w:val="001D7F96"/>
    <w:rsid w:val="001E49E7"/>
    <w:rsid w:val="001F7201"/>
    <w:rsid w:val="00223A29"/>
    <w:rsid w:val="002250A3"/>
    <w:rsid w:val="00235217"/>
    <w:rsid w:val="00246D1F"/>
    <w:rsid w:val="00247403"/>
    <w:rsid w:val="00247542"/>
    <w:rsid w:val="00266B61"/>
    <w:rsid w:val="0026712A"/>
    <w:rsid w:val="002704DB"/>
    <w:rsid w:val="0029683D"/>
    <w:rsid w:val="002A0AAE"/>
    <w:rsid w:val="002A4887"/>
    <w:rsid w:val="002A5820"/>
    <w:rsid w:val="002C4A5F"/>
    <w:rsid w:val="002D2B26"/>
    <w:rsid w:val="002D62CC"/>
    <w:rsid w:val="002D7D50"/>
    <w:rsid w:val="002D7EA2"/>
    <w:rsid w:val="002E187C"/>
    <w:rsid w:val="002E2462"/>
    <w:rsid w:val="00302733"/>
    <w:rsid w:val="00305835"/>
    <w:rsid w:val="00306F33"/>
    <w:rsid w:val="00314078"/>
    <w:rsid w:val="0031535D"/>
    <w:rsid w:val="003239B8"/>
    <w:rsid w:val="00326814"/>
    <w:rsid w:val="0033169F"/>
    <w:rsid w:val="00340F48"/>
    <w:rsid w:val="00344977"/>
    <w:rsid w:val="00346C95"/>
    <w:rsid w:val="00353025"/>
    <w:rsid w:val="00356185"/>
    <w:rsid w:val="00360380"/>
    <w:rsid w:val="003740B6"/>
    <w:rsid w:val="0037519E"/>
    <w:rsid w:val="00382AC6"/>
    <w:rsid w:val="00386CF0"/>
    <w:rsid w:val="00394073"/>
    <w:rsid w:val="003B70FB"/>
    <w:rsid w:val="003C676B"/>
    <w:rsid w:val="003D3708"/>
    <w:rsid w:val="003D3BC2"/>
    <w:rsid w:val="003D6E32"/>
    <w:rsid w:val="003E3575"/>
    <w:rsid w:val="003E6CA1"/>
    <w:rsid w:val="003F5154"/>
    <w:rsid w:val="00400CA6"/>
    <w:rsid w:val="00402280"/>
    <w:rsid w:val="0040379D"/>
    <w:rsid w:val="00405F9C"/>
    <w:rsid w:val="004065A8"/>
    <w:rsid w:val="004165C2"/>
    <w:rsid w:val="004241A0"/>
    <w:rsid w:val="00441ECB"/>
    <w:rsid w:val="00443316"/>
    <w:rsid w:val="00445193"/>
    <w:rsid w:val="00462C1B"/>
    <w:rsid w:val="00467718"/>
    <w:rsid w:val="00467AA1"/>
    <w:rsid w:val="00467B7E"/>
    <w:rsid w:val="00473BB4"/>
    <w:rsid w:val="00477592"/>
    <w:rsid w:val="00486F1C"/>
    <w:rsid w:val="0049419D"/>
    <w:rsid w:val="0049425B"/>
    <w:rsid w:val="004A057B"/>
    <w:rsid w:val="004A6A54"/>
    <w:rsid w:val="004B421C"/>
    <w:rsid w:val="004C15FB"/>
    <w:rsid w:val="004C20D2"/>
    <w:rsid w:val="004C2312"/>
    <w:rsid w:val="004C4B62"/>
    <w:rsid w:val="004C54C9"/>
    <w:rsid w:val="004D4ABA"/>
    <w:rsid w:val="004D5B6C"/>
    <w:rsid w:val="004D6025"/>
    <w:rsid w:val="004E2649"/>
    <w:rsid w:val="004E269C"/>
    <w:rsid w:val="004F2855"/>
    <w:rsid w:val="004F626F"/>
    <w:rsid w:val="00501399"/>
    <w:rsid w:val="005047ED"/>
    <w:rsid w:val="0050633D"/>
    <w:rsid w:val="00507BC4"/>
    <w:rsid w:val="005128E4"/>
    <w:rsid w:val="005133DB"/>
    <w:rsid w:val="00514504"/>
    <w:rsid w:val="00521E1F"/>
    <w:rsid w:val="00525032"/>
    <w:rsid w:val="00525560"/>
    <w:rsid w:val="00544C49"/>
    <w:rsid w:val="005516A1"/>
    <w:rsid w:val="00554DAE"/>
    <w:rsid w:val="005559EF"/>
    <w:rsid w:val="00563557"/>
    <w:rsid w:val="0057402A"/>
    <w:rsid w:val="005771D0"/>
    <w:rsid w:val="00586D04"/>
    <w:rsid w:val="0059191A"/>
    <w:rsid w:val="005921FF"/>
    <w:rsid w:val="005A24ED"/>
    <w:rsid w:val="005A6D0E"/>
    <w:rsid w:val="005B52B0"/>
    <w:rsid w:val="005B6806"/>
    <w:rsid w:val="005C4225"/>
    <w:rsid w:val="005D4E25"/>
    <w:rsid w:val="005E6556"/>
    <w:rsid w:val="005F0DAD"/>
    <w:rsid w:val="005F0F33"/>
    <w:rsid w:val="00600DEB"/>
    <w:rsid w:val="006104F7"/>
    <w:rsid w:val="00627C9F"/>
    <w:rsid w:val="006311E9"/>
    <w:rsid w:val="00632354"/>
    <w:rsid w:val="00632E14"/>
    <w:rsid w:val="00635421"/>
    <w:rsid w:val="00641167"/>
    <w:rsid w:val="00642810"/>
    <w:rsid w:val="00652333"/>
    <w:rsid w:val="0068009E"/>
    <w:rsid w:val="0068137A"/>
    <w:rsid w:val="00687BD4"/>
    <w:rsid w:val="00692219"/>
    <w:rsid w:val="006A17D2"/>
    <w:rsid w:val="006A73E6"/>
    <w:rsid w:val="006B2D5C"/>
    <w:rsid w:val="006B6BBD"/>
    <w:rsid w:val="006C0ECF"/>
    <w:rsid w:val="006C0F3D"/>
    <w:rsid w:val="006C4EB1"/>
    <w:rsid w:val="006E0166"/>
    <w:rsid w:val="006E2FFB"/>
    <w:rsid w:val="006E7B34"/>
    <w:rsid w:val="006E7F5F"/>
    <w:rsid w:val="0070697F"/>
    <w:rsid w:val="007103C4"/>
    <w:rsid w:val="0072199C"/>
    <w:rsid w:val="00722C9F"/>
    <w:rsid w:val="00725085"/>
    <w:rsid w:val="007253B8"/>
    <w:rsid w:val="00736B50"/>
    <w:rsid w:val="0073741F"/>
    <w:rsid w:val="0074087A"/>
    <w:rsid w:val="0076643F"/>
    <w:rsid w:val="00777B04"/>
    <w:rsid w:val="00777F63"/>
    <w:rsid w:val="007903C6"/>
    <w:rsid w:val="007946CF"/>
    <w:rsid w:val="007A5817"/>
    <w:rsid w:val="007B05C4"/>
    <w:rsid w:val="007B60E9"/>
    <w:rsid w:val="007B6CC3"/>
    <w:rsid w:val="007B76D3"/>
    <w:rsid w:val="007C3334"/>
    <w:rsid w:val="007C4AC6"/>
    <w:rsid w:val="007D10C9"/>
    <w:rsid w:val="007D2B98"/>
    <w:rsid w:val="007E21BC"/>
    <w:rsid w:val="007E7C82"/>
    <w:rsid w:val="007F2AA1"/>
    <w:rsid w:val="007F588D"/>
    <w:rsid w:val="00803F1C"/>
    <w:rsid w:val="00804201"/>
    <w:rsid w:val="0080600E"/>
    <w:rsid w:val="00814688"/>
    <w:rsid w:val="00817612"/>
    <w:rsid w:val="008338A4"/>
    <w:rsid w:val="00834D49"/>
    <w:rsid w:val="00837C45"/>
    <w:rsid w:val="00843472"/>
    <w:rsid w:val="00844730"/>
    <w:rsid w:val="008457C2"/>
    <w:rsid w:val="0085704C"/>
    <w:rsid w:val="00857A82"/>
    <w:rsid w:val="00871637"/>
    <w:rsid w:val="00873836"/>
    <w:rsid w:val="00885737"/>
    <w:rsid w:val="00890650"/>
    <w:rsid w:val="008944DC"/>
    <w:rsid w:val="00897E12"/>
    <w:rsid w:val="008A7AA1"/>
    <w:rsid w:val="008A7E0F"/>
    <w:rsid w:val="008B12F5"/>
    <w:rsid w:val="008C5E2D"/>
    <w:rsid w:val="008C61A9"/>
    <w:rsid w:val="008D768D"/>
    <w:rsid w:val="008E32A6"/>
    <w:rsid w:val="008E3759"/>
    <w:rsid w:val="008E3BFE"/>
    <w:rsid w:val="008F1912"/>
    <w:rsid w:val="009020CB"/>
    <w:rsid w:val="0090270B"/>
    <w:rsid w:val="009041DC"/>
    <w:rsid w:val="00905C19"/>
    <w:rsid w:val="00916181"/>
    <w:rsid w:val="00917B5A"/>
    <w:rsid w:val="00920A58"/>
    <w:rsid w:val="00920A8C"/>
    <w:rsid w:val="00927353"/>
    <w:rsid w:val="0093252B"/>
    <w:rsid w:val="00934A2C"/>
    <w:rsid w:val="0096706E"/>
    <w:rsid w:val="00974491"/>
    <w:rsid w:val="00975C4E"/>
    <w:rsid w:val="00981FBA"/>
    <w:rsid w:val="00997BC5"/>
    <w:rsid w:val="009A4F41"/>
    <w:rsid w:val="009A56CE"/>
    <w:rsid w:val="009B381B"/>
    <w:rsid w:val="009D1753"/>
    <w:rsid w:val="009D464A"/>
    <w:rsid w:val="009D7611"/>
    <w:rsid w:val="009E0B61"/>
    <w:rsid w:val="009E53DE"/>
    <w:rsid w:val="009E5477"/>
    <w:rsid w:val="00A11212"/>
    <w:rsid w:val="00A11E44"/>
    <w:rsid w:val="00A15562"/>
    <w:rsid w:val="00A17773"/>
    <w:rsid w:val="00A2138C"/>
    <w:rsid w:val="00A30100"/>
    <w:rsid w:val="00A328B3"/>
    <w:rsid w:val="00A46407"/>
    <w:rsid w:val="00A50FCF"/>
    <w:rsid w:val="00A528D1"/>
    <w:rsid w:val="00A55D84"/>
    <w:rsid w:val="00A56BC6"/>
    <w:rsid w:val="00A610CD"/>
    <w:rsid w:val="00A7575A"/>
    <w:rsid w:val="00A758AA"/>
    <w:rsid w:val="00A96DF6"/>
    <w:rsid w:val="00AA09A2"/>
    <w:rsid w:val="00AA7996"/>
    <w:rsid w:val="00AC19CB"/>
    <w:rsid w:val="00AC2A72"/>
    <w:rsid w:val="00AE5488"/>
    <w:rsid w:val="00AE6F91"/>
    <w:rsid w:val="00AF1057"/>
    <w:rsid w:val="00AF5571"/>
    <w:rsid w:val="00B04818"/>
    <w:rsid w:val="00B07341"/>
    <w:rsid w:val="00B11A0D"/>
    <w:rsid w:val="00B21647"/>
    <w:rsid w:val="00B24A93"/>
    <w:rsid w:val="00B263E6"/>
    <w:rsid w:val="00B30539"/>
    <w:rsid w:val="00B314DB"/>
    <w:rsid w:val="00B361F2"/>
    <w:rsid w:val="00B3718B"/>
    <w:rsid w:val="00B3745F"/>
    <w:rsid w:val="00B43C3A"/>
    <w:rsid w:val="00B4632A"/>
    <w:rsid w:val="00B530F1"/>
    <w:rsid w:val="00B93D7F"/>
    <w:rsid w:val="00BA276C"/>
    <w:rsid w:val="00BA44AF"/>
    <w:rsid w:val="00BB019D"/>
    <w:rsid w:val="00BB306F"/>
    <w:rsid w:val="00BD0FF5"/>
    <w:rsid w:val="00BD4B89"/>
    <w:rsid w:val="00BD5922"/>
    <w:rsid w:val="00BD6AD6"/>
    <w:rsid w:val="00BD705F"/>
    <w:rsid w:val="00BF02CB"/>
    <w:rsid w:val="00BF6FD8"/>
    <w:rsid w:val="00C03680"/>
    <w:rsid w:val="00C0368D"/>
    <w:rsid w:val="00C054DF"/>
    <w:rsid w:val="00C21762"/>
    <w:rsid w:val="00C21FEF"/>
    <w:rsid w:val="00C23BA4"/>
    <w:rsid w:val="00C24543"/>
    <w:rsid w:val="00C256A2"/>
    <w:rsid w:val="00C25ADB"/>
    <w:rsid w:val="00C27005"/>
    <w:rsid w:val="00C44482"/>
    <w:rsid w:val="00C51515"/>
    <w:rsid w:val="00C5660B"/>
    <w:rsid w:val="00C64796"/>
    <w:rsid w:val="00C664CB"/>
    <w:rsid w:val="00C66B72"/>
    <w:rsid w:val="00C87AC4"/>
    <w:rsid w:val="00C9567A"/>
    <w:rsid w:val="00CB212D"/>
    <w:rsid w:val="00CB2660"/>
    <w:rsid w:val="00CB2EBA"/>
    <w:rsid w:val="00CC5E90"/>
    <w:rsid w:val="00CD046C"/>
    <w:rsid w:val="00CE076C"/>
    <w:rsid w:val="00CE5199"/>
    <w:rsid w:val="00CE66D5"/>
    <w:rsid w:val="00CF4174"/>
    <w:rsid w:val="00CF637A"/>
    <w:rsid w:val="00D059DE"/>
    <w:rsid w:val="00D05ABD"/>
    <w:rsid w:val="00D13FCE"/>
    <w:rsid w:val="00D2334B"/>
    <w:rsid w:val="00D27707"/>
    <w:rsid w:val="00D306D1"/>
    <w:rsid w:val="00D30800"/>
    <w:rsid w:val="00D34786"/>
    <w:rsid w:val="00D37773"/>
    <w:rsid w:val="00D37BFC"/>
    <w:rsid w:val="00D47A8E"/>
    <w:rsid w:val="00D5284C"/>
    <w:rsid w:val="00D52D14"/>
    <w:rsid w:val="00D6536F"/>
    <w:rsid w:val="00D712D3"/>
    <w:rsid w:val="00D71422"/>
    <w:rsid w:val="00D72DC6"/>
    <w:rsid w:val="00D7558D"/>
    <w:rsid w:val="00D81D92"/>
    <w:rsid w:val="00D86D37"/>
    <w:rsid w:val="00D876F9"/>
    <w:rsid w:val="00DA7B5F"/>
    <w:rsid w:val="00DC11E7"/>
    <w:rsid w:val="00DC24E3"/>
    <w:rsid w:val="00DC7023"/>
    <w:rsid w:val="00DC769A"/>
    <w:rsid w:val="00DD2331"/>
    <w:rsid w:val="00DD3D86"/>
    <w:rsid w:val="00DD4AD2"/>
    <w:rsid w:val="00DE03BD"/>
    <w:rsid w:val="00DE2862"/>
    <w:rsid w:val="00DF1EC4"/>
    <w:rsid w:val="00E0340B"/>
    <w:rsid w:val="00E04A90"/>
    <w:rsid w:val="00E0551F"/>
    <w:rsid w:val="00E219C7"/>
    <w:rsid w:val="00E4118C"/>
    <w:rsid w:val="00E43157"/>
    <w:rsid w:val="00E461CE"/>
    <w:rsid w:val="00E527EC"/>
    <w:rsid w:val="00E573E4"/>
    <w:rsid w:val="00E60DCF"/>
    <w:rsid w:val="00E64C3D"/>
    <w:rsid w:val="00E720CA"/>
    <w:rsid w:val="00E73512"/>
    <w:rsid w:val="00E84EB5"/>
    <w:rsid w:val="00E85662"/>
    <w:rsid w:val="00E8789F"/>
    <w:rsid w:val="00E94CEC"/>
    <w:rsid w:val="00E97B71"/>
    <w:rsid w:val="00EA3D34"/>
    <w:rsid w:val="00EB454D"/>
    <w:rsid w:val="00ED549D"/>
    <w:rsid w:val="00ED5E10"/>
    <w:rsid w:val="00ED76BE"/>
    <w:rsid w:val="00EE00E9"/>
    <w:rsid w:val="00EF0AF0"/>
    <w:rsid w:val="00EF1AAA"/>
    <w:rsid w:val="00EF619B"/>
    <w:rsid w:val="00F00B55"/>
    <w:rsid w:val="00F02AD1"/>
    <w:rsid w:val="00F2173C"/>
    <w:rsid w:val="00F21B1F"/>
    <w:rsid w:val="00F253CC"/>
    <w:rsid w:val="00F37106"/>
    <w:rsid w:val="00F44BA4"/>
    <w:rsid w:val="00F44E25"/>
    <w:rsid w:val="00F519CF"/>
    <w:rsid w:val="00F56BA5"/>
    <w:rsid w:val="00F56ECB"/>
    <w:rsid w:val="00F60E22"/>
    <w:rsid w:val="00F76391"/>
    <w:rsid w:val="00F81395"/>
    <w:rsid w:val="00F81BB8"/>
    <w:rsid w:val="00F86667"/>
    <w:rsid w:val="00F90C64"/>
    <w:rsid w:val="00F917D1"/>
    <w:rsid w:val="00F9653B"/>
    <w:rsid w:val="00FB62CF"/>
    <w:rsid w:val="00FC1D4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5C19"/>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905C19"/>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F76391"/>
    <w:rPr>
      <w:sz w:val="16"/>
      <w:szCs w:val="16"/>
    </w:rPr>
  </w:style>
  <w:style w:type="paragraph" w:styleId="CommentText">
    <w:name w:val="annotation text"/>
    <w:basedOn w:val="Normal"/>
    <w:link w:val="CommentTextChar"/>
    <w:uiPriority w:val="99"/>
    <w:unhideWhenUsed/>
    <w:rsid w:val="00F76391"/>
    <w:rPr>
      <w:sz w:val="20"/>
      <w:szCs w:val="20"/>
    </w:rPr>
  </w:style>
  <w:style w:type="character" w:customStyle="1" w:styleId="CommentTextChar">
    <w:name w:val="Comment Text Char"/>
    <w:basedOn w:val="DefaultParagraphFont"/>
    <w:link w:val="CommentText"/>
    <w:uiPriority w:val="99"/>
    <w:rsid w:val="00F76391"/>
    <w:rPr>
      <w:lang w:val="en-US" w:eastAsia="en-US"/>
    </w:rPr>
  </w:style>
  <w:style w:type="paragraph" w:styleId="CommentSubject">
    <w:name w:val="annotation subject"/>
    <w:basedOn w:val="CommentText"/>
    <w:next w:val="CommentText"/>
    <w:link w:val="CommentSubjectChar"/>
    <w:uiPriority w:val="99"/>
    <w:semiHidden/>
    <w:unhideWhenUsed/>
    <w:rsid w:val="00F76391"/>
    <w:rPr>
      <w:b/>
      <w:bCs/>
    </w:rPr>
  </w:style>
  <w:style w:type="character" w:customStyle="1" w:styleId="CommentSubjectChar">
    <w:name w:val="Comment Subject Char"/>
    <w:basedOn w:val="CommentTextChar"/>
    <w:link w:val="CommentSubject"/>
    <w:uiPriority w:val="99"/>
    <w:semiHidden/>
    <w:rsid w:val="00F76391"/>
    <w:rPr>
      <w:b/>
      <w:bCs/>
      <w:lang w:val="en-US" w:eastAsia="en-US"/>
    </w:rPr>
  </w:style>
  <w:style w:type="paragraph" w:styleId="Revision">
    <w:name w:val="Revision"/>
    <w:hidden/>
    <w:uiPriority w:val="99"/>
    <w:semiHidden/>
    <w:rsid w:val="003D6E3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0614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61473"/>
  </w:style>
  <w:style w:type="character" w:customStyle="1" w:styleId="eop">
    <w:name w:val="eop"/>
    <w:basedOn w:val="DefaultParagraphFont"/>
    <w:rsid w:val="0006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28D6"/>
    <w:rsid w:val="000D2553"/>
    <w:rsid w:val="00160D55"/>
    <w:rsid w:val="001D6A19"/>
    <w:rsid w:val="00200821"/>
    <w:rsid w:val="0025245B"/>
    <w:rsid w:val="002A3923"/>
    <w:rsid w:val="00394049"/>
    <w:rsid w:val="003B0C71"/>
    <w:rsid w:val="003B27A2"/>
    <w:rsid w:val="004B5BBB"/>
    <w:rsid w:val="004F2DF8"/>
    <w:rsid w:val="00517E2A"/>
    <w:rsid w:val="006261D8"/>
    <w:rsid w:val="00641257"/>
    <w:rsid w:val="006D3128"/>
    <w:rsid w:val="006F24A1"/>
    <w:rsid w:val="007C172C"/>
    <w:rsid w:val="007C6C5E"/>
    <w:rsid w:val="007F7229"/>
    <w:rsid w:val="00875B8A"/>
    <w:rsid w:val="008953BC"/>
    <w:rsid w:val="009A261B"/>
    <w:rsid w:val="00AA2E17"/>
    <w:rsid w:val="00AC15A4"/>
    <w:rsid w:val="00B0336C"/>
    <w:rsid w:val="00C80F12"/>
    <w:rsid w:val="00D241E9"/>
    <w:rsid w:val="00D60C58"/>
    <w:rsid w:val="00D7750D"/>
    <w:rsid w:val="00F00D2F"/>
    <w:rsid w:val="00F128DF"/>
    <w:rsid w:val="00FE4682"/>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3192</Words>
  <Characters>18197</Characters>
  <Application>Microsoft Office Word</Application>
  <DocSecurity>0</DocSecurity>
  <Lines>151</Lines>
  <Paragraphs>42</Paragraphs>
  <ScaleCrop>false</ScaleCrop>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2023-01-25T16:58:00Z</dcterms:created>
  <dcterms:modified xsi:type="dcterms:W3CDTF">2023-01-25T16:58:00Z</dcterms:modified>
</cp:coreProperties>
</file>