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BA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33B0D2AC"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43231386"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216AB7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B18C48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C7881">
                              <w:rPr>
                                <w:rFonts w:asciiTheme="majorHAnsi" w:hAnsiTheme="majorHAnsi" w:cs="Arial"/>
                                <w:b/>
                                <w:bCs/>
                                <w:color w:val="0D0D0D" w:themeColor="text1" w:themeTint="F2"/>
                                <w:sz w:val="36"/>
                                <w:szCs w:val="22"/>
                                <w:lang w:val="es-ES_tradnl"/>
                              </w:rPr>
                              <w:t>377</w:t>
                            </w:r>
                            <w:r w:rsidR="007B05C4">
                              <w:rPr>
                                <w:rFonts w:asciiTheme="majorHAnsi" w:hAnsiTheme="majorHAnsi" w:cs="Arial"/>
                                <w:b/>
                                <w:bCs/>
                                <w:color w:val="0D0D0D" w:themeColor="text1" w:themeTint="F2"/>
                                <w:sz w:val="36"/>
                                <w:szCs w:val="22"/>
                                <w:lang w:val="es-ES_tradnl"/>
                              </w:rPr>
                              <w:t>/</w:t>
                            </w:r>
                            <w:r w:rsidR="00243C00">
                              <w:rPr>
                                <w:rFonts w:asciiTheme="majorHAnsi" w:hAnsiTheme="majorHAnsi" w:cs="Arial"/>
                                <w:b/>
                                <w:bCs/>
                                <w:color w:val="0D0D0D" w:themeColor="text1" w:themeTint="F2"/>
                                <w:sz w:val="36"/>
                                <w:szCs w:val="22"/>
                                <w:lang w:val="es-ES_tradnl"/>
                              </w:rPr>
                              <w:t>22</w:t>
                            </w:r>
                          </w:p>
                          <w:p w14:paraId="45F30ECA" w14:textId="0F23A58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254F">
                              <w:rPr>
                                <w:rFonts w:asciiTheme="majorHAnsi" w:hAnsiTheme="majorHAnsi" w:cs="Arial"/>
                                <w:b/>
                                <w:color w:val="0D0D0D" w:themeColor="text1" w:themeTint="F2"/>
                                <w:sz w:val="36"/>
                                <w:szCs w:val="22"/>
                                <w:lang w:val="es-ES_tradnl"/>
                              </w:rPr>
                              <w:t>953</w:t>
                            </w:r>
                            <w:r w:rsidR="00246D1F" w:rsidRPr="004E2649">
                              <w:rPr>
                                <w:rFonts w:asciiTheme="majorHAnsi" w:hAnsiTheme="majorHAnsi" w:cs="Arial"/>
                                <w:b/>
                                <w:color w:val="0D0D0D" w:themeColor="text1" w:themeTint="F2"/>
                                <w:sz w:val="36"/>
                                <w:szCs w:val="22"/>
                                <w:lang w:val="es-ES_tradnl"/>
                              </w:rPr>
                              <w:t>-</w:t>
                            </w:r>
                            <w:r w:rsidR="0078254F">
                              <w:rPr>
                                <w:rFonts w:asciiTheme="majorHAnsi" w:hAnsiTheme="majorHAnsi" w:cs="Arial"/>
                                <w:b/>
                                <w:color w:val="0D0D0D" w:themeColor="text1" w:themeTint="F2"/>
                                <w:sz w:val="36"/>
                                <w:szCs w:val="22"/>
                                <w:lang w:val="es-ES_tradnl"/>
                              </w:rPr>
                              <w:t>14</w:t>
                            </w:r>
                          </w:p>
                          <w:p w14:paraId="188B4303" w14:textId="56BF46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F9B8824" w:rsidR="005B52B0" w:rsidRPr="0010736F" w:rsidRDefault="0078254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DEDI JACINTO QUISPE </w:t>
                            </w:r>
                            <w:r w:rsidR="00244F50">
                              <w:rPr>
                                <w:rFonts w:asciiTheme="majorHAnsi" w:hAnsiTheme="majorHAnsi" w:cs="Arial"/>
                                <w:color w:val="0D0D0D" w:themeColor="text1" w:themeTint="F2"/>
                                <w:szCs w:val="22"/>
                                <w:lang w:val="es-ES_tradnl"/>
                              </w:rPr>
                              <w:t>LÁZARO</w:t>
                            </w:r>
                          </w:p>
                          <w:bookmarkEnd w:id="0"/>
                          <w:p w14:paraId="0B9F7D22" w14:textId="7C4F939D"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78254F">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B18C48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C7881">
                        <w:rPr>
                          <w:rFonts w:asciiTheme="majorHAnsi" w:hAnsiTheme="majorHAnsi" w:cs="Arial"/>
                          <w:b/>
                          <w:bCs/>
                          <w:color w:val="0D0D0D" w:themeColor="text1" w:themeTint="F2"/>
                          <w:sz w:val="36"/>
                          <w:szCs w:val="22"/>
                          <w:lang w:val="es-ES_tradnl"/>
                        </w:rPr>
                        <w:t>377</w:t>
                      </w:r>
                      <w:r w:rsidR="007B05C4">
                        <w:rPr>
                          <w:rFonts w:asciiTheme="majorHAnsi" w:hAnsiTheme="majorHAnsi" w:cs="Arial"/>
                          <w:b/>
                          <w:bCs/>
                          <w:color w:val="0D0D0D" w:themeColor="text1" w:themeTint="F2"/>
                          <w:sz w:val="36"/>
                          <w:szCs w:val="22"/>
                          <w:lang w:val="es-ES_tradnl"/>
                        </w:rPr>
                        <w:t>/</w:t>
                      </w:r>
                      <w:r w:rsidR="00243C00">
                        <w:rPr>
                          <w:rFonts w:asciiTheme="majorHAnsi" w:hAnsiTheme="majorHAnsi" w:cs="Arial"/>
                          <w:b/>
                          <w:bCs/>
                          <w:color w:val="0D0D0D" w:themeColor="text1" w:themeTint="F2"/>
                          <w:sz w:val="36"/>
                          <w:szCs w:val="22"/>
                          <w:lang w:val="es-ES_tradnl"/>
                        </w:rPr>
                        <w:t>22</w:t>
                      </w:r>
                    </w:p>
                    <w:p w14:paraId="45F30ECA" w14:textId="0F23A58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254F">
                        <w:rPr>
                          <w:rFonts w:asciiTheme="majorHAnsi" w:hAnsiTheme="majorHAnsi" w:cs="Arial"/>
                          <w:b/>
                          <w:color w:val="0D0D0D" w:themeColor="text1" w:themeTint="F2"/>
                          <w:sz w:val="36"/>
                          <w:szCs w:val="22"/>
                          <w:lang w:val="es-ES_tradnl"/>
                        </w:rPr>
                        <w:t>953</w:t>
                      </w:r>
                      <w:r w:rsidR="00246D1F" w:rsidRPr="004E2649">
                        <w:rPr>
                          <w:rFonts w:asciiTheme="majorHAnsi" w:hAnsiTheme="majorHAnsi" w:cs="Arial"/>
                          <w:b/>
                          <w:color w:val="0D0D0D" w:themeColor="text1" w:themeTint="F2"/>
                          <w:sz w:val="36"/>
                          <w:szCs w:val="22"/>
                          <w:lang w:val="es-ES_tradnl"/>
                        </w:rPr>
                        <w:t>-</w:t>
                      </w:r>
                      <w:r w:rsidR="0078254F">
                        <w:rPr>
                          <w:rFonts w:asciiTheme="majorHAnsi" w:hAnsiTheme="majorHAnsi" w:cs="Arial"/>
                          <w:b/>
                          <w:color w:val="0D0D0D" w:themeColor="text1" w:themeTint="F2"/>
                          <w:sz w:val="36"/>
                          <w:szCs w:val="22"/>
                          <w:lang w:val="es-ES_tradnl"/>
                        </w:rPr>
                        <w:t>14</w:t>
                      </w:r>
                    </w:p>
                    <w:p w14:paraId="188B4303" w14:textId="56BF46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F9B8824" w:rsidR="005B52B0" w:rsidRPr="0010736F" w:rsidRDefault="0078254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DEDI JACINTO QUISPE </w:t>
                      </w:r>
                      <w:r w:rsidR="00244F50">
                        <w:rPr>
                          <w:rFonts w:asciiTheme="majorHAnsi" w:hAnsiTheme="majorHAnsi" w:cs="Arial"/>
                          <w:color w:val="0D0D0D" w:themeColor="text1" w:themeTint="F2"/>
                          <w:szCs w:val="22"/>
                          <w:lang w:val="es-ES_tradnl"/>
                        </w:rPr>
                        <w:t>LÁZARO</w:t>
                      </w:r>
                    </w:p>
                    <w:bookmarkEnd w:id="1"/>
                    <w:p w14:paraId="0B9F7D22" w14:textId="7C4F939D"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78254F">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0375E23" w:rsidR="00627C9F" w:rsidRPr="00063F43" w:rsidRDefault="00834D49" w:rsidP="007A5817">
                            <w:pPr>
                              <w:spacing w:line="276" w:lineRule="auto"/>
                              <w:jc w:val="right"/>
                              <w:rPr>
                                <w:rFonts w:asciiTheme="minorHAnsi" w:hAnsiTheme="minorHAnsi"/>
                                <w:color w:val="FFFFFF" w:themeColor="background1"/>
                                <w:sz w:val="22"/>
                                <w:lang w:val="es-AR"/>
                              </w:rPr>
                            </w:pPr>
                            <w:r w:rsidRPr="00063F43">
                              <w:rPr>
                                <w:rFonts w:asciiTheme="minorHAnsi" w:hAnsiTheme="minorHAnsi"/>
                                <w:color w:val="FFFFFF" w:themeColor="background1"/>
                                <w:sz w:val="22"/>
                                <w:lang w:val="es-AR"/>
                              </w:rPr>
                              <w:t>OEA/Ser.L/V/II</w:t>
                            </w:r>
                          </w:p>
                          <w:p w14:paraId="71D2D5D2" w14:textId="225C7ECA" w:rsidR="00627C9F" w:rsidRPr="00063F43" w:rsidRDefault="00627C9F" w:rsidP="007A5817">
                            <w:pPr>
                              <w:spacing w:line="276" w:lineRule="auto"/>
                              <w:jc w:val="right"/>
                              <w:rPr>
                                <w:rFonts w:asciiTheme="minorHAnsi" w:hAnsiTheme="minorHAnsi"/>
                                <w:color w:val="FFFFFF" w:themeColor="background1"/>
                                <w:sz w:val="22"/>
                                <w:lang w:val="es-AR"/>
                              </w:rPr>
                            </w:pPr>
                            <w:r w:rsidRPr="00063F43">
                              <w:rPr>
                                <w:rFonts w:asciiTheme="minorHAnsi" w:hAnsiTheme="minorHAnsi"/>
                                <w:color w:val="FFFFFF" w:themeColor="background1"/>
                                <w:sz w:val="22"/>
                                <w:lang w:val="es-AR"/>
                              </w:rPr>
                              <w:t xml:space="preserve">Doc. </w:t>
                            </w:r>
                            <w:r w:rsidR="00541416" w:rsidRPr="00063F43">
                              <w:rPr>
                                <w:rFonts w:asciiTheme="minorHAnsi" w:hAnsiTheme="minorHAnsi"/>
                                <w:color w:val="FFFFFF" w:themeColor="background1"/>
                                <w:sz w:val="22"/>
                                <w:lang w:val="es-AR"/>
                              </w:rPr>
                              <w:t>385</w:t>
                            </w:r>
                          </w:p>
                          <w:p w14:paraId="4061DBBD" w14:textId="35677743" w:rsidR="00627C9F" w:rsidRPr="00C25ADB" w:rsidRDefault="0054141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254F">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0375E23" w:rsidR="00627C9F" w:rsidRPr="00063F43" w:rsidRDefault="00834D49" w:rsidP="007A5817">
                      <w:pPr>
                        <w:spacing w:line="276" w:lineRule="auto"/>
                        <w:jc w:val="right"/>
                        <w:rPr>
                          <w:rFonts w:asciiTheme="minorHAnsi" w:hAnsiTheme="minorHAnsi"/>
                          <w:color w:val="FFFFFF" w:themeColor="background1"/>
                          <w:sz w:val="22"/>
                          <w:lang w:val="es-AR"/>
                        </w:rPr>
                      </w:pPr>
                      <w:r w:rsidRPr="00063F43">
                        <w:rPr>
                          <w:rFonts w:asciiTheme="minorHAnsi" w:hAnsiTheme="minorHAnsi"/>
                          <w:color w:val="FFFFFF" w:themeColor="background1"/>
                          <w:sz w:val="22"/>
                          <w:lang w:val="es-AR"/>
                        </w:rPr>
                        <w:t>OEA/Ser.L/V/II</w:t>
                      </w:r>
                    </w:p>
                    <w:p w14:paraId="71D2D5D2" w14:textId="225C7ECA" w:rsidR="00627C9F" w:rsidRPr="00063F43" w:rsidRDefault="00627C9F" w:rsidP="007A5817">
                      <w:pPr>
                        <w:spacing w:line="276" w:lineRule="auto"/>
                        <w:jc w:val="right"/>
                        <w:rPr>
                          <w:rFonts w:asciiTheme="minorHAnsi" w:hAnsiTheme="minorHAnsi"/>
                          <w:color w:val="FFFFFF" w:themeColor="background1"/>
                          <w:sz w:val="22"/>
                          <w:lang w:val="es-AR"/>
                        </w:rPr>
                      </w:pPr>
                      <w:r w:rsidRPr="00063F43">
                        <w:rPr>
                          <w:rFonts w:asciiTheme="minorHAnsi" w:hAnsiTheme="minorHAnsi"/>
                          <w:color w:val="FFFFFF" w:themeColor="background1"/>
                          <w:sz w:val="22"/>
                          <w:lang w:val="es-AR"/>
                        </w:rPr>
                        <w:t xml:space="preserve">Doc. </w:t>
                      </w:r>
                      <w:r w:rsidR="00541416" w:rsidRPr="00063F43">
                        <w:rPr>
                          <w:rFonts w:asciiTheme="minorHAnsi" w:hAnsiTheme="minorHAnsi"/>
                          <w:color w:val="FFFFFF" w:themeColor="background1"/>
                          <w:sz w:val="22"/>
                          <w:lang w:val="es-AR"/>
                        </w:rPr>
                        <w:t>385</w:t>
                      </w:r>
                    </w:p>
                    <w:p w14:paraId="4061DBBD" w14:textId="35677743" w:rsidR="00627C9F" w:rsidRPr="00C25ADB" w:rsidRDefault="0054141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254F">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Default="00A50FCF" w:rsidP="00040C3A">
      <w:pPr>
        <w:tabs>
          <w:tab w:val="center" w:pos="5400"/>
        </w:tabs>
        <w:suppressAutoHyphens/>
        <w:jc w:val="center"/>
        <w:rPr>
          <w:rFonts w:asciiTheme="majorHAnsi" w:hAnsiTheme="majorHAnsi"/>
          <w:sz w:val="18"/>
          <w:szCs w:val="22"/>
        </w:rPr>
      </w:pPr>
    </w:p>
    <w:p w14:paraId="5E0ECFA8" w14:textId="77777777" w:rsidR="007B46F8" w:rsidRPr="007B46F8" w:rsidRDefault="007B46F8" w:rsidP="00040C3A">
      <w:pPr>
        <w:tabs>
          <w:tab w:val="center" w:pos="5400"/>
        </w:tabs>
        <w:suppressAutoHyphens/>
        <w:jc w:val="center"/>
        <w:rPr>
          <w:rFonts w:asciiTheme="majorHAnsi" w:hAnsiTheme="majorHAnsi"/>
          <w:sz w:val="18"/>
          <w:szCs w:val="22"/>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2A3A3B" w:rsidRDefault="0090270B" w:rsidP="00040C3A">
      <w:pPr>
        <w:tabs>
          <w:tab w:val="center" w:pos="5400"/>
        </w:tabs>
        <w:suppressAutoHyphens/>
        <w:jc w:val="center"/>
        <w:rPr>
          <w:rFonts w:asciiTheme="majorHAnsi" w:hAnsiTheme="majorHAnsi"/>
          <w:sz w:val="18"/>
          <w:szCs w:val="22"/>
          <w:lang w:val="es-ES_tradnl"/>
        </w:rPr>
      </w:pPr>
      <w:r w:rsidRPr="002A3A3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48729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41416">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54141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254F">
                              <w:rPr>
                                <w:rFonts w:asciiTheme="majorHAnsi" w:hAnsiTheme="majorHAnsi"/>
                                <w:color w:val="0D0D0D" w:themeColor="text1" w:themeTint="F2"/>
                                <w:sz w:val="18"/>
                                <w:szCs w:val="22"/>
                                <w:lang w:val="es-ES"/>
                              </w:rPr>
                              <w:t>2</w:t>
                            </w:r>
                            <w:r w:rsidR="0054141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48729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41416">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54141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254F">
                        <w:rPr>
                          <w:rFonts w:asciiTheme="majorHAnsi" w:hAnsiTheme="majorHAnsi"/>
                          <w:color w:val="0D0D0D" w:themeColor="text1" w:themeTint="F2"/>
                          <w:sz w:val="18"/>
                          <w:szCs w:val="22"/>
                          <w:lang w:val="es-ES"/>
                        </w:rPr>
                        <w:t>2</w:t>
                      </w:r>
                      <w:r w:rsidR="0054141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2A3A3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2A3A3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2A3A3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2A3A3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2A3A3B" w:rsidRDefault="0090270B" w:rsidP="00040C3A">
      <w:pPr>
        <w:tabs>
          <w:tab w:val="center" w:pos="5400"/>
        </w:tabs>
        <w:suppressAutoHyphens/>
        <w:jc w:val="center"/>
        <w:rPr>
          <w:rFonts w:asciiTheme="majorHAnsi" w:hAnsiTheme="majorHAnsi"/>
          <w:sz w:val="18"/>
          <w:szCs w:val="22"/>
          <w:lang w:val="es-ES_tradnl"/>
        </w:rPr>
      </w:pPr>
      <w:r w:rsidRPr="002A3A3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31206" w14:textId="77777777" w:rsidR="0054141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41416" w:rsidRPr="00541416">
                              <w:rPr>
                                <w:rFonts w:asciiTheme="majorHAnsi" w:hAnsiTheme="majorHAnsi"/>
                                <w:color w:val="595959" w:themeColor="text1" w:themeTint="A6"/>
                                <w:sz w:val="18"/>
                                <w:szCs w:val="18"/>
                                <w:lang w:val="pt-BR"/>
                              </w:rPr>
                              <w:t>377</w:t>
                            </w:r>
                            <w:r w:rsidR="007B05C4" w:rsidRPr="00541416">
                              <w:rPr>
                                <w:rFonts w:asciiTheme="majorHAnsi" w:hAnsiTheme="majorHAnsi"/>
                                <w:color w:val="595959" w:themeColor="text1" w:themeTint="A6"/>
                                <w:sz w:val="18"/>
                                <w:szCs w:val="18"/>
                                <w:lang w:val="pt-BR"/>
                              </w:rPr>
                              <w:t>/</w:t>
                            </w:r>
                            <w:r w:rsidR="00541416" w:rsidRPr="00541416">
                              <w:rPr>
                                <w:rFonts w:asciiTheme="majorHAnsi" w:hAnsiTheme="majorHAnsi"/>
                                <w:color w:val="595959" w:themeColor="text1" w:themeTint="A6"/>
                                <w:sz w:val="18"/>
                                <w:szCs w:val="18"/>
                                <w:lang w:val="pt-BR"/>
                              </w:rPr>
                              <w:t>22</w:t>
                            </w:r>
                            <w:r w:rsidRPr="0054141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254F">
                              <w:rPr>
                                <w:rFonts w:asciiTheme="majorHAnsi" w:hAnsiTheme="majorHAnsi"/>
                                <w:color w:val="595959" w:themeColor="text1" w:themeTint="A6"/>
                                <w:sz w:val="18"/>
                                <w:szCs w:val="18"/>
                                <w:lang w:val="es-ES"/>
                              </w:rPr>
                              <w:t>953</w:t>
                            </w:r>
                            <w:r w:rsidR="000433C9">
                              <w:rPr>
                                <w:rFonts w:asciiTheme="majorHAnsi" w:hAnsiTheme="majorHAnsi"/>
                                <w:color w:val="595959" w:themeColor="text1" w:themeTint="A6"/>
                                <w:sz w:val="18"/>
                                <w:szCs w:val="18"/>
                                <w:lang w:val="es-ES"/>
                              </w:rPr>
                              <w:t>-</w:t>
                            </w:r>
                            <w:r w:rsidR="0078254F">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170164">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p>
                          <w:p w14:paraId="7FD77785" w14:textId="7BC6DF0C" w:rsidR="00113F73" w:rsidRPr="007B05C4" w:rsidRDefault="0078254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Dedi Jacinto Quispe </w:t>
                            </w:r>
                            <w:r w:rsidR="00541416">
                              <w:rPr>
                                <w:rFonts w:asciiTheme="majorHAnsi" w:hAnsiTheme="majorHAnsi"/>
                                <w:color w:val="595959" w:themeColor="text1" w:themeTint="A6"/>
                                <w:sz w:val="18"/>
                                <w:szCs w:val="18"/>
                                <w:lang w:val="es-ES_tradnl"/>
                              </w:rPr>
                              <w:t>Lázaro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541416">
                              <w:rPr>
                                <w:rFonts w:asciiTheme="majorHAnsi" w:hAnsiTheme="majorHAnsi"/>
                                <w:color w:val="595959" w:themeColor="text1" w:themeTint="A6"/>
                                <w:sz w:val="18"/>
                                <w:szCs w:val="18"/>
                                <w:lang w:val="es-ES"/>
                              </w:rPr>
                              <w:t>21 de noviembre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4631206" w14:textId="77777777" w:rsidR="0054141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41416" w:rsidRPr="00541416">
                        <w:rPr>
                          <w:rFonts w:asciiTheme="majorHAnsi" w:hAnsiTheme="majorHAnsi"/>
                          <w:color w:val="595959" w:themeColor="text1" w:themeTint="A6"/>
                          <w:sz w:val="18"/>
                          <w:szCs w:val="18"/>
                          <w:lang w:val="pt-BR"/>
                        </w:rPr>
                        <w:t>377</w:t>
                      </w:r>
                      <w:r w:rsidR="007B05C4" w:rsidRPr="00541416">
                        <w:rPr>
                          <w:rFonts w:asciiTheme="majorHAnsi" w:hAnsiTheme="majorHAnsi"/>
                          <w:color w:val="595959" w:themeColor="text1" w:themeTint="A6"/>
                          <w:sz w:val="18"/>
                          <w:szCs w:val="18"/>
                          <w:lang w:val="pt-BR"/>
                        </w:rPr>
                        <w:t>/</w:t>
                      </w:r>
                      <w:r w:rsidR="00541416" w:rsidRPr="00541416">
                        <w:rPr>
                          <w:rFonts w:asciiTheme="majorHAnsi" w:hAnsiTheme="majorHAnsi"/>
                          <w:color w:val="595959" w:themeColor="text1" w:themeTint="A6"/>
                          <w:sz w:val="18"/>
                          <w:szCs w:val="18"/>
                          <w:lang w:val="pt-BR"/>
                        </w:rPr>
                        <w:t>22</w:t>
                      </w:r>
                      <w:r w:rsidRPr="0054141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254F">
                        <w:rPr>
                          <w:rFonts w:asciiTheme="majorHAnsi" w:hAnsiTheme="majorHAnsi"/>
                          <w:color w:val="595959" w:themeColor="text1" w:themeTint="A6"/>
                          <w:sz w:val="18"/>
                          <w:szCs w:val="18"/>
                          <w:lang w:val="es-ES"/>
                        </w:rPr>
                        <w:t>953</w:t>
                      </w:r>
                      <w:r w:rsidR="000433C9">
                        <w:rPr>
                          <w:rFonts w:asciiTheme="majorHAnsi" w:hAnsiTheme="majorHAnsi"/>
                          <w:color w:val="595959" w:themeColor="text1" w:themeTint="A6"/>
                          <w:sz w:val="18"/>
                          <w:szCs w:val="18"/>
                          <w:lang w:val="es-ES"/>
                        </w:rPr>
                        <w:t>-</w:t>
                      </w:r>
                      <w:r w:rsidR="0078254F">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170164">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p>
                    <w:p w14:paraId="7FD77785" w14:textId="7BC6DF0C" w:rsidR="00113F73" w:rsidRPr="007B05C4" w:rsidRDefault="0078254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Dedi Jacinto Quispe </w:t>
                      </w:r>
                      <w:r w:rsidR="00541416">
                        <w:rPr>
                          <w:rFonts w:asciiTheme="majorHAnsi" w:hAnsiTheme="majorHAnsi"/>
                          <w:color w:val="595959" w:themeColor="text1" w:themeTint="A6"/>
                          <w:sz w:val="18"/>
                          <w:szCs w:val="18"/>
                          <w:lang w:val="es-ES_tradnl"/>
                        </w:rPr>
                        <w:t>Lázaro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541416">
                        <w:rPr>
                          <w:rFonts w:asciiTheme="majorHAnsi" w:hAnsiTheme="majorHAnsi"/>
                          <w:color w:val="595959" w:themeColor="text1" w:themeTint="A6"/>
                          <w:sz w:val="18"/>
                          <w:szCs w:val="18"/>
                          <w:lang w:val="es-ES"/>
                        </w:rPr>
                        <w:t>21 de noviembre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2A3A3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2A3A3B" w:rsidRDefault="00D306D1" w:rsidP="005516A1">
      <w:pPr>
        <w:tabs>
          <w:tab w:val="center" w:pos="5400"/>
        </w:tabs>
        <w:suppressAutoHyphens/>
        <w:jc w:val="center"/>
        <w:rPr>
          <w:rFonts w:asciiTheme="majorHAnsi" w:hAnsiTheme="majorHAnsi"/>
          <w:b/>
          <w:sz w:val="20"/>
          <w:lang w:val="es-ES_tradnl"/>
        </w:rPr>
      </w:pPr>
      <w:r w:rsidRPr="002A3A3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2A3A3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2A3A3B" w:rsidRDefault="004A6A54" w:rsidP="005516A1">
      <w:pPr>
        <w:tabs>
          <w:tab w:val="center" w:pos="5400"/>
        </w:tabs>
        <w:suppressAutoHyphens/>
        <w:jc w:val="center"/>
        <w:rPr>
          <w:rFonts w:asciiTheme="majorHAnsi" w:hAnsiTheme="majorHAnsi"/>
          <w:b/>
          <w:sz w:val="20"/>
          <w:lang w:val="es-ES_tradnl"/>
        </w:rPr>
        <w:sectPr w:rsidR="0070697F" w:rsidRPr="002A3A3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A3A3B">
        <w:rPr>
          <w:rFonts w:asciiTheme="majorHAnsi" w:hAnsiTheme="majorHAnsi"/>
          <w:b/>
          <w:sz w:val="20"/>
          <w:lang w:val="es-ES_tradnl"/>
        </w:rPr>
        <w:tab/>
      </w:r>
    </w:p>
    <w:p w14:paraId="2786EE58" w14:textId="77777777" w:rsidR="003239B8" w:rsidRPr="002A3A3B" w:rsidRDefault="003239B8" w:rsidP="004A6A54">
      <w:pPr>
        <w:spacing w:after="240"/>
        <w:ind w:firstLine="720"/>
        <w:jc w:val="both"/>
        <w:rPr>
          <w:rFonts w:asciiTheme="majorHAnsi" w:hAnsiTheme="majorHAnsi"/>
          <w:b/>
          <w:bCs/>
          <w:sz w:val="20"/>
          <w:szCs w:val="20"/>
          <w:lang w:val="es-ES"/>
        </w:rPr>
      </w:pPr>
      <w:r w:rsidRPr="002A3A3B">
        <w:rPr>
          <w:rFonts w:asciiTheme="majorHAnsi" w:hAnsiTheme="majorHAnsi"/>
          <w:b/>
          <w:bCs/>
          <w:sz w:val="20"/>
          <w:szCs w:val="20"/>
          <w:lang w:val="es-ES"/>
        </w:rPr>
        <w:lastRenderedPageBreak/>
        <w:t>I.</w:t>
      </w:r>
      <w:r w:rsidRPr="002A3A3B">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A3A3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A3A3B" w:rsidRDefault="003239B8" w:rsidP="008D2290">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Parte peticionaria:</w:t>
            </w:r>
          </w:p>
        </w:tc>
        <w:tc>
          <w:tcPr>
            <w:tcW w:w="5647" w:type="dxa"/>
            <w:vAlign w:val="center"/>
          </w:tcPr>
          <w:p w14:paraId="07DAAE2E" w14:textId="75EEA5A4" w:rsidR="003239B8" w:rsidRPr="002A3A3B" w:rsidRDefault="00E023B8" w:rsidP="008D2290">
            <w:pPr>
              <w:jc w:val="both"/>
              <w:rPr>
                <w:rFonts w:ascii="Cambria" w:hAnsi="Cambria"/>
                <w:bCs/>
                <w:sz w:val="20"/>
                <w:szCs w:val="20"/>
                <w:lang w:val="es-ES"/>
              </w:rPr>
            </w:pPr>
            <w:r w:rsidRPr="002A3A3B">
              <w:rPr>
                <w:rFonts w:ascii="Cambria" w:hAnsi="Cambria"/>
                <w:bCs/>
                <w:sz w:val="20"/>
                <w:szCs w:val="20"/>
                <w:lang w:val="es-ES"/>
              </w:rPr>
              <w:t xml:space="preserve">Dedi Jacinto Quispe </w:t>
            </w:r>
            <w:r w:rsidR="00124B64" w:rsidRPr="002A3A3B">
              <w:rPr>
                <w:rFonts w:ascii="Cambria" w:hAnsi="Cambria"/>
                <w:bCs/>
                <w:sz w:val="20"/>
                <w:szCs w:val="20"/>
                <w:lang w:val="es-ES"/>
              </w:rPr>
              <w:t>Lázaro</w:t>
            </w:r>
          </w:p>
        </w:tc>
      </w:tr>
      <w:tr w:rsidR="00E023B8" w:rsidRPr="002A3A3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E023B8" w:rsidRPr="002A3A3B" w:rsidRDefault="005B660D" w:rsidP="00E023B8">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55AED7FFA83C85429F00A5B9581FF45B"/>
                </w:placeholder>
                <w:dropDownList>
                  <w:listItem w:value="Choose an item."/>
                  <w:listItem w:displayText="Presunta víctima" w:value="Presunta víctima"/>
                  <w:listItem w:displayText="Presuntas víctimas" w:value="Presuntas víctimas"/>
                </w:dropDownList>
              </w:sdtPr>
              <w:sdtEndPr/>
              <w:sdtContent>
                <w:r w:rsidR="00E023B8" w:rsidRPr="002A3A3B">
                  <w:rPr>
                    <w:rFonts w:ascii="Cambria" w:hAnsi="Cambria"/>
                    <w:b/>
                    <w:bCs/>
                    <w:color w:val="FFFFFF" w:themeColor="background1"/>
                    <w:sz w:val="20"/>
                    <w:szCs w:val="20"/>
                    <w:lang w:val="es-ES"/>
                  </w:rPr>
                  <w:t>Presunta víctima</w:t>
                </w:r>
              </w:sdtContent>
            </w:sdt>
            <w:r w:rsidR="00E023B8" w:rsidRPr="002A3A3B">
              <w:rPr>
                <w:rFonts w:ascii="Cambria" w:hAnsi="Cambria"/>
                <w:b/>
                <w:bCs/>
                <w:color w:val="FFFFFF" w:themeColor="background1"/>
                <w:sz w:val="20"/>
                <w:szCs w:val="20"/>
                <w:lang w:val="es-ES"/>
              </w:rPr>
              <w:t>:</w:t>
            </w:r>
          </w:p>
        </w:tc>
        <w:tc>
          <w:tcPr>
            <w:tcW w:w="5647" w:type="dxa"/>
            <w:vAlign w:val="center"/>
          </w:tcPr>
          <w:p w14:paraId="143D44A8" w14:textId="241F81EA" w:rsidR="00E023B8" w:rsidRPr="002A3A3B" w:rsidRDefault="00E023B8" w:rsidP="00E023B8">
            <w:pPr>
              <w:jc w:val="both"/>
              <w:rPr>
                <w:rFonts w:ascii="Cambria" w:hAnsi="Cambria"/>
                <w:bCs/>
                <w:sz w:val="20"/>
                <w:szCs w:val="20"/>
                <w:lang w:val="es-ES"/>
              </w:rPr>
            </w:pPr>
            <w:r w:rsidRPr="002A3A3B">
              <w:rPr>
                <w:rFonts w:ascii="Cambria" w:hAnsi="Cambria"/>
                <w:bCs/>
                <w:sz w:val="20"/>
                <w:szCs w:val="20"/>
                <w:lang w:val="es-ES"/>
              </w:rPr>
              <w:t xml:space="preserve">Dedi Jacinto Quispe </w:t>
            </w:r>
            <w:r w:rsidR="00124B64" w:rsidRPr="002A3A3B">
              <w:rPr>
                <w:rFonts w:ascii="Cambria" w:hAnsi="Cambria"/>
                <w:bCs/>
                <w:sz w:val="20"/>
                <w:szCs w:val="20"/>
                <w:lang w:val="es-ES"/>
              </w:rPr>
              <w:t>Lázaro</w:t>
            </w:r>
          </w:p>
        </w:tc>
      </w:tr>
      <w:tr w:rsidR="00E023B8" w:rsidRPr="002A3A3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E023B8" w:rsidRPr="002A3A3B" w:rsidRDefault="00E023B8" w:rsidP="00E023B8">
            <w:pPr>
              <w:jc w:val="center"/>
              <w:rPr>
                <w:rFonts w:ascii="Cambria" w:hAnsi="Cambria"/>
                <w:b/>
                <w:bCs/>
                <w:color w:val="FFFFFF" w:themeColor="background1"/>
                <w:sz w:val="20"/>
                <w:szCs w:val="20"/>
              </w:rPr>
            </w:pPr>
            <w:r w:rsidRPr="002A3A3B">
              <w:rPr>
                <w:rFonts w:ascii="Cambria" w:hAnsi="Cambria"/>
                <w:b/>
                <w:bCs/>
                <w:color w:val="FFFFFF" w:themeColor="background1"/>
                <w:sz w:val="20"/>
                <w:szCs w:val="20"/>
              </w:rPr>
              <w:t>Estado denunciado:</w:t>
            </w:r>
          </w:p>
        </w:tc>
        <w:tc>
          <w:tcPr>
            <w:tcW w:w="5647" w:type="dxa"/>
            <w:vAlign w:val="center"/>
          </w:tcPr>
          <w:p w14:paraId="5D0EC05D" w14:textId="2389139B" w:rsidR="00E023B8" w:rsidRPr="002A3A3B" w:rsidRDefault="00E023B8" w:rsidP="00E023B8">
            <w:pPr>
              <w:jc w:val="both"/>
              <w:rPr>
                <w:rFonts w:ascii="Cambria" w:hAnsi="Cambria"/>
                <w:bCs/>
                <w:sz w:val="20"/>
                <w:szCs w:val="20"/>
              </w:rPr>
            </w:pPr>
            <w:r w:rsidRPr="002A3A3B">
              <w:rPr>
                <w:rFonts w:ascii="Cambria" w:hAnsi="Cambria"/>
                <w:bCs/>
                <w:sz w:val="20"/>
                <w:szCs w:val="20"/>
              </w:rPr>
              <w:t>Perú</w:t>
            </w:r>
            <w:r w:rsidRPr="002A3A3B">
              <w:rPr>
                <w:rStyle w:val="FootnoteReference"/>
                <w:rFonts w:ascii="Cambria" w:hAnsi="Cambria"/>
                <w:bCs/>
                <w:sz w:val="20"/>
                <w:szCs w:val="20"/>
              </w:rPr>
              <w:footnoteReference w:id="2"/>
            </w:r>
          </w:p>
        </w:tc>
      </w:tr>
      <w:tr w:rsidR="00E023B8" w:rsidRPr="00063F4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E023B8" w:rsidRPr="002A3A3B" w:rsidRDefault="00E023B8" w:rsidP="00E023B8">
            <w:pPr>
              <w:jc w:val="center"/>
              <w:rPr>
                <w:rFonts w:ascii="Cambria" w:hAnsi="Cambria"/>
                <w:b/>
                <w:bCs/>
                <w:color w:val="FFFFFF" w:themeColor="background1"/>
                <w:sz w:val="20"/>
                <w:szCs w:val="20"/>
              </w:rPr>
            </w:pPr>
            <w:r w:rsidRPr="002A3A3B">
              <w:rPr>
                <w:rFonts w:ascii="Cambria" w:hAnsi="Cambria"/>
                <w:b/>
                <w:bCs/>
                <w:color w:val="FFFFFF" w:themeColor="background1"/>
                <w:sz w:val="20"/>
                <w:szCs w:val="20"/>
              </w:rPr>
              <w:t>Derechos invocados:</w:t>
            </w:r>
          </w:p>
        </w:tc>
        <w:tc>
          <w:tcPr>
            <w:tcW w:w="5647" w:type="dxa"/>
            <w:vAlign w:val="center"/>
          </w:tcPr>
          <w:p w14:paraId="52B28392" w14:textId="140ABD7A" w:rsidR="00E023B8" w:rsidRPr="002A3A3B" w:rsidRDefault="00467873" w:rsidP="00E023B8">
            <w:pPr>
              <w:jc w:val="both"/>
              <w:rPr>
                <w:rFonts w:ascii="Cambria" w:hAnsi="Cambria"/>
                <w:bCs/>
                <w:sz w:val="20"/>
                <w:szCs w:val="20"/>
                <w:lang w:val="es-ES"/>
              </w:rPr>
            </w:pPr>
            <w:r w:rsidRPr="002A3A3B">
              <w:rPr>
                <w:rFonts w:ascii="Cambria" w:hAnsi="Cambria"/>
                <w:bCs/>
                <w:sz w:val="20"/>
                <w:szCs w:val="20"/>
                <w:lang w:val="es-ES"/>
              </w:rPr>
              <w:t xml:space="preserve">Artículos </w:t>
            </w:r>
            <w:r w:rsidR="003E2DB6" w:rsidRPr="002A3A3B">
              <w:rPr>
                <w:rFonts w:ascii="Cambria" w:hAnsi="Cambria"/>
                <w:bCs/>
                <w:sz w:val="20"/>
                <w:szCs w:val="20"/>
                <w:lang w:val="es-ES"/>
              </w:rPr>
              <w:t xml:space="preserve">5 </w:t>
            </w:r>
            <w:r w:rsidR="0090292F" w:rsidRPr="002A3A3B">
              <w:rPr>
                <w:rFonts w:ascii="Cambria" w:hAnsi="Cambria"/>
                <w:bCs/>
                <w:sz w:val="20"/>
                <w:szCs w:val="20"/>
                <w:lang w:val="es-ES"/>
              </w:rPr>
              <w:t>(</w:t>
            </w:r>
            <w:r w:rsidR="003E2DB6" w:rsidRPr="002A3A3B">
              <w:rPr>
                <w:rFonts w:ascii="Cambria" w:hAnsi="Cambria"/>
                <w:bCs/>
                <w:sz w:val="20"/>
                <w:szCs w:val="20"/>
                <w:lang w:val="es-ES"/>
              </w:rPr>
              <w:t xml:space="preserve">integridad personal), 7 (libertad personal), 8 (garantías judiciales), </w:t>
            </w:r>
            <w:r w:rsidRPr="002A3A3B">
              <w:rPr>
                <w:rFonts w:ascii="Cambria" w:hAnsi="Cambria"/>
                <w:bCs/>
                <w:sz w:val="20"/>
                <w:szCs w:val="20"/>
                <w:lang w:val="es-ES"/>
              </w:rPr>
              <w:t>1</w:t>
            </w:r>
            <w:r w:rsidR="006116F9" w:rsidRPr="002A3A3B">
              <w:rPr>
                <w:rFonts w:ascii="Cambria" w:hAnsi="Cambria"/>
                <w:bCs/>
                <w:sz w:val="20"/>
                <w:szCs w:val="20"/>
                <w:lang w:val="es-ES"/>
              </w:rPr>
              <w:t>0 (derecho a indemnización), 11 (protección de la honra y de la dignidad)</w:t>
            </w:r>
            <w:r w:rsidR="003E2DB6" w:rsidRPr="002A3A3B">
              <w:rPr>
                <w:rFonts w:ascii="Cambria" w:hAnsi="Cambria"/>
                <w:bCs/>
                <w:sz w:val="20"/>
                <w:szCs w:val="20"/>
                <w:lang w:val="es-ES"/>
              </w:rPr>
              <w:t>, 24 (igualdad ante la ley), 25 (protección judicial)</w:t>
            </w:r>
            <w:r w:rsidR="006116F9" w:rsidRPr="002A3A3B">
              <w:rPr>
                <w:rFonts w:ascii="Cambria" w:hAnsi="Cambria"/>
                <w:bCs/>
                <w:sz w:val="20"/>
                <w:szCs w:val="20"/>
                <w:lang w:val="es-ES"/>
              </w:rPr>
              <w:t xml:space="preserve"> y 26 (derechos económicos, sociale</w:t>
            </w:r>
            <w:r w:rsidR="00086129" w:rsidRPr="002A3A3B">
              <w:rPr>
                <w:rFonts w:ascii="Cambria" w:hAnsi="Cambria"/>
                <w:bCs/>
                <w:sz w:val="20"/>
                <w:szCs w:val="20"/>
                <w:lang w:val="es-ES"/>
              </w:rPr>
              <w:t>s</w:t>
            </w:r>
            <w:r w:rsidR="00FB57C5" w:rsidRPr="002A3A3B">
              <w:rPr>
                <w:rFonts w:ascii="Cambria" w:hAnsi="Cambria"/>
                <w:bCs/>
                <w:sz w:val="20"/>
                <w:szCs w:val="20"/>
                <w:lang w:val="es-ES"/>
              </w:rPr>
              <w:t xml:space="preserve"> y</w:t>
            </w:r>
            <w:r w:rsidR="00086129" w:rsidRPr="002A3A3B">
              <w:rPr>
                <w:rFonts w:ascii="Cambria" w:hAnsi="Cambria"/>
                <w:bCs/>
                <w:sz w:val="20"/>
                <w:szCs w:val="20"/>
                <w:lang w:val="es-ES"/>
              </w:rPr>
              <w:t xml:space="preserve"> </w:t>
            </w:r>
            <w:r w:rsidR="006116F9" w:rsidRPr="002A3A3B">
              <w:rPr>
                <w:rFonts w:ascii="Cambria" w:hAnsi="Cambria"/>
                <w:bCs/>
                <w:sz w:val="20"/>
                <w:szCs w:val="20"/>
                <w:lang w:val="es-ES"/>
              </w:rPr>
              <w:t xml:space="preserve">culturales) </w:t>
            </w:r>
            <w:r w:rsidR="00E023B8" w:rsidRPr="002A3A3B">
              <w:rPr>
                <w:rFonts w:ascii="Cambria" w:hAnsi="Cambria"/>
                <w:bCs/>
                <w:sz w:val="20"/>
                <w:szCs w:val="20"/>
                <w:lang w:val="es-ES"/>
              </w:rPr>
              <w:t>de la Convención Americana sobre Derechos Humanos</w:t>
            </w:r>
            <w:r w:rsidR="00E023B8" w:rsidRPr="002A3A3B">
              <w:rPr>
                <w:rStyle w:val="FootnoteReference"/>
                <w:rFonts w:ascii="Cambria" w:hAnsi="Cambria"/>
                <w:bCs/>
                <w:sz w:val="20"/>
                <w:szCs w:val="20"/>
                <w:lang w:val="es-ES"/>
              </w:rPr>
              <w:footnoteReference w:id="3"/>
            </w:r>
          </w:p>
        </w:tc>
      </w:tr>
    </w:tbl>
    <w:p w14:paraId="176FB213" w14:textId="77777777" w:rsidR="003239B8" w:rsidRPr="002A3A3B" w:rsidRDefault="003239B8" w:rsidP="003239B8">
      <w:pPr>
        <w:spacing w:before="240" w:after="240"/>
        <w:ind w:firstLine="720"/>
        <w:jc w:val="both"/>
        <w:rPr>
          <w:rFonts w:asciiTheme="majorHAnsi" w:hAnsiTheme="majorHAnsi"/>
          <w:b/>
          <w:bCs/>
          <w:sz w:val="20"/>
          <w:szCs w:val="20"/>
          <w:lang w:val="es-ES"/>
        </w:rPr>
      </w:pPr>
      <w:r w:rsidRPr="002A3A3B">
        <w:rPr>
          <w:rFonts w:asciiTheme="majorHAnsi" w:hAnsiTheme="majorHAnsi"/>
          <w:b/>
          <w:bCs/>
          <w:sz w:val="20"/>
          <w:szCs w:val="20"/>
          <w:lang w:val="es-ES"/>
        </w:rPr>
        <w:t>II.</w:t>
      </w:r>
      <w:r w:rsidRPr="002A3A3B">
        <w:rPr>
          <w:rFonts w:asciiTheme="majorHAnsi" w:hAnsiTheme="majorHAnsi"/>
          <w:b/>
          <w:bCs/>
          <w:sz w:val="20"/>
          <w:szCs w:val="20"/>
          <w:lang w:val="es-ES"/>
        </w:rPr>
        <w:tab/>
        <w:t>TRÁMITE ANTE LA CIDH</w:t>
      </w:r>
      <w:r w:rsidR="008E3BFE" w:rsidRPr="002A3A3B">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2A3A3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2A3A3B" w:rsidRDefault="004A6A54" w:rsidP="004A6A54">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P</w:t>
            </w:r>
            <w:r w:rsidR="004C2312" w:rsidRPr="002A3A3B">
              <w:rPr>
                <w:rFonts w:ascii="Cambria" w:hAnsi="Cambria"/>
                <w:b/>
                <w:bCs/>
                <w:color w:val="FFFFFF" w:themeColor="background1"/>
                <w:sz w:val="20"/>
                <w:szCs w:val="20"/>
                <w:lang w:val="es-ES"/>
              </w:rPr>
              <w:t>resentación de la petición:</w:t>
            </w:r>
          </w:p>
        </w:tc>
        <w:tc>
          <w:tcPr>
            <w:tcW w:w="5647" w:type="dxa"/>
            <w:vAlign w:val="center"/>
          </w:tcPr>
          <w:p w14:paraId="6883A5F8" w14:textId="7799C231" w:rsidR="004C2312" w:rsidRPr="002A3A3B" w:rsidRDefault="00DA531B" w:rsidP="002625EA">
            <w:pPr>
              <w:jc w:val="both"/>
              <w:rPr>
                <w:rFonts w:ascii="Cambria" w:hAnsi="Cambria"/>
                <w:bCs/>
                <w:sz w:val="20"/>
                <w:szCs w:val="20"/>
                <w:lang w:val="es-ES"/>
              </w:rPr>
            </w:pPr>
            <w:r w:rsidRPr="002A3A3B">
              <w:rPr>
                <w:rFonts w:ascii="Cambria" w:hAnsi="Cambria"/>
                <w:bCs/>
                <w:sz w:val="20"/>
                <w:szCs w:val="20"/>
                <w:lang w:val="es-ES"/>
              </w:rPr>
              <w:t>5 de mayo de 2014</w:t>
            </w:r>
          </w:p>
        </w:tc>
      </w:tr>
      <w:tr w:rsidR="00131425" w:rsidRPr="00063F43"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2A3A3B" w:rsidRDefault="00131425" w:rsidP="004A6A54">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76C1CCB" w:rsidR="00131425" w:rsidRPr="002A3A3B" w:rsidRDefault="00E023B8" w:rsidP="002625EA">
            <w:pPr>
              <w:jc w:val="both"/>
              <w:rPr>
                <w:rFonts w:ascii="Cambria" w:hAnsi="Cambria"/>
                <w:bCs/>
                <w:sz w:val="20"/>
                <w:szCs w:val="20"/>
                <w:lang w:val="es-ES"/>
              </w:rPr>
            </w:pPr>
            <w:r w:rsidRPr="002A3A3B">
              <w:rPr>
                <w:rFonts w:ascii="Cambria" w:hAnsi="Cambria"/>
                <w:bCs/>
                <w:sz w:val="20"/>
                <w:szCs w:val="20"/>
                <w:lang w:val="es-ES"/>
              </w:rPr>
              <w:t>10 de julio de 2014</w:t>
            </w:r>
            <w:r w:rsidR="00DA531B" w:rsidRPr="002A3A3B">
              <w:rPr>
                <w:rFonts w:ascii="Cambria" w:hAnsi="Cambria"/>
                <w:bCs/>
                <w:sz w:val="20"/>
                <w:szCs w:val="20"/>
                <w:lang w:val="es-ES"/>
              </w:rPr>
              <w:t xml:space="preserve"> y 26 de agosto de 2018</w:t>
            </w:r>
          </w:p>
        </w:tc>
      </w:tr>
      <w:tr w:rsidR="004C2312" w:rsidRPr="002A3A3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2A3A3B" w:rsidRDefault="004A6A54" w:rsidP="004A6A54">
            <w:pPr>
              <w:jc w:val="center"/>
              <w:rPr>
                <w:rFonts w:ascii="Cambria" w:hAnsi="Cambria"/>
                <w:b/>
                <w:bCs/>
                <w:color w:val="FFFFFF" w:themeColor="background1"/>
                <w:sz w:val="20"/>
                <w:szCs w:val="20"/>
                <w:lang w:val="es-ES"/>
              </w:rPr>
            </w:pPr>
            <w:r w:rsidRPr="002A3A3B">
              <w:rPr>
                <w:rFonts w:ascii="Cambria" w:hAnsi="Cambria"/>
                <w:b/>
                <w:color w:val="FFFFFF" w:themeColor="background1"/>
                <w:sz w:val="20"/>
                <w:szCs w:val="20"/>
                <w:lang w:val="es-ES"/>
              </w:rPr>
              <w:t>N</w:t>
            </w:r>
            <w:r w:rsidR="004C2312" w:rsidRPr="002A3A3B">
              <w:rPr>
                <w:rFonts w:ascii="Cambria" w:hAnsi="Cambria"/>
                <w:b/>
                <w:color w:val="FFFFFF" w:themeColor="background1"/>
                <w:sz w:val="20"/>
                <w:szCs w:val="20"/>
                <w:lang w:val="es-ES"/>
              </w:rPr>
              <w:t>otificación de la petición al Estado:</w:t>
            </w:r>
          </w:p>
        </w:tc>
        <w:tc>
          <w:tcPr>
            <w:tcW w:w="5647" w:type="dxa"/>
            <w:vAlign w:val="center"/>
          </w:tcPr>
          <w:p w14:paraId="58485921" w14:textId="53D7021B" w:rsidR="004C2312" w:rsidRPr="002A3A3B" w:rsidRDefault="00DA531B" w:rsidP="008D2290">
            <w:pPr>
              <w:jc w:val="both"/>
              <w:rPr>
                <w:rFonts w:ascii="Cambria" w:hAnsi="Cambria"/>
                <w:bCs/>
                <w:sz w:val="20"/>
                <w:szCs w:val="20"/>
                <w:lang w:val="es-ES"/>
              </w:rPr>
            </w:pPr>
            <w:r w:rsidRPr="002A3A3B">
              <w:rPr>
                <w:rFonts w:ascii="Cambria" w:hAnsi="Cambria"/>
                <w:bCs/>
                <w:sz w:val="20"/>
                <w:szCs w:val="20"/>
                <w:lang w:val="es-ES"/>
              </w:rPr>
              <w:t>10 de junio de 2019</w:t>
            </w:r>
          </w:p>
        </w:tc>
      </w:tr>
      <w:tr w:rsidR="004C2312" w:rsidRPr="002A3A3B"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2A3A3B" w:rsidRDefault="004A6A54" w:rsidP="004A6A54">
            <w:pPr>
              <w:jc w:val="center"/>
              <w:rPr>
                <w:rFonts w:ascii="Cambria" w:hAnsi="Cambria"/>
                <w:b/>
                <w:bCs/>
                <w:color w:val="FFFFFF" w:themeColor="background1"/>
                <w:sz w:val="20"/>
                <w:szCs w:val="20"/>
                <w:lang w:val="es-ES"/>
              </w:rPr>
            </w:pPr>
            <w:r w:rsidRPr="002A3A3B">
              <w:rPr>
                <w:rFonts w:ascii="Cambria" w:hAnsi="Cambria"/>
                <w:b/>
                <w:color w:val="FFFFFF" w:themeColor="background1"/>
                <w:sz w:val="20"/>
                <w:szCs w:val="20"/>
                <w:lang w:val="es-ES"/>
              </w:rPr>
              <w:t>P</w:t>
            </w:r>
            <w:r w:rsidR="004C2312" w:rsidRPr="002A3A3B">
              <w:rPr>
                <w:rFonts w:ascii="Cambria" w:hAnsi="Cambria"/>
                <w:b/>
                <w:color w:val="FFFFFF" w:themeColor="background1"/>
                <w:sz w:val="20"/>
                <w:szCs w:val="20"/>
                <w:lang w:val="es-ES"/>
              </w:rPr>
              <w:t>rimera respuesta del Estado:</w:t>
            </w:r>
          </w:p>
        </w:tc>
        <w:tc>
          <w:tcPr>
            <w:tcW w:w="5647" w:type="dxa"/>
            <w:vAlign w:val="center"/>
          </w:tcPr>
          <w:p w14:paraId="6B47064C" w14:textId="4BEA15E6" w:rsidR="004C2312" w:rsidRPr="002A3A3B" w:rsidRDefault="00DA531B" w:rsidP="008D2290">
            <w:pPr>
              <w:jc w:val="both"/>
              <w:rPr>
                <w:rFonts w:ascii="Cambria" w:hAnsi="Cambria"/>
                <w:bCs/>
                <w:sz w:val="20"/>
                <w:szCs w:val="20"/>
                <w:lang w:val="es-ES"/>
              </w:rPr>
            </w:pPr>
            <w:r w:rsidRPr="002A3A3B">
              <w:rPr>
                <w:rFonts w:ascii="Cambria" w:hAnsi="Cambria"/>
                <w:bCs/>
                <w:sz w:val="20"/>
                <w:szCs w:val="20"/>
                <w:lang w:val="es-ES"/>
              </w:rPr>
              <w:t>10 de octubre de 2019</w:t>
            </w:r>
          </w:p>
        </w:tc>
      </w:tr>
      <w:tr w:rsidR="004C2312" w:rsidRPr="002A3A3B"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2A3A3B" w:rsidRDefault="008E3BFE" w:rsidP="008E3BFE">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371F284A" w:rsidR="004C2312" w:rsidRPr="002A3A3B" w:rsidRDefault="00DA531B" w:rsidP="008D2290">
            <w:pPr>
              <w:jc w:val="both"/>
              <w:rPr>
                <w:rFonts w:ascii="Cambria" w:hAnsi="Cambria"/>
                <w:bCs/>
                <w:sz w:val="20"/>
                <w:szCs w:val="20"/>
                <w:lang w:val="es-ES"/>
              </w:rPr>
            </w:pPr>
            <w:r w:rsidRPr="002A3A3B">
              <w:rPr>
                <w:rFonts w:ascii="Cambria" w:hAnsi="Cambria"/>
                <w:bCs/>
                <w:sz w:val="20"/>
                <w:szCs w:val="20"/>
                <w:lang w:val="es-ES"/>
              </w:rPr>
              <w:t>27 de febrero de 2020</w:t>
            </w:r>
          </w:p>
        </w:tc>
      </w:tr>
      <w:tr w:rsidR="004C2312" w:rsidRPr="002A3A3B"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2A3A3B" w:rsidRDefault="004C2312" w:rsidP="008E3BFE">
            <w:pPr>
              <w:jc w:val="center"/>
              <w:rPr>
                <w:rFonts w:ascii="Cambria" w:hAnsi="Cambria"/>
                <w:b/>
                <w:bCs/>
                <w:color w:val="FFFFFF" w:themeColor="background1"/>
                <w:sz w:val="20"/>
                <w:szCs w:val="20"/>
              </w:rPr>
            </w:pPr>
            <w:r w:rsidRPr="002A3A3B">
              <w:rPr>
                <w:rFonts w:ascii="Cambria" w:hAnsi="Cambria"/>
                <w:b/>
                <w:bCs/>
                <w:color w:val="FFFFFF" w:themeColor="background1"/>
                <w:sz w:val="20"/>
                <w:szCs w:val="20"/>
              </w:rPr>
              <w:t>Observaciones adicionales del Estado:</w:t>
            </w:r>
          </w:p>
        </w:tc>
        <w:tc>
          <w:tcPr>
            <w:tcW w:w="5647" w:type="dxa"/>
            <w:vAlign w:val="center"/>
          </w:tcPr>
          <w:p w14:paraId="15747C57" w14:textId="15F19703" w:rsidR="004C2312" w:rsidRPr="002A3A3B" w:rsidRDefault="00CC6DD4" w:rsidP="008D2290">
            <w:pPr>
              <w:jc w:val="both"/>
              <w:rPr>
                <w:rFonts w:ascii="Cambria" w:hAnsi="Cambria"/>
                <w:bCs/>
                <w:sz w:val="20"/>
                <w:szCs w:val="20"/>
                <w:lang w:val="es-ES"/>
              </w:rPr>
            </w:pPr>
            <w:r w:rsidRPr="002A3A3B">
              <w:rPr>
                <w:rFonts w:ascii="Cambria" w:hAnsi="Cambria"/>
                <w:bCs/>
                <w:sz w:val="20"/>
                <w:szCs w:val="20"/>
                <w:lang w:val="es-ES"/>
              </w:rPr>
              <w:t>1 de septiembre de 2020</w:t>
            </w:r>
          </w:p>
        </w:tc>
      </w:tr>
    </w:tbl>
    <w:p w14:paraId="0FC6E9E8" w14:textId="77777777" w:rsidR="003239B8" w:rsidRPr="002A3A3B" w:rsidRDefault="003239B8" w:rsidP="003239B8">
      <w:pPr>
        <w:spacing w:before="240" w:after="240"/>
        <w:ind w:firstLine="720"/>
        <w:jc w:val="both"/>
        <w:rPr>
          <w:rFonts w:asciiTheme="majorHAnsi" w:hAnsiTheme="majorHAnsi"/>
          <w:b/>
          <w:bCs/>
          <w:sz w:val="20"/>
          <w:szCs w:val="20"/>
          <w:lang w:val="es-ES"/>
        </w:rPr>
      </w:pPr>
      <w:r w:rsidRPr="002A3A3B">
        <w:rPr>
          <w:rFonts w:asciiTheme="majorHAnsi" w:hAnsiTheme="majorHAnsi"/>
          <w:b/>
          <w:bCs/>
          <w:sz w:val="20"/>
          <w:szCs w:val="20"/>
          <w:lang w:val="es-ES"/>
        </w:rPr>
        <w:t xml:space="preserve">III. </w:t>
      </w:r>
      <w:r w:rsidRPr="002A3A3B">
        <w:rPr>
          <w:rFonts w:asciiTheme="majorHAnsi" w:hAnsiTheme="majorHAnsi"/>
          <w:b/>
          <w:bCs/>
          <w:sz w:val="20"/>
          <w:szCs w:val="20"/>
          <w:lang w:val="es-ES"/>
        </w:rPr>
        <w:tab/>
        <w:t>COMPETENCIA</w:t>
      </w:r>
      <w:r w:rsidR="00EE00E9" w:rsidRPr="002A3A3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A3A3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A3A3B" w:rsidRDefault="003239B8" w:rsidP="008D2290">
            <w:pPr>
              <w:jc w:val="center"/>
              <w:rPr>
                <w:rFonts w:ascii="Cambria" w:hAnsi="Cambria"/>
                <w:b/>
                <w:bCs/>
                <w:i/>
                <w:color w:val="FFFFFF" w:themeColor="background1"/>
                <w:sz w:val="20"/>
                <w:szCs w:val="20"/>
                <w:lang w:val="es-ES"/>
              </w:rPr>
            </w:pPr>
            <w:r w:rsidRPr="002A3A3B">
              <w:rPr>
                <w:rFonts w:ascii="Cambria" w:hAnsi="Cambria"/>
                <w:b/>
                <w:bCs/>
                <w:color w:val="FFFFFF" w:themeColor="background1"/>
                <w:sz w:val="20"/>
                <w:szCs w:val="20"/>
                <w:lang w:val="es-ES"/>
              </w:rPr>
              <w:t>Competencia</w:t>
            </w:r>
            <w:r w:rsidRPr="002A3A3B">
              <w:rPr>
                <w:rFonts w:ascii="Cambria" w:hAnsi="Cambria"/>
                <w:b/>
                <w:bCs/>
                <w:i/>
                <w:color w:val="FFFFFF" w:themeColor="background1"/>
                <w:sz w:val="20"/>
                <w:szCs w:val="20"/>
                <w:lang w:val="es-ES"/>
              </w:rPr>
              <w:t xml:space="preserve"> Ratione personae:</w:t>
            </w:r>
          </w:p>
        </w:tc>
        <w:tc>
          <w:tcPr>
            <w:tcW w:w="5760" w:type="dxa"/>
            <w:vAlign w:val="center"/>
          </w:tcPr>
          <w:p w14:paraId="1E494D5D" w14:textId="127587C0" w:rsidR="003239B8" w:rsidRPr="002A3A3B" w:rsidRDefault="00CC6DD4" w:rsidP="008D2290">
            <w:pPr>
              <w:rPr>
                <w:rFonts w:ascii="Cambria" w:hAnsi="Cambria"/>
                <w:bCs/>
                <w:sz w:val="20"/>
                <w:szCs w:val="20"/>
                <w:lang w:val="es-ES"/>
              </w:rPr>
            </w:pPr>
            <w:r w:rsidRPr="002A3A3B">
              <w:rPr>
                <w:rFonts w:ascii="Cambria" w:hAnsi="Cambria"/>
                <w:bCs/>
                <w:sz w:val="20"/>
                <w:szCs w:val="20"/>
                <w:lang w:val="es-ES"/>
              </w:rPr>
              <w:t>Sí</w:t>
            </w:r>
          </w:p>
        </w:tc>
      </w:tr>
      <w:tr w:rsidR="003239B8" w:rsidRPr="002A3A3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A3A3B" w:rsidRDefault="003239B8" w:rsidP="008D2290">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Competencia</w:t>
            </w:r>
            <w:r w:rsidRPr="002A3A3B">
              <w:rPr>
                <w:rFonts w:ascii="Cambria" w:hAnsi="Cambria"/>
                <w:b/>
                <w:bCs/>
                <w:i/>
                <w:color w:val="FFFFFF" w:themeColor="background1"/>
                <w:sz w:val="20"/>
                <w:szCs w:val="20"/>
                <w:lang w:val="es-ES"/>
              </w:rPr>
              <w:t xml:space="preserve"> Ratione loci</w:t>
            </w:r>
            <w:r w:rsidRPr="002A3A3B">
              <w:rPr>
                <w:rFonts w:ascii="Cambria" w:hAnsi="Cambria"/>
                <w:b/>
                <w:bCs/>
                <w:color w:val="FFFFFF" w:themeColor="background1"/>
                <w:sz w:val="20"/>
                <w:szCs w:val="20"/>
                <w:lang w:val="es-ES"/>
              </w:rPr>
              <w:t>:</w:t>
            </w:r>
          </w:p>
        </w:tc>
        <w:tc>
          <w:tcPr>
            <w:tcW w:w="5760" w:type="dxa"/>
            <w:vAlign w:val="center"/>
          </w:tcPr>
          <w:p w14:paraId="77C8256A" w14:textId="183EF838" w:rsidR="003239B8" w:rsidRPr="002A3A3B" w:rsidRDefault="00CC6DD4" w:rsidP="008D2290">
            <w:pPr>
              <w:rPr>
                <w:rFonts w:ascii="Cambria" w:hAnsi="Cambria"/>
                <w:bCs/>
                <w:sz w:val="20"/>
                <w:szCs w:val="20"/>
                <w:lang w:val="es-ES"/>
              </w:rPr>
            </w:pPr>
            <w:r w:rsidRPr="002A3A3B">
              <w:rPr>
                <w:rFonts w:ascii="Cambria" w:hAnsi="Cambria"/>
                <w:bCs/>
                <w:sz w:val="20"/>
                <w:szCs w:val="20"/>
                <w:lang w:val="es-ES"/>
              </w:rPr>
              <w:t>Sí</w:t>
            </w:r>
          </w:p>
        </w:tc>
      </w:tr>
      <w:tr w:rsidR="003239B8" w:rsidRPr="002A3A3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A3A3B" w:rsidRDefault="003239B8" w:rsidP="008D2290">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Competencia</w:t>
            </w:r>
            <w:r w:rsidRPr="002A3A3B">
              <w:rPr>
                <w:rFonts w:ascii="Cambria" w:hAnsi="Cambria"/>
                <w:b/>
                <w:bCs/>
                <w:i/>
                <w:color w:val="FFFFFF" w:themeColor="background1"/>
                <w:sz w:val="20"/>
                <w:szCs w:val="20"/>
                <w:lang w:val="es-ES"/>
              </w:rPr>
              <w:t xml:space="preserve"> Ratione temporis</w:t>
            </w:r>
            <w:r w:rsidRPr="002A3A3B">
              <w:rPr>
                <w:rFonts w:ascii="Cambria" w:hAnsi="Cambria"/>
                <w:b/>
                <w:bCs/>
                <w:color w:val="FFFFFF" w:themeColor="background1"/>
                <w:sz w:val="20"/>
                <w:szCs w:val="20"/>
                <w:lang w:val="es-ES"/>
              </w:rPr>
              <w:t>:</w:t>
            </w:r>
          </w:p>
        </w:tc>
        <w:tc>
          <w:tcPr>
            <w:tcW w:w="5760" w:type="dxa"/>
            <w:vAlign w:val="center"/>
          </w:tcPr>
          <w:p w14:paraId="523F6BD6" w14:textId="2BFF8D65" w:rsidR="003239B8" w:rsidRPr="002A3A3B" w:rsidRDefault="00CC6DD4" w:rsidP="008D2290">
            <w:pPr>
              <w:rPr>
                <w:rFonts w:ascii="Cambria" w:hAnsi="Cambria"/>
                <w:bCs/>
                <w:sz w:val="20"/>
                <w:szCs w:val="20"/>
                <w:lang w:val="es-ES"/>
              </w:rPr>
            </w:pPr>
            <w:r w:rsidRPr="002A3A3B">
              <w:rPr>
                <w:rFonts w:ascii="Cambria" w:hAnsi="Cambria"/>
                <w:bCs/>
                <w:sz w:val="20"/>
                <w:szCs w:val="20"/>
                <w:lang w:val="es-ES"/>
              </w:rPr>
              <w:t>Sí</w:t>
            </w:r>
          </w:p>
        </w:tc>
      </w:tr>
      <w:tr w:rsidR="003239B8" w:rsidRPr="00063F4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A3A3B" w:rsidRDefault="003239B8" w:rsidP="008D2290">
            <w:pPr>
              <w:jc w:val="center"/>
              <w:rPr>
                <w:rFonts w:ascii="Cambria" w:hAnsi="Cambria"/>
                <w:b/>
                <w:bCs/>
                <w:color w:val="FFFFFF" w:themeColor="background1"/>
                <w:sz w:val="20"/>
                <w:szCs w:val="20"/>
              </w:rPr>
            </w:pPr>
            <w:r w:rsidRPr="002A3A3B">
              <w:rPr>
                <w:rFonts w:ascii="Cambria" w:hAnsi="Cambria"/>
                <w:b/>
                <w:bCs/>
                <w:color w:val="FFFFFF" w:themeColor="background1"/>
                <w:sz w:val="20"/>
                <w:szCs w:val="20"/>
              </w:rPr>
              <w:t>Competencia</w:t>
            </w:r>
            <w:r w:rsidRPr="002A3A3B">
              <w:rPr>
                <w:rFonts w:ascii="Cambria" w:hAnsi="Cambria"/>
                <w:b/>
                <w:bCs/>
                <w:i/>
                <w:color w:val="FFFFFF" w:themeColor="background1"/>
                <w:sz w:val="20"/>
                <w:szCs w:val="20"/>
              </w:rPr>
              <w:t xml:space="preserve"> Ratione materia</w:t>
            </w:r>
            <w:r w:rsidR="00EE00E9" w:rsidRPr="002A3A3B">
              <w:rPr>
                <w:rFonts w:ascii="Cambria" w:hAnsi="Cambria"/>
                <w:b/>
                <w:bCs/>
                <w:i/>
                <w:color w:val="FFFFFF" w:themeColor="background1"/>
                <w:sz w:val="20"/>
                <w:szCs w:val="20"/>
              </w:rPr>
              <w:t>e</w:t>
            </w:r>
            <w:r w:rsidRPr="002A3A3B">
              <w:rPr>
                <w:rFonts w:ascii="Cambria" w:hAnsi="Cambria"/>
                <w:b/>
                <w:bCs/>
                <w:color w:val="FFFFFF" w:themeColor="background1"/>
                <w:sz w:val="20"/>
                <w:szCs w:val="20"/>
              </w:rPr>
              <w:t>:</w:t>
            </w:r>
          </w:p>
        </w:tc>
        <w:tc>
          <w:tcPr>
            <w:tcW w:w="5760" w:type="dxa"/>
            <w:vAlign w:val="center"/>
          </w:tcPr>
          <w:p w14:paraId="257C8337" w14:textId="4B20BD97" w:rsidR="003239B8" w:rsidRPr="002A3A3B" w:rsidRDefault="00E023B8" w:rsidP="008D2290">
            <w:pPr>
              <w:jc w:val="both"/>
              <w:rPr>
                <w:rFonts w:ascii="Cambria" w:hAnsi="Cambria"/>
                <w:bCs/>
                <w:sz w:val="20"/>
                <w:szCs w:val="20"/>
                <w:lang w:val="es-ES"/>
              </w:rPr>
            </w:pPr>
            <w:r w:rsidRPr="002A3A3B">
              <w:rPr>
                <w:rFonts w:ascii="Cambria" w:hAnsi="Cambria"/>
                <w:bCs/>
                <w:sz w:val="20"/>
                <w:szCs w:val="20"/>
                <w:lang w:val="es-ES"/>
              </w:rPr>
              <w:t>Sí, Convención Americana (depósito del instrumento de ratificación realizado el 28 de julio de 1978)</w:t>
            </w:r>
          </w:p>
        </w:tc>
      </w:tr>
    </w:tbl>
    <w:p w14:paraId="299A3868" w14:textId="0E5D4C4B" w:rsidR="003239B8" w:rsidRPr="002A3A3B" w:rsidRDefault="003239B8" w:rsidP="003239B8">
      <w:pPr>
        <w:spacing w:before="240" w:after="240"/>
        <w:ind w:firstLine="720"/>
        <w:jc w:val="both"/>
        <w:rPr>
          <w:rFonts w:asciiTheme="majorHAnsi" w:hAnsiTheme="majorHAnsi"/>
          <w:b/>
          <w:bCs/>
          <w:sz w:val="20"/>
          <w:szCs w:val="20"/>
          <w:lang w:val="es-ES"/>
        </w:rPr>
      </w:pPr>
      <w:r w:rsidRPr="002A3A3B">
        <w:rPr>
          <w:rFonts w:asciiTheme="majorHAnsi" w:hAnsiTheme="majorHAnsi"/>
          <w:b/>
          <w:bCs/>
          <w:sz w:val="20"/>
          <w:szCs w:val="20"/>
          <w:lang w:val="es-ES"/>
        </w:rPr>
        <w:t xml:space="preserve">IV. </w:t>
      </w:r>
      <w:r w:rsidRPr="002A3A3B">
        <w:rPr>
          <w:rFonts w:asciiTheme="majorHAnsi" w:hAnsiTheme="majorHAnsi"/>
          <w:b/>
          <w:bCs/>
          <w:sz w:val="20"/>
          <w:szCs w:val="20"/>
          <w:lang w:val="es-ES"/>
        </w:rPr>
        <w:tab/>
      </w:r>
      <w:r w:rsidR="00EE00E9" w:rsidRPr="002A3A3B">
        <w:rPr>
          <w:rFonts w:asciiTheme="majorHAnsi" w:hAnsiTheme="majorHAnsi"/>
          <w:b/>
          <w:bCs/>
          <w:sz w:val="20"/>
          <w:szCs w:val="20"/>
          <w:lang w:val="es-ES"/>
        </w:rPr>
        <w:t>DUPLICACIÓN</w:t>
      </w:r>
      <w:r w:rsidR="00EE00E9" w:rsidRPr="002A3A3B">
        <w:rPr>
          <w:rFonts w:asciiTheme="majorHAnsi" w:hAnsiTheme="majorHAnsi"/>
          <w:b/>
          <w:bCs/>
          <w:color w:val="FFFFFF" w:themeColor="background1"/>
          <w:sz w:val="20"/>
          <w:szCs w:val="20"/>
          <w:lang w:val="es-ES"/>
        </w:rPr>
        <w:t xml:space="preserve"> </w:t>
      </w:r>
      <w:r w:rsidR="00EE00E9" w:rsidRPr="002A3A3B">
        <w:rPr>
          <w:rFonts w:asciiTheme="majorHAnsi" w:hAnsiTheme="majorHAnsi"/>
          <w:b/>
          <w:bCs/>
          <w:sz w:val="20"/>
          <w:szCs w:val="20"/>
          <w:lang w:val="es-ES"/>
        </w:rPr>
        <w:t>DE PROCEDIMIENTOS Y COSA JUZGADA</w:t>
      </w:r>
      <w:r w:rsidR="00EE00E9" w:rsidRPr="002A3A3B">
        <w:rPr>
          <w:rFonts w:asciiTheme="majorHAnsi" w:hAnsiTheme="majorHAnsi"/>
          <w:b/>
          <w:bCs/>
          <w:i/>
          <w:sz w:val="20"/>
          <w:szCs w:val="20"/>
          <w:lang w:val="es-ES"/>
        </w:rPr>
        <w:t xml:space="preserve"> </w:t>
      </w:r>
      <w:r w:rsidR="00E023B8" w:rsidRPr="002A3A3B">
        <w:rPr>
          <w:rFonts w:asciiTheme="majorHAnsi" w:hAnsiTheme="majorHAnsi"/>
          <w:b/>
          <w:bCs/>
          <w:sz w:val="20"/>
          <w:szCs w:val="20"/>
          <w:lang w:val="es-ES"/>
        </w:rPr>
        <w:t>INTERNACIONAL, CARACTERIZACIÓN</w:t>
      </w:r>
      <w:r w:rsidRPr="002A3A3B">
        <w:rPr>
          <w:rFonts w:asciiTheme="majorHAnsi" w:hAnsiTheme="majorHAnsi"/>
          <w:b/>
          <w:bCs/>
          <w:sz w:val="20"/>
          <w:szCs w:val="20"/>
          <w:lang w:val="es-ES"/>
        </w:rPr>
        <w:t xml:space="preserve">, </w:t>
      </w:r>
      <w:r w:rsidRPr="002A3A3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A3A3B" w14:paraId="161C8568" w14:textId="77777777" w:rsidTr="0054053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2A3A3B" w:rsidRDefault="00EE00E9" w:rsidP="008D2290">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C3544C2" w:rsidR="00EE00E9" w:rsidRPr="002A3A3B" w:rsidRDefault="0054053E" w:rsidP="008D2290">
            <w:pPr>
              <w:jc w:val="both"/>
              <w:rPr>
                <w:rFonts w:ascii="Cambria" w:hAnsi="Cambria"/>
                <w:bCs/>
                <w:sz w:val="20"/>
                <w:szCs w:val="20"/>
                <w:lang w:val="es-ES"/>
              </w:rPr>
            </w:pPr>
            <w:r w:rsidRPr="002A3A3B">
              <w:rPr>
                <w:rFonts w:ascii="Cambria" w:hAnsi="Cambria"/>
                <w:bCs/>
                <w:sz w:val="20"/>
                <w:szCs w:val="20"/>
                <w:lang w:val="es-ES"/>
              </w:rPr>
              <w:t>No</w:t>
            </w:r>
          </w:p>
        </w:tc>
      </w:tr>
      <w:tr w:rsidR="003239B8" w:rsidRPr="00063F43" w14:paraId="3ED57BF3" w14:textId="77777777" w:rsidTr="0054053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2A3A3B" w:rsidRDefault="003239B8" w:rsidP="008D2290">
            <w:pPr>
              <w:jc w:val="center"/>
              <w:rPr>
                <w:rFonts w:ascii="Cambria" w:hAnsi="Cambria"/>
                <w:b/>
                <w:bCs/>
                <w:i/>
                <w:color w:val="FFFFFF" w:themeColor="background1"/>
                <w:sz w:val="20"/>
                <w:szCs w:val="20"/>
                <w:lang w:val="es-ES"/>
              </w:rPr>
            </w:pPr>
            <w:r w:rsidRPr="002A3A3B">
              <w:rPr>
                <w:rFonts w:ascii="Cambria" w:hAnsi="Cambria"/>
                <w:b/>
                <w:bCs/>
                <w:color w:val="FFFFFF" w:themeColor="background1"/>
                <w:sz w:val="20"/>
                <w:szCs w:val="20"/>
                <w:lang w:val="es-ES"/>
              </w:rPr>
              <w:t>Derechos declarados admisibles</w:t>
            </w:r>
            <w:r w:rsidRPr="002A3A3B">
              <w:rPr>
                <w:rFonts w:ascii="Cambria" w:hAnsi="Cambria"/>
                <w:b/>
                <w:bCs/>
                <w:i/>
                <w:color w:val="FFFFFF" w:themeColor="background1"/>
                <w:sz w:val="20"/>
                <w:szCs w:val="20"/>
                <w:lang w:val="es-ES"/>
              </w:rPr>
              <w:t>:</w:t>
            </w:r>
          </w:p>
        </w:tc>
        <w:tc>
          <w:tcPr>
            <w:tcW w:w="5677" w:type="dxa"/>
            <w:vAlign w:val="center"/>
          </w:tcPr>
          <w:p w14:paraId="4DAE9D4D" w14:textId="3F604CD8" w:rsidR="003239B8" w:rsidRPr="002A3A3B" w:rsidRDefault="00124B64" w:rsidP="008D2290">
            <w:pPr>
              <w:jc w:val="both"/>
              <w:rPr>
                <w:rFonts w:ascii="Cambria" w:hAnsi="Cambria"/>
                <w:bCs/>
                <w:sz w:val="20"/>
                <w:szCs w:val="20"/>
                <w:lang w:val="es-ES"/>
              </w:rPr>
            </w:pPr>
            <w:r w:rsidRPr="002A3A3B">
              <w:rPr>
                <w:rFonts w:ascii="Cambria" w:hAnsi="Cambria"/>
                <w:bCs/>
                <w:sz w:val="20"/>
                <w:szCs w:val="20"/>
                <w:lang w:val="es-ES"/>
              </w:rPr>
              <w:t>Artículos 7 (derecho a la libertad personal), 8 (garantías judiciales), 10 (derecho a indemnización), 24 (igualdad ante la ley), 25 (protección judicial) y 26 (derechos económicos, sociales</w:t>
            </w:r>
            <w:r w:rsidR="00822707" w:rsidRPr="002A3A3B">
              <w:rPr>
                <w:rFonts w:ascii="Cambria" w:hAnsi="Cambria"/>
                <w:bCs/>
                <w:sz w:val="20"/>
                <w:szCs w:val="20"/>
                <w:lang w:val="es-ES"/>
              </w:rPr>
              <w:t xml:space="preserve"> y</w:t>
            </w:r>
            <w:r w:rsidRPr="002A3A3B">
              <w:rPr>
                <w:rFonts w:ascii="Cambria" w:hAnsi="Cambria"/>
                <w:bCs/>
                <w:sz w:val="20"/>
                <w:szCs w:val="20"/>
                <w:lang w:val="es-ES"/>
              </w:rPr>
              <w:t xml:space="preserve"> culturales) de la Convención Americana</w:t>
            </w:r>
            <w:r w:rsidR="0090292F" w:rsidRPr="002A3A3B">
              <w:rPr>
                <w:rFonts w:ascii="Cambria" w:hAnsi="Cambria"/>
                <w:bCs/>
                <w:sz w:val="20"/>
                <w:szCs w:val="20"/>
                <w:lang w:val="es-ES"/>
              </w:rPr>
              <w:t xml:space="preserve">, en conexión con su artículo 1.1 (obligación de respetar </w:t>
            </w:r>
            <w:r w:rsidR="00822707" w:rsidRPr="002A3A3B">
              <w:rPr>
                <w:rFonts w:ascii="Cambria" w:hAnsi="Cambria"/>
                <w:bCs/>
                <w:sz w:val="20"/>
                <w:szCs w:val="20"/>
                <w:lang w:val="es-ES"/>
              </w:rPr>
              <w:t xml:space="preserve">y garantizar </w:t>
            </w:r>
            <w:r w:rsidR="0090292F" w:rsidRPr="002A3A3B">
              <w:rPr>
                <w:rFonts w:ascii="Cambria" w:hAnsi="Cambria"/>
                <w:bCs/>
                <w:sz w:val="20"/>
                <w:szCs w:val="20"/>
                <w:lang w:val="es-ES"/>
              </w:rPr>
              <w:t>los derechos)</w:t>
            </w:r>
          </w:p>
        </w:tc>
      </w:tr>
      <w:tr w:rsidR="003239B8" w:rsidRPr="00063F43" w14:paraId="5702249F" w14:textId="77777777" w:rsidTr="0054053E">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2A3A3B" w:rsidRDefault="003239B8" w:rsidP="008D2290">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Agotamiento de recursos internos</w:t>
            </w:r>
            <w:r w:rsidR="00EE00E9" w:rsidRPr="002A3A3B">
              <w:rPr>
                <w:rFonts w:ascii="Cambria" w:hAnsi="Cambria"/>
                <w:b/>
                <w:bCs/>
                <w:color w:val="FFFFFF" w:themeColor="background1"/>
                <w:sz w:val="20"/>
                <w:szCs w:val="20"/>
                <w:lang w:val="es-ES"/>
              </w:rPr>
              <w:t xml:space="preserve"> o procedencia de una excepción</w:t>
            </w:r>
            <w:r w:rsidRPr="002A3A3B">
              <w:rPr>
                <w:rFonts w:ascii="Cambria" w:hAnsi="Cambria"/>
                <w:b/>
                <w:bCs/>
                <w:color w:val="FFFFFF" w:themeColor="background1"/>
                <w:sz w:val="20"/>
                <w:szCs w:val="20"/>
                <w:lang w:val="es-ES"/>
              </w:rPr>
              <w:t>:</w:t>
            </w:r>
          </w:p>
        </w:tc>
        <w:tc>
          <w:tcPr>
            <w:tcW w:w="5677" w:type="dxa"/>
            <w:vAlign w:val="center"/>
          </w:tcPr>
          <w:p w14:paraId="7F7C1A19" w14:textId="5F648AE1" w:rsidR="003239B8" w:rsidRPr="002A3A3B" w:rsidRDefault="0054053E" w:rsidP="008D2290">
            <w:pPr>
              <w:rPr>
                <w:rFonts w:ascii="Cambria" w:hAnsi="Cambria"/>
                <w:bCs/>
                <w:sz w:val="20"/>
                <w:szCs w:val="20"/>
                <w:lang w:val="es-ES"/>
              </w:rPr>
            </w:pPr>
            <w:r w:rsidRPr="002A3A3B">
              <w:rPr>
                <w:rFonts w:ascii="Cambria" w:hAnsi="Cambria"/>
                <w:bCs/>
                <w:sz w:val="20"/>
                <w:szCs w:val="20"/>
                <w:lang w:val="es-ES"/>
              </w:rPr>
              <w:t>Sí, se cumple el requisito previsto en el artículo 46.1.a) de la Convención</w:t>
            </w:r>
          </w:p>
        </w:tc>
      </w:tr>
      <w:tr w:rsidR="0054053E" w:rsidRPr="002A3A3B" w14:paraId="7A101B89" w14:textId="77777777" w:rsidTr="0054053E">
        <w:trPr>
          <w:cantSplit/>
        </w:trPr>
        <w:tc>
          <w:tcPr>
            <w:tcW w:w="3565" w:type="dxa"/>
            <w:tcBorders>
              <w:top w:val="single" w:sz="6" w:space="0" w:color="auto"/>
              <w:bottom w:val="single" w:sz="6" w:space="0" w:color="auto"/>
            </w:tcBorders>
            <w:shd w:val="clear" w:color="auto" w:fill="386294"/>
            <w:vAlign w:val="center"/>
          </w:tcPr>
          <w:p w14:paraId="0843C533" w14:textId="77777777" w:rsidR="0054053E" w:rsidRPr="002A3A3B" w:rsidRDefault="0054053E" w:rsidP="0054053E">
            <w:pPr>
              <w:jc w:val="center"/>
              <w:rPr>
                <w:rFonts w:ascii="Cambria" w:hAnsi="Cambria"/>
                <w:b/>
                <w:bCs/>
                <w:color w:val="FFFFFF" w:themeColor="background1"/>
                <w:sz w:val="20"/>
                <w:szCs w:val="20"/>
                <w:lang w:val="es-ES"/>
              </w:rPr>
            </w:pPr>
            <w:r w:rsidRPr="002A3A3B">
              <w:rPr>
                <w:rFonts w:ascii="Cambria" w:hAnsi="Cambria"/>
                <w:b/>
                <w:bCs/>
                <w:color w:val="FFFFFF" w:themeColor="background1"/>
                <w:sz w:val="20"/>
                <w:szCs w:val="20"/>
                <w:lang w:val="es-ES"/>
              </w:rPr>
              <w:t>Presentación dentro de plazo:</w:t>
            </w:r>
          </w:p>
        </w:tc>
        <w:tc>
          <w:tcPr>
            <w:tcW w:w="5677" w:type="dxa"/>
            <w:vAlign w:val="center"/>
          </w:tcPr>
          <w:p w14:paraId="2AF0FC69" w14:textId="21209285" w:rsidR="0054053E" w:rsidRPr="002A3A3B" w:rsidRDefault="0054053E" w:rsidP="0054053E">
            <w:pPr>
              <w:rPr>
                <w:rFonts w:ascii="Cambria" w:hAnsi="Cambria"/>
                <w:bCs/>
                <w:sz w:val="20"/>
                <w:szCs w:val="20"/>
                <w:lang w:val="es-ES"/>
              </w:rPr>
            </w:pPr>
            <w:r w:rsidRPr="002A3A3B">
              <w:rPr>
                <w:rFonts w:ascii="Cambria" w:hAnsi="Cambria"/>
                <w:bCs/>
                <w:sz w:val="20"/>
                <w:szCs w:val="20"/>
                <w:lang w:val="es-ES"/>
              </w:rPr>
              <w:t>Sí</w:t>
            </w:r>
          </w:p>
        </w:tc>
      </w:tr>
    </w:tbl>
    <w:p w14:paraId="4A1D3E5C" w14:textId="77777777" w:rsidR="006B348B" w:rsidRPr="002A3A3B" w:rsidRDefault="006B348B" w:rsidP="00A55DFC">
      <w:pPr>
        <w:spacing w:before="240" w:after="240"/>
        <w:ind w:firstLine="720"/>
        <w:jc w:val="both"/>
        <w:rPr>
          <w:rFonts w:asciiTheme="majorHAnsi" w:hAnsiTheme="majorHAnsi"/>
          <w:b/>
          <w:sz w:val="20"/>
          <w:szCs w:val="20"/>
          <w:lang w:val="es-UY"/>
        </w:rPr>
      </w:pPr>
    </w:p>
    <w:p w14:paraId="0270FA96" w14:textId="62BE14B7" w:rsidR="001B478B" w:rsidRPr="002A3A3B" w:rsidRDefault="00223A29" w:rsidP="00A55DFC">
      <w:pPr>
        <w:spacing w:before="240" w:after="240"/>
        <w:ind w:firstLine="720"/>
        <w:jc w:val="both"/>
        <w:rPr>
          <w:rFonts w:asciiTheme="majorHAnsi" w:hAnsiTheme="majorHAnsi"/>
          <w:b/>
          <w:sz w:val="20"/>
          <w:szCs w:val="20"/>
          <w:lang w:val="es-ES"/>
        </w:rPr>
      </w:pPr>
      <w:r w:rsidRPr="002A3A3B">
        <w:rPr>
          <w:rFonts w:asciiTheme="majorHAnsi" w:hAnsiTheme="majorHAnsi"/>
          <w:b/>
          <w:sz w:val="20"/>
          <w:szCs w:val="20"/>
          <w:lang w:val="es-UY"/>
        </w:rPr>
        <w:lastRenderedPageBreak/>
        <w:t xml:space="preserve">V. </w:t>
      </w:r>
      <w:r w:rsidRPr="002A3A3B">
        <w:rPr>
          <w:rFonts w:asciiTheme="majorHAnsi" w:hAnsiTheme="majorHAnsi"/>
          <w:b/>
          <w:sz w:val="20"/>
          <w:szCs w:val="20"/>
          <w:lang w:val="es-UY"/>
        </w:rPr>
        <w:tab/>
      </w:r>
      <w:r w:rsidR="004241A0" w:rsidRPr="002A3A3B">
        <w:rPr>
          <w:rFonts w:asciiTheme="majorHAnsi" w:hAnsiTheme="majorHAnsi"/>
          <w:b/>
          <w:sz w:val="20"/>
          <w:szCs w:val="20"/>
          <w:lang w:val="es-ES"/>
        </w:rPr>
        <w:t>POSICIÓN DE LAS PARTES</w:t>
      </w:r>
      <w:r w:rsidR="003239B8" w:rsidRPr="002A3A3B">
        <w:rPr>
          <w:rFonts w:asciiTheme="majorHAnsi" w:hAnsiTheme="majorHAnsi"/>
          <w:b/>
          <w:sz w:val="20"/>
          <w:szCs w:val="20"/>
          <w:lang w:val="es-ES"/>
        </w:rPr>
        <w:t xml:space="preserve"> </w:t>
      </w:r>
    </w:p>
    <w:p w14:paraId="312D8C6B" w14:textId="25B4D5BC" w:rsidR="00086129" w:rsidRPr="002A3A3B" w:rsidRDefault="00086129" w:rsidP="00A55DFC">
      <w:pPr>
        <w:spacing w:before="240" w:after="240"/>
        <w:ind w:firstLine="720"/>
        <w:jc w:val="both"/>
        <w:rPr>
          <w:rFonts w:asciiTheme="majorHAnsi" w:hAnsiTheme="majorHAnsi"/>
          <w:bCs/>
          <w:i/>
          <w:iCs/>
          <w:sz w:val="20"/>
          <w:szCs w:val="20"/>
          <w:lang w:val="es-ES"/>
        </w:rPr>
      </w:pPr>
      <w:r w:rsidRPr="002A3A3B">
        <w:rPr>
          <w:rFonts w:asciiTheme="majorHAnsi" w:hAnsiTheme="majorHAnsi"/>
          <w:bCs/>
          <w:i/>
          <w:iCs/>
          <w:sz w:val="20"/>
          <w:szCs w:val="20"/>
          <w:lang w:val="es-ES"/>
        </w:rPr>
        <w:t>Alegatos de la parte peticionaria</w:t>
      </w:r>
    </w:p>
    <w:p w14:paraId="38D4B218" w14:textId="32D5BE58" w:rsidR="00AD0EC6" w:rsidRPr="002A3A3B" w:rsidRDefault="00AD0EC6" w:rsidP="005C275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i/>
          <w:iCs/>
          <w:sz w:val="20"/>
          <w:szCs w:val="20"/>
          <w:lang w:val="es-ES"/>
        </w:rPr>
      </w:pPr>
      <w:r w:rsidRPr="002A3A3B">
        <w:rPr>
          <w:rFonts w:asciiTheme="majorHAnsi" w:hAnsiTheme="majorHAnsi"/>
          <w:sz w:val="20"/>
          <w:szCs w:val="20"/>
          <w:lang w:val="es-ES"/>
        </w:rPr>
        <w:t xml:space="preserve">El señor Quispe Lázaro, en su condición de peticionario y presunta víctima, denuncia que las autoridades judiciales le negaron su derecho a la indemnización, a pesar de que </w:t>
      </w:r>
      <w:r w:rsidR="005C2759" w:rsidRPr="002A3A3B">
        <w:rPr>
          <w:rFonts w:asciiTheme="majorHAnsi" w:hAnsiTheme="majorHAnsi"/>
          <w:sz w:val="20"/>
          <w:szCs w:val="20"/>
          <w:lang w:val="es-ES"/>
        </w:rPr>
        <w:t xml:space="preserve">estuvo doce años privado de su libertad y la jurisdicción penal lo absolvió de los crímenes </w:t>
      </w:r>
      <w:r w:rsidR="00203958" w:rsidRPr="002A3A3B">
        <w:rPr>
          <w:rFonts w:asciiTheme="majorHAnsi" w:hAnsiTheme="majorHAnsi"/>
          <w:sz w:val="20"/>
          <w:szCs w:val="20"/>
          <w:lang w:val="es-ES"/>
        </w:rPr>
        <w:t xml:space="preserve">que </w:t>
      </w:r>
      <w:r w:rsidR="00BC4387" w:rsidRPr="002A3A3B">
        <w:rPr>
          <w:rFonts w:asciiTheme="majorHAnsi" w:hAnsiTheme="majorHAnsi"/>
          <w:sz w:val="20"/>
          <w:szCs w:val="20"/>
          <w:lang w:val="es-ES"/>
        </w:rPr>
        <w:t>se atribuyeron en su contra</w:t>
      </w:r>
      <w:r w:rsidR="005C2759" w:rsidRPr="002A3A3B">
        <w:rPr>
          <w:rFonts w:asciiTheme="majorHAnsi" w:hAnsiTheme="majorHAnsi"/>
          <w:sz w:val="20"/>
          <w:szCs w:val="20"/>
          <w:lang w:val="es-ES"/>
        </w:rPr>
        <w:t>.</w:t>
      </w:r>
      <w:r w:rsidRPr="002A3A3B">
        <w:rPr>
          <w:rFonts w:asciiTheme="majorHAnsi" w:hAnsiTheme="majorHAnsi"/>
          <w:sz w:val="20"/>
          <w:szCs w:val="20"/>
          <w:lang w:val="es-ES"/>
        </w:rPr>
        <w:t xml:space="preserve"> </w:t>
      </w:r>
    </w:p>
    <w:p w14:paraId="4CF40E4F" w14:textId="0BB189D3" w:rsidR="00086129" w:rsidRPr="002A3A3B" w:rsidRDefault="00086129" w:rsidP="00086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i/>
          <w:iCs/>
          <w:sz w:val="20"/>
          <w:szCs w:val="20"/>
          <w:lang w:val="es-ES"/>
        </w:rPr>
      </w:pPr>
      <w:r w:rsidRPr="002A3A3B">
        <w:rPr>
          <w:rFonts w:asciiTheme="majorHAnsi" w:hAnsiTheme="majorHAnsi"/>
          <w:i/>
          <w:iCs/>
          <w:sz w:val="20"/>
          <w:szCs w:val="20"/>
          <w:lang w:val="es-ES"/>
        </w:rPr>
        <w:t xml:space="preserve">Detención, procesamiento penal de la presunta víctima y revisión de la condena </w:t>
      </w:r>
    </w:p>
    <w:p w14:paraId="15FE41BC" w14:textId="2A02BD45" w:rsidR="00B962B8" w:rsidRPr="002A3A3B" w:rsidRDefault="0090292F"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El peticionario a</w:t>
      </w:r>
      <w:r w:rsidR="00AD0EC6" w:rsidRPr="002A3A3B">
        <w:rPr>
          <w:rFonts w:asciiTheme="majorHAnsi" w:hAnsiTheme="majorHAnsi"/>
          <w:sz w:val="20"/>
          <w:szCs w:val="20"/>
          <w:lang w:val="es-ES"/>
        </w:rPr>
        <w:t>firma que e</w:t>
      </w:r>
      <w:r w:rsidR="00B962B8" w:rsidRPr="002A3A3B">
        <w:rPr>
          <w:rFonts w:asciiTheme="majorHAnsi" w:hAnsiTheme="majorHAnsi"/>
          <w:sz w:val="20"/>
          <w:szCs w:val="20"/>
          <w:lang w:val="es-ES"/>
        </w:rPr>
        <w:t xml:space="preserve">l 18 de noviembre de 1992 integrantes del </w:t>
      </w:r>
      <w:r w:rsidRPr="002A3A3B">
        <w:rPr>
          <w:rFonts w:asciiTheme="majorHAnsi" w:hAnsiTheme="majorHAnsi"/>
          <w:sz w:val="20"/>
          <w:szCs w:val="20"/>
          <w:lang w:val="es-ES"/>
        </w:rPr>
        <w:t>e</w:t>
      </w:r>
      <w:r w:rsidR="00B962B8" w:rsidRPr="002A3A3B">
        <w:rPr>
          <w:rFonts w:asciiTheme="majorHAnsi" w:hAnsiTheme="majorHAnsi"/>
          <w:sz w:val="20"/>
          <w:szCs w:val="20"/>
          <w:lang w:val="es-ES"/>
        </w:rPr>
        <w:t xml:space="preserve">jército peruano </w:t>
      </w:r>
      <w:r w:rsidR="00AD0EC6" w:rsidRPr="002A3A3B">
        <w:rPr>
          <w:rFonts w:asciiTheme="majorHAnsi" w:hAnsiTheme="majorHAnsi"/>
          <w:sz w:val="20"/>
          <w:szCs w:val="20"/>
          <w:lang w:val="es-ES"/>
        </w:rPr>
        <w:t xml:space="preserve">lo </w:t>
      </w:r>
      <w:r w:rsidR="00B962B8" w:rsidRPr="002A3A3B">
        <w:rPr>
          <w:rFonts w:asciiTheme="majorHAnsi" w:hAnsiTheme="majorHAnsi"/>
          <w:sz w:val="20"/>
          <w:szCs w:val="20"/>
          <w:lang w:val="es-ES"/>
        </w:rPr>
        <w:t xml:space="preserve">detuvieron y trasladaron a un cuartel donde permaneció detenido por dos meses. Posteriormente, tribunales militares “sin rostro” lo condenaron </w:t>
      </w:r>
      <w:r w:rsidR="00DE7FD8" w:rsidRPr="002A3A3B">
        <w:rPr>
          <w:rFonts w:asciiTheme="majorHAnsi" w:hAnsiTheme="majorHAnsi"/>
          <w:sz w:val="20"/>
          <w:szCs w:val="20"/>
          <w:lang w:val="es-ES"/>
        </w:rPr>
        <w:t xml:space="preserve">por el delito de traición a la patria </w:t>
      </w:r>
      <w:r w:rsidR="00B962B8" w:rsidRPr="002A3A3B">
        <w:rPr>
          <w:rFonts w:asciiTheme="majorHAnsi" w:hAnsiTheme="majorHAnsi"/>
          <w:sz w:val="20"/>
          <w:szCs w:val="20"/>
          <w:lang w:val="es-ES"/>
        </w:rPr>
        <w:t xml:space="preserve">a cadena perpetua y al pago de treinta millones de soles (aproximadamente </w:t>
      </w:r>
      <w:r w:rsidRPr="002A3A3B">
        <w:rPr>
          <w:rFonts w:asciiTheme="majorHAnsi" w:hAnsiTheme="majorHAnsi"/>
          <w:sz w:val="20"/>
          <w:szCs w:val="20"/>
          <w:lang w:val="es-ES"/>
        </w:rPr>
        <w:t xml:space="preserve">USD$. </w:t>
      </w:r>
      <w:r w:rsidR="00DE7FD8" w:rsidRPr="002A3A3B">
        <w:rPr>
          <w:rFonts w:asciiTheme="majorHAnsi" w:hAnsiTheme="majorHAnsi"/>
          <w:sz w:val="20"/>
          <w:szCs w:val="20"/>
          <w:lang w:val="es-ES"/>
        </w:rPr>
        <w:t xml:space="preserve">8,500,000) </w:t>
      </w:r>
      <w:r w:rsidRPr="002A3A3B">
        <w:rPr>
          <w:rFonts w:asciiTheme="majorHAnsi" w:hAnsiTheme="majorHAnsi"/>
          <w:sz w:val="20"/>
          <w:szCs w:val="20"/>
          <w:lang w:val="es-ES"/>
        </w:rPr>
        <w:t>en</w:t>
      </w:r>
      <w:r w:rsidR="00DE7FD8" w:rsidRPr="002A3A3B">
        <w:rPr>
          <w:rFonts w:asciiTheme="majorHAnsi" w:hAnsiTheme="majorHAnsi"/>
          <w:sz w:val="20"/>
          <w:szCs w:val="20"/>
          <w:lang w:val="es-ES"/>
        </w:rPr>
        <w:t xml:space="preserve"> concepto de reparación al Estado peruano.</w:t>
      </w:r>
      <w:r w:rsidR="00AB4C86" w:rsidRPr="002A3A3B">
        <w:rPr>
          <w:rFonts w:asciiTheme="majorHAnsi" w:hAnsiTheme="majorHAnsi"/>
          <w:sz w:val="20"/>
          <w:szCs w:val="20"/>
          <w:lang w:val="es-ES"/>
        </w:rPr>
        <w:t xml:space="preserve"> Asimismo, afirma, sin brindar mayores detalles, que durante su encierro sufrió prácticas de tortura. </w:t>
      </w:r>
    </w:p>
    <w:p w14:paraId="2CDA6786" w14:textId="6C70E0E5" w:rsidR="00283B71" w:rsidRPr="002A3A3B" w:rsidRDefault="0090292F" w:rsidP="00283B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L</w:t>
      </w:r>
      <w:r w:rsidR="00DE7FD8" w:rsidRPr="002A3A3B">
        <w:rPr>
          <w:rFonts w:asciiTheme="majorHAnsi" w:hAnsiTheme="majorHAnsi"/>
          <w:sz w:val="20"/>
          <w:szCs w:val="20"/>
          <w:lang w:val="es-ES"/>
        </w:rPr>
        <w:t xml:space="preserve">uego de </w:t>
      </w:r>
      <w:r w:rsidR="003E2DB6" w:rsidRPr="002A3A3B">
        <w:rPr>
          <w:rFonts w:asciiTheme="majorHAnsi" w:hAnsiTheme="majorHAnsi"/>
          <w:sz w:val="20"/>
          <w:szCs w:val="20"/>
          <w:lang w:val="es-ES"/>
        </w:rPr>
        <w:t>nueve</w:t>
      </w:r>
      <w:r w:rsidR="00DE7FD8" w:rsidRPr="002A3A3B">
        <w:rPr>
          <w:rFonts w:asciiTheme="majorHAnsi" w:hAnsiTheme="majorHAnsi"/>
          <w:sz w:val="20"/>
          <w:szCs w:val="20"/>
          <w:lang w:val="es-ES"/>
        </w:rPr>
        <w:t xml:space="preserve"> años y diez meses de privación de libertad, en septiembre de 2002</w:t>
      </w:r>
      <w:r w:rsidR="00725135" w:rsidRPr="002A3A3B">
        <w:rPr>
          <w:rFonts w:asciiTheme="majorHAnsi" w:hAnsiTheme="majorHAnsi"/>
          <w:sz w:val="20"/>
          <w:szCs w:val="20"/>
          <w:lang w:val="es-ES"/>
        </w:rPr>
        <w:t>,</w:t>
      </w:r>
      <w:r w:rsidRPr="002A3A3B">
        <w:rPr>
          <w:rFonts w:asciiTheme="majorHAnsi" w:hAnsiTheme="majorHAnsi"/>
          <w:sz w:val="20"/>
          <w:szCs w:val="20"/>
          <w:lang w:val="es-ES"/>
        </w:rPr>
        <w:t xml:space="preserve"> el Sr. Quispe</w:t>
      </w:r>
      <w:r w:rsidR="00DE7FD8" w:rsidRPr="002A3A3B">
        <w:rPr>
          <w:rFonts w:asciiTheme="majorHAnsi" w:hAnsiTheme="majorHAnsi"/>
          <w:sz w:val="20"/>
          <w:szCs w:val="20"/>
          <w:lang w:val="es-ES"/>
        </w:rPr>
        <w:t xml:space="preserve"> </w:t>
      </w:r>
      <w:r w:rsidR="003E2DB6" w:rsidRPr="002A3A3B">
        <w:rPr>
          <w:rFonts w:asciiTheme="majorHAnsi" w:hAnsiTheme="majorHAnsi"/>
          <w:sz w:val="20"/>
          <w:szCs w:val="20"/>
          <w:lang w:val="es-ES"/>
        </w:rPr>
        <w:t>presentó un recurso extraordinario de revisión de sentencia</w:t>
      </w:r>
      <w:r w:rsidR="006D06FE" w:rsidRPr="002A3A3B">
        <w:rPr>
          <w:rFonts w:asciiTheme="majorHAnsi" w:hAnsiTheme="majorHAnsi"/>
          <w:sz w:val="20"/>
          <w:szCs w:val="20"/>
          <w:lang w:val="es-ES"/>
        </w:rPr>
        <w:t>;</w:t>
      </w:r>
      <w:r w:rsidR="003E2DB6" w:rsidRPr="002A3A3B">
        <w:rPr>
          <w:rFonts w:asciiTheme="majorHAnsi" w:hAnsiTheme="majorHAnsi"/>
          <w:sz w:val="20"/>
          <w:szCs w:val="20"/>
          <w:lang w:val="es-ES"/>
        </w:rPr>
        <w:t xml:space="preserve"> </w:t>
      </w:r>
      <w:r w:rsidR="0090583D" w:rsidRPr="002A3A3B">
        <w:rPr>
          <w:rFonts w:asciiTheme="majorHAnsi" w:hAnsiTheme="majorHAnsi"/>
          <w:sz w:val="20"/>
          <w:szCs w:val="20"/>
          <w:lang w:val="es-ES"/>
        </w:rPr>
        <w:t>debido al</w:t>
      </w:r>
      <w:r w:rsidR="006D06FE" w:rsidRPr="002A3A3B">
        <w:rPr>
          <w:rFonts w:asciiTheme="majorHAnsi" w:hAnsiTheme="majorHAnsi"/>
          <w:sz w:val="20"/>
          <w:szCs w:val="20"/>
          <w:lang w:val="es-ES"/>
        </w:rPr>
        <w:t xml:space="preserve"> cual</w:t>
      </w:r>
      <w:r w:rsidR="003E2DB6" w:rsidRPr="002A3A3B">
        <w:rPr>
          <w:rFonts w:asciiTheme="majorHAnsi" w:hAnsiTheme="majorHAnsi"/>
          <w:sz w:val="20"/>
          <w:szCs w:val="20"/>
          <w:lang w:val="es-ES"/>
        </w:rPr>
        <w:t xml:space="preserve"> el Consejo Supremo de Justicia Militar declaró nulo </w:t>
      </w:r>
      <w:r w:rsidR="00AD0EC6" w:rsidRPr="002A3A3B">
        <w:rPr>
          <w:rFonts w:asciiTheme="majorHAnsi" w:hAnsiTheme="majorHAnsi"/>
          <w:sz w:val="20"/>
          <w:szCs w:val="20"/>
          <w:lang w:val="es-ES"/>
        </w:rPr>
        <w:t>el</w:t>
      </w:r>
      <w:r w:rsidR="003E2DB6" w:rsidRPr="002A3A3B">
        <w:rPr>
          <w:rFonts w:asciiTheme="majorHAnsi" w:hAnsiTheme="majorHAnsi"/>
          <w:sz w:val="20"/>
          <w:szCs w:val="20"/>
          <w:lang w:val="es-ES"/>
        </w:rPr>
        <w:t xml:space="preserve"> proceso y </w:t>
      </w:r>
      <w:r w:rsidR="0090583D" w:rsidRPr="002A3A3B">
        <w:rPr>
          <w:rFonts w:asciiTheme="majorHAnsi" w:hAnsiTheme="majorHAnsi"/>
          <w:sz w:val="20"/>
          <w:szCs w:val="20"/>
          <w:lang w:val="es-ES"/>
        </w:rPr>
        <w:t xml:space="preserve">la </w:t>
      </w:r>
      <w:r w:rsidR="003E2DB6" w:rsidRPr="002A3A3B">
        <w:rPr>
          <w:rFonts w:asciiTheme="majorHAnsi" w:hAnsiTheme="majorHAnsi"/>
          <w:sz w:val="20"/>
          <w:szCs w:val="20"/>
          <w:lang w:val="es-ES"/>
        </w:rPr>
        <w:t>condena</w:t>
      </w:r>
      <w:r w:rsidR="00AD0EC6" w:rsidRPr="002A3A3B">
        <w:rPr>
          <w:rFonts w:asciiTheme="majorHAnsi" w:hAnsiTheme="majorHAnsi"/>
          <w:sz w:val="20"/>
          <w:szCs w:val="20"/>
          <w:lang w:val="es-ES"/>
        </w:rPr>
        <w:t xml:space="preserve"> en su contra</w:t>
      </w:r>
      <w:r w:rsidR="003E2DB6" w:rsidRPr="002A3A3B">
        <w:rPr>
          <w:rFonts w:asciiTheme="majorHAnsi" w:hAnsiTheme="majorHAnsi"/>
          <w:sz w:val="20"/>
          <w:szCs w:val="20"/>
          <w:lang w:val="es-ES"/>
        </w:rPr>
        <w:t xml:space="preserve">. No obstante, afirma que las autoridades lo acusaron nuevamente por traición a la patria, derivándolo al fuero civil y manteniéndolo en prisión. Detalla </w:t>
      </w:r>
      <w:r w:rsidR="000500E0" w:rsidRPr="002A3A3B">
        <w:rPr>
          <w:rFonts w:asciiTheme="majorHAnsi" w:hAnsiTheme="majorHAnsi"/>
          <w:sz w:val="20"/>
          <w:szCs w:val="20"/>
          <w:lang w:val="es-ES"/>
        </w:rPr>
        <w:t>que,</w:t>
      </w:r>
      <w:r w:rsidR="003E2DB6" w:rsidRPr="002A3A3B">
        <w:rPr>
          <w:rFonts w:asciiTheme="majorHAnsi" w:hAnsiTheme="majorHAnsi"/>
          <w:sz w:val="20"/>
          <w:szCs w:val="20"/>
          <w:lang w:val="es-ES"/>
        </w:rPr>
        <w:t xml:space="preserve"> </w:t>
      </w:r>
      <w:r w:rsidR="00551951" w:rsidRPr="002A3A3B">
        <w:rPr>
          <w:rFonts w:asciiTheme="majorHAnsi" w:hAnsiTheme="majorHAnsi"/>
          <w:sz w:val="20"/>
          <w:szCs w:val="20"/>
          <w:lang w:val="es-ES"/>
        </w:rPr>
        <w:t>tras</w:t>
      </w:r>
      <w:r w:rsidR="000654D9" w:rsidRPr="002A3A3B">
        <w:rPr>
          <w:rFonts w:asciiTheme="majorHAnsi" w:hAnsiTheme="majorHAnsi"/>
          <w:sz w:val="20"/>
          <w:szCs w:val="20"/>
          <w:lang w:val="es-ES"/>
        </w:rPr>
        <w:t xml:space="preserve"> cerca de</w:t>
      </w:r>
      <w:r w:rsidR="003E2DB6" w:rsidRPr="002A3A3B">
        <w:rPr>
          <w:rFonts w:asciiTheme="majorHAnsi" w:hAnsiTheme="majorHAnsi"/>
          <w:sz w:val="20"/>
          <w:szCs w:val="20"/>
          <w:lang w:val="es-ES"/>
        </w:rPr>
        <w:t xml:space="preserve"> tres años de diligencias y audiencias, </w:t>
      </w:r>
      <w:r w:rsidR="000500E0" w:rsidRPr="002A3A3B">
        <w:rPr>
          <w:rFonts w:asciiTheme="majorHAnsi" w:hAnsiTheme="majorHAnsi"/>
          <w:sz w:val="20"/>
          <w:szCs w:val="20"/>
          <w:lang w:val="es-ES"/>
        </w:rPr>
        <w:t xml:space="preserve">el 13 de mayo de 2005 </w:t>
      </w:r>
      <w:r w:rsidR="003E2DB6" w:rsidRPr="002A3A3B">
        <w:rPr>
          <w:rFonts w:asciiTheme="majorHAnsi" w:hAnsiTheme="majorHAnsi"/>
          <w:sz w:val="20"/>
          <w:szCs w:val="20"/>
          <w:lang w:val="es-ES"/>
        </w:rPr>
        <w:t>la Sala Penal Nacional lo declaró inocente y absuelto de todos los cargos</w:t>
      </w:r>
      <w:r w:rsidR="000500E0" w:rsidRPr="002A3A3B">
        <w:rPr>
          <w:rFonts w:asciiTheme="majorHAnsi" w:hAnsiTheme="majorHAnsi"/>
          <w:sz w:val="20"/>
          <w:szCs w:val="20"/>
          <w:lang w:val="es-ES"/>
        </w:rPr>
        <w:t xml:space="preserve">, al considerar que existía una duda razonable sobre su posible responsabilidad penal. En concreto, el referido órgano argumentó lo siguiente: </w:t>
      </w:r>
    </w:p>
    <w:p w14:paraId="624AABD0" w14:textId="26E60E22" w:rsidR="00283B71" w:rsidRPr="002A3A3B" w:rsidRDefault="00A3304B" w:rsidP="00B062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b/>
          <w:sz w:val="20"/>
          <w:szCs w:val="20"/>
          <w:lang w:val="es-ES"/>
        </w:rPr>
      </w:pPr>
      <w:r w:rsidRPr="002A3A3B">
        <w:rPr>
          <w:rFonts w:ascii="Cambria" w:hAnsi="Cambria"/>
          <w:sz w:val="20"/>
          <w:szCs w:val="20"/>
          <w:lang w:val="es-ES"/>
        </w:rPr>
        <w:t>[</w:t>
      </w:r>
      <w:r w:rsidR="00283B71" w:rsidRPr="002A3A3B">
        <w:rPr>
          <w:rFonts w:ascii="Cambria" w:hAnsi="Cambria"/>
          <w:sz w:val="20"/>
          <w:szCs w:val="20"/>
          <w:lang w:val="es-ES"/>
        </w:rPr>
        <w:t>…</w:t>
      </w:r>
      <w:r w:rsidRPr="002A3A3B">
        <w:rPr>
          <w:rFonts w:ascii="Cambria" w:hAnsi="Cambria"/>
          <w:sz w:val="20"/>
          <w:szCs w:val="20"/>
          <w:lang w:val="es-ES"/>
        </w:rPr>
        <w:t>]</w:t>
      </w:r>
      <w:r w:rsidR="00283B71" w:rsidRPr="002A3A3B">
        <w:rPr>
          <w:rFonts w:ascii="Cambria" w:hAnsi="Cambria"/>
          <w:sz w:val="20"/>
          <w:szCs w:val="20"/>
          <w:lang w:val="es-ES"/>
        </w:rPr>
        <w:t xml:space="preserve"> si bien existen indicios suficientes de su vinculación con la organización subversiva Sendero Luminoso, pero como se ha indicado el acta de incautación y manifestación ante el Ejército Peruano carecen de valor probatorio; motivos por los cuales esta Sala ingresa a una duda razonable sobre su responsabilidad por lo que estando al principio constitucional del </w:t>
      </w:r>
      <w:r w:rsidR="00283B71" w:rsidRPr="002A3A3B">
        <w:rPr>
          <w:rFonts w:ascii="Cambria" w:hAnsi="Cambria"/>
          <w:i/>
          <w:iCs/>
          <w:sz w:val="20"/>
          <w:szCs w:val="20"/>
          <w:lang w:val="es-ES"/>
        </w:rPr>
        <w:t>indubio pro reo</w:t>
      </w:r>
      <w:r w:rsidR="00283B71" w:rsidRPr="002A3A3B">
        <w:rPr>
          <w:rFonts w:ascii="Cambria" w:hAnsi="Cambria"/>
          <w:sz w:val="20"/>
          <w:szCs w:val="20"/>
          <w:lang w:val="es-ES"/>
        </w:rPr>
        <w:t xml:space="preserve"> establecido en el inciso once del artículo ciento </w:t>
      </w:r>
      <w:r w:rsidR="0052400E" w:rsidRPr="002A3A3B">
        <w:rPr>
          <w:rFonts w:ascii="Cambria" w:hAnsi="Cambria"/>
          <w:sz w:val="20"/>
          <w:szCs w:val="20"/>
          <w:lang w:val="es-ES"/>
        </w:rPr>
        <w:t>treinta nueve</w:t>
      </w:r>
      <w:r w:rsidR="00283B71" w:rsidRPr="002A3A3B">
        <w:rPr>
          <w:rFonts w:ascii="Cambria" w:hAnsi="Cambria"/>
          <w:sz w:val="20"/>
          <w:szCs w:val="20"/>
          <w:lang w:val="es-ES"/>
        </w:rPr>
        <w:t xml:space="preserve"> de la Constitución Política del </w:t>
      </w:r>
      <w:r w:rsidR="00A350BF" w:rsidRPr="002A3A3B">
        <w:rPr>
          <w:rFonts w:ascii="Cambria" w:hAnsi="Cambria"/>
          <w:sz w:val="20"/>
          <w:szCs w:val="20"/>
          <w:lang w:val="es-ES"/>
        </w:rPr>
        <w:t>Perú</w:t>
      </w:r>
      <w:r w:rsidR="00283B71" w:rsidRPr="002A3A3B">
        <w:rPr>
          <w:rFonts w:ascii="Cambria" w:hAnsi="Cambria"/>
          <w:sz w:val="20"/>
          <w:szCs w:val="20"/>
          <w:lang w:val="es-ES"/>
        </w:rPr>
        <w:t xml:space="preserve">, la sala lo absuelve por duda razonable. </w:t>
      </w:r>
    </w:p>
    <w:p w14:paraId="0C9B3769" w14:textId="03459C86" w:rsidR="007A6B80" w:rsidRPr="002A3A3B" w:rsidRDefault="005C5B24" w:rsidP="007A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i/>
          <w:iCs/>
          <w:sz w:val="20"/>
          <w:szCs w:val="20"/>
          <w:lang w:val="es-ES"/>
        </w:rPr>
      </w:pPr>
      <w:r w:rsidRPr="002A3A3B">
        <w:rPr>
          <w:rFonts w:asciiTheme="majorHAnsi" w:hAnsiTheme="majorHAnsi"/>
          <w:bCs/>
          <w:sz w:val="20"/>
          <w:szCs w:val="20"/>
          <w:lang w:val="es-ES"/>
        </w:rPr>
        <w:t xml:space="preserve">Finalmente, el 21 de septiembre de 2005 la Sala Permanente de la Corte Suprema de Justicia declaró </w:t>
      </w:r>
      <w:r w:rsidR="00363295" w:rsidRPr="002A3A3B">
        <w:rPr>
          <w:rFonts w:asciiTheme="majorHAnsi" w:hAnsiTheme="majorHAnsi"/>
          <w:bCs/>
          <w:sz w:val="20"/>
          <w:szCs w:val="20"/>
          <w:lang w:val="es-ES"/>
        </w:rPr>
        <w:t xml:space="preserve">que la decisión </w:t>
      </w:r>
      <w:r w:rsidR="00E023F4" w:rsidRPr="002A3A3B">
        <w:rPr>
          <w:rFonts w:asciiTheme="majorHAnsi" w:hAnsiTheme="majorHAnsi"/>
          <w:bCs/>
          <w:sz w:val="20"/>
          <w:szCs w:val="20"/>
          <w:lang w:val="es-ES"/>
        </w:rPr>
        <w:t>de la Sala Plena Nacional no era nula</w:t>
      </w:r>
      <w:r w:rsidRPr="002A3A3B">
        <w:rPr>
          <w:rFonts w:asciiTheme="majorHAnsi" w:hAnsiTheme="majorHAnsi"/>
          <w:bCs/>
          <w:sz w:val="20"/>
          <w:szCs w:val="20"/>
          <w:lang w:val="es-ES"/>
        </w:rPr>
        <w:t xml:space="preserve">, </w:t>
      </w:r>
      <w:r w:rsidR="00E023F4" w:rsidRPr="002A3A3B">
        <w:rPr>
          <w:rFonts w:asciiTheme="majorHAnsi" w:hAnsiTheme="majorHAnsi"/>
          <w:bCs/>
          <w:sz w:val="20"/>
          <w:szCs w:val="20"/>
          <w:lang w:val="es-ES"/>
        </w:rPr>
        <w:t xml:space="preserve">por lo que confirmó </w:t>
      </w:r>
      <w:r w:rsidR="005C2759" w:rsidRPr="002A3A3B">
        <w:rPr>
          <w:rFonts w:asciiTheme="majorHAnsi" w:hAnsiTheme="majorHAnsi"/>
          <w:bCs/>
          <w:sz w:val="20"/>
          <w:szCs w:val="20"/>
          <w:lang w:val="es-ES"/>
        </w:rPr>
        <w:t>la</w:t>
      </w:r>
      <w:r w:rsidRPr="002A3A3B">
        <w:rPr>
          <w:rFonts w:asciiTheme="majorHAnsi" w:hAnsiTheme="majorHAnsi"/>
          <w:bCs/>
          <w:sz w:val="20"/>
          <w:szCs w:val="20"/>
          <w:lang w:val="es-ES"/>
        </w:rPr>
        <w:t xml:space="preserve"> absolución. </w:t>
      </w:r>
    </w:p>
    <w:p w14:paraId="678194AE" w14:textId="7DDF4C50" w:rsidR="00086129" w:rsidRPr="002A3A3B" w:rsidRDefault="00086129" w:rsidP="00086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
        </w:rPr>
      </w:pPr>
      <w:r w:rsidRPr="002A3A3B">
        <w:rPr>
          <w:rFonts w:asciiTheme="majorHAnsi" w:hAnsiTheme="majorHAnsi"/>
          <w:bCs/>
          <w:i/>
          <w:iCs/>
          <w:sz w:val="20"/>
          <w:szCs w:val="20"/>
          <w:lang w:val="es-ES"/>
        </w:rPr>
        <w:t>Proceso de indemnización por daños y perjuicios</w:t>
      </w:r>
    </w:p>
    <w:p w14:paraId="5350B735" w14:textId="1E308230" w:rsidR="00371887" w:rsidRPr="002A3A3B" w:rsidRDefault="00DE7FD8" w:rsidP="007A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i/>
          <w:iCs/>
          <w:sz w:val="20"/>
          <w:szCs w:val="20"/>
          <w:lang w:val="es-ES"/>
        </w:rPr>
      </w:pPr>
      <w:r w:rsidRPr="002A3A3B">
        <w:rPr>
          <w:rFonts w:asciiTheme="majorHAnsi" w:hAnsiTheme="majorHAnsi"/>
          <w:sz w:val="20"/>
          <w:szCs w:val="20"/>
          <w:lang w:val="es-ES"/>
        </w:rPr>
        <w:t xml:space="preserve">Tras recuperar su libertad, </w:t>
      </w:r>
      <w:r w:rsidR="00F6599F" w:rsidRPr="002A3A3B">
        <w:rPr>
          <w:rFonts w:asciiTheme="majorHAnsi" w:hAnsiTheme="majorHAnsi"/>
          <w:sz w:val="20"/>
          <w:szCs w:val="20"/>
          <w:lang w:val="es-ES"/>
        </w:rPr>
        <w:t xml:space="preserve">el peticionario </w:t>
      </w:r>
      <w:r w:rsidRPr="002A3A3B">
        <w:rPr>
          <w:rFonts w:asciiTheme="majorHAnsi" w:hAnsiTheme="majorHAnsi"/>
          <w:sz w:val="20"/>
          <w:szCs w:val="20"/>
          <w:lang w:val="es-ES"/>
        </w:rPr>
        <w:t>indica que presentó una demanda contra el Estado por los daños y perjuicios que sufrió</w:t>
      </w:r>
      <w:r w:rsidR="00F6599F" w:rsidRPr="002A3A3B">
        <w:rPr>
          <w:rFonts w:asciiTheme="majorHAnsi" w:hAnsiTheme="majorHAnsi"/>
          <w:sz w:val="20"/>
          <w:szCs w:val="20"/>
          <w:lang w:val="es-ES"/>
        </w:rPr>
        <w:t>;</w:t>
      </w:r>
      <w:r w:rsidRPr="002A3A3B">
        <w:rPr>
          <w:rFonts w:asciiTheme="majorHAnsi" w:hAnsiTheme="majorHAnsi"/>
          <w:sz w:val="20"/>
          <w:szCs w:val="20"/>
          <w:lang w:val="es-ES"/>
        </w:rPr>
        <w:t xml:space="preserve"> y</w:t>
      </w:r>
      <w:r w:rsidR="00E023F4" w:rsidRPr="002A3A3B">
        <w:rPr>
          <w:rFonts w:asciiTheme="majorHAnsi" w:hAnsiTheme="majorHAnsi"/>
          <w:sz w:val="20"/>
          <w:szCs w:val="20"/>
          <w:lang w:val="es-ES"/>
        </w:rPr>
        <w:t>,</w:t>
      </w:r>
      <w:r w:rsidRPr="002A3A3B">
        <w:rPr>
          <w:rFonts w:asciiTheme="majorHAnsi" w:hAnsiTheme="majorHAnsi"/>
          <w:sz w:val="20"/>
          <w:szCs w:val="20"/>
          <w:lang w:val="es-ES"/>
        </w:rPr>
        <w:t xml:space="preserve"> producto de ello, el 6 de marzo de 2012</w:t>
      </w:r>
      <w:r w:rsidR="00A350BF" w:rsidRPr="002A3A3B">
        <w:rPr>
          <w:rFonts w:asciiTheme="majorHAnsi" w:hAnsiTheme="majorHAnsi"/>
          <w:sz w:val="20"/>
          <w:szCs w:val="20"/>
          <w:lang w:val="es-ES"/>
        </w:rPr>
        <w:t>,</w:t>
      </w:r>
      <w:r w:rsidRPr="002A3A3B">
        <w:rPr>
          <w:rFonts w:asciiTheme="majorHAnsi" w:hAnsiTheme="majorHAnsi"/>
          <w:sz w:val="20"/>
          <w:szCs w:val="20"/>
          <w:lang w:val="es-ES"/>
        </w:rPr>
        <w:t xml:space="preserve"> el 28° Juzgado Especializado en lo Civil de Lima</w:t>
      </w:r>
      <w:r w:rsidR="003F56B8" w:rsidRPr="002A3A3B">
        <w:rPr>
          <w:rFonts w:asciiTheme="majorHAnsi" w:hAnsiTheme="majorHAnsi"/>
          <w:sz w:val="20"/>
          <w:szCs w:val="20"/>
          <w:lang w:val="es-ES"/>
        </w:rPr>
        <w:t xml:space="preserve">, mediante Resolución Nº 60, </w:t>
      </w:r>
      <w:r w:rsidRPr="002A3A3B">
        <w:rPr>
          <w:rFonts w:asciiTheme="majorHAnsi" w:hAnsiTheme="majorHAnsi"/>
          <w:sz w:val="20"/>
          <w:szCs w:val="20"/>
          <w:lang w:val="es-ES"/>
        </w:rPr>
        <w:t>declaró fundada la acción</w:t>
      </w:r>
      <w:r w:rsidR="003F56B8" w:rsidRPr="002A3A3B">
        <w:rPr>
          <w:rFonts w:asciiTheme="majorHAnsi" w:hAnsiTheme="majorHAnsi"/>
          <w:sz w:val="20"/>
          <w:szCs w:val="20"/>
          <w:lang w:val="es-ES"/>
        </w:rPr>
        <w:t xml:space="preserve"> y ordenó el pago de 104,916 </w:t>
      </w:r>
      <w:r w:rsidR="00F6599F" w:rsidRPr="002A3A3B">
        <w:rPr>
          <w:rFonts w:asciiTheme="majorHAnsi" w:hAnsiTheme="majorHAnsi"/>
          <w:sz w:val="20"/>
          <w:szCs w:val="20"/>
          <w:lang w:val="es-ES"/>
        </w:rPr>
        <w:t>N</w:t>
      </w:r>
      <w:r w:rsidR="005C2759" w:rsidRPr="002A3A3B">
        <w:rPr>
          <w:rFonts w:asciiTheme="majorHAnsi" w:hAnsiTheme="majorHAnsi"/>
          <w:sz w:val="20"/>
          <w:szCs w:val="20"/>
          <w:lang w:val="es-ES"/>
        </w:rPr>
        <w:t xml:space="preserve">uevos </w:t>
      </w:r>
      <w:r w:rsidR="00F6599F" w:rsidRPr="002A3A3B">
        <w:rPr>
          <w:rFonts w:asciiTheme="majorHAnsi" w:hAnsiTheme="majorHAnsi"/>
          <w:sz w:val="20"/>
          <w:szCs w:val="20"/>
          <w:lang w:val="es-ES"/>
        </w:rPr>
        <w:t>S</w:t>
      </w:r>
      <w:r w:rsidR="005C2759" w:rsidRPr="002A3A3B">
        <w:rPr>
          <w:rFonts w:asciiTheme="majorHAnsi" w:hAnsiTheme="majorHAnsi"/>
          <w:sz w:val="20"/>
          <w:szCs w:val="20"/>
          <w:lang w:val="es-ES"/>
        </w:rPr>
        <w:t xml:space="preserve">oles </w:t>
      </w:r>
      <w:r w:rsidR="003F56B8" w:rsidRPr="002A3A3B">
        <w:rPr>
          <w:rFonts w:asciiTheme="majorHAnsi" w:hAnsiTheme="majorHAnsi"/>
          <w:sz w:val="20"/>
          <w:szCs w:val="20"/>
          <w:lang w:val="es-ES"/>
        </w:rPr>
        <w:t>(aproximadamente</w:t>
      </w:r>
      <w:r w:rsidR="00F6599F" w:rsidRPr="002A3A3B">
        <w:rPr>
          <w:rFonts w:asciiTheme="majorHAnsi" w:hAnsiTheme="majorHAnsi"/>
          <w:sz w:val="20"/>
          <w:szCs w:val="20"/>
          <w:lang w:val="es-ES"/>
        </w:rPr>
        <w:t xml:space="preserve"> USD$.</w:t>
      </w:r>
      <w:r w:rsidR="003F56B8" w:rsidRPr="002A3A3B">
        <w:rPr>
          <w:rFonts w:asciiTheme="majorHAnsi" w:hAnsiTheme="majorHAnsi"/>
          <w:sz w:val="20"/>
          <w:szCs w:val="20"/>
          <w:lang w:val="es-ES"/>
        </w:rPr>
        <w:t xml:space="preserve"> 30,000) por conceptos de daño moral y lucro cesante. Detalla que la Procuraduría Pública del Ministerio de Justicia apeló esta decisión</w:t>
      </w:r>
      <w:r w:rsidR="00F6599F" w:rsidRPr="002A3A3B">
        <w:rPr>
          <w:rFonts w:asciiTheme="majorHAnsi" w:hAnsiTheme="majorHAnsi"/>
          <w:sz w:val="20"/>
          <w:szCs w:val="20"/>
          <w:lang w:val="es-ES"/>
        </w:rPr>
        <w:t>,</w:t>
      </w:r>
      <w:r w:rsidR="003F56B8" w:rsidRPr="002A3A3B">
        <w:rPr>
          <w:rFonts w:asciiTheme="majorHAnsi" w:hAnsiTheme="majorHAnsi"/>
          <w:sz w:val="20"/>
          <w:szCs w:val="20"/>
          <w:lang w:val="es-ES"/>
        </w:rPr>
        <w:t xml:space="preserve"> y el 10 de enero de 2013 la Séptima Sala Civil de Lima, mediante Resolución Nº 10, </w:t>
      </w:r>
      <w:r w:rsidR="00F6599F" w:rsidRPr="002A3A3B">
        <w:rPr>
          <w:rFonts w:asciiTheme="majorHAnsi" w:hAnsiTheme="majorHAnsi"/>
          <w:sz w:val="20"/>
          <w:szCs w:val="20"/>
          <w:lang w:val="es-ES"/>
        </w:rPr>
        <w:t xml:space="preserve">la </w:t>
      </w:r>
      <w:r w:rsidR="003F56B8" w:rsidRPr="002A3A3B">
        <w:rPr>
          <w:rFonts w:asciiTheme="majorHAnsi" w:hAnsiTheme="majorHAnsi"/>
          <w:sz w:val="20"/>
          <w:szCs w:val="20"/>
          <w:lang w:val="es-ES"/>
        </w:rPr>
        <w:t>revocó y declaró infundada la demanda</w:t>
      </w:r>
      <w:r w:rsidR="00371887" w:rsidRPr="002A3A3B">
        <w:rPr>
          <w:rFonts w:asciiTheme="majorHAnsi" w:hAnsiTheme="majorHAnsi"/>
          <w:sz w:val="20"/>
          <w:szCs w:val="20"/>
          <w:lang w:val="es-ES"/>
        </w:rPr>
        <w:t>, argumentando lo siguiente:</w:t>
      </w:r>
    </w:p>
    <w:p w14:paraId="2A4AA5C3" w14:textId="5B20F201" w:rsidR="00371887" w:rsidRPr="002A3A3B" w:rsidRDefault="0090583D" w:rsidP="009058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b/>
          <w:sz w:val="20"/>
          <w:szCs w:val="20"/>
          <w:lang w:val="es-ES"/>
        </w:rPr>
      </w:pPr>
      <w:r w:rsidRPr="002A3A3B">
        <w:rPr>
          <w:rFonts w:asciiTheme="majorHAnsi" w:hAnsiTheme="majorHAnsi"/>
          <w:sz w:val="20"/>
          <w:szCs w:val="20"/>
          <w:lang w:val="es-ES"/>
        </w:rPr>
        <w:t>[</w:t>
      </w:r>
      <w:r w:rsidR="00371887" w:rsidRPr="002A3A3B">
        <w:rPr>
          <w:rFonts w:asciiTheme="majorHAnsi" w:hAnsiTheme="majorHAnsi"/>
          <w:sz w:val="20"/>
          <w:szCs w:val="20"/>
          <w:lang w:val="es-ES"/>
        </w:rPr>
        <w:t>…</w:t>
      </w:r>
      <w:r w:rsidRPr="002A3A3B">
        <w:rPr>
          <w:rFonts w:asciiTheme="majorHAnsi" w:hAnsiTheme="majorHAnsi"/>
          <w:sz w:val="20"/>
          <w:szCs w:val="20"/>
          <w:lang w:val="es-ES"/>
        </w:rPr>
        <w:t>]</w:t>
      </w:r>
      <w:r w:rsidR="00371887" w:rsidRPr="002A3A3B">
        <w:rPr>
          <w:rFonts w:asciiTheme="majorHAnsi" w:hAnsiTheme="majorHAnsi"/>
          <w:sz w:val="20"/>
          <w:szCs w:val="20"/>
          <w:lang w:val="es-ES"/>
        </w:rPr>
        <w:t xml:space="preserve"> si bien el actor estuvo detenido por varios años, lo que evidentemente le ha generado daños; sin embargo, ese daño es uno permitido, desde que su detención no fue irrazonable, sino que </w:t>
      </w:r>
      <w:r w:rsidRPr="002A3A3B">
        <w:rPr>
          <w:rFonts w:asciiTheme="majorHAnsi" w:hAnsiTheme="majorHAnsi"/>
          <w:sz w:val="20"/>
          <w:szCs w:val="20"/>
          <w:lang w:val="es-ES"/>
        </w:rPr>
        <w:t>[</w:t>
      </w:r>
      <w:r w:rsidR="00371887" w:rsidRPr="002A3A3B">
        <w:rPr>
          <w:rFonts w:asciiTheme="majorHAnsi" w:hAnsiTheme="majorHAnsi"/>
          <w:sz w:val="20"/>
          <w:szCs w:val="20"/>
          <w:lang w:val="es-ES"/>
        </w:rPr>
        <w:t>…</w:t>
      </w:r>
      <w:r w:rsidRPr="002A3A3B">
        <w:rPr>
          <w:rFonts w:asciiTheme="majorHAnsi" w:hAnsiTheme="majorHAnsi"/>
          <w:sz w:val="20"/>
          <w:szCs w:val="20"/>
          <w:lang w:val="es-ES"/>
        </w:rPr>
        <w:t>]</w:t>
      </w:r>
      <w:r w:rsidR="00371887" w:rsidRPr="002A3A3B">
        <w:rPr>
          <w:rFonts w:asciiTheme="majorHAnsi" w:hAnsiTheme="majorHAnsi"/>
          <w:sz w:val="20"/>
          <w:szCs w:val="20"/>
          <w:lang w:val="es-ES"/>
        </w:rPr>
        <w:t xml:space="preserve"> se debió a que fue encontrado con bombas, lo que determinó que la justicia militar actúe en ejercicio regular de sus funciones </w:t>
      </w:r>
      <w:r w:rsidR="002D0F48" w:rsidRPr="002A3A3B">
        <w:rPr>
          <w:rFonts w:asciiTheme="majorHAnsi" w:hAnsiTheme="majorHAnsi"/>
          <w:sz w:val="20"/>
          <w:szCs w:val="20"/>
          <w:lang w:val="es-ES"/>
        </w:rPr>
        <w:t>[</w:t>
      </w:r>
      <w:r w:rsidR="00371887" w:rsidRPr="002A3A3B">
        <w:rPr>
          <w:rFonts w:asciiTheme="majorHAnsi" w:hAnsiTheme="majorHAnsi"/>
          <w:sz w:val="20"/>
          <w:szCs w:val="20"/>
          <w:lang w:val="es-ES"/>
        </w:rPr>
        <w:t>…</w:t>
      </w:r>
      <w:r w:rsidR="002D0F48" w:rsidRPr="002A3A3B">
        <w:rPr>
          <w:rFonts w:asciiTheme="majorHAnsi" w:hAnsiTheme="majorHAnsi"/>
          <w:sz w:val="20"/>
          <w:szCs w:val="20"/>
          <w:lang w:val="es-ES"/>
        </w:rPr>
        <w:t>]</w:t>
      </w:r>
      <w:r w:rsidR="00371887" w:rsidRPr="002A3A3B">
        <w:rPr>
          <w:rFonts w:asciiTheme="majorHAnsi" w:hAnsiTheme="majorHAnsi"/>
          <w:sz w:val="20"/>
          <w:szCs w:val="20"/>
          <w:lang w:val="es-ES"/>
        </w:rPr>
        <w:t xml:space="preserve"> pues el proceso penal militar al que fue sometido el actor se encontraba debidamente justificado, y si bien posteriormente se le absuelve de los cargos imputados, también lo es que ello no fue precisamente por haber llegado a determinar su inocencia, sino la aplicación de un principio </w:t>
      </w:r>
      <w:r w:rsidR="00371887" w:rsidRPr="002A3A3B">
        <w:rPr>
          <w:rFonts w:asciiTheme="majorHAnsi" w:hAnsiTheme="majorHAnsi"/>
          <w:i/>
          <w:iCs/>
          <w:sz w:val="20"/>
          <w:szCs w:val="20"/>
          <w:lang w:val="es-ES"/>
        </w:rPr>
        <w:t>in dubio pro reo</w:t>
      </w:r>
      <w:r w:rsidR="00371887" w:rsidRPr="002A3A3B">
        <w:rPr>
          <w:rFonts w:asciiTheme="majorHAnsi" w:hAnsiTheme="majorHAnsi"/>
          <w:sz w:val="20"/>
          <w:szCs w:val="20"/>
          <w:lang w:val="es-ES"/>
        </w:rPr>
        <w:t xml:space="preserve">, pero luego de la actuación de diversas diligencias posteriores al mandato de detención. </w:t>
      </w:r>
    </w:p>
    <w:p w14:paraId="3F585C53" w14:textId="77777777" w:rsidR="00086129" w:rsidRPr="002A3A3B" w:rsidRDefault="00467873" w:rsidP="002F583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Frente a esta decisión, el señor Quispe Lázaro presentó un recurso de casación, pero el 23 de septiembre de 2013 la Sala Civil Permanente de la Corte Suprema de Justicia declaró improcedente</w:t>
      </w:r>
      <w:r w:rsidR="005C2759" w:rsidRPr="002A3A3B">
        <w:rPr>
          <w:rFonts w:asciiTheme="majorHAnsi" w:hAnsiTheme="majorHAnsi"/>
          <w:sz w:val="20"/>
          <w:szCs w:val="20"/>
          <w:lang w:val="es-ES"/>
        </w:rPr>
        <w:t xml:space="preserve"> esta acción</w:t>
      </w:r>
      <w:r w:rsidRPr="002A3A3B">
        <w:rPr>
          <w:rFonts w:asciiTheme="majorHAnsi" w:hAnsiTheme="majorHAnsi"/>
          <w:sz w:val="20"/>
          <w:szCs w:val="20"/>
          <w:lang w:val="es-ES"/>
        </w:rPr>
        <w:t xml:space="preserve">, </w:t>
      </w:r>
      <w:r w:rsidRPr="002A3A3B">
        <w:rPr>
          <w:rFonts w:asciiTheme="majorHAnsi" w:hAnsiTheme="majorHAnsi"/>
          <w:sz w:val="20"/>
          <w:szCs w:val="20"/>
          <w:lang w:val="es-ES"/>
        </w:rPr>
        <w:lastRenderedPageBreak/>
        <w:t xml:space="preserve">al considerar que </w:t>
      </w:r>
      <w:r w:rsidR="002F5836" w:rsidRPr="002A3A3B">
        <w:rPr>
          <w:rFonts w:asciiTheme="majorHAnsi" w:hAnsiTheme="majorHAnsi"/>
          <w:sz w:val="20"/>
          <w:szCs w:val="20"/>
          <w:lang w:val="es-ES"/>
        </w:rPr>
        <w:t xml:space="preserve">el demandante únicamente pretendía una nueva valoración probatoria, dado que </w:t>
      </w:r>
      <w:r w:rsidR="005C2759" w:rsidRPr="002A3A3B">
        <w:rPr>
          <w:rFonts w:asciiTheme="majorHAnsi" w:hAnsiTheme="majorHAnsi"/>
          <w:sz w:val="20"/>
          <w:szCs w:val="20"/>
          <w:lang w:val="es-ES"/>
        </w:rPr>
        <w:t xml:space="preserve">en su </w:t>
      </w:r>
      <w:r w:rsidR="002F5836" w:rsidRPr="002A3A3B">
        <w:rPr>
          <w:rFonts w:asciiTheme="majorHAnsi" w:hAnsiTheme="majorHAnsi"/>
          <w:sz w:val="20"/>
          <w:szCs w:val="20"/>
          <w:lang w:val="es-ES"/>
        </w:rPr>
        <w:t>escrito</w:t>
      </w:r>
      <w:r w:rsidR="00EB0828" w:rsidRPr="002A3A3B">
        <w:rPr>
          <w:rFonts w:asciiTheme="majorHAnsi" w:hAnsiTheme="majorHAnsi"/>
          <w:sz w:val="20"/>
          <w:szCs w:val="20"/>
          <w:lang w:val="es-ES"/>
        </w:rPr>
        <w:t xml:space="preserve"> no describía de forma clara y precisa la infracción normativa denunciada, ni demostraba la incidencia directa que tenía dicho presunto error sobre la decisión impugnada</w:t>
      </w:r>
      <w:r w:rsidR="002F5836" w:rsidRPr="002A3A3B">
        <w:rPr>
          <w:rFonts w:asciiTheme="majorHAnsi" w:hAnsiTheme="majorHAnsi"/>
          <w:sz w:val="20"/>
          <w:szCs w:val="20"/>
          <w:lang w:val="es-ES"/>
        </w:rPr>
        <w:t>.</w:t>
      </w:r>
      <w:r w:rsidR="004B3A19" w:rsidRPr="002A3A3B">
        <w:rPr>
          <w:rFonts w:asciiTheme="majorHAnsi" w:hAnsiTheme="majorHAnsi"/>
          <w:sz w:val="20"/>
          <w:szCs w:val="20"/>
          <w:lang w:val="es-ES"/>
        </w:rPr>
        <w:t xml:space="preserve"> </w:t>
      </w:r>
      <w:r w:rsidR="00515C20" w:rsidRPr="002A3A3B">
        <w:rPr>
          <w:rFonts w:asciiTheme="majorHAnsi" w:hAnsiTheme="majorHAnsi"/>
          <w:sz w:val="20"/>
          <w:szCs w:val="20"/>
          <w:lang w:val="es-ES"/>
        </w:rPr>
        <w:t xml:space="preserve">El peticionario informa </w:t>
      </w:r>
      <w:r w:rsidR="004B3A19" w:rsidRPr="002A3A3B">
        <w:rPr>
          <w:rFonts w:asciiTheme="majorHAnsi" w:hAnsiTheme="majorHAnsi"/>
          <w:sz w:val="20"/>
          <w:szCs w:val="20"/>
          <w:lang w:val="es-ES"/>
        </w:rPr>
        <w:t xml:space="preserve">que las autoridades notificaron esta decisión el </w:t>
      </w:r>
      <w:r w:rsidR="00447605" w:rsidRPr="002A3A3B">
        <w:rPr>
          <w:rFonts w:asciiTheme="majorHAnsi" w:hAnsiTheme="majorHAnsi"/>
          <w:sz w:val="20"/>
          <w:szCs w:val="20"/>
          <w:lang w:val="es-ES"/>
        </w:rPr>
        <w:t>3</w:t>
      </w:r>
      <w:r w:rsidR="004B3A19" w:rsidRPr="002A3A3B">
        <w:rPr>
          <w:rFonts w:asciiTheme="majorHAnsi" w:hAnsiTheme="majorHAnsi"/>
          <w:sz w:val="20"/>
          <w:szCs w:val="20"/>
          <w:lang w:val="es-ES"/>
        </w:rPr>
        <w:t xml:space="preserve"> de </w:t>
      </w:r>
      <w:r w:rsidR="00447605" w:rsidRPr="002A3A3B">
        <w:rPr>
          <w:rFonts w:asciiTheme="majorHAnsi" w:hAnsiTheme="majorHAnsi"/>
          <w:sz w:val="20"/>
          <w:szCs w:val="20"/>
          <w:lang w:val="es-ES"/>
        </w:rPr>
        <w:t>diciembre</w:t>
      </w:r>
      <w:r w:rsidR="004B3A19" w:rsidRPr="002A3A3B">
        <w:rPr>
          <w:rFonts w:asciiTheme="majorHAnsi" w:hAnsiTheme="majorHAnsi"/>
          <w:sz w:val="20"/>
          <w:szCs w:val="20"/>
          <w:lang w:val="es-ES"/>
        </w:rPr>
        <w:t xml:space="preserve"> de 2013.</w:t>
      </w:r>
    </w:p>
    <w:p w14:paraId="4F129233" w14:textId="127BCF8B" w:rsidR="00B962B8" w:rsidRPr="002A3A3B" w:rsidRDefault="00086129" w:rsidP="00086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i/>
          <w:iCs/>
          <w:sz w:val="20"/>
          <w:szCs w:val="20"/>
          <w:lang w:val="es-ES"/>
        </w:rPr>
      </w:pPr>
      <w:r w:rsidRPr="002A3A3B">
        <w:rPr>
          <w:rFonts w:asciiTheme="majorHAnsi" w:hAnsiTheme="majorHAnsi"/>
          <w:i/>
          <w:iCs/>
          <w:sz w:val="20"/>
          <w:szCs w:val="20"/>
          <w:lang w:val="es-ES"/>
        </w:rPr>
        <w:t>Consideraciones finales</w:t>
      </w:r>
      <w:r w:rsidR="004B3A19" w:rsidRPr="002A3A3B">
        <w:rPr>
          <w:rFonts w:asciiTheme="majorHAnsi" w:hAnsiTheme="majorHAnsi"/>
          <w:i/>
          <w:iCs/>
          <w:sz w:val="20"/>
          <w:szCs w:val="20"/>
          <w:lang w:val="es-ES"/>
        </w:rPr>
        <w:t xml:space="preserve"> </w:t>
      </w:r>
    </w:p>
    <w:p w14:paraId="7C5BBC8F" w14:textId="3B24D524" w:rsidR="00AD0EC6" w:rsidRPr="002A3A3B" w:rsidRDefault="005C2759" w:rsidP="00AD0EC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2A3A3B">
        <w:rPr>
          <w:rFonts w:asciiTheme="majorHAnsi" w:hAnsiTheme="majorHAnsi"/>
          <w:bCs/>
          <w:sz w:val="20"/>
          <w:szCs w:val="20"/>
          <w:lang w:val="es-ES"/>
        </w:rPr>
        <w:t xml:space="preserve">En virtud de las citadas consideraciones, </w:t>
      </w:r>
      <w:r w:rsidR="00F6599F" w:rsidRPr="002A3A3B">
        <w:rPr>
          <w:rFonts w:asciiTheme="majorHAnsi" w:hAnsiTheme="majorHAnsi"/>
          <w:bCs/>
          <w:sz w:val="20"/>
          <w:szCs w:val="20"/>
          <w:lang w:val="es-ES"/>
        </w:rPr>
        <w:t xml:space="preserve">el peticionario </w:t>
      </w:r>
      <w:r w:rsidRPr="002A3A3B">
        <w:rPr>
          <w:rFonts w:asciiTheme="majorHAnsi" w:hAnsiTheme="majorHAnsi"/>
          <w:bCs/>
          <w:sz w:val="20"/>
          <w:szCs w:val="20"/>
          <w:lang w:val="es-ES"/>
        </w:rPr>
        <w:t xml:space="preserve">denuncia que el Estado violó su derecho a la indemnización por error judicial. Indica que, a pesar </w:t>
      </w:r>
      <w:r w:rsidR="00942887" w:rsidRPr="002A3A3B">
        <w:rPr>
          <w:rFonts w:asciiTheme="majorHAnsi" w:hAnsiTheme="majorHAnsi"/>
          <w:bCs/>
          <w:sz w:val="20"/>
          <w:szCs w:val="20"/>
          <w:lang w:val="es-ES"/>
        </w:rPr>
        <w:t xml:space="preserve">de </w:t>
      </w:r>
      <w:r w:rsidRPr="002A3A3B">
        <w:rPr>
          <w:rFonts w:asciiTheme="majorHAnsi" w:hAnsiTheme="majorHAnsi"/>
          <w:bCs/>
          <w:sz w:val="20"/>
          <w:szCs w:val="20"/>
          <w:lang w:val="es-ES"/>
        </w:rPr>
        <w:t xml:space="preserve">que se determinó su inocencia, los tribunales civiles fungieron indebidamente como órganos de índole penal </w:t>
      </w:r>
      <w:r w:rsidR="00942887" w:rsidRPr="002A3A3B">
        <w:rPr>
          <w:rFonts w:asciiTheme="majorHAnsi" w:hAnsiTheme="majorHAnsi"/>
          <w:bCs/>
          <w:sz w:val="20"/>
          <w:szCs w:val="20"/>
          <w:lang w:val="es-ES"/>
        </w:rPr>
        <w:t xml:space="preserve">y le responsabilizaron por crímenes que no ha cometido. </w:t>
      </w:r>
      <w:r w:rsidR="00B4110E" w:rsidRPr="002A3A3B">
        <w:rPr>
          <w:rFonts w:asciiTheme="majorHAnsi" w:hAnsiTheme="majorHAnsi"/>
          <w:bCs/>
          <w:sz w:val="20"/>
          <w:szCs w:val="20"/>
          <w:lang w:val="es-ES"/>
        </w:rPr>
        <w:t xml:space="preserve">A juicio del señor Quispe Lázaro, esto constituyó una aplicación diferenciada de la normativa en su contra, motivada en su condición de procesado por el delito de terrorismo. </w:t>
      </w:r>
    </w:p>
    <w:p w14:paraId="35934170" w14:textId="4CAB8FF7" w:rsidR="00AD0EC6" w:rsidRPr="002A3A3B" w:rsidRDefault="00AD0EC6" w:rsidP="00AD0EC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2A3A3B">
        <w:rPr>
          <w:rFonts w:asciiTheme="majorHAnsi" w:hAnsiTheme="majorHAnsi"/>
          <w:bCs/>
          <w:sz w:val="20"/>
          <w:szCs w:val="20"/>
          <w:lang w:val="es-ES"/>
        </w:rPr>
        <w:t xml:space="preserve">Finalmente, afirma que las autoridades le niegan documentos fundamentales, tales como antecedentes judiciales y penales, lo que no le permite </w:t>
      </w:r>
      <w:r w:rsidR="00E051A0" w:rsidRPr="002A3A3B">
        <w:rPr>
          <w:rFonts w:asciiTheme="majorHAnsi" w:hAnsiTheme="majorHAnsi"/>
          <w:bCs/>
          <w:sz w:val="20"/>
          <w:szCs w:val="20"/>
          <w:lang w:val="es-ES"/>
        </w:rPr>
        <w:t xml:space="preserve">hacer </w:t>
      </w:r>
      <w:r w:rsidRPr="002A3A3B">
        <w:rPr>
          <w:rFonts w:asciiTheme="majorHAnsi" w:hAnsiTheme="majorHAnsi"/>
          <w:bCs/>
          <w:sz w:val="20"/>
          <w:szCs w:val="20"/>
          <w:lang w:val="es-ES"/>
        </w:rPr>
        <w:t xml:space="preserve">trámites de trabajo, estudio, viaje y negocios, </w:t>
      </w:r>
      <w:r w:rsidR="00025C9D" w:rsidRPr="002A3A3B">
        <w:rPr>
          <w:rFonts w:asciiTheme="majorHAnsi" w:hAnsiTheme="majorHAnsi"/>
          <w:bCs/>
          <w:sz w:val="20"/>
          <w:szCs w:val="20"/>
          <w:lang w:val="es-ES"/>
        </w:rPr>
        <w:t>y le imp</w:t>
      </w:r>
      <w:r w:rsidR="00DC7D46" w:rsidRPr="002A3A3B">
        <w:rPr>
          <w:rFonts w:asciiTheme="majorHAnsi" w:hAnsiTheme="majorHAnsi"/>
          <w:bCs/>
          <w:sz w:val="20"/>
          <w:szCs w:val="20"/>
          <w:lang w:val="es-ES"/>
        </w:rPr>
        <w:t>osibilita</w:t>
      </w:r>
      <w:r w:rsidRPr="002A3A3B">
        <w:rPr>
          <w:rFonts w:asciiTheme="majorHAnsi" w:hAnsiTheme="majorHAnsi"/>
          <w:bCs/>
          <w:sz w:val="20"/>
          <w:szCs w:val="20"/>
          <w:lang w:val="es-ES"/>
        </w:rPr>
        <w:t xml:space="preserve"> tener una vida digna. Afirma que, particularmente en el campo laboral, se le impide ejercer libremente su profesión de conductor de transporte público, debido a que no se le entregan los documentos que necesita</w:t>
      </w:r>
      <w:r w:rsidR="00F6599F" w:rsidRPr="002A3A3B">
        <w:rPr>
          <w:rFonts w:asciiTheme="majorHAnsi" w:hAnsiTheme="majorHAnsi"/>
          <w:bCs/>
          <w:sz w:val="20"/>
          <w:szCs w:val="20"/>
          <w:lang w:val="es-ES"/>
        </w:rPr>
        <w:t>.</w:t>
      </w:r>
    </w:p>
    <w:p w14:paraId="6CBED7D6" w14:textId="61712922" w:rsidR="00086129" w:rsidRPr="002A3A3B" w:rsidRDefault="00086129" w:rsidP="00086129">
      <w:pPr>
        <w:pStyle w:val="ListParagraph"/>
        <w:spacing w:before="240" w:after="240"/>
        <w:jc w:val="both"/>
        <w:rPr>
          <w:rFonts w:asciiTheme="majorHAnsi" w:hAnsiTheme="majorHAnsi"/>
          <w:bCs/>
          <w:i/>
          <w:iCs/>
          <w:sz w:val="20"/>
          <w:szCs w:val="20"/>
          <w:lang w:val="es-ES"/>
        </w:rPr>
      </w:pPr>
      <w:r w:rsidRPr="002A3A3B">
        <w:rPr>
          <w:rFonts w:asciiTheme="majorHAnsi" w:hAnsiTheme="majorHAnsi"/>
          <w:bCs/>
          <w:i/>
          <w:iCs/>
          <w:sz w:val="20"/>
          <w:szCs w:val="20"/>
          <w:lang w:val="es-ES"/>
        </w:rPr>
        <w:t>Alegatos del Estado</w:t>
      </w:r>
    </w:p>
    <w:p w14:paraId="6BAA57D6" w14:textId="209263AC" w:rsidR="00617421" w:rsidRPr="002A3A3B" w:rsidRDefault="0051217C"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bCs/>
          <w:sz w:val="20"/>
          <w:szCs w:val="20"/>
          <w:lang w:val="es-ES"/>
        </w:rPr>
        <w:t xml:space="preserve">Por su parte, </w:t>
      </w:r>
      <w:r w:rsidRPr="002A3A3B">
        <w:rPr>
          <w:rFonts w:asciiTheme="majorHAnsi" w:hAnsiTheme="majorHAnsi"/>
          <w:sz w:val="20"/>
          <w:szCs w:val="20"/>
          <w:lang w:val="es-ES"/>
        </w:rPr>
        <w:t>e</w:t>
      </w:r>
      <w:r w:rsidR="00617421" w:rsidRPr="002A3A3B">
        <w:rPr>
          <w:rFonts w:asciiTheme="majorHAnsi" w:hAnsiTheme="majorHAnsi"/>
          <w:sz w:val="20"/>
          <w:szCs w:val="20"/>
          <w:lang w:val="es-ES"/>
        </w:rPr>
        <w:t>l Estado</w:t>
      </w:r>
      <w:r w:rsidRPr="002A3A3B">
        <w:rPr>
          <w:rFonts w:asciiTheme="majorHAnsi" w:hAnsiTheme="majorHAnsi"/>
          <w:sz w:val="20"/>
          <w:szCs w:val="20"/>
          <w:lang w:val="es-ES"/>
        </w:rPr>
        <w:t xml:space="preserve"> peruano alega</w:t>
      </w:r>
      <w:r w:rsidR="00617421" w:rsidRPr="002A3A3B">
        <w:rPr>
          <w:rFonts w:asciiTheme="majorHAnsi" w:hAnsiTheme="majorHAnsi"/>
          <w:sz w:val="20"/>
          <w:szCs w:val="20"/>
          <w:lang w:val="es-ES"/>
        </w:rPr>
        <w:t xml:space="preserve"> que no es posible discutir la presunta violación de la libertad del trabajo en una petición dentro del sistema interamericano de derechos humanos, toda vez que la Convención Americana</w:t>
      </w:r>
      <w:r w:rsidR="0031520A" w:rsidRPr="002A3A3B">
        <w:rPr>
          <w:rFonts w:asciiTheme="majorHAnsi" w:hAnsiTheme="majorHAnsi"/>
          <w:sz w:val="20"/>
          <w:szCs w:val="20"/>
          <w:lang w:val="es-ES"/>
        </w:rPr>
        <w:t xml:space="preserve"> no prevé ni protege ese derecho</w:t>
      </w:r>
      <w:r w:rsidR="00617421" w:rsidRPr="002A3A3B">
        <w:rPr>
          <w:rFonts w:asciiTheme="majorHAnsi" w:hAnsiTheme="majorHAnsi"/>
          <w:sz w:val="20"/>
          <w:szCs w:val="20"/>
          <w:lang w:val="es-ES"/>
        </w:rPr>
        <w:t xml:space="preserve">. Asimismo, arguye </w:t>
      </w:r>
      <w:r w:rsidR="005C5B24" w:rsidRPr="002A3A3B">
        <w:rPr>
          <w:rFonts w:asciiTheme="majorHAnsi" w:hAnsiTheme="majorHAnsi"/>
          <w:sz w:val="20"/>
          <w:szCs w:val="20"/>
          <w:lang w:val="es-ES"/>
        </w:rPr>
        <w:t>que,</w:t>
      </w:r>
      <w:r w:rsidR="00617421" w:rsidRPr="002A3A3B">
        <w:rPr>
          <w:rFonts w:asciiTheme="majorHAnsi" w:hAnsiTheme="majorHAnsi"/>
          <w:sz w:val="20"/>
          <w:szCs w:val="20"/>
          <w:lang w:val="es-ES"/>
        </w:rPr>
        <w:t xml:space="preserve"> si bien los artículos 6 y 7 del Protocolo Adicional en materia de Derechos Económicos, Sociales y Culturales</w:t>
      </w:r>
      <w:r w:rsidR="0031520A" w:rsidRPr="002A3A3B">
        <w:rPr>
          <w:rFonts w:asciiTheme="majorHAnsi" w:hAnsiTheme="majorHAnsi"/>
          <w:sz w:val="20"/>
          <w:szCs w:val="20"/>
          <w:lang w:val="es-ES"/>
        </w:rPr>
        <w:t xml:space="preserve"> regulan la libertad de trabajo, esos </w:t>
      </w:r>
      <w:r w:rsidR="00617421" w:rsidRPr="002A3A3B">
        <w:rPr>
          <w:rFonts w:asciiTheme="majorHAnsi" w:hAnsiTheme="majorHAnsi"/>
          <w:sz w:val="20"/>
          <w:szCs w:val="20"/>
          <w:lang w:val="es-ES"/>
        </w:rPr>
        <w:t>artículos no resultan amparables en el marco del sistema de peticiones y casos. Debido a ello, solicita</w:t>
      </w:r>
      <w:r w:rsidR="00942887" w:rsidRPr="002A3A3B">
        <w:rPr>
          <w:rFonts w:asciiTheme="majorHAnsi" w:hAnsiTheme="majorHAnsi"/>
          <w:sz w:val="20"/>
          <w:szCs w:val="20"/>
          <w:lang w:val="es-ES"/>
        </w:rPr>
        <w:t xml:space="preserve"> </w:t>
      </w:r>
      <w:r w:rsidR="00617421" w:rsidRPr="002A3A3B">
        <w:rPr>
          <w:rFonts w:asciiTheme="majorHAnsi" w:hAnsiTheme="majorHAnsi"/>
          <w:sz w:val="20"/>
          <w:szCs w:val="20"/>
          <w:lang w:val="es-ES"/>
        </w:rPr>
        <w:t xml:space="preserve">a la CIDH que declare que no tiene competencia material para analizar tal alegato. </w:t>
      </w:r>
    </w:p>
    <w:p w14:paraId="711E5111" w14:textId="33700022" w:rsidR="00B962B8" w:rsidRPr="002A3A3B" w:rsidRDefault="00B962B8"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Adicionalmente, argumenta que los hechos denunciados no caracterizan violaciones de derechos humanos que le sean atribuibles. Por el contrario, arguye que la parte peticionaria persigue que la C</w:t>
      </w:r>
      <w:r w:rsidR="00942887" w:rsidRPr="002A3A3B">
        <w:rPr>
          <w:rFonts w:asciiTheme="majorHAnsi" w:hAnsiTheme="majorHAnsi"/>
          <w:sz w:val="20"/>
          <w:szCs w:val="20"/>
          <w:lang w:val="es-ES"/>
        </w:rPr>
        <w:t xml:space="preserve">omisión </w:t>
      </w:r>
      <w:r w:rsidRPr="002A3A3B">
        <w:rPr>
          <w:rFonts w:asciiTheme="majorHAnsi" w:hAnsiTheme="majorHAnsi"/>
          <w:sz w:val="20"/>
          <w:szCs w:val="20"/>
          <w:lang w:val="es-ES"/>
        </w:rPr>
        <w:t xml:space="preserve">actúe como una cuarta instancia </w:t>
      </w:r>
      <w:r w:rsidR="00045F73" w:rsidRPr="002A3A3B">
        <w:rPr>
          <w:rFonts w:asciiTheme="majorHAnsi" w:hAnsiTheme="majorHAnsi"/>
          <w:sz w:val="20"/>
          <w:szCs w:val="20"/>
          <w:lang w:val="es-ES"/>
        </w:rPr>
        <w:t xml:space="preserve">mediante un pronunciamiento </w:t>
      </w:r>
      <w:r w:rsidRPr="002A3A3B">
        <w:rPr>
          <w:rFonts w:asciiTheme="majorHAnsi" w:hAnsiTheme="majorHAnsi"/>
          <w:sz w:val="20"/>
          <w:szCs w:val="20"/>
          <w:lang w:val="es-ES"/>
        </w:rPr>
        <w:t>sobre aspectos que ya fueron resueltos internamente por las autoridades jurisdiccionales respetando las garantías procesales y en el marco de sus competencias.</w:t>
      </w:r>
    </w:p>
    <w:p w14:paraId="129E13A1" w14:textId="2DB170C2" w:rsidR="005C5B24" w:rsidRPr="002A3A3B" w:rsidRDefault="005C5B24" w:rsidP="005C5B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2A3A3B">
        <w:rPr>
          <w:rFonts w:asciiTheme="majorHAnsi" w:hAnsiTheme="majorHAnsi"/>
          <w:bCs/>
          <w:sz w:val="20"/>
          <w:szCs w:val="20"/>
          <w:lang w:val="es-ES"/>
        </w:rPr>
        <w:t xml:space="preserve">Sobre la presunta violación a los derechos a la garantías judiciales y protección judicial en relación con el proceso penal por terrorismo, afirma que si bien  un tribunal “sin rostro” condenó a cadena perpetua al señor Quispe Lázaro, el 3 de enero de 2003 el Tribunal Constitucional, mediante sentencia recaída en el expediente </w:t>
      </w:r>
      <w:r w:rsidR="00882224" w:rsidRPr="002A3A3B">
        <w:rPr>
          <w:rFonts w:asciiTheme="majorHAnsi" w:hAnsiTheme="majorHAnsi"/>
          <w:bCs/>
          <w:sz w:val="20"/>
          <w:szCs w:val="20"/>
          <w:lang w:val="es-ES"/>
        </w:rPr>
        <w:t>Nº</w:t>
      </w:r>
      <w:r w:rsidRPr="002A3A3B">
        <w:rPr>
          <w:rFonts w:asciiTheme="majorHAnsi" w:hAnsiTheme="majorHAnsi"/>
          <w:bCs/>
          <w:sz w:val="20"/>
          <w:szCs w:val="20"/>
          <w:lang w:val="es-ES"/>
        </w:rPr>
        <w:t xml:space="preserve"> 010-2002-AI/TC, revisó la legislación antiterrorista y derogó las normas incompatibles con la Constitución y la Convención Americana que fueron utilizadas para el procesamiento de personas acusadas de terrorismo. En virtud de ello, indica que el 20 de febrero de 2003 el Poder Ejecutivo publicó el Decreto Legislativo </w:t>
      </w:r>
      <w:r w:rsidR="00882224" w:rsidRPr="002A3A3B">
        <w:rPr>
          <w:rFonts w:asciiTheme="majorHAnsi" w:hAnsiTheme="majorHAnsi"/>
          <w:bCs/>
          <w:sz w:val="20"/>
          <w:szCs w:val="20"/>
          <w:lang w:val="es-ES"/>
        </w:rPr>
        <w:t>Nº</w:t>
      </w:r>
      <w:r w:rsidRPr="002A3A3B">
        <w:rPr>
          <w:rFonts w:asciiTheme="majorHAnsi" w:hAnsiTheme="majorHAnsi"/>
          <w:bCs/>
          <w:sz w:val="20"/>
          <w:szCs w:val="20"/>
          <w:lang w:val="es-ES"/>
        </w:rPr>
        <w:t xml:space="preserve"> 926, que reguló las anulaciones en los procesos por delito de terrorismo seguidos ante jueces y fiscales con identidad secreta. En consecuencia, </w:t>
      </w:r>
      <w:r w:rsidR="00D21A63" w:rsidRPr="002A3A3B">
        <w:rPr>
          <w:rFonts w:asciiTheme="majorHAnsi" w:hAnsiTheme="majorHAnsi"/>
          <w:bCs/>
          <w:sz w:val="20"/>
          <w:szCs w:val="20"/>
          <w:lang w:val="es-ES"/>
        </w:rPr>
        <w:t>con base en esa</w:t>
      </w:r>
      <w:r w:rsidRPr="002A3A3B">
        <w:rPr>
          <w:rFonts w:asciiTheme="majorHAnsi" w:hAnsiTheme="majorHAnsi"/>
          <w:bCs/>
          <w:sz w:val="20"/>
          <w:szCs w:val="20"/>
          <w:lang w:val="es-ES"/>
        </w:rPr>
        <w:t xml:space="preserve"> norma, las autoridades internas declararon nula la condena de la presunta víctima, e instauraron un nuevo proceso.</w:t>
      </w:r>
    </w:p>
    <w:p w14:paraId="2DF782DB" w14:textId="20D2D2D1" w:rsidR="005C5B24" w:rsidRPr="002A3A3B" w:rsidRDefault="00D739E9" w:rsidP="005C5B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2A3A3B">
        <w:rPr>
          <w:rFonts w:asciiTheme="majorHAnsi" w:hAnsiTheme="majorHAnsi"/>
          <w:bCs/>
          <w:sz w:val="20"/>
          <w:szCs w:val="20"/>
          <w:lang w:val="es-ES"/>
        </w:rPr>
        <w:t>Con base</w:t>
      </w:r>
      <w:r w:rsidR="005C5B24" w:rsidRPr="002A3A3B">
        <w:rPr>
          <w:rFonts w:asciiTheme="majorHAnsi" w:hAnsiTheme="majorHAnsi"/>
          <w:bCs/>
          <w:sz w:val="20"/>
          <w:szCs w:val="20"/>
          <w:lang w:val="es-ES"/>
        </w:rPr>
        <w:t xml:space="preserve"> </w:t>
      </w:r>
      <w:r w:rsidRPr="002A3A3B">
        <w:rPr>
          <w:rFonts w:asciiTheme="majorHAnsi" w:hAnsiTheme="majorHAnsi"/>
          <w:bCs/>
          <w:sz w:val="20"/>
          <w:szCs w:val="20"/>
          <w:lang w:val="es-ES"/>
        </w:rPr>
        <w:t xml:space="preserve">en </w:t>
      </w:r>
      <w:r w:rsidR="005C5B24" w:rsidRPr="002A3A3B">
        <w:rPr>
          <w:rFonts w:asciiTheme="majorHAnsi" w:hAnsiTheme="majorHAnsi"/>
          <w:bCs/>
          <w:sz w:val="20"/>
          <w:szCs w:val="20"/>
          <w:lang w:val="es-ES"/>
        </w:rPr>
        <w:t>la nueva regulación, los tribunales ordinarios</w:t>
      </w:r>
      <w:r w:rsidR="00AE1448" w:rsidRPr="002A3A3B">
        <w:rPr>
          <w:rFonts w:asciiTheme="majorHAnsi" w:hAnsiTheme="majorHAnsi"/>
          <w:bCs/>
          <w:sz w:val="20"/>
          <w:szCs w:val="20"/>
          <w:lang w:val="es-ES"/>
        </w:rPr>
        <w:t xml:space="preserve"> subsanaron las irregularidades producidas en la década de 1990, durante el juzgamiento de la presunta víctima por el delito de traición a la patria, y dispusieron su absolución, al considerar que existía una duda razonable sobre su posible responsabilidad penal. En tal sentido, a juicio del Estado, resulta claro que las irregularidades que se hubieran cometido dentro del proceso penal seguido en el fuero militar en contra del señor Quispe Lázaro han sido resueltas por las autoridades competentes, a través de los mecanismos que las normas internas establecen. </w:t>
      </w:r>
    </w:p>
    <w:p w14:paraId="653D606F" w14:textId="52EE6A73" w:rsidR="00617421" w:rsidRPr="002A3A3B" w:rsidRDefault="00AE1448"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Asimismo, respecto al proceso de indemnización por daños y perjuicios a</w:t>
      </w:r>
      <w:r w:rsidR="00E86877" w:rsidRPr="002A3A3B">
        <w:rPr>
          <w:rFonts w:asciiTheme="majorHAnsi" w:hAnsiTheme="majorHAnsi"/>
          <w:sz w:val="20"/>
          <w:szCs w:val="20"/>
          <w:lang w:val="es-ES"/>
        </w:rPr>
        <w:t xml:space="preserve">firma que la Séptima Sala Civil de la Corte Superior de Lima valoró razonablemente </w:t>
      </w:r>
      <w:r w:rsidR="00942887" w:rsidRPr="002A3A3B">
        <w:rPr>
          <w:rFonts w:asciiTheme="majorHAnsi" w:hAnsiTheme="majorHAnsi"/>
          <w:sz w:val="20"/>
          <w:szCs w:val="20"/>
          <w:lang w:val="es-ES"/>
        </w:rPr>
        <w:t xml:space="preserve">los </w:t>
      </w:r>
      <w:r w:rsidR="00E86877" w:rsidRPr="002A3A3B">
        <w:rPr>
          <w:rFonts w:asciiTheme="majorHAnsi" w:hAnsiTheme="majorHAnsi"/>
          <w:sz w:val="20"/>
          <w:szCs w:val="20"/>
          <w:lang w:val="es-ES"/>
        </w:rPr>
        <w:t>elementos de prueba</w:t>
      </w:r>
      <w:r w:rsidR="00942887" w:rsidRPr="002A3A3B">
        <w:rPr>
          <w:rFonts w:asciiTheme="majorHAnsi" w:hAnsiTheme="majorHAnsi"/>
          <w:sz w:val="20"/>
          <w:szCs w:val="20"/>
          <w:lang w:val="es-ES"/>
        </w:rPr>
        <w:t xml:space="preserve"> aportados y concluyó</w:t>
      </w:r>
      <w:r w:rsidR="00E86877" w:rsidRPr="002A3A3B">
        <w:rPr>
          <w:rFonts w:asciiTheme="majorHAnsi" w:hAnsiTheme="majorHAnsi"/>
          <w:sz w:val="20"/>
          <w:szCs w:val="20"/>
          <w:lang w:val="es-ES"/>
        </w:rPr>
        <w:t xml:space="preserve"> que la detención del señor Quispe Lázaro estuvo justificada, en tanto se le </w:t>
      </w:r>
      <w:r w:rsidR="004F208D" w:rsidRPr="002A3A3B">
        <w:rPr>
          <w:rFonts w:asciiTheme="majorHAnsi" w:hAnsiTheme="majorHAnsi"/>
          <w:sz w:val="20"/>
          <w:szCs w:val="20"/>
          <w:lang w:val="es-ES"/>
        </w:rPr>
        <w:t xml:space="preserve">encontraron </w:t>
      </w:r>
      <w:r w:rsidR="00E86877" w:rsidRPr="002A3A3B">
        <w:rPr>
          <w:rFonts w:asciiTheme="majorHAnsi" w:hAnsiTheme="majorHAnsi"/>
          <w:sz w:val="20"/>
          <w:szCs w:val="20"/>
          <w:lang w:val="es-ES"/>
        </w:rPr>
        <w:t>en su poder bombas</w:t>
      </w:r>
      <w:r w:rsidR="00942887" w:rsidRPr="002A3A3B">
        <w:rPr>
          <w:rFonts w:asciiTheme="majorHAnsi" w:hAnsiTheme="majorHAnsi"/>
          <w:sz w:val="20"/>
          <w:szCs w:val="20"/>
          <w:lang w:val="es-ES"/>
        </w:rPr>
        <w:t>. Asimismo, argumentó que</w:t>
      </w:r>
      <w:r w:rsidR="00E86877" w:rsidRPr="002A3A3B">
        <w:rPr>
          <w:rFonts w:asciiTheme="majorHAnsi" w:hAnsiTheme="majorHAnsi"/>
          <w:sz w:val="20"/>
          <w:szCs w:val="20"/>
          <w:lang w:val="es-ES"/>
        </w:rPr>
        <w:t xml:space="preserve"> la sentencia absolutoria en su favor se debió a la aplicación del principio </w:t>
      </w:r>
      <w:r w:rsidR="00E86877" w:rsidRPr="002A3A3B">
        <w:rPr>
          <w:rFonts w:asciiTheme="majorHAnsi" w:hAnsiTheme="majorHAnsi"/>
          <w:i/>
          <w:iCs/>
          <w:sz w:val="20"/>
          <w:szCs w:val="20"/>
          <w:lang w:val="es-ES"/>
        </w:rPr>
        <w:t xml:space="preserve">in dubio pro </w:t>
      </w:r>
      <w:r w:rsidR="00E86877" w:rsidRPr="002A3A3B">
        <w:rPr>
          <w:rFonts w:asciiTheme="majorHAnsi" w:hAnsiTheme="majorHAnsi"/>
          <w:i/>
          <w:iCs/>
          <w:sz w:val="20"/>
          <w:szCs w:val="20"/>
          <w:lang w:val="es-ES"/>
        </w:rPr>
        <w:lastRenderedPageBreak/>
        <w:t>reo</w:t>
      </w:r>
      <w:r w:rsidR="00E86877" w:rsidRPr="002A3A3B">
        <w:rPr>
          <w:rFonts w:asciiTheme="majorHAnsi" w:hAnsiTheme="majorHAnsi"/>
          <w:sz w:val="20"/>
          <w:szCs w:val="20"/>
          <w:lang w:val="es-ES"/>
        </w:rPr>
        <w:t xml:space="preserve">, por lo </w:t>
      </w:r>
      <w:r w:rsidR="00942887" w:rsidRPr="002A3A3B">
        <w:rPr>
          <w:rFonts w:asciiTheme="majorHAnsi" w:hAnsiTheme="majorHAnsi"/>
          <w:sz w:val="20"/>
          <w:szCs w:val="20"/>
          <w:lang w:val="es-ES"/>
        </w:rPr>
        <w:t xml:space="preserve">realmente </w:t>
      </w:r>
      <w:r w:rsidR="00E86877" w:rsidRPr="002A3A3B">
        <w:rPr>
          <w:rFonts w:asciiTheme="majorHAnsi" w:hAnsiTheme="majorHAnsi"/>
          <w:sz w:val="20"/>
          <w:szCs w:val="20"/>
          <w:lang w:val="es-ES"/>
        </w:rPr>
        <w:t xml:space="preserve">no se corroboró su inocencia. </w:t>
      </w:r>
      <w:r w:rsidR="00EB0828" w:rsidRPr="002A3A3B">
        <w:rPr>
          <w:rFonts w:asciiTheme="majorHAnsi" w:hAnsiTheme="majorHAnsi"/>
          <w:sz w:val="20"/>
          <w:szCs w:val="20"/>
          <w:lang w:val="es-ES"/>
        </w:rPr>
        <w:t xml:space="preserve">En tal sentido, </w:t>
      </w:r>
      <w:r w:rsidR="00942887" w:rsidRPr="002A3A3B">
        <w:rPr>
          <w:rFonts w:asciiTheme="majorHAnsi" w:hAnsiTheme="majorHAnsi"/>
          <w:sz w:val="20"/>
          <w:szCs w:val="20"/>
          <w:lang w:val="es-ES"/>
        </w:rPr>
        <w:t xml:space="preserve">el Estado sostiene </w:t>
      </w:r>
      <w:r w:rsidR="00A33DF7" w:rsidRPr="002A3A3B">
        <w:rPr>
          <w:rFonts w:asciiTheme="majorHAnsi" w:hAnsiTheme="majorHAnsi"/>
          <w:sz w:val="20"/>
          <w:szCs w:val="20"/>
          <w:lang w:val="es-ES"/>
        </w:rPr>
        <w:t xml:space="preserve">que </w:t>
      </w:r>
      <w:r w:rsidR="00EB0828" w:rsidRPr="002A3A3B">
        <w:rPr>
          <w:rFonts w:asciiTheme="majorHAnsi" w:hAnsiTheme="majorHAnsi"/>
          <w:sz w:val="20"/>
          <w:szCs w:val="20"/>
          <w:lang w:val="es-ES"/>
        </w:rPr>
        <w:t xml:space="preserve">esta decisión estuvo debidamente fundamentada, por lo que la revocatoria de la resolución que le concedía la indemnización a la presunta víctima no resultó arbitraria ni lesiva de derechos. </w:t>
      </w:r>
    </w:p>
    <w:p w14:paraId="71B89FB3" w14:textId="5429EAD0" w:rsidR="00371887" w:rsidRPr="002A3A3B" w:rsidRDefault="00AE1448"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Por otro lado, agrega</w:t>
      </w:r>
      <w:r w:rsidR="00371887" w:rsidRPr="002A3A3B">
        <w:rPr>
          <w:rFonts w:asciiTheme="majorHAnsi" w:hAnsiTheme="majorHAnsi"/>
          <w:sz w:val="20"/>
          <w:szCs w:val="20"/>
          <w:lang w:val="es-ES"/>
        </w:rPr>
        <w:t xml:space="preserve"> que, como se puede observar en el expediente, no existió impedimento alguno para que el señor Quispe Lázaro pudiese ejercer su derecho de cuestionar la resolución de segunda instancia a través de un recurso de casación. En tal sentido, afirma que</w:t>
      </w:r>
      <w:r w:rsidR="00942887" w:rsidRPr="002A3A3B">
        <w:rPr>
          <w:rFonts w:asciiTheme="majorHAnsi" w:hAnsiTheme="majorHAnsi"/>
          <w:sz w:val="20"/>
          <w:szCs w:val="20"/>
          <w:lang w:val="es-ES"/>
        </w:rPr>
        <w:t xml:space="preserve"> no se le puede atribuir responsabilidad por el hecho de que</w:t>
      </w:r>
      <w:r w:rsidR="00371887" w:rsidRPr="002A3A3B">
        <w:rPr>
          <w:rFonts w:asciiTheme="majorHAnsi" w:hAnsiTheme="majorHAnsi"/>
          <w:sz w:val="20"/>
          <w:szCs w:val="20"/>
          <w:lang w:val="es-ES"/>
        </w:rPr>
        <w:t xml:space="preserve"> la presunta víctima </w:t>
      </w:r>
      <w:r w:rsidR="00942887" w:rsidRPr="002A3A3B">
        <w:rPr>
          <w:rFonts w:asciiTheme="majorHAnsi" w:hAnsiTheme="majorHAnsi"/>
          <w:sz w:val="20"/>
          <w:szCs w:val="20"/>
          <w:lang w:val="es-ES"/>
        </w:rPr>
        <w:t>haya actuado</w:t>
      </w:r>
      <w:r w:rsidR="00371887" w:rsidRPr="002A3A3B">
        <w:rPr>
          <w:rFonts w:asciiTheme="majorHAnsi" w:hAnsiTheme="majorHAnsi"/>
          <w:sz w:val="20"/>
          <w:szCs w:val="20"/>
          <w:lang w:val="es-ES"/>
        </w:rPr>
        <w:t xml:space="preserve"> sin una adecuada diligencia al momento de utilizar tal vía recursiva, al no tomar en cuenta los requisitos establecidos en el Código Procesal Civil para su interposición. </w:t>
      </w:r>
    </w:p>
    <w:p w14:paraId="057B93F0" w14:textId="57D91AD9" w:rsidR="00AC51A3" w:rsidRPr="002A3A3B" w:rsidRDefault="00AE1448"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Adicionalmente</w:t>
      </w:r>
      <w:r w:rsidR="00AC51A3" w:rsidRPr="002A3A3B">
        <w:rPr>
          <w:rFonts w:asciiTheme="majorHAnsi" w:hAnsiTheme="majorHAnsi"/>
          <w:sz w:val="20"/>
          <w:szCs w:val="20"/>
          <w:lang w:val="es-ES"/>
        </w:rPr>
        <w:t xml:space="preserve">, alega que la detención de la presunta víctima se ajustó a los términos del artículo 7 de la Convención Americana, dado que desde el 24 de septiembre de 1992 estaba vigente un estado de emergencia y de suspensión de garantías en el departamento de Lima y la provincia constitucional del </w:t>
      </w:r>
      <w:r w:rsidR="009601CC" w:rsidRPr="002A3A3B">
        <w:rPr>
          <w:rFonts w:asciiTheme="majorHAnsi" w:hAnsiTheme="majorHAnsi"/>
          <w:sz w:val="20"/>
          <w:szCs w:val="20"/>
          <w:lang w:val="es-ES"/>
        </w:rPr>
        <w:t>C</w:t>
      </w:r>
      <w:r w:rsidR="00AC51A3" w:rsidRPr="002A3A3B">
        <w:rPr>
          <w:rFonts w:asciiTheme="majorHAnsi" w:hAnsiTheme="majorHAnsi"/>
          <w:sz w:val="20"/>
          <w:szCs w:val="20"/>
          <w:lang w:val="es-ES"/>
        </w:rPr>
        <w:t>all</w:t>
      </w:r>
      <w:r w:rsidR="009601CC" w:rsidRPr="002A3A3B">
        <w:rPr>
          <w:rFonts w:asciiTheme="majorHAnsi" w:hAnsiTheme="majorHAnsi"/>
          <w:sz w:val="20"/>
          <w:szCs w:val="20"/>
          <w:lang w:val="es-ES"/>
        </w:rPr>
        <w:t>a</w:t>
      </w:r>
      <w:r w:rsidR="00AC51A3" w:rsidRPr="002A3A3B">
        <w:rPr>
          <w:rFonts w:asciiTheme="majorHAnsi" w:hAnsiTheme="majorHAnsi"/>
          <w:sz w:val="20"/>
          <w:szCs w:val="20"/>
          <w:lang w:val="es-ES"/>
        </w:rPr>
        <w:t xml:space="preserve">o. En tal sentido, incluso si la CIDH no considerase acreditado que la detención o arresto del señor Quispe Lázaro se realizó en flagrante delito, el referido contexto de estado de emergencia permite deducir la legalidad de las actuaciones realizadas por las autoridades internas. </w:t>
      </w:r>
    </w:p>
    <w:p w14:paraId="64B4E845" w14:textId="25B44247" w:rsidR="00AC51A3" w:rsidRPr="002A3A3B" w:rsidRDefault="00AE1448" w:rsidP="006506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2A3A3B">
        <w:rPr>
          <w:rFonts w:asciiTheme="majorHAnsi" w:hAnsiTheme="majorHAnsi"/>
          <w:sz w:val="20"/>
          <w:szCs w:val="20"/>
          <w:lang w:val="es-ES"/>
        </w:rPr>
        <w:t>Finalmente, e</w:t>
      </w:r>
      <w:r w:rsidR="00C53053" w:rsidRPr="002A3A3B">
        <w:rPr>
          <w:rFonts w:asciiTheme="majorHAnsi" w:hAnsiTheme="majorHAnsi"/>
          <w:sz w:val="20"/>
          <w:szCs w:val="20"/>
          <w:lang w:val="es-ES"/>
        </w:rPr>
        <w:t>n relación con</w:t>
      </w:r>
      <w:r w:rsidR="00AC51A3" w:rsidRPr="002A3A3B">
        <w:rPr>
          <w:rFonts w:asciiTheme="majorHAnsi" w:hAnsiTheme="majorHAnsi"/>
          <w:sz w:val="20"/>
          <w:szCs w:val="20"/>
          <w:lang w:val="es-ES"/>
        </w:rPr>
        <w:t xml:space="preserve"> las alegadas prácticas de tortura, afirma que </w:t>
      </w:r>
      <w:r w:rsidR="00C53053" w:rsidRPr="002A3A3B">
        <w:rPr>
          <w:rFonts w:asciiTheme="majorHAnsi" w:hAnsiTheme="majorHAnsi"/>
          <w:sz w:val="20"/>
          <w:szCs w:val="20"/>
          <w:lang w:val="es-ES"/>
        </w:rPr>
        <w:t xml:space="preserve">la presunta víctima formuló este cuestionamiento durante el proceso penal, pero en la sentencia del 13 de mayo de 2005 emitida por la Sala Penal Nacional se concluyó que no obraba en el expediente ningún certificado médico que </w:t>
      </w:r>
      <w:r w:rsidR="008539AE" w:rsidRPr="002A3A3B">
        <w:rPr>
          <w:rFonts w:asciiTheme="majorHAnsi" w:hAnsiTheme="majorHAnsi"/>
          <w:sz w:val="20"/>
          <w:szCs w:val="20"/>
          <w:lang w:val="es-ES"/>
        </w:rPr>
        <w:t xml:space="preserve">acreditara </w:t>
      </w:r>
      <w:r w:rsidR="00C53053" w:rsidRPr="002A3A3B">
        <w:rPr>
          <w:rFonts w:asciiTheme="majorHAnsi" w:hAnsiTheme="majorHAnsi"/>
          <w:sz w:val="20"/>
          <w:szCs w:val="20"/>
          <w:lang w:val="es-ES"/>
        </w:rPr>
        <w:t>tal presunta vulneración de derechos. Por ende, a juicio del Estado, no existen medios probatorios que demuestren una posible práctica de tortura contra la presunta víctima</w:t>
      </w:r>
      <w:r w:rsidR="00882224" w:rsidRPr="002A3A3B">
        <w:rPr>
          <w:rFonts w:asciiTheme="majorHAnsi" w:hAnsiTheme="majorHAnsi"/>
          <w:sz w:val="20"/>
          <w:szCs w:val="20"/>
          <w:lang w:val="es-ES"/>
        </w:rPr>
        <w:t xml:space="preserve">. En virtud de estas consideraciones, solicita a la Comisión que declare inadmisible la petición </w:t>
      </w:r>
      <w:r w:rsidR="00B260B5" w:rsidRPr="002A3A3B">
        <w:rPr>
          <w:rFonts w:asciiTheme="majorHAnsi" w:hAnsiTheme="majorHAnsi"/>
          <w:sz w:val="20"/>
          <w:szCs w:val="20"/>
          <w:lang w:val="es-ES"/>
        </w:rPr>
        <w:t xml:space="preserve">953-14 </w:t>
      </w:r>
      <w:r w:rsidR="00882224" w:rsidRPr="002A3A3B">
        <w:rPr>
          <w:rFonts w:asciiTheme="majorHAnsi" w:hAnsiTheme="majorHAnsi"/>
          <w:sz w:val="20"/>
          <w:szCs w:val="20"/>
          <w:lang w:val="es-ES"/>
        </w:rPr>
        <w:t xml:space="preserve">y disponga su archivo. </w:t>
      </w:r>
    </w:p>
    <w:p w14:paraId="71E042B4" w14:textId="145C7BAB" w:rsidR="00A55DFC" w:rsidRPr="002A3A3B" w:rsidRDefault="00A55DFC" w:rsidP="00A55DFC">
      <w:pPr>
        <w:pStyle w:val="ListParagraph"/>
        <w:spacing w:before="240" w:after="240"/>
        <w:jc w:val="both"/>
        <w:rPr>
          <w:sz w:val="20"/>
          <w:szCs w:val="20"/>
          <w:lang w:val="es-ES"/>
        </w:rPr>
      </w:pPr>
      <w:r w:rsidRPr="002A3A3B">
        <w:rPr>
          <w:rFonts w:asciiTheme="majorHAnsi" w:hAnsiTheme="majorHAnsi"/>
          <w:b/>
          <w:bCs/>
          <w:sz w:val="20"/>
          <w:szCs w:val="20"/>
          <w:lang w:val="es-ES"/>
        </w:rPr>
        <w:t>VI.</w:t>
      </w:r>
      <w:r w:rsidRPr="002A3A3B">
        <w:rPr>
          <w:rFonts w:asciiTheme="majorHAnsi" w:hAnsiTheme="majorHAnsi"/>
          <w:b/>
          <w:bCs/>
          <w:sz w:val="20"/>
          <w:szCs w:val="20"/>
          <w:lang w:val="es-ES"/>
        </w:rPr>
        <w:tab/>
        <w:t xml:space="preserve">ANÁLISIS DE </w:t>
      </w:r>
      <w:r w:rsidRPr="002A3A3B">
        <w:rPr>
          <w:rFonts w:asciiTheme="majorHAnsi" w:hAnsiTheme="majorHAnsi"/>
          <w:b/>
          <w:sz w:val="20"/>
          <w:szCs w:val="20"/>
          <w:lang w:val="es-ES"/>
        </w:rPr>
        <w:t>AGOTAMIENTO DE LOS RECURSOS INTERNOS Y PLAZO DE PRESENTACIÓN</w:t>
      </w:r>
      <w:r w:rsidRPr="002A3A3B">
        <w:rPr>
          <w:rFonts w:asciiTheme="majorHAnsi" w:hAnsiTheme="majorHAnsi"/>
          <w:b/>
          <w:bCs/>
          <w:sz w:val="20"/>
          <w:szCs w:val="20"/>
          <w:lang w:val="es-ES"/>
        </w:rPr>
        <w:t xml:space="preserve"> </w:t>
      </w:r>
    </w:p>
    <w:p w14:paraId="6788552B" w14:textId="1280F408" w:rsidR="00AB4C86" w:rsidRPr="002A3A3B" w:rsidRDefault="00C614B6" w:rsidP="008822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A3A3B">
        <w:rPr>
          <w:rFonts w:ascii="Cambria" w:hAnsi="Cambria"/>
          <w:sz w:val="20"/>
          <w:szCs w:val="20"/>
          <w:bdr w:val="none" w:sz="0" w:space="0" w:color="auto"/>
          <w:lang w:val="es-ES"/>
        </w:rPr>
        <w:t>L</w:t>
      </w:r>
      <w:r w:rsidR="00882224" w:rsidRPr="002A3A3B">
        <w:rPr>
          <w:rFonts w:ascii="Cambria" w:hAnsi="Cambria"/>
          <w:sz w:val="20"/>
          <w:szCs w:val="20"/>
          <w:bdr w:val="none" w:sz="0" w:space="0" w:color="auto"/>
          <w:lang w:val="es-ES"/>
        </w:rPr>
        <w:t xml:space="preserve">a parte peticionaria indica que agotó los recursos de la jurisdicción interna con la decisión del </w:t>
      </w:r>
      <w:r w:rsidR="00882224" w:rsidRPr="002A3A3B">
        <w:rPr>
          <w:rFonts w:asciiTheme="majorHAnsi" w:hAnsiTheme="majorHAnsi"/>
          <w:sz w:val="20"/>
          <w:szCs w:val="20"/>
          <w:lang w:val="es-ES"/>
        </w:rPr>
        <w:t>23 de septiembre de 2013 de la Sala Civil Permanente de la Corte Suprema de Justicia</w:t>
      </w:r>
      <w:r w:rsidR="00882224" w:rsidRPr="002A3A3B">
        <w:rPr>
          <w:rFonts w:ascii="Cambria" w:hAnsi="Cambria"/>
          <w:sz w:val="20"/>
          <w:szCs w:val="20"/>
          <w:bdr w:val="none" w:sz="0" w:space="0" w:color="auto"/>
          <w:lang w:val="es-ES"/>
        </w:rPr>
        <w:t>, la cual declaró improcedente el recurso de casación interpuesto por el</w:t>
      </w:r>
      <w:r w:rsidR="00B260B5" w:rsidRPr="002A3A3B">
        <w:rPr>
          <w:rFonts w:ascii="Cambria" w:hAnsi="Cambria"/>
          <w:sz w:val="20"/>
          <w:szCs w:val="20"/>
          <w:bdr w:val="none" w:sz="0" w:space="0" w:color="auto"/>
          <w:lang w:val="es-ES"/>
        </w:rPr>
        <w:t xml:space="preserve"> señor</w:t>
      </w:r>
      <w:r w:rsidR="00882224" w:rsidRPr="002A3A3B">
        <w:rPr>
          <w:rFonts w:ascii="Cambria" w:hAnsi="Cambria"/>
          <w:sz w:val="20"/>
          <w:szCs w:val="20"/>
          <w:bdr w:val="none" w:sz="0" w:space="0" w:color="auto"/>
          <w:lang w:val="es-ES"/>
        </w:rPr>
        <w:t xml:space="preserve"> Quispe Lázaro. Por su parte, </w:t>
      </w:r>
      <w:r w:rsidR="00AB4C86" w:rsidRPr="002A3A3B">
        <w:rPr>
          <w:rFonts w:ascii="Cambria" w:hAnsi="Cambria"/>
          <w:sz w:val="20"/>
          <w:szCs w:val="20"/>
          <w:bdr w:val="none" w:sz="0" w:space="0" w:color="auto"/>
          <w:lang w:val="es-ES"/>
        </w:rPr>
        <w:t xml:space="preserve">si bien no presenta una excepción concreta referida al agotamiento de los recursos internos, el Estado menciona en sus alegatos respecto a la caracterización del presente asunto que no se le puede atribuir responsabilidad por el hecho de que la presunta víctima no haya actuado con adecuada diligencia al momento de presentar el recurso de casación. </w:t>
      </w:r>
    </w:p>
    <w:p w14:paraId="7EF46988" w14:textId="26AC1F26" w:rsidR="00CC1BA1" w:rsidRPr="002A3A3B" w:rsidRDefault="00CC1BA1" w:rsidP="002A3A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A3A3B">
        <w:rPr>
          <w:rFonts w:asciiTheme="majorHAnsi" w:hAnsiTheme="majorHAnsi"/>
          <w:sz w:val="20"/>
          <w:szCs w:val="20"/>
          <w:lang w:val="es-ES_tradnl"/>
        </w:rPr>
        <w:t xml:space="preserve">Al respecto, la Comisión recuerda que, efectivamente, como regla general, la parte peticionaria debe agotar previamente los recursos domésticos de conformidad con la legislación procesal interna, por lo que no se puede considerar debidamente cumplido tal requisito si las demandas interpuestas fueron declaradas improcedentes con fundamentos procesales razonables y no arbitrarios. No obstante, en </w:t>
      </w:r>
      <w:r w:rsidR="00881288" w:rsidRPr="002A3A3B">
        <w:rPr>
          <w:rFonts w:asciiTheme="majorHAnsi" w:hAnsiTheme="majorHAnsi"/>
          <w:sz w:val="20"/>
          <w:szCs w:val="20"/>
          <w:lang w:val="es-ES_tradnl"/>
        </w:rPr>
        <w:t>este</w:t>
      </w:r>
      <w:r w:rsidRPr="002A3A3B">
        <w:rPr>
          <w:rFonts w:asciiTheme="majorHAnsi" w:hAnsiTheme="majorHAnsi"/>
          <w:sz w:val="20"/>
          <w:szCs w:val="20"/>
          <w:lang w:val="es-ES_tradnl"/>
        </w:rPr>
        <w:t xml:space="preserve"> caso, la CIDH nota que, si bien la Sala Civil Permanente de la Corte Suprema de Justicia declaró improcedente, el recurso de casación interpuesto por la presunta víctima, el argumento principal para rechazar esta acción fue considerar que </w:t>
      </w:r>
      <w:r w:rsidRPr="002A3A3B">
        <w:rPr>
          <w:rFonts w:asciiTheme="majorHAnsi" w:hAnsiTheme="majorHAnsi"/>
          <w:sz w:val="20"/>
          <w:szCs w:val="20"/>
          <w:lang w:val="es-ES"/>
        </w:rPr>
        <w:t>el demandante únicamente pretendía una nueva valoración probatoria, dado que en su escrito no describía de forma clara y precisa la infracción normativa denunciada ni demostraba la incidencia directa que tenía dicho presunto error sobre la decisión impugnada. Es decir, la Corte Suprema, mediante un análisis preliminar, consideró que los alegatos de la presunta víctima no demostraban con claridad que las decisiones emitidas por las instancias previas configuraban una infracción normativa.</w:t>
      </w:r>
      <w:r w:rsidR="002A3A3B">
        <w:rPr>
          <w:rFonts w:asciiTheme="majorHAnsi" w:hAnsiTheme="majorHAnsi"/>
          <w:sz w:val="20"/>
          <w:szCs w:val="20"/>
          <w:lang w:val="es-ES"/>
        </w:rPr>
        <w:t xml:space="preserve"> En tal sentido, resulta claro que los órganos de justicia tuvieron la oportunidad de conocer y solucionar el reclamo de la presunta víctima en la jurisdicción interna. </w:t>
      </w:r>
    </w:p>
    <w:p w14:paraId="0BBA9B21" w14:textId="5F239029" w:rsidR="00882224" w:rsidRPr="002A3A3B" w:rsidRDefault="00882224" w:rsidP="008822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A3A3B">
        <w:rPr>
          <w:rFonts w:ascii="Cambria" w:hAnsi="Cambria"/>
          <w:sz w:val="20"/>
          <w:szCs w:val="20"/>
          <w:bdr w:val="none" w:sz="0" w:space="0" w:color="auto"/>
          <w:lang w:val="es-ES"/>
        </w:rPr>
        <w:t>En atención a esto y a la información presente en el expediente, la Comisión concluye q</w:t>
      </w:r>
      <w:r w:rsidRPr="002A3A3B">
        <w:rPr>
          <w:rFonts w:asciiTheme="majorHAnsi" w:hAnsiTheme="majorHAnsi"/>
          <w:sz w:val="20"/>
          <w:szCs w:val="20"/>
          <w:bdr w:val="none" w:sz="0" w:space="0" w:color="auto"/>
          <w:lang w:val="es-ES"/>
        </w:rPr>
        <w:t>ue la presente petición cumple con el requisito de agotamiento de los recursos internos de conformidad con el artículo 46.1.a) de la Convención Americana. Por otro lado, en vista que</w:t>
      </w:r>
      <w:r w:rsidR="004B3A19" w:rsidRPr="002A3A3B">
        <w:rPr>
          <w:rFonts w:asciiTheme="majorHAnsi" w:hAnsiTheme="majorHAnsi"/>
          <w:sz w:val="20"/>
          <w:szCs w:val="20"/>
          <w:bdr w:val="none" w:sz="0" w:space="0" w:color="auto"/>
          <w:lang w:val="es-ES"/>
        </w:rPr>
        <w:t xml:space="preserve"> la referida sentencia de la Sala Civil Permanente de la Corte Suprema de Justicia se notificó</w:t>
      </w:r>
      <w:r w:rsidR="00B8406D" w:rsidRPr="002A3A3B">
        <w:rPr>
          <w:rFonts w:ascii="Cambria" w:hAnsi="Cambria"/>
          <w:bCs/>
          <w:sz w:val="20"/>
          <w:szCs w:val="20"/>
          <w:lang w:val="es-ES"/>
        </w:rPr>
        <w:t xml:space="preserve"> </w:t>
      </w:r>
      <w:r w:rsidR="00B8406D" w:rsidRPr="002A3A3B">
        <w:rPr>
          <w:rFonts w:asciiTheme="majorHAnsi" w:hAnsiTheme="majorHAnsi"/>
          <w:sz w:val="20"/>
          <w:szCs w:val="20"/>
          <w:lang w:val="es-ES"/>
        </w:rPr>
        <w:t xml:space="preserve">el </w:t>
      </w:r>
      <w:r w:rsidR="00447605" w:rsidRPr="002A3A3B">
        <w:rPr>
          <w:rFonts w:asciiTheme="majorHAnsi" w:hAnsiTheme="majorHAnsi"/>
          <w:sz w:val="20"/>
          <w:szCs w:val="20"/>
          <w:lang w:val="es-ES"/>
        </w:rPr>
        <w:t>3 de diciembre de 2013</w:t>
      </w:r>
      <w:r w:rsidR="004B3A19" w:rsidRPr="002A3A3B">
        <w:rPr>
          <w:rFonts w:ascii="Cambria" w:hAnsi="Cambria"/>
          <w:bCs/>
          <w:sz w:val="20"/>
          <w:szCs w:val="20"/>
          <w:lang w:val="es-ES"/>
        </w:rPr>
        <w:t>, y que</w:t>
      </w:r>
      <w:r w:rsidRPr="002A3A3B">
        <w:rPr>
          <w:rFonts w:asciiTheme="majorHAnsi" w:hAnsiTheme="majorHAnsi"/>
          <w:sz w:val="20"/>
          <w:szCs w:val="20"/>
          <w:bdr w:val="none" w:sz="0" w:space="0" w:color="auto"/>
          <w:lang w:val="es-ES"/>
        </w:rPr>
        <w:t xml:space="preserve"> el peticionario presentó esta petición el </w:t>
      </w:r>
      <w:r w:rsidRPr="002A3A3B">
        <w:rPr>
          <w:rFonts w:ascii="Cambria" w:hAnsi="Cambria"/>
          <w:bCs/>
          <w:sz w:val="20"/>
          <w:szCs w:val="20"/>
          <w:lang w:val="es-ES"/>
        </w:rPr>
        <w:t>5 de mayo de 2014</w:t>
      </w:r>
      <w:r w:rsidRPr="002A3A3B">
        <w:rPr>
          <w:rFonts w:asciiTheme="majorHAnsi" w:hAnsiTheme="majorHAnsi"/>
          <w:sz w:val="20"/>
          <w:szCs w:val="20"/>
          <w:bdr w:val="none" w:sz="0" w:space="0" w:color="auto"/>
          <w:lang w:val="es-ES"/>
        </w:rPr>
        <w:t>,</w:t>
      </w:r>
      <w:r w:rsidR="004B3A19" w:rsidRPr="002A3A3B">
        <w:rPr>
          <w:rFonts w:asciiTheme="majorHAnsi" w:hAnsiTheme="majorHAnsi"/>
          <w:sz w:val="20"/>
          <w:szCs w:val="20"/>
          <w:bdr w:val="none" w:sz="0" w:space="0" w:color="auto"/>
          <w:lang w:val="es-ES"/>
        </w:rPr>
        <w:t xml:space="preserve"> </w:t>
      </w:r>
      <w:r w:rsidRPr="002A3A3B">
        <w:rPr>
          <w:rFonts w:asciiTheme="majorHAnsi" w:hAnsiTheme="majorHAnsi"/>
          <w:sz w:val="20"/>
          <w:szCs w:val="20"/>
          <w:bdr w:val="none" w:sz="0" w:space="0" w:color="auto"/>
          <w:lang w:val="es-ES"/>
        </w:rPr>
        <w:t xml:space="preserve">esta cumple con el plazo previsto en el artículo 46.1.b) de la Convención. </w:t>
      </w:r>
    </w:p>
    <w:p w14:paraId="20C3DBCE" w14:textId="580546FE" w:rsidR="00C614B6" w:rsidRPr="002A3A3B" w:rsidRDefault="00C614B6" w:rsidP="00C614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A3A3B">
        <w:rPr>
          <w:rFonts w:asciiTheme="majorHAnsi" w:hAnsiTheme="majorHAnsi"/>
          <w:sz w:val="20"/>
          <w:szCs w:val="20"/>
          <w:lang w:val="es-ES"/>
        </w:rPr>
        <w:lastRenderedPageBreak/>
        <w:t xml:space="preserve">Asimismo, conforme a la información presente en el expediente, los alegatos planteados por </w:t>
      </w:r>
      <w:r w:rsidR="00191016" w:rsidRPr="002A3A3B">
        <w:rPr>
          <w:rFonts w:asciiTheme="majorHAnsi" w:hAnsiTheme="majorHAnsi"/>
          <w:sz w:val="20"/>
          <w:szCs w:val="20"/>
          <w:lang w:val="es-ES"/>
        </w:rPr>
        <w:t>la parte peticionaria</w:t>
      </w:r>
      <w:r w:rsidRPr="002A3A3B">
        <w:rPr>
          <w:rFonts w:asciiTheme="majorHAnsi" w:hAnsiTheme="majorHAnsi"/>
          <w:sz w:val="20"/>
          <w:szCs w:val="20"/>
          <w:lang w:val="es-ES"/>
        </w:rPr>
        <w:t xml:space="preserve"> con respecto a hechos ocurridos en el proceso penal seguido contra el señor Quispe Lázaro resultan extemporáneos en los términos del artículo 46.1.b</w:t>
      </w:r>
      <w:r w:rsidR="00243C00" w:rsidRPr="002A3A3B">
        <w:rPr>
          <w:rFonts w:asciiTheme="majorHAnsi" w:hAnsiTheme="majorHAnsi"/>
          <w:sz w:val="20"/>
          <w:szCs w:val="20"/>
          <w:lang w:val="es-ES"/>
        </w:rPr>
        <w:t>)</w:t>
      </w:r>
      <w:r w:rsidRPr="002A3A3B">
        <w:rPr>
          <w:rFonts w:asciiTheme="majorHAnsi" w:hAnsiTheme="majorHAnsi"/>
          <w:sz w:val="20"/>
          <w:szCs w:val="20"/>
          <w:lang w:val="es-ES"/>
        </w:rPr>
        <w:t xml:space="preserve"> de la Convención</w:t>
      </w:r>
      <w:r w:rsidR="00243C00" w:rsidRPr="002A3A3B">
        <w:rPr>
          <w:rFonts w:asciiTheme="majorHAnsi" w:hAnsiTheme="majorHAnsi"/>
          <w:sz w:val="20"/>
          <w:szCs w:val="20"/>
          <w:lang w:val="es-ES"/>
        </w:rPr>
        <w:t xml:space="preserve"> Americana</w:t>
      </w:r>
      <w:r w:rsidRPr="002A3A3B">
        <w:rPr>
          <w:rFonts w:asciiTheme="majorHAnsi" w:hAnsiTheme="majorHAnsi"/>
          <w:sz w:val="20"/>
          <w:szCs w:val="20"/>
          <w:lang w:val="es-ES"/>
        </w:rPr>
        <w:t>, en atención a que dicho proceso culminó casi nueve años antes de presentarse la petición a la Comisión</w:t>
      </w:r>
      <w:r w:rsidRPr="002A3A3B">
        <w:rPr>
          <w:rStyle w:val="FootnoteReference"/>
          <w:rFonts w:asciiTheme="majorHAnsi" w:hAnsiTheme="majorHAnsi"/>
          <w:sz w:val="20"/>
          <w:szCs w:val="20"/>
          <w:lang w:val="es-ES"/>
        </w:rPr>
        <w:footnoteReference w:id="5"/>
      </w:r>
      <w:r w:rsidRPr="002A3A3B">
        <w:rPr>
          <w:rFonts w:asciiTheme="majorHAnsi" w:hAnsiTheme="majorHAnsi"/>
          <w:sz w:val="20"/>
          <w:szCs w:val="20"/>
          <w:lang w:val="es-ES"/>
        </w:rPr>
        <w:t xml:space="preserve">. </w:t>
      </w:r>
    </w:p>
    <w:p w14:paraId="75DC1962" w14:textId="1A2BE383" w:rsidR="00A55DFC" w:rsidRPr="002A3A3B" w:rsidRDefault="00A55DFC" w:rsidP="00C614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2A3A3B">
        <w:rPr>
          <w:rFonts w:asciiTheme="majorHAnsi" w:hAnsiTheme="majorHAnsi"/>
          <w:b/>
          <w:bCs/>
          <w:sz w:val="20"/>
          <w:szCs w:val="20"/>
          <w:lang w:val="es-ES"/>
        </w:rPr>
        <w:t>VII.</w:t>
      </w:r>
      <w:r w:rsidRPr="002A3A3B">
        <w:rPr>
          <w:rFonts w:asciiTheme="majorHAnsi" w:hAnsiTheme="majorHAnsi"/>
          <w:b/>
          <w:bCs/>
          <w:sz w:val="20"/>
          <w:szCs w:val="20"/>
          <w:lang w:val="es-ES"/>
        </w:rPr>
        <w:tab/>
        <w:t>ANÁLISIS DE CARACTERIZACIÓN DE LOS HECHOS ALEGADOS</w:t>
      </w:r>
    </w:p>
    <w:p w14:paraId="5899CA57" w14:textId="42463C40" w:rsidR="00D144F2" w:rsidRPr="002A3A3B" w:rsidRDefault="00D144F2" w:rsidP="00D144F2">
      <w:pPr>
        <w:pStyle w:val="ListParagraph"/>
        <w:numPr>
          <w:ilvl w:val="0"/>
          <w:numId w:val="59"/>
        </w:numPr>
        <w:jc w:val="both"/>
        <w:rPr>
          <w:rFonts w:eastAsia="Times New Roman"/>
          <w:sz w:val="20"/>
          <w:szCs w:val="20"/>
          <w:bdr w:val="none" w:sz="0" w:space="0" w:color="auto"/>
          <w:lang w:val="es-ES"/>
        </w:rPr>
      </w:pPr>
      <w:r w:rsidRPr="002A3A3B">
        <w:rPr>
          <w:rFonts w:eastAsia="Times New Roman"/>
          <w:sz w:val="20"/>
          <w:szCs w:val="20"/>
          <w:bdr w:val="none" w:sz="0" w:space="0" w:color="auto"/>
          <w:lang w:val="es-ES"/>
        </w:rPr>
        <w:t xml:space="preserve">La CIDH recuerda que, en la presente etapa procesal, debe realizar una evaluación </w:t>
      </w:r>
      <w:r w:rsidRPr="002A3A3B">
        <w:rPr>
          <w:rFonts w:eastAsia="Times New Roman"/>
          <w:i/>
          <w:iCs/>
          <w:sz w:val="20"/>
          <w:szCs w:val="20"/>
          <w:bdr w:val="none" w:sz="0" w:space="0" w:color="auto"/>
          <w:lang w:val="es-ES"/>
        </w:rPr>
        <w:t>prima facie</w:t>
      </w:r>
      <w:r w:rsidRPr="002A3A3B">
        <w:rPr>
          <w:rFonts w:eastAsia="Times New Roman"/>
          <w:sz w:val="20"/>
          <w:szCs w:val="20"/>
          <w:bdr w:val="none" w:sz="0" w:space="0" w:color="auto"/>
          <w:lang w:val="es-ES"/>
        </w:rPr>
        <w:t xml:space="preserve"> para determinar si la petición </w:t>
      </w:r>
      <w:r w:rsidR="00B75B76" w:rsidRPr="002A3A3B">
        <w:rPr>
          <w:rFonts w:eastAsia="Times New Roman"/>
          <w:sz w:val="20"/>
          <w:szCs w:val="20"/>
          <w:bdr w:val="none" w:sz="0" w:space="0" w:color="auto"/>
          <w:lang w:val="es-ES"/>
        </w:rPr>
        <w:t xml:space="preserve">aduce </w:t>
      </w:r>
      <w:r w:rsidRPr="002A3A3B">
        <w:rPr>
          <w:rFonts w:eastAsia="Times New Roman"/>
          <w:sz w:val="20"/>
          <w:szCs w:val="20"/>
          <w:bdr w:val="none" w:sz="0" w:space="0" w:color="auto"/>
          <w:lang w:val="es-ES"/>
        </w:rPr>
        <w:t>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sidR="00CC1BA1" w:rsidRPr="002A3A3B">
        <w:rPr>
          <w:rStyle w:val="FootnoteReference"/>
          <w:sz w:val="20"/>
          <w:szCs w:val="20"/>
          <w:lang w:val="es-ES_tradnl"/>
        </w:rPr>
        <w:footnoteReference w:id="6"/>
      </w:r>
      <w:r w:rsidRPr="002A3A3B">
        <w:rPr>
          <w:rFonts w:eastAsia="Times New Roman"/>
          <w:sz w:val="20"/>
          <w:szCs w:val="20"/>
          <w:bdr w:val="none" w:sz="0" w:space="0" w:color="auto"/>
          <w:lang w:val="es-ES"/>
        </w:rPr>
        <w:t>.</w:t>
      </w:r>
    </w:p>
    <w:p w14:paraId="62615441" w14:textId="77777777" w:rsidR="00211A7D" w:rsidRPr="002A3A3B" w:rsidRDefault="00211A7D" w:rsidP="00211A7D">
      <w:pPr>
        <w:pStyle w:val="ListParagraph"/>
        <w:jc w:val="both"/>
        <w:rPr>
          <w:rFonts w:eastAsia="Times New Roman"/>
          <w:sz w:val="20"/>
          <w:szCs w:val="20"/>
          <w:bdr w:val="none" w:sz="0" w:space="0" w:color="auto"/>
          <w:lang w:val="es-ES"/>
        </w:rPr>
      </w:pPr>
    </w:p>
    <w:p w14:paraId="43395284" w14:textId="0EA14B49" w:rsidR="00243C00" w:rsidRPr="002A3A3B" w:rsidRDefault="00211A7D" w:rsidP="00243C00">
      <w:pPr>
        <w:pStyle w:val="ListParagraph"/>
        <w:numPr>
          <w:ilvl w:val="0"/>
          <w:numId w:val="59"/>
        </w:numPr>
        <w:jc w:val="both"/>
        <w:rPr>
          <w:rFonts w:eastAsia="Times New Roman"/>
          <w:sz w:val="20"/>
          <w:szCs w:val="20"/>
          <w:bdr w:val="none" w:sz="0" w:space="0" w:color="auto"/>
          <w:lang w:val="es-ES"/>
        </w:rPr>
      </w:pPr>
      <w:r w:rsidRPr="002A3A3B">
        <w:rPr>
          <w:rFonts w:eastAsia="Times New Roman"/>
          <w:sz w:val="20"/>
          <w:szCs w:val="20"/>
          <w:bdr w:val="none" w:sz="0" w:space="0" w:color="auto"/>
          <w:lang w:val="es-ES"/>
        </w:rPr>
        <w:t xml:space="preserve">La Comisión recuerda </w:t>
      </w:r>
      <w:r w:rsidR="005C7D25" w:rsidRPr="002A3A3B">
        <w:rPr>
          <w:rFonts w:eastAsia="Times New Roman"/>
          <w:sz w:val="20"/>
          <w:szCs w:val="20"/>
          <w:bdr w:val="none" w:sz="0" w:space="0" w:color="auto"/>
          <w:lang w:val="es-ES"/>
        </w:rPr>
        <w:t xml:space="preserve">que </w:t>
      </w:r>
      <w:r w:rsidRPr="002A3A3B">
        <w:rPr>
          <w:rFonts w:eastAsia="Times New Roman"/>
          <w:sz w:val="20"/>
          <w:szCs w:val="20"/>
          <w:bdr w:val="none" w:sz="0" w:space="0" w:color="auto"/>
          <w:lang w:val="es-ES"/>
        </w:rPr>
        <w:t>el artículo 10 de la Convención Americana establece específicamente el derecho de indemnización en caso una persona sea condenad</w:t>
      </w:r>
      <w:r w:rsidR="005223FE" w:rsidRPr="002A3A3B">
        <w:rPr>
          <w:rFonts w:eastAsia="Times New Roman"/>
          <w:sz w:val="20"/>
          <w:szCs w:val="20"/>
          <w:bdr w:val="none" w:sz="0" w:space="0" w:color="auto"/>
          <w:lang w:val="es-ES"/>
        </w:rPr>
        <w:t>a</w:t>
      </w:r>
      <w:r w:rsidRPr="002A3A3B">
        <w:rPr>
          <w:rFonts w:eastAsia="Times New Roman"/>
          <w:sz w:val="20"/>
          <w:szCs w:val="20"/>
          <w:bdr w:val="none" w:sz="0" w:space="0" w:color="auto"/>
          <w:lang w:val="es-ES"/>
        </w:rPr>
        <w:t xml:space="preserve"> mediante sentencia firme por error judicial</w:t>
      </w:r>
      <w:r w:rsidR="005223FE" w:rsidRPr="002A3A3B">
        <w:rPr>
          <w:rFonts w:eastAsia="Times New Roman"/>
          <w:sz w:val="20"/>
          <w:szCs w:val="20"/>
          <w:bdr w:val="none" w:sz="0" w:space="0" w:color="auto"/>
          <w:lang w:val="es-ES"/>
        </w:rPr>
        <w:t>, ya sea mediante encarcelamiento u otro tipo de sanción</w:t>
      </w:r>
      <w:r w:rsidR="005223FE" w:rsidRPr="002A3A3B">
        <w:rPr>
          <w:rStyle w:val="FootnoteReference"/>
          <w:rFonts w:eastAsia="Times New Roman"/>
          <w:sz w:val="20"/>
          <w:szCs w:val="20"/>
          <w:bdr w:val="none" w:sz="0" w:space="0" w:color="auto"/>
          <w:lang w:val="es-ES"/>
        </w:rPr>
        <w:footnoteReference w:id="7"/>
      </w:r>
      <w:r w:rsidRPr="002A3A3B">
        <w:rPr>
          <w:rFonts w:eastAsia="Times New Roman"/>
          <w:sz w:val="20"/>
          <w:szCs w:val="20"/>
          <w:bdr w:val="none" w:sz="0" w:space="0" w:color="auto"/>
          <w:lang w:val="es-ES"/>
        </w:rPr>
        <w:t>. En tal sentido, quedan fuera de su ámbito condenas que no hayan adquirido calidad de cosa juzgada</w:t>
      </w:r>
      <w:r w:rsidRPr="002A3A3B">
        <w:rPr>
          <w:rStyle w:val="FootnoteReference"/>
          <w:rFonts w:eastAsia="Times New Roman"/>
          <w:sz w:val="20"/>
          <w:szCs w:val="20"/>
          <w:bdr w:val="none" w:sz="0" w:space="0" w:color="auto"/>
          <w:lang w:val="es-ES"/>
        </w:rPr>
        <w:footnoteReference w:id="8"/>
      </w:r>
      <w:r w:rsidRPr="002A3A3B">
        <w:rPr>
          <w:rFonts w:eastAsia="Times New Roman"/>
          <w:sz w:val="20"/>
          <w:szCs w:val="20"/>
          <w:bdr w:val="none" w:sz="0" w:space="0" w:color="auto"/>
          <w:lang w:val="es-ES"/>
        </w:rPr>
        <w:t xml:space="preserve">. </w:t>
      </w:r>
    </w:p>
    <w:p w14:paraId="091F680D" w14:textId="77777777" w:rsidR="00243C00" w:rsidRPr="002A3A3B" w:rsidRDefault="00243C00" w:rsidP="00243C00">
      <w:pPr>
        <w:pStyle w:val="ListParagraph"/>
        <w:rPr>
          <w:rFonts w:eastAsia="Times New Roman"/>
          <w:sz w:val="20"/>
          <w:szCs w:val="20"/>
          <w:bdr w:val="none" w:sz="0" w:space="0" w:color="auto"/>
          <w:lang w:val="es-ES"/>
        </w:rPr>
      </w:pPr>
    </w:p>
    <w:p w14:paraId="4C66F4A4" w14:textId="754A6CB5" w:rsidR="00325C3F" w:rsidRPr="002A3A3B" w:rsidRDefault="00243C00" w:rsidP="00243C00">
      <w:pPr>
        <w:pStyle w:val="ListParagraph"/>
        <w:numPr>
          <w:ilvl w:val="0"/>
          <w:numId w:val="59"/>
        </w:numPr>
        <w:jc w:val="both"/>
        <w:rPr>
          <w:rFonts w:eastAsia="Times New Roman"/>
          <w:sz w:val="20"/>
          <w:szCs w:val="20"/>
          <w:bdr w:val="none" w:sz="0" w:space="0" w:color="auto"/>
          <w:lang w:val="es-ES"/>
        </w:rPr>
      </w:pPr>
      <w:r w:rsidRPr="002A3A3B">
        <w:rPr>
          <w:rFonts w:eastAsia="Times New Roman"/>
          <w:sz w:val="20"/>
          <w:szCs w:val="20"/>
          <w:bdr w:val="none" w:sz="0" w:space="0" w:color="auto"/>
          <w:lang w:val="es-ES"/>
        </w:rPr>
        <w:t>Asimismo, e</w:t>
      </w:r>
      <w:r w:rsidR="00A336D1" w:rsidRPr="002A3A3B">
        <w:rPr>
          <w:rFonts w:eastAsia="Times New Roman"/>
          <w:sz w:val="20"/>
          <w:szCs w:val="20"/>
          <w:bdr w:val="none" w:sz="0" w:space="0" w:color="auto"/>
          <w:lang w:val="es-ES"/>
        </w:rPr>
        <w:t>n la sentencia del caso Cuya Lavy</w:t>
      </w:r>
      <w:r w:rsidRPr="002A3A3B">
        <w:rPr>
          <w:rFonts w:eastAsia="Times New Roman"/>
          <w:sz w:val="20"/>
          <w:szCs w:val="20"/>
          <w:bdr w:val="none" w:sz="0" w:space="0" w:color="auto"/>
          <w:lang w:val="es-ES"/>
        </w:rPr>
        <w:t xml:space="preserve"> y</w:t>
      </w:r>
      <w:r w:rsidR="00A336D1" w:rsidRPr="002A3A3B">
        <w:rPr>
          <w:rFonts w:eastAsia="Times New Roman"/>
          <w:sz w:val="20"/>
          <w:szCs w:val="20"/>
          <w:bdr w:val="none" w:sz="0" w:space="0" w:color="auto"/>
          <w:lang w:val="es-ES"/>
        </w:rPr>
        <w:t xml:space="preserve"> otros vs. Perú, la Corte Interamericana reafirmó su competencia para conocer y resolver controversias</w:t>
      </w:r>
      <w:r w:rsidR="00A336D1" w:rsidRPr="002A3A3B">
        <w:rPr>
          <w:sz w:val="20"/>
          <w:szCs w:val="20"/>
          <w:lang w:val="es-ES"/>
        </w:rPr>
        <w:t xml:space="preserve"> relativas al artículo 26 de la Convención Americana como parte integrante de los derechos enumerados en su texto</w:t>
      </w:r>
      <w:r w:rsidR="00325C3F" w:rsidRPr="002A3A3B">
        <w:rPr>
          <w:rStyle w:val="FootnoteReference"/>
          <w:sz w:val="20"/>
          <w:szCs w:val="20"/>
          <w:lang w:val="es-ES"/>
        </w:rPr>
        <w:footnoteReference w:id="9"/>
      </w:r>
      <w:r w:rsidR="00325C3F" w:rsidRPr="002A3A3B">
        <w:rPr>
          <w:sz w:val="20"/>
          <w:szCs w:val="20"/>
          <w:lang w:val="es-ES"/>
        </w:rPr>
        <w:t xml:space="preserve">. La Comisión no encuentra argumentos para cambiar tal posición y, en consecuencia, reitera su competencia para conocer reclamos referidos al citado artículo 26. Asimismo, destaca que, en lo pertinente, la interpretación de tal disposición tomará en cuenta lo establecido por la Carta de la Organización de los Estados Americanos, la Declaración Americana sobre Derechos y Deberes del Hombre y el </w:t>
      </w:r>
      <w:r w:rsidR="00325C3F" w:rsidRPr="002A3A3B">
        <w:rPr>
          <w:rFonts w:asciiTheme="majorHAnsi" w:hAnsiTheme="majorHAnsi"/>
          <w:sz w:val="20"/>
          <w:szCs w:val="20"/>
          <w:lang w:val="es-ES"/>
        </w:rPr>
        <w:t xml:space="preserve">Protocolo Adicional en materia de Derechos Económicos, Sociales y Culturales y otras normas relevantes del </w:t>
      </w:r>
      <w:r w:rsidR="00325C3F" w:rsidRPr="002A3A3B">
        <w:rPr>
          <w:rFonts w:asciiTheme="majorHAnsi" w:hAnsiTheme="majorHAnsi"/>
          <w:i/>
          <w:iCs/>
          <w:sz w:val="20"/>
          <w:szCs w:val="20"/>
          <w:lang w:val="es-ES"/>
        </w:rPr>
        <w:t>corpus iuris</w:t>
      </w:r>
      <w:r w:rsidR="00325C3F" w:rsidRPr="002A3A3B">
        <w:rPr>
          <w:rStyle w:val="FootnoteReference"/>
          <w:rFonts w:asciiTheme="majorHAnsi" w:hAnsiTheme="majorHAnsi"/>
          <w:i/>
          <w:iCs/>
          <w:sz w:val="20"/>
          <w:szCs w:val="20"/>
          <w:lang w:val="es-ES"/>
        </w:rPr>
        <w:footnoteReference w:id="10"/>
      </w:r>
      <w:r w:rsidR="00325C3F" w:rsidRPr="002A3A3B">
        <w:rPr>
          <w:rFonts w:asciiTheme="majorHAnsi" w:hAnsiTheme="majorHAnsi"/>
          <w:i/>
          <w:iCs/>
          <w:sz w:val="20"/>
          <w:szCs w:val="20"/>
          <w:lang w:val="es-ES"/>
        </w:rPr>
        <w:t>.</w:t>
      </w:r>
    </w:p>
    <w:p w14:paraId="24C40B0D" w14:textId="526FFE38" w:rsidR="00325C3F" w:rsidRPr="002A3A3B" w:rsidRDefault="00325C3F" w:rsidP="00325C3F">
      <w:pPr>
        <w:pStyle w:val="ListParagraph"/>
        <w:rPr>
          <w:rFonts w:asciiTheme="majorHAnsi" w:hAnsiTheme="majorHAnsi"/>
          <w:sz w:val="20"/>
          <w:szCs w:val="20"/>
          <w:lang w:val="es-ES"/>
        </w:rPr>
      </w:pPr>
    </w:p>
    <w:p w14:paraId="57E3DF28" w14:textId="3E560474" w:rsidR="00854886" w:rsidRPr="002A3A3B" w:rsidRDefault="00D144F2" w:rsidP="00325C3F">
      <w:pPr>
        <w:pStyle w:val="ListParagraph"/>
        <w:numPr>
          <w:ilvl w:val="0"/>
          <w:numId w:val="59"/>
        </w:numPr>
        <w:jc w:val="both"/>
        <w:rPr>
          <w:rFonts w:asciiTheme="majorHAnsi" w:hAnsiTheme="majorHAnsi"/>
          <w:sz w:val="20"/>
          <w:szCs w:val="20"/>
          <w:lang w:val="es-ES"/>
        </w:rPr>
      </w:pPr>
      <w:r w:rsidRPr="002A3A3B">
        <w:rPr>
          <w:rFonts w:asciiTheme="majorHAnsi" w:hAnsiTheme="majorHAnsi"/>
          <w:sz w:val="20"/>
          <w:szCs w:val="20"/>
          <w:lang w:val="es-ES"/>
        </w:rPr>
        <w:t xml:space="preserve">En </w:t>
      </w:r>
      <w:r w:rsidR="00387652" w:rsidRPr="002A3A3B">
        <w:rPr>
          <w:rFonts w:asciiTheme="majorHAnsi" w:hAnsiTheme="majorHAnsi"/>
          <w:sz w:val="20"/>
          <w:szCs w:val="20"/>
          <w:lang w:val="es-ES"/>
        </w:rPr>
        <w:t>este</w:t>
      </w:r>
      <w:r w:rsidRPr="002A3A3B">
        <w:rPr>
          <w:rFonts w:asciiTheme="majorHAnsi" w:hAnsiTheme="majorHAnsi"/>
          <w:sz w:val="20"/>
          <w:szCs w:val="20"/>
          <w:lang w:val="es-ES"/>
        </w:rPr>
        <w:t xml:space="preserve"> caso, la Comisión observa que</w:t>
      </w:r>
      <w:r w:rsidR="00854886" w:rsidRPr="002A3A3B">
        <w:rPr>
          <w:rFonts w:asciiTheme="majorHAnsi" w:hAnsiTheme="majorHAnsi"/>
          <w:sz w:val="20"/>
          <w:szCs w:val="20"/>
          <w:lang w:val="es-ES"/>
        </w:rPr>
        <w:t xml:space="preserve"> el objeto central </w:t>
      </w:r>
      <w:r w:rsidRPr="002A3A3B">
        <w:rPr>
          <w:rFonts w:asciiTheme="majorHAnsi" w:hAnsiTheme="majorHAnsi"/>
          <w:sz w:val="20"/>
          <w:szCs w:val="20"/>
          <w:lang w:val="es-ES"/>
        </w:rPr>
        <w:t xml:space="preserve">de la presente petición </w:t>
      </w:r>
      <w:r w:rsidR="002132CA" w:rsidRPr="002A3A3B">
        <w:rPr>
          <w:rFonts w:asciiTheme="majorHAnsi" w:hAnsiTheme="majorHAnsi"/>
          <w:sz w:val="20"/>
          <w:szCs w:val="20"/>
          <w:lang w:val="es-ES"/>
        </w:rPr>
        <w:t>también abarca un cuestionamiento sobre</w:t>
      </w:r>
      <w:r w:rsidRPr="002A3A3B">
        <w:rPr>
          <w:rFonts w:asciiTheme="majorHAnsi" w:hAnsiTheme="majorHAnsi"/>
          <w:sz w:val="20"/>
          <w:szCs w:val="20"/>
          <w:lang w:val="es-ES"/>
        </w:rPr>
        <w:t xml:space="preserve"> el posible trato diferenciado sufrido por la presunta víctima</w:t>
      </w:r>
      <w:r w:rsidR="00854886" w:rsidRPr="002A3A3B">
        <w:rPr>
          <w:rFonts w:asciiTheme="majorHAnsi" w:hAnsiTheme="majorHAnsi"/>
          <w:sz w:val="20"/>
          <w:szCs w:val="20"/>
          <w:lang w:val="es-ES"/>
        </w:rPr>
        <w:t xml:space="preserve">, lo que habría </w:t>
      </w:r>
      <w:r w:rsidR="0048633A" w:rsidRPr="002A3A3B">
        <w:rPr>
          <w:rFonts w:asciiTheme="majorHAnsi" w:hAnsiTheme="majorHAnsi"/>
          <w:sz w:val="20"/>
          <w:szCs w:val="20"/>
          <w:lang w:val="es-ES"/>
        </w:rPr>
        <w:t>conllevado que</w:t>
      </w:r>
      <w:r w:rsidR="00854886" w:rsidRPr="002A3A3B">
        <w:rPr>
          <w:rFonts w:asciiTheme="majorHAnsi" w:hAnsiTheme="majorHAnsi"/>
          <w:sz w:val="20"/>
          <w:szCs w:val="20"/>
          <w:lang w:val="es-ES"/>
        </w:rPr>
        <w:t xml:space="preserve"> no se le otorg</w:t>
      </w:r>
      <w:r w:rsidR="002132CA" w:rsidRPr="002A3A3B">
        <w:rPr>
          <w:rFonts w:asciiTheme="majorHAnsi" w:hAnsiTheme="majorHAnsi"/>
          <w:sz w:val="20"/>
          <w:szCs w:val="20"/>
          <w:lang w:val="es-ES"/>
        </w:rPr>
        <w:t>ara</w:t>
      </w:r>
      <w:r w:rsidR="00854886" w:rsidRPr="002A3A3B">
        <w:rPr>
          <w:rFonts w:asciiTheme="majorHAnsi" w:hAnsiTheme="majorHAnsi"/>
          <w:sz w:val="20"/>
          <w:szCs w:val="20"/>
          <w:lang w:val="es-ES"/>
        </w:rPr>
        <w:t xml:space="preserve"> una indemnización por error judicial, </w:t>
      </w:r>
      <w:r w:rsidRPr="002A3A3B">
        <w:rPr>
          <w:rFonts w:asciiTheme="majorHAnsi" w:hAnsiTheme="majorHAnsi"/>
          <w:sz w:val="20"/>
          <w:szCs w:val="20"/>
          <w:lang w:val="es-ES"/>
        </w:rPr>
        <w:t xml:space="preserve">a pesar </w:t>
      </w:r>
      <w:r w:rsidR="00854886" w:rsidRPr="002A3A3B">
        <w:rPr>
          <w:rFonts w:asciiTheme="majorHAnsi" w:hAnsiTheme="majorHAnsi"/>
          <w:sz w:val="20"/>
          <w:szCs w:val="20"/>
          <w:lang w:val="es-ES"/>
        </w:rPr>
        <w:t xml:space="preserve">de </w:t>
      </w:r>
      <w:r w:rsidRPr="002A3A3B">
        <w:rPr>
          <w:rFonts w:asciiTheme="majorHAnsi" w:hAnsiTheme="majorHAnsi"/>
          <w:sz w:val="20"/>
          <w:szCs w:val="20"/>
          <w:lang w:val="es-ES"/>
        </w:rPr>
        <w:t xml:space="preserve">que existe una sentencia penal con calidad de cosa juzgada que lo absolvió de los cargos </w:t>
      </w:r>
      <w:r w:rsidR="00854886" w:rsidRPr="002A3A3B">
        <w:rPr>
          <w:rFonts w:asciiTheme="majorHAnsi" w:hAnsiTheme="majorHAnsi"/>
          <w:sz w:val="20"/>
          <w:szCs w:val="20"/>
          <w:lang w:val="es-ES"/>
        </w:rPr>
        <w:t>que las autoridades</w:t>
      </w:r>
      <w:r w:rsidRPr="002A3A3B">
        <w:rPr>
          <w:rFonts w:asciiTheme="majorHAnsi" w:hAnsiTheme="majorHAnsi"/>
          <w:sz w:val="20"/>
          <w:szCs w:val="20"/>
          <w:lang w:val="es-ES"/>
        </w:rPr>
        <w:t xml:space="preserve"> le atribuyeron y </w:t>
      </w:r>
      <w:r w:rsidR="0006664E" w:rsidRPr="002A3A3B">
        <w:rPr>
          <w:rFonts w:asciiTheme="majorHAnsi" w:hAnsiTheme="majorHAnsi"/>
          <w:sz w:val="20"/>
          <w:szCs w:val="20"/>
          <w:lang w:val="es-ES"/>
        </w:rPr>
        <w:t>por los</w:t>
      </w:r>
      <w:r w:rsidRPr="002A3A3B">
        <w:rPr>
          <w:rFonts w:asciiTheme="majorHAnsi" w:hAnsiTheme="majorHAnsi"/>
          <w:sz w:val="20"/>
          <w:szCs w:val="20"/>
          <w:lang w:val="es-ES"/>
        </w:rPr>
        <w:t xml:space="preserve"> que estuvo privado de su libertad cerca de doce años. </w:t>
      </w:r>
      <w:r w:rsidR="00854886" w:rsidRPr="002A3A3B">
        <w:rPr>
          <w:rFonts w:asciiTheme="majorHAnsi" w:hAnsiTheme="majorHAnsi"/>
          <w:sz w:val="20"/>
          <w:szCs w:val="20"/>
          <w:lang w:val="es-ES"/>
        </w:rPr>
        <w:t>A</w:t>
      </w:r>
      <w:r w:rsidRPr="002A3A3B">
        <w:rPr>
          <w:rFonts w:asciiTheme="majorHAnsi" w:hAnsiTheme="majorHAnsi"/>
          <w:sz w:val="20"/>
          <w:szCs w:val="20"/>
          <w:lang w:val="es-ES"/>
        </w:rPr>
        <w:t xml:space="preserve"> juicio de la Comisión, esta situación, de corroborarse como cierta, no solamente podría configurar una violación a los artículos 10 y 24 de la Convención Americana, sino también del artículo 7 de </w:t>
      </w:r>
      <w:r w:rsidR="002132CA" w:rsidRPr="002A3A3B">
        <w:rPr>
          <w:rFonts w:asciiTheme="majorHAnsi" w:hAnsiTheme="majorHAnsi"/>
          <w:sz w:val="20"/>
          <w:szCs w:val="20"/>
          <w:lang w:val="es-ES"/>
        </w:rPr>
        <w:t xml:space="preserve">ese </w:t>
      </w:r>
      <w:r w:rsidRPr="002A3A3B">
        <w:rPr>
          <w:rFonts w:asciiTheme="majorHAnsi" w:hAnsiTheme="majorHAnsi"/>
          <w:sz w:val="20"/>
          <w:szCs w:val="20"/>
          <w:lang w:val="es-ES"/>
        </w:rPr>
        <w:t>instrumento, en tanto aún no se habría reparad</w:t>
      </w:r>
      <w:r w:rsidR="00854886" w:rsidRPr="002A3A3B">
        <w:rPr>
          <w:rFonts w:asciiTheme="majorHAnsi" w:hAnsiTheme="majorHAnsi"/>
          <w:sz w:val="20"/>
          <w:szCs w:val="20"/>
          <w:lang w:val="es-ES"/>
        </w:rPr>
        <w:t>o</w:t>
      </w:r>
      <w:r w:rsidRPr="002A3A3B">
        <w:rPr>
          <w:rFonts w:asciiTheme="majorHAnsi" w:hAnsiTheme="majorHAnsi"/>
          <w:sz w:val="20"/>
          <w:szCs w:val="20"/>
          <w:lang w:val="es-ES"/>
        </w:rPr>
        <w:t xml:space="preserve"> adecuadamente una posible privación arbitraria a la libertad; así como </w:t>
      </w:r>
      <w:r w:rsidR="00C614B6" w:rsidRPr="002A3A3B">
        <w:rPr>
          <w:rFonts w:asciiTheme="majorHAnsi" w:hAnsiTheme="majorHAnsi"/>
          <w:sz w:val="20"/>
          <w:szCs w:val="20"/>
          <w:lang w:val="es-ES"/>
        </w:rPr>
        <w:t>del</w:t>
      </w:r>
      <w:r w:rsidR="00854886" w:rsidRPr="002A3A3B">
        <w:rPr>
          <w:rFonts w:asciiTheme="majorHAnsi" w:hAnsiTheme="majorHAnsi"/>
          <w:sz w:val="20"/>
          <w:szCs w:val="20"/>
          <w:lang w:val="es-ES"/>
        </w:rPr>
        <w:t xml:space="preserve"> </w:t>
      </w:r>
      <w:r w:rsidR="00C614B6" w:rsidRPr="002A3A3B">
        <w:rPr>
          <w:rFonts w:asciiTheme="majorHAnsi" w:hAnsiTheme="majorHAnsi"/>
          <w:sz w:val="20"/>
          <w:szCs w:val="20"/>
          <w:lang w:val="es-ES"/>
        </w:rPr>
        <w:t>artículo</w:t>
      </w:r>
      <w:r w:rsidRPr="002A3A3B">
        <w:rPr>
          <w:rFonts w:asciiTheme="majorHAnsi" w:hAnsiTheme="majorHAnsi"/>
          <w:sz w:val="20"/>
          <w:szCs w:val="20"/>
          <w:lang w:val="es-ES"/>
        </w:rPr>
        <w:t xml:space="preserve"> 2</w:t>
      </w:r>
      <w:r w:rsidR="00854886" w:rsidRPr="002A3A3B">
        <w:rPr>
          <w:rFonts w:asciiTheme="majorHAnsi" w:hAnsiTheme="majorHAnsi"/>
          <w:sz w:val="20"/>
          <w:szCs w:val="20"/>
          <w:lang w:val="es-ES"/>
        </w:rPr>
        <w:t>6</w:t>
      </w:r>
      <w:r w:rsidRPr="002A3A3B">
        <w:rPr>
          <w:rFonts w:asciiTheme="majorHAnsi" w:hAnsiTheme="majorHAnsi"/>
          <w:sz w:val="20"/>
          <w:szCs w:val="20"/>
          <w:lang w:val="es-ES"/>
        </w:rPr>
        <w:t xml:space="preserve">, </w:t>
      </w:r>
      <w:r w:rsidR="002132CA" w:rsidRPr="002A3A3B">
        <w:rPr>
          <w:rFonts w:asciiTheme="majorHAnsi" w:hAnsiTheme="majorHAnsi"/>
          <w:sz w:val="20"/>
          <w:szCs w:val="20"/>
          <w:lang w:val="es-ES"/>
        </w:rPr>
        <w:t xml:space="preserve">debido a </w:t>
      </w:r>
      <w:r w:rsidRPr="002A3A3B">
        <w:rPr>
          <w:rFonts w:asciiTheme="majorHAnsi" w:hAnsiTheme="majorHAnsi"/>
          <w:sz w:val="20"/>
          <w:szCs w:val="20"/>
          <w:lang w:val="es-ES"/>
        </w:rPr>
        <w:t>los efectos que esta situación</w:t>
      </w:r>
      <w:r w:rsidR="00854886" w:rsidRPr="002A3A3B">
        <w:rPr>
          <w:rFonts w:asciiTheme="majorHAnsi" w:hAnsiTheme="majorHAnsi"/>
          <w:sz w:val="20"/>
          <w:szCs w:val="20"/>
          <w:lang w:val="es-ES"/>
        </w:rPr>
        <w:t xml:space="preserve"> estaría provocando en la vida del señor Quispe Lázaro. </w:t>
      </w:r>
      <w:r w:rsidRPr="002A3A3B">
        <w:rPr>
          <w:rFonts w:asciiTheme="majorHAnsi" w:hAnsiTheme="majorHAnsi"/>
          <w:sz w:val="20"/>
          <w:szCs w:val="20"/>
          <w:lang w:val="es-ES"/>
        </w:rPr>
        <w:t xml:space="preserve"> </w:t>
      </w:r>
    </w:p>
    <w:p w14:paraId="77ECF0EE" w14:textId="41397302" w:rsidR="00854886" w:rsidRPr="002A3A3B" w:rsidRDefault="00854886" w:rsidP="00484CE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2A3A3B">
        <w:rPr>
          <w:rFonts w:asciiTheme="majorHAnsi" w:hAnsiTheme="majorHAnsi"/>
          <w:sz w:val="20"/>
          <w:szCs w:val="20"/>
          <w:lang w:val="es-ES"/>
        </w:rPr>
        <w:t xml:space="preserve">Con base en las citadas consideraciones, la Comisión considera que los hechos denunciados no resultan manifiestamente infundados y, por el contrario, requieren un estudio en etapa de fondo, toda vez que, de corroborarse como ciertos, estos podrían constituir una violación a los derechos reconocidos en los </w:t>
      </w:r>
      <w:r w:rsidRPr="002A3A3B">
        <w:rPr>
          <w:rFonts w:ascii="Cambria" w:hAnsi="Cambria"/>
          <w:bCs/>
          <w:sz w:val="20"/>
          <w:szCs w:val="20"/>
          <w:lang w:val="es-ES"/>
        </w:rPr>
        <w:t xml:space="preserve">artículos 7 (derecho a la libertad personal), 8 (garantías judiciales), 10 (derecho a indemnización), 24 (igualdad </w:t>
      </w:r>
      <w:r w:rsidRPr="002A3A3B">
        <w:rPr>
          <w:rFonts w:ascii="Cambria" w:hAnsi="Cambria"/>
          <w:bCs/>
          <w:sz w:val="20"/>
          <w:szCs w:val="20"/>
          <w:lang w:val="es-ES"/>
        </w:rPr>
        <w:lastRenderedPageBreak/>
        <w:t>ante la ley), 25 (protección judicial) y 26 (derechos económicos, sociales</w:t>
      </w:r>
      <w:r w:rsidR="0006664E" w:rsidRPr="002A3A3B">
        <w:rPr>
          <w:rFonts w:ascii="Cambria" w:hAnsi="Cambria"/>
          <w:bCs/>
          <w:sz w:val="20"/>
          <w:szCs w:val="20"/>
          <w:lang w:val="es-ES"/>
        </w:rPr>
        <w:t xml:space="preserve"> y</w:t>
      </w:r>
      <w:r w:rsidR="00086129" w:rsidRPr="002A3A3B">
        <w:rPr>
          <w:rFonts w:ascii="Cambria" w:hAnsi="Cambria"/>
          <w:bCs/>
          <w:sz w:val="20"/>
          <w:szCs w:val="20"/>
          <w:lang w:val="es-ES"/>
        </w:rPr>
        <w:t xml:space="preserve"> </w:t>
      </w:r>
      <w:r w:rsidRPr="002A3A3B">
        <w:rPr>
          <w:rFonts w:ascii="Cambria" w:hAnsi="Cambria"/>
          <w:bCs/>
          <w:sz w:val="20"/>
          <w:szCs w:val="20"/>
          <w:lang w:val="es-ES"/>
        </w:rPr>
        <w:t>culturales) de la Convención Americana, en relación con su artículo 1.1 (</w:t>
      </w:r>
      <w:r w:rsidRPr="002A3A3B">
        <w:rPr>
          <w:rFonts w:asciiTheme="majorHAnsi" w:hAnsiTheme="majorHAnsi"/>
          <w:sz w:val="20"/>
          <w:szCs w:val="20"/>
          <w:lang w:val="es-ES"/>
        </w:rPr>
        <w:t>obligación de respetar</w:t>
      </w:r>
      <w:r w:rsidR="009F77E7" w:rsidRPr="002A3A3B">
        <w:rPr>
          <w:rFonts w:asciiTheme="majorHAnsi" w:hAnsiTheme="majorHAnsi"/>
          <w:sz w:val="20"/>
          <w:szCs w:val="20"/>
          <w:lang w:val="es-ES"/>
        </w:rPr>
        <w:t xml:space="preserve"> y garantizar</w:t>
      </w:r>
      <w:r w:rsidRPr="002A3A3B">
        <w:rPr>
          <w:rFonts w:asciiTheme="majorHAnsi" w:hAnsiTheme="majorHAnsi"/>
          <w:sz w:val="20"/>
          <w:szCs w:val="20"/>
          <w:lang w:val="es-ES"/>
        </w:rPr>
        <w:t xml:space="preserve"> los derechos), en perjuicio del señor Quispe Lázaro. </w:t>
      </w:r>
    </w:p>
    <w:p w14:paraId="62525BEF" w14:textId="683D11F2" w:rsidR="00854886" w:rsidRPr="002A3A3B" w:rsidRDefault="00854886" w:rsidP="0085488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2A3A3B">
        <w:rPr>
          <w:rFonts w:asciiTheme="majorHAnsi" w:hAnsiTheme="majorHAnsi"/>
          <w:sz w:val="20"/>
          <w:szCs w:val="20"/>
          <w:lang w:val="es-ES"/>
        </w:rPr>
        <w:t>Finalmente, respecto de la alegada vulneración a</w:t>
      </w:r>
      <w:r w:rsidR="00325C3F" w:rsidRPr="002A3A3B">
        <w:rPr>
          <w:rFonts w:asciiTheme="majorHAnsi" w:hAnsiTheme="majorHAnsi"/>
          <w:sz w:val="20"/>
          <w:szCs w:val="20"/>
          <w:lang w:val="es-ES"/>
        </w:rPr>
        <w:t xml:space="preserve"> los </w:t>
      </w:r>
      <w:r w:rsidRPr="002A3A3B">
        <w:rPr>
          <w:rFonts w:asciiTheme="majorHAnsi" w:hAnsiTheme="majorHAnsi"/>
          <w:sz w:val="20"/>
          <w:szCs w:val="20"/>
          <w:lang w:val="es-ES"/>
        </w:rPr>
        <w:t>derecho</w:t>
      </w:r>
      <w:r w:rsidR="00325C3F" w:rsidRPr="002A3A3B">
        <w:rPr>
          <w:rFonts w:asciiTheme="majorHAnsi" w:hAnsiTheme="majorHAnsi"/>
          <w:sz w:val="20"/>
          <w:szCs w:val="20"/>
          <w:lang w:val="es-ES"/>
        </w:rPr>
        <w:t>s</w:t>
      </w:r>
      <w:r w:rsidRPr="002A3A3B">
        <w:rPr>
          <w:rFonts w:asciiTheme="majorHAnsi" w:hAnsiTheme="majorHAnsi"/>
          <w:sz w:val="20"/>
          <w:szCs w:val="20"/>
          <w:lang w:val="es-ES"/>
        </w:rPr>
        <w:t xml:space="preserve"> contemplado</w:t>
      </w:r>
      <w:r w:rsidR="00325C3F" w:rsidRPr="002A3A3B">
        <w:rPr>
          <w:rFonts w:asciiTheme="majorHAnsi" w:hAnsiTheme="majorHAnsi"/>
          <w:sz w:val="20"/>
          <w:szCs w:val="20"/>
          <w:lang w:val="es-ES"/>
        </w:rPr>
        <w:t>s</w:t>
      </w:r>
      <w:r w:rsidRPr="002A3A3B">
        <w:rPr>
          <w:rFonts w:asciiTheme="majorHAnsi" w:hAnsiTheme="majorHAnsi"/>
          <w:sz w:val="20"/>
          <w:szCs w:val="20"/>
          <w:lang w:val="es-ES"/>
        </w:rPr>
        <w:t xml:space="preserve"> en l</w:t>
      </w:r>
      <w:r w:rsidR="00325C3F" w:rsidRPr="002A3A3B">
        <w:rPr>
          <w:rFonts w:asciiTheme="majorHAnsi" w:hAnsiTheme="majorHAnsi"/>
          <w:sz w:val="20"/>
          <w:szCs w:val="20"/>
          <w:lang w:val="es-ES"/>
        </w:rPr>
        <w:t>os</w:t>
      </w:r>
      <w:r w:rsidRPr="002A3A3B">
        <w:rPr>
          <w:rFonts w:asciiTheme="majorHAnsi" w:hAnsiTheme="majorHAnsi"/>
          <w:sz w:val="20"/>
          <w:szCs w:val="20"/>
          <w:lang w:val="es-ES"/>
        </w:rPr>
        <w:t xml:space="preserve"> artículo</w:t>
      </w:r>
      <w:r w:rsidR="00325C3F" w:rsidRPr="002A3A3B">
        <w:rPr>
          <w:rFonts w:asciiTheme="majorHAnsi" w:hAnsiTheme="majorHAnsi"/>
          <w:sz w:val="20"/>
          <w:szCs w:val="20"/>
          <w:lang w:val="es-ES"/>
        </w:rPr>
        <w:t>s</w:t>
      </w:r>
      <w:r w:rsidRPr="002A3A3B">
        <w:rPr>
          <w:rFonts w:asciiTheme="majorHAnsi" w:hAnsiTheme="majorHAnsi"/>
          <w:sz w:val="20"/>
          <w:szCs w:val="20"/>
          <w:lang w:val="es-ES"/>
        </w:rPr>
        <w:t xml:space="preserve"> 5 (derecho a la integridad personal)</w:t>
      </w:r>
      <w:r w:rsidR="00325C3F" w:rsidRPr="002A3A3B">
        <w:rPr>
          <w:rFonts w:asciiTheme="majorHAnsi" w:hAnsiTheme="majorHAnsi"/>
          <w:sz w:val="20"/>
          <w:szCs w:val="20"/>
          <w:lang w:val="es-ES"/>
        </w:rPr>
        <w:t xml:space="preserve"> y 11 (protección de la honra y de la dignidad) </w:t>
      </w:r>
      <w:r w:rsidRPr="002A3A3B">
        <w:rPr>
          <w:rFonts w:asciiTheme="majorHAnsi" w:hAnsiTheme="majorHAnsi"/>
          <w:sz w:val="20"/>
          <w:szCs w:val="20"/>
          <w:lang w:val="es-ES"/>
        </w:rPr>
        <w:t xml:space="preserve">de la Convención Americana, la Comisión considera que no se aportan suficientes elementos y/o argumentos a efectos de declarar su admisibilidad. </w:t>
      </w:r>
    </w:p>
    <w:p w14:paraId="445BF42E" w14:textId="77777777" w:rsidR="003239B8" w:rsidRPr="002A3A3B" w:rsidRDefault="003239B8" w:rsidP="003239B8">
      <w:pPr>
        <w:pStyle w:val="ListParagraph"/>
        <w:spacing w:before="240" w:after="240"/>
        <w:jc w:val="both"/>
        <w:rPr>
          <w:rFonts w:asciiTheme="majorHAnsi" w:hAnsiTheme="majorHAnsi"/>
          <w:b/>
          <w:bCs/>
          <w:sz w:val="20"/>
          <w:szCs w:val="20"/>
          <w:lang w:val="es-ES"/>
        </w:rPr>
      </w:pPr>
      <w:r w:rsidRPr="002A3A3B">
        <w:rPr>
          <w:rFonts w:asciiTheme="majorHAnsi" w:hAnsiTheme="majorHAnsi"/>
          <w:b/>
          <w:bCs/>
          <w:sz w:val="20"/>
          <w:szCs w:val="20"/>
          <w:lang w:val="es-ES"/>
        </w:rPr>
        <w:t xml:space="preserve">VIII. </w:t>
      </w:r>
      <w:r w:rsidRPr="002A3A3B">
        <w:rPr>
          <w:rFonts w:asciiTheme="majorHAnsi" w:hAnsiTheme="majorHAnsi"/>
          <w:b/>
          <w:bCs/>
          <w:sz w:val="20"/>
          <w:szCs w:val="20"/>
          <w:lang w:val="es-ES"/>
        </w:rPr>
        <w:tab/>
        <w:t>DECISIÓN</w:t>
      </w:r>
    </w:p>
    <w:p w14:paraId="547DFF8E" w14:textId="242F9C32" w:rsidR="000419AD" w:rsidRPr="002A3A3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sidRPr="002A3A3B">
        <w:rPr>
          <w:rFonts w:asciiTheme="majorHAnsi" w:hAnsiTheme="majorHAnsi"/>
          <w:sz w:val="20"/>
          <w:szCs w:val="20"/>
          <w:lang w:val="es-ES"/>
        </w:rPr>
        <w:t>Declarar admisible la presente petición en relación con</w:t>
      </w:r>
      <w:r w:rsidR="001D7F96" w:rsidRPr="002A3A3B">
        <w:rPr>
          <w:rFonts w:asciiTheme="majorHAnsi" w:hAnsiTheme="majorHAnsi"/>
          <w:sz w:val="20"/>
          <w:szCs w:val="20"/>
          <w:lang w:val="es-ES"/>
        </w:rPr>
        <w:t xml:space="preserve"> </w:t>
      </w:r>
      <w:r w:rsidR="00854886" w:rsidRPr="002A3A3B">
        <w:rPr>
          <w:rFonts w:asciiTheme="majorHAnsi" w:hAnsiTheme="majorHAnsi"/>
          <w:sz w:val="20"/>
          <w:szCs w:val="20"/>
          <w:lang w:val="es-ES"/>
        </w:rPr>
        <w:t>7, 10, 24, 25 y 26 de la Convención Americana</w:t>
      </w:r>
      <w:r w:rsidR="00A758AA" w:rsidRPr="002A3A3B">
        <w:rPr>
          <w:rFonts w:asciiTheme="majorHAnsi" w:hAnsiTheme="majorHAnsi"/>
          <w:sz w:val="20"/>
          <w:szCs w:val="20"/>
          <w:lang w:val="es-ES"/>
        </w:rPr>
        <w:t>;</w:t>
      </w:r>
      <w:r w:rsidR="007B76D3" w:rsidRPr="002A3A3B">
        <w:rPr>
          <w:rFonts w:asciiTheme="majorHAnsi" w:hAnsiTheme="majorHAnsi"/>
          <w:sz w:val="20"/>
          <w:szCs w:val="20"/>
          <w:lang w:val="es-ES"/>
        </w:rPr>
        <w:t xml:space="preserve"> </w:t>
      </w:r>
    </w:p>
    <w:p w14:paraId="490EA525" w14:textId="6C14AFFF" w:rsidR="00854886" w:rsidRPr="002A3A3B" w:rsidRDefault="00854886" w:rsidP="008548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3A3B">
        <w:rPr>
          <w:rFonts w:asciiTheme="majorHAnsi" w:hAnsiTheme="majorHAnsi"/>
          <w:sz w:val="20"/>
          <w:szCs w:val="20"/>
          <w:lang w:val="es-ES"/>
        </w:rPr>
        <w:t xml:space="preserve">Declarar inadmisible la presente petición en relación con el artículo 5 </w:t>
      </w:r>
      <w:r w:rsidR="00325C3F" w:rsidRPr="002A3A3B">
        <w:rPr>
          <w:rFonts w:asciiTheme="majorHAnsi" w:hAnsiTheme="majorHAnsi"/>
          <w:sz w:val="20"/>
          <w:szCs w:val="20"/>
          <w:lang w:val="es-ES"/>
        </w:rPr>
        <w:t xml:space="preserve">y 11 </w:t>
      </w:r>
      <w:r w:rsidRPr="002A3A3B">
        <w:rPr>
          <w:rFonts w:asciiTheme="majorHAnsi" w:hAnsiTheme="majorHAnsi"/>
          <w:sz w:val="20"/>
          <w:szCs w:val="20"/>
          <w:lang w:val="es-ES"/>
        </w:rPr>
        <w:t>de la Convención Americana</w:t>
      </w:r>
      <w:r w:rsidR="001A5561">
        <w:rPr>
          <w:rFonts w:asciiTheme="majorHAnsi" w:hAnsiTheme="majorHAnsi"/>
          <w:sz w:val="20"/>
          <w:szCs w:val="20"/>
          <w:lang w:val="es-ES"/>
        </w:rPr>
        <w:t xml:space="preserve">, </w:t>
      </w:r>
      <w:r w:rsidRPr="002A3A3B">
        <w:rPr>
          <w:rFonts w:asciiTheme="majorHAnsi" w:hAnsiTheme="majorHAnsi"/>
          <w:sz w:val="20"/>
          <w:szCs w:val="20"/>
          <w:lang w:val="es-ES"/>
        </w:rPr>
        <w:t>y</w:t>
      </w:r>
      <w:r w:rsidR="001A5561">
        <w:rPr>
          <w:rFonts w:asciiTheme="majorHAnsi" w:hAnsiTheme="majorHAnsi"/>
          <w:sz w:val="20"/>
          <w:szCs w:val="20"/>
          <w:lang w:val="es-ES"/>
        </w:rPr>
        <w:t>;</w:t>
      </w:r>
    </w:p>
    <w:p w14:paraId="00C1D3B7" w14:textId="20A6804C" w:rsidR="008D768D" w:rsidRPr="002A3A3B"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A3A3B">
        <w:rPr>
          <w:rFonts w:asciiTheme="majorHAnsi" w:hAnsiTheme="majorHAnsi"/>
          <w:color w:val="000000" w:themeColor="text1"/>
          <w:sz w:val="20"/>
          <w:szCs w:val="20"/>
          <w:lang w:val="es-ES"/>
        </w:rPr>
        <w:t>Notificar a las partes la presente decisión; continuar con el análisis del fondo de la cuestión</w:t>
      </w:r>
      <w:r w:rsidRPr="002A3A3B">
        <w:rPr>
          <w:rFonts w:asciiTheme="majorHAnsi" w:hAnsiTheme="majorHAnsi"/>
          <w:sz w:val="20"/>
          <w:szCs w:val="20"/>
          <w:lang w:val="es-ES"/>
        </w:rPr>
        <w:t>; y publicar esta decisión e incluirla en su Informe Anual a la Asamblea General de la Organización de los Estados Americanos.</w:t>
      </w:r>
    </w:p>
    <w:p w14:paraId="02C904B2" w14:textId="7B914BD6" w:rsidR="009A56CE" w:rsidRPr="00063F43" w:rsidRDefault="00E1299A" w:rsidP="00063F4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21 días del mes de </w:t>
      </w:r>
      <w:r w:rsidR="00EC4EA6">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w:t>
      </w:r>
      <w:r w:rsidR="00EC4EA6">
        <w:rPr>
          <w:rStyle w:val="normaltextrun"/>
          <w:rFonts w:ascii="Cambria" w:hAnsi="Cambria" w:cs="Segoe UI"/>
          <w:sz w:val="20"/>
          <w:szCs w:val="20"/>
          <w:lang w:val="es-CL"/>
        </w:rPr>
        <w:t>2</w:t>
      </w:r>
      <w:r>
        <w:rPr>
          <w:rStyle w:val="normaltextrun"/>
          <w:rFonts w:ascii="Cambria" w:hAnsi="Cambria" w:cs="Segoe UI"/>
          <w:sz w:val="20"/>
          <w:szCs w:val="20"/>
          <w:lang w:val="es-CL"/>
        </w:rPr>
        <w:t>.</w:t>
      </w:r>
      <w:r w:rsidR="00063F43">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Stuardo Ralón Orellana, Primer Vicepresidente; Esmeralda Arosemena de Troitiño, Joel Hernández y Carlos Bernal Pulido, </w:t>
      </w:r>
      <w:r w:rsidR="00063F4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9A56CE" w:rsidRPr="00063F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5440" w14:textId="77777777" w:rsidR="009A26E3" w:rsidRDefault="009A26E3">
      <w:r>
        <w:separator/>
      </w:r>
    </w:p>
  </w:endnote>
  <w:endnote w:type="continuationSeparator" w:id="0">
    <w:p w14:paraId="7454CAA9" w14:textId="77777777" w:rsidR="009A26E3" w:rsidRDefault="009A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4FD5" w14:textId="77777777" w:rsidR="009A26E3" w:rsidRPr="000F35ED" w:rsidRDefault="009A26E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E12D42" w14:textId="77777777" w:rsidR="009A26E3" w:rsidRPr="000F35ED" w:rsidRDefault="009A26E3" w:rsidP="000F35ED">
      <w:pPr>
        <w:rPr>
          <w:rFonts w:asciiTheme="majorHAnsi" w:hAnsiTheme="majorHAnsi"/>
          <w:sz w:val="16"/>
          <w:szCs w:val="16"/>
        </w:rPr>
      </w:pPr>
      <w:r w:rsidRPr="000F35ED">
        <w:rPr>
          <w:rFonts w:asciiTheme="majorHAnsi" w:hAnsiTheme="majorHAnsi"/>
          <w:sz w:val="16"/>
          <w:szCs w:val="16"/>
        </w:rPr>
        <w:separator/>
      </w:r>
    </w:p>
    <w:p w14:paraId="73921B4F" w14:textId="77777777" w:rsidR="009A26E3" w:rsidRPr="000F35ED" w:rsidRDefault="009A26E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1D0958F" w14:textId="77777777" w:rsidR="009A26E3" w:rsidRPr="000F35ED" w:rsidRDefault="009A26E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C1F9DF" w14:textId="4CC2A844" w:rsidR="00E023B8" w:rsidRPr="00306F33" w:rsidRDefault="00E023B8" w:rsidP="001D0B0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xml:space="preserve">, no participó en el debate ni en la decisión </w:t>
      </w:r>
      <w:r w:rsidR="00A607C4">
        <w:rPr>
          <w:rFonts w:asciiTheme="majorHAnsi" w:hAnsiTheme="majorHAnsi"/>
          <w:sz w:val="16"/>
          <w:szCs w:val="16"/>
          <w:lang w:val="es-ES"/>
        </w:rPr>
        <w:t>de este</w:t>
      </w:r>
      <w:r w:rsidRPr="00306F33">
        <w:rPr>
          <w:rFonts w:asciiTheme="majorHAnsi" w:hAnsiTheme="majorHAnsi"/>
          <w:sz w:val="16"/>
          <w:szCs w:val="16"/>
          <w:lang w:val="es-ES"/>
        </w:rPr>
        <w:t xml:space="preserve"> asunto.</w:t>
      </w:r>
    </w:p>
  </w:footnote>
  <w:footnote w:id="3">
    <w:p w14:paraId="7D801E79" w14:textId="77777777" w:rsidR="00E023B8" w:rsidRPr="00A65483" w:rsidRDefault="00E023B8" w:rsidP="001D0B07">
      <w:pPr>
        <w:pStyle w:val="FootnoteText"/>
        <w:ind w:firstLine="720"/>
        <w:jc w:val="both"/>
        <w:rPr>
          <w:rFonts w:asciiTheme="majorHAnsi" w:hAnsiTheme="majorHAnsi"/>
          <w:sz w:val="16"/>
          <w:szCs w:val="16"/>
          <w:lang w:val="es-ES"/>
        </w:rPr>
      </w:pPr>
      <w:r w:rsidRPr="00A65483">
        <w:rPr>
          <w:rStyle w:val="FootnoteReference"/>
          <w:rFonts w:asciiTheme="majorHAnsi" w:hAnsiTheme="majorHAnsi"/>
          <w:sz w:val="16"/>
          <w:szCs w:val="16"/>
        </w:rPr>
        <w:footnoteRef/>
      </w:r>
      <w:r w:rsidRPr="00A65483">
        <w:rPr>
          <w:rFonts w:asciiTheme="majorHAnsi" w:hAnsiTheme="majorHAnsi"/>
          <w:sz w:val="16"/>
          <w:szCs w:val="16"/>
          <w:lang w:val="es-ES"/>
        </w:rPr>
        <w:t xml:space="preserve"> En adelante “la Convención Americana” o “la Convención”</w:t>
      </w:r>
    </w:p>
  </w:footnote>
  <w:footnote w:id="4">
    <w:p w14:paraId="1AFEF3B0" w14:textId="658CFE37" w:rsidR="008E3BFE" w:rsidRPr="00306F33" w:rsidRDefault="008E3BFE" w:rsidP="00306F33">
      <w:pPr>
        <w:pStyle w:val="FootnoteText"/>
        <w:ind w:firstLine="720"/>
        <w:jc w:val="both"/>
        <w:rPr>
          <w:rFonts w:asciiTheme="majorHAnsi" w:hAnsiTheme="majorHAnsi"/>
          <w:sz w:val="16"/>
          <w:szCs w:val="16"/>
          <w:lang w:val="es-ES"/>
        </w:rPr>
      </w:pPr>
      <w:r w:rsidRPr="00A55DFC">
        <w:rPr>
          <w:rStyle w:val="FootnoteReference"/>
          <w:rFonts w:asciiTheme="majorHAnsi" w:hAnsiTheme="majorHAnsi"/>
          <w:sz w:val="16"/>
          <w:szCs w:val="16"/>
        </w:rPr>
        <w:footnoteRef/>
      </w:r>
      <w:r w:rsidRPr="00A55DFC">
        <w:rPr>
          <w:rFonts w:asciiTheme="majorHAnsi" w:hAnsiTheme="majorHAnsi"/>
          <w:sz w:val="16"/>
          <w:szCs w:val="16"/>
          <w:lang w:val="es-ES"/>
        </w:rPr>
        <w:t xml:space="preserve"> Las observaciones de cada parte fueron debidamente trasladadas a la parte contraria.</w:t>
      </w:r>
      <w:r w:rsidR="009A56CE" w:rsidRPr="00A55DFC">
        <w:rPr>
          <w:rFonts w:asciiTheme="majorHAnsi" w:hAnsiTheme="majorHAnsi"/>
          <w:sz w:val="16"/>
          <w:szCs w:val="16"/>
          <w:lang w:val="es-ES"/>
        </w:rPr>
        <w:t xml:space="preserve"> </w:t>
      </w:r>
    </w:p>
  </w:footnote>
  <w:footnote w:id="5">
    <w:p w14:paraId="28AA3043" w14:textId="7D90ECEB" w:rsidR="00C614B6" w:rsidRPr="00243C00" w:rsidRDefault="00C614B6" w:rsidP="00C614B6">
      <w:pPr>
        <w:pStyle w:val="FootnoteText"/>
        <w:ind w:firstLine="720"/>
        <w:jc w:val="both"/>
        <w:rPr>
          <w:rFonts w:asciiTheme="majorHAnsi" w:hAnsiTheme="majorHAnsi"/>
          <w:sz w:val="16"/>
          <w:szCs w:val="16"/>
          <w:lang w:val="es-US"/>
        </w:rPr>
      </w:pPr>
      <w:r w:rsidRPr="00C614B6">
        <w:rPr>
          <w:rStyle w:val="FootnoteReference"/>
          <w:rFonts w:asciiTheme="majorHAnsi" w:hAnsiTheme="majorHAnsi"/>
          <w:sz w:val="16"/>
          <w:szCs w:val="16"/>
        </w:rPr>
        <w:footnoteRef/>
      </w:r>
      <w:r w:rsidRPr="00086129">
        <w:rPr>
          <w:rFonts w:asciiTheme="majorHAnsi" w:hAnsiTheme="majorHAnsi"/>
          <w:sz w:val="16"/>
          <w:szCs w:val="16"/>
          <w:lang w:val="es-US"/>
        </w:rPr>
        <w:t xml:space="preserve"> Cfr. CIDH, Informe </w:t>
      </w:r>
      <w:r w:rsidR="002A3A3B" w:rsidRPr="00086129">
        <w:rPr>
          <w:rFonts w:asciiTheme="majorHAnsi" w:hAnsiTheme="majorHAnsi"/>
          <w:sz w:val="16"/>
          <w:szCs w:val="16"/>
          <w:lang w:val="es-US"/>
        </w:rPr>
        <w:t>N.º 102</w:t>
      </w:r>
      <w:r w:rsidRPr="00086129">
        <w:rPr>
          <w:rFonts w:asciiTheme="majorHAnsi" w:hAnsiTheme="majorHAnsi"/>
          <w:sz w:val="16"/>
          <w:szCs w:val="16"/>
          <w:lang w:val="es-US"/>
        </w:rPr>
        <w:t xml:space="preserve">/17. </w:t>
      </w:r>
      <w:r w:rsidRPr="00C614B6">
        <w:rPr>
          <w:rFonts w:asciiTheme="majorHAnsi" w:hAnsiTheme="majorHAnsi"/>
          <w:sz w:val="16"/>
          <w:szCs w:val="16"/>
          <w:lang w:val="es-ES"/>
        </w:rPr>
        <w:t xml:space="preserve">Admisibilidad. Petición 383-08. Hebe Alicia López Osuna vs. </w:t>
      </w:r>
      <w:r>
        <w:rPr>
          <w:rFonts w:asciiTheme="majorHAnsi" w:hAnsiTheme="majorHAnsi"/>
          <w:sz w:val="16"/>
          <w:szCs w:val="16"/>
          <w:lang w:val="es-ES"/>
        </w:rPr>
        <w:t xml:space="preserve">Argentina. 7 de septiembre de 2017, </w:t>
      </w:r>
      <w:r w:rsidRPr="00C614B6">
        <w:rPr>
          <w:rFonts w:asciiTheme="majorHAnsi" w:hAnsiTheme="majorHAnsi"/>
          <w:sz w:val="16"/>
          <w:szCs w:val="16"/>
          <w:lang w:val="es-ES"/>
        </w:rPr>
        <w:t xml:space="preserve">párr. </w:t>
      </w:r>
      <w:r w:rsidRPr="00243C00">
        <w:rPr>
          <w:rFonts w:asciiTheme="majorHAnsi" w:hAnsiTheme="majorHAnsi"/>
          <w:sz w:val="16"/>
          <w:szCs w:val="16"/>
          <w:lang w:val="es-US"/>
        </w:rPr>
        <w:t xml:space="preserve">11. </w:t>
      </w:r>
    </w:p>
  </w:footnote>
  <w:footnote w:id="6">
    <w:p w14:paraId="1B8246FB" w14:textId="77777777" w:rsidR="00CC1BA1" w:rsidRPr="006627B5" w:rsidRDefault="00CC1BA1" w:rsidP="00CC1BA1">
      <w:pPr>
        <w:pStyle w:val="FootnoteText"/>
        <w:ind w:firstLine="720"/>
        <w:jc w:val="both"/>
        <w:rPr>
          <w:rFonts w:ascii="Cambria" w:hAnsi="Cambria"/>
          <w:sz w:val="16"/>
          <w:szCs w:val="16"/>
          <w:lang w:val="es-ES"/>
        </w:rPr>
      </w:pPr>
      <w:r w:rsidRPr="006627B5">
        <w:rPr>
          <w:rStyle w:val="FootnoteReference"/>
          <w:rFonts w:ascii="Cambria" w:hAnsi="Cambria"/>
          <w:sz w:val="16"/>
          <w:szCs w:val="16"/>
        </w:rPr>
        <w:footnoteRef/>
      </w:r>
      <w:r w:rsidRPr="006627B5">
        <w:rPr>
          <w:rFonts w:ascii="Cambria" w:hAnsi="Cambria"/>
          <w:sz w:val="16"/>
          <w:szCs w:val="16"/>
          <w:lang w:val="es-ES"/>
        </w:rPr>
        <w:t xml:space="preserve"> CIDH, Informe No. 143/18, Petición 940-08. Admisibilidad. Luis Américo Ayala Gonzales. Perú. 4 de diciembre de 2018, párr. </w:t>
      </w:r>
      <w:r w:rsidRPr="008F6AD8">
        <w:rPr>
          <w:rFonts w:ascii="Cambria" w:hAnsi="Cambria"/>
          <w:sz w:val="16"/>
          <w:szCs w:val="16"/>
          <w:lang w:val="es-ES"/>
        </w:rPr>
        <w:t>12.</w:t>
      </w:r>
    </w:p>
  </w:footnote>
  <w:footnote w:id="7">
    <w:p w14:paraId="32A2829D" w14:textId="362F3A89" w:rsidR="005223FE" w:rsidRPr="00243C00" w:rsidRDefault="005223FE" w:rsidP="00C614B6">
      <w:pPr>
        <w:pStyle w:val="FootnoteText"/>
        <w:ind w:firstLine="720"/>
        <w:jc w:val="both"/>
        <w:rPr>
          <w:rFonts w:asciiTheme="majorHAnsi" w:hAnsiTheme="majorHAnsi"/>
          <w:sz w:val="16"/>
          <w:szCs w:val="16"/>
          <w:lang w:val="es-US"/>
        </w:rPr>
      </w:pPr>
      <w:r w:rsidRPr="00C614B6">
        <w:rPr>
          <w:rStyle w:val="FootnoteReference"/>
          <w:rFonts w:asciiTheme="majorHAnsi" w:hAnsiTheme="majorHAnsi"/>
          <w:sz w:val="16"/>
          <w:szCs w:val="16"/>
        </w:rPr>
        <w:footnoteRef/>
      </w:r>
      <w:r w:rsidRPr="00243C00">
        <w:rPr>
          <w:rFonts w:asciiTheme="majorHAnsi" w:hAnsiTheme="majorHAnsi"/>
          <w:sz w:val="16"/>
          <w:szCs w:val="16"/>
          <w:lang w:val="es-US"/>
        </w:rPr>
        <w:t xml:space="preserve"> CIDH, Informe </w:t>
      </w:r>
      <w:r w:rsidR="002A3A3B" w:rsidRPr="00243C00">
        <w:rPr>
          <w:rFonts w:asciiTheme="majorHAnsi" w:hAnsiTheme="majorHAnsi"/>
          <w:sz w:val="16"/>
          <w:szCs w:val="16"/>
          <w:lang w:val="es-US"/>
        </w:rPr>
        <w:t>N.º 124</w:t>
      </w:r>
      <w:r w:rsidRPr="00243C00">
        <w:rPr>
          <w:rFonts w:asciiTheme="majorHAnsi" w:hAnsiTheme="majorHAnsi"/>
          <w:sz w:val="16"/>
          <w:szCs w:val="16"/>
          <w:lang w:val="es-US"/>
        </w:rPr>
        <w:t xml:space="preserve">/06. </w:t>
      </w:r>
      <w:r w:rsidRPr="00C614B6">
        <w:rPr>
          <w:rFonts w:asciiTheme="majorHAnsi" w:hAnsiTheme="majorHAnsi"/>
          <w:sz w:val="16"/>
          <w:szCs w:val="16"/>
          <w:lang w:val="es-ES"/>
        </w:rPr>
        <w:t xml:space="preserve">Fondo. Caso 11.500. Tomás Eduardo Cirio vs. Uruguay. 27 de octubre de 2006, párr. </w:t>
      </w:r>
      <w:r w:rsidRPr="00243C00">
        <w:rPr>
          <w:rFonts w:asciiTheme="majorHAnsi" w:hAnsiTheme="majorHAnsi"/>
          <w:sz w:val="16"/>
          <w:szCs w:val="16"/>
          <w:lang w:val="es-US"/>
        </w:rPr>
        <w:t>124.</w:t>
      </w:r>
    </w:p>
  </w:footnote>
  <w:footnote w:id="8">
    <w:p w14:paraId="17976F9A" w14:textId="0D69E990" w:rsidR="005223FE" w:rsidRPr="00211A7D" w:rsidRDefault="00211A7D" w:rsidP="005223FE">
      <w:pPr>
        <w:pStyle w:val="FootnoteText"/>
        <w:ind w:firstLine="720"/>
        <w:jc w:val="both"/>
        <w:rPr>
          <w:rFonts w:asciiTheme="majorHAnsi" w:hAnsiTheme="majorHAnsi"/>
          <w:sz w:val="16"/>
          <w:szCs w:val="16"/>
          <w:lang w:val="es-ES_tradnl"/>
        </w:rPr>
      </w:pPr>
      <w:r w:rsidRPr="005223FE">
        <w:rPr>
          <w:rStyle w:val="FootnoteReference"/>
          <w:rFonts w:asciiTheme="majorHAnsi" w:hAnsiTheme="majorHAnsi"/>
          <w:sz w:val="16"/>
          <w:szCs w:val="16"/>
          <w:lang w:val="es-ES_tradnl"/>
        </w:rPr>
        <w:footnoteRef/>
      </w:r>
      <w:r w:rsidRPr="00243C00">
        <w:rPr>
          <w:rFonts w:asciiTheme="majorHAnsi" w:hAnsiTheme="majorHAnsi"/>
          <w:sz w:val="16"/>
          <w:szCs w:val="16"/>
          <w:lang w:val="es-US"/>
        </w:rPr>
        <w:t xml:space="preserve"> CIDH, Informe </w:t>
      </w:r>
      <w:r w:rsidR="005223FE" w:rsidRPr="00243C00">
        <w:rPr>
          <w:rFonts w:asciiTheme="majorHAnsi" w:hAnsiTheme="majorHAnsi"/>
          <w:sz w:val="16"/>
          <w:szCs w:val="16"/>
          <w:lang w:val="es-US"/>
        </w:rPr>
        <w:t>N.º</w:t>
      </w:r>
      <w:r w:rsidRPr="00243C00">
        <w:rPr>
          <w:rFonts w:asciiTheme="majorHAnsi" w:hAnsiTheme="majorHAnsi"/>
          <w:sz w:val="16"/>
          <w:szCs w:val="16"/>
          <w:lang w:val="es-US"/>
        </w:rPr>
        <w:t xml:space="preserve"> 43/04</w:t>
      </w:r>
      <w:r w:rsidR="005223FE" w:rsidRPr="00243C00">
        <w:rPr>
          <w:rFonts w:asciiTheme="majorHAnsi" w:hAnsiTheme="majorHAnsi"/>
          <w:sz w:val="16"/>
          <w:szCs w:val="16"/>
          <w:lang w:val="es-US"/>
        </w:rPr>
        <w:t>.</w:t>
      </w:r>
      <w:r w:rsidRPr="00243C00">
        <w:rPr>
          <w:rFonts w:asciiTheme="majorHAnsi" w:hAnsiTheme="majorHAnsi"/>
          <w:sz w:val="16"/>
          <w:szCs w:val="16"/>
          <w:lang w:val="es-US"/>
        </w:rPr>
        <w:t xml:space="preserve"> </w:t>
      </w:r>
      <w:r w:rsidR="005223FE" w:rsidRPr="00243C00">
        <w:rPr>
          <w:rFonts w:asciiTheme="majorHAnsi" w:hAnsiTheme="majorHAnsi"/>
          <w:sz w:val="16"/>
          <w:szCs w:val="16"/>
          <w:lang w:val="es-US"/>
        </w:rPr>
        <w:t xml:space="preserve">Inadmisibilidad. </w:t>
      </w:r>
      <w:r w:rsidRPr="005223FE">
        <w:rPr>
          <w:rFonts w:asciiTheme="majorHAnsi" w:hAnsiTheme="majorHAnsi"/>
          <w:sz w:val="16"/>
          <w:szCs w:val="16"/>
          <w:lang w:val="es-ES_tradnl"/>
        </w:rPr>
        <w:t>Petición 306-99</w:t>
      </w:r>
      <w:r w:rsidR="005223FE" w:rsidRPr="005223FE">
        <w:rPr>
          <w:rFonts w:asciiTheme="majorHAnsi" w:hAnsiTheme="majorHAnsi"/>
          <w:sz w:val="16"/>
          <w:szCs w:val="16"/>
          <w:lang w:val="es-ES_tradnl"/>
        </w:rPr>
        <w:t xml:space="preserve">. </w:t>
      </w:r>
      <w:r w:rsidRPr="005223FE">
        <w:rPr>
          <w:rFonts w:asciiTheme="majorHAnsi" w:hAnsiTheme="majorHAnsi"/>
          <w:sz w:val="16"/>
          <w:szCs w:val="16"/>
          <w:lang w:val="es-ES_tradnl"/>
        </w:rPr>
        <w:t>Yalmileth Rojas Piedras vs. Costa Rica</w:t>
      </w:r>
      <w:r w:rsidR="005223FE" w:rsidRPr="005223FE">
        <w:rPr>
          <w:rFonts w:asciiTheme="majorHAnsi" w:hAnsiTheme="majorHAnsi"/>
          <w:sz w:val="16"/>
          <w:szCs w:val="16"/>
          <w:lang w:val="es-ES_tradnl"/>
        </w:rPr>
        <w:t xml:space="preserve">. 10 de octubre de 2004, </w:t>
      </w:r>
      <w:r w:rsidRPr="005223FE">
        <w:rPr>
          <w:rFonts w:asciiTheme="majorHAnsi" w:hAnsiTheme="majorHAnsi"/>
          <w:sz w:val="16"/>
          <w:szCs w:val="16"/>
          <w:lang w:val="es-ES_tradnl"/>
        </w:rPr>
        <w:t>párr. 64</w:t>
      </w:r>
      <w:r w:rsidR="005223FE" w:rsidRPr="005223FE">
        <w:rPr>
          <w:rFonts w:asciiTheme="majorHAnsi" w:hAnsiTheme="majorHAnsi"/>
          <w:sz w:val="16"/>
          <w:szCs w:val="16"/>
          <w:lang w:val="es-ES_tradnl"/>
        </w:rPr>
        <w:t>; párr. 4</w:t>
      </w:r>
      <w:r w:rsidR="005223FE">
        <w:rPr>
          <w:rFonts w:asciiTheme="majorHAnsi" w:hAnsiTheme="majorHAnsi"/>
          <w:sz w:val="16"/>
          <w:szCs w:val="16"/>
          <w:lang w:val="es-ES_tradnl"/>
        </w:rPr>
        <w:t xml:space="preserve">3. </w:t>
      </w:r>
      <w:r w:rsidR="005223FE" w:rsidRPr="005223FE">
        <w:rPr>
          <w:rFonts w:asciiTheme="majorHAnsi" w:hAnsiTheme="majorHAnsi"/>
          <w:sz w:val="16"/>
          <w:szCs w:val="16"/>
          <w:lang w:val="es-ES_tradnl"/>
        </w:rPr>
        <w:t>I</w:t>
      </w:r>
      <w:r w:rsidR="005223FE">
        <w:rPr>
          <w:rFonts w:asciiTheme="majorHAnsi" w:hAnsiTheme="majorHAnsi"/>
          <w:sz w:val="16"/>
          <w:szCs w:val="16"/>
          <w:lang w:val="es-ES_tradnl"/>
        </w:rPr>
        <w:t>nforme</w:t>
      </w:r>
      <w:r w:rsidR="005223FE" w:rsidRPr="005223FE">
        <w:rPr>
          <w:rFonts w:asciiTheme="majorHAnsi" w:hAnsiTheme="majorHAnsi"/>
          <w:sz w:val="16"/>
          <w:szCs w:val="16"/>
          <w:lang w:val="es-ES_tradnl"/>
        </w:rPr>
        <w:t xml:space="preserve"> N.º 3/02</w:t>
      </w:r>
      <w:r w:rsidR="005223FE">
        <w:rPr>
          <w:rFonts w:asciiTheme="majorHAnsi" w:hAnsiTheme="majorHAnsi"/>
          <w:sz w:val="16"/>
          <w:szCs w:val="16"/>
          <w:lang w:val="es-ES_tradnl"/>
        </w:rPr>
        <w:t>. Admisibilidad. Petición 11.498. Jorge Fernando Grande vs. Argentina. 27 de febrero de 2002, párr. 43.</w:t>
      </w:r>
    </w:p>
    <w:p w14:paraId="7BD64A87" w14:textId="6D095939" w:rsidR="00211A7D" w:rsidRPr="00211A7D" w:rsidRDefault="00211A7D" w:rsidP="005223FE">
      <w:pPr>
        <w:pStyle w:val="FootnoteText"/>
        <w:ind w:firstLine="720"/>
        <w:jc w:val="both"/>
        <w:rPr>
          <w:rFonts w:asciiTheme="majorHAnsi" w:hAnsiTheme="majorHAnsi"/>
          <w:sz w:val="16"/>
          <w:szCs w:val="16"/>
          <w:lang w:val="es-ES_tradnl"/>
        </w:rPr>
      </w:pPr>
    </w:p>
  </w:footnote>
  <w:footnote w:id="9">
    <w:p w14:paraId="5D6ECEC6" w14:textId="6AC1F3C3" w:rsidR="00325C3F" w:rsidRPr="00325C3F" w:rsidRDefault="00325C3F" w:rsidP="00325C3F">
      <w:pPr>
        <w:pStyle w:val="FootnoteText"/>
        <w:ind w:firstLine="720"/>
        <w:jc w:val="both"/>
        <w:rPr>
          <w:rFonts w:asciiTheme="majorHAnsi" w:hAnsiTheme="majorHAnsi"/>
          <w:sz w:val="16"/>
          <w:szCs w:val="16"/>
          <w:lang w:val="es-ES_tradnl"/>
        </w:rPr>
      </w:pPr>
      <w:r w:rsidRPr="00325C3F">
        <w:rPr>
          <w:rStyle w:val="FootnoteReference"/>
          <w:rFonts w:asciiTheme="majorHAnsi" w:hAnsiTheme="majorHAnsi"/>
          <w:sz w:val="16"/>
          <w:szCs w:val="16"/>
          <w:lang w:val="es-ES_tradnl"/>
        </w:rPr>
        <w:footnoteRef/>
      </w:r>
      <w:r w:rsidRPr="00325C3F">
        <w:rPr>
          <w:rFonts w:asciiTheme="majorHAnsi" w:hAnsiTheme="majorHAnsi"/>
          <w:sz w:val="16"/>
          <w:szCs w:val="16"/>
          <w:lang w:val="es-ES_tradnl"/>
        </w:rPr>
        <w:t xml:space="preserve"> Corte IDH. Caso Cuya Lavy y otros Vs. Perú. Excepciones preliminares, Fondo, Reparaciones y Costas. Sentencia de 28 de septiembre de 2021. Serie C No. 438</w:t>
      </w:r>
      <w:r w:rsidR="007B4DAA">
        <w:rPr>
          <w:rFonts w:asciiTheme="majorHAnsi" w:hAnsiTheme="majorHAnsi"/>
          <w:sz w:val="16"/>
          <w:szCs w:val="16"/>
          <w:lang w:val="es-ES_tradnl"/>
        </w:rPr>
        <w:t>, párr. 47.</w:t>
      </w:r>
    </w:p>
  </w:footnote>
  <w:footnote w:id="10">
    <w:p w14:paraId="25D89241" w14:textId="0BE2D0F8" w:rsidR="00325C3F" w:rsidRPr="00325C3F" w:rsidRDefault="00325C3F" w:rsidP="00325C3F">
      <w:pPr>
        <w:pStyle w:val="FootnoteText"/>
        <w:ind w:firstLine="720"/>
        <w:rPr>
          <w:rFonts w:asciiTheme="majorHAnsi" w:hAnsiTheme="majorHAnsi"/>
          <w:sz w:val="16"/>
          <w:szCs w:val="16"/>
          <w:lang w:val="es-ES"/>
        </w:rPr>
      </w:pPr>
      <w:r w:rsidRPr="00325C3F">
        <w:rPr>
          <w:rStyle w:val="FootnoteReference"/>
          <w:rFonts w:asciiTheme="majorHAnsi" w:hAnsiTheme="majorHAnsi"/>
          <w:sz w:val="16"/>
          <w:szCs w:val="16"/>
        </w:rPr>
        <w:footnoteRef/>
      </w:r>
      <w:r w:rsidRPr="00325C3F">
        <w:rPr>
          <w:rFonts w:asciiTheme="majorHAnsi" w:hAnsiTheme="majorHAnsi"/>
          <w:sz w:val="16"/>
          <w:szCs w:val="16"/>
          <w:lang w:val="es-ES"/>
        </w:rPr>
        <w:t xml:space="preserve"> CIDH. Informe No. 25/18. Caso 12.428. Admisibilidad y Fondo. Empleados de la Fábrica de Fuegos en Santo Antonio de Jesus y sus familiares. Brasil. 2 de marzo de 2018, párr.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B660D"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A467F9C"/>
    <w:lvl w:ilvl="0" w:tplc="181A1232">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6F20FE9"/>
    <w:multiLevelType w:val="multilevel"/>
    <w:tmpl w:val="2714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75380938">
    <w:abstractNumId w:val="3"/>
  </w:num>
  <w:num w:numId="2" w16cid:durableId="769739327">
    <w:abstractNumId w:val="5"/>
  </w:num>
  <w:num w:numId="3" w16cid:durableId="279843159">
    <w:abstractNumId w:val="54"/>
  </w:num>
  <w:num w:numId="4" w16cid:durableId="1929118709">
    <w:abstractNumId w:val="20"/>
  </w:num>
  <w:num w:numId="5" w16cid:durableId="1703244272">
    <w:abstractNumId w:val="47"/>
  </w:num>
  <w:num w:numId="6" w16cid:durableId="1009259844">
    <w:abstractNumId w:val="27"/>
  </w:num>
  <w:num w:numId="7" w16cid:durableId="1978605726">
    <w:abstractNumId w:val="6"/>
  </w:num>
  <w:num w:numId="8" w16cid:durableId="1960330375">
    <w:abstractNumId w:val="16"/>
  </w:num>
  <w:num w:numId="9" w16cid:durableId="124590115">
    <w:abstractNumId w:val="42"/>
  </w:num>
  <w:num w:numId="10" w16cid:durableId="1102185583">
    <w:abstractNumId w:val="0"/>
  </w:num>
  <w:num w:numId="11" w16cid:durableId="1993018405">
    <w:abstractNumId w:val="37"/>
  </w:num>
  <w:num w:numId="12" w16cid:durableId="62029422">
    <w:abstractNumId w:val="38"/>
  </w:num>
  <w:num w:numId="13" w16cid:durableId="697584231">
    <w:abstractNumId w:val="44"/>
  </w:num>
  <w:num w:numId="14" w16cid:durableId="2027369250">
    <w:abstractNumId w:val="1"/>
  </w:num>
  <w:num w:numId="15" w16cid:durableId="1754009889">
    <w:abstractNumId w:val="2"/>
  </w:num>
  <w:num w:numId="16" w16cid:durableId="994921313">
    <w:abstractNumId w:val="7"/>
  </w:num>
  <w:num w:numId="17" w16cid:durableId="14618105">
    <w:abstractNumId w:val="8"/>
  </w:num>
  <w:num w:numId="18" w16cid:durableId="1214732926">
    <w:abstractNumId w:val="9"/>
  </w:num>
  <w:num w:numId="19" w16cid:durableId="1996958537">
    <w:abstractNumId w:val="10"/>
  </w:num>
  <w:num w:numId="20" w16cid:durableId="730231878">
    <w:abstractNumId w:val="11"/>
  </w:num>
  <w:num w:numId="21" w16cid:durableId="275523591">
    <w:abstractNumId w:val="12"/>
  </w:num>
  <w:num w:numId="22" w16cid:durableId="892077249">
    <w:abstractNumId w:val="13"/>
  </w:num>
  <w:num w:numId="23" w16cid:durableId="782574025">
    <w:abstractNumId w:val="14"/>
  </w:num>
  <w:num w:numId="24" w16cid:durableId="608125663">
    <w:abstractNumId w:val="15"/>
  </w:num>
  <w:num w:numId="25" w16cid:durableId="1881673523">
    <w:abstractNumId w:val="17"/>
  </w:num>
  <w:num w:numId="26" w16cid:durableId="1951810927">
    <w:abstractNumId w:val="18"/>
  </w:num>
  <w:num w:numId="27" w16cid:durableId="68161956">
    <w:abstractNumId w:val="21"/>
  </w:num>
  <w:num w:numId="28" w16cid:durableId="1368067579">
    <w:abstractNumId w:val="22"/>
  </w:num>
  <w:num w:numId="29" w16cid:durableId="991375146">
    <w:abstractNumId w:val="23"/>
  </w:num>
  <w:num w:numId="30" w16cid:durableId="1131944688">
    <w:abstractNumId w:val="25"/>
  </w:num>
  <w:num w:numId="31" w16cid:durableId="2010522499">
    <w:abstractNumId w:val="28"/>
  </w:num>
  <w:num w:numId="32" w16cid:durableId="142626824">
    <w:abstractNumId w:val="29"/>
  </w:num>
  <w:num w:numId="33" w16cid:durableId="1214275641">
    <w:abstractNumId w:val="30"/>
  </w:num>
  <w:num w:numId="34" w16cid:durableId="337732084">
    <w:abstractNumId w:val="31"/>
  </w:num>
  <w:num w:numId="35" w16cid:durableId="1002506953">
    <w:abstractNumId w:val="32"/>
  </w:num>
  <w:num w:numId="36" w16cid:durableId="1301881285">
    <w:abstractNumId w:val="33"/>
  </w:num>
  <w:num w:numId="37" w16cid:durableId="788325">
    <w:abstractNumId w:val="34"/>
  </w:num>
  <w:num w:numId="38" w16cid:durableId="529683631">
    <w:abstractNumId w:val="35"/>
  </w:num>
  <w:num w:numId="39" w16cid:durableId="1357728442">
    <w:abstractNumId w:val="39"/>
  </w:num>
  <w:num w:numId="40" w16cid:durableId="1099065892">
    <w:abstractNumId w:val="40"/>
  </w:num>
  <w:num w:numId="41" w16cid:durableId="492526332">
    <w:abstractNumId w:val="46"/>
  </w:num>
  <w:num w:numId="42" w16cid:durableId="532112561">
    <w:abstractNumId w:val="49"/>
  </w:num>
  <w:num w:numId="43" w16cid:durableId="528102651">
    <w:abstractNumId w:val="50"/>
  </w:num>
  <w:num w:numId="44" w16cid:durableId="1410467092">
    <w:abstractNumId w:val="52"/>
  </w:num>
  <w:num w:numId="45" w16cid:durableId="48460837">
    <w:abstractNumId w:val="53"/>
  </w:num>
  <w:num w:numId="46" w16cid:durableId="566114498">
    <w:abstractNumId w:val="55"/>
  </w:num>
  <w:num w:numId="47" w16cid:durableId="611521255">
    <w:abstractNumId w:val="56"/>
  </w:num>
  <w:num w:numId="48" w16cid:durableId="1403676202">
    <w:abstractNumId w:val="57"/>
  </w:num>
  <w:num w:numId="49" w16cid:durableId="1640112853">
    <w:abstractNumId w:val="58"/>
  </w:num>
  <w:num w:numId="50" w16cid:durableId="1300113320">
    <w:abstractNumId w:val="59"/>
  </w:num>
  <w:num w:numId="51" w16cid:durableId="371001123">
    <w:abstractNumId w:val="19"/>
  </w:num>
  <w:num w:numId="52" w16cid:durableId="958218711">
    <w:abstractNumId w:val="41"/>
  </w:num>
  <w:num w:numId="53" w16cid:durableId="429161302">
    <w:abstractNumId w:val="51"/>
  </w:num>
  <w:num w:numId="54" w16cid:durableId="2142186193">
    <w:abstractNumId w:val="45"/>
  </w:num>
  <w:num w:numId="55" w16cid:durableId="2005429351">
    <w:abstractNumId w:val="43"/>
  </w:num>
  <w:num w:numId="56" w16cid:durableId="667294322">
    <w:abstractNumId w:val="26"/>
  </w:num>
  <w:num w:numId="57" w16cid:durableId="504632839">
    <w:abstractNumId w:val="24"/>
  </w:num>
  <w:num w:numId="58" w16cid:durableId="2013408791">
    <w:abstractNumId w:val="36"/>
  </w:num>
  <w:num w:numId="59" w16cid:durableId="56897933">
    <w:abstractNumId w:val="4"/>
  </w:num>
  <w:num w:numId="60" w16cid:durableId="1413431319">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5C9D"/>
    <w:rsid w:val="000337EF"/>
    <w:rsid w:val="00040C3A"/>
    <w:rsid w:val="000419AD"/>
    <w:rsid w:val="000433C9"/>
    <w:rsid w:val="00045F73"/>
    <w:rsid w:val="000500E0"/>
    <w:rsid w:val="000522D5"/>
    <w:rsid w:val="00063F43"/>
    <w:rsid w:val="000654D9"/>
    <w:rsid w:val="0006664E"/>
    <w:rsid w:val="00071174"/>
    <w:rsid w:val="000716C5"/>
    <w:rsid w:val="00075E23"/>
    <w:rsid w:val="00086129"/>
    <w:rsid w:val="0009344A"/>
    <w:rsid w:val="000A392E"/>
    <w:rsid w:val="000A575F"/>
    <w:rsid w:val="000B52FC"/>
    <w:rsid w:val="000D05CB"/>
    <w:rsid w:val="000D10DB"/>
    <w:rsid w:val="000E5EB5"/>
    <w:rsid w:val="000F35ED"/>
    <w:rsid w:val="001004FE"/>
    <w:rsid w:val="00107131"/>
    <w:rsid w:val="0010736F"/>
    <w:rsid w:val="00113F73"/>
    <w:rsid w:val="00121CC2"/>
    <w:rsid w:val="00124B64"/>
    <w:rsid w:val="00130531"/>
    <w:rsid w:val="00131425"/>
    <w:rsid w:val="00133EE5"/>
    <w:rsid w:val="00167A34"/>
    <w:rsid w:val="00170164"/>
    <w:rsid w:val="00191016"/>
    <w:rsid w:val="001A520D"/>
    <w:rsid w:val="001A5561"/>
    <w:rsid w:val="001A7870"/>
    <w:rsid w:val="001B3A00"/>
    <w:rsid w:val="001B478B"/>
    <w:rsid w:val="001C1B41"/>
    <w:rsid w:val="001C7881"/>
    <w:rsid w:val="001D0B07"/>
    <w:rsid w:val="001D65EF"/>
    <w:rsid w:val="001D7F96"/>
    <w:rsid w:val="001E49E7"/>
    <w:rsid w:val="001E60C6"/>
    <w:rsid w:val="001F7201"/>
    <w:rsid w:val="00203958"/>
    <w:rsid w:val="00211A7D"/>
    <w:rsid w:val="002132CA"/>
    <w:rsid w:val="00223A29"/>
    <w:rsid w:val="002250A3"/>
    <w:rsid w:val="00235217"/>
    <w:rsid w:val="00243C00"/>
    <w:rsid w:val="00244512"/>
    <w:rsid w:val="00244F50"/>
    <w:rsid w:val="00246D1F"/>
    <w:rsid w:val="00247403"/>
    <w:rsid w:val="00247542"/>
    <w:rsid w:val="00266B61"/>
    <w:rsid w:val="0026712A"/>
    <w:rsid w:val="002704DB"/>
    <w:rsid w:val="00283B71"/>
    <w:rsid w:val="002A0AAE"/>
    <w:rsid w:val="002A3A3B"/>
    <w:rsid w:val="002A5820"/>
    <w:rsid w:val="002D0F48"/>
    <w:rsid w:val="002D2B26"/>
    <w:rsid w:val="002D7EA2"/>
    <w:rsid w:val="002E187C"/>
    <w:rsid w:val="002E7F02"/>
    <w:rsid w:val="002F5836"/>
    <w:rsid w:val="00302733"/>
    <w:rsid w:val="00305835"/>
    <w:rsid w:val="00306F33"/>
    <w:rsid w:val="00314078"/>
    <w:rsid w:val="0031520A"/>
    <w:rsid w:val="0031535D"/>
    <w:rsid w:val="003239B8"/>
    <w:rsid w:val="00325C3F"/>
    <w:rsid w:val="0033169F"/>
    <w:rsid w:val="00344977"/>
    <w:rsid w:val="00346C95"/>
    <w:rsid w:val="00356185"/>
    <w:rsid w:val="00360380"/>
    <w:rsid w:val="00363295"/>
    <w:rsid w:val="00371887"/>
    <w:rsid w:val="0037519E"/>
    <w:rsid w:val="00386CF0"/>
    <w:rsid w:val="00387652"/>
    <w:rsid w:val="00394073"/>
    <w:rsid w:val="003B5DCB"/>
    <w:rsid w:val="003B70FB"/>
    <w:rsid w:val="003C676B"/>
    <w:rsid w:val="003D3BC2"/>
    <w:rsid w:val="003E2DB6"/>
    <w:rsid w:val="003E6CA1"/>
    <w:rsid w:val="003F5154"/>
    <w:rsid w:val="003F56B8"/>
    <w:rsid w:val="00405F9C"/>
    <w:rsid w:val="004065A8"/>
    <w:rsid w:val="004165C2"/>
    <w:rsid w:val="004241A0"/>
    <w:rsid w:val="00441ECB"/>
    <w:rsid w:val="00445193"/>
    <w:rsid w:val="00447605"/>
    <w:rsid w:val="00462C1B"/>
    <w:rsid w:val="00467873"/>
    <w:rsid w:val="00467B7E"/>
    <w:rsid w:val="00473BB4"/>
    <w:rsid w:val="00477592"/>
    <w:rsid w:val="0048633A"/>
    <w:rsid w:val="00486F1C"/>
    <w:rsid w:val="0049419D"/>
    <w:rsid w:val="004A057B"/>
    <w:rsid w:val="004A6960"/>
    <w:rsid w:val="004A6A54"/>
    <w:rsid w:val="004B3A19"/>
    <w:rsid w:val="004B421C"/>
    <w:rsid w:val="004C0B15"/>
    <w:rsid w:val="004C20D2"/>
    <w:rsid w:val="004C2312"/>
    <w:rsid w:val="004C4B62"/>
    <w:rsid w:val="004C54C9"/>
    <w:rsid w:val="004D27B1"/>
    <w:rsid w:val="004D4ABA"/>
    <w:rsid w:val="004D6025"/>
    <w:rsid w:val="004E2649"/>
    <w:rsid w:val="004F208D"/>
    <w:rsid w:val="004F626F"/>
    <w:rsid w:val="00501399"/>
    <w:rsid w:val="005047ED"/>
    <w:rsid w:val="0050633D"/>
    <w:rsid w:val="00507BC4"/>
    <w:rsid w:val="0051217C"/>
    <w:rsid w:val="005128E4"/>
    <w:rsid w:val="005133DB"/>
    <w:rsid w:val="00514504"/>
    <w:rsid w:val="00515C20"/>
    <w:rsid w:val="00521E1F"/>
    <w:rsid w:val="005223FE"/>
    <w:rsid w:val="0052400E"/>
    <w:rsid w:val="00525560"/>
    <w:rsid w:val="0054053E"/>
    <w:rsid w:val="00541416"/>
    <w:rsid w:val="00544C49"/>
    <w:rsid w:val="005516A1"/>
    <w:rsid w:val="00551951"/>
    <w:rsid w:val="005559EF"/>
    <w:rsid w:val="00563557"/>
    <w:rsid w:val="0057402A"/>
    <w:rsid w:val="005771D0"/>
    <w:rsid w:val="0059191A"/>
    <w:rsid w:val="005921FF"/>
    <w:rsid w:val="005A24ED"/>
    <w:rsid w:val="005A6D0E"/>
    <w:rsid w:val="005B52B0"/>
    <w:rsid w:val="005B660D"/>
    <w:rsid w:val="005B6806"/>
    <w:rsid w:val="005C2759"/>
    <w:rsid w:val="005C4225"/>
    <w:rsid w:val="005C5B24"/>
    <w:rsid w:val="005C7D25"/>
    <w:rsid w:val="005E0DDC"/>
    <w:rsid w:val="005F0DAD"/>
    <w:rsid w:val="005F0F33"/>
    <w:rsid w:val="00600DEB"/>
    <w:rsid w:val="00601958"/>
    <w:rsid w:val="006055B6"/>
    <w:rsid w:val="006116F9"/>
    <w:rsid w:val="00617421"/>
    <w:rsid w:val="00627C9F"/>
    <w:rsid w:val="006311E9"/>
    <w:rsid w:val="00632354"/>
    <w:rsid w:val="00635421"/>
    <w:rsid w:val="00642810"/>
    <w:rsid w:val="00652333"/>
    <w:rsid w:val="0068009E"/>
    <w:rsid w:val="00692219"/>
    <w:rsid w:val="006A17D2"/>
    <w:rsid w:val="006A73E6"/>
    <w:rsid w:val="006B2D5C"/>
    <w:rsid w:val="006B348B"/>
    <w:rsid w:val="006C0ECF"/>
    <w:rsid w:val="006C4EB1"/>
    <w:rsid w:val="006D06FE"/>
    <w:rsid w:val="006E0166"/>
    <w:rsid w:val="006E2FFB"/>
    <w:rsid w:val="006E7B34"/>
    <w:rsid w:val="0070697F"/>
    <w:rsid w:val="007103C4"/>
    <w:rsid w:val="00714B97"/>
    <w:rsid w:val="0072199C"/>
    <w:rsid w:val="00722C9F"/>
    <w:rsid w:val="00725135"/>
    <w:rsid w:val="007253B8"/>
    <w:rsid w:val="0073741F"/>
    <w:rsid w:val="0076643F"/>
    <w:rsid w:val="007767AF"/>
    <w:rsid w:val="00777F63"/>
    <w:rsid w:val="0078254F"/>
    <w:rsid w:val="007A5817"/>
    <w:rsid w:val="007A6B80"/>
    <w:rsid w:val="007B05C4"/>
    <w:rsid w:val="007B46F8"/>
    <w:rsid w:val="007B4DAA"/>
    <w:rsid w:val="007B60E9"/>
    <w:rsid w:val="007B6CC3"/>
    <w:rsid w:val="007B76D3"/>
    <w:rsid w:val="007C3334"/>
    <w:rsid w:val="007D2B98"/>
    <w:rsid w:val="007E21BC"/>
    <w:rsid w:val="007E7C82"/>
    <w:rsid w:val="007F2AA1"/>
    <w:rsid w:val="007F588D"/>
    <w:rsid w:val="00803F1C"/>
    <w:rsid w:val="0080600E"/>
    <w:rsid w:val="00814688"/>
    <w:rsid w:val="00817612"/>
    <w:rsid w:val="00822707"/>
    <w:rsid w:val="008338A4"/>
    <w:rsid w:val="00834D49"/>
    <w:rsid w:val="00837C45"/>
    <w:rsid w:val="00844730"/>
    <w:rsid w:val="008457C2"/>
    <w:rsid w:val="008539AE"/>
    <w:rsid w:val="00854886"/>
    <w:rsid w:val="00857A82"/>
    <w:rsid w:val="00873836"/>
    <w:rsid w:val="00881288"/>
    <w:rsid w:val="00882224"/>
    <w:rsid w:val="00885737"/>
    <w:rsid w:val="00890650"/>
    <w:rsid w:val="008944DC"/>
    <w:rsid w:val="00897E12"/>
    <w:rsid w:val="008A7E0F"/>
    <w:rsid w:val="008B12F5"/>
    <w:rsid w:val="008B4DC1"/>
    <w:rsid w:val="008C4112"/>
    <w:rsid w:val="008C5E2D"/>
    <w:rsid w:val="008D768D"/>
    <w:rsid w:val="008E17A4"/>
    <w:rsid w:val="008E3759"/>
    <w:rsid w:val="008E3BFE"/>
    <w:rsid w:val="008F1912"/>
    <w:rsid w:val="0090270B"/>
    <w:rsid w:val="0090292F"/>
    <w:rsid w:val="009041DC"/>
    <w:rsid w:val="0090583D"/>
    <w:rsid w:val="00917B5A"/>
    <w:rsid w:val="00920A58"/>
    <w:rsid w:val="00920A8C"/>
    <w:rsid w:val="00934A2C"/>
    <w:rsid w:val="00942887"/>
    <w:rsid w:val="009601CC"/>
    <w:rsid w:val="0096706E"/>
    <w:rsid w:val="00974491"/>
    <w:rsid w:val="00975C4E"/>
    <w:rsid w:val="00981FBA"/>
    <w:rsid w:val="00997BC5"/>
    <w:rsid w:val="009A14D9"/>
    <w:rsid w:val="009A26E3"/>
    <w:rsid w:val="009A4F41"/>
    <w:rsid w:val="009A56CE"/>
    <w:rsid w:val="009B381B"/>
    <w:rsid w:val="009D1753"/>
    <w:rsid w:val="009D464A"/>
    <w:rsid w:val="009D7611"/>
    <w:rsid w:val="009E0B61"/>
    <w:rsid w:val="009E53DE"/>
    <w:rsid w:val="009F608F"/>
    <w:rsid w:val="009F77E7"/>
    <w:rsid w:val="00A11212"/>
    <w:rsid w:val="00A11E44"/>
    <w:rsid w:val="00A15562"/>
    <w:rsid w:val="00A16AD5"/>
    <w:rsid w:val="00A30100"/>
    <w:rsid w:val="00A328B3"/>
    <w:rsid w:val="00A3304B"/>
    <w:rsid w:val="00A336D1"/>
    <w:rsid w:val="00A33DF7"/>
    <w:rsid w:val="00A350BF"/>
    <w:rsid w:val="00A50FCF"/>
    <w:rsid w:val="00A528D1"/>
    <w:rsid w:val="00A55DFC"/>
    <w:rsid w:val="00A607C4"/>
    <w:rsid w:val="00A610CD"/>
    <w:rsid w:val="00A758AA"/>
    <w:rsid w:val="00AA09A2"/>
    <w:rsid w:val="00AA2729"/>
    <w:rsid w:val="00AA7996"/>
    <w:rsid w:val="00AB4C86"/>
    <w:rsid w:val="00AB77D4"/>
    <w:rsid w:val="00AC19CB"/>
    <w:rsid w:val="00AC51A3"/>
    <w:rsid w:val="00AD0EC6"/>
    <w:rsid w:val="00AE1448"/>
    <w:rsid w:val="00AE5488"/>
    <w:rsid w:val="00AE6F91"/>
    <w:rsid w:val="00AF5571"/>
    <w:rsid w:val="00B04818"/>
    <w:rsid w:val="00B0621C"/>
    <w:rsid w:val="00B07341"/>
    <w:rsid w:val="00B25498"/>
    <w:rsid w:val="00B260B5"/>
    <w:rsid w:val="00B30539"/>
    <w:rsid w:val="00B314DB"/>
    <w:rsid w:val="00B361F2"/>
    <w:rsid w:val="00B3718B"/>
    <w:rsid w:val="00B3745F"/>
    <w:rsid w:val="00B4110E"/>
    <w:rsid w:val="00B4530D"/>
    <w:rsid w:val="00B4632A"/>
    <w:rsid w:val="00B530F1"/>
    <w:rsid w:val="00B75B76"/>
    <w:rsid w:val="00B8406D"/>
    <w:rsid w:val="00B93114"/>
    <w:rsid w:val="00B93D7F"/>
    <w:rsid w:val="00B962B8"/>
    <w:rsid w:val="00BA276C"/>
    <w:rsid w:val="00BB019D"/>
    <w:rsid w:val="00BB306F"/>
    <w:rsid w:val="00BC4387"/>
    <w:rsid w:val="00BD0FF5"/>
    <w:rsid w:val="00BD4B89"/>
    <w:rsid w:val="00BD5922"/>
    <w:rsid w:val="00BF02CB"/>
    <w:rsid w:val="00BF6FD8"/>
    <w:rsid w:val="00C03680"/>
    <w:rsid w:val="00C04E80"/>
    <w:rsid w:val="00C054DF"/>
    <w:rsid w:val="00C21762"/>
    <w:rsid w:val="00C21FEF"/>
    <w:rsid w:val="00C23BA4"/>
    <w:rsid w:val="00C24543"/>
    <w:rsid w:val="00C256A2"/>
    <w:rsid w:val="00C25ADB"/>
    <w:rsid w:val="00C51515"/>
    <w:rsid w:val="00C53053"/>
    <w:rsid w:val="00C5660B"/>
    <w:rsid w:val="00C614B6"/>
    <w:rsid w:val="00C66B72"/>
    <w:rsid w:val="00C87AC4"/>
    <w:rsid w:val="00C91F0B"/>
    <w:rsid w:val="00C9567A"/>
    <w:rsid w:val="00CB212D"/>
    <w:rsid w:val="00CB2660"/>
    <w:rsid w:val="00CC1BA1"/>
    <w:rsid w:val="00CC5E90"/>
    <w:rsid w:val="00CC6DD4"/>
    <w:rsid w:val="00CD046C"/>
    <w:rsid w:val="00CE076C"/>
    <w:rsid w:val="00CE5199"/>
    <w:rsid w:val="00CE57C2"/>
    <w:rsid w:val="00CE66D5"/>
    <w:rsid w:val="00CF637A"/>
    <w:rsid w:val="00D059DE"/>
    <w:rsid w:val="00D05ABD"/>
    <w:rsid w:val="00D13FCE"/>
    <w:rsid w:val="00D144F2"/>
    <w:rsid w:val="00D21A63"/>
    <w:rsid w:val="00D306D1"/>
    <w:rsid w:val="00D30800"/>
    <w:rsid w:val="00D34786"/>
    <w:rsid w:val="00D37BFC"/>
    <w:rsid w:val="00D47A8E"/>
    <w:rsid w:val="00D52D14"/>
    <w:rsid w:val="00D55988"/>
    <w:rsid w:val="00D60FFE"/>
    <w:rsid w:val="00D712D3"/>
    <w:rsid w:val="00D71422"/>
    <w:rsid w:val="00D72DC6"/>
    <w:rsid w:val="00D739E9"/>
    <w:rsid w:val="00D7558D"/>
    <w:rsid w:val="00D81D92"/>
    <w:rsid w:val="00D876F9"/>
    <w:rsid w:val="00DA531B"/>
    <w:rsid w:val="00DA7B5F"/>
    <w:rsid w:val="00DC11E7"/>
    <w:rsid w:val="00DC24E3"/>
    <w:rsid w:val="00DC7023"/>
    <w:rsid w:val="00DC769A"/>
    <w:rsid w:val="00DC7D46"/>
    <w:rsid w:val="00DD3D86"/>
    <w:rsid w:val="00DD4AD2"/>
    <w:rsid w:val="00DE2862"/>
    <w:rsid w:val="00DE7FD8"/>
    <w:rsid w:val="00DF1EC4"/>
    <w:rsid w:val="00E023B8"/>
    <w:rsid w:val="00E023F4"/>
    <w:rsid w:val="00E0340B"/>
    <w:rsid w:val="00E04A90"/>
    <w:rsid w:val="00E051A0"/>
    <w:rsid w:val="00E0551F"/>
    <w:rsid w:val="00E1299A"/>
    <w:rsid w:val="00E219C7"/>
    <w:rsid w:val="00E4118C"/>
    <w:rsid w:val="00E43157"/>
    <w:rsid w:val="00E461CE"/>
    <w:rsid w:val="00E573E4"/>
    <w:rsid w:val="00E60DCF"/>
    <w:rsid w:val="00E64C3D"/>
    <w:rsid w:val="00E720CA"/>
    <w:rsid w:val="00E84EB5"/>
    <w:rsid w:val="00E85662"/>
    <w:rsid w:val="00E86877"/>
    <w:rsid w:val="00E8789F"/>
    <w:rsid w:val="00E97B71"/>
    <w:rsid w:val="00EA3D34"/>
    <w:rsid w:val="00EB0828"/>
    <w:rsid w:val="00EB454D"/>
    <w:rsid w:val="00EC4EA6"/>
    <w:rsid w:val="00ED549D"/>
    <w:rsid w:val="00ED5E10"/>
    <w:rsid w:val="00ED76BE"/>
    <w:rsid w:val="00EE00E9"/>
    <w:rsid w:val="00EF1AAA"/>
    <w:rsid w:val="00EF619B"/>
    <w:rsid w:val="00F00B55"/>
    <w:rsid w:val="00F02AD1"/>
    <w:rsid w:val="00F02F81"/>
    <w:rsid w:val="00F2424D"/>
    <w:rsid w:val="00F253CC"/>
    <w:rsid w:val="00F37106"/>
    <w:rsid w:val="00F44E25"/>
    <w:rsid w:val="00F519CF"/>
    <w:rsid w:val="00F56BA5"/>
    <w:rsid w:val="00F56ECB"/>
    <w:rsid w:val="00F60E22"/>
    <w:rsid w:val="00F650FB"/>
    <w:rsid w:val="00F6599F"/>
    <w:rsid w:val="00F81395"/>
    <w:rsid w:val="00F81BB8"/>
    <w:rsid w:val="00F90C64"/>
    <w:rsid w:val="00F917D1"/>
    <w:rsid w:val="00F9653B"/>
    <w:rsid w:val="00FB57C5"/>
    <w:rsid w:val="00FB62CF"/>
    <w:rsid w:val="00FC011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0E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5E0DD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75B76"/>
    <w:rPr>
      <w:sz w:val="16"/>
      <w:szCs w:val="16"/>
    </w:rPr>
  </w:style>
  <w:style w:type="paragraph" w:styleId="CommentText">
    <w:name w:val="annotation text"/>
    <w:basedOn w:val="Normal"/>
    <w:link w:val="CommentTextChar"/>
    <w:uiPriority w:val="99"/>
    <w:unhideWhenUsed/>
    <w:rsid w:val="00B75B76"/>
    <w:rPr>
      <w:sz w:val="20"/>
      <w:szCs w:val="20"/>
    </w:rPr>
  </w:style>
  <w:style w:type="character" w:customStyle="1" w:styleId="CommentTextChar">
    <w:name w:val="Comment Text Char"/>
    <w:basedOn w:val="DefaultParagraphFont"/>
    <w:link w:val="CommentText"/>
    <w:uiPriority w:val="99"/>
    <w:rsid w:val="00B75B76"/>
    <w:rPr>
      <w:lang w:val="en-US" w:eastAsia="en-US"/>
    </w:rPr>
  </w:style>
  <w:style w:type="paragraph" w:styleId="CommentSubject">
    <w:name w:val="annotation subject"/>
    <w:basedOn w:val="CommentText"/>
    <w:next w:val="CommentText"/>
    <w:link w:val="CommentSubjectChar"/>
    <w:uiPriority w:val="99"/>
    <w:semiHidden/>
    <w:unhideWhenUsed/>
    <w:rsid w:val="00B75B76"/>
    <w:rPr>
      <w:b/>
      <w:bCs/>
    </w:rPr>
  </w:style>
  <w:style w:type="character" w:customStyle="1" w:styleId="CommentSubjectChar">
    <w:name w:val="Comment Subject Char"/>
    <w:basedOn w:val="CommentTextChar"/>
    <w:link w:val="CommentSubject"/>
    <w:uiPriority w:val="99"/>
    <w:semiHidden/>
    <w:rsid w:val="00B75B76"/>
    <w:rPr>
      <w:b/>
      <w:bCs/>
      <w:lang w:val="en-US" w:eastAsia="en-US"/>
    </w:rPr>
  </w:style>
  <w:style w:type="paragraph" w:customStyle="1" w:styleId="Char2">
    <w:name w:val="Char2"/>
    <w:basedOn w:val="Normal"/>
    <w:link w:val="FootnoteReference"/>
    <w:uiPriority w:val="99"/>
    <w:rsid w:val="00CC1BA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E129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1299A"/>
  </w:style>
  <w:style w:type="character" w:customStyle="1" w:styleId="eop">
    <w:name w:val="eop"/>
    <w:basedOn w:val="DefaultParagraphFont"/>
    <w:rsid w:val="00E1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3102">
      <w:bodyDiv w:val="1"/>
      <w:marLeft w:val="0"/>
      <w:marRight w:val="0"/>
      <w:marTop w:val="0"/>
      <w:marBottom w:val="0"/>
      <w:divBdr>
        <w:top w:val="none" w:sz="0" w:space="0" w:color="auto"/>
        <w:left w:val="none" w:sz="0" w:space="0" w:color="auto"/>
        <w:bottom w:val="none" w:sz="0" w:space="0" w:color="auto"/>
        <w:right w:val="none" w:sz="0" w:space="0" w:color="auto"/>
      </w:divBdr>
      <w:divsChild>
        <w:div w:id="639581069">
          <w:marLeft w:val="0"/>
          <w:marRight w:val="0"/>
          <w:marTop w:val="0"/>
          <w:marBottom w:val="0"/>
          <w:divBdr>
            <w:top w:val="none" w:sz="0" w:space="0" w:color="auto"/>
            <w:left w:val="none" w:sz="0" w:space="0" w:color="auto"/>
            <w:bottom w:val="none" w:sz="0" w:space="0" w:color="auto"/>
            <w:right w:val="none" w:sz="0" w:space="0" w:color="auto"/>
          </w:divBdr>
          <w:divsChild>
            <w:div w:id="24867726">
              <w:marLeft w:val="0"/>
              <w:marRight w:val="0"/>
              <w:marTop w:val="0"/>
              <w:marBottom w:val="0"/>
              <w:divBdr>
                <w:top w:val="none" w:sz="0" w:space="0" w:color="auto"/>
                <w:left w:val="none" w:sz="0" w:space="0" w:color="auto"/>
                <w:bottom w:val="none" w:sz="0" w:space="0" w:color="auto"/>
                <w:right w:val="none" w:sz="0" w:space="0" w:color="auto"/>
              </w:divBdr>
              <w:divsChild>
                <w:div w:id="18222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3302916">
      <w:bodyDiv w:val="1"/>
      <w:marLeft w:val="0"/>
      <w:marRight w:val="0"/>
      <w:marTop w:val="0"/>
      <w:marBottom w:val="0"/>
      <w:divBdr>
        <w:top w:val="none" w:sz="0" w:space="0" w:color="auto"/>
        <w:left w:val="none" w:sz="0" w:space="0" w:color="auto"/>
        <w:bottom w:val="none" w:sz="0" w:space="0" w:color="auto"/>
        <w:right w:val="none" w:sz="0" w:space="0" w:color="auto"/>
      </w:divBdr>
    </w:div>
    <w:div w:id="1757483077">
      <w:bodyDiv w:val="1"/>
      <w:marLeft w:val="0"/>
      <w:marRight w:val="0"/>
      <w:marTop w:val="0"/>
      <w:marBottom w:val="0"/>
      <w:divBdr>
        <w:top w:val="none" w:sz="0" w:space="0" w:color="auto"/>
        <w:left w:val="none" w:sz="0" w:space="0" w:color="auto"/>
        <w:bottom w:val="none" w:sz="0" w:space="0" w:color="auto"/>
        <w:right w:val="none" w:sz="0" w:space="0" w:color="auto"/>
      </w:divBdr>
      <w:divsChild>
        <w:div w:id="1181552927">
          <w:marLeft w:val="0"/>
          <w:marRight w:val="0"/>
          <w:marTop w:val="0"/>
          <w:marBottom w:val="0"/>
          <w:divBdr>
            <w:top w:val="none" w:sz="0" w:space="0" w:color="auto"/>
            <w:left w:val="none" w:sz="0" w:space="0" w:color="auto"/>
            <w:bottom w:val="none" w:sz="0" w:space="0" w:color="auto"/>
            <w:right w:val="none" w:sz="0" w:space="0" w:color="auto"/>
          </w:divBdr>
          <w:divsChild>
            <w:div w:id="1597833852">
              <w:marLeft w:val="0"/>
              <w:marRight w:val="0"/>
              <w:marTop w:val="0"/>
              <w:marBottom w:val="0"/>
              <w:divBdr>
                <w:top w:val="none" w:sz="0" w:space="0" w:color="auto"/>
                <w:left w:val="none" w:sz="0" w:space="0" w:color="auto"/>
                <w:bottom w:val="none" w:sz="0" w:space="0" w:color="auto"/>
                <w:right w:val="none" w:sz="0" w:space="0" w:color="auto"/>
              </w:divBdr>
              <w:divsChild>
                <w:div w:id="8553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907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AED7FFA83C85429F00A5B9581FF45B"/>
        <w:category>
          <w:name w:val="General"/>
          <w:gallery w:val="placeholder"/>
        </w:category>
        <w:types>
          <w:type w:val="bbPlcHdr"/>
        </w:types>
        <w:behaviors>
          <w:behavior w:val="content"/>
        </w:behaviors>
        <w:guid w:val="{5FFBDB96-9B4C-F14E-9CAF-C016BF52DCC5}"/>
      </w:docPartPr>
      <w:docPartBody>
        <w:p w:rsidR="00CD28B5" w:rsidRDefault="00C86D6E" w:rsidP="00C86D6E">
          <w:pPr>
            <w:pStyle w:val="55AED7FFA83C85429F00A5B9581FF45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0ADD"/>
    <w:rsid w:val="002A3923"/>
    <w:rsid w:val="003072AA"/>
    <w:rsid w:val="00394049"/>
    <w:rsid w:val="003B0C71"/>
    <w:rsid w:val="003D383F"/>
    <w:rsid w:val="004B2804"/>
    <w:rsid w:val="004B5BBB"/>
    <w:rsid w:val="004F2DF8"/>
    <w:rsid w:val="00517E2A"/>
    <w:rsid w:val="005A187E"/>
    <w:rsid w:val="00621FA1"/>
    <w:rsid w:val="006D3128"/>
    <w:rsid w:val="006F24A1"/>
    <w:rsid w:val="007C172C"/>
    <w:rsid w:val="00875B8A"/>
    <w:rsid w:val="008953BC"/>
    <w:rsid w:val="008B78FD"/>
    <w:rsid w:val="00911EBB"/>
    <w:rsid w:val="009A261B"/>
    <w:rsid w:val="00A44F42"/>
    <w:rsid w:val="00A77959"/>
    <w:rsid w:val="00AA2E17"/>
    <w:rsid w:val="00AC15A4"/>
    <w:rsid w:val="00B0336C"/>
    <w:rsid w:val="00C86D6E"/>
    <w:rsid w:val="00CA3F3D"/>
    <w:rsid w:val="00CD28B5"/>
    <w:rsid w:val="00D241E9"/>
    <w:rsid w:val="00D33FC5"/>
    <w:rsid w:val="00D7750D"/>
    <w:rsid w:val="00DD0AC3"/>
    <w:rsid w:val="00E05D0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D6E"/>
    <w:rPr>
      <w:color w:val="808080"/>
    </w:rPr>
  </w:style>
  <w:style w:type="paragraph" w:customStyle="1" w:styleId="55AED7FFA83C85429F00A5B9581FF45B">
    <w:name w:val="55AED7FFA83C85429F00A5B9581FF45B"/>
    <w:rsid w:val="00C86D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16886</Characters>
  <Application>Microsoft Office Word</Application>
  <DocSecurity>0</DocSecurity>
  <Lines>140</Lines>
  <Paragraphs>39</Paragraphs>
  <ScaleCrop>false</ScaleCrop>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2023-02-03T14:44:00Z</dcterms:created>
  <dcterms:modified xsi:type="dcterms:W3CDTF">2023-02-03T14:44:00Z</dcterms:modified>
</cp:coreProperties>
</file>