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006B74" w:rsidRDefault="00D306D1" w:rsidP="00627C9F">
      <w:pPr>
        <w:jc w:val="both"/>
        <w:rPr>
          <w:rFonts w:asciiTheme="majorHAnsi" w:hAnsiTheme="majorHAnsi" w:cs="Univers"/>
          <w:b/>
          <w:bCs/>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8E70E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006B7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006B74" w:rsidRDefault="005128E4" w:rsidP="00040C3A">
      <w:pPr>
        <w:tabs>
          <w:tab w:val="center" w:pos="5400"/>
        </w:tabs>
        <w:suppressAutoHyphens/>
        <w:rPr>
          <w:rFonts w:asciiTheme="majorHAnsi" w:hAnsiTheme="majorHAnsi"/>
          <w:sz w:val="22"/>
          <w:szCs w:val="22"/>
          <w:lang w:val="es-ES"/>
        </w:rPr>
      </w:pPr>
    </w:p>
    <w:p w14:paraId="12A36B24" w14:textId="77777777" w:rsidR="005128E4" w:rsidRPr="00006B74" w:rsidRDefault="005128E4" w:rsidP="00040C3A">
      <w:pPr>
        <w:tabs>
          <w:tab w:val="center" w:pos="5400"/>
        </w:tabs>
        <w:suppressAutoHyphens/>
        <w:rPr>
          <w:rFonts w:asciiTheme="majorHAnsi" w:hAnsiTheme="majorHAnsi"/>
          <w:sz w:val="22"/>
          <w:szCs w:val="22"/>
          <w:lang w:val="es-ES"/>
        </w:rPr>
      </w:pPr>
    </w:p>
    <w:p w14:paraId="2252093D" w14:textId="77777777" w:rsidR="005128E4" w:rsidRPr="00006B74" w:rsidRDefault="005128E4" w:rsidP="00040C3A">
      <w:pPr>
        <w:tabs>
          <w:tab w:val="center" w:pos="5400"/>
        </w:tabs>
        <w:suppressAutoHyphens/>
        <w:rPr>
          <w:rFonts w:asciiTheme="majorHAnsi" w:hAnsiTheme="majorHAnsi"/>
          <w:sz w:val="22"/>
          <w:szCs w:val="22"/>
          <w:lang w:val="es-ES"/>
        </w:rPr>
      </w:pPr>
    </w:p>
    <w:p w14:paraId="403935BD"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006B74" w:rsidRDefault="003D3BC2" w:rsidP="00040C3A">
      <w:pPr>
        <w:tabs>
          <w:tab w:val="center" w:pos="5400"/>
        </w:tabs>
        <w:suppressAutoHyphens/>
        <w:jc w:val="center"/>
        <w:rPr>
          <w:rFonts w:asciiTheme="majorHAnsi" w:hAnsiTheme="majorHAnsi"/>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35FEA4F1"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26521">
                              <w:rPr>
                                <w:rFonts w:asciiTheme="majorHAnsi" w:hAnsiTheme="majorHAnsi" w:cs="Arial"/>
                                <w:b/>
                                <w:bCs/>
                                <w:color w:val="0D0D0D" w:themeColor="text1" w:themeTint="F2"/>
                                <w:sz w:val="36"/>
                                <w:szCs w:val="22"/>
                                <w:lang w:val="es-ES_tradnl"/>
                              </w:rPr>
                              <w:t>2</w:t>
                            </w:r>
                            <w:r w:rsidR="007B05C4">
                              <w:rPr>
                                <w:rFonts w:asciiTheme="majorHAnsi" w:hAnsiTheme="majorHAnsi" w:cs="Arial"/>
                                <w:b/>
                                <w:bCs/>
                                <w:color w:val="0D0D0D" w:themeColor="text1" w:themeTint="F2"/>
                                <w:sz w:val="36"/>
                                <w:szCs w:val="22"/>
                                <w:lang w:val="es-ES_tradnl"/>
                              </w:rPr>
                              <w:t>/</w:t>
                            </w:r>
                            <w:r w:rsidR="00A777B4">
                              <w:rPr>
                                <w:rFonts w:asciiTheme="majorHAnsi" w:hAnsiTheme="majorHAnsi" w:cs="Arial"/>
                                <w:b/>
                                <w:bCs/>
                                <w:color w:val="0D0D0D" w:themeColor="text1" w:themeTint="F2"/>
                                <w:sz w:val="36"/>
                                <w:szCs w:val="22"/>
                                <w:lang w:val="es-ES_tradnl"/>
                              </w:rPr>
                              <w:t>2</w:t>
                            </w:r>
                            <w:r w:rsidR="00E26521">
                              <w:rPr>
                                <w:rFonts w:asciiTheme="majorHAnsi" w:hAnsiTheme="majorHAnsi" w:cs="Arial"/>
                                <w:b/>
                                <w:bCs/>
                                <w:color w:val="0D0D0D" w:themeColor="text1" w:themeTint="F2"/>
                                <w:sz w:val="36"/>
                                <w:szCs w:val="22"/>
                                <w:lang w:val="es-ES_tradnl"/>
                              </w:rPr>
                              <w:t>3</w:t>
                            </w:r>
                          </w:p>
                          <w:p w14:paraId="7E880A8B" w14:textId="72527BE5" w:rsidR="00CC395D" w:rsidRDefault="00CC395D" w:rsidP="00CC395D">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63519">
                              <w:rPr>
                                <w:rFonts w:asciiTheme="majorHAnsi" w:hAnsiTheme="majorHAnsi" w:cs="Arial"/>
                                <w:b/>
                                <w:color w:val="0D0D0D" w:themeColor="text1" w:themeTint="F2"/>
                                <w:sz w:val="36"/>
                                <w:szCs w:val="22"/>
                                <w:lang w:val="es-ES_tradnl"/>
                              </w:rPr>
                              <w:t>1848-14</w:t>
                            </w:r>
                          </w:p>
                          <w:p w14:paraId="44097965" w14:textId="3021C8C5" w:rsidR="00CC395D" w:rsidRPr="0010736F" w:rsidRDefault="00CC395D" w:rsidP="00CC395D">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2636E9">
                              <w:rPr>
                                <w:rFonts w:asciiTheme="majorHAnsi" w:hAnsiTheme="majorHAnsi" w:cs="Arial"/>
                                <w:color w:val="0D0D0D" w:themeColor="text1" w:themeTint="F2"/>
                                <w:szCs w:val="22"/>
                                <w:lang w:val="es-ES_tradnl"/>
                              </w:rPr>
                              <w:t xml:space="preserve">ADMISIBILIDAD </w:t>
                            </w:r>
                            <w:r w:rsidRPr="0010736F">
                              <w:rPr>
                                <w:rFonts w:asciiTheme="majorHAnsi" w:hAnsiTheme="majorHAnsi" w:cs="Arial"/>
                                <w:color w:val="0D0D0D" w:themeColor="text1" w:themeTint="F2"/>
                                <w:szCs w:val="22"/>
                                <w:lang w:val="es-ES_tradnl"/>
                              </w:rPr>
                              <w:t xml:space="preserve"> </w:t>
                            </w:r>
                          </w:p>
                          <w:p w14:paraId="3A82FE1E" w14:textId="77777777" w:rsidR="00CC395D" w:rsidRPr="0010736F" w:rsidRDefault="00CC395D" w:rsidP="00CC395D">
                            <w:pPr>
                              <w:spacing w:line="276" w:lineRule="auto"/>
                              <w:rPr>
                                <w:rFonts w:asciiTheme="majorHAnsi" w:hAnsiTheme="majorHAnsi" w:cs="Arial"/>
                                <w:color w:val="0D0D0D" w:themeColor="text1" w:themeTint="F2"/>
                                <w:szCs w:val="22"/>
                                <w:lang w:val="es-ES_tradnl"/>
                              </w:rPr>
                            </w:pPr>
                            <w:bookmarkStart w:id="0" w:name="_ftnref1"/>
                          </w:p>
                          <w:p w14:paraId="4E5BAA5A" w14:textId="0231B441" w:rsidR="00CC395D" w:rsidRPr="00663519" w:rsidRDefault="00663519" w:rsidP="00CC395D">
                            <w:pPr>
                              <w:spacing w:line="276" w:lineRule="auto"/>
                              <w:rPr>
                                <w:rFonts w:asciiTheme="majorHAnsi" w:hAnsiTheme="majorHAnsi" w:cs="Arial"/>
                                <w:color w:val="0D0D0D" w:themeColor="text1" w:themeTint="F2"/>
                                <w:szCs w:val="22"/>
                                <w:lang w:val="es-PA"/>
                              </w:rPr>
                            </w:pPr>
                            <w:r>
                              <w:rPr>
                                <w:rFonts w:asciiTheme="majorHAnsi" w:hAnsiTheme="majorHAnsi" w:cs="Arial"/>
                                <w:color w:val="0D0D0D" w:themeColor="text1" w:themeTint="F2"/>
                                <w:szCs w:val="22"/>
                                <w:lang w:val="es-ES_tradnl"/>
                              </w:rPr>
                              <w:t>GUSTAVO MARCELO FABI</w:t>
                            </w:r>
                            <w:r>
                              <w:rPr>
                                <w:rFonts w:asciiTheme="majorHAnsi" w:hAnsiTheme="majorHAnsi" w:cs="Arial"/>
                                <w:color w:val="0D0D0D" w:themeColor="text1" w:themeTint="F2"/>
                                <w:szCs w:val="22"/>
                                <w:lang w:val="es-PA"/>
                              </w:rPr>
                              <w:t>ÁN PRENESTE</w:t>
                            </w:r>
                          </w:p>
                          <w:bookmarkEnd w:id="0"/>
                          <w:p w14:paraId="575DFD52" w14:textId="445125B6" w:rsidR="005B52B0" w:rsidRPr="00AE5488" w:rsidRDefault="00026DF5" w:rsidP="007A5817">
                            <w:pPr>
                              <w:rPr>
                                <w:color w:val="0D0D0D" w:themeColor="text1" w:themeTint="F2"/>
                                <w:lang w:val="es-ES_tradnl"/>
                              </w:rPr>
                            </w:pPr>
                            <w:r>
                              <w:rPr>
                                <w:rFonts w:asciiTheme="majorHAnsi" w:hAnsiTheme="majorHAnsi" w:cs="Arial"/>
                                <w:color w:val="0D0D0D" w:themeColor="text1" w:themeTint="F2"/>
                                <w:szCs w:val="22"/>
                                <w:lang w:val="es-ES_tradnl"/>
                              </w:rPr>
                              <w:t>ARGENTINA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35FEA4F1"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26521">
                        <w:rPr>
                          <w:rFonts w:asciiTheme="majorHAnsi" w:hAnsiTheme="majorHAnsi" w:cs="Arial"/>
                          <w:b/>
                          <w:bCs/>
                          <w:color w:val="0D0D0D" w:themeColor="text1" w:themeTint="F2"/>
                          <w:sz w:val="36"/>
                          <w:szCs w:val="22"/>
                          <w:lang w:val="es-ES_tradnl"/>
                        </w:rPr>
                        <w:t>2</w:t>
                      </w:r>
                      <w:r w:rsidR="007B05C4">
                        <w:rPr>
                          <w:rFonts w:asciiTheme="majorHAnsi" w:hAnsiTheme="majorHAnsi" w:cs="Arial"/>
                          <w:b/>
                          <w:bCs/>
                          <w:color w:val="0D0D0D" w:themeColor="text1" w:themeTint="F2"/>
                          <w:sz w:val="36"/>
                          <w:szCs w:val="22"/>
                          <w:lang w:val="es-ES_tradnl"/>
                        </w:rPr>
                        <w:t>/</w:t>
                      </w:r>
                      <w:r w:rsidR="00A777B4">
                        <w:rPr>
                          <w:rFonts w:asciiTheme="majorHAnsi" w:hAnsiTheme="majorHAnsi" w:cs="Arial"/>
                          <w:b/>
                          <w:bCs/>
                          <w:color w:val="0D0D0D" w:themeColor="text1" w:themeTint="F2"/>
                          <w:sz w:val="36"/>
                          <w:szCs w:val="22"/>
                          <w:lang w:val="es-ES_tradnl"/>
                        </w:rPr>
                        <w:t>2</w:t>
                      </w:r>
                      <w:r w:rsidR="00E26521">
                        <w:rPr>
                          <w:rFonts w:asciiTheme="majorHAnsi" w:hAnsiTheme="majorHAnsi" w:cs="Arial"/>
                          <w:b/>
                          <w:bCs/>
                          <w:color w:val="0D0D0D" w:themeColor="text1" w:themeTint="F2"/>
                          <w:sz w:val="36"/>
                          <w:szCs w:val="22"/>
                          <w:lang w:val="es-ES_tradnl"/>
                        </w:rPr>
                        <w:t>3</w:t>
                      </w:r>
                    </w:p>
                    <w:p w14:paraId="7E880A8B" w14:textId="72527BE5" w:rsidR="00CC395D" w:rsidRDefault="00CC395D" w:rsidP="00CC395D">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63519">
                        <w:rPr>
                          <w:rFonts w:asciiTheme="majorHAnsi" w:hAnsiTheme="majorHAnsi" w:cs="Arial"/>
                          <w:b/>
                          <w:color w:val="0D0D0D" w:themeColor="text1" w:themeTint="F2"/>
                          <w:sz w:val="36"/>
                          <w:szCs w:val="22"/>
                          <w:lang w:val="es-ES_tradnl"/>
                        </w:rPr>
                        <w:t>1848-14</w:t>
                      </w:r>
                    </w:p>
                    <w:p w14:paraId="44097965" w14:textId="3021C8C5" w:rsidR="00CC395D" w:rsidRPr="0010736F" w:rsidRDefault="00CC395D" w:rsidP="00CC395D">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2636E9">
                        <w:rPr>
                          <w:rFonts w:asciiTheme="majorHAnsi" w:hAnsiTheme="majorHAnsi" w:cs="Arial"/>
                          <w:color w:val="0D0D0D" w:themeColor="text1" w:themeTint="F2"/>
                          <w:szCs w:val="22"/>
                          <w:lang w:val="es-ES_tradnl"/>
                        </w:rPr>
                        <w:t xml:space="preserve">ADMISIBILIDAD </w:t>
                      </w:r>
                      <w:r w:rsidRPr="0010736F">
                        <w:rPr>
                          <w:rFonts w:asciiTheme="majorHAnsi" w:hAnsiTheme="majorHAnsi" w:cs="Arial"/>
                          <w:color w:val="0D0D0D" w:themeColor="text1" w:themeTint="F2"/>
                          <w:szCs w:val="22"/>
                          <w:lang w:val="es-ES_tradnl"/>
                        </w:rPr>
                        <w:t xml:space="preserve"> </w:t>
                      </w:r>
                    </w:p>
                    <w:p w14:paraId="3A82FE1E" w14:textId="77777777" w:rsidR="00CC395D" w:rsidRPr="0010736F" w:rsidRDefault="00CC395D" w:rsidP="00CC395D">
                      <w:pPr>
                        <w:spacing w:line="276" w:lineRule="auto"/>
                        <w:rPr>
                          <w:rFonts w:asciiTheme="majorHAnsi" w:hAnsiTheme="majorHAnsi" w:cs="Arial"/>
                          <w:color w:val="0D0D0D" w:themeColor="text1" w:themeTint="F2"/>
                          <w:szCs w:val="22"/>
                          <w:lang w:val="es-ES_tradnl"/>
                        </w:rPr>
                      </w:pPr>
                      <w:bookmarkStart w:id="1" w:name="_ftnref1"/>
                    </w:p>
                    <w:p w14:paraId="4E5BAA5A" w14:textId="0231B441" w:rsidR="00CC395D" w:rsidRPr="00663519" w:rsidRDefault="00663519" w:rsidP="00CC395D">
                      <w:pPr>
                        <w:spacing w:line="276" w:lineRule="auto"/>
                        <w:rPr>
                          <w:rFonts w:asciiTheme="majorHAnsi" w:hAnsiTheme="majorHAnsi" w:cs="Arial"/>
                          <w:color w:val="0D0D0D" w:themeColor="text1" w:themeTint="F2"/>
                          <w:szCs w:val="22"/>
                          <w:lang w:val="es-PA"/>
                        </w:rPr>
                      </w:pPr>
                      <w:r>
                        <w:rPr>
                          <w:rFonts w:asciiTheme="majorHAnsi" w:hAnsiTheme="majorHAnsi" w:cs="Arial"/>
                          <w:color w:val="0D0D0D" w:themeColor="text1" w:themeTint="F2"/>
                          <w:szCs w:val="22"/>
                          <w:lang w:val="es-ES_tradnl"/>
                        </w:rPr>
                        <w:t>GUSTAVO MARCELO FABI</w:t>
                      </w:r>
                      <w:r>
                        <w:rPr>
                          <w:rFonts w:asciiTheme="majorHAnsi" w:hAnsiTheme="majorHAnsi" w:cs="Arial"/>
                          <w:color w:val="0D0D0D" w:themeColor="text1" w:themeTint="F2"/>
                          <w:szCs w:val="22"/>
                          <w:lang w:val="es-PA"/>
                        </w:rPr>
                        <w:t>ÁN PRENESTE</w:t>
                      </w:r>
                    </w:p>
                    <w:bookmarkEnd w:id="1"/>
                    <w:p w14:paraId="575DFD52" w14:textId="445125B6" w:rsidR="005B52B0" w:rsidRPr="00AE5488" w:rsidRDefault="00026DF5" w:rsidP="007A5817">
                      <w:pPr>
                        <w:rPr>
                          <w:color w:val="0D0D0D" w:themeColor="text1" w:themeTint="F2"/>
                          <w:lang w:val="es-ES_tradnl"/>
                        </w:rPr>
                      </w:pPr>
                      <w:r>
                        <w:rPr>
                          <w:rFonts w:asciiTheme="majorHAnsi" w:hAnsiTheme="majorHAnsi" w:cs="Arial"/>
                          <w:color w:val="0D0D0D" w:themeColor="text1" w:themeTint="F2"/>
                          <w:szCs w:val="22"/>
                          <w:lang w:val="es-ES_tradnl"/>
                        </w:rPr>
                        <w:t>ARGENTINA</w:t>
                      </w:r>
                    </w:p>
                  </w:txbxContent>
                </v:textbox>
              </v:shape>
            </w:pict>
          </mc:Fallback>
        </mc:AlternateContent>
      </w:r>
      <w:r w:rsidR="004E2649" w:rsidRPr="00006B7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017842A8" w:rsidR="00627C9F" w:rsidRPr="00EF59BF" w:rsidRDefault="00834D49" w:rsidP="007A5817">
                            <w:pPr>
                              <w:spacing w:line="276" w:lineRule="auto"/>
                              <w:jc w:val="right"/>
                              <w:rPr>
                                <w:rFonts w:asciiTheme="minorHAnsi" w:hAnsiTheme="minorHAnsi"/>
                                <w:color w:val="FFFFFF" w:themeColor="background1"/>
                                <w:sz w:val="22"/>
                                <w:lang w:val="es-AR"/>
                              </w:rPr>
                            </w:pPr>
                            <w:r w:rsidRPr="00EF59BF">
                              <w:rPr>
                                <w:rFonts w:asciiTheme="minorHAnsi" w:hAnsiTheme="minorHAnsi"/>
                                <w:color w:val="FFFFFF" w:themeColor="background1"/>
                                <w:sz w:val="22"/>
                                <w:lang w:val="es-AR"/>
                              </w:rPr>
                              <w:t>OEA/Ser.L/V/II</w:t>
                            </w:r>
                          </w:p>
                          <w:p w14:paraId="6A41611B" w14:textId="0CC8B067" w:rsidR="00627C9F" w:rsidRPr="00EF59BF" w:rsidRDefault="00627C9F" w:rsidP="007A5817">
                            <w:pPr>
                              <w:spacing w:line="276" w:lineRule="auto"/>
                              <w:jc w:val="right"/>
                              <w:rPr>
                                <w:rFonts w:asciiTheme="minorHAnsi" w:hAnsiTheme="minorHAnsi"/>
                                <w:color w:val="FFFFFF" w:themeColor="background1"/>
                                <w:sz w:val="22"/>
                                <w:lang w:val="es-AR"/>
                              </w:rPr>
                            </w:pPr>
                            <w:r w:rsidRPr="00EF59BF">
                              <w:rPr>
                                <w:rFonts w:asciiTheme="minorHAnsi" w:hAnsiTheme="minorHAnsi"/>
                                <w:color w:val="FFFFFF" w:themeColor="background1"/>
                                <w:sz w:val="22"/>
                                <w:lang w:val="es-AR"/>
                              </w:rPr>
                              <w:t xml:space="preserve">Doc. </w:t>
                            </w:r>
                            <w:r w:rsidR="00E26521" w:rsidRPr="00EF59BF">
                              <w:rPr>
                                <w:rFonts w:asciiTheme="minorHAnsi" w:hAnsiTheme="minorHAnsi"/>
                                <w:color w:val="FFFFFF" w:themeColor="background1"/>
                                <w:sz w:val="22"/>
                                <w:lang w:val="es-AR"/>
                              </w:rPr>
                              <w:t>2</w:t>
                            </w:r>
                          </w:p>
                          <w:p w14:paraId="69373ED2" w14:textId="6E3B957F" w:rsidR="00627C9F" w:rsidRPr="00EF59BF" w:rsidRDefault="006F0615" w:rsidP="007A5817">
                            <w:pPr>
                              <w:spacing w:line="276" w:lineRule="auto"/>
                              <w:jc w:val="right"/>
                              <w:rPr>
                                <w:rFonts w:asciiTheme="minorHAnsi" w:hAnsiTheme="minorHAnsi"/>
                                <w:color w:val="FFFFFF" w:themeColor="background1"/>
                                <w:sz w:val="22"/>
                                <w:lang w:val="es-AR"/>
                              </w:rPr>
                            </w:pPr>
                            <w:r>
                              <w:rPr>
                                <w:rFonts w:asciiTheme="minorHAnsi" w:hAnsiTheme="minorHAnsi"/>
                                <w:color w:val="FFFFFF" w:themeColor="background1"/>
                                <w:sz w:val="22"/>
                                <w:lang w:val="es-ES"/>
                              </w:rPr>
                              <w:t>22 enero</w:t>
                            </w:r>
                            <w:r w:rsidR="00627C9F" w:rsidRPr="001B4C00">
                              <w:rPr>
                                <w:rFonts w:asciiTheme="minorHAnsi" w:hAnsiTheme="minorHAnsi"/>
                                <w:color w:val="FFFFFF" w:themeColor="background1"/>
                                <w:sz w:val="22"/>
                                <w:lang w:val="es-ES"/>
                              </w:rPr>
                              <w:t xml:space="preserve"> 20</w:t>
                            </w:r>
                            <w:r w:rsidR="00FD7C15">
                              <w:rPr>
                                <w:rFonts w:asciiTheme="minorHAnsi" w:hAnsiTheme="minorHAnsi"/>
                                <w:color w:val="FFFFFF" w:themeColor="background1"/>
                                <w:sz w:val="22"/>
                                <w:lang w:val="es-ES"/>
                              </w:rPr>
                              <w:t>2</w:t>
                            </w:r>
                            <w:r w:rsidR="008F6705">
                              <w:rPr>
                                <w:rFonts w:asciiTheme="minorHAnsi" w:hAnsiTheme="minorHAnsi"/>
                                <w:color w:val="FFFFFF" w:themeColor="background1"/>
                                <w:sz w:val="22"/>
                                <w:lang w:val="es-ES"/>
                              </w:rPr>
                              <w:t>3</w:t>
                            </w:r>
                          </w:p>
                          <w:p w14:paraId="0771DB5B" w14:textId="77777777" w:rsidR="00627C9F" w:rsidRPr="001B4C00" w:rsidRDefault="00E0340B"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 xml:space="preserve">Original: </w:t>
                            </w:r>
                            <w:r w:rsidR="008B12F5" w:rsidRPr="001B4C00">
                              <w:rPr>
                                <w:rFonts w:asciiTheme="minorHAnsi" w:hAnsiTheme="minorHAnsi"/>
                                <w:color w:val="FFFFFF" w:themeColor="background1"/>
                                <w:sz w:val="22"/>
                                <w:lang w:val="es-ES"/>
                              </w:rPr>
                              <w:t>e</w:t>
                            </w:r>
                            <w:r w:rsidR="00627C9F" w:rsidRPr="001B4C00">
                              <w:rPr>
                                <w:rFonts w:asciiTheme="minorHAnsi" w:hAnsiTheme="minorHAnsi"/>
                                <w:color w:val="FFFFFF" w:themeColor="background1"/>
                                <w:sz w:val="22"/>
                                <w:lang w:val="es-E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017842A8" w:rsidR="00627C9F" w:rsidRPr="00EF59BF" w:rsidRDefault="00834D49" w:rsidP="007A5817">
                      <w:pPr>
                        <w:spacing w:line="276" w:lineRule="auto"/>
                        <w:jc w:val="right"/>
                        <w:rPr>
                          <w:rFonts w:asciiTheme="minorHAnsi" w:hAnsiTheme="minorHAnsi"/>
                          <w:color w:val="FFFFFF" w:themeColor="background1"/>
                          <w:sz w:val="22"/>
                          <w:lang w:val="es-AR"/>
                        </w:rPr>
                      </w:pPr>
                      <w:r w:rsidRPr="00EF59BF">
                        <w:rPr>
                          <w:rFonts w:asciiTheme="minorHAnsi" w:hAnsiTheme="minorHAnsi"/>
                          <w:color w:val="FFFFFF" w:themeColor="background1"/>
                          <w:sz w:val="22"/>
                          <w:lang w:val="es-AR"/>
                        </w:rPr>
                        <w:t>OEA/Ser.L/V/II</w:t>
                      </w:r>
                    </w:p>
                    <w:p w14:paraId="6A41611B" w14:textId="0CC8B067" w:rsidR="00627C9F" w:rsidRPr="00EF59BF" w:rsidRDefault="00627C9F" w:rsidP="007A5817">
                      <w:pPr>
                        <w:spacing w:line="276" w:lineRule="auto"/>
                        <w:jc w:val="right"/>
                        <w:rPr>
                          <w:rFonts w:asciiTheme="minorHAnsi" w:hAnsiTheme="minorHAnsi"/>
                          <w:color w:val="FFFFFF" w:themeColor="background1"/>
                          <w:sz w:val="22"/>
                          <w:lang w:val="es-AR"/>
                        </w:rPr>
                      </w:pPr>
                      <w:r w:rsidRPr="00EF59BF">
                        <w:rPr>
                          <w:rFonts w:asciiTheme="minorHAnsi" w:hAnsiTheme="minorHAnsi"/>
                          <w:color w:val="FFFFFF" w:themeColor="background1"/>
                          <w:sz w:val="22"/>
                          <w:lang w:val="es-AR"/>
                        </w:rPr>
                        <w:t xml:space="preserve">Doc. </w:t>
                      </w:r>
                      <w:r w:rsidR="00E26521" w:rsidRPr="00EF59BF">
                        <w:rPr>
                          <w:rFonts w:asciiTheme="minorHAnsi" w:hAnsiTheme="minorHAnsi"/>
                          <w:color w:val="FFFFFF" w:themeColor="background1"/>
                          <w:sz w:val="22"/>
                          <w:lang w:val="es-AR"/>
                        </w:rPr>
                        <w:t>2</w:t>
                      </w:r>
                    </w:p>
                    <w:p w14:paraId="69373ED2" w14:textId="6E3B957F" w:rsidR="00627C9F" w:rsidRPr="00EF59BF" w:rsidRDefault="006F0615" w:rsidP="007A5817">
                      <w:pPr>
                        <w:spacing w:line="276" w:lineRule="auto"/>
                        <w:jc w:val="right"/>
                        <w:rPr>
                          <w:rFonts w:asciiTheme="minorHAnsi" w:hAnsiTheme="minorHAnsi"/>
                          <w:color w:val="FFFFFF" w:themeColor="background1"/>
                          <w:sz w:val="22"/>
                          <w:lang w:val="es-AR"/>
                        </w:rPr>
                      </w:pPr>
                      <w:r>
                        <w:rPr>
                          <w:rFonts w:asciiTheme="minorHAnsi" w:hAnsiTheme="minorHAnsi"/>
                          <w:color w:val="FFFFFF" w:themeColor="background1"/>
                          <w:sz w:val="22"/>
                          <w:lang w:val="es-ES"/>
                        </w:rPr>
                        <w:t>22 enero</w:t>
                      </w:r>
                      <w:r w:rsidR="00627C9F" w:rsidRPr="001B4C00">
                        <w:rPr>
                          <w:rFonts w:asciiTheme="minorHAnsi" w:hAnsiTheme="minorHAnsi"/>
                          <w:color w:val="FFFFFF" w:themeColor="background1"/>
                          <w:sz w:val="22"/>
                          <w:lang w:val="es-ES"/>
                        </w:rPr>
                        <w:t xml:space="preserve"> 20</w:t>
                      </w:r>
                      <w:r w:rsidR="00FD7C15">
                        <w:rPr>
                          <w:rFonts w:asciiTheme="minorHAnsi" w:hAnsiTheme="minorHAnsi"/>
                          <w:color w:val="FFFFFF" w:themeColor="background1"/>
                          <w:sz w:val="22"/>
                          <w:lang w:val="es-ES"/>
                        </w:rPr>
                        <w:t>2</w:t>
                      </w:r>
                      <w:r w:rsidR="008F6705">
                        <w:rPr>
                          <w:rFonts w:asciiTheme="minorHAnsi" w:hAnsiTheme="minorHAnsi"/>
                          <w:color w:val="FFFFFF" w:themeColor="background1"/>
                          <w:sz w:val="22"/>
                          <w:lang w:val="es-ES"/>
                        </w:rPr>
                        <w:t>3</w:t>
                      </w:r>
                    </w:p>
                    <w:p w14:paraId="0771DB5B" w14:textId="77777777" w:rsidR="00627C9F" w:rsidRPr="001B4C00" w:rsidRDefault="00E0340B"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 xml:space="preserve">Original: </w:t>
                      </w:r>
                      <w:r w:rsidR="008B12F5" w:rsidRPr="001B4C00">
                        <w:rPr>
                          <w:rFonts w:asciiTheme="minorHAnsi" w:hAnsiTheme="minorHAnsi"/>
                          <w:color w:val="FFFFFF" w:themeColor="background1"/>
                          <w:sz w:val="22"/>
                          <w:lang w:val="es-ES"/>
                        </w:rPr>
                        <w:t>e</w:t>
                      </w:r>
                      <w:r w:rsidR="00627C9F" w:rsidRPr="001B4C00">
                        <w:rPr>
                          <w:rFonts w:asciiTheme="minorHAnsi" w:hAnsiTheme="minorHAnsi"/>
                          <w:color w:val="FFFFFF" w:themeColor="background1"/>
                          <w:sz w:val="22"/>
                          <w:lang w:val="es-ES"/>
                        </w:rPr>
                        <w:t>spañol</w:t>
                      </w:r>
                    </w:p>
                  </w:txbxContent>
                </v:textbox>
              </v:shape>
            </w:pict>
          </mc:Fallback>
        </mc:AlternateContent>
      </w:r>
    </w:p>
    <w:p w14:paraId="155B053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006B74"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7C2BBDEB"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6F0615">
                              <w:rPr>
                                <w:rFonts w:asciiTheme="majorHAnsi" w:hAnsiTheme="majorHAnsi"/>
                                <w:color w:val="0D0D0D" w:themeColor="text1" w:themeTint="F2"/>
                                <w:sz w:val="18"/>
                                <w:szCs w:val="22"/>
                                <w:lang w:val="es-ES"/>
                              </w:rPr>
                              <w:t>22</w:t>
                            </w:r>
                            <w:r w:rsidRPr="00890650">
                              <w:rPr>
                                <w:rFonts w:asciiTheme="majorHAnsi" w:hAnsiTheme="majorHAnsi"/>
                                <w:color w:val="0D0D0D" w:themeColor="text1" w:themeTint="F2"/>
                                <w:sz w:val="18"/>
                                <w:szCs w:val="22"/>
                                <w:lang w:val="es-ES"/>
                              </w:rPr>
                              <w:t xml:space="preserve"> de </w:t>
                            </w:r>
                            <w:r w:rsidR="006F0615">
                              <w:rPr>
                                <w:rFonts w:asciiTheme="majorHAnsi" w:hAnsiTheme="majorHAnsi"/>
                                <w:color w:val="0D0D0D" w:themeColor="text1" w:themeTint="F2"/>
                                <w:sz w:val="18"/>
                                <w:szCs w:val="22"/>
                                <w:lang w:val="es-ES"/>
                              </w:rPr>
                              <w:t>enero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A777B4">
                              <w:rPr>
                                <w:rFonts w:asciiTheme="majorHAnsi" w:hAnsiTheme="majorHAnsi"/>
                                <w:color w:val="0D0D0D" w:themeColor="text1" w:themeTint="F2"/>
                                <w:sz w:val="18"/>
                                <w:szCs w:val="22"/>
                                <w:lang w:val="es-ES"/>
                              </w:rPr>
                              <w:t>2</w:t>
                            </w:r>
                            <w:r w:rsidR="008F6705">
                              <w:rPr>
                                <w:rFonts w:asciiTheme="majorHAnsi" w:hAnsiTheme="majorHAnsi"/>
                                <w:color w:val="0D0D0D" w:themeColor="text1" w:themeTint="F2"/>
                                <w:sz w:val="18"/>
                                <w:szCs w:val="22"/>
                                <w:lang w:val="es-ES"/>
                              </w:rPr>
                              <w:t>3</w:t>
                            </w:r>
                            <w:r w:rsidR="006F0615">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7C2BBDEB"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6F0615">
                        <w:rPr>
                          <w:rFonts w:asciiTheme="majorHAnsi" w:hAnsiTheme="majorHAnsi"/>
                          <w:color w:val="0D0D0D" w:themeColor="text1" w:themeTint="F2"/>
                          <w:sz w:val="18"/>
                          <w:szCs w:val="22"/>
                          <w:lang w:val="es-ES"/>
                        </w:rPr>
                        <w:t>22</w:t>
                      </w:r>
                      <w:r w:rsidRPr="00890650">
                        <w:rPr>
                          <w:rFonts w:asciiTheme="majorHAnsi" w:hAnsiTheme="majorHAnsi"/>
                          <w:color w:val="0D0D0D" w:themeColor="text1" w:themeTint="F2"/>
                          <w:sz w:val="18"/>
                          <w:szCs w:val="22"/>
                          <w:lang w:val="es-ES"/>
                        </w:rPr>
                        <w:t xml:space="preserve"> de </w:t>
                      </w:r>
                      <w:r w:rsidR="006F0615">
                        <w:rPr>
                          <w:rFonts w:asciiTheme="majorHAnsi" w:hAnsiTheme="majorHAnsi"/>
                          <w:color w:val="0D0D0D" w:themeColor="text1" w:themeTint="F2"/>
                          <w:sz w:val="18"/>
                          <w:szCs w:val="22"/>
                          <w:lang w:val="es-ES"/>
                        </w:rPr>
                        <w:t>enero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A777B4">
                        <w:rPr>
                          <w:rFonts w:asciiTheme="majorHAnsi" w:hAnsiTheme="majorHAnsi"/>
                          <w:color w:val="0D0D0D" w:themeColor="text1" w:themeTint="F2"/>
                          <w:sz w:val="18"/>
                          <w:szCs w:val="22"/>
                          <w:lang w:val="es-ES"/>
                        </w:rPr>
                        <w:t>2</w:t>
                      </w:r>
                      <w:r w:rsidR="008F6705">
                        <w:rPr>
                          <w:rFonts w:asciiTheme="majorHAnsi" w:hAnsiTheme="majorHAnsi"/>
                          <w:color w:val="0D0D0D" w:themeColor="text1" w:themeTint="F2"/>
                          <w:sz w:val="18"/>
                          <w:szCs w:val="22"/>
                          <w:lang w:val="es-ES"/>
                        </w:rPr>
                        <w:t>3</w:t>
                      </w:r>
                      <w:r w:rsidR="006F0615">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10D3F68B"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F0615" w:rsidRPr="008F6705">
                              <w:rPr>
                                <w:rFonts w:asciiTheme="majorHAnsi" w:hAnsiTheme="majorHAnsi"/>
                                <w:color w:val="595959" w:themeColor="text1" w:themeTint="A6"/>
                                <w:sz w:val="18"/>
                                <w:szCs w:val="18"/>
                                <w:lang w:val="pt-BR"/>
                              </w:rPr>
                              <w:t>2</w:t>
                            </w:r>
                            <w:r w:rsidR="007B05C4" w:rsidRPr="008F6705">
                              <w:rPr>
                                <w:rFonts w:asciiTheme="majorHAnsi" w:hAnsiTheme="majorHAnsi"/>
                                <w:color w:val="595959" w:themeColor="text1" w:themeTint="A6"/>
                                <w:sz w:val="18"/>
                                <w:szCs w:val="18"/>
                                <w:lang w:val="pt-BR"/>
                              </w:rPr>
                              <w:t>/</w:t>
                            </w:r>
                            <w:r w:rsidR="00A777B4" w:rsidRPr="008F6705">
                              <w:rPr>
                                <w:rFonts w:asciiTheme="majorHAnsi" w:hAnsiTheme="majorHAnsi"/>
                                <w:color w:val="595959" w:themeColor="text1" w:themeTint="A6"/>
                                <w:sz w:val="18"/>
                                <w:szCs w:val="18"/>
                                <w:lang w:val="pt-BR"/>
                              </w:rPr>
                              <w:t>2</w:t>
                            </w:r>
                            <w:r w:rsidR="008F6705" w:rsidRPr="008F6705">
                              <w:rPr>
                                <w:rFonts w:asciiTheme="majorHAnsi" w:hAnsiTheme="majorHAnsi"/>
                                <w:color w:val="595959" w:themeColor="text1" w:themeTint="A6"/>
                                <w:sz w:val="18"/>
                                <w:szCs w:val="18"/>
                                <w:lang w:val="pt-BR"/>
                              </w:rPr>
                              <w:t>3</w:t>
                            </w:r>
                            <w:r w:rsidRPr="008F6705">
                              <w:rPr>
                                <w:rFonts w:asciiTheme="majorHAnsi" w:hAnsiTheme="majorHAnsi"/>
                                <w:color w:val="595959" w:themeColor="text1" w:themeTint="A6"/>
                                <w:sz w:val="18"/>
                                <w:szCs w:val="18"/>
                                <w:lang w:val="pt-BR"/>
                              </w:rPr>
                              <w:t xml:space="preserve">. </w:t>
                            </w:r>
                            <w:r w:rsidR="002E0659" w:rsidRPr="00EF59BF">
                              <w:rPr>
                                <w:rFonts w:asciiTheme="majorHAnsi" w:hAnsiTheme="majorHAnsi"/>
                                <w:color w:val="595959" w:themeColor="text1" w:themeTint="A6"/>
                                <w:sz w:val="18"/>
                                <w:szCs w:val="18"/>
                                <w:lang w:val="es-AR"/>
                              </w:rPr>
                              <w:t xml:space="preserve">Petición 1848-14. </w:t>
                            </w:r>
                            <w:r w:rsidR="008F6705">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r w:rsidR="00663519">
                              <w:rPr>
                                <w:rFonts w:asciiTheme="majorHAnsi" w:hAnsiTheme="majorHAnsi"/>
                                <w:color w:val="595959" w:themeColor="text1" w:themeTint="A6"/>
                                <w:sz w:val="18"/>
                                <w:szCs w:val="18"/>
                                <w:lang w:val="es-ES_tradnl"/>
                              </w:rPr>
                              <w:t>Gustavo Marcelo Fabián Preneste</w:t>
                            </w:r>
                            <w:r w:rsidRPr="00890650">
                              <w:rPr>
                                <w:rFonts w:asciiTheme="majorHAnsi" w:hAnsiTheme="majorHAnsi"/>
                                <w:color w:val="595959" w:themeColor="text1" w:themeTint="A6"/>
                                <w:sz w:val="18"/>
                                <w:szCs w:val="18"/>
                                <w:lang w:val="es-ES_tradnl"/>
                              </w:rPr>
                              <w:t xml:space="preserve">. </w:t>
                            </w:r>
                            <w:r w:rsidR="008F6705">
                              <w:rPr>
                                <w:rFonts w:asciiTheme="majorHAnsi" w:hAnsiTheme="majorHAnsi"/>
                                <w:color w:val="595959" w:themeColor="text1" w:themeTint="A6"/>
                                <w:sz w:val="18"/>
                                <w:szCs w:val="18"/>
                                <w:lang w:val="es-ES"/>
                              </w:rPr>
                              <w:t>22 de enero de 2023</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10D3F68B"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F0615" w:rsidRPr="008F6705">
                        <w:rPr>
                          <w:rFonts w:asciiTheme="majorHAnsi" w:hAnsiTheme="majorHAnsi"/>
                          <w:color w:val="595959" w:themeColor="text1" w:themeTint="A6"/>
                          <w:sz w:val="18"/>
                          <w:szCs w:val="18"/>
                          <w:lang w:val="pt-BR"/>
                        </w:rPr>
                        <w:t>2</w:t>
                      </w:r>
                      <w:r w:rsidR="007B05C4" w:rsidRPr="008F6705">
                        <w:rPr>
                          <w:rFonts w:asciiTheme="majorHAnsi" w:hAnsiTheme="majorHAnsi"/>
                          <w:color w:val="595959" w:themeColor="text1" w:themeTint="A6"/>
                          <w:sz w:val="18"/>
                          <w:szCs w:val="18"/>
                          <w:lang w:val="pt-BR"/>
                        </w:rPr>
                        <w:t>/</w:t>
                      </w:r>
                      <w:r w:rsidR="00A777B4" w:rsidRPr="008F6705">
                        <w:rPr>
                          <w:rFonts w:asciiTheme="majorHAnsi" w:hAnsiTheme="majorHAnsi"/>
                          <w:color w:val="595959" w:themeColor="text1" w:themeTint="A6"/>
                          <w:sz w:val="18"/>
                          <w:szCs w:val="18"/>
                          <w:lang w:val="pt-BR"/>
                        </w:rPr>
                        <w:t>2</w:t>
                      </w:r>
                      <w:r w:rsidR="008F6705" w:rsidRPr="008F6705">
                        <w:rPr>
                          <w:rFonts w:asciiTheme="majorHAnsi" w:hAnsiTheme="majorHAnsi"/>
                          <w:color w:val="595959" w:themeColor="text1" w:themeTint="A6"/>
                          <w:sz w:val="18"/>
                          <w:szCs w:val="18"/>
                          <w:lang w:val="pt-BR"/>
                        </w:rPr>
                        <w:t>3</w:t>
                      </w:r>
                      <w:r w:rsidRPr="008F6705">
                        <w:rPr>
                          <w:rFonts w:asciiTheme="majorHAnsi" w:hAnsiTheme="majorHAnsi"/>
                          <w:color w:val="595959" w:themeColor="text1" w:themeTint="A6"/>
                          <w:sz w:val="18"/>
                          <w:szCs w:val="18"/>
                          <w:lang w:val="pt-BR"/>
                        </w:rPr>
                        <w:t xml:space="preserve">. </w:t>
                      </w:r>
                      <w:r w:rsidR="002E0659" w:rsidRPr="00EF59BF">
                        <w:rPr>
                          <w:rFonts w:asciiTheme="majorHAnsi" w:hAnsiTheme="majorHAnsi"/>
                          <w:color w:val="595959" w:themeColor="text1" w:themeTint="A6"/>
                          <w:sz w:val="18"/>
                          <w:szCs w:val="18"/>
                          <w:lang w:val="es-AR"/>
                        </w:rPr>
                        <w:t xml:space="preserve">Petición 1848-14. </w:t>
                      </w:r>
                      <w:r w:rsidR="008F6705">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r w:rsidR="00663519">
                        <w:rPr>
                          <w:rFonts w:asciiTheme="majorHAnsi" w:hAnsiTheme="majorHAnsi"/>
                          <w:color w:val="595959" w:themeColor="text1" w:themeTint="A6"/>
                          <w:sz w:val="18"/>
                          <w:szCs w:val="18"/>
                          <w:lang w:val="es-ES_tradnl"/>
                        </w:rPr>
                        <w:t>Gustavo Marcelo Fabián Preneste</w:t>
                      </w:r>
                      <w:r w:rsidRPr="00890650">
                        <w:rPr>
                          <w:rFonts w:asciiTheme="majorHAnsi" w:hAnsiTheme="majorHAnsi"/>
                          <w:color w:val="595959" w:themeColor="text1" w:themeTint="A6"/>
                          <w:sz w:val="18"/>
                          <w:szCs w:val="18"/>
                          <w:lang w:val="es-ES_tradnl"/>
                        </w:rPr>
                        <w:t xml:space="preserve">. </w:t>
                      </w:r>
                      <w:r w:rsidR="008F6705">
                        <w:rPr>
                          <w:rFonts w:asciiTheme="majorHAnsi" w:hAnsiTheme="majorHAnsi"/>
                          <w:color w:val="595959" w:themeColor="text1" w:themeTint="A6"/>
                          <w:sz w:val="18"/>
                          <w:szCs w:val="18"/>
                          <w:lang w:val="es-ES"/>
                        </w:rPr>
                        <w:t>22 de enero de 2023</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DA07629" w14:textId="3B367EDB" w:rsidR="0090270B" w:rsidRPr="00006B74" w:rsidRDefault="00D306D1" w:rsidP="005516A1">
      <w:pPr>
        <w:tabs>
          <w:tab w:val="center" w:pos="5400"/>
        </w:tabs>
        <w:suppressAutoHyphens/>
        <w:jc w:val="center"/>
        <w:rPr>
          <w:rFonts w:asciiTheme="majorHAnsi" w:hAnsiTheme="majorHAnsi"/>
          <w:b/>
          <w:sz w:val="20"/>
          <w:lang w:val="es-ES"/>
        </w:rPr>
      </w:pPr>
      <w:r w:rsidRPr="00006B7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4F40F24">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34AD7DFD" w:rsidR="0070697F" w:rsidRPr="00006B74" w:rsidRDefault="00FC2FB9" w:rsidP="005516A1">
      <w:pPr>
        <w:tabs>
          <w:tab w:val="center" w:pos="5400"/>
        </w:tabs>
        <w:suppressAutoHyphens/>
        <w:jc w:val="center"/>
        <w:rPr>
          <w:rFonts w:asciiTheme="majorHAnsi" w:hAnsiTheme="majorHAnsi"/>
          <w:b/>
          <w:sz w:val="20"/>
          <w:lang w:val="es-ES"/>
        </w:rPr>
        <w:sectPr w:rsidR="0070697F" w:rsidRPr="00006B74"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006B7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ABAC3DC">
                <wp:simplePos x="0" y="0"/>
                <wp:positionH relativeFrom="column">
                  <wp:posOffset>1330859</wp:posOffset>
                </wp:positionH>
                <wp:positionV relativeFrom="paragraph">
                  <wp:posOffset>490597</wp:posOffset>
                </wp:positionV>
                <wp:extent cx="4096385" cy="679010"/>
                <wp:effectExtent l="0" t="0" r="0" b="6985"/>
                <wp:wrapNone/>
                <wp:docPr id="9" name="Text Box 9"/>
                <wp:cNvGraphicFramePr/>
                <a:graphic xmlns:a="http://schemas.openxmlformats.org/drawingml/2006/main">
                  <a:graphicData uri="http://schemas.microsoft.com/office/word/2010/wordprocessingShape">
                    <wps:wsp>
                      <wps:cNvSpPr txBox="1"/>
                      <wps:spPr>
                        <a:xfrm>
                          <a:off x="0" y="0"/>
                          <a:ext cx="4096385" cy="6790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72AC5E93">
                                  <wp:extent cx="2036446" cy="523875"/>
                                  <wp:effectExtent l="0" t="0" r="190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038988" cy="52452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4.8pt;margin-top:38.65pt;width:322.55pt;height:53.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72AC5E93">
                            <wp:extent cx="2036446" cy="523875"/>
                            <wp:effectExtent l="0" t="0" r="190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038988" cy="524529"/>
                                    </a:xfrm>
                                    <a:prstGeom prst="rect">
                                      <a:avLst/>
                                    </a:prstGeom>
                                    <a:noFill/>
                                    <a:ln>
                                      <a:noFill/>
                                    </a:ln>
                                  </pic:spPr>
                                </pic:pic>
                              </a:graphicData>
                            </a:graphic>
                          </wp:inline>
                        </w:drawing>
                      </w:r>
                    </w:p>
                  </w:txbxContent>
                </v:textbox>
              </v:shape>
            </w:pict>
          </mc:Fallback>
        </mc:AlternateContent>
      </w:r>
      <w:r w:rsidR="004A6A54" w:rsidRPr="00006B74">
        <w:rPr>
          <w:rFonts w:asciiTheme="majorHAnsi" w:hAnsiTheme="majorHAnsi"/>
          <w:b/>
          <w:sz w:val="20"/>
          <w:lang w:val="es-ES"/>
        </w:rPr>
        <w:tab/>
      </w:r>
    </w:p>
    <w:p w14:paraId="376DDC8B" w14:textId="77777777" w:rsidR="003239B8" w:rsidRPr="00674556" w:rsidRDefault="003239B8" w:rsidP="007C402A">
      <w:pPr>
        <w:spacing w:after="120"/>
        <w:ind w:firstLine="720"/>
        <w:jc w:val="both"/>
        <w:rPr>
          <w:rFonts w:asciiTheme="majorHAnsi" w:hAnsiTheme="majorHAnsi"/>
          <w:b/>
          <w:bCs/>
          <w:sz w:val="20"/>
          <w:szCs w:val="20"/>
          <w:lang w:val="es-ES"/>
        </w:rPr>
      </w:pPr>
      <w:r w:rsidRPr="00E40792">
        <w:rPr>
          <w:rFonts w:asciiTheme="majorHAnsi" w:hAnsiTheme="majorHAnsi"/>
          <w:b/>
          <w:bCs/>
          <w:sz w:val="20"/>
          <w:szCs w:val="20"/>
          <w:lang w:val="es-ES"/>
        </w:rPr>
        <w:lastRenderedPageBreak/>
        <w:t>I.</w:t>
      </w:r>
      <w:r w:rsidRPr="00E40792">
        <w:rPr>
          <w:rFonts w:asciiTheme="majorHAnsi" w:hAnsiTheme="majorHAnsi"/>
          <w:b/>
          <w:bCs/>
          <w:sz w:val="20"/>
          <w:szCs w:val="20"/>
          <w:lang w:val="es-ES"/>
        </w:rPr>
        <w:tab/>
      </w:r>
      <w:r w:rsidRPr="00674556">
        <w:rPr>
          <w:rFonts w:asciiTheme="majorHAnsi" w:hAnsiTheme="majorHAnsi"/>
          <w:b/>
          <w:bCs/>
          <w:sz w:val="20"/>
          <w:szCs w:val="20"/>
          <w:lang w:val="es-ES"/>
        </w:rPr>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487"/>
        <w:gridCol w:w="5760"/>
      </w:tblGrid>
      <w:tr w:rsidR="003239B8" w:rsidRPr="00EF59BF" w14:paraId="5A79D1F7" w14:textId="77777777" w:rsidTr="003238E3">
        <w:tc>
          <w:tcPr>
            <w:tcW w:w="3487" w:type="dxa"/>
            <w:tcBorders>
              <w:top w:val="single" w:sz="4" w:space="0" w:color="auto"/>
              <w:bottom w:val="single" w:sz="6" w:space="0" w:color="auto"/>
            </w:tcBorders>
            <w:shd w:val="clear" w:color="auto" w:fill="386294"/>
            <w:vAlign w:val="center"/>
          </w:tcPr>
          <w:p w14:paraId="0CB2A43B" w14:textId="6FB89BFC" w:rsidR="003239B8" w:rsidRPr="00674556" w:rsidRDefault="00D77503" w:rsidP="008D2290">
            <w:pPr>
              <w:jc w:val="center"/>
              <w:rPr>
                <w:rFonts w:asciiTheme="majorHAnsi" w:hAnsiTheme="majorHAnsi"/>
                <w:b/>
                <w:color w:val="FFFFFF" w:themeColor="background1"/>
                <w:sz w:val="20"/>
                <w:szCs w:val="20"/>
                <w:lang w:val="es-ES"/>
              </w:rPr>
            </w:pPr>
            <w:r w:rsidRPr="00674556">
              <w:rPr>
                <w:rFonts w:asciiTheme="majorHAnsi" w:hAnsiTheme="majorHAnsi"/>
                <w:b/>
                <w:color w:val="FFFFFF" w:themeColor="background1"/>
                <w:sz w:val="20"/>
                <w:szCs w:val="20"/>
                <w:lang w:val="es-ES"/>
              </w:rPr>
              <w:t>Parte peticionaria</w:t>
            </w:r>
          </w:p>
        </w:tc>
        <w:tc>
          <w:tcPr>
            <w:tcW w:w="5760" w:type="dxa"/>
            <w:vAlign w:val="center"/>
          </w:tcPr>
          <w:p w14:paraId="3C5315D8" w14:textId="5B9BB310" w:rsidR="003239B8" w:rsidRPr="00674556" w:rsidRDefault="00663519" w:rsidP="008D2290">
            <w:pPr>
              <w:jc w:val="both"/>
              <w:rPr>
                <w:rFonts w:asciiTheme="majorHAnsi" w:hAnsiTheme="majorHAnsi"/>
                <w:bCs/>
                <w:sz w:val="20"/>
                <w:szCs w:val="20"/>
                <w:lang w:val="es-PA"/>
              </w:rPr>
            </w:pPr>
            <w:r w:rsidRPr="00674556">
              <w:rPr>
                <w:rFonts w:asciiTheme="majorHAnsi" w:hAnsiTheme="majorHAnsi"/>
                <w:bCs/>
                <w:sz w:val="20"/>
                <w:szCs w:val="20"/>
                <w:lang w:val="es-PA"/>
              </w:rPr>
              <w:t>Gustavo Martín Iglesias, Stella Marín Martínez y Mariano Fernández Valle</w:t>
            </w:r>
          </w:p>
        </w:tc>
      </w:tr>
      <w:tr w:rsidR="003239B8" w:rsidRPr="00674556" w14:paraId="593A7E45" w14:textId="77777777" w:rsidTr="003238E3">
        <w:trPr>
          <w:trHeight w:val="228"/>
        </w:trPr>
        <w:tc>
          <w:tcPr>
            <w:tcW w:w="3487" w:type="dxa"/>
            <w:tcBorders>
              <w:top w:val="single" w:sz="6" w:space="0" w:color="auto"/>
              <w:bottom w:val="single" w:sz="6" w:space="0" w:color="auto"/>
            </w:tcBorders>
            <w:shd w:val="clear" w:color="auto" w:fill="386294"/>
            <w:vAlign w:val="center"/>
          </w:tcPr>
          <w:p w14:paraId="0E78CA0C" w14:textId="6191E4A1" w:rsidR="003239B8" w:rsidRPr="00674556" w:rsidRDefault="002355A9" w:rsidP="008D2290">
            <w:pPr>
              <w:jc w:val="center"/>
              <w:rPr>
                <w:rFonts w:asciiTheme="majorHAnsi" w:hAnsiTheme="majorHAnsi"/>
                <w:b/>
                <w:color w:val="FFFFFF" w:themeColor="background1"/>
                <w:sz w:val="20"/>
                <w:szCs w:val="20"/>
                <w:lang w:val="es-ES"/>
              </w:rPr>
            </w:pPr>
            <w:r w:rsidRPr="00674556">
              <w:rPr>
                <w:rFonts w:asciiTheme="majorHAnsi" w:hAnsiTheme="majorHAnsi"/>
                <w:b/>
                <w:color w:val="FFFFFF" w:themeColor="background1"/>
                <w:sz w:val="20"/>
                <w:szCs w:val="20"/>
                <w:lang w:val="es-ES"/>
              </w:rPr>
              <w:t>Presunta víctima</w:t>
            </w:r>
          </w:p>
        </w:tc>
        <w:tc>
          <w:tcPr>
            <w:tcW w:w="5760" w:type="dxa"/>
            <w:vAlign w:val="center"/>
          </w:tcPr>
          <w:p w14:paraId="4AEBF59E" w14:textId="7C8EE8E2" w:rsidR="003239B8" w:rsidRPr="00674556" w:rsidRDefault="00663519" w:rsidP="005B6D22">
            <w:pPr>
              <w:jc w:val="both"/>
              <w:rPr>
                <w:rFonts w:asciiTheme="majorHAnsi" w:hAnsiTheme="majorHAnsi"/>
                <w:bCs/>
                <w:sz w:val="20"/>
                <w:szCs w:val="20"/>
                <w:lang w:val="es-ES"/>
              </w:rPr>
            </w:pPr>
            <w:r w:rsidRPr="00674556">
              <w:rPr>
                <w:rFonts w:asciiTheme="majorHAnsi" w:hAnsiTheme="majorHAnsi"/>
                <w:bCs/>
                <w:sz w:val="20"/>
                <w:szCs w:val="20"/>
                <w:lang w:val="es-ES"/>
              </w:rPr>
              <w:t xml:space="preserve">Gustavo Marcelo Fabián </w:t>
            </w:r>
            <w:r w:rsidR="00607B99" w:rsidRPr="00674556">
              <w:rPr>
                <w:rFonts w:asciiTheme="majorHAnsi" w:hAnsiTheme="majorHAnsi"/>
                <w:bCs/>
                <w:sz w:val="20"/>
                <w:szCs w:val="20"/>
                <w:lang w:val="es-ES"/>
              </w:rPr>
              <w:t>Preneste</w:t>
            </w:r>
          </w:p>
        </w:tc>
      </w:tr>
      <w:tr w:rsidR="003239B8" w:rsidRPr="00674556" w14:paraId="3E62E1D3" w14:textId="77777777" w:rsidTr="003238E3">
        <w:tc>
          <w:tcPr>
            <w:tcW w:w="3487" w:type="dxa"/>
            <w:tcBorders>
              <w:top w:val="single" w:sz="6" w:space="0" w:color="auto"/>
              <w:bottom w:val="single" w:sz="6" w:space="0" w:color="auto"/>
            </w:tcBorders>
            <w:shd w:val="clear" w:color="auto" w:fill="386294"/>
            <w:vAlign w:val="center"/>
          </w:tcPr>
          <w:p w14:paraId="340B0F09" w14:textId="16C11299" w:rsidR="003239B8" w:rsidRPr="00674556" w:rsidRDefault="00D77503" w:rsidP="008D2290">
            <w:pPr>
              <w:jc w:val="center"/>
              <w:rPr>
                <w:rFonts w:asciiTheme="majorHAnsi" w:hAnsiTheme="majorHAnsi"/>
                <w:b/>
                <w:color w:val="FFFFFF" w:themeColor="background1"/>
                <w:sz w:val="20"/>
                <w:szCs w:val="20"/>
                <w:lang w:val="es-ES"/>
              </w:rPr>
            </w:pPr>
            <w:r w:rsidRPr="00674556">
              <w:rPr>
                <w:rFonts w:asciiTheme="majorHAnsi" w:hAnsiTheme="majorHAnsi"/>
                <w:b/>
                <w:color w:val="FFFFFF" w:themeColor="background1"/>
                <w:sz w:val="20"/>
                <w:szCs w:val="20"/>
                <w:lang w:val="es-ES"/>
              </w:rPr>
              <w:t>Estado denunciado</w:t>
            </w:r>
          </w:p>
        </w:tc>
        <w:tc>
          <w:tcPr>
            <w:tcW w:w="5760" w:type="dxa"/>
            <w:vAlign w:val="center"/>
          </w:tcPr>
          <w:p w14:paraId="274C8A50" w14:textId="364C85B2" w:rsidR="003239B8" w:rsidRPr="00674556" w:rsidRDefault="00026DF5" w:rsidP="008D2290">
            <w:pPr>
              <w:jc w:val="both"/>
              <w:rPr>
                <w:rFonts w:asciiTheme="majorHAnsi" w:hAnsiTheme="majorHAnsi"/>
                <w:bCs/>
                <w:sz w:val="20"/>
                <w:szCs w:val="20"/>
                <w:lang w:val="es-ES"/>
              </w:rPr>
            </w:pPr>
            <w:r w:rsidRPr="00674556">
              <w:rPr>
                <w:rFonts w:asciiTheme="majorHAnsi" w:hAnsiTheme="majorHAnsi"/>
                <w:bCs/>
                <w:sz w:val="20"/>
                <w:szCs w:val="20"/>
                <w:lang w:val="es-ES"/>
              </w:rPr>
              <w:t>Argentina</w:t>
            </w:r>
          </w:p>
        </w:tc>
      </w:tr>
      <w:tr w:rsidR="00223A29" w:rsidRPr="00EF59BF" w14:paraId="632511BC" w14:textId="77777777" w:rsidTr="003238E3">
        <w:tc>
          <w:tcPr>
            <w:tcW w:w="3487" w:type="dxa"/>
            <w:tcBorders>
              <w:top w:val="single" w:sz="6" w:space="0" w:color="auto"/>
              <w:bottom w:val="single" w:sz="6" w:space="0" w:color="auto"/>
            </w:tcBorders>
            <w:shd w:val="clear" w:color="auto" w:fill="386294"/>
            <w:vAlign w:val="center"/>
          </w:tcPr>
          <w:p w14:paraId="727E2F6B" w14:textId="1D86EADA" w:rsidR="00223A29" w:rsidRPr="00674556" w:rsidRDefault="001B3A00" w:rsidP="00E4118C">
            <w:pPr>
              <w:jc w:val="center"/>
              <w:rPr>
                <w:rFonts w:asciiTheme="majorHAnsi" w:hAnsiTheme="majorHAnsi"/>
                <w:b/>
                <w:color w:val="FFFFFF" w:themeColor="background1"/>
                <w:sz w:val="20"/>
                <w:szCs w:val="20"/>
                <w:lang w:val="es-ES"/>
              </w:rPr>
            </w:pPr>
            <w:r w:rsidRPr="00674556">
              <w:rPr>
                <w:rFonts w:asciiTheme="majorHAnsi" w:hAnsiTheme="majorHAnsi"/>
                <w:b/>
                <w:color w:val="FFFFFF" w:themeColor="background1"/>
                <w:sz w:val="20"/>
                <w:szCs w:val="20"/>
                <w:lang w:val="es-ES"/>
              </w:rPr>
              <w:t xml:space="preserve">Derechos </w:t>
            </w:r>
            <w:r w:rsidR="00E4118C" w:rsidRPr="00674556">
              <w:rPr>
                <w:rFonts w:asciiTheme="majorHAnsi" w:hAnsiTheme="majorHAnsi"/>
                <w:b/>
                <w:color w:val="FFFFFF" w:themeColor="background1"/>
                <w:sz w:val="20"/>
                <w:szCs w:val="20"/>
                <w:lang w:val="es-ES"/>
              </w:rPr>
              <w:t>invocados</w:t>
            </w:r>
          </w:p>
        </w:tc>
        <w:tc>
          <w:tcPr>
            <w:tcW w:w="5760" w:type="dxa"/>
            <w:vAlign w:val="center"/>
          </w:tcPr>
          <w:p w14:paraId="6DEE1EEB" w14:textId="23B93312" w:rsidR="00223A29" w:rsidRPr="00674556" w:rsidRDefault="00A01212" w:rsidP="0034224A">
            <w:pPr>
              <w:jc w:val="both"/>
              <w:rPr>
                <w:rFonts w:asciiTheme="majorHAnsi" w:hAnsiTheme="majorHAnsi"/>
                <w:bCs/>
                <w:sz w:val="20"/>
                <w:szCs w:val="20"/>
                <w:lang w:val="es-ES"/>
              </w:rPr>
            </w:pPr>
            <w:r w:rsidRPr="00674556">
              <w:rPr>
                <w:rFonts w:asciiTheme="majorHAnsi" w:hAnsiTheme="majorHAnsi"/>
                <w:bCs/>
                <w:sz w:val="20"/>
                <w:szCs w:val="20"/>
                <w:lang w:val="es-PA"/>
              </w:rPr>
              <w:t>Artículos 5 (integridad personal), 7 (libertad personal), 8 (garantáis judiciales</w:t>
            </w:r>
            <w:r w:rsidR="00663519" w:rsidRPr="00674556">
              <w:rPr>
                <w:rFonts w:asciiTheme="majorHAnsi" w:hAnsiTheme="majorHAnsi"/>
                <w:bCs/>
                <w:sz w:val="20"/>
                <w:szCs w:val="20"/>
                <w:lang w:val="es-PA"/>
              </w:rPr>
              <w:t>) y</w:t>
            </w:r>
            <w:r w:rsidRPr="00674556">
              <w:rPr>
                <w:rFonts w:asciiTheme="majorHAnsi" w:hAnsiTheme="majorHAnsi"/>
                <w:bCs/>
                <w:sz w:val="20"/>
                <w:szCs w:val="20"/>
                <w:lang w:val="es-PA"/>
              </w:rPr>
              <w:t xml:space="preserve"> </w:t>
            </w:r>
            <w:r w:rsidR="00663519" w:rsidRPr="00674556">
              <w:rPr>
                <w:rFonts w:asciiTheme="majorHAnsi" w:hAnsiTheme="majorHAnsi"/>
                <w:bCs/>
                <w:sz w:val="20"/>
                <w:szCs w:val="20"/>
                <w:lang w:val="es-PA"/>
              </w:rPr>
              <w:t xml:space="preserve">9 </w:t>
            </w:r>
            <w:r w:rsidRPr="00674556">
              <w:rPr>
                <w:rFonts w:asciiTheme="majorHAnsi" w:hAnsiTheme="majorHAnsi"/>
                <w:bCs/>
                <w:sz w:val="20"/>
                <w:szCs w:val="20"/>
                <w:lang w:val="es-PA"/>
              </w:rPr>
              <w:t>(</w:t>
            </w:r>
            <w:r w:rsidR="00663519" w:rsidRPr="00674556">
              <w:rPr>
                <w:rFonts w:asciiTheme="majorHAnsi" w:hAnsiTheme="majorHAnsi"/>
                <w:bCs/>
                <w:sz w:val="20"/>
                <w:szCs w:val="20"/>
                <w:lang w:val="es-PA"/>
              </w:rPr>
              <w:t>principio de legalidad y de retroactividad</w:t>
            </w:r>
            <w:r w:rsidRPr="00674556">
              <w:rPr>
                <w:rFonts w:asciiTheme="majorHAnsi" w:hAnsiTheme="majorHAnsi"/>
                <w:bCs/>
                <w:sz w:val="20"/>
                <w:szCs w:val="20"/>
                <w:lang w:val="es-PA"/>
              </w:rPr>
              <w:t>) de la Convención Americana sobre Derechos Humanos</w:t>
            </w:r>
            <w:r w:rsidRPr="00674556">
              <w:rPr>
                <w:rStyle w:val="FootnoteReference"/>
                <w:rFonts w:asciiTheme="majorHAnsi" w:hAnsiTheme="majorHAnsi"/>
                <w:bCs/>
                <w:sz w:val="20"/>
                <w:szCs w:val="20"/>
                <w:lang w:val="es-PA"/>
              </w:rPr>
              <w:footnoteReference w:id="2"/>
            </w:r>
            <w:r w:rsidR="003238E3" w:rsidRPr="00674556">
              <w:rPr>
                <w:rFonts w:asciiTheme="majorHAnsi" w:hAnsiTheme="majorHAnsi"/>
                <w:bCs/>
                <w:sz w:val="20"/>
                <w:szCs w:val="20"/>
                <w:lang w:val="es-PA"/>
              </w:rPr>
              <w:t>,</w:t>
            </w:r>
            <w:r w:rsidR="00663519" w:rsidRPr="00674556">
              <w:rPr>
                <w:rFonts w:asciiTheme="majorHAnsi" w:hAnsiTheme="majorHAnsi"/>
                <w:bCs/>
                <w:sz w:val="20"/>
                <w:szCs w:val="20"/>
                <w:lang w:val="es-PA"/>
              </w:rPr>
              <w:t xml:space="preserve"> en relación con sus artículos 1.1. (obligación de respetar los derechos) y 2 (deber de adoptar disposiciones de derecho interno)</w:t>
            </w:r>
          </w:p>
        </w:tc>
      </w:tr>
    </w:tbl>
    <w:p w14:paraId="20263696" w14:textId="4C873868" w:rsidR="003239B8" w:rsidRPr="00674556" w:rsidRDefault="002636E9" w:rsidP="007C402A">
      <w:pPr>
        <w:spacing w:before="120" w:after="120"/>
        <w:ind w:firstLine="720"/>
        <w:jc w:val="both"/>
        <w:rPr>
          <w:rFonts w:asciiTheme="majorHAnsi" w:hAnsiTheme="majorHAnsi"/>
          <w:b/>
          <w:bCs/>
          <w:sz w:val="20"/>
          <w:szCs w:val="20"/>
          <w:lang w:val="es-ES"/>
        </w:rPr>
      </w:pPr>
      <w:r w:rsidRPr="00674556">
        <w:rPr>
          <w:rFonts w:asciiTheme="majorHAnsi" w:hAnsiTheme="majorHAnsi"/>
          <w:b/>
          <w:bCs/>
          <w:sz w:val="20"/>
          <w:szCs w:val="20"/>
          <w:lang w:val="es-ES"/>
        </w:rPr>
        <w:t xml:space="preserve"> </w:t>
      </w:r>
      <w:r w:rsidR="003239B8" w:rsidRPr="00674556">
        <w:rPr>
          <w:rFonts w:asciiTheme="majorHAnsi" w:hAnsiTheme="majorHAnsi"/>
          <w:b/>
          <w:bCs/>
          <w:sz w:val="20"/>
          <w:szCs w:val="20"/>
          <w:lang w:val="es-ES"/>
        </w:rPr>
        <w:t>II.</w:t>
      </w:r>
      <w:r w:rsidR="003239B8" w:rsidRPr="00674556">
        <w:rPr>
          <w:rFonts w:asciiTheme="majorHAnsi" w:hAnsiTheme="majorHAnsi"/>
          <w:b/>
          <w:bCs/>
          <w:sz w:val="20"/>
          <w:szCs w:val="20"/>
          <w:lang w:val="es-ES"/>
        </w:rPr>
        <w:tab/>
        <w:t>TRÁMITE ANTE LA CIDH</w:t>
      </w:r>
      <w:r w:rsidR="008E3BFE" w:rsidRPr="00674556">
        <w:rPr>
          <w:rStyle w:val="FootnoteReference"/>
          <w:rFonts w:asciiTheme="majorHAnsi" w:hAnsiTheme="majorHAnsi"/>
          <w:b/>
          <w:sz w:val="20"/>
          <w:szCs w:val="20"/>
          <w:lang w:val="es-ES"/>
        </w:rPr>
        <w:footnoteReference w:id="3"/>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487"/>
        <w:gridCol w:w="5760"/>
      </w:tblGrid>
      <w:tr w:rsidR="004C2312" w:rsidRPr="00674556" w14:paraId="306EFCB0" w14:textId="77777777" w:rsidTr="003238E3">
        <w:tc>
          <w:tcPr>
            <w:tcW w:w="3487" w:type="dxa"/>
            <w:tcBorders>
              <w:top w:val="single" w:sz="6" w:space="0" w:color="auto"/>
              <w:bottom w:val="single" w:sz="6" w:space="0" w:color="auto"/>
            </w:tcBorders>
            <w:shd w:val="clear" w:color="auto" w:fill="386294"/>
            <w:vAlign w:val="center"/>
          </w:tcPr>
          <w:p w14:paraId="7508D16F" w14:textId="2A4C7FC3" w:rsidR="004C2312" w:rsidRPr="00674556" w:rsidRDefault="000C1C69" w:rsidP="004A6A54">
            <w:pPr>
              <w:jc w:val="center"/>
              <w:rPr>
                <w:rFonts w:asciiTheme="majorHAnsi" w:hAnsiTheme="majorHAnsi"/>
                <w:b/>
                <w:color w:val="FFFFFF" w:themeColor="background1"/>
                <w:sz w:val="20"/>
                <w:szCs w:val="20"/>
                <w:lang w:val="es-ES"/>
              </w:rPr>
            </w:pPr>
            <w:r w:rsidRPr="00674556">
              <w:rPr>
                <w:rFonts w:asciiTheme="majorHAnsi" w:hAnsiTheme="majorHAnsi"/>
                <w:b/>
                <w:color w:val="FFFFFF" w:themeColor="background1"/>
                <w:sz w:val="20"/>
                <w:szCs w:val="20"/>
                <w:lang w:val="es-ES"/>
              </w:rPr>
              <w:t>Recepción</w:t>
            </w:r>
            <w:r w:rsidR="00D77503" w:rsidRPr="00674556">
              <w:rPr>
                <w:rFonts w:asciiTheme="majorHAnsi" w:hAnsiTheme="majorHAnsi"/>
                <w:b/>
                <w:color w:val="FFFFFF" w:themeColor="background1"/>
                <w:sz w:val="20"/>
                <w:szCs w:val="20"/>
                <w:lang w:val="es-ES"/>
              </w:rPr>
              <w:t xml:space="preserve"> de la petición</w:t>
            </w:r>
          </w:p>
        </w:tc>
        <w:tc>
          <w:tcPr>
            <w:tcW w:w="5760" w:type="dxa"/>
            <w:vAlign w:val="center"/>
          </w:tcPr>
          <w:p w14:paraId="6E579153" w14:textId="4045172F" w:rsidR="004C2312" w:rsidRPr="00674556" w:rsidRDefault="00663519" w:rsidP="002625EA">
            <w:pPr>
              <w:jc w:val="both"/>
              <w:rPr>
                <w:rFonts w:asciiTheme="majorHAnsi" w:hAnsiTheme="majorHAnsi"/>
                <w:bCs/>
                <w:sz w:val="20"/>
                <w:szCs w:val="20"/>
                <w:lang w:val="es-ES"/>
              </w:rPr>
            </w:pPr>
            <w:r w:rsidRPr="00674556">
              <w:rPr>
                <w:rFonts w:asciiTheme="majorHAnsi" w:hAnsiTheme="majorHAnsi"/>
                <w:bCs/>
                <w:sz w:val="20"/>
                <w:szCs w:val="20"/>
                <w:lang w:val="es-ES"/>
              </w:rPr>
              <w:t>30 de diciembre de 2014</w:t>
            </w:r>
            <w:r w:rsidR="002636E9" w:rsidRPr="00674556">
              <w:rPr>
                <w:rFonts w:asciiTheme="majorHAnsi" w:hAnsiTheme="majorHAnsi"/>
                <w:bCs/>
                <w:sz w:val="20"/>
                <w:szCs w:val="20"/>
                <w:lang w:val="es-ES"/>
              </w:rPr>
              <w:t xml:space="preserve"> </w:t>
            </w:r>
          </w:p>
        </w:tc>
      </w:tr>
      <w:tr w:rsidR="004C2312" w:rsidRPr="00674556" w14:paraId="1BDCD5C6" w14:textId="77777777" w:rsidTr="003238E3">
        <w:tc>
          <w:tcPr>
            <w:tcW w:w="3487" w:type="dxa"/>
            <w:tcBorders>
              <w:top w:val="single" w:sz="6" w:space="0" w:color="auto"/>
              <w:bottom w:val="single" w:sz="6" w:space="0" w:color="auto"/>
            </w:tcBorders>
            <w:shd w:val="clear" w:color="auto" w:fill="386294"/>
            <w:vAlign w:val="center"/>
          </w:tcPr>
          <w:p w14:paraId="7A18664F" w14:textId="53CE1B14" w:rsidR="004C2312" w:rsidRPr="00674556" w:rsidRDefault="004A6A54" w:rsidP="000C1C69">
            <w:pPr>
              <w:jc w:val="center"/>
              <w:rPr>
                <w:rFonts w:asciiTheme="majorHAnsi" w:hAnsiTheme="majorHAnsi"/>
                <w:b/>
                <w:color w:val="FFFFFF" w:themeColor="background1"/>
                <w:sz w:val="20"/>
                <w:szCs w:val="20"/>
                <w:lang w:val="es-ES"/>
              </w:rPr>
            </w:pPr>
            <w:r w:rsidRPr="00674556">
              <w:rPr>
                <w:rFonts w:asciiTheme="majorHAnsi" w:hAnsiTheme="majorHAnsi"/>
                <w:b/>
                <w:color w:val="FFFFFF" w:themeColor="background1"/>
                <w:sz w:val="20"/>
                <w:szCs w:val="20"/>
                <w:lang w:val="es-ES"/>
              </w:rPr>
              <w:t>N</w:t>
            </w:r>
            <w:r w:rsidR="004C2312" w:rsidRPr="00674556">
              <w:rPr>
                <w:rFonts w:asciiTheme="majorHAnsi" w:hAnsiTheme="majorHAnsi"/>
                <w:b/>
                <w:color w:val="FFFFFF" w:themeColor="background1"/>
                <w:sz w:val="20"/>
                <w:szCs w:val="20"/>
                <w:lang w:val="es-ES"/>
              </w:rPr>
              <w:t>otificación de la petición</w:t>
            </w:r>
          </w:p>
        </w:tc>
        <w:tc>
          <w:tcPr>
            <w:tcW w:w="5760" w:type="dxa"/>
            <w:vAlign w:val="center"/>
          </w:tcPr>
          <w:p w14:paraId="1519DA6A" w14:textId="09A65DA4" w:rsidR="004C2312" w:rsidRPr="00674556" w:rsidRDefault="00AC7D47" w:rsidP="008D2290">
            <w:pPr>
              <w:jc w:val="both"/>
              <w:rPr>
                <w:rFonts w:asciiTheme="majorHAnsi" w:hAnsiTheme="majorHAnsi"/>
                <w:bCs/>
                <w:sz w:val="20"/>
                <w:szCs w:val="20"/>
                <w:lang w:val="es-ES"/>
              </w:rPr>
            </w:pPr>
            <w:r w:rsidRPr="00674556">
              <w:rPr>
                <w:rFonts w:asciiTheme="majorHAnsi" w:hAnsiTheme="majorHAnsi"/>
                <w:bCs/>
                <w:sz w:val="20"/>
                <w:szCs w:val="20"/>
                <w:lang w:val="es-ES"/>
              </w:rPr>
              <w:t>24 de junio de 2019</w:t>
            </w:r>
          </w:p>
        </w:tc>
      </w:tr>
      <w:tr w:rsidR="00F06354" w:rsidRPr="00674556" w14:paraId="6147A8D5" w14:textId="77777777" w:rsidTr="003238E3">
        <w:tc>
          <w:tcPr>
            <w:tcW w:w="3487" w:type="dxa"/>
            <w:tcBorders>
              <w:top w:val="single" w:sz="6" w:space="0" w:color="auto"/>
              <w:bottom w:val="single" w:sz="6" w:space="0" w:color="auto"/>
            </w:tcBorders>
            <w:shd w:val="clear" w:color="auto" w:fill="386294"/>
            <w:vAlign w:val="center"/>
          </w:tcPr>
          <w:p w14:paraId="0201C86D" w14:textId="678B514E" w:rsidR="00F06354" w:rsidRPr="00674556" w:rsidRDefault="00D77503" w:rsidP="00F06354">
            <w:pPr>
              <w:jc w:val="center"/>
              <w:rPr>
                <w:rFonts w:asciiTheme="majorHAnsi" w:hAnsiTheme="majorHAnsi"/>
                <w:b/>
                <w:color w:val="FFFFFF" w:themeColor="background1"/>
                <w:sz w:val="20"/>
                <w:szCs w:val="20"/>
                <w:lang w:val="es-ES"/>
              </w:rPr>
            </w:pPr>
            <w:r w:rsidRPr="00674556">
              <w:rPr>
                <w:rFonts w:asciiTheme="majorHAnsi" w:hAnsiTheme="majorHAnsi"/>
                <w:b/>
                <w:color w:val="FFFFFF" w:themeColor="background1"/>
                <w:sz w:val="20"/>
                <w:szCs w:val="20"/>
                <w:lang w:val="es-ES"/>
              </w:rPr>
              <w:t>Primera respuesta del Estado</w:t>
            </w:r>
          </w:p>
        </w:tc>
        <w:tc>
          <w:tcPr>
            <w:tcW w:w="5760" w:type="dxa"/>
            <w:vAlign w:val="center"/>
          </w:tcPr>
          <w:p w14:paraId="1972B99E" w14:textId="51770BFB" w:rsidR="00F06354" w:rsidRPr="00674556" w:rsidRDefault="004F643F" w:rsidP="00F06354">
            <w:pPr>
              <w:jc w:val="both"/>
              <w:rPr>
                <w:rFonts w:asciiTheme="majorHAnsi" w:hAnsiTheme="majorHAnsi"/>
                <w:bCs/>
                <w:sz w:val="20"/>
                <w:szCs w:val="20"/>
                <w:lang w:val="es-ES"/>
              </w:rPr>
            </w:pPr>
            <w:r w:rsidRPr="00674556">
              <w:rPr>
                <w:rFonts w:asciiTheme="majorHAnsi" w:hAnsiTheme="majorHAnsi"/>
                <w:bCs/>
                <w:sz w:val="20"/>
                <w:szCs w:val="20"/>
                <w:lang w:val="es-ES"/>
              </w:rPr>
              <w:t>21 de octubre de 2019</w:t>
            </w:r>
          </w:p>
        </w:tc>
      </w:tr>
      <w:tr w:rsidR="00B21F67" w:rsidRPr="00674556" w14:paraId="271C4921" w14:textId="77777777" w:rsidTr="003238E3">
        <w:tc>
          <w:tcPr>
            <w:tcW w:w="3487" w:type="dxa"/>
            <w:tcBorders>
              <w:top w:val="single" w:sz="6" w:space="0" w:color="auto"/>
              <w:bottom w:val="single" w:sz="6" w:space="0" w:color="auto"/>
            </w:tcBorders>
            <w:shd w:val="clear" w:color="auto" w:fill="386294"/>
            <w:vAlign w:val="center"/>
          </w:tcPr>
          <w:p w14:paraId="29AB343F" w14:textId="46F81440" w:rsidR="00B21F67" w:rsidRPr="00674556" w:rsidRDefault="007034AD" w:rsidP="00F06354">
            <w:pPr>
              <w:jc w:val="center"/>
              <w:rPr>
                <w:rFonts w:asciiTheme="majorHAnsi" w:hAnsiTheme="majorHAnsi"/>
                <w:b/>
                <w:color w:val="FFFFFF" w:themeColor="background1"/>
                <w:sz w:val="20"/>
                <w:szCs w:val="20"/>
                <w:lang w:val="es-ES"/>
              </w:rPr>
            </w:pPr>
            <w:r w:rsidRPr="00674556">
              <w:rPr>
                <w:rFonts w:asciiTheme="majorHAnsi" w:hAnsiTheme="majorHAnsi"/>
                <w:b/>
                <w:color w:val="FFFFFF" w:themeColor="background1"/>
                <w:sz w:val="20"/>
                <w:szCs w:val="20"/>
                <w:lang w:val="es-ES"/>
              </w:rPr>
              <w:t>Observaciones adicionales de la parte peticionaria</w:t>
            </w:r>
          </w:p>
        </w:tc>
        <w:tc>
          <w:tcPr>
            <w:tcW w:w="5760" w:type="dxa"/>
            <w:vAlign w:val="center"/>
          </w:tcPr>
          <w:p w14:paraId="28001B19" w14:textId="7AE6A681" w:rsidR="00B21F67" w:rsidRPr="00674556" w:rsidRDefault="004F643F" w:rsidP="00F06354">
            <w:pPr>
              <w:jc w:val="both"/>
              <w:rPr>
                <w:rFonts w:asciiTheme="majorHAnsi" w:hAnsiTheme="majorHAnsi"/>
                <w:bCs/>
                <w:sz w:val="20"/>
                <w:szCs w:val="20"/>
                <w:lang w:val="es-ES"/>
              </w:rPr>
            </w:pPr>
            <w:r w:rsidRPr="00674556">
              <w:rPr>
                <w:rFonts w:asciiTheme="majorHAnsi" w:hAnsiTheme="majorHAnsi"/>
                <w:bCs/>
                <w:sz w:val="20"/>
                <w:szCs w:val="20"/>
                <w:lang w:val="es-ES"/>
              </w:rPr>
              <w:t>26 de marzo de 2020</w:t>
            </w:r>
          </w:p>
        </w:tc>
      </w:tr>
    </w:tbl>
    <w:p w14:paraId="21DAA666" w14:textId="5065046E" w:rsidR="003239B8" w:rsidRPr="00674556" w:rsidRDefault="003239B8" w:rsidP="007C402A">
      <w:pPr>
        <w:spacing w:before="120" w:after="120"/>
        <w:ind w:firstLine="720"/>
        <w:jc w:val="both"/>
        <w:rPr>
          <w:rFonts w:asciiTheme="majorHAnsi" w:hAnsiTheme="majorHAnsi"/>
          <w:b/>
          <w:bCs/>
          <w:sz w:val="20"/>
          <w:szCs w:val="20"/>
          <w:lang w:val="es-ES"/>
        </w:rPr>
      </w:pPr>
      <w:r w:rsidRPr="00674556">
        <w:rPr>
          <w:rFonts w:asciiTheme="majorHAnsi" w:hAnsiTheme="majorHAnsi"/>
          <w:b/>
          <w:bCs/>
          <w:sz w:val="20"/>
          <w:szCs w:val="20"/>
          <w:lang w:val="es-ES"/>
        </w:rPr>
        <w:t xml:space="preserve">III. </w:t>
      </w:r>
      <w:r w:rsidRPr="00674556">
        <w:rPr>
          <w:rFonts w:asciiTheme="majorHAnsi" w:hAnsiTheme="majorHAnsi"/>
          <w:b/>
          <w:bCs/>
          <w:sz w:val="20"/>
          <w:szCs w:val="20"/>
          <w:lang w:val="es-ES"/>
        </w:rPr>
        <w:tab/>
        <w:t>COMPETENCIA</w:t>
      </w:r>
      <w:r w:rsidR="00EE00E9" w:rsidRPr="00674556">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487"/>
        <w:gridCol w:w="5755"/>
      </w:tblGrid>
      <w:tr w:rsidR="003239B8" w:rsidRPr="00674556" w14:paraId="072532AD" w14:textId="77777777" w:rsidTr="00E40792">
        <w:trPr>
          <w:cantSplit/>
        </w:trPr>
        <w:tc>
          <w:tcPr>
            <w:tcW w:w="3487" w:type="dxa"/>
            <w:tcBorders>
              <w:top w:val="single" w:sz="4" w:space="0" w:color="auto"/>
              <w:bottom w:val="single" w:sz="6" w:space="0" w:color="auto"/>
            </w:tcBorders>
            <w:shd w:val="clear" w:color="auto" w:fill="386294"/>
            <w:vAlign w:val="center"/>
          </w:tcPr>
          <w:p w14:paraId="5C2E4B34" w14:textId="7281AAF8" w:rsidR="003239B8" w:rsidRPr="00674556" w:rsidRDefault="00D77503" w:rsidP="008D2290">
            <w:pPr>
              <w:jc w:val="center"/>
              <w:rPr>
                <w:rFonts w:asciiTheme="majorHAnsi" w:hAnsiTheme="majorHAnsi"/>
                <w:b/>
                <w:i/>
                <w:color w:val="FFFFFF" w:themeColor="background1"/>
                <w:sz w:val="20"/>
                <w:szCs w:val="20"/>
                <w:lang w:val="es-ES"/>
              </w:rPr>
            </w:pPr>
            <w:r w:rsidRPr="00674556">
              <w:rPr>
                <w:rFonts w:asciiTheme="majorHAnsi" w:hAnsiTheme="majorHAnsi"/>
                <w:b/>
                <w:i/>
                <w:color w:val="FFFFFF" w:themeColor="background1"/>
                <w:sz w:val="20"/>
                <w:szCs w:val="20"/>
                <w:lang w:val="es-ES"/>
              </w:rPr>
              <w:t>Ratione personae</w:t>
            </w:r>
          </w:p>
        </w:tc>
        <w:tc>
          <w:tcPr>
            <w:tcW w:w="5755" w:type="dxa"/>
            <w:vAlign w:val="center"/>
          </w:tcPr>
          <w:p w14:paraId="7707F3E9" w14:textId="5413C97E" w:rsidR="003239B8" w:rsidRPr="00674556" w:rsidRDefault="00253195" w:rsidP="008D2290">
            <w:pPr>
              <w:rPr>
                <w:rFonts w:asciiTheme="majorHAnsi" w:hAnsiTheme="majorHAnsi"/>
                <w:bCs/>
                <w:sz w:val="20"/>
                <w:szCs w:val="20"/>
                <w:lang w:val="es-ES"/>
              </w:rPr>
            </w:pPr>
            <w:r w:rsidRPr="00674556">
              <w:rPr>
                <w:rFonts w:asciiTheme="majorHAnsi" w:hAnsiTheme="majorHAnsi"/>
                <w:bCs/>
                <w:sz w:val="20"/>
                <w:szCs w:val="20"/>
                <w:lang w:val="es-ES"/>
              </w:rPr>
              <w:t>Sí</w:t>
            </w:r>
          </w:p>
        </w:tc>
      </w:tr>
      <w:tr w:rsidR="003239B8" w:rsidRPr="00674556" w14:paraId="4B8802DA" w14:textId="77777777" w:rsidTr="00E40792">
        <w:trPr>
          <w:cantSplit/>
        </w:trPr>
        <w:tc>
          <w:tcPr>
            <w:tcW w:w="3487" w:type="dxa"/>
            <w:tcBorders>
              <w:top w:val="single" w:sz="6" w:space="0" w:color="auto"/>
              <w:bottom w:val="single" w:sz="6" w:space="0" w:color="auto"/>
            </w:tcBorders>
            <w:shd w:val="clear" w:color="auto" w:fill="386294"/>
            <w:vAlign w:val="center"/>
          </w:tcPr>
          <w:p w14:paraId="3915C23B" w14:textId="629F623D" w:rsidR="003239B8" w:rsidRPr="00674556" w:rsidRDefault="003239B8" w:rsidP="00D77503">
            <w:pPr>
              <w:jc w:val="center"/>
              <w:rPr>
                <w:rFonts w:asciiTheme="majorHAnsi" w:hAnsiTheme="majorHAnsi"/>
                <w:b/>
                <w:color w:val="FFFFFF" w:themeColor="background1"/>
                <w:sz w:val="20"/>
                <w:szCs w:val="20"/>
                <w:lang w:val="es-ES"/>
              </w:rPr>
            </w:pPr>
            <w:r w:rsidRPr="00674556">
              <w:rPr>
                <w:rFonts w:asciiTheme="majorHAnsi" w:hAnsiTheme="majorHAnsi"/>
                <w:b/>
                <w:i/>
                <w:color w:val="FFFFFF" w:themeColor="background1"/>
                <w:sz w:val="20"/>
                <w:szCs w:val="20"/>
                <w:lang w:val="es-ES"/>
              </w:rPr>
              <w:t>Ratione loci</w:t>
            </w:r>
          </w:p>
        </w:tc>
        <w:tc>
          <w:tcPr>
            <w:tcW w:w="5755" w:type="dxa"/>
            <w:vAlign w:val="center"/>
          </w:tcPr>
          <w:p w14:paraId="12C931CB" w14:textId="40C87F4E" w:rsidR="003239B8" w:rsidRPr="00674556" w:rsidRDefault="00253195" w:rsidP="008D2290">
            <w:pPr>
              <w:rPr>
                <w:rFonts w:asciiTheme="majorHAnsi" w:hAnsiTheme="majorHAnsi"/>
                <w:bCs/>
                <w:sz w:val="20"/>
                <w:szCs w:val="20"/>
                <w:lang w:val="es-ES"/>
              </w:rPr>
            </w:pPr>
            <w:r w:rsidRPr="00674556">
              <w:rPr>
                <w:rFonts w:asciiTheme="majorHAnsi" w:hAnsiTheme="majorHAnsi"/>
                <w:bCs/>
                <w:sz w:val="20"/>
                <w:szCs w:val="20"/>
                <w:lang w:val="es-ES"/>
              </w:rPr>
              <w:t>Sí</w:t>
            </w:r>
          </w:p>
        </w:tc>
      </w:tr>
      <w:tr w:rsidR="003239B8" w:rsidRPr="00674556" w14:paraId="4362FDF3" w14:textId="77777777" w:rsidTr="00E40792">
        <w:trPr>
          <w:cantSplit/>
        </w:trPr>
        <w:tc>
          <w:tcPr>
            <w:tcW w:w="3487" w:type="dxa"/>
            <w:tcBorders>
              <w:top w:val="single" w:sz="6" w:space="0" w:color="auto"/>
              <w:bottom w:val="single" w:sz="6" w:space="0" w:color="auto"/>
            </w:tcBorders>
            <w:shd w:val="clear" w:color="auto" w:fill="386294"/>
            <w:vAlign w:val="center"/>
          </w:tcPr>
          <w:p w14:paraId="3BE23153" w14:textId="1788B5D3" w:rsidR="003239B8" w:rsidRPr="00674556" w:rsidRDefault="003239B8" w:rsidP="008D2290">
            <w:pPr>
              <w:jc w:val="center"/>
              <w:rPr>
                <w:rFonts w:asciiTheme="majorHAnsi" w:hAnsiTheme="majorHAnsi"/>
                <w:b/>
                <w:color w:val="FFFFFF" w:themeColor="background1"/>
                <w:sz w:val="20"/>
                <w:szCs w:val="20"/>
                <w:lang w:val="es-ES"/>
              </w:rPr>
            </w:pPr>
            <w:r w:rsidRPr="00674556">
              <w:rPr>
                <w:rFonts w:asciiTheme="majorHAnsi" w:hAnsiTheme="majorHAnsi"/>
                <w:b/>
                <w:i/>
                <w:color w:val="FFFFFF" w:themeColor="background1"/>
                <w:sz w:val="20"/>
                <w:szCs w:val="20"/>
                <w:lang w:val="es-ES"/>
              </w:rPr>
              <w:t>Ratione temporis</w:t>
            </w:r>
          </w:p>
        </w:tc>
        <w:tc>
          <w:tcPr>
            <w:tcW w:w="5755" w:type="dxa"/>
            <w:vAlign w:val="center"/>
          </w:tcPr>
          <w:p w14:paraId="6F8B059B" w14:textId="3897AC54" w:rsidR="003239B8" w:rsidRPr="00674556" w:rsidRDefault="00253195" w:rsidP="008D2290">
            <w:pPr>
              <w:rPr>
                <w:rFonts w:asciiTheme="majorHAnsi" w:hAnsiTheme="majorHAnsi"/>
                <w:bCs/>
                <w:sz w:val="20"/>
                <w:szCs w:val="20"/>
                <w:lang w:val="es-ES"/>
              </w:rPr>
            </w:pPr>
            <w:r w:rsidRPr="00674556">
              <w:rPr>
                <w:rFonts w:asciiTheme="majorHAnsi" w:hAnsiTheme="majorHAnsi"/>
                <w:bCs/>
                <w:sz w:val="20"/>
                <w:szCs w:val="20"/>
                <w:lang w:val="es-ES"/>
              </w:rPr>
              <w:t>Sí</w:t>
            </w:r>
          </w:p>
        </w:tc>
      </w:tr>
      <w:tr w:rsidR="003239B8" w:rsidRPr="00EF59BF" w14:paraId="30ABEC3E" w14:textId="77777777" w:rsidTr="00E40792">
        <w:trPr>
          <w:cantSplit/>
        </w:trPr>
        <w:tc>
          <w:tcPr>
            <w:tcW w:w="3487" w:type="dxa"/>
            <w:tcBorders>
              <w:top w:val="single" w:sz="6" w:space="0" w:color="auto"/>
              <w:bottom w:val="single" w:sz="6" w:space="0" w:color="auto"/>
            </w:tcBorders>
            <w:shd w:val="clear" w:color="auto" w:fill="386294"/>
            <w:vAlign w:val="center"/>
          </w:tcPr>
          <w:p w14:paraId="47B529D2" w14:textId="72B41633" w:rsidR="003239B8" w:rsidRPr="00674556" w:rsidRDefault="003239B8" w:rsidP="008D2290">
            <w:pPr>
              <w:jc w:val="center"/>
              <w:rPr>
                <w:rFonts w:asciiTheme="majorHAnsi" w:hAnsiTheme="majorHAnsi"/>
                <w:b/>
                <w:color w:val="FFFFFF" w:themeColor="background1"/>
                <w:sz w:val="20"/>
                <w:szCs w:val="20"/>
                <w:lang w:val="es-ES"/>
              </w:rPr>
            </w:pPr>
            <w:r w:rsidRPr="00674556">
              <w:rPr>
                <w:rFonts w:asciiTheme="majorHAnsi" w:hAnsiTheme="majorHAnsi"/>
                <w:b/>
                <w:i/>
                <w:color w:val="FFFFFF" w:themeColor="background1"/>
                <w:sz w:val="20"/>
                <w:szCs w:val="20"/>
                <w:lang w:val="es-ES"/>
              </w:rPr>
              <w:t>Ratione materia</w:t>
            </w:r>
            <w:r w:rsidR="00EE00E9" w:rsidRPr="00674556">
              <w:rPr>
                <w:rFonts w:asciiTheme="majorHAnsi" w:hAnsiTheme="majorHAnsi"/>
                <w:b/>
                <w:i/>
                <w:color w:val="FFFFFF" w:themeColor="background1"/>
                <w:sz w:val="20"/>
                <w:szCs w:val="20"/>
                <w:lang w:val="es-ES"/>
              </w:rPr>
              <w:t>e</w:t>
            </w:r>
          </w:p>
        </w:tc>
        <w:tc>
          <w:tcPr>
            <w:tcW w:w="5755" w:type="dxa"/>
            <w:vAlign w:val="center"/>
          </w:tcPr>
          <w:p w14:paraId="0C122F44" w14:textId="7CB8F7D8" w:rsidR="003239B8" w:rsidRPr="00674556" w:rsidRDefault="00253195" w:rsidP="008D2290">
            <w:pPr>
              <w:jc w:val="both"/>
              <w:rPr>
                <w:rFonts w:asciiTheme="majorHAnsi" w:hAnsiTheme="majorHAnsi"/>
                <w:bCs/>
                <w:sz w:val="20"/>
                <w:szCs w:val="20"/>
                <w:lang w:val="es-ES"/>
              </w:rPr>
            </w:pPr>
            <w:r w:rsidRPr="00674556">
              <w:rPr>
                <w:rFonts w:asciiTheme="majorHAnsi" w:hAnsiTheme="majorHAnsi"/>
                <w:bCs/>
                <w:sz w:val="20"/>
                <w:szCs w:val="20"/>
                <w:lang w:val="es-ES"/>
              </w:rPr>
              <w:t xml:space="preserve">Sí, Convención Americana </w:t>
            </w:r>
            <w:r w:rsidR="00D314F3" w:rsidRPr="00674556">
              <w:rPr>
                <w:rFonts w:asciiTheme="majorHAnsi" w:hAnsiTheme="majorHAnsi"/>
                <w:bCs/>
                <w:sz w:val="20"/>
                <w:szCs w:val="20"/>
                <w:lang w:val="es-ES"/>
              </w:rPr>
              <w:t>sobre</w:t>
            </w:r>
            <w:r w:rsidRPr="00674556">
              <w:rPr>
                <w:rFonts w:asciiTheme="majorHAnsi" w:hAnsiTheme="majorHAnsi"/>
                <w:bCs/>
                <w:sz w:val="20"/>
                <w:szCs w:val="20"/>
                <w:lang w:val="es-ES"/>
              </w:rPr>
              <w:t xml:space="preserve"> Derechos Humanos (depósito del instrumento </w:t>
            </w:r>
            <w:r w:rsidR="003238E3" w:rsidRPr="00674556">
              <w:rPr>
                <w:rFonts w:asciiTheme="majorHAnsi" w:hAnsiTheme="majorHAnsi"/>
                <w:bCs/>
                <w:sz w:val="20"/>
                <w:szCs w:val="20"/>
                <w:lang w:val="es-ES"/>
              </w:rPr>
              <w:t xml:space="preserve">de ratificación </w:t>
            </w:r>
            <w:r w:rsidRPr="00674556">
              <w:rPr>
                <w:rFonts w:asciiTheme="majorHAnsi" w:hAnsiTheme="majorHAnsi"/>
                <w:bCs/>
                <w:sz w:val="20"/>
                <w:szCs w:val="20"/>
                <w:lang w:val="es-ES"/>
              </w:rPr>
              <w:t xml:space="preserve">realizado el </w:t>
            </w:r>
            <w:r w:rsidR="00D314F3" w:rsidRPr="00674556">
              <w:rPr>
                <w:rFonts w:asciiTheme="majorHAnsi" w:hAnsiTheme="majorHAnsi"/>
                <w:bCs/>
                <w:sz w:val="20"/>
                <w:szCs w:val="20"/>
                <w:lang w:val="es-ES"/>
              </w:rPr>
              <w:t>5 de septiembre de 1984)</w:t>
            </w:r>
          </w:p>
        </w:tc>
      </w:tr>
    </w:tbl>
    <w:p w14:paraId="4E92C444" w14:textId="44A3FC3C" w:rsidR="003239B8" w:rsidRPr="00674556" w:rsidRDefault="003239B8" w:rsidP="007C402A">
      <w:pPr>
        <w:spacing w:before="120" w:after="120"/>
        <w:ind w:firstLine="720"/>
        <w:jc w:val="both"/>
        <w:rPr>
          <w:rFonts w:asciiTheme="majorHAnsi" w:hAnsiTheme="majorHAnsi"/>
          <w:b/>
          <w:bCs/>
          <w:sz w:val="20"/>
          <w:szCs w:val="20"/>
          <w:lang w:val="es-ES"/>
        </w:rPr>
      </w:pPr>
      <w:r w:rsidRPr="00674556">
        <w:rPr>
          <w:rFonts w:asciiTheme="majorHAnsi" w:hAnsiTheme="majorHAnsi"/>
          <w:b/>
          <w:bCs/>
          <w:sz w:val="20"/>
          <w:szCs w:val="20"/>
          <w:lang w:val="es-ES"/>
        </w:rPr>
        <w:t xml:space="preserve">IV. </w:t>
      </w:r>
      <w:r w:rsidRPr="00674556">
        <w:rPr>
          <w:rFonts w:asciiTheme="majorHAnsi" w:hAnsiTheme="majorHAnsi"/>
          <w:b/>
          <w:bCs/>
          <w:sz w:val="20"/>
          <w:szCs w:val="20"/>
          <w:lang w:val="es-ES"/>
        </w:rPr>
        <w:tab/>
      </w:r>
      <w:r w:rsidR="00EE00E9" w:rsidRPr="00674556">
        <w:rPr>
          <w:rFonts w:asciiTheme="majorHAnsi" w:hAnsiTheme="majorHAnsi"/>
          <w:b/>
          <w:bCs/>
          <w:sz w:val="20"/>
          <w:szCs w:val="20"/>
          <w:lang w:val="es-ES"/>
        </w:rPr>
        <w:t>DUPLICACIÓN</w:t>
      </w:r>
      <w:r w:rsidR="00EE00E9" w:rsidRPr="00674556">
        <w:rPr>
          <w:rFonts w:asciiTheme="majorHAnsi" w:hAnsiTheme="majorHAnsi"/>
          <w:b/>
          <w:bCs/>
          <w:color w:val="FFFFFF" w:themeColor="background1"/>
          <w:sz w:val="20"/>
          <w:szCs w:val="20"/>
          <w:lang w:val="es-ES"/>
        </w:rPr>
        <w:t xml:space="preserve"> </w:t>
      </w:r>
      <w:r w:rsidR="00EE00E9" w:rsidRPr="00674556">
        <w:rPr>
          <w:rFonts w:asciiTheme="majorHAnsi" w:hAnsiTheme="majorHAnsi"/>
          <w:b/>
          <w:bCs/>
          <w:sz w:val="20"/>
          <w:szCs w:val="20"/>
          <w:lang w:val="es-ES"/>
        </w:rPr>
        <w:t>DE PROCEDIMIENTOS Y COSA JUZGADA</w:t>
      </w:r>
      <w:r w:rsidR="00EE00E9" w:rsidRPr="00674556">
        <w:rPr>
          <w:rFonts w:asciiTheme="majorHAnsi" w:hAnsiTheme="majorHAnsi"/>
          <w:b/>
          <w:bCs/>
          <w:i/>
          <w:sz w:val="20"/>
          <w:szCs w:val="20"/>
          <w:lang w:val="es-ES"/>
        </w:rPr>
        <w:t xml:space="preserve"> </w:t>
      </w:r>
      <w:r w:rsidR="00E40792" w:rsidRPr="00674556">
        <w:rPr>
          <w:rFonts w:asciiTheme="majorHAnsi" w:hAnsiTheme="majorHAnsi"/>
          <w:b/>
          <w:bCs/>
          <w:sz w:val="20"/>
          <w:szCs w:val="20"/>
          <w:lang w:val="es-ES"/>
        </w:rPr>
        <w:t>INTERNACIONAL, CARACTERIZACIÓN</w:t>
      </w:r>
      <w:r w:rsidRPr="00674556">
        <w:rPr>
          <w:rFonts w:asciiTheme="majorHAnsi" w:hAnsiTheme="majorHAnsi"/>
          <w:b/>
          <w:bCs/>
          <w:sz w:val="20"/>
          <w:szCs w:val="20"/>
          <w:lang w:val="es-ES"/>
        </w:rPr>
        <w:t xml:space="preserve">, </w:t>
      </w:r>
      <w:r w:rsidRPr="00674556">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487"/>
        <w:gridCol w:w="5755"/>
      </w:tblGrid>
      <w:tr w:rsidR="00EE00E9" w:rsidRPr="00674556" w14:paraId="1231C988" w14:textId="77777777" w:rsidTr="00E40792">
        <w:trPr>
          <w:cantSplit/>
        </w:trPr>
        <w:tc>
          <w:tcPr>
            <w:tcW w:w="3487" w:type="dxa"/>
            <w:tcBorders>
              <w:top w:val="single" w:sz="4" w:space="0" w:color="auto"/>
              <w:bottom w:val="single" w:sz="6" w:space="0" w:color="auto"/>
            </w:tcBorders>
            <w:shd w:val="clear" w:color="auto" w:fill="386294"/>
            <w:vAlign w:val="center"/>
          </w:tcPr>
          <w:p w14:paraId="6F8031F4" w14:textId="03D8D2D1" w:rsidR="00EE00E9" w:rsidRPr="00674556" w:rsidRDefault="00EE00E9" w:rsidP="00954B82">
            <w:pPr>
              <w:jc w:val="center"/>
              <w:rPr>
                <w:rFonts w:asciiTheme="majorHAnsi" w:hAnsiTheme="majorHAnsi"/>
                <w:b/>
                <w:color w:val="FFFFFF" w:themeColor="background1"/>
                <w:sz w:val="20"/>
                <w:szCs w:val="20"/>
                <w:lang w:val="es-ES"/>
              </w:rPr>
            </w:pPr>
            <w:r w:rsidRPr="00674556">
              <w:rPr>
                <w:rFonts w:asciiTheme="majorHAnsi" w:hAnsiTheme="majorHAnsi"/>
                <w:b/>
                <w:color w:val="FFFFFF" w:themeColor="background1"/>
                <w:sz w:val="20"/>
                <w:szCs w:val="20"/>
                <w:lang w:val="es-ES"/>
              </w:rPr>
              <w:t xml:space="preserve">Duplicación </w:t>
            </w:r>
            <w:r w:rsidR="00D77503" w:rsidRPr="00674556">
              <w:rPr>
                <w:rFonts w:asciiTheme="majorHAnsi" w:hAnsiTheme="majorHAnsi"/>
                <w:b/>
                <w:color w:val="FFFFFF" w:themeColor="background1"/>
                <w:sz w:val="20"/>
                <w:szCs w:val="20"/>
                <w:lang w:val="es-ES"/>
              </w:rPr>
              <w:t>y cosa juzgada internacional</w:t>
            </w:r>
          </w:p>
        </w:tc>
        <w:tc>
          <w:tcPr>
            <w:tcW w:w="5755" w:type="dxa"/>
            <w:vAlign w:val="center"/>
          </w:tcPr>
          <w:p w14:paraId="240941E6" w14:textId="6C8799BB" w:rsidR="00EE00E9" w:rsidRPr="00674556" w:rsidRDefault="00B84C70" w:rsidP="008D2290">
            <w:pPr>
              <w:jc w:val="both"/>
              <w:rPr>
                <w:rFonts w:asciiTheme="majorHAnsi" w:hAnsiTheme="majorHAnsi"/>
                <w:bCs/>
                <w:sz w:val="20"/>
                <w:szCs w:val="20"/>
                <w:lang w:val="es-ES"/>
              </w:rPr>
            </w:pPr>
            <w:r w:rsidRPr="00674556">
              <w:rPr>
                <w:rFonts w:asciiTheme="majorHAnsi" w:hAnsiTheme="majorHAnsi"/>
                <w:bCs/>
                <w:sz w:val="20"/>
                <w:szCs w:val="20"/>
                <w:lang w:val="es-ES"/>
              </w:rPr>
              <w:t>No</w:t>
            </w:r>
          </w:p>
        </w:tc>
      </w:tr>
      <w:tr w:rsidR="003239B8" w:rsidRPr="00EF59BF" w14:paraId="15FAA7D1" w14:textId="77777777" w:rsidTr="00E40792">
        <w:trPr>
          <w:cantSplit/>
        </w:trPr>
        <w:tc>
          <w:tcPr>
            <w:tcW w:w="3487" w:type="dxa"/>
            <w:tcBorders>
              <w:top w:val="single" w:sz="4" w:space="0" w:color="auto"/>
              <w:bottom w:val="single" w:sz="6" w:space="0" w:color="auto"/>
            </w:tcBorders>
            <w:shd w:val="clear" w:color="auto" w:fill="386294"/>
            <w:vAlign w:val="center"/>
          </w:tcPr>
          <w:p w14:paraId="1B0D29FF" w14:textId="4FE01870" w:rsidR="003239B8" w:rsidRPr="00674556" w:rsidRDefault="003239B8" w:rsidP="00954B82">
            <w:pPr>
              <w:jc w:val="center"/>
              <w:rPr>
                <w:rFonts w:asciiTheme="majorHAnsi" w:hAnsiTheme="majorHAnsi"/>
                <w:b/>
                <w:i/>
                <w:color w:val="FFFFFF" w:themeColor="background1"/>
                <w:sz w:val="20"/>
                <w:szCs w:val="20"/>
                <w:lang w:val="es-ES"/>
              </w:rPr>
            </w:pPr>
            <w:r w:rsidRPr="00674556">
              <w:rPr>
                <w:rFonts w:asciiTheme="majorHAnsi" w:hAnsiTheme="majorHAnsi"/>
                <w:b/>
                <w:color w:val="FFFFFF" w:themeColor="background1"/>
                <w:sz w:val="20"/>
                <w:szCs w:val="20"/>
                <w:lang w:val="es-ES"/>
              </w:rPr>
              <w:t>Derechos admi</w:t>
            </w:r>
            <w:r w:rsidR="00954B82" w:rsidRPr="00674556">
              <w:rPr>
                <w:rFonts w:asciiTheme="majorHAnsi" w:hAnsiTheme="majorHAnsi"/>
                <w:b/>
                <w:color w:val="FFFFFF" w:themeColor="background1"/>
                <w:sz w:val="20"/>
                <w:szCs w:val="20"/>
                <w:lang w:val="es-ES"/>
              </w:rPr>
              <w:t>tidos</w:t>
            </w:r>
          </w:p>
        </w:tc>
        <w:tc>
          <w:tcPr>
            <w:tcW w:w="5755" w:type="dxa"/>
            <w:vAlign w:val="center"/>
          </w:tcPr>
          <w:p w14:paraId="6310C8F7" w14:textId="279B18BE" w:rsidR="003239B8" w:rsidRPr="00674556" w:rsidRDefault="00E37026" w:rsidP="001479C0">
            <w:pPr>
              <w:jc w:val="both"/>
              <w:rPr>
                <w:rFonts w:asciiTheme="majorHAnsi" w:hAnsiTheme="majorHAnsi"/>
                <w:bCs/>
                <w:sz w:val="20"/>
                <w:szCs w:val="20"/>
                <w:lang w:val="es-ES"/>
              </w:rPr>
            </w:pPr>
            <w:r w:rsidRPr="00674556">
              <w:rPr>
                <w:rFonts w:asciiTheme="majorHAnsi" w:hAnsiTheme="majorHAnsi"/>
                <w:bCs/>
                <w:sz w:val="20"/>
                <w:szCs w:val="20"/>
                <w:lang w:val="es-ES"/>
              </w:rPr>
              <w:t>Artículos</w:t>
            </w:r>
            <w:r w:rsidR="007034AD" w:rsidRPr="00674556">
              <w:rPr>
                <w:rFonts w:asciiTheme="majorHAnsi" w:hAnsiTheme="majorHAnsi"/>
                <w:bCs/>
                <w:sz w:val="20"/>
                <w:szCs w:val="20"/>
                <w:lang w:val="es-ES"/>
              </w:rPr>
              <w:t xml:space="preserve"> 5 (integridad personal),</w:t>
            </w:r>
            <w:r w:rsidRPr="00674556">
              <w:rPr>
                <w:rFonts w:asciiTheme="majorHAnsi" w:hAnsiTheme="majorHAnsi"/>
                <w:bCs/>
                <w:sz w:val="20"/>
                <w:szCs w:val="20"/>
                <w:lang w:val="es-ES"/>
              </w:rPr>
              <w:t xml:space="preserve"> </w:t>
            </w:r>
            <w:r w:rsidR="00D314F3" w:rsidRPr="00674556">
              <w:rPr>
                <w:rFonts w:asciiTheme="majorHAnsi" w:hAnsiTheme="majorHAnsi"/>
                <w:bCs/>
                <w:sz w:val="20"/>
                <w:szCs w:val="20"/>
                <w:lang w:val="es-ES"/>
              </w:rPr>
              <w:t xml:space="preserve">7 (libertad personal), </w:t>
            </w:r>
            <w:r w:rsidR="002F3A0A" w:rsidRPr="00674556">
              <w:rPr>
                <w:rFonts w:asciiTheme="majorHAnsi" w:hAnsiTheme="majorHAnsi"/>
                <w:bCs/>
                <w:sz w:val="20"/>
                <w:szCs w:val="20"/>
                <w:lang w:val="es-ES"/>
              </w:rPr>
              <w:t>8 (garantías judiciales)</w:t>
            </w:r>
            <w:r w:rsidR="007034AD" w:rsidRPr="00674556">
              <w:rPr>
                <w:rFonts w:asciiTheme="majorHAnsi" w:hAnsiTheme="majorHAnsi"/>
                <w:bCs/>
                <w:sz w:val="20"/>
                <w:szCs w:val="20"/>
                <w:lang w:val="es-ES"/>
              </w:rPr>
              <w:t xml:space="preserve">, </w:t>
            </w:r>
            <w:r w:rsidR="004F643F" w:rsidRPr="00674556">
              <w:rPr>
                <w:rFonts w:asciiTheme="majorHAnsi" w:hAnsiTheme="majorHAnsi"/>
                <w:bCs/>
                <w:sz w:val="20"/>
                <w:szCs w:val="20"/>
                <w:lang w:val="es-ES"/>
              </w:rPr>
              <w:t xml:space="preserve">9 </w:t>
            </w:r>
            <w:r w:rsidR="004F643F" w:rsidRPr="00674556">
              <w:rPr>
                <w:rFonts w:asciiTheme="majorHAnsi" w:hAnsiTheme="majorHAnsi"/>
                <w:bCs/>
                <w:sz w:val="20"/>
                <w:szCs w:val="20"/>
                <w:lang w:val="es-PA"/>
              </w:rPr>
              <w:t xml:space="preserve">(principio de legalidad y de retroactividad) </w:t>
            </w:r>
            <w:r w:rsidR="002F3A0A" w:rsidRPr="00674556">
              <w:rPr>
                <w:rFonts w:asciiTheme="majorHAnsi" w:hAnsiTheme="majorHAnsi"/>
                <w:bCs/>
                <w:sz w:val="20"/>
                <w:szCs w:val="20"/>
                <w:lang w:val="es-ES"/>
              </w:rPr>
              <w:t>y 25 (protección judicial) de la Convención Americana</w:t>
            </w:r>
            <w:r w:rsidR="003238E3" w:rsidRPr="00674556">
              <w:rPr>
                <w:rFonts w:asciiTheme="majorHAnsi" w:hAnsiTheme="majorHAnsi"/>
                <w:bCs/>
                <w:sz w:val="20"/>
                <w:szCs w:val="20"/>
                <w:lang w:val="es-ES"/>
              </w:rPr>
              <w:t>,</w:t>
            </w:r>
            <w:r w:rsidR="002F3A0A" w:rsidRPr="00674556">
              <w:rPr>
                <w:rFonts w:asciiTheme="majorHAnsi" w:hAnsiTheme="majorHAnsi"/>
                <w:bCs/>
                <w:sz w:val="20"/>
                <w:szCs w:val="20"/>
                <w:lang w:val="es-ES"/>
              </w:rPr>
              <w:t xml:space="preserve"> en relación con su</w:t>
            </w:r>
            <w:r w:rsidR="004F643F" w:rsidRPr="00674556">
              <w:rPr>
                <w:rFonts w:asciiTheme="majorHAnsi" w:hAnsiTheme="majorHAnsi"/>
                <w:bCs/>
                <w:sz w:val="20"/>
                <w:szCs w:val="20"/>
                <w:lang w:val="es-ES"/>
              </w:rPr>
              <w:t xml:space="preserve">s </w:t>
            </w:r>
            <w:r w:rsidR="002F3A0A" w:rsidRPr="00674556">
              <w:rPr>
                <w:rFonts w:asciiTheme="majorHAnsi" w:hAnsiTheme="majorHAnsi"/>
                <w:bCs/>
                <w:sz w:val="20"/>
                <w:szCs w:val="20"/>
                <w:lang w:val="es-ES"/>
              </w:rPr>
              <w:t>artículo</w:t>
            </w:r>
            <w:r w:rsidR="004F643F" w:rsidRPr="00674556">
              <w:rPr>
                <w:rFonts w:asciiTheme="majorHAnsi" w:hAnsiTheme="majorHAnsi"/>
                <w:bCs/>
                <w:sz w:val="20"/>
                <w:szCs w:val="20"/>
                <w:lang w:val="es-ES"/>
              </w:rPr>
              <w:t>s</w:t>
            </w:r>
            <w:r w:rsidR="002F3A0A" w:rsidRPr="00674556">
              <w:rPr>
                <w:rFonts w:asciiTheme="majorHAnsi" w:hAnsiTheme="majorHAnsi"/>
                <w:bCs/>
                <w:sz w:val="20"/>
                <w:szCs w:val="20"/>
                <w:lang w:val="es-ES"/>
              </w:rPr>
              <w:t xml:space="preserve"> 1.1 (obligación de respetar los derechos) </w:t>
            </w:r>
            <w:r w:rsidR="004F643F" w:rsidRPr="00674556">
              <w:rPr>
                <w:rFonts w:asciiTheme="majorHAnsi" w:hAnsiTheme="majorHAnsi"/>
                <w:bCs/>
                <w:sz w:val="20"/>
                <w:szCs w:val="20"/>
                <w:lang w:val="es-ES"/>
              </w:rPr>
              <w:t>y 2 (deber de adoptar disposiciones de derecho interno)</w:t>
            </w:r>
          </w:p>
        </w:tc>
      </w:tr>
      <w:tr w:rsidR="003239B8" w:rsidRPr="00674556" w14:paraId="4EFD141E" w14:textId="77777777" w:rsidTr="00E40792">
        <w:trPr>
          <w:cantSplit/>
        </w:trPr>
        <w:tc>
          <w:tcPr>
            <w:tcW w:w="3487" w:type="dxa"/>
            <w:tcBorders>
              <w:top w:val="single" w:sz="6" w:space="0" w:color="auto"/>
              <w:bottom w:val="single" w:sz="6" w:space="0" w:color="auto"/>
            </w:tcBorders>
            <w:shd w:val="clear" w:color="auto" w:fill="386294"/>
            <w:vAlign w:val="center"/>
          </w:tcPr>
          <w:p w14:paraId="4C04A89C" w14:textId="058482B9" w:rsidR="003239B8" w:rsidRPr="00674556" w:rsidRDefault="003239B8" w:rsidP="006775AB">
            <w:pPr>
              <w:jc w:val="center"/>
              <w:rPr>
                <w:rFonts w:asciiTheme="majorHAnsi" w:hAnsiTheme="majorHAnsi"/>
                <w:b/>
                <w:color w:val="FFFFFF" w:themeColor="background1"/>
                <w:sz w:val="20"/>
                <w:szCs w:val="20"/>
                <w:lang w:val="es-ES"/>
              </w:rPr>
            </w:pPr>
            <w:r w:rsidRPr="00674556">
              <w:rPr>
                <w:rFonts w:asciiTheme="majorHAnsi" w:hAnsiTheme="majorHAnsi"/>
                <w:b/>
                <w:color w:val="FFFFFF" w:themeColor="background1"/>
                <w:sz w:val="20"/>
                <w:szCs w:val="20"/>
                <w:lang w:val="es-ES"/>
              </w:rPr>
              <w:t>Agotamiento de</w:t>
            </w:r>
            <w:r w:rsidR="0069402E" w:rsidRPr="00674556">
              <w:rPr>
                <w:rFonts w:asciiTheme="majorHAnsi" w:hAnsiTheme="majorHAnsi"/>
                <w:b/>
                <w:color w:val="FFFFFF" w:themeColor="background1"/>
                <w:sz w:val="20"/>
                <w:szCs w:val="20"/>
                <w:lang w:val="es-ES"/>
              </w:rPr>
              <w:t xml:space="preserve"> </w:t>
            </w:r>
            <w:r w:rsidRPr="00674556">
              <w:rPr>
                <w:rFonts w:asciiTheme="majorHAnsi" w:hAnsiTheme="majorHAnsi"/>
                <w:b/>
                <w:color w:val="FFFFFF" w:themeColor="background1"/>
                <w:sz w:val="20"/>
                <w:szCs w:val="20"/>
                <w:lang w:val="es-ES"/>
              </w:rPr>
              <w:t xml:space="preserve">recursos </w:t>
            </w:r>
            <w:r w:rsidR="00D77503" w:rsidRPr="00674556">
              <w:rPr>
                <w:rFonts w:asciiTheme="majorHAnsi" w:hAnsiTheme="majorHAnsi"/>
                <w:b/>
                <w:color w:val="FFFFFF" w:themeColor="background1"/>
                <w:sz w:val="20"/>
                <w:szCs w:val="20"/>
                <w:lang w:val="es-ES"/>
              </w:rPr>
              <w:t>o procedencia de una excepción</w:t>
            </w:r>
          </w:p>
        </w:tc>
        <w:tc>
          <w:tcPr>
            <w:tcW w:w="5755" w:type="dxa"/>
            <w:vAlign w:val="center"/>
          </w:tcPr>
          <w:p w14:paraId="69C53E8A" w14:textId="1804E60A" w:rsidR="003239B8" w:rsidRPr="00674556" w:rsidRDefault="00E37026" w:rsidP="00BB3FBD">
            <w:pPr>
              <w:rPr>
                <w:rFonts w:asciiTheme="majorHAnsi" w:hAnsiTheme="majorHAnsi"/>
                <w:bCs/>
                <w:sz w:val="20"/>
                <w:szCs w:val="20"/>
                <w:lang w:val="es-ES"/>
              </w:rPr>
            </w:pPr>
            <w:r w:rsidRPr="00674556">
              <w:rPr>
                <w:rFonts w:asciiTheme="majorHAnsi" w:hAnsiTheme="majorHAnsi"/>
                <w:bCs/>
                <w:sz w:val="20"/>
                <w:szCs w:val="20"/>
                <w:lang w:val="es-ES"/>
              </w:rPr>
              <w:t>Sí,</w:t>
            </w:r>
            <w:r w:rsidR="007034AD" w:rsidRPr="00674556">
              <w:rPr>
                <w:rFonts w:asciiTheme="majorHAnsi" w:hAnsiTheme="majorHAnsi"/>
                <w:bCs/>
                <w:sz w:val="20"/>
                <w:szCs w:val="20"/>
                <w:lang w:val="es-ES"/>
              </w:rPr>
              <w:t xml:space="preserve"> </w:t>
            </w:r>
            <w:r w:rsidR="008F2749" w:rsidRPr="00674556">
              <w:rPr>
                <w:rFonts w:asciiTheme="majorHAnsi" w:hAnsiTheme="majorHAnsi"/>
                <w:bCs/>
                <w:sz w:val="20"/>
                <w:szCs w:val="20"/>
                <w:lang w:val="es-ES"/>
              </w:rPr>
              <w:t>15 de julio de 2014</w:t>
            </w:r>
          </w:p>
        </w:tc>
      </w:tr>
      <w:tr w:rsidR="003239B8" w:rsidRPr="00674556" w14:paraId="52B5BA17" w14:textId="77777777" w:rsidTr="00E40792">
        <w:trPr>
          <w:cantSplit/>
        </w:trPr>
        <w:tc>
          <w:tcPr>
            <w:tcW w:w="3487" w:type="dxa"/>
            <w:tcBorders>
              <w:top w:val="single" w:sz="6" w:space="0" w:color="auto"/>
              <w:bottom w:val="single" w:sz="6" w:space="0" w:color="auto"/>
            </w:tcBorders>
            <w:shd w:val="clear" w:color="auto" w:fill="386294"/>
            <w:vAlign w:val="center"/>
          </w:tcPr>
          <w:p w14:paraId="5DF99086" w14:textId="392A0ECF" w:rsidR="003239B8" w:rsidRPr="00674556" w:rsidRDefault="00D77503" w:rsidP="008D2290">
            <w:pPr>
              <w:jc w:val="center"/>
              <w:rPr>
                <w:rFonts w:asciiTheme="majorHAnsi" w:hAnsiTheme="majorHAnsi"/>
                <w:b/>
                <w:color w:val="FFFFFF" w:themeColor="background1"/>
                <w:sz w:val="20"/>
                <w:szCs w:val="20"/>
                <w:lang w:val="es-ES"/>
              </w:rPr>
            </w:pPr>
            <w:r w:rsidRPr="00674556">
              <w:rPr>
                <w:rFonts w:asciiTheme="majorHAnsi" w:hAnsiTheme="majorHAnsi"/>
                <w:b/>
                <w:color w:val="FFFFFF" w:themeColor="background1"/>
                <w:sz w:val="20"/>
                <w:szCs w:val="20"/>
                <w:lang w:val="es-ES"/>
              </w:rPr>
              <w:t>Presentación dentro de plazo</w:t>
            </w:r>
          </w:p>
        </w:tc>
        <w:tc>
          <w:tcPr>
            <w:tcW w:w="5755" w:type="dxa"/>
            <w:vAlign w:val="center"/>
          </w:tcPr>
          <w:p w14:paraId="4A2A4569" w14:textId="4528172E" w:rsidR="003239B8" w:rsidRPr="00674556" w:rsidRDefault="00E37026" w:rsidP="008D2290">
            <w:pPr>
              <w:rPr>
                <w:rFonts w:asciiTheme="majorHAnsi" w:hAnsiTheme="majorHAnsi"/>
                <w:bCs/>
                <w:sz w:val="20"/>
                <w:szCs w:val="20"/>
                <w:lang w:val="es-US"/>
              </w:rPr>
            </w:pPr>
            <w:r w:rsidRPr="00674556">
              <w:rPr>
                <w:rFonts w:asciiTheme="majorHAnsi" w:hAnsiTheme="majorHAnsi"/>
                <w:bCs/>
                <w:sz w:val="20"/>
                <w:szCs w:val="20"/>
                <w:lang w:val="es-ES"/>
              </w:rPr>
              <w:t xml:space="preserve">Sí, </w:t>
            </w:r>
            <w:r w:rsidR="008F2749" w:rsidRPr="00674556">
              <w:rPr>
                <w:rFonts w:asciiTheme="majorHAnsi" w:hAnsiTheme="majorHAnsi"/>
                <w:bCs/>
                <w:sz w:val="20"/>
                <w:szCs w:val="20"/>
                <w:lang w:val="es-ES"/>
              </w:rPr>
              <w:t>30 de diciembre de 2014</w:t>
            </w:r>
          </w:p>
        </w:tc>
      </w:tr>
    </w:tbl>
    <w:p w14:paraId="21D24831" w14:textId="77777777" w:rsidR="00E7201C" w:rsidRPr="00674556" w:rsidRDefault="00E7201C" w:rsidP="00E7201C">
      <w:pPr>
        <w:spacing w:before="120" w:after="120"/>
        <w:ind w:firstLine="720"/>
        <w:jc w:val="both"/>
        <w:rPr>
          <w:rFonts w:asciiTheme="majorHAnsi" w:hAnsiTheme="majorHAnsi"/>
          <w:b/>
          <w:sz w:val="20"/>
          <w:szCs w:val="20"/>
          <w:lang w:val="es-ES"/>
        </w:rPr>
      </w:pPr>
    </w:p>
    <w:p w14:paraId="18E6423B" w14:textId="2A58794A" w:rsidR="003239B8" w:rsidRPr="00006B74" w:rsidRDefault="00223A29" w:rsidP="00E7201C">
      <w:pPr>
        <w:spacing w:before="120" w:after="120"/>
        <w:ind w:firstLine="720"/>
        <w:jc w:val="both"/>
        <w:rPr>
          <w:rFonts w:asciiTheme="majorHAnsi" w:hAnsiTheme="majorHAnsi"/>
          <w:b/>
          <w:sz w:val="20"/>
          <w:szCs w:val="20"/>
          <w:lang w:val="es-ES"/>
        </w:rPr>
      </w:pPr>
      <w:r w:rsidRPr="00006B74">
        <w:rPr>
          <w:rFonts w:asciiTheme="majorHAnsi" w:hAnsiTheme="majorHAnsi"/>
          <w:b/>
          <w:sz w:val="20"/>
          <w:szCs w:val="20"/>
          <w:lang w:val="es-ES"/>
        </w:rPr>
        <w:t xml:space="preserve">V. </w:t>
      </w:r>
      <w:r w:rsidRPr="00006B74">
        <w:rPr>
          <w:rFonts w:asciiTheme="majorHAnsi" w:hAnsiTheme="majorHAnsi"/>
          <w:b/>
          <w:sz w:val="20"/>
          <w:szCs w:val="20"/>
          <w:lang w:val="es-ES"/>
        </w:rPr>
        <w:tab/>
      </w:r>
      <w:r w:rsidR="003238E3">
        <w:rPr>
          <w:rFonts w:asciiTheme="majorHAnsi" w:hAnsiTheme="majorHAnsi"/>
          <w:b/>
          <w:sz w:val="20"/>
          <w:szCs w:val="20"/>
          <w:lang w:val="es-ES"/>
        </w:rPr>
        <w:t>POSICI</w:t>
      </w:r>
      <w:r w:rsidR="00BE779C">
        <w:rPr>
          <w:rFonts w:asciiTheme="majorHAnsi" w:hAnsiTheme="majorHAnsi"/>
          <w:b/>
          <w:sz w:val="20"/>
          <w:szCs w:val="20"/>
          <w:lang w:val="es-ES"/>
        </w:rPr>
        <w:t>Ó</w:t>
      </w:r>
      <w:r w:rsidR="003238E3">
        <w:rPr>
          <w:rFonts w:asciiTheme="majorHAnsi" w:hAnsiTheme="majorHAnsi"/>
          <w:b/>
          <w:sz w:val="20"/>
          <w:szCs w:val="20"/>
          <w:lang w:val="es-ES"/>
        </w:rPr>
        <w:t>N DE LAS PARTES</w:t>
      </w:r>
    </w:p>
    <w:p w14:paraId="7C664263" w14:textId="014C044A" w:rsidR="00F30AE2" w:rsidRPr="00D22372" w:rsidRDefault="008F2749" w:rsidP="00F30AE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b/>
          <w:bCs/>
          <w:sz w:val="20"/>
          <w:szCs w:val="20"/>
          <w:lang w:val="es-ES"/>
        </w:rPr>
      </w:pPr>
      <w:r>
        <w:rPr>
          <w:rFonts w:ascii="Cambria" w:hAnsi="Cambria"/>
          <w:sz w:val="20"/>
          <w:szCs w:val="20"/>
          <w:lang w:val="es-ES"/>
        </w:rPr>
        <w:t xml:space="preserve">La parte peticionaria denuncia que </w:t>
      </w:r>
      <w:r w:rsidR="00607B99">
        <w:rPr>
          <w:rFonts w:ascii="Cambria" w:hAnsi="Cambria"/>
          <w:sz w:val="20"/>
          <w:szCs w:val="20"/>
          <w:lang w:val="es-ES"/>
        </w:rPr>
        <w:t xml:space="preserve">el Sr. Gustavo Marcelo Fabián </w:t>
      </w:r>
      <w:r w:rsidR="009861AE">
        <w:rPr>
          <w:rFonts w:ascii="Cambria" w:hAnsi="Cambria"/>
          <w:sz w:val="20"/>
          <w:szCs w:val="20"/>
          <w:lang w:val="es-ES"/>
        </w:rPr>
        <w:t>Preneste</w:t>
      </w:r>
      <w:r>
        <w:rPr>
          <w:rFonts w:ascii="Cambria" w:hAnsi="Cambria"/>
          <w:sz w:val="20"/>
          <w:szCs w:val="20"/>
          <w:lang w:val="es-ES"/>
        </w:rPr>
        <w:t xml:space="preserve"> fue </w:t>
      </w:r>
      <w:r w:rsidR="00D22372">
        <w:rPr>
          <w:rFonts w:ascii="Cambria" w:hAnsi="Cambria"/>
          <w:sz w:val="20"/>
          <w:szCs w:val="20"/>
          <w:lang w:val="es-ES"/>
        </w:rPr>
        <w:t xml:space="preserve">condenado a una pena de prisión perpetua </w:t>
      </w:r>
      <w:r w:rsidR="00D22372">
        <w:rPr>
          <w:rFonts w:ascii="Cambria" w:hAnsi="Cambria"/>
          <w:bCs/>
          <w:sz w:val="20"/>
          <w:szCs w:val="20"/>
          <w:lang w:val="es-PA"/>
        </w:rPr>
        <w:t>en base a normativa que sería incompatible con la Convención Americana por preverla como la única pena posible para el tipo delictivo en cuestión</w:t>
      </w:r>
      <w:r w:rsidR="00607B99">
        <w:rPr>
          <w:rFonts w:ascii="Cambria" w:hAnsi="Cambria"/>
          <w:bCs/>
          <w:sz w:val="20"/>
          <w:szCs w:val="20"/>
          <w:lang w:val="es-PA"/>
        </w:rPr>
        <w:t>,</w:t>
      </w:r>
      <w:r w:rsidR="00D22372">
        <w:rPr>
          <w:rFonts w:ascii="Cambria" w:hAnsi="Cambria"/>
          <w:bCs/>
          <w:sz w:val="20"/>
          <w:szCs w:val="20"/>
          <w:lang w:val="es-PA"/>
        </w:rPr>
        <w:t xml:space="preserve"> y no contemplar ninguna posibilidad de revisión o liberación. La petición también reclama que el asunto fue conocido en grado de casación por un tribunal cuyos integrantes reconocieron carecer de imparcialidad.</w:t>
      </w:r>
    </w:p>
    <w:p w14:paraId="7D157864" w14:textId="085F43BF" w:rsidR="00D22372" w:rsidRPr="0077109D" w:rsidRDefault="00EE7D98" w:rsidP="00F30AE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b/>
          <w:bCs/>
          <w:sz w:val="20"/>
          <w:szCs w:val="20"/>
          <w:lang w:val="es-ES"/>
        </w:rPr>
      </w:pPr>
      <w:r>
        <w:rPr>
          <w:rFonts w:ascii="Cambria" w:hAnsi="Cambria"/>
          <w:bCs/>
          <w:sz w:val="20"/>
          <w:szCs w:val="20"/>
          <w:lang w:val="es-PA"/>
        </w:rPr>
        <w:t xml:space="preserve">Conforme relata la petición, el 4 de julio de 2006 tres personas ingresaron a robar la sucursal de un banco en Buenos Aires. En el desarrollo del robo uno de los asaltantes disparó </w:t>
      </w:r>
      <w:r w:rsidR="00AF5CAA">
        <w:rPr>
          <w:rFonts w:ascii="Cambria" w:hAnsi="Cambria"/>
          <w:bCs/>
          <w:sz w:val="20"/>
          <w:szCs w:val="20"/>
          <w:lang w:val="es-PA"/>
        </w:rPr>
        <w:t xml:space="preserve">y mató </w:t>
      </w:r>
      <w:r>
        <w:rPr>
          <w:rFonts w:ascii="Cambria" w:hAnsi="Cambria"/>
          <w:bCs/>
          <w:sz w:val="20"/>
          <w:szCs w:val="20"/>
          <w:lang w:val="es-PA"/>
        </w:rPr>
        <w:t xml:space="preserve">contra un policía que intentaba detener a los otros asaltantes. </w:t>
      </w:r>
      <w:r w:rsidR="00AF5CAA">
        <w:rPr>
          <w:rFonts w:ascii="Cambria" w:hAnsi="Cambria"/>
          <w:bCs/>
          <w:sz w:val="20"/>
          <w:szCs w:val="20"/>
          <w:lang w:val="es-PA"/>
        </w:rPr>
        <w:t>El Sr. Preneste</w:t>
      </w:r>
      <w:r>
        <w:rPr>
          <w:rFonts w:ascii="Cambria" w:hAnsi="Cambria"/>
          <w:bCs/>
          <w:sz w:val="20"/>
          <w:szCs w:val="20"/>
          <w:lang w:val="es-PA"/>
        </w:rPr>
        <w:t xml:space="preserve"> fue acusado penalmente </w:t>
      </w:r>
      <w:r w:rsidR="00AF5CAA">
        <w:rPr>
          <w:rFonts w:ascii="Cambria" w:hAnsi="Cambria"/>
          <w:bCs/>
          <w:sz w:val="20"/>
          <w:szCs w:val="20"/>
          <w:lang w:val="es-PA"/>
        </w:rPr>
        <w:t>por</w:t>
      </w:r>
      <w:r>
        <w:rPr>
          <w:rFonts w:ascii="Cambria" w:hAnsi="Cambria"/>
          <w:bCs/>
          <w:sz w:val="20"/>
          <w:szCs w:val="20"/>
          <w:lang w:val="es-PA"/>
        </w:rPr>
        <w:t xml:space="preserve"> este hecho siendo </w:t>
      </w:r>
      <w:r>
        <w:rPr>
          <w:rFonts w:ascii="Cambria" w:hAnsi="Cambria"/>
          <w:bCs/>
          <w:sz w:val="20"/>
          <w:szCs w:val="20"/>
          <w:lang w:val="es-PA"/>
        </w:rPr>
        <w:lastRenderedPageBreak/>
        <w:t>identificado en la acusación como uno de los participantes del robo</w:t>
      </w:r>
      <w:r w:rsidR="00FC57DB">
        <w:rPr>
          <w:rFonts w:ascii="Cambria" w:hAnsi="Cambria"/>
          <w:bCs/>
          <w:sz w:val="20"/>
          <w:szCs w:val="20"/>
          <w:lang w:val="es-PA"/>
        </w:rPr>
        <w:t>,</w:t>
      </w:r>
      <w:r>
        <w:rPr>
          <w:rFonts w:ascii="Cambria" w:hAnsi="Cambria"/>
          <w:bCs/>
          <w:sz w:val="20"/>
          <w:szCs w:val="20"/>
          <w:lang w:val="es-PA"/>
        </w:rPr>
        <w:t xml:space="preserve"> pero no como quien efectúo el disparo contra el policía. </w:t>
      </w:r>
      <w:r w:rsidR="00220329">
        <w:rPr>
          <w:rFonts w:ascii="Cambria" w:hAnsi="Cambria"/>
          <w:bCs/>
          <w:sz w:val="20"/>
          <w:szCs w:val="20"/>
          <w:lang w:val="es-PA"/>
        </w:rPr>
        <w:t xml:space="preserve">Pese a ello, el 10 de julio de 2008 el Tribunal Oral en lo Criminal No. 18 de la Capital Federal encontró a la presunta víctima responsable como coautor de “homicidio </w:t>
      </w:r>
      <w:r w:rsidR="00220329" w:rsidRPr="00220329">
        <w:rPr>
          <w:rFonts w:ascii="Cambria" w:hAnsi="Cambria"/>
          <w:bCs/>
          <w:i/>
          <w:iCs/>
          <w:sz w:val="20"/>
          <w:szCs w:val="20"/>
          <w:lang w:val="es-PA"/>
        </w:rPr>
        <w:t>criminis causae</w:t>
      </w:r>
      <w:r w:rsidR="00220329">
        <w:rPr>
          <w:rFonts w:ascii="Cambria" w:hAnsi="Cambria"/>
          <w:bCs/>
          <w:sz w:val="20"/>
          <w:szCs w:val="20"/>
          <w:lang w:val="es-PA"/>
        </w:rPr>
        <w:t>”</w:t>
      </w:r>
      <w:r w:rsidR="0077109D">
        <w:rPr>
          <w:rFonts w:ascii="Cambria" w:hAnsi="Cambria"/>
          <w:bCs/>
          <w:sz w:val="20"/>
          <w:szCs w:val="20"/>
          <w:lang w:val="es-PA"/>
        </w:rPr>
        <w:t xml:space="preserve">. La petición tacha de absurdo que se haya responsabilizado a la presunta víctima de un homicidio que no cometió pues, según los hechos descritos en la propia sentencia condenatoria, </w:t>
      </w:r>
      <w:r w:rsidR="00FC57DB">
        <w:rPr>
          <w:rFonts w:ascii="Cambria" w:hAnsi="Cambria"/>
          <w:bCs/>
          <w:sz w:val="20"/>
          <w:szCs w:val="20"/>
          <w:lang w:val="es-PA"/>
        </w:rPr>
        <w:t>é</w:t>
      </w:r>
      <w:r w:rsidR="0077109D">
        <w:rPr>
          <w:rFonts w:ascii="Cambria" w:hAnsi="Cambria"/>
          <w:bCs/>
          <w:sz w:val="20"/>
          <w:szCs w:val="20"/>
          <w:lang w:val="es-PA"/>
        </w:rPr>
        <w:t>ste solo podía ser responsabilizado por su intervención en un robo armado, no así por el homicidio perpetrado por otra persona.</w:t>
      </w:r>
    </w:p>
    <w:p w14:paraId="26E2C9C0" w14:textId="2565AE18" w:rsidR="0077109D" w:rsidRPr="00802CF0" w:rsidRDefault="0077109D" w:rsidP="00F30AE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b/>
          <w:bCs/>
          <w:sz w:val="20"/>
          <w:szCs w:val="20"/>
          <w:lang w:val="es-ES"/>
        </w:rPr>
      </w:pPr>
      <w:r>
        <w:rPr>
          <w:rFonts w:ascii="Cambria" w:hAnsi="Cambria"/>
          <w:bCs/>
          <w:sz w:val="20"/>
          <w:szCs w:val="20"/>
          <w:lang w:val="es-PA"/>
        </w:rPr>
        <w:t xml:space="preserve">La petición también explica que una vez encontrado </w:t>
      </w:r>
      <w:r w:rsidR="000435DF">
        <w:rPr>
          <w:rFonts w:ascii="Cambria" w:hAnsi="Cambria"/>
          <w:bCs/>
          <w:sz w:val="20"/>
          <w:szCs w:val="20"/>
          <w:lang w:val="es-PA"/>
        </w:rPr>
        <w:t xml:space="preserve">al Sr. Preneste </w:t>
      </w:r>
      <w:r>
        <w:rPr>
          <w:rFonts w:ascii="Cambria" w:hAnsi="Cambria"/>
          <w:bCs/>
          <w:sz w:val="20"/>
          <w:szCs w:val="20"/>
          <w:lang w:val="es-PA"/>
        </w:rPr>
        <w:t xml:space="preserve">responsable de homicidio </w:t>
      </w:r>
      <w:r w:rsidRPr="0077109D">
        <w:rPr>
          <w:rFonts w:ascii="Cambria" w:hAnsi="Cambria"/>
          <w:bCs/>
          <w:i/>
          <w:iCs/>
          <w:sz w:val="20"/>
          <w:szCs w:val="20"/>
          <w:lang w:val="es-PA"/>
        </w:rPr>
        <w:t>criminis causae</w:t>
      </w:r>
      <w:r>
        <w:rPr>
          <w:rFonts w:ascii="Cambria" w:hAnsi="Cambria"/>
          <w:bCs/>
          <w:sz w:val="20"/>
          <w:szCs w:val="20"/>
          <w:lang w:val="es-PA"/>
        </w:rPr>
        <w:t xml:space="preserve"> se le impuso una pena de prisión perpetua</w:t>
      </w:r>
      <w:r w:rsidR="004B243F">
        <w:rPr>
          <w:rFonts w:ascii="Cambria" w:hAnsi="Cambria"/>
          <w:bCs/>
          <w:sz w:val="20"/>
          <w:szCs w:val="20"/>
          <w:lang w:val="es-PA"/>
        </w:rPr>
        <w:t xml:space="preserve">; </w:t>
      </w:r>
      <w:r w:rsidR="000B5262">
        <w:rPr>
          <w:rFonts w:ascii="Cambria" w:hAnsi="Cambria"/>
          <w:bCs/>
          <w:sz w:val="20"/>
          <w:szCs w:val="20"/>
          <w:lang w:val="es-PA"/>
        </w:rPr>
        <w:t>con fundamento</w:t>
      </w:r>
      <w:r>
        <w:rPr>
          <w:rFonts w:ascii="Cambria" w:hAnsi="Cambria"/>
          <w:bCs/>
          <w:sz w:val="20"/>
          <w:szCs w:val="20"/>
          <w:lang w:val="es-PA"/>
        </w:rPr>
        <w:t xml:space="preserve"> en el artículo 80(7) del Código Penal de la Nación que la establecía como la única pena posible pa</w:t>
      </w:r>
      <w:r w:rsidR="000B5262">
        <w:rPr>
          <w:rFonts w:ascii="Cambria" w:hAnsi="Cambria"/>
          <w:bCs/>
          <w:sz w:val="20"/>
          <w:szCs w:val="20"/>
          <w:lang w:val="es-PA"/>
        </w:rPr>
        <w:t xml:space="preserve">ra ese tipo delictivo. La parte peticionaria también explica que conforme al artículo 14 del Código Penal </w:t>
      </w:r>
      <w:r w:rsidR="000435DF">
        <w:rPr>
          <w:rFonts w:ascii="Cambria" w:hAnsi="Cambria"/>
          <w:bCs/>
          <w:sz w:val="20"/>
          <w:szCs w:val="20"/>
          <w:lang w:val="es-PA"/>
        </w:rPr>
        <w:t>los condenados</w:t>
      </w:r>
      <w:r w:rsidR="000B5262">
        <w:rPr>
          <w:rFonts w:ascii="Cambria" w:hAnsi="Cambria"/>
          <w:bCs/>
          <w:sz w:val="20"/>
          <w:szCs w:val="20"/>
          <w:lang w:val="es-PA"/>
        </w:rPr>
        <w:t xml:space="preserve"> por </w:t>
      </w:r>
      <w:r w:rsidR="000B5262" w:rsidRPr="000435DF">
        <w:rPr>
          <w:rFonts w:ascii="Cambria" w:hAnsi="Cambria"/>
          <w:bCs/>
          <w:sz w:val="20"/>
          <w:szCs w:val="20"/>
          <w:lang w:val="es-PA"/>
        </w:rPr>
        <w:t>homicidio</w:t>
      </w:r>
      <w:r w:rsidR="000B5262" w:rsidRPr="000B5262">
        <w:rPr>
          <w:rFonts w:ascii="Cambria" w:hAnsi="Cambria"/>
          <w:bCs/>
          <w:i/>
          <w:iCs/>
          <w:sz w:val="20"/>
          <w:szCs w:val="20"/>
          <w:lang w:val="es-PA"/>
        </w:rPr>
        <w:t xml:space="preserve"> criminis causae</w:t>
      </w:r>
      <w:r w:rsidR="000B5262">
        <w:rPr>
          <w:rFonts w:ascii="Cambria" w:hAnsi="Cambria"/>
          <w:bCs/>
          <w:i/>
          <w:iCs/>
          <w:sz w:val="20"/>
          <w:szCs w:val="20"/>
          <w:lang w:val="es-PA"/>
        </w:rPr>
        <w:t xml:space="preserve"> </w:t>
      </w:r>
      <w:r w:rsidR="000B5262">
        <w:rPr>
          <w:rFonts w:ascii="Cambria" w:hAnsi="Cambria"/>
          <w:bCs/>
          <w:sz w:val="20"/>
          <w:szCs w:val="20"/>
          <w:lang w:val="es-PA"/>
        </w:rPr>
        <w:t>están expresamente excluid</w:t>
      </w:r>
      <w:r w:rsidR="000435DF">
        <w:rPr>
          <w:rFonts w:ascii="Cambria" w:hAnsi="Cambria"/>
          <w:bCs/>
          <w:sz w:val="20"/>
          <w:szCs w:val="20"/>
          <w:lang w:val="es-PA"/>
        </w:rPr>
        <w:t>o</w:t>
      </w:r>
      <w:r w:rsidR="000B5262">
        <w:rPr>
          <w:rFonts w:ascii="Cambria" w:hAnsi="Cambria"/>
          <w:bCs/>
          <w:sz w:val="20"/>
          <w:szCs w:val="20"/>
          <w:lang w:val="es-PA"/>
        </w:rPr>
        <w:t xml:space="preserve">s de la posibilidad de acceder al régimen de libertad condicional. De igual forma, la Ley de Ejecución de la Pena Privativa de Libertad excluye a las personas condenadas de esa modalidad de homicidio </w:t>
      </w:r>
      <w:r w:rsidR="00E2171D">
        <w:rPr>
          <w:rFonts w:ascii="Cambria" w:hAnsi="Cambria"/>
          <w:bCs/>
          <w:sz w:val="20"/>
          <w:szCs w:val="20"/>
          <w:lang w:val="es-PA"/>
        </w:rPr>
        <w:t>de todos los institutos liberatorios o de morigeración de las condiciones de encierro. Por estas razones, la petición destaca que la pena impuesta a la presunta víctima es “materialmente perpetua”</w:t>
      </w:r>
      <w:r w:rsidR="00FA1A4C">
        <w:rPr>
          <w:rFonts w:ascii="Cambria" w:hAnsi="Cambria"/>
          <w:bCs/>
          <w:sz w:val="20"/>
          <w:szCs w:val="20"/>
          <w:lang w:val="es-PA"/>
        </w:rPr>
        <w:t>;</w:t>
      </w:r>
      <w:r w:rsidR="00E2171D">
        <w:rPr>
          <w:rFonts w:ascii="Cambria" w:hAnsi="Cambria"/>
          <w:bCs/>
          <w:sz w:val="20"/>
          <w:szCs w:val="20"/>
          <w:lang w:val="es-PA"/>
        </w:rPr>
        <w:t xml:space="preserve"> y </w:t>
      </w:r>
      <w:r w:rsidR="00FA1A4C">
        <w:rPr>
          <w:rFonts w:ascii="Cambria" w:hAnsi="Cambria"/>
          <w:bCs/>
          <w:sz w:val="20"/>
          <w:szCs w:val="20"/>
          <w:lang w:val="es-PA"/>
        </w:rPr>
        <w:t xml:space="preserve">que </w:t>
      </w:r>
      <w:r w:rsidR="00E2171D">
        <w:rPr>
          <w:rFonts w:ascii="Cambria" w:hAnsi="Cambria"/>
          <w:bCs/>
          <w:sz w:val="20"/>
          <w:szCs w:val="20"/>
          <w:lang w:val="es-PA"/>
        </w:rPr>
        <w:t>solo podrá culminar con el fin de su vida en prisión</w:t>
      </w:r>
      <w:r w:rsidR="00FA1A4C">
        <w:rPr>
          <w:rFonts w:ascii="Cambria" w:hAnsi="Cambria"/>
          <w:bCs/>
          <w:sz w:val="20"/>
          <w:szCs w:val="20"/>
          <w:lang w:val="es-PA"/>
        </w:rPr>
        <w:t>,</w:t>
      </w:r>
      <w:r w:rsidR="00E2171D">
        <w:rPr>
          <w:rFonts w:ascii="Cambria" w:hAnsi="Cambria"/>
          <w:bCs/>
          <w:sz w:val="20"/>
          <w:szCs w:val="20"/>
          <w:lang w:val="es-PA"/>
        </w:rPr>
        <w:t xml:space="preserve"> o extraordinariamente mediante un indulto o conmutación de la pena por parte del Poder Ejecutivo</w:t>
      </w:r>
      <w:r w:rsidR="00FA1A4C">
        <w:rPr>
          <w:rFonts w:ascii="Cambria" w:hAnsi="Cambria"/>
          <w:bCs/>
          <w:sz w:val="20"/>
          <w:szCs w:val="20"/>
          <w:lang w:val="es-PA"/>
        </w:rPr>
        <w:t>.</w:t>
      </w:r>
      <w:r w:rsidR="00E2171D">
        <w:rPr>
          <w:rFonts w:ascii="Cambria" w:hAnsi="Cambria"/>
          <w:bCs/>
          <w:sz w:val="20"/>
          <w:szCs w:val="20"/>
          <w:lang w:val="es-PA"/>
        </w:rPr>
        <w:t xml:space="preserve"> </w:t>
      </w:r>
      <w:r w:rsidR="00FA1A4C">
        <w:rPr>
          <w:rFonts w:ascii="Cambria" w:hAnsi="Cambria"/>
          <w:bCs/>
          <w:sz w:val="20"/>
          <w:szCs w:val="20"/>
          <w:lang w:val="es-PA"/>
        </w:rPr>
        <w:t>F</w:t>
      </w:r>
      <w:r w:rsidR="00E2171D">
        <w:rPr>
          <w:rFonts w:ascii="Cambria" w:hAnsi="Cambria"/>
          <w:bCs/>
          <w:sz w:val="20"/>
          <w:szCs w:val="20"/>
          <w:lang w:val="es-PA"/>
        </w:rPr>
        <w:t xml:space="preserve">iguras que según la petición son de infrecuente uso en Argentina. </w:t>
      </w:r>
    </w:p>
    <w:p w14:paraId="7742F3A7" w14:textId="59B3612E" w:rsidR="00FC22EA" w:rsidRPr="00FC22EA" w:rsidRDefault="00D85F62" w:rsidP="001002D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b/>
          <w:bCs/>
          <w:sz w:val="20"/>
          <w:szCs w:val="20"/>
          <w:lang w:val="es-ES"/>
        </w:rPr>
      </w:pPr>
      <w:r>
        <w:rPr>
          <w:rFonts w:asciiTheme="majorHAnsi" w:hAnsiTheme="majorHAnsi"/>
          <w:sz w:val="20"/>
          <w:szCs w:val="20"/>
          <w:lang w:val="es-ES"/>
        </w:rPr>
        <w:t xml:space="preserve">La parte peticionaria considera que la pena de prisión materialmente perpetua impuesta a la presunta víctima y la normativa que la sustentó </w:t>
      </w:r>
      <w:r w:rsidR="00200776">
        <w:rPr>
          <w:rFonts w:asciiTheme="majorHAnsi" w:hAnsiTheme="majorHAnsi"/>
          <w:sz w:val="20"/>
          <w:szCs w:val="20"/>
          <w:lang w:val="es-ES"/>
        </w:rPr>
        <w:t>son</w:t>
      </w:r>
      <w:r>
        <w:rPr>
          <w:rFonts w:asciiTheme="majorHAnsi" w:hAnsiTheme="majorHAnsi"/>
          <w:sz w:val="20"/>
          <w:szCs w:val="20"/>
          <w:lang w:val="es-ES"/>
        </w:rPr>
        <w:t xml:space="preserve"> incompatible</w:t>
      </w:r>
      <w:r w:rsidR="00200776">
        <w:rPr>
          <w:rFonts w:asciiTheme="majorHAnsi" w:hAnsiTheme="majorHAnsi"/>
          <w:sz w:val="20"/>
          <w:szCs w:val="20"/>
          <w:lang w:val="es-ES"/>
        </w:rPr>
        <w:t xml:space="preserve">s </w:t>
      </w:r>
      <w:r>
        <w:rPr>
          <w:rFonts w:asciiTheme="majorHAnsi" w:hAnsiTheme="majorHAnsi"/>
          <w:sz w:val="20"/>
          <w:szCs w:val="20"/>
          <w:lang w:val="es-ES"/>
        </w:rPr>
        <w:t xml:space="preserve">con la Convención Americana. En cuanto a la normativa, argumenta que esta viola la Convención Americana al hacer </w:t>
      </w:r>
      <w:r w:rsidR="00914885">
        <w:rPr>
          <w:rFonts w:asciiTheme="majorHAnsi" w:hAnsiTheme="majorHAnsi"/>
          <w:sz w:val="20"/>
          <w:szCs w:val="20"/>
          <w:lang w:val="es-ES"/>
        </w:rPr>
        <w:t>obligatoria la aplicación de la prisión perpetua para el homicidio</w:t>
      </w:r>
      <w:r w:rsidR="00914885" w:rsidRPr="00914885">
        <w:rPr>
          <w:rFonts w:asciiTheme="majorHAnsi" w:hAnsiTheme="majorHAnsi"/>
          <w:i/>
          <w:iCs/>
          <w:sz w:val="20"/>
          <w:szCs w:val="20"/>
          <w:lang w:val="es-ES"/>
        </w:rPr>
        <w:t xml:space="preserve"> criminis causae</w:t>
      </w:r>
      <w:r w:rsidR="001002DD">
        <w:rPr>
          <w:rFonts w:asciiTheme="majorHAnsi" w:hAnsiTheme="majorHAnsi"/>
          <w:sz w:val="20"/>
          <w:szCs w:val="20"/>
          <w:lang w:val="es-ES"/>
        </w:rPr>
        <w:t xml:space="preserve"> e impedir que las autoridades judiciales realicen cualquier tipo de análisis de proporcionalidad o valoren las circunstancias particulares del hecho delictivo o de la persona declarada responsable antes de aplicarla. </w:t>
      </w:r>
      <w:r w:rsidR="00E3650E">
        <w:rPr>
          <w:rFonts w:asciiTheme="majorHAnsi" w:hAnsiTheme="majorHAnsi"/>
          <w:sz w:val="20"/>
          <w:szCs w:val="20"/>
          <w:lang w:val="es-ES"/>
        </w:rPr>
        <w:t xml:space="preserve">En específico, reclama que la normativa vigente impidió que las autoridades que impusieron la prisión perpetua a la presunta víctima valoraran que </w:t>
      </w:r>
      <w:r w:rsidR="00FC57DB">
        <w:rPr>
          <w:rFonts w:asciiTheme="majorHAnsi" w:hAnsiTheme="majorHAnsi"/>
          <w:sz w:val="20"/>
          <w:szCs w:val="20"/>
          <w:lang w:val="es-ES"/>
        </w:rPr>
        <w:t>é</w:t>
      </w:r>
      <w:r w:rsidR="00E3650E">
        <w:rPr>
          <w:rFonts w:asciiTheme="majorHAnsi" w:hAnsiTheme="majorHAnsi"/>
          <w:sz w:val="20"/>
          <w:szCs w:val="20"/>
          <w:lang w:val="es-ES"/>
        </w:rPr>
        <w:t xml:space="preserve">ste no había sido </w:t>
      </w:r>
      <w:r w:rsidR="00200776">
        <w:rPr>
          <w:rFonts w:asciiTheme="majorHAnsi" w:hAnsiTheme="majorHAnsi"/>
          <w:sz w:val="20"/>
          <w:szCs w:val="20"/>
          <w:lang w:val="es-ES"/>
        </w:rPr>
        <w:t>quien</w:t>
      </w:r>
      <w:r w:rsidR="00E3650E">
        <w:rPr>
          <w:rFonts w:asciiTheme="majorHAnsi" w:hAnsiTheme="majorHAnsi"/>
          <w:sz w:val="20"/>
          <w:szCs w:val="20"/>
          <w:lang w:val="es-ES"/>
        </w:rPr>
        <w:t xml:space="preserve"> realizó el disparo fatal</w:t>
      </w:r>
      <w:r w:rsidR="00200776">
        <w:rPr>
          <w:rFonts w:asciiTheme="majorHAnsi" w:hAnsiTheme="majorHAnsi"/>
          <w:sz w:val="20"/>
          <w:szCs w:val="20"/>
          <w:lang w:val="es-ES"/>
        </w:rPr>
        <w:t>,</w:t>
      </w:r>
      <w:r w:rsidR="00E3650E">
        <w:rPr>
          <w:rFonts w:asciiTheme="majorHAnsi" w:hAnsiTheme="majorHAnsi"/>
          <w:sz w:val="20"/>
          <w:szCs w:val="20"/>
          <w:lang w:val="es-ES"/>
        </w:rPr>
        <w:t xml:space="preserve"> y que </w:t>
      </w:r>
      <w:r w:rsidR="00FC57DB">
        <w:rPr>
          <w:rFonts w:asciiTheme="majorHAnsi" w:hAnsiTheme="majorHAnsi"/>
          <w:sz w:val="20"/>
          <w:szCs w:val="20"/>
          <w:lang w:val="es-ES"/>
        </w:rPr>
        <w:t>é</w:t>
      </w:r>
      <w:r w:rsidR="00E3650E">
        <w:rPr>
          <w:rFonts w:asciiTheme="majorHAnsi" w:hAnsiTheme="majorHAnsi"/>
          <w:sz w:val="20"/>
          <w:szCs w:val="20"/>
          <w:lang w:val="es-ES"/>
        </w:rPr>
        <w:t>ste tampoco había incurrido en actos de violencia durante el asalto</w:t>
      </w:r>
      <w:r w:rsidR="00C71320">
        <w:rPr>
          <w:rFonts w:asciiTheme="majorHAnsi" w:hAnsiTheme="majorHAnsi"/>
          <w:sz w:val="20"/>
          <w:szCs w:val="20"/>
          <w:lang w:val="es-ES"/>
        </w:rPr>
        <w:t>; resultando en que su pena y la aplicada a la persona que s</w:t>
      </w:r>
      <w:r w:rsidR="00200776">
        <w:rPr>
          <w:rFonts w:asciiTheme="majorHAnsi" w:hAnsiTheme="majorHAnsi"/>
          <w:sz w:val="20"/>
          <w:szCs w:val="20"/>
          <w:lang w:val="es-ES"/>
        </w:rPr>
        <w:t>í</w:t>
      </w:r>
      <w:r w:rsidR="00C71320">
        <w:rPr>
          <w:rFonts w:asciiTheme="majorHAnsi" w:hAnsiTheme="majorHAnsi"/>
          <w:sz w:val="20"/>
          <w:szCs w:val="20"/>
          <w:lang w:val="es-ES"/>
        </w:rPr>
        <w:t xml:space="preserve"> realizó el disparo fueran idénticas</w:t>
      </w:r>
      <w:r w:rsidR="00200776">
        <w:rPr>
          <w:rFonts w:asciiTheme="majorHAnsi" w:hAnsiTheme="majorHAnsi"/>
          <w:sz w:val="20"/>
          <w:szCs w:val="20"/>
          <w:lang w:val="es-ES"/>
        </w:rPr>
        <w:t>,</w:t>
      </w:r>
      <w:r w:rsidR="00C71320">
        <w:rPr>
          <w:rFonts w:asciiTheme="majorHAnsi" w:hAnsiTheme="majorHAnsi"/>
          <w:sz w:val="20"/>
          <w:szCs w:val="20"/>
          <w:lang w:val="es-ES"/>
        </w:rPr>
        <w:t xml:space="preserve"> pese a que su actuar fue sustancialmente distinto</w:t>
      </w:r>
      <w:r w:rsidR="00E3650E">
        <w:rPr>
          <w:rFonts w:asciiTheme="majorHAnsi" w:hAnsiTheme="majorHAnsi"/>
          <w:sz w:val="20"/>
          <w:szCs w:val="20"/>
          <w:lang w:val="es-ES"/>
        </w:rPr>
        <w:t xml:space="preserve">. </w:t>
      </w:r>
    </w:p>
    <w:p w14:paraId="5C6F7C63" w14:textId="51A412B4" w:rsidR="00802CF0" w:rsidRPr="00553528" w:rsidRDefault="00E3650E" w:rsidP="001002D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b/>
          <w:bCs/>
          <w:sz w:val="20"/>
          <w:szCs w:val="20"/>
          <w:lang w:val="es-ES"/>
        </w:rPr>
      </w:pPr>
      <w:r>
        <w:rPr>
          <w:rFonts w:asciiTheme="majorHAnsi" w:hAnsiTheme="majorHAnsi"/>
          <w:sz w:val="20"/>
          <w:szCs w:val="20"/>
          <w:lang w:val="es-ES"/>
        </w:rPr>
        <w:t>Respecto a la</w:t>
      </w:r>
      <w:r w:rsidR="00B54E39">
        <w:rPr>
          <w:rFonts w:asciiTheme="majorHAnsi" w:hAnsiTheme="majorHAnsi"/>
          <w:sz w:val="20"/>
          <w:szCs w:val="20"/>
          <w:lang w:val="es-ES"/>
        </w:rPr>
        <w:t>s penas de prisión perpetua en sí, argumenta que cuando no se prevé ninguna posibilidad de liberación</w:t>
      </w:r>
      <w:r w:rsidR="00200776">
        <w:rPr>
          <w:rFonts w:asciiTheme="majorHAnsi" w:hAnsiTheme="majorHAnsi"/>
          <w:sz w:val="20"/>
          <w:szCs w:val="20"/>
          <w:lang w:val="es-ES"/>
        </w:rPr>
        <w:t>,</w:t>
      </w:r>
      <w:r w:rsidR="00B54E39">
        <w:rPr>
          <w:rFonts w:asciiTheme="majorHAnsi" w:hAnsiTheme="majorHAnsi"/>
          <w:sz w:val="20"/>
          <w:szCs w:val="20"/>
          <w:lang w:val="es-ES"/>
        </w:rPr>
        <w:t xml:space="preserve"> estas penas devienen en incompatibles con el artículo 5.6 de la Convención American</w:t>
      </w:r>
      <w:r w:rsidR="00FC22EA">
        <w:rPr>
          <w:rFonts w:asciiTheme="majorHAnsi" w:hAnsiTheme="majorHAnsi"/>
          <w:sz w:val="20"/>
          <w:szCs w:val="20"/>
          <w:lang w:val="es-ES"/>
        </w:rPr>
        <w:t xml:space="preserve">a, </w:t>
      </w:r>
      <w:r w:rsidR="00B54E39">
        <w:rPr>
          <w:rFonts w:asciiTheme="majorHAnsi" w:hAnsiTheme="majorHAnsi"/>
          <w:sz w:val="20"/>
          <w:szCs w:val="20"/>
          <w:lang w:val="es-ES"/>
        </w:rPr>
        <w:t xml:space="preserve">el cual exige que las penas privativas de libertad persigan una finalidad resocializadora. </w:t>
      </w:r>
      <w:r w:rsidR="003925F2">
        <w:rPr>
          <w:rFonts w:asciiTheme="majorHAnsi" w:hAnsiTheme="majorHAnsi"/>
          <w:sz w:val="20"/>
          <w:szCs w:val="20"/>
          <w:lang w:val="es-ES"/>
        </w:rPr>
        <w:t xml:space="preserve">En apoyo a esta posición, la parte peticionaria cita el caso </w:t>
      </w:r>
      <w:r w:rsidR="003925F2" w:rsidRPr="00200776">
        <w:rPr>
          <w:rFonts w:asciiTheme="majorHAnsi" w:hAnsiTheme="majorHAnsi"/>
          <w:i/>
          <w:iCs/>
          <w:sz w:val="20"/>
          <w:szCs w:val="20"/>
          <w:lang w:val="es-ES"/>
        </w:rPr>
        <w:t>Vinter y otros vs. Reino Unido</w:t>
      </w:r>
      <w:r w:rsidR="003925F2">
        <w:rPr>
          <w:rFonts w:asciiTheme="majorHAnsi" w:hAnsiTheme="majorHAnsi"/>
          <w:sz w:val="20"/>
          <w:szCs w:val="20"/>
          <w:lang w:val="es-ES"/>
        </w:rPr>
        <w:t xml:space="preserve"> en el que la Corte Europea de </w:t>
      </w:r>
      <w:r w:rsidR="00FC22EA">
        <w:rPr>
          <w:rFonts w:asciiTheme="majorHAnsi" w:hAnsiTheme="majorHAnsi"/>
          <w:sz w:val="20"/>
          <w:szCs w:val="20"/>
          <w:lang w:val="es-ES"/>
        </w:rPr>
        <w:t>Derechos Humanos concluyó que las penas de prisión perpetua son incompatibles con el Convenio Europeo de Derechos Humanos cuando la legislación doméstica no prevé ninguna posibilidad de revisión de la pena. En este sentido, la parte peticionaria añade que el derecho de la presunta víctima a la revisión de su pena de prisión perpetua no</w:t>
      </w:r>
      <w:r w:rsidR="00553528">
        <w:rPr>
          <w:rFonts w:asciiTheme="majorHAnsi" w:hAnsiTheme="majorHAnsi"/>
          <w:sz w:val="20"/>
          <w:szCs w:val="20"/>
          <w:lang w:val="es-ES"/>
        </w:rPr>
        <w:t xml:space="preserve"> se satisface con la posibilidad del indulto o conmutación de la pena pues estas figuras dependen e la discrecionalidad del ejecutivo. Adicionalmente, la parte peticionaria aduce que la aplicación de una pena de prisión perpetua sin regulación sobre mecanismos para su revisión equivale a una pena indeterminada incompatible con el artículo 9 de la Convención Americana. </w:t>
      </w:r>
      <w:r w:rsidR="00FC22EA">
        <w:rPr>
          <w:rFonts w:asciiTheme="majorHAnsi" w:hAnsiTheme="majorHAnsi"/>
          <w:sz w:val="20"/>
          <w:szCs w:val="20"/>
          <w:lang w:val="es-ES"/>
        </w:rPr>
        <w:t xml:space="preserve"> </w:t>
      </w:r>
    </w:p>
    <w:p w14:paraId="5CB41BE1" w14:textId="05A43BA1" w:rsidR="004B482E" w:rsidRPr="004B482E" w:rsidRDefault="00553528" w:rsidP="001002D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b/>
          <w:bCs/>
          <w:sz w:val="20"/>
          <w:szCs w:val="20"/>
          <w:lang w:val="es-ES"/>
        </w:rPr>
      </w:pPr>
      <w:r>
        <w:rPr>
          <w:rFonts w:asciiTheme="majorHAnsi" w:hAnsiTheme="majorHAnsi"/>
          <w:sz w:val="20"/>
          <w:szCs w:val="20"/>
          <w:lang w:val="es-ES"/>
        </w:rPr>
        <w:t xml:space="preserve">Según continúa el relato de la parte peticionaria, </w:t>
      </w:r>
      <w:r w:rsidR="00560974">
        <w:rPr>
          <w:rFonts w:asciiTheme="majorHAnsi" w:hAnsiTheme="majorHAnsi"/>
          <w:sz w:val="20"/>
          <w:szCs w:val="20"/>
          <w:lang w:val="es-ES"/>
        </w:rPr>
        <w:t>la defensa pública impugnó la sentencia condenatoria interponiendo un recurso de casación en favor de la presun</w:t>
      </w:r>
      <w:r w:rsidR="004B482E">
        <w:rPr>
          <w:rFonts w:asciiTheme="majorHAnsi" w:hAnsiTheme="majorHAnsi"/>
          <w:sz w:val="20"/>
          <w:szCs w:val="20"/>
          <w:lang w:val="es-ES"/>
        </w:rPr>
        <w:t>ta víctima</w:t>
      </w:r>
      <w:r w:rsidR="00560974">
        <w:rPr>
          <w:rFonts w:asciiTheme="majorHAnsi" w:hAnsiTheme="majorHAnsi"/>
          <w:sz w:val="20"/>
          <w:szCs w:val="20"/>
          <w:lang w:val="es-ES"/>
        </w:rPr>
        <w:t>. En este recurso se cuestionó la imposición de una pena materialmente perpetua a la presunta víctima</w:t>
      </w:r>
      <w:r w:rsidR="00911868">
        <w:rPr>
          <w:rFonts w:asciiTheme="majorHAnsi" w:hAnsiTheme="majorHAnsi"/>
          <w:sz w:val="20"/>
          <w:szCs w:val="20"/>
          <w:lang w:val="es-ES"/>
        </w:rPr>
        <w:t>,</w:t>
      </w:r>
      <w:r w:rsidR="00560974">
        <w:rPr>
          <w:rFonts w:asciiTheme="majorHAnsi" w:hAnsiTheme="majorHAnsi"/>
          <w:sz w:val="20"/>
          <w:szCs w:val="20"/>
          <w:lang w:val="es-ES"/>
        </w:rPr>
        <w:t xml:space="preserve"> además de otros varios asuntos. La impugnación fue </w:t>
      </w:r>
      <w:r w:rsidR="0070469B">
        <w:rPr>
          <w:rFonts w:asciiTheme="majorHAnsi" w:hAnsiTheme="majorHAnsi"/>
          <w:sz w:val="20"/>
          <w:szCs w:val="20"/>
          <w:lang w:val="es-ES"/>
        </w:rPr>
        <w:t xml:space="preserve">resuelta el 13 de mayo de 2009 por la Sala I de la Cámara de Casación Penal. En la sentencia, </w:t>
      </w:r>
      <w:r w:rsidR="00614ED2">
        <w:rPr>
          <w:rFonts w:asciiTheme="majorHAnsi" w:hAnsiTheme="majorHAnsi"/>
          <w:sz w:val="20"/>
          <w:szCs w:val="20"/>
          <w:lang w:val="es-ES"/>
        </w:rPr>
        <w:t>dos de los tres</w:t>
      </w:r>
      <w:r w:rsidR="0070469B">
        <w:rPr>
          <w:rFonts w:asciiTheme="majorHAnsi" w:hAnsiTheme="majorHAnsi"/>
          <w:sz w:val="20"/>
          <w:szCs w:val="20"/>
          <w:lang w:val="es-ES"/>
        </w:rPr>
        <w:t xml:space="preserve"> jueces de la Cámara decidieron no tratar el agravio relacionado con la posible inconvencionalidad o inconstitucionalidad de las penas materialmente perpetuas, considerando que el agravio no había sido planteado oportunamente. </w:t>
      </w:r>
      <w:r w:rsidR="00911868">
        <w:rPr>
          <w:rFonts w:asciiTheme="majorHAnsi" w:hAnsiTheme="majorHAnsi"/>
          <w:sz w:val="20"/>
          <w:szCs w:val="20"/>
          <w:lang w:val="es-ES"/>
        </w:rPr>
        <w:t>Según alega la parte peticionaria, l</w:t>
      </w:r>
      <w:r w:rsidR="0070469B">
        <w:rPr>
          <w:rFonts w:asciiTheme="majorHAnsi" w:hAnsiTheme="majorHAnsi"/>
          <w:sz w:val="20"/>
          <w:szCs w:val="20"/>
          <w:lang w:val="es-ES"/>
        </w:rPr>
        <w:t xml:space="preserve">os demás agravios planteados por la defensa de la presunta </w:t>
      </w:r>
      <w:r w:rsidR="0085383B">
        <w:rPr>
          <w:rFonts w:asciiTheme="majorHAnsi" w:hAnsiTheme="majorHAnsi"/>
          <w:sz w:val="20"/>
          <w:szCs w:val="20"/>
          <w:lang w:val="es-ES"/>
        </w:rPr>
        <w:t>víctima</w:t>
      </w:r>
      <w:r w:rsidR="0070469B">
        <w:rPr>
          <w:rFonts w:asciiTheme="majorHAnsi" w:hAnsiTheme="majorHAnsi"/>
          <w:sz w:val="20"/>
          <w:szCs w:val="20"/>
          <w:lang w:val="es-ES"/>
        </w:rPr>
        <w:t xml:space="preserve"> fueron rechazados mediante una reedición de los argumentos que ya habían sido expuestos por el Tribunal de Juicio y que eran precisamente el objeto de las críticas de la defensa. </w:t>
      </w:r>
    </w:p>
    <w:p w14:paraId="06776E05" w14:textId="22E6FE13" w:rsidR="00553528" w:rsidRPr="004B482E" w:rsidRDefault="0070469B" w:rsidP="001002D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b/>
          <w:bCs/>
          <w:sz w:val="20"/>
          <w:szCs w:val="20"/>
          <w:lang w:val="es-ES"/>
        </w:rPr>
      </w:pPr>
      <w:r>
        <w:rPr>
          <w:rFonts w:asciiTheme="majorHAnsi" w:hAnsiTheme="majorHAnsi"/>
          <w:sz w:val="20"/>
          <w:szCs w:val="20"/>
          <w:lang w:val="es-ES"/>
        </w:rPr>
        <w:t>La decisión de la Sala I fue impugnada por la defensa de la presunta víctima mediante un recurso extraordinario federal</w:t>
      </w:r>
      <w:r w:rsidR="004B482E">
        <w:rPr>
          <w:rFonts w:asciiTheme="majorHAnsi" w:hAnsiTheme="majorHAnsi"/>
          <w:sz w:val="20"/>
          <w:szCs w:val="20"/>
          <w:lang w:val="es-ES"/>
        </w:rPr>
        <w:t xml:space="preserve"> en el que se alegó que la revisión realizada por la Sala no había satisfecho los requisitos del artículo 8.2(h) de la Convención Americana ni los estándares sentados por la Corte Suprema de Justicia de la Nación en su precedente “Casal”</w:t>
      </w:r>
      <w:r>
        <w:rPr>
          <w:rFonts w:asciiTheme="majorHAnsi" w:hAnsiTheme="majorHAnsi"/>
          <w:sz w:val="20"/>
          <w:szCs w:val="20"/>
          <w:lang w:val="es-ES"/>
        </w:rPr>
        <w:t xml:space="preserve">. El recurso fue parcialmente concedido por la Cámara de Casación y resuelto por la Corte Suprema de Justicia de la Nación el 3 de agosto de 2010. </w:t>
      </w:r>
      <w:r w:rsidR="004B482E">
        <w:rPr>
          <w:rFonts w:asciiTheme="majorHAnsi" w:hAnsiTheme="majorHAnsi"/>
          <w:sz w:val="20"/>
          <w:szCs w:val="20"/>
          <w:lang w:val="es-ES"/>
        </w:rPr>
        <w:t>La Corte Suprema consideró que el tribunal de casación no había cumplido con los estándares sentados en el precedente “Casal”</w:t>
      </w:r>
      <w:r w:rsidR="00911868">
        <w:rPr>
          <w:rFonts w:asciiTheme="majorHAnsi" w:hAnsiTheme="majorHAnsi"/>
          <w:sz w:val="20"/>
          <w:szCs w:val="20"/>
          <w:lang w:val="es-ES"/>
        </w:rPr>
        <w:t>,</w:t>
      </w:r>
      <w:r w:rsidR="004B482E">
        <w:rPr>
          <w:rFonts w:asciiTheme="majorHAnsi" w:hAnsiTheme="majorHAnsi"/>
          <w:sz w:val="20"/>
          <w:szCs w:val="20"/>
          <w:lang w:val="es-ES"/>
        </w:rPr>
        <w:t xml:space="preserve"> por lo que </w:t>
      </w:r>
      <w:r w:rsidR="004B482E">
        <w:rPr>
          <w:rFonts w:asciiTheme="majorHAnsi" w:hAnsiTheme="majorHAnsi"/>
          <w:sz w:val="20"/>
          <w:szCs w:val="20"/>
          <w:lang w:val="es-ES"/>
        </w:rPr>
        <w:lastRenderedPageBreak/>
        <w:t xml:space="preserve">devolvió el asunto a la Cámara de Casación Penal ordenándole que emitiera un nuevo fallo ajustado a esos estándares. Es decir, que volviera tratar los asuntos cuya valoración había sido defectuosa en la primera sentencia y tratara el agravio sobre la inconstitucionalidad de la pena de prisión materialmente perpetua. </w:t>
      </w:r>
    </w:p>
    <w:p w14:paraId="5B68B248" w14:textId="260841A0" w:rsidR="004B482E" w:rsidRPr="00A0688E" w:rsidRDefault="004B482E" w:rsidP="001002D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b/>
          <w:bCs/>
          <w:sz w:val="20"/>
          <w:szCs w:val="20"/>
          <w:lang w:val="es-ES"/>
        </w:rPr>
      </w:pPr>
      <w:r>
        <w:rPr>
          <w:rFonts w:asciiTheme="majorHAnsi" w:hAnsiTheme="majorHAnsi"/>
          <w:sz w:val="20"/>
          <w:szCs w:val="20"/>
          <w:lang w:val="es-ES"/>
        </w:rPr>
        <w:t xml:space="preserve">Una vez devuelto el asunto a la Sala I de la Cámara de Casación Penal, </w:t>
      </w:r>
      <w:r w:rsidR="00614ED2">
        <w:rPr>
          <w:rFonts w:asciiTheme="majorHAnsi" w:hAnsiTheme="majorHAnsi"/>
          <w:sz w:val="20"/>
          <w:szCs w:val="20"/>
          <w:lang w:val="es-ES"/>
        </w:rPr>
        <w:t>los tres jueces que habían intervenido en la sentencia que había sido dejada sin efecto solicitaron ser excusados de intervenir en el dictado de la nueva sentencia, uno de ellos por ya haber omitido opinión sobre todos los agravios de la defensa</w:t>
      </w:r>
      <w:r w:rsidR="00CC7445">
        <w:rPr>
          <w:rFonts w:asciiTheme="majorHAnsi" w:hAnsiTheme="majorHAnsi"/>
          <w:sz w:val="20"/>
          <w:szCs w:val="20"/>
          <w:lang w:val="es-ES"/>
        </w:rPr>
        <w:t>;</w:t>
      </w:r>
      <w:r w:rsidR="00614ED2">
        <w:rPr>
          <w:rFonts w:asciiTheme="majorHAnsi" w:hAnsiTheme="majorHAnsi"/>
          <w:sz w:val="20"/>
          <w:szCs w:val="20"/>
          <w:lang w:val="es-ES"/>
        </w:rPr>
        <w:t xml:space="preserve"> y los dos restantes por ya haberse pronunciado respecto a todos los agravios a excepción del relacionado con la supuesta inconstitucionalidad de la pena de prisión perpetua. Los jueces que conocieron las solicitudes de excusación solo concedieron la presentada por el juez que sí se había pronunciado sobre todos los puntos</w:t>
      </w:r>
      <w:r w:rsidR="00CC7445">
        <w:rPr>
          <w:rFonts w:asciiTheme="majorHAnsi" w:hAnsiTheme="majorHAnsi"/>
          <w:sz w:val="20"/>
          <w:szCs w:val="20"/>
          <w:lang w:val="es-ES"/>
        </w:rPr>
        <w:t>,</w:t>
      </w:r>
      <w:r w:rsidR="00614ED2">
        <w:rPr>
          <w:rFonts w:asciiTheme="majorHAnsi" w:hAnsiTheme="majorHAnsi"/>
          <w:sz w:val="20"/>
          <w:szCs w:val="20"/>
          <w:lang w:val="es-ES"/>
        </w:rPr>
        <w:t xml:space="preserve"> pero rechazaron las otras dos. </w:t>
      </w:r>
      <w:r w:rsidR="00CC7445">
        <w:rPr>
          <w:rFonts w:asciiTheme="majorHAnsi" w:hAnsiTheme="majorHAnsi"/>
          <w:sz w:val="20"/>
          <w:szCs w:val="20"/>
          <w:lang w:val="es-ES"/>
        </w:rPr>
        <w:t>P</w:t>
      </w:r>
      <w:r w:rsidR="00614ED2">
        <w:rPr>
          <w:rFonts w:asciiTheme="majorHAnsi" w:hAnsiTheme="majorHAnsi"/>
          <w:sz w:val="20"/>
          <w:szCs w:val="20"/>
          <w:lang w:val="es-ES"/>
        </w:rPr>
        <w:t xml:space="preserve">uesto que entendieron que el fallo de la Corte Suprema de Justicia </w:t>
      </w:r>
      <w:r w:rsidR="00A0688E">
        <w:rPr>
          <w:rFonts w:asciiTheme="majorHAnsi" w:hAnsiTheme="majorHAnsi"/>
          <w:sz w:val="20"/>
          <w:szCs w:val="20"/>
          <w:lang w:val="es-ES"/>
        </w:rPr>
        <w:t>no había ordenado revisar todos los agravios planteados en el recurso de casación</w:t>
      </w:r>
      <w:r w:rsidR="00CC7445">
        <w:rPr>
          <w:rFonts w:asciiTheme="majorHAnsi" w:hAnsiTheme="majorHAnsi"/>
          <w:sz w:val="20"/>
          <w:szCs w:val="20"/>
          <w:lang w:val="es-ES"/>
        </w:rPr>
        <w:t>,</w:t>
      </w:r>
      <w:r w:rsidR="00A0688E">
        <w:rPr>
          <w:rFonts w:asciiTheme="majorHAnsi" w:hAnsiTheme="majorHAnsi"/>
          <w:sz w:val="20"/>
          <w:szCs w:val="20"/>
          <w:lang w:val="es-ES"/>
        </w:rPr>
        <w:t xml:space="preserve"> sino solo aquel que no había sido revisado en el fallo dejado sin efecto (inconstitucionalidad de la prisión perpetua). Bajo este entendimiento concluyeron que existía un temor fundado de parcialidad respecto </w:t>
      </w:r>
      <w:r w:rsidR="00CC7445">
        <w:rPr>
          <w:rFonts w:asciiTheme="majorHAnsi" w:hAnsiTheme="majorHAnsi"/>
          <w:sz w:val="20"/>
          <w:szCs w:val="20"/>
          <w:lang w:val="es-ES"/>
        </w:rPr>
        <w:t>del</w:t>
      </w:r>
      <w:r w:rsidR="00A0688E">
        <w:rPr>
          <w:rFonts w:asciiTheme="majorHAnsi" w:hAnsiTheme="majorHAnsi"/>
          <w:sz w:val="20"/>
          <w:szCs w:val="20"/>
          <w:lang w:val="es-ES"/>
        </w:rPr>
        <w:t xml:space="preserve"> juez que ya se había pronunciado sobre ese agravio</w:t>
      </w:r>
      <w:r w:rsidR="009416FE">
        <w:rPr>
          <w:rFonts w:asciiTheme="majorHAnsi" w:hAnsiTheme="majorHAnsi"/>
          <w:sz w:val="20"/>
          <w:szCs w:val="20"/>
          <w:lang w:val="es-ES"/>
        </w:rPr>
        <w:t>,</w:t>
      </w:r>
      <w:r w:rsidR="00A0688E">
        <w:rPr>
          <w:rFonts w:asciiTheme="majorHAnsi" w:hAnsiTheme="majorHAnsi"/>
          <w:sz w:val="20"/>
          <w:szCs w:val="20"/>
          <w:lang w:val="es-ES"/>
        </w:rPr>
        <w:t xml:space="preserve"> pero no así respecto a los dos jueces que no lo habían hecho. </w:t>
      </w:r>
      <w:r w:rsidR="00CC7445">
        <w:rPr>
          <w:rFonts w:asciiTheme="majorHAnsi" w:hAnsiTheme="majorHAnsi"/>
          <w:sz w:val="20"/>
          <w:szCs w:val="20"/>
          <w:lang w:val="es-ES"/>
        </w:rPr>
        <w:t>En consecuencia</w:t>
      </w:r>
      <w:r w:rsidR="00704E6A">
        <w:rPr>
          <w:rFonts w:asciiTheme="majorHAnsi" w:hAnsiTheme="majorHAnsi"/>
          <w:sz w:val="20"/>
          <w:szCs w:val="20"/>
          <w:lang w:val="es-ES"/>
        </w:rPr>
        <w:t xml:space="preserve">, la Sala que debería emitir la nueva sentencia respecto al recurso de casación presentado en favor de la presunta víctima quedó conformada por dos jueces que habían intervenido en la sentencia anulada y uno que no lo había hecho.  </w:t>
      </w:r>
    </w:p>
    <w:p w14:paraId="2E4C0BCF" w14:textId="65E2E28C" w:rsidR="009416FE" w:rsidRPr="009416FE" w:rsidRDefault="00704E6A" w:rsidP="001946E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
        </w:rPr>
      </w:pPr>
      <w:r>
        <w:rPr>
          <w:rFonts w:asciiTheme="majorHAnsi" w:hAnsiTheme="majorHAnsi"/>
          <w:sz w:val="20"/>
          <w:szCs w:val="20"/>
          <w:lang w:val="es-ES"/>
        </w:rPr>
        <w:t xml:space="preserve">El 28 de febrero de 2011 la Sala I emitió su nueva sentencia rechazando unánimemente la inconstitucionalidad de la prisión materialmente perpetua </w:t>
      </w:r>
      <w:r w:rsidR="00970E41">
        <w:rPr>
          <w:rFonts w:asciiTheme="majorHAnsi" w:hAnsiTheme="majorHAnsi"/>
          <w:sz w:val="20"/>
          <w:szCs w:val="20"/>
          <w:lang w:val="es-ES"/>
        </w:rPr>
        <w:t>y los demás agravios de la defensa, estos últimos reeditando exactamente los términos del fallo previamente anulado e incluso haciendo referencias explícitas a ese pronunciamiento inválido. La parte peticionaria destaca que uno de los jueces que había intervenido en la sentencia invalidada expresó en su voto, al que se adhirieron los otros dos integrantes de la Sala, que</w:t>
      </w:r>
      <w:r w:rsidR="009416FE">
        <w:rPr>
          <w:rFonts w:asciiTheme="majorHAnsi" w:hAnsiTheme="majorHAnsi"/>
          <w:sz w:val="20"/>
          <w:szCs w:val="20"/>
          <w:lang w:val="es-ES"/>
        </w:rPr>
        <w:t>:</w:t>
      </w:r>
    </w:p>
    <w:p w14:paraId="2B00EFF3" w14:textId="77777777" w:rsidR="009416FE" w:rsidRPr="009416FE" w:rsidRDefault="009416FE" w:rsidP="009416F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
        </w:rPr>
      </w:pPr>
    </w:p>
    <w:p w14:paraId="1742D178" w14:textId="47F35F4B" w:rsidR="009416FE" w:rsidRDefault="009416FE" w:rsidP="009416F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hAnsiTheme="majorHAnsi"/>
          <w:sz w:val="20"/>
          <w:szCs w:val="20"/>
          <w:lang w:val="es-ES"/>
        </w:rPr>
      </w:pPr>
      <w:r>
        <w:rPr>
          <w:rFonts w:asciiTheme="majorHAnsi" w:hAnsiTheme="majorHAnsi"/>
          <w:sz w:val="20"/>
          <w:szCs w:val="20"/>
          <w:lang w:val="es-PA"/>
        </w:rPr>
        <w:t>[M]</w:t>
      </w:r>
      <w:r w:rsidR="00970E41">
        <w:rPr>
          <w:rFonts w:asciiTheme="majorHAnsi" w:hAnsiTheme="majorHAnsi"/>
          <w:sz w:val="20"/>
          <w:szCs w:val="20"/>
          <w:lang w:val="es-ES"/>
        </w:rPr>
        <w:t>i intervención en este juicio de reenvío priva al justiciable de un juez objetivamente imparcial</w:t>
      </w:r>
      <w:r w:rsidR="00E845BE">
        <w:rPr>
          <w:rFonts w:asciiTheme="majorHAnsi" w:hAnsiTheme="majorHAnsi"/>
          <w:sz w:val="20"/>
          <w:szCs w:val="20"/>
          <w:lang w:val="es-ES"/>
        </w:rPr>
        <w:t>,</w:t>
      </w:r>
      <w:r w:rsidR="00970E41">
        <w:rPr>
          <w:rFonts w:asciiTheme="majorHAnsi" w:hAnsiTheme="majorHAnsi"/>
          <w:sz w:val="20"/>
          <w:szCs w:val="20"/>
          <w:lang w:val="es-ES"/>
        </w:rPr>
        <w:t xml:space="preserve"> pues al haber confirmado en su totalidad la sentencia del tribunal en mi previa intervención, he tomado un primer contacto con el objeto del proceso tanto desde la revisión de los hechos como del derecho aplicable </w:t>
      </w:r>
      <w:r w:rsidR="00AA4B65">
        <w:rPr>
          <w:rFonts w:asciiTheme="majorHAnsi" w:hAnsiTheme="majorHAnsi"/>
          <w:sz w:val="20"/>
          <w:szCs w:val="20"/>
          <w:lang w:val="es-ES"/>
        </w:rPr>
        <w:t>y he emitido opinión acerca de la validez intrínseca de dicho pronunciamiento.</w:t>
      </w:r>
    </w:p>
    <w:p w14:paraId="34A2B0EC" w14:textId="77777777" w:rsidR="009416FE" w:rsidRPr="009416FE" w:rsidRDefault="009416FE" w:rsidP="009416FE">
      <w:pPr>
        <w:rPr>
          <w:rFonts w:asciiTheme="majorHAnsi" w:hAnsiTheme="majorHAnsi"/>
          <w:sz w:val="20"/>
          <w:szCs w:val="20"/>
          <w:lang w:val="es-ES"/>
        </w:rPr>
      </w:pPr>
    </w:p>
    <w:p w14:paraId="611B901A" w14:textId="535B6406" w:rsidR="00A0688E" w:rsidRPr="005F4ED3" w:rsidRDefault="005F4ED3" w:rsidP="005F4ED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
        </w:rPr>
      </w:pPr>
      <w:r w:rsidRPr="005F4ED3">
        <w:rPr>
          <w:rFonts w:asciiTheme="majorHAnsi" w:hAnsiTheme="majorHAnsi"/>
          <w:sz w:val="20"/>
          <w:szCs w:val="20"/>
          <w:lang w:val="es-ES"/>
        </w:rPr>
        <w:t>En el mismo voto el juez agregó que, aunque no se había pronunciado sobre la constitucionalidad de la prisión perpetua por considerar el reclamo tardío, “</w:t>
      </w:r>
      <w:r w:rsidRPr="00E845BE">
        <w:rPr>
          <w:rFonts w:asciiTheme="majorHAnsi" w:hAnsiTheme="majorHAnsi"/>
          <w:i/>
          <w:iCs/>
          <w:sz w:val="20"/>
          <w:szCs w:val="20"/>
          <w:lang w:val="es-ES"/>
        </w:rPr>
        <w:t>en el caso de considerar la concurrencia de tal invalidez de carácter absoluto debería haberla declarado de oficio</w:t>
      </w:r>
      <w:r w:rsidRPr="005F4ED3">
        <w:rPr>
          <w:rFonts w:asciiTheme="majorHAnsi" w:hAnsiTheme="majorHAnsi"/>
          <w:sz w:val="20"/>
          <w:szCs w:val="20"/>
          <w:lang w:val="es-ES"/>
        </w:rPr>
        <w:t>”</w:t>
      </w:r>
      <w:r w:rsidR="00E845BE">
        <w:rPr>
          <w:rFonts w:asciiTheme="majorHAnsi" w:hAnsiTheme="majorHAnsi"/>
          <w:sz w:val="20"/>
          <w:szCs w:val="20"/>
          <w:lang w:val="es-ES"/>
        </w:rPr>
        <w:t>.</w:t>
      </w:r>
      <w:r w:rsidR="00AA4B65" w:rsidRPr="005F4ED3">
        <w:rPr>
          <w:rFonts w:asciiTheme="majorHAnsi" w:hAnsiTheme="majorHAnsi"/>
          <w:sz w:val="20"/>
          <w:szCs w:val="20"/>
          <w:lang w:val="es-ES"/>
        </w:rPr>
        <w:t xml:space="preserve"> En consecuencia, la parte peticionaria argumenta que se violó el derecho de la presunta víctima a un juez imparcial</w:t>
      </w:r>
      <w:r w:rsidR="00E845BE">
        <w:rPr>
          <w:rFonts w:asciiTheme="majorHAnsi" w:hAnsiTheme="majorHAnsi"/>
          <w:sz w:val="20"/>
          <w:szCs w:val="20"/>
          <w:lang w:val="es-ES"/>
        </w:rPr>
        <w:t>,</w:t>
      </w:r>
      <w:r w:rsidR="00AA4B65" w:rsidRPr="005F4ED3">
        <w:rPr>
          <w:rFonts w:asciiTheme="majorHAnsi" w:hAnsiTheme="majorHAnsi"/>
          <w:sz w:val="20"/>
          <w:szCs w:val="20"/>
          <w:lang w:val="es-ES"/>
        </w:rPr>
        <w:t xml:space="preserve"> pues el tribunal que resolvió en definitiva su recurso de casación carecía de imparcialidad objetiva según </w:t>
      </w:r>
      <w:r w:rsidR="00E845BE">
        <w:rPr>
          <w:rFonts w:asciiTheme="majorHAnsi" w:hAnsiTheme="majorHAnsi"/>
          <w:sz w:val="20"/>
          <w:szCs w:val="20"/>
          <w:lang w:val="es-ES"/>
        </w:rPr>
        <w:t>habría sido</w:t>
      </w:r>
      <w:r w:rsidR="00AA4B65" w:rsidRPr="005F4ED3">
        <w:rPr>
          <w:rFonts w:asciiTheme="majorHAnsi" w:hAnsiTheme="majorHAnsi"/>
          <w:sz w:val="20"/>
          <w:szCs w:val="20"/>
          <w:lang w:val="es-ES"/>
        </w:rPr>
        <w:t xml:space="preserve"> reconocido por sus propios integrantes. </w:t>
      </w:r>
      <w:r w:rsidR="00F71140" w:rsidRPr="005F4ED3">
        <w:rPr>
          <w:rFonts w:asciiTheme="majorHAnsi" w:hAnsiTheme="majorHAnsi"/>
          <w:sz w:val="20"/>
          <w:szCs w:val="20"/>
          <w:lang w:val="es-ES"/>
        </w:rPr>
        <w:t>También argumenta que la segunda sentencia de casación, al limitarse a repetir lo señalado en la previamente anulada, no cumplió con los estándares de revisión exigidos por el artículo 8.2(h) de la Convención Americana.</w:t>
      </w:r>
    </w:p>
    <w:p w14:paraId="78B02D17" w14:textId="156E5792" w:rsidR="00AA4B65" w:rsidRPr="00F71140" w:rsidRDefault="00AA4B65" w:rsidP="001002D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b/>
          <w:bCs/>
          <w:sz w:val="20"/>
          <w:szCs w:val="20"/>
          <w:lang w:val="es-ES"/>
        </w:rPr>
      </w:pPr>
      <w:r>
        <w:rPr>
          <w:rFonts w:asciiTheme="majorHAnsi" w:hAnsiTheme="majorHAnsi"/>
          <w:sz w:val="20"/>
          <w:szCs w:val="20"/>
          <w:lang w:val="es-ES"/>
        </w:rPr>
        <w:t>La nueva sentencia de casación fue recurrida por la defensa de la presunta víctima mediante recurso extraordinario federal</w:t>
      </w:r>
      <w:r w:rsidR="005F4ED3">
        <w:rPr>
          <w:rFonts w:asciiTheme="majorHAnsi" w:hAnsiTheme="majorHAnsi"/>
          <w:sz w:val="20"/>
          <w:szCs w:val="20"/>
          <w:lang w:val="es-ES"/>
        </w:rPr>
        <w:t xml:space="preserve">, el cual </w:t>
      </w:r>
      <w:r>
        <w:rPr>
          <w:rFonts w:asciiTheme="majorHAnsi" w:hAnsiTheme="majorHAnsi"/>
          <w:sz w:val="20"/>
          <w:szCs w:val="20"/>
          <w:lang w:val="es-ES"/>
        </w:rPr>
        <w:t xml:space="preserve">fue denegado por la Sala </w:t>
      </w:r>
      <w:r w:rsidR="001946E7">
        <w:rPr>
          <w:rFonts w:asciiTheme="majorHAnsi" w:hAnsiTheme="majorHAnsi"/>
          <w:sz w:val="20"/>
          <w:szCs w:val="20"/>
          <w:lang w:val="es-ES"/>
        </w:rPr>
        <w:t>I de la Cámara de Casación Penal el 29 de junio de 2012. Contra esa decisión interpusieron un recurso de queja por recurso extraordinario federal denegado</w:t>
      </w:r>
      <w:r w:rsidR="00881171">
        <w:rPr>
          <w:rFonts w:asciiTheme="majorHAnsi" w:hAnsiTheme="majorHAnsi"/>
          <w:sz w:val="20"/>
          <w:szCs w:val="20"/>
          <w:lang w:val="es-ES"/>
        </w:rPr>
        <w:t>,</w:t>
      </w:r>
      <w:r w:rsidR="001946E7">
        <w:rPr>
          <w:rFonts w:asciiTheme="majorHAnsi" w:hAnsiTheme="majorHAnsi"/>
          <w:sz w:val="20"/>
          <w:szCs w:val="20"/>
          <w:lang w:val="es-ES"/>
        </w:rPr>
        <w:t xml:space="preserve"> el cual fue declarado inadmisible</w:t>
      </w:r>
      <w:r w:rsidR="00F71140">
        <w:rPr>
          <w:rFonts w:asciiTheme="majorHAnsi" w:hAnsiTheme="majorHAnsi"/>
          <w:sz w:val="20"/>
          <w:szCs w:val="20"/>
          <w:lang w:val="es-ES"/>
        </w:rPr>
        <w:t xml:space="preserve"> el 15 de julio de 2014</w:t>
      </w:r>
      <w:r w:rsidR="001946E7">
        <w:rPr>
          <w:rFonts w:asciiTheme="majorHAnsi" w:hAnsiTheme="majorHAnsi"/>
          <w:sz w:val="20"/>
          <w:szCs w:val="20"/>
          <w:lang w:val="es-ES"/>
        </w:rPr>
        <w:t xml:space="preserve"> por la Corte Suprema de Justicia de la Nación en ejercicio de sus facultades discrecionales conferidas por el Código Procesal Civil y Comercial de la Nación</w:t>
      </w:r>
      <w:r w:rsidR="001946E7">
        <w:rPr>
          <w:rStyle w:val="FootnoteReference"/>
          <w:rFonts w:asciiTheme="majorHAnsi" w:hAnsiTheme="majorHAnsi"/>
          <w:sz w:val="20"/>
          <w:szCs w:val="20"/>
          <w:lang w:val="es-ES"/>
        </w:rPr>
        <w:footnoteReference w:id="4"/>
      </w:r>
      <w:r w:rsidR="001946E7">
        <w:rPr>
          <w:rFonts w:asciiTheme="majorHAnsi" w:hAnsiTheme="majorHAnsi"/>
          <w:sz w:val="20"/>
          <w:szCs w:val="20"/>
          <w:lang w:val="es-ES"/>
        </w:rPr>
        <w:t>.</w:t>
      </w:r>
      <w:r w:rsidR="00F71140">
        <w:rPr>
          <w:rFonts w:asciiTheme="majorHAnsi" w:hAnsiTheme="majorHAnsi"/>
          <w:sz w:val="20"/>
          <w:szCs w:val="20"/>
          <w:lang w:val="es-ES"/>
        </w:rPr>
        <w:t xml:space="preserve"> La parte peticionaria considera que con esta decisión de la Corte Suprema de Justicia de la Nación quedaron agotados los recursos de la jurisdicción doméstica. </w:t>
      </w:r>
    </w:p>
    <w:p w14:paraId="76495AC6" w14:textId="3A148147" w:rsidR="00F71140" w:rsidRPr="001B3DA3" w:rsidRDefault="00F71140" w:rsidP="001002D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b/>
          <w:bCs/>
          <w:sz w:val="20"/>
          <w:szCs w:val="20"/>
          <w:lang w:val="es-ES"/>
        </w:rPr>
      </w:pPr>
      <w:r>
        <w:rPr>
          <w:rFonts w:asciiTheme="majorHAnsi" w:hAnsiTheme="majorHAnsi"/>
          <w:sz w:val="20"/>
          <w:szCs w:val="20"/>
          <w:lang w:val="es-ES"/>
        </w:rPr>
        <w:t>El Estado</w:t>
      </w:r>
      <w:r w:rsidR="00881171">
        <w:rPr>
          <w:rFonts w:asciiTheme="majorHAnsi" w:hAnsiTheme="majorHAnsi"/>
          <w:sz w:val="20"/>
          <w:szCs w:val="20"/>
          <w:lang w:val="es-ES"/>
        </w:rPr>
        <w:t xml:space="preserve"> argentino</w:t>
      </w:r>
      <w:r>
        <w:rPr>
          <w:rFonts w:asciiTheme="majorHAnsi" w:hAnsiTheme="majorHAnsi"/>
          <w:sz w:val="20"/>
          <w:szCs w:val="20"/>
          <w:lang w:val="es-ES"/>
        </w:rPr>
        <w:t xml:space="preserve">, por su parte, </w:t>
      </w:r>
      <w:r w:rsidR="001B3DA3">
        <w:rPr>
          <w:rFonts w:asciiTheme="majorHAnsi" w:hAnsiTheme="majorHAnsi"/>
          <w:sz w:val="20"/>
          <w:szCs w:val="20"/>
          <w:lang w:val="es-ES"/>
        </w:rPr>
        <w:t>considera que la petición debe ser inadmitida porque no expone hecho que caractericen violaciones a la Convención Americana</w:t>
      </w:r>
      <w:r w:rsidR="00CC3C86">
        <w:rPr>
          <w:rFonts w:asciiTheme="majorHAnsi" w:hAnsiTheme="majorHAnsi"/>
          <w:sz w:val="20"/>
          <w:szCs w:val="20"/>
          <w:lang w:val="es-ES"/>
        </w:rPr>
        <w:t>;</w:t>
      </w:r>
      <w:r w:rsidR="001B3DA3">
        <w:rPr>
          <w:rFonts w:asciiTheme="majorHAnsi" w:hAnsiTheme="majorHAnsi"/>
          <w:sz w:val="20"/>
          <w:szCs w:val="20"/>
          <w:lang w:val="es-ES"/>
        </w:rPr>
        <w:t xml:space="preserve"> y porque le fue trasladada al Estado en forma extemporánea. </w:t>
      </w:r>
    </w:p>
    <w:p w14:paraId="26FC6578" w14:textId="261A1B60" w:rsidR="00E82B20" w:rsidRPr="00E82B20" w:rsidRDefault="003F3DAB" w:rsidP="00E82B2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b/>
          <w:bCs/>
          <w:sz w:val="20"/>
          <w:szCs w:val="20"/>
          <w:lang w:val="es-ES"/>
        </w:rPr>
      </w:pPr>
      <w:r>
        <w:rPr>
          <w:rFonts w:asciiTheme="majorHAnsi" w:hAnsiTheme="majorHAnsi"/>
          <w:sz w:val="20"/>
          <w:szCs w:val="20"/>
          <w:lang w:val="es-ES"/>
        </w:rPr>
        <w:lastRenderedPageBreak/>
        <w:t>El Estado destaca que la situación planteada en la petición es esencialmente distinta a la que fue conocida por la Corte Interamericana en el caso Hilaire, Constantine y Benjamin y otros vs. Trinidad y Tobago</w:t>
      </w:r>
      <w:r w:rsidR="00CC3C86">
        <w:rPr>
          <w:rFonts w:asciiTheme="majorHAnsi" w:hAnsiTheme="majorHAnsi"/>
          <w:sz w:val="20"/>
          <w:szCs w:val="20"/>
          <w:lang w:val="es-ES"/>
        </w:rPr>
        <w:t>,</w:t>
      </w:r>
      <w:r>
        <w:rPr>
          <w:rFonts w:asciiTheme="majorHAnsi" w:hAnsiTheme="majorHAnsi"/>
          <w:sz w:val="20"/>
          <w:szCs w:val="20"/>
          <w:lang w:val="es-ES"/>
        </w:rPr>
        <w:t xml:space="preserve"> en el que ese tribunal encontró incompatible </w:t>
      </w:r>
      <w:r w:rsidR="00CC3C86">
        <w:rPr>
          <w:rFonts w:asciiTheme="majorHAnsi" w:hAnsiTheme="majorHAnsi"/>
          <w:sz w:val="20"/>
          <w:szCs w:val="20"/>
          <w:lang w:val="es-ES"/>
        </w:rPr>
        <w:t>entre</w:t>
      </w:r>
      <w:r>
        <w:rPr>
          <w:rFonts w:asciiTheme="majorHAnsi" w:hAnsiTheme="majorHAnsi"/>
          <w:sz w:val="20"/>
          <w:szCs w:val="20"/>
          <w:lang w:val="es-ES"/>
        </w:rPr>
        <w:t xml:space="preserve"> la Convención Americana </w:t>
      </w:r>
      <w:r w:rsidR="00CC3C86">
        <w:rPr>
          <w:rFonts w:asciiTheme="majorHAnsi" w:hAnsiTheme="majorHAnsi"/>
          <w:sz w:val="20"/>
          <w:szCs w:val="20"/>
          <w:lang w:val="es-ES"/>
        </w:rPr>
        <w:t xml:space="preserve">y la </w:t>
      </w:r>
      <w:r>
        <w:rPr>
          <w:rFonts w:asciiTheme="majorHAnsi" w:hAnsiTheme="majorHAnsi"/>
          <w:sz w:val="20"/>
          <w:szCs w:val="20"/>
          <w:lang w:val="es-ES"/>
        </w:rPr>
        <w:t xml:space="preserve">normativa que establecía la pena capital como la púnica posible para ciertos tipos de delitos. Esto, puesto que la pena impuesta a la presunta víctima </w:t>
      </w:r>
      <w:r w:rsidR="00E82B20">
        <w:rPr>
          <w:rFonts w:asciiTheme="majorHAnsi" w:hAnsiTheme="majorHAnsi"/>
          <w:sz w:val="20"/>
          <w:szCs w:val="20"/>
          <w:lang w:val="es-ES"/>
        </w:rPr>
        <w:t>no fue una pena de muerte y porque, a diferencia de la normativa analizada en el referido precedente, las normas aplicadas a la presunta víctima estaban reservadas solo para los homicidios más graves.</w:t>
      </w:r>
    </w:p>
    <w:p w14:paraId="1A8B171B" w14:textId="0D2DEC20" w:rsidR="005F4ED3" w:rsidRPr="005F4ED3" w:rsidRDefault="00E82B20" w:rsidP="005F4E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b/>
          <w:bCs/>
          <w:sz w:val="20"/>
          <w:szCs w:val="20"/>
          <w:lang w:val="es-ES"/>
        </w:rPr>
      </w:pPr>
      <w:r>
        <w:rPr>
          <w:rFonts w:asciiTheme="majorHAnsi" w:hAnsiTheme="majorHAnsi"/>
          <w:sz w:val="20"/>
          <w:szCs w:val="20"/>
          <w:lang w:val="es-ES"/>
        </w:rPr>
        <w:t xml:space="preserve">A juicio del Estado, </w:t>
      </w:r>
      <w:r w:rsidR="005C3F10">
        <w:rPr>
          <w:rFonts w:asciiTheme="majorHAnsi" w:hAnsiTheme="majorHAnsi"/>
          <w:sz w:val="20"/>
          <w:szCs w:val="20"/>
          <w:lang w:val="es-ES"/>
        </w:rPr>
        <w:t xml:space="preserve">la petición </w:t>
      </w:r>
      <w:r w:rsidR="00A77663">
        <w:rPr>
          <w:rFonts w:asciiTheme="majorHAnsi" w:hAnsiTheme="majorHAnsi"/>
          <w:sz w:val="20"/>
          <w:szCs w:val="20"/>
          <w:lang w:val="es-ES"/>
        </w:rPr>
        <w:t xml:space="preserve">expresa un mero descontento con las sentencias de los tribunales nacionales y </w:t>
      </w:r>
      <w:r w:rsidR="005C3F10">
        <w:rPr>
          <w:rFonts w:asciiTheme="majorHAnsi" w:hAnsiTheme="majorHAnsi"/>
          <w:sz w:val="20"/>
          <w:szCs w:val="20"/>
          <w:lang w:val="es-ES"/>
        </w:rPr>
        <w:t>pretende improcedentemente que la Comisión actúe como un tribunal de “cuarta instancia” par</w:t>
      </w:r>
      <w:r w:rsidR="00A77663">
        <w:rPr>
          <w:rFonts w:asciiTheme="majorHAnsi" w:hAnsiTheme="majorHAnsi"/>
          <w:sz w:val="20"/>
          <w:szCs w:val="20"/>
          <w:lang w:val="es-ES"/>
        </w:rPr>
        <w:t>a la revisión de estas. Así, el Estado resalta</w:t>
      </w:r>
      <w:r w:rsidR="00A77663" w:rsidRPr="00804F6F">
        <w:rPr>
          <w:rFonts w:asciiTheme="majorHAnsi" w:hAnsiTheme="majorHAnsi"/>
          <w:sz w:val="20"/>
          <w:szCs w:val="20"/>
          <w:lang w:val="es-ES"/>
        </w:rPr>
        <w:t xml:space="preserve"> que no surge del expediente que durante la tramitación de la causa penal en contra </w:t>
      </w:r>
      <w:r w:rsidR="00A56266">
        <w:rPr>
          <w:rFonts w:asciiTheme="majorHAnsi" w:hAnsiTheme="majorHAnsi"/>
          <w:sz w:val="20"/>
          <w:szCs w:val="20"/>
          <w:lang w:val="es-ES"/>
        </w:rPr>
        <w:t>d</w:t>
      </w:r>
      <w:r w:rsidR="00774EAD">
        <w:rPr>
          <w:rFonts w:asciiTheme="majorHAnsi" w:hAnsiTheme="majorHAnsi"/>
          <w:sz w:val="20"/>
          <w:szCs w:val="20"/>
          <w:lang w:val="es-ES"/>
        </w:rPr>
        <w:t>el Sr. Preneste</w:t>
      </w:r>
      <w:r w:rsidR="00A77663" w:rsidRPr="00804F6F">
        <w:rPr>
          <w:rFonts w:asciiTheme="majorHAnsi" w:hAnsiTheme="majorHAnsi"/>
          <w:sz w:val="20"/>
          <w:szCs w:val="20"/>
          <w:lang w:val="es-ES"/>
        </w:rPr>
        <w:t xml:space="preserve"> haya sufrido privación o restricción de su derecho a la defensa en juicio</w:t>
      </w:r>
      <w:r w:rsidR="00A56266">
        <w:rPr>
          <w:rFonts w:asciiTheme="majorHAnsi" w:hAnsiTheme="majorHAnsi"/>
          <w:sz w:val="20"/>
          <w:szCs w:val="20"/>
          <w:lang w:val="es-ES"/>
        </w:rPr>
        <w:t>;</w:t>
      </w:r>
      <w:r w:rsidR="00A77663" w:rsidRPr="00804F6F">
        <w:rPr>
          <w:rFonts w:asciiTheme="majorHAnsi" w:hAnsiTheme="majorHAnsi"/>
          <w:sz w:val="20"/>
          <w:szCs w:val="20"/>
          <w:lang w:val="es-ES"/>
        </w:rPr>
        <w:t xml:space="preserve"> que las autoridades judiciales intervinientes hayan sido incompetentes o parciales</w:t>
      </w:r>
      <w:r w:rsidR="00A56266">
        <w:rPr>
          <w:rFonts w:asciiTheme="majorHAnsi" w:hAnsiTheme="majorHAnsi"/>
          <w:sz w:val="20"/>
          <w:szCs w:val="20"/>
          <w:lang w:val="es-ES"/>
        </w:rPr>
        <w:t>;</w:t>
      </w:r>
      <w:r w:rsidR="00A77663" w:rsidRPr="00804F6F">
        <w:rPr>
          <w:rFonts w:asciiTheme="majorHAnsi" w:hAnsiTheme="majorHAnsi"/>
          <w:sz w:val="20"/>
          <w:szCs w:val="20"/>
          <w:lang w:val="es-ES"/>
        </w:rPr>
        <w:t xml:space="preserve"> que estas se hayan pronunciado sin fundamento jurídico</w:t>
      </w:r>
      <w:r w:rsidR="00A56266">
        <w:rPr>
          <w:rFonts w:asciiTheme="majorHAnsi" w:hAnsiTheme="majorHAnsi"/>
          <w:sz w:val="20"/>
          <w:szCs w:val="20"/>
          <w:lang w:val="es-ES"/>
        </w:rPr>
        <w:t>;</w:t>
      </w:r>
      <w:r w:rsidR="00A77663" w:rsidRPr="00804F6F">
        <w:rPr>
          <w:rFonts w:asciiTheme="majorHAnsi" w:hAnsiTheme="majorHAnsi"/>
          <w:sz w:val="20"/>
          <w:szCs w:val="20"/>
          <w:lang w:val="es-ES"/>
        </w:rPr>
        <w:t xml:space="preserve"> que la decisión haya sido tomada en contra o con prescindencia de lo expresamente dispuesto por la legislación vigente o por aplicación de una ley inexistente</w:t>
      </w:r>
      <w:r w:rsidR="00A56266">
        <w:rPr>
          <w:rFonts w:asciiTheme="majorHAnsi" w:hAnsiTheme="majorHAnsi"/>
          <w:sz w:val="20"/>
          <w:szCs w:val="20"/>
          <w:lang w:val="es-ES"/>
        </w:rPr>
        <w:t>;</w:t>
      </w:r>
      <w:r w:rsidR="00A77663" w:rsidRPr="00804F6F">
        <w:rPr>
          <w:rFonts w:asciiTheme="majorHAnsi" w:hAnsiTheme="majorHAnsi"/>
          <w:sz w:val="20"/>
          <w:szCs w:val="20"/>
          <w:lang w:val="es-ES"/>
        </w:rPr>
        <w:t xml:space="preserve"> que en el proceso se haya prescindido de pruebas fehacientes y decisivas, y que se haya omitido considerar cuestiones oportunamente propuestas y conducentes para la decisión del juicio</w:t>
      </w:r>
      <w:r w:rsidR="00A56266">
        <w:rPr>
          <w:rFonts w:asciiTheme="majorHAnsi" w:hAnsiTheme="majorHAnsi"/>
          <w:sz w:val="20"/>
          <w:szCs w:val="20"/>
          <w:lang w:val="es-ES"/>
        </w:rPr>
        <w:t>;</w:t>
      </w:r>
      <w:r w:rsidR="00A77663" w:rsidRPr="00804F6F">
        <w:rPr>
          <w:rFonts w:asciiTheme="majorHAnsi" w:hAnsiTheme="majorHAnsi"/>
          <w:sz w:val="20"/>
          <w:szCs w:val="20"/>
          <w:lang w:val="es-ES"/>
        </w:rPr>
        <w:t xml:space="preserve"> o que en el juicio se hayan considerado cuestiones que no eran materia del proceso. </w:t>
      </w:r>
      <w:r w:rsidR="00A77663" w:rsidRPr="005F4ED3">
        <w:rPr>
          <w:rFonts w:asciiTheme="majorHAnsi" w:hAnsiTheme="majorHAnsi"/>
          <w:sz w:val="20"/>
          <w:szCs w:val="20"/>
          <w:lang w:val="es-ES"/>
        </w:rPr>
        <w:t>El Estado también destaca que la causa fue tramitada en plazo razonable y que la presunta víctima tuvo acceso a los mecanismos recursivos previstos en la jurisdicción doméstica.</w:t>
      </w:r>
      <w:r w:rsidR="00E92AFF" w:rsidRPr="005F4ED3">
        <w:rPr>
          <w:rFonts w:asciiTheme="majorHAnsi" w:hAnsiTheme="majorHAnsi"/>
          <w:sz w:val="20"/>
          <w:szCs w:val="20"/>
          <w:lang w:val="es-ES"/>
        </w:rPr>
        <w:t xml:space="preserve"> </w:t>
      </w:r>
    </w:p>
    <w:p w14:paraId="22E82786" w14:textId="26A11B05" w:rsidR="00E82B20" w:rsidRPr="005F4ED3" w:rsidRDefault="00E92AFF" w:rsidP="005F4E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b/>
          <w:bCs/>
          <w:sz w:val="20"/>
          <w:szCs w:val="20"/>
          <w:lang w:val="es-ES"/>
        </w:rPr>
      </w:pPr>
      <w:r w:rsidRPr="005F4ED3">
        <w:rPr>
          <w:rFonts w:asciiTheme="majorHAnsi" w:hAnsiTheme="majorHAnsi"/>
          <w:sz w:val="20"/>
          <w:szCs w:val="20"/>
          <w:lang w:val="es-ES"/>
        </w:rPr>
        <w:t xml:space="preserve">Por </w:t>
      </w:r>
      <w:r w:rsidR="005F4ED3">
        <w:rPr>
          <w:rFonts w:asciiTheme="majorHAnsi" w:hAnsiTheme="majorHAnsi"/>
          <w:sz w:val="20"/>
          <w:szCs w:val="20"/>
          <w:lang w:val="es-ES"/>
        </w:rPr>
        <w:t>las razones arriba expuestas</w:t>
      </w:r>
      <w:r w:rsidRPr="005F4ED3">
        <w:rPr>
          <w:rFonts w:asciiTheme="majorHAnsi" w:hAnsiTheme="majorHAnsi"/>
          <w:sz w:val="20"/>
          <w:szCs w:val="20"/>
          <w:lang w:val="es-ES"/>
        </w:rPr>
        <w:t xml:space="preserve">, el Estado argumenta que la petición debe declararse inadmisible conforme lo establecido en el artículo 47(b) de la Convención Americana y el artículo 34 del reglamento de la Comisión. </w:t>
      </w:r>
    </w:p>
    <w:p w14:paraId="2A869D8F" w14:textId="52A22D93" w:rsidR="00412500" w:rsidRPr="00BE779C" w:rsidRDefault="00E92AFF" w:rsidP="00BE779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b/>
          <w:bCs/>
          <w:sz w:val="20"/>
          <w:szCs w:val="20"/>
          <w:lang w:val="es-ES"/>
        </w:rPr>
      </w:pPr>
      <w:r>
        <w:rPr>
          <w:rFonts w:asciiTheme="majorHAnsi" w:hAnsiTheme="majorHAnsi"/>
          <w:sz w:val="20"/>
          <w:szCs w:val="20"/>
          <w:lang w:val="es-ES"/>
        </w:rPr>
        <w:t>Adicionalmente, el Estado reclama que la petición le fue trasladada cerca de cinco años luego de su interposición, lo que tacha de extemporáneo e incompatible con el derecho del Estado al ejercicio de su defensa.</w:t>
      </w:r>
    </w:p>
    <w:p w14:paraId="3FE6F5AE" w14:textId="3B02A6E7" w:rsidR="004C616A" w:rsidRPr="00223711" w:rsidRDefault="004C616A" w:rsidP="00DC008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firstLine="720"/>
        <w:jc w:val="both"/>
        <w:rPr>
          <w:rFonts w:asciiTheme="majorHAnsi" w:hAnsiTheme="majorHAnsi"/>
          <w:b/>
          <w:bCs/>
          <w:sz w:val="20"/>
          <w:szCs w:val="20"/>
          <w:lang w:val="es-ES"/>
        </w:rPr>
      </w:pPr>
      <w:r w:rsidRPr="00223711">
        <w:rPr>
          <w:rFonts w:asciiTheme="majorHAnsi" w:hAnsiTheme="majorHAnsi"/>
          <w:b/>
          <w:bCs/>
          <w:sz w:val="20"/>
          <w:szCs w:val="20"/>
          <w:lang w:val="es-ES"/>
        </w:rPr>
        <w:t xml:space="preserve">VI. </w:t>
      </w:r>
      <w:r w:rsidR="00464346" w:rsidRPr="00223711">
        <w:rPr>
          <w:rFonts w:asciiTheme="majorHAnsi" w:hAnsiTheme="majorHAnsi"/>
          <w:b/>
          <w:bCs/>
          <w:sz w:val="20"/>
          <w:szCs w:val="20"/>
          <w:lang w:val="es-ES"/>
        </w:rPr>
        <w:t xml:space="preserve">  </w:t>
      </w:r>
      <w:r w:rsidR="00A56266">
        <w:rPr>
          <w:rFonts w:asciiTheme="majorHAnsi" w:hAnsiTheme="majorHAnsi"/>
          <w:b/>
          <w:bCs/>
          <w:sz w:val="20"/>
          <w:szCs w:val="20"/>
          <w:lang w:val="es-ES"/>
        </w:rPr>
        <w:tab/>
      </w:r>
      <w:r w:rsidR="00E7201C">
        <w:rPr>
          <w:rFonts w:asciiTheme="majorHAnsi" w:hAnsiTheme="majorHAnsi"/>
          <w:b/>
          <w:bCs/>
          <w:sz w:val="20"/>
          <w:szCs w:val="20"/>
          <w:lang w:val="es-ES"/>
        </w:rPr>
        <w:t>AN</w:t>
      </w:r>
      <w:r w:rsidR="00BE779C">
        <w:rPr>
          <w:rFonts w:asciiTheme="majorHAnsi" w:hAnsiTheme="majorHAnsi"/>
          <w:b/>
          <w:bCs/>
          <w:sz w:val="20"/>
          <w:szCs w:val="20"/>
          <w:lang w:val="es-ES"/>
        </w:rPr>
        <w:t>Á</w:t>
      </w:r>
      <w:r w:rsidR="00E7201C">
        <w:rPr>
          <w:rFonts w:asciiTheme="majorHAnsi" w:hAnsiTheme="majorHAnsi"/>
          <w:b/>
          <w:bCs/>
          <w:sz w:val="20"/>
          <w:szCs w:val="20"/>
          <w:lang w:val="es-ES"/>
        </w:rPr>
        <w:t xml:space="preserve">LISIS DE </w:t>
      </w:r>
      <w:r w:rsidRPr="00223711">
        <w:rPr>
          <w:rFonts w:asciiTheme="majorHAnsi" w:hAnsiTheme="majorHAnsi"/>
          <w:b/>
          <w:bCs/>
          <w:sz w:val="20"/>
          <w:szCs w:val="20"/>
          <w:lang w:val="es-ES"/>
        </w:rPr>
        <w:t>AGOTAMIENTO DE LOS RECURSOS INTERNOS Y PLAZO DE PRESENTACI</w:t>
      </w:r>
      <w:r w:rsidR="00BE779C">
        <w:rPr>
          <w:rFonts w:asciiTheme="majorHAnsi" w:hAnsiTheme="majorHAnsi"/>
          <w:b/>
          <w:bCs/>
          <w:sz w:val="20"/>
          <w:szCs w:val="20"/>
          <w:lang w:val="es-ES"/>
        </w:rPr>
        <w:t>Ó</w:t>
      </w:r>
      <w:r w:rsidRPr="00223711">
        <w:rPr>
          <w:rFonts w:asciiTheme="majorHAnsi" w:hAnsiTheme="majorHAnsi"/>
          <w:b/>
          <w:bCs/>
          <w:sz w:val="20"/>
          <w:szCs w:val="20"/>
          <w:lang w:val="es-ES"/>
        </w:rPr>
        <w:t>N</w:t>
      </w:r>
    </w:p>
    <w:p w14:paraId="3731E267" w14:textId="74DF8C38" w:rsidR="00BC6C79" w:rsidRDefault="00A24E2E" w:rsidP="0046434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 xml:space="preserve">La parte peticionaria sostiene que la petición cumple con el requisito de agotamiento de los recursos internos mientras que el Estado no ha presentado observaciones al respecto. </w:t>
      </w:r>
    </w:p>
    <w:p w14:paraId="330C73B4" w14:textId="38932508" w:rsidR="00E810D4" w:rsidRDefault="000D72E8" w:rsidP="0046434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Conforme surge del expediente,</w:t>
      </w:r>
      <w:r w:rsidR="00A24E2E">
        <w:rPr>
          <w:rFonts w:ascii="Cambria" w:hAnsi="Cambria"/>
          <w:sz w:val="20"/>
          <w:szCs w:val="20"/>
          <w:lang w:val="es-ES"/>
        </w:rPr>
        <w:t xml:space="preserve"> la sentencia que condenó </w:t>
      </w:r>
      <w:r w:rsidR="00A56266">
        <w:rPr>
          <w:rFonts w:ascii="Cambria" w:hAnsi="Cambria"/>
          <w:sz w:val="20"/>
          <w:szCs w:val="20"/>
          <w:lang w:val="es-ES"/>
        </w:rPr>
        <w:t xml:space="preserve">al </w:t>
      </w:r>
      <w:r w:rsidR="00A56266">
        <w:rPr>
          <w:rFonts w:ascii="Cambria" w:hAnsi="Cambria"/>
          <w:bCs/>
          <w:sz w:val="20"/>
          <w:szCs w:val="20"/>
          <w:lang w:val="es-PA"/>
        </w:rPr>
        <w:t>Sr. Preneste</w:t>
      </w:r>
      <w:r w:rsidR="00A24E2E">
        <w:rPr>
          <w:rFonts w:ascii="Cambria" w:hAnsi="Cambria"/>
          <w:sz w:val="20"/>
          <w:szCs w:val="20"/>
          <w:lang w:val="es-ES"/>
        </w:rPr>
        <w:t xml:space="preserve"> fue impugnada mediante recurso de casación, resultando en una primera decisión confirmatoria</w:t>
      </w:r>
      <w:r w:rsidR="00A56266">
        <w:rPr>
          <w:rFonts w:ascii="Cambria" w:hAnsi="Cambria"/>
          <w:sz w:val="20"/>
          <w:szCs w:val="20"/>
          <w:lang w:val="es-ES"/>
        </w:rPr>
        <w:t>,</w:t>
      </w:r>
      <w:r w:rsidR="00A24E2E">
        <w:rPr>
          <w:rFonts w:ascii="Cambria" w:hAnsi="Cambria"/>
          <w:sz w:val="20"/>
          <w:szCs w:val="20"/>
          <w:lang w:val="es-ES"/>
        </w:rPr>
        <w:t xml:space="preserve"> que fue anulada tras un recurso extraordinario federal exitoso. Luego, se emitió una nueva decisión de casación que nuevamente confirmó la sentencia condenatoria. Esta nueva decisión de casación fue recurrida mediante recurso extraordinario federal que fue denegado</w:t>
      </w:r>
      <w:r>
        <w:rPr>
          <w:rFonts w:ascii="Cambria" w:hAnsi="Cambria"/>
          <w:sz w:val="20"/>
          <w:szCs w:val="20"/>
          <w:lang w:val="es-ES"/>
        </w:rPr>
        <w:t xml:space="preserve">. Contra esa denegatoria se interpuso </w:t>
      </w:r>
      <w:r w:rsidR="00A24E2E">
        <w:rPr>
          <w:rFonts w:ascii="Cambria" w:hAnsi="Cambria"/>
          <w:sz w:val="20"/>
          <w:szCs w:val="20"/>
          <w:lang w:val="es-ES"/>
        </w:rPr>
        <w:t xml:space="preserve">un recurso de queja </w:t>
      </w:r>
      <w:r>
        <w:rPr>
          <w:rFonts w:ascii="Cambria" w:hAnsi="Cambria"/>
          <w:sz w:val="20"/>
          <w:szCs w:val="20"/>
          <w:lang w:val="es-ES"/>
        </w:rPr>
        <w:t>que fue rechazado por la Corte Suprema de Justicia de la Nación el 15 de julio de 2014, siendo esta la última decisión de la justicia doméstica en lo relacionado con el objeto de la petición</w:t>
      </w:r>
      <w:r w:rsidR="00A24E2E">
        <w:rPr>
          <w:rFonts w:ascii="Cambria" w:hAnsi="Cambria"/>
          <w:sz w:val="20"/>
          <w:szCs w:val="20"/>
          <w:lang w:val="es-ES"/>
        </w:rPr>
        <w:t>. El Estado no ha indicado ni surge del expediente que tras el rechazo de ese recurso de queja rest</w:t>
      </w:r>
      <w:r w:rsidR="00E810D4">
        <w:rPr>
          <w:rFonts w:ascii="Cambria" w:hAnsi="Cambria"/>
          <w:sz w:val="20"/>
          <w:szCs w:val="20"/>
          <w:lang w:val="es-ES"/>
        </w:rPr>
        <w:t xml:space="preserve">aran </w:t>
      </w:r>
      <w:r w:rsidR="00A24E2E">
        <w:rPr>
          <w:rFonts w:ascii="Cambria" w:hAnsi="Cambria"/>
          <w:sz w:val="20"/>
          <w:szCs w:val="20"/>
          <w:lang w:val="es-ES"/>
        </w:rPr>
        <w:t xml:space="preserve">recursos adicionales no agotados que pudieran </w:t>
      </w:r>
      <w:r w:rsidR="00E810D4">
        <w:rPr>
          <w:rFonts w:ascii="Cambria" w:hAnsi="Cambria"/>
          <w:sz w:val="20"/>
          <w:szCs w:val="20"/>
          <w:lang w:val="es-ES"/>
        </w:rPr>
        <w:t xml:space="preserve">haber sido idóneos para que </w:t>
      </w:r>
      <w:r w:rsidR="00A56266">
        <w:rPr>
          <w:rFonts w:ascii="Cambria" w:hAnsi="Cambria"/>
          <w:sz w:val="20"/>
          <w:szCs w:val="20"/>
          <w:lang w:val="es-ES"/>
        </w:rPr>
        <w:t>los reclamos planteados</w:t>
      </w:r>
      <w:r w:rsidR="00E810D4">
        <w:rPr>
          <w:rFonts w:ascii="Cambria" w:hAnsi="Cambria"/>
          <w:sz w:val="20"/>
          <w:szCs w:val="20"/>
          <w:lang w:val="es-ES"/>
        </w:rPr>
        <w:t xml:space="preserve"> en la petición fueran atendid</w:t>
      </w:r>
      <w:r w:rsidR="00A56266">
        <w:rPr>
          <w:rFonts w:ascii="Cambria" w:hAnsi="Cambria"/>
          <w:sz w:val="20"/>
          <w:szCs w:val="20"/>
          <w:lang w:val="es-ES"/>
        </w:rPr>
        <w:t>o</w:t>
      </w:r>
      <w:r w:rsidR="00E810D4">
        <w:rPr>
          <w:rFonts w:ascii="Cambria" w:hAnsi="Cambria"/>
          <w:sz w:val="20"/>
          <w:szCs w:val="20"/>
          <w:lang w:val="es-ES"/>
        </w:rPr>
        <w:t>s a nivel doméstico. Por lo tanto, la Comisión concluye que la petición cumple con los requisitos del artículo 46.1(a) de la Convención Americana</w:t>
      </w:r>
      <w:r>
        <w:rPr>
          <w:rFonts w:ascii="Cambria" w:hAnsi="Cambria"/>
          <w:sz w:val="20"/>
          <w:szCs w:val="20"/>
          <w:lang w:val="es-ES"/>
        </w:rPr>
        <w:t>.</w:t>
      </w:r>
    </w:p>
    <w:p w14:paraId="77AF683C" w14:textId="00008624" w:rsidR="00A24E2E" w:rsidRPr="00A56266" w:rsidRDefault="00E810D4" w:rsidP="0046434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A56266">
        <w:rPr>
          <w:rFonts w:asciiTheme="majorHAnsi" w:hAnsiTheme="majorHAnsi"/>
          <w:sz w:val="20"/>
          <w:szCs w:val="20"/>
          <w:lang w:val="es-ES"/>
        </w:rPr>
        <w:t xml:space="preserve">En cuanto al plazo para la presentación de la petición, </w:t>
      </w:r>
      <w:r w:rsidRPr="00A56266">
        <w:rPr>
          <w:rFonts w:asciiTheme="majorHAnsi" w:hAnsiTheme="majorHAnsi" w:cs="Calibri"/>
          <w:sz w:val="20"/>
          <w:szCs w:val="20"/>
          <w:lang w:val="es-ES_tradnl"/>
        </w:rPr>
        <w:t>dado que la decisión definitiva respecto al último de los recursos extraordinarios se emitió</w:t>
      </w:r>
      <w:r w:rsidR="000D72E8" w:rsidRPr="00A56266">
        <w:rPr>
          <w:rFonts w:asciiTheme="majorHAnsi" w:hAnsiTheme="majorHAnsi" w:cs="Calibri"/>
          <w:sz w:val="20"/>
          <w:szCs w:val="20"/>
          <w:lang w:val="es-ES_tradnl"/>
        </w:rPr>
        <w:t xml:space="preserve"> el 15 de julio de 2014 y la petición fue presentada el 30 de diciembre de 2014, la Comisión concluye que la presente petición también cumple con los requisitos del artículo 46.1(b) de la Convención Americana.</w:t>
      </w:r>
      <w:r w:rsidRPr="00A56266">
        <w:rPr>
          <w:rFonts w:asciiTheme="majorHAnsi" w:hAnsiTheme="majorHAnsi"/>
          <w:sz w:val="20"/>
          <w:szCs w:val="20"/>
          <w:lang w:val="es-ES"/>
        </w:rPr>
        <w:t xml:space="preserve">  </w:t>
      </w:r>
      <w:r w:rsidR="00A24E2E" w:rsidRPr="00A56266">
        <w:rPr>
          <w:rFonts w:asciiTheme="majorHAnsi" w:hAnsiTheme="majorHAnsi"/>
          <w:sz w:val="20"/>
          <w:szCs w:val="20"/>
          <w:lang w:val="es-ES"/>
        </w:rPr>
        <w:t xml:space="preserve"> </w:t>
      </w:r>
    </w:p>
    <w:p w14:paraId="5ADD87A2" w14:textId="70C88F1F" w:rsidR="00BC6C79" w:rsidRDefault="00BC6C79" w:rsidP="00BC6C79">
      <w:pPr>
        <w:pStyle w:val="ListParagraph"/>
        <w:numPr>
          <w:ilvl w:val="0"/>
          <w:numId w:val="55"/>
        </w:numPr>
        <w:contextualSpacing/>
        <w:jc w:val="both"/>
        <w:rPr>
          <w:rFonts w:cs="Calibri"/>
          <w:sz w:val="20"/>
          <w:szCs w:val="20"/>
          <w:lang w:val="es-ES_tradnl"/>
        </w:rPr>
      </w:pPr>
      <w:r>
        <w:rPr>
          <w:rFonts w:cs="Calibri"/>
          <w:sz w:val="20"/>
          <w:szCs w:val="20"/>
          <w:lang w:val="es-ES_tradnl"/>
        </w:rPr>
        <w:t>L</w:t>
      </w:r>
      <w:r w:rsidRPr="00BC6C79">
        <w:rPr>
          <w:rFonts w:cs="Calibri"/>
          <w:sz w:val="20"/>
          <w:szCs w:val="20"/>
          <w:lang w:val="es-ES_tradnl"/>
        </w:rPr>
        <w:t>a Comisión Interamericana toma nota del reclamo del Estado sobre lo que describe o califica como la extemporaneidad en el traslado de la petición. La CIDH señala al respecto que ni la Convención Americana ni el Reglamento de la Comisión establecen un plazo para el traslado de una petición al Estado a partir de su recepción y que los plazos establecidos en el Reglamento y en la Convención para otras etapas del trámite no son aplicables por analogía.</w:t>
      </w:r>
    </w:p>
    <w:p w14:paraId="592781E9" w14:textId="3CF7B4AC" w:rsidR="00EF59BF" w:rsidRDefault="00EF59BF" w:rsidP="00EF59BF">
      <w:pPr>
        <w:pStyle w:val="ListParagraph"/>
        <w:contextualSpacing/>
        <w:jc w:val="both"/>
        <w:rPr>
          <w:rFonts w:cs="Calibri"/>
          <w:sz w:val="20"/>
          <w:szCs w:val="20"/>
          <w:lang w:val="es-ES_tradnl"/>
        </w:rPr>
      </w:pPr>
    </w:p>
    <w:p w14:paraId="05DB0F44" w14:textId="3FE562F1" w:rsidR="00EF59BF" w:rsidRDefault="00EF59BF" w:rsidP="00EF59BF">
      <w:pPr>
        <w:pStyle w:val="ListParagraph"/>
        <w:contextualSpacing/>
        <w:jc w:val="both"/>
        <w:rPr>
          <w:rFonts w:cs="Calibri"/>
          <w:sz w:val="20"/>
          <w:szCs w:val="20"/>
          <w:lang w:val="es-ES_tradnl"/>
        </w:rPr>
      </w:pPr>
    </w:p>
    <w:p w14:paraId="5E119D14" w14:textId="64C3E6D3" w:rsidR="00EF59BF" w:rsidRDefault="00EF59BF" w:rsidP="00EF59BF">
      <w:pPr>
        <w:pStyle w:val="ListParagraph"/>
        <w:contextualSpacing/>
        <w:jc w:val="both"/>
        <w:rPr>
          <w:rFonts w:cs="Calibri"/>
          <w:sz w:val="20"/>
          <w:szCs w:val="20"/>
          <w:lang w:val="es-ES_tradnl"/>
        </w:rPr>
      </w:pPr>
    </w:p>
    <w:p w14:paraId="4A7B0F55" w14:textId="77777777" w:rsidR="00EF59BF" w:rsidRPr="00BC6C79" w:rsidRDefault="00EF59BF" w:rsidP="00EF59BF">
      <w:pPr>
        <w:pStyle w:val="ListParagraph"/>
        <w:contextualSpacing/>
        <w:jc w:val="both"/>
        <w:rPr>
          <w:rFonts w:cs="Calibri"/>
          <w:sz w:val="20"/>
          <w:szCs w:val="20"/>
          <w:lang w:val="es-ES_tradnl"/>
        </w:rPr>
      </w:pPr>
    </w:p>
    <w:p w14:paraId="7090A929" w14:textId="5BAFA5FA" w:rsidR="00F04591" w:rsidRDefault="00F04591" w:rsidP="00EF59BF">
      <w:pPr>
        <w:ind w:firstLine="720"/>
        <w:jc w:val="both"/>
        <w:rPr>
          <w:rFonts w:asciiTheme="majorHAnsi" w:hAnsiTheme="majorHAnsi"/>
          <w:b/>
          <w:bCs/>
          <w:sz w:val="20"/>
          <w:szCs w:val="20"/>
          <w:lang w:val="es-ES"/>
        </w:rPr>
      </w:pPr>
      <w:r w:rsidRPr="00BE779C">
        <w:rPr>
          <w:rFonts w:asciiTheme="majorHAnsi" w:hAnsiTheme="majorHAnsi"/>
          <w:b/>
          <w:bCs/>
          <w:sz w:val="20"/>
          <w:szCs w:val="20"/>
          <w:lang w:val="es-ES"/>
        </w:rPr>
        <w:lastRenderedPageBreak/>
        <w:t>V</w:t>
      </w:r>
      <w:r w:rsidR="000E2789" w:rsidRPr="00BE779C">
        <w:rPr>
          <w:rFonts w:asciiTheme="majorHAnsi" w:hAnsiTheme="majorHAnsi"/>
          <w:b/>
          <w:bCs/>
          <w:sz w:val="20"/>
          <w:szCs w:val="20"/>
          <w:lang w:val="es-ES"/>
        </w:rPr>
        <w:t>I</w:t>
      </w:r>
      <w:r w:rsidRPr="00BE779C">
        <w:rPr>
          <w:rFonts w:asciiTheme="majorHAnsi" w:hAnsiTheme="majorHAnsi"/>
          <w:b/>
          <w:bCs/>
          <w:sz w:val="20"/>
          <w:szCs w:val="20"/>
          <w:lang w:val="es-ES"/>
        </w:rPr>
        <w:t xml:space="preserve">I. </w:t>
      </w:r>
      <w:r w:rsidRPr="00BE779C">
        <w:rPr>
          <w:rFonts w:asciiTheme="majorHAnsi" w:hAnsiTheme="majorHAnsi"/>
          <w:b/>
          <w:bCs/>
          <w:sz w:val="20"/>
          <w:szCs w:val="20"/>
          <w:lang w:val="es-ES"/>
        </w:rPr>
        <w:tab/>
      </w:r>
      <w:r w:rsidR="00E7201C" w:rsidRPr="00BE779C">
        <w:rPr>
          <w:rFonts w:asciiTheme="majorHAnsi" w:hAnsiTheme="majorHAnsi"/>
          <w:b/>
          <w:bCs/>
          <w:sz w:val="20"/>
          <w:szCs w:val="20"/>
          <w:lang w:val="es-ES"/>
        </w:rPr>
        <w:t>AN</w:t>
      </w:r>
      <w:r w:rsidR="00BE779C">
        <w:rPr>
          <w:rFonts w:asciiTheme="majorHAnsi" w:hAnsiTheme="majorHAnsi"/>
          <w:b/>
          <w:bCs/>
          <w:sz w:val="20"/>
          <w:szCs w:val="20"/>
          <w:lang w:val="es-ES"/>
        </w:rPr>
        <w:t>Á</w:t>
      </w:r>
      <w:r w:rsidR="00E7201C" w:rsidRPr="00BE779C">
        <w:rPr>
          <w:rFonts w:asciiTheme="majorHAnsi" w:hAnsiTheme="majorHAnsi"/>
          <w:b/>
          <w:bCs/>
          <w:sz w:val="20"/>
          <w:szCs w:val="20"/>
          <w:lang w:val="es-ES"/>
        </w:rPr>
        <w:t xml:space="preserve">LISIS DE </w:t>
      </w:r>
      <w:r w:rsidRPr="00BE779C">
        <w:rPr>
          <w:rFonts w:asciiTheme="majorHAnsi" w:hAnsiTheme="majorHAnsi"/>
          <w:b/>
          <w:bCs/>
          <w:sz w:val="20"/>
          <w:szCs w:val="20"/>
          <w:lang w:val="es-ES"/>
        </w:rPr>
        <w:t>CARACTERIZACI</w:t>
      </w:r>
      <w:r w:rsidR="00BE779C">
        <w:rPr>
          <w:rFonts w:asciiTheme="majorHAnsi" w:hAnsiTheme="majorHAnsi"/>
          <w:b/>
          <w:bCs/>
          <w:sz w:val="20"/>
          <w:szCs w:val="20"/>
          <w:lang w:val="es-ES"/>
        </w:rPr>
        <w:t>Ó</w:t>
      </w:r>
      <w:r w:rsidRPr="00BE779C">
        <w:rPr>
          <w:rFonts w:asciiTheme="majorHAnsi" w:hAnsiTheme="majorHAnsi"/>
          <w:b/>
          <w:bCs/>
          <w:sz w:val="20"/>
          <w:szCs w:val="20"/>
          <w:lang w:val="es-ES"/>
        </w:rPr>
        <w:t>N</w:t>
      </w:r>
    </w:p>
    <w:p w14:paraId="7C7F5BF5" w14:textId="77777777" w:rsidR="00EF59BF" w:rsidRPr="00BE779C" w:rsidRDefault="00EF59BF" w:rsidP="00EF59BF">
      <w:pPr>
        <w:ind w:firstLine="720"/>
        <w:jc w:val="both"/>
        <w:rPr>
          <w:rFonts w:asciiTheme="majorHAnsi" w:hAnsiTheme="majorHAnsi"/>
          <w:b/>
          <w:bCs/>
          <w:sz w:val="20"/>
          <w:szCs w:val="20"/>
          <w:lang w:val="es-ES"/>
        </w:rPr>
      </w:pPr>
    </w:p>
    <w:p w14:paraId="74DFFD90" w14:textId="0B44B644" w:rsidR="008F10AE" w:rsidRPr="00BC6C79" w:rsidRDefault="008F10AE" w:rsidP="009564A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Pr>
          <w:rFonts w:asciiTheme="majorHAnsi" w:hAnsiTheme="majorHAnsi"/>
          <w:sz w:val="20"/>
          <w:szCs w:val="20"/>
          <w:lang w:val="es-ES"/>
        </w:rPr>
        <w:t xml:space="preserve">Preliminarmente y dado que </w:t>
      </w:r>
      <w:r w:rsidRPr="00B149C7">
        <w:rPr>
          <w:rFonts w:cs="Calibri"/>
          <w:sz w:val="20"/>
          <w:szCs w:val="20"/>
          <w:lang w:val="es-ES_tradnl"/>
        </w:rPr>
        <w:t>el Estado ha presentado alegatos referidos a la llamada fórmula de “cuarta instancia”</w:t>
      </w:r>
      <w:r w:rsidRPr="00B149C7">
        <w:rPr>
          <w:sz w:val="20"/>
          <w:szCs w:val="20"/>
          <w:lang w:val="es-ES_tradnl"/>
        </w:rPr>
        <w:t>, la Comisión reitera que, a los efectos de la admisibilidad, esta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esos requisitos difiere del que se utiliza para pronunciarse sobre el fondo de una petición. Asimismo, dentro del marco de su mandato es competente para declarar admisible una petición cuando ésta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la existencia de elementos que, de ser ciertos, podrían constituir prima facie violaciones a la Convención Americana”</w:t>
      </w:r>
      <w:r w:rsidRPr="00BF4E8C">
        <w:rPr>
          <w:rStyle w:val="FootnoteReference"/>
          <w:rFonts w:cs="Calibri"/>
          <w:sz w:val="20"/>
          <w:szCs w:val="20"/>
          <w:lang w:val="es-ES_tradnl"/>
        </w:rPr>
        <w:footnoteReference w:id="5"/>
      </w:r>
      <w:r w:rsidR="007B5D29">
        <w:rPr>
          <w:sz w:val="20"/>
          <w:szCs w:val="20"/>
          <w:lang w:val="es-ES_tradnl"/>
        </w:rPr>
        <w:t>.</w:t>
      </w:r>
    </w:p>
    <w:p w14:paraId="48E7769C" w14:textId="77777777" w:rsidR="00BC6C79" w:rsidRPr="00BC6C79" w:rsidRDefault="00BC6C79" w:rsidP="00BC6C79">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p>
    <w:p w14:paraId="4E0254D3" w14:textId="0E442304" w:rsidR="0069072E" w:rsidRPr="00190ACE" w:rsidRDefault="007B5D29" w:rsidP="00527D1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Pr>
          <w:sz w:val="20"/>
          <w:szCs w:val="20"/>
          <w:lang w:val="es-ES_tradnl"/>
        </w:rPr>
        <w:t>Los peticionarios</w:t>
      </w:r>
      <w:r w:rsidR="00527D16">
        <w:rPr>
          <w:sz w:val="20"/>
          <w:szCs w:val="20"/>
          <w:lang w:val="es-ES_tradnl"/>
        </w:rPr>
        <w:t xml:space="preserve"> alega</w:t>
      </w:r>
      <w:r>
        <w:rPr>
          <w:sz w:val="20"/>
          <w:szCs w:val="20"/>
          <w:lang w:val="es-ES_tradnl"/>
        </w:rPr>
        <w:t>n</w:t>
      </w:r>
      <w:r w:rsidR="00527D16">
        <w:rPr>
          <w:sz w:val="20"/>
          <w:szCs w:val="20"/>
          <w:lang w:val="es-ES_tradnl"/>
        </w:rPr>
        <w:t xml:space="preserve"> que la pena de prisión perpetua impuesta a la presunta víctima es incompatible con la Convención Americana p</w:t>
      </w:r>
      <w:r w:rsidR="00190ACE">
        <w:rPr>
          <w:sz w:val="20"/>
          <w:szCs w:val="20"/>
          <w:lang w:val="es-ES_tradnl"/>
        </w:rPr>
        <w:t>or</w:t>
      </w:r>
      <w:r w:rsidR="00527D16">
        <w:rPr>
          <w:sz w:val="20"/>
          <w:szCs w:val="20"/>
          <w:lang w:val="es-ES_tradnl"/>
        </w:rPr>
        <w:t xml:space="preserve"> haber sido fijada sin previa valoración de sus circunstancias particulares o las </w:t>
      </w:r>
      <w:r w:rsidR="00190ACE">
        <w:rPr>
          <w:sz w:val="20"/>
          <w:szCs w:val="20"/>
          <w:lang w:val="es-ES_tradnl"/>
        </w:rPr>
        <w:t>del hecho delictivo,</w:t>
      </w:r>
      <w:r w:rsidR="00527D16">
        <w:rPr>
          <w:sz w:val="20"/>
          <w:szCs w:val="20"/>
          <w:lang w:val="es-ES_tradnl"/>
        </w:rPr>
        <w:t xml:space="preserve"> y en base a normativa que la hacía la única posible para el tipo delictivo pertinente</w:t>
      </w:r>
      <w:r>
        <w:rPr>
          <w:sz w:val="20"/>
          <w:szCs w:val="20"/>
          <w:lang w:val="es-ES_tradnl"/>
        </w:rPr>
        <w:t>,</w:t>
      </w:r>
      <w:r w:rsidR="00527D16">
        <w:rPr>
          <w:sz w:val="20"/>
          <w:szCs w:val="20"/>
          <w:lang w:val="es-ES_tradnl"/>
        </w:rPr>
        <w:t xml:space="preserve"> </w:t>
      </w:r>
      <w:r w:rsidR="00190ACE">
        <w:rPr>
          <w:sz w:val="20"/>
          <w:szCs w:val="20"/>
          <w:lang w:val="es-ES_tradnl"/>
        </w:rPr>
        <w:t xml:space="preserve">y que no prevé ningún tipo de mecanismo para la liberación o revisión de la pena (salvo las figuras extraordinarias de indulto y conmutación por parte del Poder Ejecutivo). Adicionalmente, la petición aduce que la presunta víctima no tuvo acceso a una adecuada revisión de la sentencia condenatoria, entra otras razones, porque el tribunal que emitió la decisión final respecto a su recurso de casación carecía de imparcialidad objetiva. </w:t>
      </w:r>
    </w:p>
    <w:p w14:paraId="69DCE4DF" w14:textId="77777777" w:rsidR="00190ACE" w:rsidRPr="00190ACE" w:rsidRDefault="00190ACE" w:rsidP="00190ACE">
      <w:pPr>
        <w:pStyle w:val="ListParagraph"/>
        <w:rPr>
          <w:rFonts w:asciiTheme="majorHAnsi" w:hAnsiTheme="majorHAnsi"/>
          <w:sz w:val="20"/>
          <w:szCs w:val="20"/>
          <w:lang w:val="es-ES"/>
        </w:rPr>
      </w:pPr>
    </w:p>
    <w:p w14:paraId="4660AC7C" w14:textId="6D6FECFA" w:rsidR="00F23631" w:rsidRPr="00F23631" w:rsidRDefault="00FC3A1D" w:rsidP="00F2363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FC3A1D">
        <w:rPr>
          <w:rFonts w:asciiTheme="majorHAnsi" w:hAnsiTheme="majorHAnsi"/>
          <w:sz w:val="20"/>
          <w:szCs w:val="20"/>
          <w:lang w:val="es-ES"/>
        </w:rPr>
        <w:t>La Comisión valora que el artículo 5.6 de la Convención Americana establece que “</w:t>
      </w:r>
      <w:r w:rsidRPr="007B5D29">
        <w:rPr>
          <w:rFonts w:asciiTheme="majorHAnsi" w:hAnsiTheme="majorHAnsi" w:cs="Tahoma"/>
          <w:i/>
          <w:iCs/>
          <w:sz w:val="20"/>
          <w:szCs w:val="20"/>
          <w:lang w:val="es-PA"/>
        </w:rPr>
        <w:t>[l]as penas privativas de la libertad tendrán como finalidad esencial la reforma y la readaptación social de los condenado</w:t>
      </w:r>
      <w:r w:rsidR="005603FE" w:rsidRPr="007B5D29">
        <w:rPr>
          <w:rFonts w:asciiTheme="majorHAnsi" w:hAnsiTheme="majorHAnsi" w:cs="Tahoma"/>
          <w:i/>
          <w:iCs/>
          <w:sz w:val="20"/>
          <w:szCs w:val="20"/>
          <w:lang w:val="es-PA"/>
        </w:rPr>
        <w:t>s</w:t>
      </w:r>
      <w:r w:rsidRPr="00FC3A1D">
        <w:rPr>
          <w:rFonts w:asciiTheme="majorHAnsi" w:hAnsiTheme="majorHAnsi" w:cs="Tahoma"/>
          <w:sz w:val="20"/>
          <w:szCs w:val="20"/>
          <w:lang w:val="es-PA"/>
        </w:rPr>
        <w:t>”</w:t>
      </w:r>
      <w:r w:rsidR="001C22EE">
        <w:rPr>
          <w:rFonts w:asciiTheme="majorHAnsi" w:hAnsiTheme="majorHAnsi" w:cs="Tahoma"/>
          <w:sz w:val="20"/>
          <w:szCs w:val="20"/>
          <w:lang w:val="es-PA"/>
        </w:rPr>
        <w:t>,</w:t>
      </w:r>
      <w:r w:rsidRPr="00FC3A1D">
        <w:rPr>
          <w:rFonts w:asciiTheme="majorHAnsi" w:hAnsiTheme="majorHAnsi" w:cs="Tahoma"/>
          <w:sz w:val="20"/>
          <w:szCs w:val="20"/>
          <w:lang w:val="es-PA"/>
        </w:rPr>
        <w:t xml:space="preserve"> </w:t>
      </w:r>
      <w:r w:rsidR="00735295">
        <w:rPr>
          <w:rFonts w:asciiTheme="majorHAnsi" w:hAnsiTheme="majorHAnsi" w:cs="Tahoma"/>
          <w:sz w:val="20"/>
          <w:szCs w:val="20"/>
          <w:lang w:val="es-PA"/>
        </w:rPr>
        <w:t xml:space="preserve">así como </w:t>
      </w:r>
      <w:r w:rsidR="005603FE">
        <w:rPr>
          <w:rFonts w:asciiTheme="majorHAnsi" w:hAnsiTheme="majorHAnsi" w:cs="Tahoma"/>
          <w:sz w:val="20"/>
          <w:szCs w:val="20"/>
          <w:lang w:val="es-PA"/>
        </w:rPr>
        <w:t xml:space="preserve">que la </w:t>
      </w:r>
      <w:r w:rsidR="00735295">
        <w:rPr>
          <w:rFonts w:asciiTheme="majorHAnsi" w:hAnsiTheme="majorHAnsi" w:cs="Tahoma"/>
          <w:sz w:val="20"/>
          <w:szCs w:val="20"/>
          <w:lang w:val="es-PA"/>
        </w:rPr>
        <w:t>Corte Europea de Derechos Humanos</w:t>
      </w:r>
      <w:r w:rsidR="005603FE">
        <w:rPr>
          <w:rFonts w:asciiTheme="majorHAnsi" w:hAnsiTheme="majorHAnsi" w:cs="Tahoma"/>
          <w:sz w:val="20"/>
          <w:szCs w:val="20"/>
          <w:lang w:val="es-PA"/>
        </w:rPr>
        <w:t xml:space="preserve"> haya </w:t>
      </w:r>
      <w:r w:rsidR="00735295">
        <w:rPr>
          <w:rFonts w:asciiTheme="majorHAnsi" w:hAnsiTheme="majorHAnsi" w:cs="Tahoma"/>
          <w:sz w:val="20"/>
          <w:szCs w:val="20"/>
          <w:lang w:val="es-PA"/>
        </w:rPr>
        <w:t>consider</w:t>
      </w:r>
      <w:r w:rsidR="005603FE">
        <w:rPr>
          <w:rFonts w:asciiTheme="majorHAnsi" w:hAnsiTheme="majorHAnsi" w:cs="Tahoma"/>
          <w:sz w:val="20"/>
          <w:szCs w:val="20"/>
          <w:lang w:val="es-PA"/>
        </w:rPr>
        <w:t>ado</w:t>
      </w:r>
      <w:r w:rsidR="00735295">
        <w:rPr>
          <w:rFonts w:asciiTheme="majorHAnsi" w:hAnsiTheme="majorHAnsi" w:cs="Tahoma"/>
          <w:sz w:val="20"/>
          <w:szCs w:val="20"/>
          <w:lang w:val="es-PA"/>
        </w:rPr>
        <w:t xml:space="preserve"> que la</w:t>
      </w:r>
      <w:r w:rsidR="005603FE">
        <w:rPr>
          <w:rFonts w:asciiTheme="majorHAnsi" w:hAnsiTheme="majorHAnsi" w:cs="Tahoma"/>
          <w:sz w:val="20"/>
          <w:szCs w:val="20"/>
          <w:lang w:val="es-PA"/>
        </w:rPr>
        <w:t>s</w:t>
      </w:r>
      <w:r w:rsidR="00735295">
        <w:rPr>
          <w:rFonts w:asciiTheme="majorHAnsi" w:hAnsiTheme="majorHAnsi" w:cs="Tahoma"/>
          <w:sz w:val="20"/>
          <w:szCs w:val="20"/>
          <w:lang w:val="es-PA"/>
        </w:rPr>
        <w:t xml:space="preserve"> penas de prisión perpetuas son incompatibles con el Convenio Europeo de Derechos Humanos cuando el </w:t>
      </w:r>
      <w:r w:rsidR="005603FE">
        <w:rPr>
          <w:rFonts w:asciiTheme="majorHAnsi" w:hAnsiTheme="majorHAnsi" w:cs="Tahoma"/>
          <w:sz w:val="20"/>
          <w:szCs w:val="20"/>
          <w:lang w:val="es-PA"/>
        </w:rPr>
        <w:t xml:space="preserve">ordenamiento doméstico </w:t>
      </w:r>
      <w:r w:rsidR="00735295">
        <w:rPr>
          <w:rFonts w:asciiTheme="majorHAnsi" w:hAnsiTheme="majorHAnsi" w:cs="Tahoma"/>
          <w:sz w:val="20"/>
          <w:szCs w:val="20"/>
          <w:lang w:val="es-PA"/>
        </w:rPr>
        <w:t xml:space="preserve">no prevé ningún mecanismo </w:t>
      </w:r>
      <w:r w:rsidR="00F23631">
        <w:rPr>
          <w:rFonts w:asciiTheme="majorHAnsi" w:hAnsiTheme="majorHAnsi" w:cs="Tahoma"/>
          <w:sz w:val="20"/>
          <w:szCs w:val="20"/>
          <w:lang w:val="es-PA"/>
        </w:rPr>
        <w:t>para su revisión</w:t>
      </w:r>
      <w:r>
        <w:rPr>
          <w:rStyle w:val="FootnoteReference"/>
          <w:rFonts w:asciiTheme="majorHAnsi" w:hAnsiTheme="majorHAnsi" w:cs="Arial"/>
          <w:sz w:val="20"/>
          <w:szCs w:val="20"/>
          <w:shd w:val="clear" w:color="auto" w:fill="FFFFFF"/>
          <w:lang w:val="es-PA"/>
        </w:rPr>
        <w:footnoteReference w:id="6"/>
      </w:r>
      <w:r w:rsidRPr="00FC3A1D">
        <w:rPr>
          <w:rStyle w:val="sb8d990e2"/>
          <w:rFonts w:asciiTheme="majorHAnsi" w:hAnsiTheme="majorHAnsi" w:cs="Arial"/>
          <w:sz w:val="20"/>
          <w:szCs w:val="20"/>
          <w:shd w:val="clear" w:color="auto" w:fill="FFFFFF"/>
          <w:lang w:val="es-PA"/>
        </w:rPr>
        <w:t>.</w:t>
      </w:r>
      <w:r w:rsidR="005603FE">
        <w:rPr>
          <w:rStyle w:val="sb8d990e2"/>
          <w:rFonts w:asciiTheme="majorHAnsi" w:hAnsiTheme="majorHAnsi" w:cs="Arial"/>
          <w:sz w:val="20"/>
          <w:szCs w:val="20"/>
          <w:shd w:val="clear" w:color="auto" w:fill="FFFFFF"/>
          <w:lang w:val="es-PA"/>
        </w:rPr>
        <w:t xml:space="preserve"> </w:t>
      </w:r>
      <w:r w:rsidR="00202DF0">
        <w:rPr>
          <w:rStyle w:val="sb8d990e2"/>
          <w:rFonts w:asciiTheme="majorHAnsi" w:hAnsiTheme="majorHAnsi" w:cs="Arial"/>
          <w:sz w:val="20"/>
          <w:szCs w:val="20"/>
          <w:shd w:val="clear" w:color="auto" w:fill="FFFFFF"/>
          <w:lang w:val="es-PA"/>
        </w:rPr>
        <w:t xml:space="preserve">Además, la CIDH se ha referido a este respecto en su reciente informe de fondo </w:t>
      </w:r>
      <w:r w:rsidR="00384D68">
        <w:rPr>
          <w:rStyle w:val="sb8d990e2"/>
          <w:rFonts w:asciiTheme="majorHAnsi" w:hAnsiTheme="majorHAnsi" w:cs="Arial"/>
          <w:sz w:val="20"/>
          <w:szCs w:val="20"/>
          <w:shd w:val="clear" w:color="auto" w:fill="FFFFFF"/>
          <w:lang w:val="es-PA"/>
        </w:rPr>
        <w:t>del Caso 13.041</w:t>
      </w:r>
      <w:r w:rsidR="009100F5">
        <w:rPr>
          <w:rStyle w:val="sb8d990e2"/>
          <w:rFonts w:asciiTheme="majorHAnsi" w:hAnsiTheme="majorHAnsi" w:cs="Arial"/>
          <w:sz w:val="20"/>
          <w:szCs w:val="20"/>
          <w:shd w:val="clear" w:color="auto" w:fill="FFFFFF"/>
          <w:lang w:val="es-PA"/>
        </w:rPr>
        <w:t>,</w:t>
      </w:r>
      <w:r w:rsidR="00384D68">
        <w:rPr>
          <w:rStyle w:val="sb8d990e2"/>
          <w:rFonts w:asciiTheme="majorHAnsi" w:hAnsiTheme="majorHAnsi" w:cs="Arial"/>
          <w:sz w:val="20"/>
          <w:szCs w:val="20"/>
          <w:shd w:val="clear" w:color="auto" w:fill="FFFFFF"/>
          <w:lang w:val="es-PA"/>
        </w:rPr>
        <w:t xml:space="preserve"> Guillermo Antonio Álvarez</w:t>
      </w:r>
      <w:r w:rsidR="00AA5087">
        <w:rPr>
          <w:rStyle w:val="FootnoteReference"/>
          <w:rFonts w:asciiTheme="majorHAnsi" w:hAnsiTheme="majorHAnsi" w:cs="Arial"/>
          <w:sz w:val="20"/>
          <w:szCs w:val="20"/>
          <w:shd w:val="clear" w:color="auto" w:fill="FFFFFF"/>
          <w:lang w:val="es-PA"/>
        </w:rPr>
        <w:footnoteReference w:id="7"/>
      </w:r>
      <w:r w:rsidR="00384D68">
        <w:rPr>
          <w:rStyle w:val="sb8d990e2"/>
          <w:rFonts w:asciiTheme="majorHAnsi" w:hAnsiTheme="majorHAnsi" w:cs="Arial"/>
          <w:sz w:val="20"/>
          <w:szCs w:val="20"/>
          <w:shd w:val="clear" w:color="auto" w:fill="FFFFFF"/>
          <w:lang w:val="es-PA"/>
        </w:rPr>
        <w:t xml:space="preserve">. </w:t>
      </w:r>
      <w:r w:rsidR="005603FE">
        <w:rPr>
          <w:rStyle w:val="sb8d990e2"/>
          <w:rFonts w:asciiTheme="majorHAnsi" w:hAnsiTheme="majorHAnsi" w:cs="Arial"/>
          <w:sz w:val="20"/>
          <w:szCs w:val="20"/>
          <w:shd w:val="clear" w:color="auto" w:fill="FFFFFF"/>
          <w:lang w:val="es-PA"/>
        </w:rPr>
        <w:t xml:space="preserve">Por estas razones, la Comisión estima que </w:t>
      </w:r>
      <w:r w:rsidR="005603FE">
        <w:rPr>
          <w:rFonts w:asciiTheme="majorHAnsi" w:hAnsiTheme="majorHAnsi"/>
          <w:sz w:val="20"/>
          <w:szCs w:val="20"/>
          <w:lang w:val="es-PA"/>
        </w:rPr>
        <w:t xml:space="preserve">no puede tachar, </w:t>
      </w:r>
      <w:r w:rsidR="005603FE" w:rsidRPr="00FA61A4">
        <w:rPr>
          <w:rFonts w:asciiTheme="majorHAnsi" w:hAnsiTheme="majorHAnsi"/>
          <w:i/>
          <w:iCs/>
          <w:sz w:val="20"/>
          <w:szCs w:val="20"/>
          <w:lang w:val="es-PA"/>
        </w:rPr>
        <w:t>prima facie</w:t>
      </w:r>
      <w:r w:rsidR="005603FE">
        <w:rPr>
          <w:rFonts w:asciiTheme="majorHAnsi" w:hAnsiTheme="majorHAnsi"/>
          <w:sz w:val="20"/>
          <w:szCs w:val="20"/>
          <w:lang w:val="es-PA"/>
        </w:rPr>
        <w:t xml:space="preserve">, de manifiestamente infundados los argumentos </w:t>
      </w:r>
      <w:r w:rsidR="00F23631">
        <w:rPr>
          <w:rFonts w:asciiTheme="majorHAnsi" w:hAnsiTheme="majorHAnsi"/>
          <w:sz w:val="20"/>
          <w:szCs w:val="20"/>
          <w:lang w:val="es-PA"/>
        </w:rPr>
        <w:t>de la parte</w:t>
      </w:r>
      <w:r w:rsidR="005603FE">
        <w:rPr>
          <w:rFonts w:asciiTheme="majorHAnsi" w:hAnsiTheme="majorHAnsi"/>
          <w:sz w:val="20"/>
          <w:szCs w:val="20"/>
          <w:lang w:val="es-PA"/>
        </w:rPr>
        <w:t xml:space="preserve"> peticionaria.</w:t>
      </w:r>
      <w:r w:rsidR="00F23631">
        <w:rPr>
          <w:rFonts w:asciiTheme="majorHAnsi" w:hAnsiTheme="majorHAnsi"/>
          <w:sz w:val="20"/>
          <w:szCs w:val="20"/>
          <w:lang w:val="es-PA"/>
        </w:rPr>
        <w:t xml:space="preserve"> En este sentido, la Comisión considera que los referidos argumentos revisten de una complejidad especial que requiere de un análisis del fondo</w:t>
      </w:r>
      <w:r w:rsidR="001C22EE">
        <w:rPr>
          <w:rFonts w:asciiTheme="majorHAnsi" w:hAnsiTheme="majorHAnsi"/>
          <w:sz w:val="20"/>
          <w:szCs w:val="20"/>
          <w:lang w:val="es-PA"/>
        </w:rPr>
        <w:t xml:space="preserve">. </w:t>
      </w:r>
      <w:r w:rsidR="00F23631">
        <w:rPr>
          <w:rFonts w:asciiTheme="majorHAnsi" w:hAnsiTheme="majorHAnsi"/>
          <w:sz w:val="20"/>
          <w:szCs w:val="20"/>
          <w:lang w:val="es-PA"/>
        </w:rPr>
        <w:t xml:space="preserve">Por otra </w:t>
      </w:r>
      <w:r w:rsidR="00EF59BF">
        <w:rPr>
          <w:rFonts w:asciiTheme="majorHAnsi" w:hAnsiTheme="majorHAnsi"/>
          <w:sz w:val="20"/>
          <w:szCs w:val="20"/>
          <w:lang w:val="es-PA"/>
        </w:rPr>
        <w:t>parte,</w:t>
      </w:r>
      <w:r w:rsidR="00F23631">
        <w:rPr>
          <w:rFonts w:asciiTheme="majorHAnsi" w:hAnsiTheme="majorHAnsi"/>
          <w:sz w:val="20"/>
          <w:szCs w:val="20"/>
          <w:lang w:val="es-PA"/>
        </w:rPr>
        <w:t xml:space="preserve"> y en cuanto a la alegada falta de imparcialidad </w:t>
      </w:r>
      <w:r w:rsidR="0085383B">
        <w:rPr>
          <w:rFonts w:asciiTheme="majorHAnsi" w:hAnsiTheme="majorHAnsi"/>
          <w:sz w:val="20"/>
          <w:szCs w:val="20"/>
          <w:lang w:val="es-PA"/>
        </w:rPr>
        <w:t xml:space="preserve">del tribunal que emitió la decisión final respecto al recurso de casación, la Comisión estima que estos argumentos tampoco pueden ser tachados, </w:t>
      </w:r>
      <w:r w:rsidR="0085383B" w:rsidRPr="0085383B">
        <w:rPr>
          <w:rFonts w:asciiTheme="majorHAnsi" w:hAnsiTheme="majorHAnsi"/>
          <w:i/>
          <w:iCs/>
          <w:sz w:val="20"/>
          <w:szCs w:val="20"/>
          <w:lang w:val="es-PA"/>
        </w:rPr>
        <w:t>prima facie</w:t>
      </w:r>
      <w:r w:rsidR="0085383B">
        <w:rPr>
          <w:rFonts w:asciiTheme="majorHAnsi" w:hAnsiTheme="majorHAnsi"/>
          <w:sz w:val="20"/>
          <w:szCs w:val="20"/>
          <w:lang w:val="es-PA"/>
        </w:rPr>
        <w:t>, de manifiestamente infundados, dado que al resolver el recurso el propio tribunal</w:t>
      </w:r>
      <w:r w:rsidR="00E7201C">
        <w:rPr>
          <w:rFonts w:asciiTheme="majorHAnsi" w:hAnsiTheme="majorHAnsi"/>
          <w:sz w:val="20"/>
          <w:szCs w:val="20"/>
          <w:lang w:val="es-PA"/>
        </w:rPr>
        <w:t xml:space="preserve">, de alguna </w:t>
      </w:r>
      <w:r w:rsidR="00EF59BF">
        <w:rPr>
          <w:rFonts w:asciiTheme="majorHAnsi" w:hAnsiTheme="majorHAnsi"/>
          <w:sz w:val="20"/>
          <w:szCs w:val="20"/>
          <w:lang w:val="es-PA"/>
        </w:rPr>
        <w:t>manera</w:t>
      </w:r>
      <w:r w:rsidR="00E7201C">
        <w:rPr>
          <w:rFonts w:asciiTheme="majorHAnsi" w:hAnsiTheme="majorHAnsi"/>
          <w:sz w:val="20"/>
          <w:szCs w:val="20"/>
          <w:lang w:val="es-PA"/>
        </w:rPr>
        <w:t>,</w:t>
      </w:r>
      <w:r w:rsidR="0085383B">
        <w:rPr>
          <w:rFonts w:asciiTheme="majorHAnsi" w:hAnsiTheme="majorHAnsi"/>
          <w:sz w:val="20"/>
          <w:szCs w:val="20"/>
          <w:lang w:val="es-PA"/>
        </w:rPr>
        <w:t xml:space="preserve"> manifestó sentir que su imparcialidad se encontraba comprometida. </w:t>
      </w:r>
    </w:p>
    <w:p w14:paraId="415E48C4" w14:textId="77777777" w:rsidR="0069072E" w:rsidRPr="0069072E" w:rsidRDefault="0069072E" w:rsidP="00F23631">
      <w:pPr>
        <w:pStyle w:val="ListParagraph"/>
        <w:rPr>
          <w:rFonts w:asciiTheme="majorHAnsi" w:hAnsiTheme="majorHAnsi"/>
          <w:sz w:val="20"/>
          <w:szCs w:val="20"/>
          <w:lang w:val="es-ES"/>
        </w:rPr>
      </w:pPr>
    </w:p>
    <w:p w14:paraId="5452AD89" w14:textId="79E32409" w:rsidR="009564AE" w:rsidRPr="00EF59BF" w:rsidRDefault="009F7410" w:rsidP="00EF59B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CB6F93">
        <w:rPr>
          <w:rFonts w:asciiTheme="majorHAnsi" w:hAnsiTheme="majorHAnsi"/>
          <w:sz w:val="20"/>
          <w:szCs w:val="20"/>
          <w:lang w:val="es-ES"/>
        </w:rPr>
        <w:t>En atención a estas consideraciones y tras examinar los elementos de hecho y de derecho expuestos por las partes</w:t>
      </w:r>
      <w:r w:rsidR="00E7201C">
        <w:rPr>
          <w:rFonts w:asciiTheme="majorHAnsi" w:hAnsiTheme="majorHAnsi"/>
          <w:sz w:val="20"/>
          <w:szCs w:val="20"/>
          <w:lang w:val="es-ES"/>
        </w:rPr>
        <w:t>,</w:t>
      </w:r>
      <w:r w:rsidRPr="00CB6F93">
        <w:rPr>
          <w:rFonts w:asciiTheme="majorHAnsi" w:hAnsiTheme="majorHAnsi"/>
          <w:sz w:val="20"/>
          <w:szCs w:val="20"/>
          <w:lang w:val="es-ES"/>
        </w:rPr>
        <w:t xml:space="preserve"> la Comisión estima que las alegaciones de la parte peticionaria no resultan manifiestamente infundadas y requieren un estudio de fondo</w:t>
      </w:r>
      <w:r w:rsidR="00E7201C">
        <w:rPr>
          <w:rFonts w:asciiTheme="majorHAnsi" w:hAnsiTheme="majorHAnsi"/>
          <w:sz w:val="20"/>
          <w:szCs w:val="20"/>
          <w:lang w:val="es-ES"/>
        </w:rPr>
        <w:t>,</w:t>
      </w:r>
      <w:r w:rsidRPr="00CB6F93">
        <w:rPr>
          <w:rFonts w:asciiTheme="majorHAnsi" w:hAnsiTheme="majorHAnsi"/>
          <w:sz w:val="20"/>
          <w:szCs w:val="20"/>
          <w:lang w:val="es-ES"/>
        </w:rPr>
        <w:t xml:space="preserve"> pues los hechos alegados, de corroborarse como ciertos podrían caracterizar violaciones a los artículos</w:t>
      </w:r>
      <w:r>
        <w:rPr>
          <w:rFonts w:asciiTheme="majorHAnsi" w:hAnsiTheme="majorHAnsi"/>
          <w:bCs/>
          <w:sz w:val="20"/>
          <w:szCs w:val="20"/>
          <w:lang w:val="es-ES"/>
        </w:rPr>
        <w:t xml:space="preserve"> </w:t>
      </w:r>
      <w:r w:rsidR="0085383B">
        <w:rPr>
          <w:rFonts w:asciiTheme="majorHAnsi" w:hAnsiTheme="majorHAnsi"/>
          <w:bCs/>
          <w:sz w:val="20"/>
          <w:szCs w:val="20"/>
          <w:lang w:val="es-ES"/>
        </w:rPr>
        <w:t>5 (integridad personal),</w:t>
      </w:r>
      <w:r w:rsidR="0085383B" w:rsidRPr="00E40792">
        <w:rPr>
          <w:rFonts w:asciiTheme="majorHAnsi" w:hAnsiTheme="majorHAnsi"/>
          <w:bCs/>
          <w:sz w:val="20"/>
          <w:szCs w:val="20"/>
          <w:lang w:val="es-ES"/>
        </w:rPr>
        <w:t xml:space="preserve"> </w:t>
      </w:r>
      <w:r w:rsidR="0085383B">
        <w:rPr>
          <w:rFonts w:asciiTheme="majorHAnsi" w:hAnsiTheme="majorHAnsi"/>
          <w:bCs/>
          <w:sz w:val="20"/>
          <w:szCs w:val="20"/>
          <w:lang w:val="es-ES"/>
        </w:rPr>
        <w:t xml:space="preserve">7 (libertad personal), 8 (garantías judiciales), 9 </w:t>
      </w:r>
      <w:r w:rsidR="0085383B">
        <w:rPr>
          <w:rFonts w:asciiTheme="majorHAnsi" w:hAnsiTheme="majorHAnsi"/>
          <w:bCs/>
          <w:sz w:val="20"/>
          <w:szCs w:val="20"/>
          <w:lang w:val="es-PA"/>
        </w:rPr>
        <w:t xml:space="preserve">(principio de legalidad y de retroactividad) </w:t>
      </w:r>
      <w:r w:rsidR="0085383B">
        <w:rPr>
          <w:rFonts w:asciiTheme="majorHAnsi" w:hAnsiTheme="majorHAnsi"/>
          <w:bCs/>
          <w:sz w:val="20"/>
          <w:szCs w:val="20"/>
          <w:lang w:val="es-ES"/>
        </w:rPr>
        <w:t>y 25 (protección judicial) de la Convención Americana</w:t>
      </w:r>
      <w:r w:rsidR="00E7201C">
        <w:rPr>
          <w:rFonts w:asciiTheme="majorHAnsi" w:hAnsiTheme="majorHAnsi"/>
          <w:bCs/>
          <w:sz w:val="20"/>
          <w:szCs w:val="20"/>
          <w:lang w:val="es-ES"/>
        </w:rPr>
        <w:t>,</w:t>
      </w:r>
      <w:r w:rsidR="0085383B">
        <w:rPr>
          <w:rFonts w:asciiTheme="majorHAnsi" w:hAnsiTheme="majorHAnsi"/>
          <w:bCs/>
          <w:sz w:val="20"/>
          <w:szCs w:val="20"/>
          <w:lang w:val="es-ES"/>
        </w:rPr>
        <w:t xml:space="preserve"> en relación con sus artículos 1.1 (obligación de respetar los derechos) y 2 (deber de adoptar disposiciones de derecho interno)</w:t>
      </w:r>
      <w:r w:rsidR="001744FF">
        <w:rPr>
          <w:rFonts w:asciiTheme="majorHAnsi" w:hAnsiTheme="majorHAnsi"/>
          <w:bCs/>
          <w:sz w:val="20"/>
          <w:szCs w:val="20"/>
          <w:lang w:val="es-ES"/>
        </w:rPr>
        <w:t xml:space="preserve">, </w:t>
      </w:r>
      <w:r w:rsidR="00BF7641">
        <w:rPr>
          <w:rFonts w:asciiTheme="majorHAnsi" w:hAnsiTheme="majorHAnsi"/>
          <w:bCs/>
          <w:sz w:val="20"/>
          <w:szCs w:val="20"/>
          <w:lang w:val="es-ES"/>
        </w:rPr>
        <w:t>en perjuicio de Gustavo Fabían Preneste</w:t>
      </w:r>
      <w:r w:rsidR="00B1679B">
        <w:rPr>
          <w:rFonts w:asciiTheme="majorHAnsi" w:hAnsiTheme="majorHAnsi"/>
          <w:bCs/>
          <w:sz w:val="20"/>
          <w:szCs w:val="20"/>
          <w:lang w:val="es-ES"/>
        </w:rPr>
        <w:t>.</w:t>
      </w:r>
    </w:p>
    <w:p w14:paraId="19EA58CB" w14:textId="77777777" w:rsidR="00EF59BF" w:rsidRPr="007B5D29" w:rsidRDefault="00EF59BF" w:rsidP="00EF59B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29BB41F5" w14:textId="68168BEC" w:rsidR="003239B8" w:rsidRDefault="00EC72AB" w:rsidP="00EF59BF">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
        </w:rPr>
      </w:pPr>
      <w:r w:rsidRPr="00006B74">
        <w:rPr>
          <w:rFonts w:asciiTheme="majorHAnsi" w:hAnsiTheme="majorHAnsi"/>
          <w:b/>
          <w:bCs/>
          <w:sz w:val="20"/>
          <w:szCs w:val="20"/>
          <w:lang w:val="es-ES"/>
        </w:rPr>
        <w:t>VI</w:t>
      </w:r>
      <w:r w:rsidR="00F04591" w:rsidRPr="00006B74">
        <w:rPr>
          <w:rFonts w:asciiTheme="majorHAnsi" w:hAnsiTheme="majorHAnsi"/>
          <w:b/>
          <w:bCs/>
          <w:sz w:val="20"/>
          <w:szCs w:val="20"/>
          <w:lang w:val="es-ES"/>
        </w:rPr>
        <w:t>II</w:t>
      </w:r>
      <w:r w:rsidR="003239B8" w:rsidRPr="00006B74">
        <w:rPr>
          <w:rFonts w:asciiTheme="majorHAnsi" w:hAnsiTheme="majorHAnsi"/>
          <w:b/>
          <w:bCs/>
          <w:sz w:val="20"/>
          <w:szCs w:val="20"/>
          <w:lang w:val="es-ES"/>
        </w:rPr>
        <w:t xml:space="preserve">. </w:t>
      </w:r>
      <w:r w:rsidR="003239B8" w:rsidRPr="00006B74">
        <w:rPr>
          <w:rFonts w:asciiTheme="majorHAnsi" w:hAnsiTheme="majorHAnsi"/>
          <w:b/>
          <w:bCs/>
          <w:sz w:val="20"/>
          <w:szCs w:val="20"/>
          <w:lang w:val="es-ES"/>
        </w:rPr>
        <w:tab/>
        <w:t>DECISIÓN</w:t>
      </w:r>
    </w:p>
    <w:p w14:paraId="4402D8E4" w14:textId="77777777" w:rsidR="00EF59BF" w:rsidRPr="00006B74" w:rsidRDefault="00EF59BF" w:rsidP="00EF59BF">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
        </w:rPr>
      </w:pPr>
    </w:p>
    <w:p w14:paraId="0FDE1D10" w14:textId="1C644846" w:rsidR="003239B8" w:rsidRPr="001E3CBA" w:rsidRDefault="003239B8" w:rsidP="00176B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006B74">
        <w:rPr>
          <w:rFonts w:asciiTheme="majorHAnsi" w:hAnsiTheme="majorHAnsi"/>
          <w:sz w:val="20"/>
          <w:szCs w:val="20"/>
          <w:lang w:val="es-ES"/>
        </w:rPr>
        <w:t xml:space="preserve">Declarar </w:t>
      </w:r>
      <w:r w:rsidR="00586230">
        <w:rPr>
          <w:rFonts w:asciiTheme="majorHAnsi" w:hAnsiTheme="majorHAnsi"/>
          <w:sz w:val="20"/>
          <w:szCs w:val="20"/>
          <w:lang w:val="es-ES"/>
        </w:rPr>
        <w:t xml:space="preserve">admisible la presente petición </w:t>
      </w:r>
      <w:r w:rsidR="00CB6F93">
        <w:rPr>
          <w:rFonts w:asciiTheme="majorHAnsi" w:hAnsiTheme="majorHAnsi"/>
          <w:sz w:val="20"/>
          <w:szCs w:val="20"/>
          <w:lang w:val="es-ES"/>
        </w:rPr>
        <w:t xml:space="preserve">en relación con los artículos </w:t>
      </w:r>
      <w:r w:rsidR="00DC0084">
        <w:rPr>
          <w:rFonts w:asciiTheme="majorHAnsi" w:hAnsiTheme="majorHAnsi"/>
          <w:sz w:val="20"/>
          <w:szCs w:val="20"/>
          <w:lang w:val="es-ES"/>
        </w:rPr>
        <w:t>5</w:t>
      </w:r>
      <w:r w:rsidR="00CB6F93">
        <w:rPr>
          <w:rFonts w:asciiTheme="majorHAnsi" w:hAnsiTheme="majorHAnsi"/>
          <w:sz w:val="20"/>
          <w:szCs w:val="20"/>
          <w:lang w:val="es-ES"/>
        </w:rPr>
        <w:t xml:space="preserve">, </w:t>
      </w:r>
      <w:r w:rsidR="00DC0084">
        <w:rPr>
          <w:rFonts w:asciiTheme="majorHAnsi" w:hAnsiTheme="majorHAnsi"/>
          <w:sz w:val="20"/>
          <w:szCs w:val="20"/>
          <w:lang w:val="es-ES"/>
        </w:rPr>
        <w:t>7</w:t>
      </w:r>
      <w:r w:rsidR="00CB6F93">
        <w:rPr>
          <w:rFonts w:asciiTheme="majorHAnsi" w:hAnsiTheme="majorHAnsi"/>
          <w:sz w:val="20"/>
          <w:szCs w:val="20"/>
          <w:lang w:val="es-ES"/>
        </w:rPr>
        <w:t xml:space="preserve">, </w:t>
      </w:r>
      <w:r w:rsidR="00DC0084">
        <w:rPr>
          <w:rFonts w:asciiTheme="majorHAnsi" w:hAnsiTheme="majorHAnsi"/>
          <w:sz w:val="20"/>
          <w:szCs w:val="20"/>
          <w:lang w:val="es-ES"/>
        </w:rPr>
        <w:t>8</w:t>
      </w:r>
      <w:r w:rsidR="009F7410">
        <w:rPr>
          <w:rFonts w:asciiTheme="majorHAnsi" w:hAnsiTheme="majorHAnsi"/>
          <w:sz w:val="20"/>
          <w:szCs w:val="20"/>
          <w:lang w:val="es-ES"/>
        </w:rPr>
        <w:t xml:space="preserve">, </w:t>
      </w:r>
      <w:r w:rsidR="00DC0084">
        <w:rPr>
          <w:rFonts w:asciiTheme="majorHAnsi" w:hAnsiTheme="majorHAnsi"/>
          <w:sz w:val="20"/>
          <w:szCs w:val="20"/>
          <w:lang w:val="es-ES"/>
        </w:rPr>
        <w:t>9</w:t>
      </w:r>
      <w:r w:rsidR="009F7410">
        <w:rPr>
          <w:rFonts w:asciiTheme="majorHAnsi" w:hAnsiTheme="majorHAnsi"/>
          <w:sz w:val="20"/>
          <w:szCs w:val="20"/>
          <w:lang w:val="es-ES"/>
        </w:rPr>
        <w:t xml:space="preserve"> y 25 de la Convención Americana</w:t>
      </w:r>
      <w:r w:rsidR="00E7201C">
        <w:rPr>
          <w:rFonts w:asciiTheme="majorHAnsi" w:hAnsiTheme="majorHAnsi"/>
          <w:sz w:val="20"/>
          <w:szCs w:val="20"/>
          <w:lang w:val="es-ES"/>
        </w:rPr>
        <w:t>,</w:t>
      </w:r>
      <w:r w:rsidR="009F7410">
        <w:rPr>
          <w:rFonts w:asciiTheme="majorHAnsi" w:hAnsiTheme="majorHAnsi"/>
          <w:sz w:val="20"/>
          <w:szCs w:val="20"/>
          <w:lang w:val="es-ES"/>
        </w:rPr>
        <w:t xml:space="preserve"> en relación con su</w:t>
      </w:r>
      <w:r w:rsidR="00DC0084">
        <w:rPr>
          <w:rFonts w:asciiTheme="majorHAnsi" w:hAnsiTheme="majorHAnsi"/>
          <w:sz w:val="20"/>
          <w:szCs w:val="20"/>
          <w:lang w:val="es-ES"/>
        </w:rPr>
        <w:t>s</w:t>
      </w:r>
      <w:r w:rsidR="009F7410">
        <w:rPr>
          <w:rFonts w:asciiTheme="majorHAnsi" w:hAnsiTheme="majorHAnsi"/>
          <w:sz w:val="20"/>
          <w:szCs w:val="20"/>
          <w:lang w:val="es-ES"/>
        </w:rPr>
        <w:t xml:space="preserve"> artículo</w:t>
      </w:r>
      <w:r w:rsidR="00DC0084">
        <w:rPr>
          <w:rFonts w:asciiTheme="majorHAnsi" w:hAnsiTheme="majorHAnsi"/>
          <w:sz w:val="20"/>
          <w:szCs w:val="20"/>
          <w:lang w:val="es-ES"/>
        </w:rPr>
        <w:t>s</w:t>
      </w:r>
      <w:r w:rsidR="009F7410">
        <w:rPr>
          <w:rFonts w:asciiTheme="majorHAnsi" w:hAnsiTheme="majorHAnsi"/>
          <w:sz w:val="20"/>
          <w:szCs w:val="20"/>
          <w:lang w:val="es-ES"/>
        </w:rPr>
        <w:t xml:space="preserve"> 1.1</w:t>
      </w:r>
      <w:r w:rsidR="00DC0084">
        <w:rPr>
          <w:rFonts w:asciiTheme="majorHAnsi" w:hAnsiTheme="majorHAnsi"/>
          <w:sz w:val="20"/>
          <w:szCs w:val="20"/>
          <w:lang w:val="es-ES"/>
        </w:rPr>
        <w:t xml:space="preserve"> y 2</w:t>
      </w:r>
      <w:r w:rsidR="00DB17A0">
        <w:rPr>
          <w:rFonts w:asciiTheme="majorHAnsi" w:hAnsiTheme="majorHAnsi"/>
          <w:sz w:val="20"/>
          <w:szCs w:val="20"/>
          <w:lang w:val="es-ES"/>
        </w:rPr>
        <w:t>; y</w:t>
      </w:r>
    </w:p>
    <w:p w14:paraId="6F4EA1A3" w14:textId="5FA69AB9" w:rsidR="00DB17A0" w:rsidRDefault="004A6A54" w:rsidP="00EF59B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FF0000"/>
          <w:sz w:val="20"/>
          <w:szCs w:val="20"/>
          <w:lang w:val="es-ES"/>
        </w:rPr>
      </w:pPr>
      <w:r w:rsidRPr="001E3CBA">
        <w:rPr>
          <w:rFonts w:asciiTheme="majorHAnsi" w:hAnsiTheme="majorHAnsi"/>
          <w:sz w:val="20"/>
          <w:szCs w:val="20"/>
          <w:lang w:val="es-ES"/>
        </w:rPr>
        <w:lastRenderedPageBreak/>
        <w:t>Notificar a las partes la presente decisión;</w:t>
      </w:r>
      <w:r w:rsidR="00CB6F93">
        <w:rPr>
          <w:rFonts w:asciiTheme="majorHAnsi" w:hAnsiTheme="majorHAnsi"/>
          <w:sz w:val="20"/>
          <w:szCs w:val="20"/>
          <w:lang w:val="es-ES"/>
        </w:rPr>
        <w:t xml:space="preserve"> proceder al análisis del fondo del asunto;</w:t>
      </w:r>
      <w:r w:rsidRPr="001E3CBA">
        <w:rPr>
          <w:rFonts w:asciiTheme="majorHAnsi" w:hAnsiTheme="majorHAnsi"/>
          <w:sz w:val="20"/>
          <w:szCs w:val="20"/>
          <w:lang w:val="es-ES"/>
        </w:rPr>
        <w:t xml:space="preserve"> </w:t>
      </w:r>
      <w:r w:rsidRPr="00006B74">
        <w:rPr>
          <w:rFonts w:asciiTheme="majorHAnsi" w:hAnsiTheme="majorHAnsi"/>
          <w:sz w:val="20"/>
          <w:szCs w:val="20"/>
          <w:lang w:val="es-ES"/>
        </w:rPr>
        <w:t>y publicar esta decisión e incluirla en su Informe Anual a la Asamblea General de la Organización de los Estados Americanos.</w:t>
      </w:r>
    </w:p>
    <w:p w14:paraId="158AA03F" w14:textId="77777777" w:rsidR="00EF59BF" w:rsidRPr="00EF59BF" w:rsidRDefault="00EF59BF" w:rsidP="00EF59BF">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color w:val="FF0000"/>
          <w:sz w:val="20"/>
          <w:szCs w:val="20"/>
          <w:lang w:val="es-ES"/>
        </w:rPr>
      </w:pPr>
    </w:p>
    <w:p w14:paraId="1D39BE73" w14:textId="49919863" w:rsidR="00003673" w:rsidRPr="00EF59BF" w:rsidRDefault="00003673" w:rsidP="00EF59BF">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Aprobado por la Comisión Interamericana de Derechos Humanos a los 22 días del mes de enero de 2023.</w:t>
      </w:r>
      <w:r w:rsidR="00EF59BF">
        <w:rPr>
          <w:rStyle w:val="normaltextrun"/>
          <w:rFonts w:ascii="Cambria" w:hAnsi="Cambria" w:cs="Segoe UI"/>
          <w:sz w:val="20"/>
          <w:szCs w:val="20"/>
          <w:lang w:val="es-CL"/>
        </w:rPr>
        <w:t xml:space="preserve"> </w:t>
      </w:r>
      <w:r>
        <w:rPr>
          <w:rStyle w:val="normaltextrun"/>
          <w:rFonts w:ascii="Cambria" w:hAnsi="Cambria" w:cs="Segoe UI"/>
          <w:sz w:val="20"/>
          <w:szCs w:val="20"/>
          <w:lang w:val="es-CL"/>
        </w:rPr>
        <w:t xml:space="preserve">(Firmado): Julissa Mantilla Falcón, Presidenta; Stuardo Ralón Orellana, Primer Vicepresidente; Esmeralda Arosemena de Troitiño y Joel Hernández, </w:t>
      </w:r>
      <w:r w:rsidR="00EF59BF">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p>
    <w:p w14:paraId="13E4DA6C" w14:textId="77777777" w:rsidR="00DB17A0" w:rsidRPr="00CB6F93" w:rsidRDefault="00DB17A0" w:rsidP="00DB17A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color w:val="FF0000"/>
          <w:sz w:val="20"/>
          <w:szCs w:val="20"/>
          <w:lang w:val="es-ES"/>
        </w:rPr>
      </w:pPr>
    </w:p>
    <w:p w14:paraId="0D597464" w14:textId="1B5082C0" w:rsidR="00CB6F93" w:rsidRPr="00CB6F93" w:rsidRDefault="00CB6F93" w:rsidP="008F10AE">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color w:val="FF0000"/>
          <w:sz w:val="20"/>
          <w:szCs w:val="20"/>
          <w:lang w:val="es-ES"/>
        </w:rPr>
      </w:pPr>
    </w:p>
    <w:sectPr w:rsidR="00CB6F93" w:rsidRPr="00CB6F93"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E93DB" w14:textId="77777777" w:rsidR="00873E7D" w:rsidRDefault="00873E7D">
      <w:r>
        <w:separator/>
      </w:r>
    </w:p>
  </w:endnote>
  <w:endnote w:type="continuationSeparator" w:id="0">
    <w:p w14:paraId="42B89B9A" w14:textId="77777777" w:rsidR="00873E7D" w:rsidRDefault="00873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944EBD">
          <w:rPr>
            <w:noProof/>
            <w:sz w:val="16"/>
            <w:szCs w:val="22"/>
          </w:rPr>
          <w:t>3</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D63F9" w14:textId="77777777" w:rsidR="00873E7D" w:rsidRPr="000F35ED" w:rsidRDefault="00873E7D">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4F875D4" w14:textId="77777777" w:rsidR="00873E7D" w:rsidRPr="000F35ED" w:rsidRDefault="00873E7D" w:rsidP="000F35ED">
      <w:pPr>
        <w:rPr>
          <w:rFonts w:asciiTheme="majorHAnsi" w:hAnsiTheme="majorHAnsi"/>
          <w:sz w:val="16"/>
          <w:szCs w:val="16"/>
        </w:rPr>
      </w:pPr>
      <w:r w:rsidRPr="000F35ED">
        <w:rPr>
          <w:rFonts w:asciiTheme="majorHAnsi" w:hAnsiTheme="majorHAnsi"/>
          <w:sz w:val="16"/>
          <w:szCs w:val="16"/>
        </w:rPr>
        <w:separator/>
      </w:r>
    </w:p>
    <w:p w14:paraId="2ACD4240" w14:textId="77777777" w:rsidR="00873E7D" w:rsidRPr="000F35ED" w:rsidRDefault="00873E7D"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250C1AA4" w14:textId="77777777" w:rsidR="00873E7D" w:rsidRPr="000F35ED" w:rsidRDefault="00873E7D"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0735149" w14:textId="3366CDF0" w:rsidR="00A01212" w:rsidRPr="00DC0084" w:rsidRDefault="00A01212" w:rsidP="00E7201C">
      <w:pPr>
        <w:pStyle w:val="FootnoteText"/>
        <w:ind w:firstLine="720"/>
        <w:jc w:val="both"/>
        <w:rPr>
          <w:rFonts w:asciiTheme="majorHAnsi" w:hAnsiTheme="majorHAnsi"/>
          <w:sz w:val="16"/>
          <w:szCs w:val="16"/>
          <w:lang w:val="es-PA"/>
        </w:rPr>
      </w:pPr>
      <w:r w:rsidRPr="00DC0084">
        <w:rPr>
          <w:rStyle w:val="FootnoteReference"/>
          <w:rFonts w:asciiTheme="majorHAnsi" w:hAnsiTheme="majorHAnsi"/>
          <w:sz w:val="16"/>
          <w:szCs w:val="16"/>
        </w:rPr>
        <w:footnoteRef/>
      </w:r>
      <w:r w:rsidRPr="00DC0084">
        <w:rPr>
          <w:rFonts w:asciiTheme="majorHAnsi" w:hAnsiTheme="majorHAnsi"/>
          <w:sz w:val="16"/>
          <w:szCs w:val="16"/>
          <w:lang w:val="es-PA"/>
        </w:rPr>
        <w:t xml:space="preserve"> En adelante “la Convención Americana”</w:t>
      </w:r>
      <w:r w:rsidR="00EB66D0">
        <w:rPr>
          <w:rFonts w:asciiTheme="majorHAnsi" w:hAnsiTheme="majorHAnsi"/>
          <w:sz w:val="16"/>
          <w:szCs w:val="16"/>
          <w:lang w:val="es-PA"/>
        </w:rPr>
        <w:t xml:space="preserve"> o </w:t>
      </w:r>
      <w:r w:rsidR="00EB66D0" w:rsidRPr="00881171">
        <w:rPr>
          <w:rFonts w:asciiTheme="majorHAnsi" w:hAnsiTheme="majorHAnsi"/>
          <w:sz w:val="16"/>
          <w:szCs w:val="16"/>
          <w:lang w:val="es-ES"/>
        </w:rPr>
        <w:t>“</w:t>
      </w:r>
      <w:r w:rsidR="00EB66D0">
        <w:rPr>
          <w:rFonts w:asciiTheme="majorHAnsi" w:hAnsiTheme="majorHAnsi"/>
          <w:sz w:val="16"/>
          <w:szCs w:val="16"/>
          <w:lang w:val="es-ES"/>
        </w:rPr>
        <w:t>la Convención</w:t>
      </w:r>
      <w:r w:rsidR="00EB66D0" w:rsidRPr="00881171">
        <w:rPr>
          <w:rFonts w:asciiTheme="majorHAnsi" w:hAnsiTheme="majorHAnsi"/>
          <w:sz w:val="16"/>
          <w:szCs w:val="16"/>
          <w:lang w:val="es-ES"/>
        </w:rPr>
        <w:t>”</w:t>
      </w:r>
      <w:r w:rsidRPr="00DC0084">
        <w:rPr>
          <w:rFonts w:asciiTheme="majorHAnsi" w:hAnsiTheme="majorHAnsi"/>
          <w:sz w:val="16"/>
          <w:szCs w:val="16"/>
          <w:lang w:val="es-PA"/>
        </w:rPr>
        <w:t xml:space="preserve">. </w:t>
      </w:r>
    </w:p>
  </w:footnote>
  <w:footnote w:id="3">
    <w:p w14:paraId="79F07139" w14:textId="77777777" w:rsidR="008E3BFE" w:rsidRPr="00DD061E" w:rsidRDefault="008E3BFE" w:rsidP="00E7201C">
      <w:pPr>
        <w:pStyle w:val="FootnoteText"/>
        <w:ind w:firstLine="720"/>
        <w:jc w:val="both"/>
        <w:rPr>
          <w:rFonts w:ascii="Cambria" w:hAnsi="Cambria"/>
          <w:sz w:val="16"/>
          <w:szCs w:val="16"/>
          <w:lang w:val="es-ES"/>
        </w:rPr>
      </w:pPr>
      <w:r w:rsidRPr="00DC0084">
        <w:rPr>
          <w:rStyle w:val="FootnoteReference"/>
          <w:rFonts w:asciiTheme="majorHAnsi" w:hAnsiTheme="majorHAnsi"/>
          <w:sz w:val="16"/>
          <w:szCs w:val="16"/>
        </w:rPr>
        <w:footnoteRef/>
      </w:r>
      <w:r w:rsidRPr="00DC0084">
        <w:rPr>
          <w:rFonts w:asciiTheme="majorHAnsi" w:hAnsiTheme="majorHAnsi"/>
          <w:sz w:val="16"/>
          <w:szCs w:val="16"/>
          <w:lang w:val="es-ES"/>
        </w:rPr>
        <w:t xml:space="preserve"> Las observaciones de cada parte fueron debidamente trasladadas a la parte contraria.</w:t>
      </w:r>
    </w:p>
  </w:footnote>
  <w:footnote w:id="4">
    <w:p w14:paraId="71D1CA49" w14:textId="77777777" w:rsidR="001946E7" w:rsidRPr="00DC0084" w:rsidRDefault="001946E7" w:rsidP="00E7201C">
      <w:pPr>
        <w:pStyle w:val="FootnoteText"/>
        <w:ind w:firstLine="720"/>
        <w:jc w:val="both"/>
        <w:rPr>
          <w:rFonts w:asciiTheme="majorHAnsi" w:hAnsiTheme="majorHAnsi"/>
          <w:sz w:val="16"/>
          <w:szCs w:val="16"/>
          <w:lang w:val="es-PA"/>
        </w:rPr>
      </w:pPr>
      <w:r w:rsidRPr="00DC0084">
        <w:rPr>
          <w:rStyle w:val="FootnoteReference"/>
          <w:rFonts w:asciiTheme="majorHAnsi" w:hAnsiTheme="majorHAnsi"/>
          <w:sz w:val="16"/>
          <w:szCs w:val="16"/>
        </w:rPr>
        <w:footnoteRef/>
      </w:r>
      <w:r w:rsidRPr="00DC0084">
        <w:rPr>
          <w:rFonts w:asciiTheme="majorHAnsi" w:hAnsiTheme="majorHAnsi"/>
          <w:sz w:val="16"/>
          <w:szCs w:val="16"/>
          <w:lang w:val="es-PA"/>
        </w:rPr>
        <w:t xml:space="preserve"> Artículo 285 del Código Procesal Civil y Comercial de la Nación según el cual “si la queja fuere por denegación de recurso extraordinario, la Corte podrá rechazar este recurso en los supuestos y formas previstos en el artículo 280)” y artículo 280 del mismo código según el cual “[l]a Corte, según su sana discreción, y con la sola invocación de esta norma, podrá rechazar el recurso extraordinario, por falta de agravio federal suficiente o cuando las cuestiones planteadas resultaren insustanciales o carentes de trascendencia”.</w:t>
      </w:r>
    </w:p>
    <w:p w14:paraId="2DA0183F" w14:textId="184A3A4C" w:rsidR="001946E7" w:rsidRPr="001946E7" w:rsidRDefault="001946E7" w:rsidP="00E7201C">
      <w:pPr>
        <w:pStyle w:val="FootnoteText"/>
        <w:ind w:firstLine="720"/>
        <w:jc w:val="both"/>
        <w:rPr>
          <w:rFonts w:asciiTheme="majorHAnsi" w:hAnsiTheme="majorHAnsi"/>
          <w:sz w:val="16"/>
          <w:szCs w:val="16"/>
          <w:lang w:val="es-PA"/>
        </w:rPr>
      </w:pPr>
    </w:p>
  </w:footnote>
  <w:footnote w:id="5">
    <w:p w14:paraId="7BD0B3F9" w14:textId="77777777" w:rsidR="008F10AE" w:rsidRPr="002A68E4" w:rsidRDefault="008F10AE" w:rsidP="00E7201C">
      <w:pPr>
        <w:pStyle w:val="FootnoteText"/>
        <w:ind w:firstLine="720"/>
        <w:jc w:val="both"/>
        <w:rPr>
          <w:rFonts w:asciiTheme="majorHAnsi" w:hAnsiTheme="majorHAnsi"/>
          <w:sz w:val="16"/>
          <w:szCs w:val="16"/>
          <w:lang w:val="es-ES"/>
        </w:rPr>
      </w:pPr>
      <w:r w:rsidRPr="00DC0084">
        <w:rPr>
          <w:rStyle w:val="FootnoteReference"/>
          <w:rFonts w:asciiTheme="majorHAnsi" w:hAnsiTheme="majorHAnsi"/>
          <w:sz w:val="16"/>
          <w:szCs w:val="16"/>
        </w:rPr>
        <w:footnoteRef/>
      </w:r>
      <w:r w:rsidRPr="00DC0084">
        <w:rPr>
          <w:rFonts w:asciiTheme="majorHAnsi" w:hAnsiTheme="majorHAnsi"/>
          <w:sz w:val="16"/>
          <w:szCs w:val="16"/>
          <w:lang w:val="es-ES"/>
        </w:rPr>
        <w:t xml:space="preserve"> </w:t>
      </w:r>
      <w:r w:rsidRPr="002A68E4">
        <w:rPr>
          <w:rFonts w:asciiTheme="majorHAnsi" w:hAnsiTheme="majorHAnsi"/>
          <w:sz w:val="16"/>
          <w:szCs w:val="16"/>
          <w:lang w:val="es-ES"/>
        </w:rPr>
        <w:t>CIDH, Informe No. 143/18, Petición 940-08. Admisibilidad. Luis Américo Ayala Gonzales. Perú. 4 de diciembre de 2018, párr. 12.</w:t>
      </w:r>
    </w:p>
  </w:footnote>
  <w:footnote w:id="6">
    <w:p w14:paraId="5032FB3B" w14:textId="3C477BD8" w:rsidR="00FC3A1D" w:rsidRPr="002A68E4" w:rsidRDefault="00FC3A1D" w:rsidP="00E7201C">
      <w:pPr>
        <w:pStyle w:val="FootnoteText"/>
        <w:ind w:firstLine="720"/>
        <w:jc w:val="both"/>
        <w:rPr>
          <w:rFonts w:asciiTheme="majorHAnsi" w:hAnsiTheme="majorHAnsi"/>
          <w:sz w:val="16"/>
          <w:szCs w:val="16"/>
          <w:lang w:val="es-PA"/>
        </w:rPr>
      </w:pPr>
      <w:r w:rsidRPr="002A68E4">
        <w:rPr>
          <w:rStyle w:val="FootnoteReference"/>
          <w:rFonts w:asciiTheme="majorHAnsi" w:hAnsiTheme="majorHAnsi"/>
          <w:sz w:val="16"/>
          <w:szCs w:val="16"/>
        </w:rPr>
        <w:footnoteRef/>
      </w:r>
      <w:r w:rsidRPr="002A68E4">
        <w:rPr>
          <w:rFonts w:asciiTheme="majorHAnsi" w:hAnsiTheme="majorHAnsi"/>
          <w:sz w:val="16"/>
          <w:szCs w:val="16"/>
          <w:lang w:val="es-PA"/>
        </w:rPr>
        <w:t xml:space="preserve"> Corte </w:t>
      </w:r>
      <w:r w:rsidR="00735295" w:rsidRPr="002A68E4">
        <w:rPr>
          <w:rFonts w:asciiTheme="majorHAnsi" w:hAnsiTheme="majorHAnsi"/>
          <w:sz w:val="16"/>
          <w:szCs w:val="16"/>
          <w:lang w:val="es-PA"/>
        </w:rPr>
        <w:t>Europea de Derechos Humanos. Caso Vinter y Otros vs. Reino Unido. Gran Sala. Sentencia del 9 de julio de 2013, párr</w:t>
      </w:r>
      <w:r w:rsidR="005603FE" w:rsidRPr="002A68E4">
        <w:rPr>
          <w:rFonts w:asciiTheme="majorHAnsi" w:hAnsiTheme="majorHAnsi"/>
          <w:sz w:val="16"/>
          <w:szCs w:val="16"/>
          <w:lang w:val="es-PA"/>
        </w:rPr>
        <w:t>s</w:t>
      </w:r>
      <w:r w:rsidR="00EF59BF">
        <w:rPr>
          <w:rFonts w:asciiTheme="majorHAnsi" w:hAnsiTheme="majorHAnsi"/>
          <w:sz w:val="16"/>
          <w:szCs w:val="16"/>
          <w:lang w:val="es-PA"/>
        </w:rPr>
        <w:t>.</w:t>
      </w:r>
      <w:r w:rsidR="005603FE" w:rsidRPr="002A68E4">
        <w:rPr>
          <w:rFonts w:asciiTheme="majorHAnsi" w:hAnsiTheme="majorHAnsi"/>
          <w:sz w:val="16"/>
          <w:szCs w:val="16"/>
          <w:lang w:val="es-PA"/>
        </w:rPr>
        <w:t xml:space="preserve"> 119-121.</w:t>
      </w:r>
      <w:r w:rsidR="00735295" w:rsidRPr="002A68E4">
        <w:rPr>
          <w:rFonts w:asciiTheme="majorHAnsi" w:hAnsiTheme="majorHAnsi"/>
          <w:sz w:val="16"/>
          <w:szCs w:val="16"/>
          <w:lang w:val="es-PA"/>
        </w:rPr>
        <w:t xml:space="preserve"> </w:t>
      </w:r>
    </w:p>
  </w:footnote>
  <w:footnote w:id="7">
    <w:p w14:paraId="7B83011C" w14:textId="65C374ED" w:rsidR="00AA5087" w:rsidRPr="002A68E4" w:rsidRDefault="00AA5087" w:rsidP="00AA5087">
      <w:pPr>
        <w:pStyle w:val="FootnoteText"/>
        <w:ind w:firstLine="720"/>
        <w:jc w:val="both"/>
        <w:rPr>
          <w:rFonts w:asciiTheme="majorHAnsi" w:hAnsiTheme="majorHAnsi"/>
          <w:sz w:val="16"/>
          <w:szCs w:val="16"/>
          <w:lang w:val="es-US"/>
        </w:rPr>
      </w:pPr>
      <w:r w:rsidRPr="002A68E4">
        <w:rPr>
          <w:rStyle w:val="FootnoteReference"/>
          <w:rFonts w:asciiTheme="majorHAnsi" w:hAnsiTheme="majorHAnsi"/>
          <w:sz w:val="16"/>
          <w:szCs w:val="16"/>
        </w:rPr>
        <w:footnoteRef/>
      </w:r>
      <w:r w:rsidRPr="002A68E4">
        <w:rPr>
          <w:rFonts w:asciiTheme="majorHAnsi" w:hAnsiTheme="majorHAnsi"/>
          <w:sz w:val="16"/>
          <w:szCs w:val="16"/>
          <w:lang w:val="es-US"/>
        </w:rPr>
        <w:t xml:space="preserve"> CIDH. Informe No. 237/19. Caso 13.041. Fondo. Guillermo Antonio Álvarez. Argentina, 5 de diciembre de 2019</w:t>
      </w:r>
      <w:r w:rsidR="002A68E4" w:rsidRPr="002A68E4">
        <w:rPr>
          <w:rFonts w:asciiTheme="majorHAnsi" w:hAnsiTheme="majorHAnsi"/>
          <w:sz w:val="16"/>
          <w:szCs w:val="16"/>
          <w:lang w:val="es-US"/>
        </w:rPr>
        <w:t>. Al momento de la redacción de</w:t>
      </w:r>
      <w:r w:rsidR="002A68E4">
        <w:rPr>
          <w:rFonts w:asciiTheme="majorHAnsi" w:hAnsiTheme="majorHAnsi"/>
          <w:sz w:val="16"/>
          <w:szCs w:val="16"/>
          <w:lang w:val="es-US"/>
        </w:rPr>
        <w:t>l presente informe</w:t>
      </w:r>
      <w:r w:rsidR="002A68E4" w:rsidRPr="002A68E4">
        <w:rPr>
          <w:rFonts w:asciiTheme="majorHAnsi" w:hAnsiTheme="majorHAnsi"/>
          <w:sz w:val="16"/>
          <w:szCs w:val="16"/>
          <w:lang w:val="es-US"/>
        </w:rPr>
        <w:t>, este asunto está en consideración</w:t>
      </w:r>
      <w:r w:rsidR="002A68E4">
        <w:rPr>
          <w:rFonts w:asciiTheme="majorHAnsi" w:hAnsiTheme="majorHAnsi"/>
          <w:sz w:val="16"/>
          <w:szCs w:val="16"/>
          <w:lang w:val="es-US"/>
        </w:rPr>
        <w:t xml:space="preserve"> de la Corte Interamericana</w:t>
      </w:r>
      <w:r w:rsidR="00BE779C">
        <w:rPr>
          <w:rFonts w:asciiTheme="majorHAnsi" w:hAnsiTheme="majorHAnsi"/>
          <w:sz w:val="16"/>
          <w:szCs w:val="16"/>
          <w:lang w:val="es-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EC247E" w:rsidP="00A50FCF">
    <w:pPr>
      <w:pStyle w:val="Header"/>
      <w:tabs>
        <w:tab w:val="clear" w:pos="4320"/>
        <w:tab w:val="clear" w:pos="8640"/>
      </w:tabs>
      <w:jc w:val="center"/>
      <w:rPr>
        <w:sz w:val="22"/>
        <w:szCs w:val="22"/>
      </w:rPr>
    </w:pPr>
    <w:r>
      <w:rPr>
        <w:noProof/>
        <w:sz w:val="22"/>
        <w:szCs w:val="22"/>
        <w:bdr w:val="nil"/>
      </w:rPr>
      <w:pict w14:anchorId="4367A34C">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C58496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10109072"/>
    <w:lvl w:ilvl="0" w:tplc="D3CAA642">
      <w:start w:val="1"/>
      <w:numFmt w:val="decimal"/>
      <w:lvlText w:val="%1."/>
      <w:lvlJc w:val="left"/>
      <w:pPr>
        <w:tabs>
          <w:tab w:val="num" w:pos="720"/>
        </w:tabs>
        <w:ind w:left="0" w:firstLine="720"/>
      </w:pPr>
      <w:rPr>
        <w:rFonts w:hint="default"/>
        <w:b w:val="0"/>
        <w:bCs w:val="0"/>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EBC1D58"/>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872792"/>
    <w:multiLevelType w:val="hybridMultilevel"/>
    <w:tmpl w:val="7334F392"/>
    <w:lvl w:ilvl="0" w:tplc="DF9281A8">
      <w:start w:val="1"/>
      <w:numFmt w:val="decimal"/>
      <w:lvlText w:val="%1."/>
      <w:lvlJc w:val="left"/>
      <w:pPr>
        <w:ind w:left="720" w:hanging="360"/>
      </w:pPr>
      <w:rPr>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5483F4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5691CA1"/>
    <w:multiLevelType w:val="hybridMultilevel"/>
    <w:tmpl w:val="AC247DA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C64B1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23846060">
    <w:abstractNumId w:val="4"/>
  </w:num>
  <w:num w:numId="2" w16cid:durableId="767655743">
    <w:abstractNumId w:val="6"/>
  </w:num>
  <w:num w:numId="3" w16cid:durableId="473570094">
    <w:abstractNumId w:val="55"/>
  </w:num>
  <w:num w:numId="4" w16cid:durableId="574508184">
    <w:abstractNumId w:val="22"/>
  </w:num>
  <w:num w:numId="5" w16cid:durableId="1759979260">
    <w:abstractNumId w:val="48"/>
  </w:num>
  <w:num w:numId="6" w16cid:durableId="684795047">
    <w:abstractNumId w:val="27"/>
  </w:num>
  <w:num w:numId="7" w16cid:durableId="1204977054">
    <w:abstractNumId w:val="7"/>
  </w:num>
  <w:num w:numId="8" w16cid:durableId="474881660">
    <w:abstractNumId w:val="17"/>
  </w:num>
  <w:num w:numId="9" w16cid:durableId="545220962">
    <w:abstractNumId w:val="42"/>
  </w:num>
  <w:num w:numId="10" w16cid:durableId="184756263">
    <w:abstractNumId w:val="0"/>
  </w:num>
  <w:num w:numId="11" w16cid:durableId="1426538456">
    <w:abstractNumId w:val="37"/>
  </w:num>
  <w:num w:numId="12" w16cid:durableId="1376850523">
    <w:abstractNumId w:val="38"/>
  </w:num>
  <w:num w:numId="13" w16cid:durableId="622347618">
    <w:abstractNumId w:val="44"/>
  </w:num>
  <w:num w:numId="14" w16cid:durableId="174685363">
    <w:abstractNumId w:val="1"/>
  </w:num>
  <w:num w:numId="15" w16cid:durableId="1133139480">
    <w:abstractNumId w:val="2"/>
  </w:num>
  <w:num w:numId="16" w16cid:durableId="983776275">
    <w:abstractNumId w:val="8"/>
  </w:num>
  <w:num w:numId="17" w16cid:durableId="181481422">
    <w:abstractNumId w:val="9"/>
  </w:num>
  <w:num w:numId="18" w16cid:durableId="1432897770">
    <w:abstractNumId w:val="10"/>
  </w:num>
  <w:num w:numId="19" w16cid:durableId="2120105964">
    <w:abstractNumId w:val="11"/>
  </w:num>
  <w:num w:numId="20" w16cid:durableId="1376008437">
    <w:abstractNumId w:val="12"/>
  </w:num>
  <w:num w:numId="21" w16cid:durableId="796262746">
    <w:abstractNumId w:val="13"/>
  </w:num>
  <w:num w:numId="22" w16cid:durableId="1267617871">
    <w:abstractNumId w:val="14"/>
  </w:num>
  <w:num w:numId="23" w16cid:durableId="48500595">
    <w:abstractNumId w:val="15"/>
  </w:num>
  <w:num w:numId="24" w16cid:durableId="658047599">
    <w:abstractNumId w:val="16"/>
  </w:num>
  <w:num w:numId="25" w16cid:durableId="1066106648">
    <w:abstractNumId w:val="18"/>
  </w:num>
  <w:num w:numId="26" w16cid:durableId="1330208542">
    <w:abstractNumId w:val="19"/>
  </w:num>
  <w:num w:numId="27" w16cid:durableId="1649826258">
    <w:abstractNumId w:val="23"/>
  </w:num>
  <w:num w:numId="28" w16cid:durableId="731974671">
    <w:abstractNumId w:val="24"/>
  </w:num>
  <w:num w:numId="29" w16cid:durableId="1084837678">
    <w:abstractNumId w:val="25"/>
  </w:num>
  <w:num w:numId="30" w16cid:durableId="1473985675">
    <w:abstractNumId w:val="26"/>
  </w:num>
  <w:num w:numId="31" w16cid:durableId="60760067">
    <w:abstractNumId w:val="28"/>
  </w:num>
  <w:num w:numId="32" w16cid:durableId="906377067">
    <w:abstractNumId w:val="29"/>
  </w:num>
  <w:num w:numId="33" w16cid:durableId="1914315757">
    <w:abstractNumId w:val="30"/>
  </w:num>
  <w:num w:numId="34" w16cid:durableId="274094224">
    <w:abstractNumId w:val="31"/>
  </w:num>
  <w:num w:numId="35" w16cid:durableId="1693654200">
    <w:abstractNumId w:val="32"/>
  </w:num>
  <w:num w:numId="36" w16cid:durableId="225189685">
    <w:abstractNumId w:val="34"/>
  </w:num>
  <w:num w:numId="37" w16cid:durableId="1983609415">
    <w:abstractNumId w:val="35"/>
  </w:num>
  <w:num w:numId="38" w16cid:durableId="1289705975">
    <w:abstractNumId w:val="36"/>
  </w:num>
  <w:num w:numId="39" w16cid:durableId="1838302101">
    <w:abstractNumId w:val="39"/>
  </w:num>
  <w:num w:numId="40" w16cid:durableId="2051611224">
    <w:abstractNumId w:val="40"/>
  </w:num>
  <w:num w:numId="41" w16cid:durableId="999576674">
    <w:abstractNumId w:val="46"/>
  </w:num>
  <w:num w:numId="42" w16cid:durableId="28578962">
    <w:abstractNumId w:val="49"/>
  </w:num>
  <w:num w:numId="43" w16cid:durableId="863790775">
    <w:abstractNumId w:val="50"/>
  </w:num>
  <w:num w:numId="44" w16cid:durableId="418865383">
    <w:abstractNumId w:val="52"/>
  </w:num>
  <w:num w:numId="45" w16cid:durableId="140924332">
    <w:abstractNumId w:val="54"/>
  </w:num>
  <w:num w:numId="46" w16cid:durableId="1384448954">
    <w:abstractNumId w:val="56"/>
  </w:num>
  <w:num w:numId="47" w16cid:durableId="1014455385">
    <w:abstractNumId w:val="57"/>
  </w:num>
  <w:num w:numId="48" w16cid:durableId="1488669417">
    <w:abstractNumId w:val="58"/>
  </w:num>
  <w:num w:numId="49" w16cid:durableId="553664058">
    <w:abstractNumId w:val="59"/>
  </w:num>
  <w:num w:numId="50" w16cid:durableId="1792505258">
    <w:abstractNumId w:val="61"/>
  </w:num>
  <w:num w:numId="51" w16cid:durableId="832835213">
    <w:abstractNumId w:val="21"/>
  </w:num>
  <w:num w:numId="52" w16cid:durableId="2084985545">
    <w:abstractNumId w:val="41"/>
  </w:num>
  <w:num w:numId="53" w16cid:durableId="2041205433">
    <w:abstractNumId w:val="51"/>
  </w:num>
  <w:num w:numId="54" w16cid:durableId="520434174">
    <w:abstractNumId w:val="45"/>
  </w:num>
  <w:num w:numId="55" w16cid:durableId="922685908">
    <w:abstractNumId w:val="5"/>
  </w:num>
  <w:num w:numId="56" w16cid:durableId="1139806367">
    <w:abstractNumId w:val="43"/>
  </w:num>
  <w:num w:numId="57" w16cid:durableId="1234972099">
    <w:abstractNumId w:val="60"/>
  </w:num>
  <w:num w:numId="58" w16cid:durableId="2000769407">
    <w:abstractNumId w:val="20"/>
  </w:num>
  <w:num w:numId="59" w16cid:durableId="417095655">
    <w:abstractNumId w:val="3"/>
  </w:num>
  <w:num w:numId="60" w16cid:durableId="270552116">
    <w:abstractNumId w:val="47"/>
  </w:num>
  <w:num w:numId="61" w16cid:durableId="1219316788">
    <w:abstractNumId w:val="53"/>
  </w:num>
  <w:num w:numId="62" w16cid:durableId="329145209">
    <w:abstractNumId w:val="3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ocumentProtection w:edit="readOnly"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AJiY0MTIwsgx8RCSUcpOLW4ODM/D6TAohYAr3kSuiwAAAA="/>
  </w:docVars>
  <w:rsids>
    <w:rsidRoot w:val="006B2D5C"/>
    <w:rsid w:val="0000036F"/>
    <w:rsid w:val="00000CDA"/>
    <w:rsid w:val="00003673"/>
    <w:rsid w:val="000065D0"/>
    <w:rsid w:val="00006B74"/>
    <w:rsid w:val="00006E1F"/>
    <w:rsid w:val="000070D7"/>
    <w:rsid w:val="000104F5"/>
    <w:rsid w:val="00011C3B"/>
    <w:rsid w:val="00015701"/>
    <w:rsid w:val="0001788C"/>
    <w:rsid w:val="0002186F"/>
    <w:rsid w:val="00026DF5"/>
    <w:rsid w:val="0002733D"/>
    <w:rsid w:val="000337EF"/>
    <w:rsid w:val="000409D6"/>
    <w:rsid w:val="00040C3A"/>
    <w:rsid w:val="000419AD"/>
    <w:rsid w:val="000435DF"/>
    <w:rsid w:val="000642AD"/>
    <w:rsid w:val="000716C5"/>
    <w:rsid w:val="000733A3"/>
    <w:rsid w:val="00075E23"/>
    <w:rsid w:val="0009006E"/>
    <w:rsid w:val="0009344A"/>
    <w:rsid w:val="000939F4"/>
    <w:rsid w:val="000A19F8"/>
    <w:rsid w:val="000A3254"/>
    <w:rsid w:val="000A392E"/>
    <w:rsid w:val="000A575F"/>
    <w:rsid w:val="000A63D0"/>
    <w:rsid w:val="000B0579"/>
    <w:rsid w:val="000B188C"/>
    <w:rsid w:val="000B5262"/>
    <w:rsid w:val="000C1C69"/>
    <w:rsid w:val="000C3A31"/>
    <w:rsid w:val="000D10DB"/>
    <w:rsid w:val="000D130B"/>
    <w:rsid w:val="000D72E8"/>
    <w:rsid w:val="000E2789"/>
    <w:rsid w:val="000E5EB5"/>
    <w:rsid w:val="000F023C"/>
    <w:rsid w:val="000F1C7E"/>
    <w:rsid w:val="000F35ED"/>
    <w:rsid w:val="000F6EDB"/>
    <w:rsid w:val="001002DD"/>
    <w:rsid w:val="001061D7"/>
    <w:rsid w:val="00107131"/>
    <w:rsid w:val="0010736F"/>
    <w:rsid w:val="00111A8A"/>
    <w:rsid w:val="00112398"/>
    <w:rsid w:val="001124F3"/>
    <w:rsid w:val="00113B28"/>
    <w:rsid w:val="00113F73"/>
    <w:rsid w:val="00117AE2"/>
    <w:rsid w:val="00121CC2"/>
    <w:rsid w:val="00125F72"/>
    <w:rsid w:val="00131663"/>
    <w:rsid w:val="00131D8B"/>
    <w:rsid w:val="00133EE5"/>
    <w:rsid w:val="001342BD"/>
    <w:rsid w:val="001366AA"/>
    <w:rsid w:val="001367B7"/>
    <w:rsid w:val="00136E3D"/>
    <w:rsid w:val="00143EFE"/>
    <w:rsid w:val="001479C0"/>
    <w:rsid w:val="0015330B"/>
    <w:rsid w:val="00153B50"/>
    <w:rsid w:val="00167A34"/>
    <w:rsid w:val="00172FCD"/>
    <w:rsid w:val="001744FF"/>
    <w:rsid w:val="001749F8"/>
    <w:rsid w:val="00176BB3"/>
    <w:rsid w:val="00177EEF"/>
    <w:rsid w:val="00190ACE"/>
    <w:rsid w:val="001946E7"/>
    <w:rsid w:val="0019667E"/>
    <w:rsid w:val="001A1172"/>
    <w:rsid w:val="001A7870"/>
    <w:rsid w:val="001B3A00"/>
    <w:rsid w:val="001B3DA3"/>
    <w:rsid w:val="001B4C00"/>
    <w:rsid w:val="001C1B41"/>
    <w:rsid w:val="001C22EE"/>
    <w:rsid w:val="001C3FDF"/>
    <w:rsid w:val="001D3523"/>
    <w:rsid w:val="001D65EF"/>
    <w:rsid w:val="001D6768"/>
    <w:rsid w:val="001E3CBA"/>
    <w:rsid w:val="001E49E7"/>
    <w:rsid w:val="001E5DB2"/>
    <w:rsid w:val="001F1FA3"/>
    <w:rsid w:val="001F271B"/>
    <w:rsid w:val="001F7201"/>
    <w:rsid w:val="00200776"/>
    <w:rsid w:val="00202DF0"/>
    <w:rsid w:val="00204931"/>
    <w:rsid w:val="00214EB2"/>
    <w:rsid w:val="00216A99"/>
    <w:rsid w:val="00217E3F"/>
    <w:rsid w:val="00220329"/>
    <w:rsid w:val="00223711"/>
    <w:rsid w:val="00223A29"/>
    <w:rsid w:val="00223DB4"/>
    <w:rsid w:val="002250A3"/>
    <w:rsid w:val="00231294"/>
    <w:rsid w:val="00235217"/>
    <w:rsid w:val="002355A9"/>
    <w:rsid w:val="00245650"/>
    <w:rsid w:val="00246D1F"/>
    <w:rsid w:val="00247403"/>
    <w:rsid w:val="00247542"/>
    <w:rsid w:val="00253195"/>
    <w:rsid w:val="00253769"/>
    <w:rsid w:val="00257104"/>
    <w:rsid w:val="00262864"/>
    <w:rsid w:val="002636E9"/>
    <w:rsid w:val="00266B61"/>
    <w:rsid w:val="0026712A"/>
    <w:rsid w:val="002704DB"/>
    <w:rsid w:val="00277BDA"/>
    <w:rsid w:val="0029575A"/>
    <w:rsid w:val="00295932"/>
    <w:rsid w:val="00295F56"/>
    <w:rsid w:val="002A0AAE"/>
    <w:rsid w:val="002A5820"/>
    <w:rsid w:val="002A68E4"/>
    <w:rsid w:val="002B6FFB"/>
    <w:rsid w:val="002C0D2D"/>
    <w:rsid w:val="002C3350"/>
    <w:rsid w:val="002D1527"/>
    <w:rsid w:val="002D2B26"/>
    <w:rsid w:val="002D778E"/>
    <w:rsid w:val="002D7EA2"/>
    <w:rsid w:val="002E0659"/>
    <w:rsid w:val="002E187C"/>
    <w:rsid w:val="002E7512"/>
    <w:rsid w:val="002F3724"/>
    <w:rsid w:val="002F3A0A"/>
    <w:rsid w:val="002F4C6A"/>
    <w:rsid w:val="00302733"/>
    <w:rsid w:val="003121D5"/>
    <w:rsid w:val="00314078"/>
    <w:rsid w:val="0031535D"/>
    <w:rsid w:val="003238E3"/>
    <w:rsid w:val="003239B8"/>
    <w:rsid w:val="00323B2C"/>
    <w:rsid w:val="0033169F"/>
    <w:rsid w:val="00341A40"/>
    <w:rsid w:val="0034224A"/>
    <w:rsid w:val="00343438"/>
    <w:rsid w:val="00344977"/>
    <w:rsid w:val="00346C95"/>
    <w:rsid w:val="00351155"/>
    <w:rsid w:val="0035443B"/>
    <w:rsid w:val="00356185"/>
    <w:rsid w:val="00360380"/>
    <w:rsid w:val="00361DF2"/>
    <w:rsid w:val="00362655"/>
    <w:rsid w:val="003713D8"/>
    <w:rsid w:val="0037519E"/>
    <w:rsid w:val="003812CB"/>
    <w:rsid w:val="00384D68"/>
    <w:rsid w:val="00386C6C"/>
    <w:rsid w:val="00386CF0"/>
    <w:rsid w:val="003911F7"/>
    <w:rsid w:val="003925F2"/>
    <w:rsid w:val="003942EC"/>
    <w:rsid w:val="003A129A"/>
    <w:rsid w:val="003A5250"/>
    <w:rsid w:val="003A6337"/>
    <w:rsid w:val="003B4FF6"/>
    <w:rsid w:val="003B70FB"/>
    <w:rsid w:val="003C18E3"/>
    <w:rsid w:val="003C45DC"/>
    <w:rsid w:val="003C6112"/>
    <w:rsid w:val="003C676B"/>
    <w:rsid w:val="003D0A55"/>
    <w:rsid w:val="003D3BC2"/>
    <w:rsid w:val="003E614F"/>
    <w:rsid w:val="003E6C0C"/>
    <w:rsid w:val="003E6CA1"/>
    <w:rsid w:val="003F3BA0"/>
    <w:rsid w:val="003F3DAB"/>
    <w:rsid w:val="00404974"/>
    <w:rsid w:val="004065A8"/>
    <w:rsid w:val="00412500"/>
    <w:rsid w:val="004153F5"/>
    <w:rsid w:val="004165C2"/>
    <w:rsid w:val="00427118"/>
    <w:rsid w:val="004304AD"/>
    <w:rsid w:val="00441ECB"/>
    <w:rsid w:val="00445193"/>
    <w:rsid w:val="00446B84"/>
    <w:rsid w:val="00447C6E"/>
    <w:rsid w:val="00447CCF"/>
    <w:rsid w:val="0045329F"/>
    <w:rsid w:val="004565BA"/>
    <w:rsid w:val="00462C1B"/>
    <w:rsid w:val="00464346"/>
    <w:rsid w:val="004660CD"/>
    <w:rsid w:val="00467B7E"/>
    <w:rsid w:val="0047080D"/>
    <w:rsid w:val="00473BB4"/>
    <w:rsid w:val="00476211"/>
    <w:rsid w:val="00477592"/>
    <w:rsid w:val="004866EA"/>
    <w:rsid w:val="00486F1C"/>
    <w:rsid w:val="00487A48"/>
    <w:rsid w:val="0049419D"/>
    <w:rsid w:val="004A05E6"/>
    <w:rsid w:val="004A59CC"/>
    <w:rsid w:val="004A6A54"/>
    <w:rsid w:val="004A7B33"/>
    <w:rsid w:val="004B243F"/>
    <w:rsid w:val="004B482E"/>
    <w:rsid w:val="004C20D2"/>
    <w:rsid w:val="004C2312"/>
    <w:rsid w:val="004C4B62"/>
    <w:rsid w:val="004C54C9"/>
    <w:rsid w:val="004C616A"/>
    <w:rsid w:val="004D1458"/>
    <w:rsid w:val="004D4ABA"/>
    <w:rsid w:val="004D6025"/>
    <w:rsid w:val="004E0000"/>
    <w:rsid w:val="004E19B1"/>
    <w:rsid w:val="004E2649"/>
    <w:rsid w:val="004E34FA"/>
    <w:rsid w:val="004F643F"/>
    <w:rsid w:val="00501399"/>
    <w:rsid w:val="00501652"/>
    <w:rsid w:val="0050633D"/>
    <w:rsid w:val="00507BC4"/>
    <w:rsid w:val="005128E4"/>
    <w:rsid w:val="005133DB"/>
    <w:rsid w:val="00525413"/>
    <w:rsid w:val="00525560"/>
    <w:rsid w:val="00527D16"/>
    <w:rsid w:val="005415E6"/>
    <w:rsid w:val="00544216"/>
    <w:rsid w:val="00544C49"/>
    <w:rsid w:val="005516A1"/>
    <w:rsid w:val="0055234F"/>
    <w:rsid w:val="00553528"/>
    <w:rsid w:val="005603FE"/>
    <w:rsid w:val="005604CB"/>
    <w:rsid w:val="00560974"/>
    <w:rsid w:val="00562AB0"/>
    <w:rsid w:val="00563557"/>
    <w:rsid w:val="00572826"/>
    <w:rsid w:val="005732A7"/>
    <w:rsid w:val="0057402A"/>
    <w:rsid w:val="00574CB7"/>
    <w:rsid w:val="005771D0"/>
    <w:rsid w:val="0058187C"/>
    <w:rsid w:val="00583784"/>
    <w:rsid w:val="00584F6A"/>
    <w:rsid w:val="00586230"/>
    <w:rsid w:val="0059191A"/>
    <w:rsid w:val="0059195F"/>
    <w:rsid w:val="005921FF"/>
    <w:rsid w:val="00594707"/>
    <w:rsid w:val="00595290"/>
    <w:rsid w:val="005A24ED"/>
    <w:rsid w:val="005A6D0E"/>
    <w:rsid w:val="005B37CC"/>
    <w:rsid w:val="005B52B0"/>
    <w:rsid w:val="005B6806"/>
    <w:rsid w:val="005B6D22"/>
    <w:rsid w:val="005C261A"/>
    <w:rsid w:val="005C3F10"/>
    <w:rsid w:val="005C4225"/>
    <w:rsid w:val="005C7773"/>
    <w:rsid w:val="005C7989"/>
    <w:rsid w:val="005D66AD"/>
    <w:rsid w:val="005E0B65"/>
    <w:rsid w:val="005E11B2"/>
    <w:rsid w:val="005F0A4D"/>
    <w:rsid w:val="005F0DAD"/>
    <w:rsid w:val="005F0F33"/>
    <w:rsid w:val="005F42BF"/>
    <w:rsid w:val="005F4ED3"/>
    <w:rsid w:val="00600DEB"/>
    <w:rsid w:val="00602A84"/>
    <w:rsid w:val="006068B7"/>
    <w:rsid w:val="00607B99"/>
    <w:rsid w:val="00610A4C"/>
    <w:rsid w:val="00610BF4"/>
    <w:rsid w:val="00614C16"/>
    <w:rsid w:val="00614ED2"/>
    <w:rsid w:val="006261F3"/>
    <w:rsid w:val="0062656A"/>
    <w:rsid w:val="006277DE"/>
    <w:rsid w:val="00627C9F"/>
    <w:rsid w:val="006311E9"/>
    <w:rsid w:val="00631390"/>
    <w:rsid w:val="00631549"/>
    <w:rsid w:val="00632354"/>
    <w:rsid w:val="0063324A"/>
    <w:rsid w:val="006358C4"/>
    <w:rsid w:val="00642810"/>
    <w:rsid w:val="00647756"/>
    <w:rsid w:val="006509DA"/>
    <w:rsid w:val="00652333"/>
    <w:rsid w:val="006532BB"/>
    <w:rsid w:val="006561F8"/>
    <w:rsid w:val="00663519"/>
    <w:rsid w:val="00666941"/>
    <w:rsid w:val="00674556"/>
    <w:rsid w:val="006775AB"/>
    <w:rsid w:val="0068009E"/>
    <w:rsid w:val="006819E9"/>
    <w:rsid w:val="0068210D"/>
    <w:rsid w:val="0068288D"/>
    <w:rsid w:val="00686471"/>
    <w:rsid w:val="0068794B"/>
    <w:rsid w:val="0069072E"/>
    <w:rsid w:val="00691BBE"/>
    <w:rsid w:val="00692219"/>
    <w:rsid w:val="0069402E"/>
    <w:rsid w:val="006A17D2"/>
    <w:rsid w:val="006A546C"/>
    <w:rsid w:val="006A548D"/>
    <w:rsid w:val="006A73E6"/>
    <w:rsid w:val="006B2515"/>
    <w:rsid w:val="006B2D5C"/>
    <w:rsid w:val="006B2EE8"/>
    <w:rsid w:val="006C4EB1"/>
    <w:rsid w:val="006C75FE"/>
    <w:rsid w:val="006D5A2C"/>
    <w:rsid w:val="006D6BD4"/>
    <w:rsid w:val="006E0166"/>
    <w:rsid w:val="006E772A"/>
    <w:rsid w:val="006E7B34"/>
    <w:rsid w:val="006F04C9"/>
    <w:rsid w:val="006F0615"/>
    <w:rsid w:val="006F1367"/>
    <w:rsid w:val="006F1D32"/>
    <w:rsid w:val="00700435"/>
    <w:rsid w:val="00701300"/>
    <w:rsid w:val="007034AD"/>
    <w:rsid w:val="0070469B"/>
    <w:rsid w:val="00704E6A"/>
    <w:rsid w:val="0070697F"/>
    <w:rsid w:val="007153C1"/>
    <w:rsid w:val="00717132"/>
    <w:rsid w:val="00717A08"/>
    <w:rsid w:val="0072199C"/>
    <w:rsid w:val="00722C9F"/>
    <w:rsid w:val="0072463A"/>
    <w:rsid w:val="007248CD"/>
    <w:rsid w:val="00724F4A"/>
    <w:rsid w:val="007253B8"/>
    <w:rsid w:val="00727B0E"/>
    <w:rsid w:val="007333D4"/>
    <w:rsid w:val="00735295"/>
    <w:rsid w:val="0073598C"/>
    <w:rsid w:val="0073741F"/>
    <w:rsid w:val="00741CC2"/>
    <w:rsid w:val="00746C24"/>
    <w:rsid w:val="00747E3D"/>
    <w:rsid w:val="007547F5"/>
    <w:rsid w:val="00756485"/>
    <w:rsid w:val="00757AEB"/>
    <w:rsid w:val="00763D0D"/>
    <w:rsid w:val="0076643F"/>
    <w:rsid w:val="0077109D"/>
    <w:rsid w:val="00772E5F"/>
    <w:rsid w:val="00774EAD"/>
    <w:rsid w:val="00775276"/>
    <w:rsid w:val="007753FC"/>
    <w:rsid w:val="00776B37"/>
    <w:rsid w:val="00777F63"/>
    <w:rsid w:val="0078378A"/>
    <w:rsid w:val="007852B5"/>
    <w:rsid w:val="00793824"/>
    <w:rsid w:val="0079556D"/>
    <w:rsid w:val="00795CF5"/>
    <w:rsid w:val="00796A37"/>
    <w:rsid w:val="007A030F"/>
    <w:rsid w:val="007A5817"/>
    <w:rsid w:val="007B05C4"/>
    <w:rsid w:val="007B361D"/>
    <w:rsid w:val="007B5D29"/>
    <w:rsid w:val="007B60E9"/>
    <w:rsid w:val="007B6CC3"/>
    <w:rsid w:val="007B7C9F"/>
    <w:rsid w:val="007C3334"/>
    <w:rsid w:val="007C36C1"/>
    <w:rsid w:val="007C402A"/>
    <w:rsid w:val="007D07C3"/>
    <w:rsid w:val="007D2B98"/>
    <w:rsid w:val="007D7C02"/>
    <w:rsid w:val="007E21BC"/>
    <w:rsid w:val="007E58FE"/>
    <w:rsid w:val="007E7C82"/>
    <w:rsid w:val="007F588D"/>
    <w:rsid w:val="00802748"/>
    <w:rsid w:val="00802CF0"/>
    <w:rsid w:val="00803F1C"/>
    <w:rsid w:val="0080600E"/>
    <w:rsid w:val="008168D8"/>
    <w:rsid w:val="00817612"/>
    <w:rsid w:val="00823C3F"/>
    <w:rsid w:val="00832331"/>
    <w:rsid w:val="008338A4"/>
    <w:rsid w:val="00834D49"/>
    <w:rsid w:val="00837C45"/>
    <w:rsid w:val="008411F0"/>
    <w:rsid w:val="008439BC"/>
    <w:rsid w:val="00844544"/>
    <w:rsid w:val="00844730"/>
    <w:rsid w:val="008453B1"/>
    <w:rsid w:val="008457C2"/>
    <w:rsid w:val="0085383B"/>
    <w:rsid w:val="00853E84"/>
    <w:rsid w:val="008576E8"/>
    <w:rsid w:val="00857A82"/>
    <w:rsid w:val="00860490"/>
    <w:rsid w:val="00871526"/>
    <w:rsid w:val="00873836"/>
    <w:rsid w:val="00873E7D"/>
    <w:rsid w:val="00875668"/>
    <w:rsid w:val="008777F8"/>
    <w:rsid w:val="00881171"/>
    <w:rsid w:val="00885737"/>
    <w:rsid w:val="00890650"/>
    <w:rsid w:val="00892CA4"/>
    <w:rsid w:val="00897E12"/>
    <w:rsid w:val="008A0F81"/>
    <w:rsid w:val="008A310C"/>
    <w:rsid w:val="008A5E22"/>
    <w:rsid w:val="008A7E0F"/>
    <w:rsid w:val="008B12F5"/>
    <w:rsid w:val="008B5932"/>
    <w:rsid w:val="008C5751"/>
    <w:rsid w:val="008D0F50"/>
    <w:rsid w:val="008D6978"/>
    <w:rsid w:val="008D768D"/>
    <w:rsid w:val="008E0FD8"/>
    <w:rsid w:val="008E328A"/>
    <w:rsid w:val="008E3759"/>
    <w:rsid w:val="008E3BFE"/>
    <w:rsid w:val="008E74F7"/>
    <w:rsid w:val="008E7900"/>
    <w:rsid w:val="008F10AE"/>
    <w:rsid w:val="008F1912"/>
    <w:rsid w:val="008F2749"/>
    <w:rsid w:val="008F3148"/>
    <w:rsid w:val="008F4E24"/>
    <w:rsid w:val="008F6705"/>
    <w:rsid w:val="0090270B"/>
    <w:rsid w:val="009041DC"/>
    <w:rsid w:val="009100F5"/>
    <w:rsid w:val="00911868"/>
    <w:rsid w:val="00914885"/>
    <w:rsid w:val="00917B5A"/>
    <w:rsid w:val="00920A58"/>
    <w:rsid w:val="00920A8C"/>
    <w:rsid w:val="00932B0D"/>
    <w:rsid w:val="00934A2C"/>
    <w:rsid w:val="00935F06"/>
    <w:rsid w:val="00937B3A"/>
    <w:rsid w:val="009416FE"/>
    <w:rsid w:val="00944EBD"/>
    <w:rsid w:val="009462BF"/>
    <w:rsid w:val="00952834"/>
    <w:rsid w:val="00954B82"/>
    <w:rsid w:val="009564AE"/>
    <w:rsid w:val="00957000"/>
    <w:rsid w:val="00962436"/>
    <w:rsid w:val="00966771"/>
    <w:rsid w:val="0096706E"/>
    <w:rsid w:val="00970E41"/>
    <w:rsid w:val="00974491"/>
    <w:rsid w:val="00975C4E"/>
    <w:rsid w:val="00976B70"/>
    <w:rsid w:val="00981FBA"/>
    <w:rsid w:val="00985E94"/>
    <w:rsid w:val="009861AE"/>
    <w:rsid w:val="00997BC5"/>
    <w:rsid w:val="009A4F41"/>
    <w:rsid w:val="009B381B"/>
    <w:rsid w:val="009C2FC5"/>
    <w:rsid w:val="009C787B"/>
    <w:rsid w:val="009D1753"/>
    <w:rsid w:val="009D2BC1"/>
    <w:rsid w:val="009D3E90"/>
    <w:rsid w:val="009D6502"/>
    <w:rsid w:val="009D66DD"/>
    <w:rsid w:val="009D7611"/>
    <w:rsid w:val="009D78A5"/>
    <w:rsid w:val="009E08DD"/>
    <w:rsid w:val="009E0B61"/>
    <w:rsid w:val="009E4F65"/>
    <w:rsid w:val="009E53DE"/>
    <w:rsid w:val="009E7C00"/>
    <w:rsid w:val="009F1414"/>
    <w:rsid w:val="009F5FB3"/>
    <w:rsid w:val="009F7410"/>
    <w:rsid w:val="00A01212"/>
    <w:rsid w:val="00A04336"/>
    <w:rsid w:val="00A0688E"/>
    <w:rsid w:val="00A0691C"/>
    <w:rsid w:val="00A11E44"/>
    <w:rsid w:val="00A154C8"/>
    <w:rsid w:val="00A22397"/>
    <w:rsid w:val="00A24E2E"/>
    <w:rsid w:val="00A30DC2"/>
    <w:rsid w:val="00A32313"/>
    <w:rsid w:val="00A328B3"/>
    <w:rsid w:val="00A37EEC"/>
    <w:rsid w:val="00A47A43"/>
    <w:rsid w:val="00A50FCF"/>
    <w:rsid w:val="00A528D1"/>
    <w:rsid w:val="00A55672"/>
    <w:rsid w:val="00A56266"/>
    <w:rsid w:val="00A610CD"/>
    <w:rsid w:val="00A625E0"/>
    <w:rsid w:val="00A70059"/>
    <w:rsid w:val="00A74947"/>
    <w:rsid w:val="00A74CBD"/>
    <w:rsid w:val="00A74D9B"/>
    <w:rsid w:val="00A758AA"/>
    <w:rsid w:val="00A76E30"/>
    <w:rsid w:val="00A77663"/>
    <w:rsid w:val="00A777B4"/>
    <w:rsid w:val="00A92093"/>
    <w:rsid w:val="00A94503"/>
    <w:rsid w:val="00A96AD1"/>
    <w:rsid w:val="00AA09A2"/>
    <w:rsid w:val="00AA4B65"/>
    <w:rsid w:val="00AA5087"/>
    <w:rsid w:val="00AA7996"/>
    <w:rsid w:val="00AA79E5"/>
    <w:rsid w:val="00AB1103"/>
    <w:rsid w:val="00AB203F"/>
    <w:rsid w:val="00AB4E59"/>
    <w:rsid w:val="00AC19CB"/>
    <w:rsid w:val="00AC4B78"/>
    <w:rsid w:val="00AC7D47"/>
    <w:rsid w:val="00AD1886"/>
    <w:rsid w:val="00AD31EE"/>
    <w:rsid w:val="00AD3294"/>
    <w:rsid w:val="00AE5488"/>
    <w:rsid w:val="00AE6EC7"/>
    <w:rsid w:val="00AE6F91"/>
    <w:rsid w:val="00AF5571"/>
    <w:rsid w:val="00AF5CAA"/>
    <w:rsid w:val="00B0497B"/>
    <w:rsid w:val="00B06B4E"/>
    <w:rsid w:val="00B07341"/>
    <w:rsid w:val="00B14CBD"/>
    <w:rsid w:val="00B1679B"/>
    <w:rsid w:val="00B202B5"/>
    <w:rsid w:val="00B21F67"/>
    <w:rsid w:val="00B30539"/>
    <w:rsid w:val="00B314DB"/>
    <w:rsid w:val="00B33385"/>
    <w:rsid w:val="00B361F2"/>
    <w:rsid w:val="00B3718B"/>
    <w:rsid w:val="00B4632A"/>
    <w:rsid w:val="00B5067D"/>
    <w:rsid w:val="00B530F1"/>
    <w:rsid w:val="00B54E39"/>
    <w:rsid w:val="00B57297"/>
    <w:rsid w:val="00B71422"/>
    <w:rsid w:val="00B736AF"/>
    <w:rsid w:val="00B742BE"/>
    <w:rsid w:val="00B8086E"/>
    <w:rsid w:val="00B84C70"/>
    <w:rsid w:val="00B87359"/>
    <w:rsid w:val="00B909E7"/>
    <w:rsid w:val="00B90C48"/>
    <w:rsid w:val="00B92B2D"/>
    <w:rsid w:val="00B97946"/>
    <w:rsid w:val="00B97AAE"/>
    <w:rsid w:val="00BA0F4A"/>
    <w:rsid w:val="00BA276C"/>
    <w:rsid w:val="00BA307D"/>
    <w:rsid w:val="00BA5544"/>
    <w:rsid w:val="00BB1E43"/>
    <w:rsid w:val="00BB306F"/>
    <w:rsid w:val="00BB3FBD"/>
    <w:rsid w:val="00BC6A2C"/>
    <w:rsid w:val="00BC6C79"/>
    <w:rsid w:val="00BC6CD0"/>
    <w:rsid w:val="00BC796E"/>
    <w:rsid w:val="00BD1174"/>
    <w:rsid w:val="00BD4B89"/>
    <w:rsid w:val="00BD5573"/>
    <w:rsid w:val="00BD5922"/>
    <w:rsid w:val="00BD76D9"/>
    <w:rsid w:val="00BE26FE"/>
    <w:rsid w:val="00BE779C"/>
    <w:rsid w:val="00BF02CB"/>
    <w:rsid w:val="00BF2F10"/>
    <w:rsid w:val="00BF514A"/>
    <w:rsid w:val="00BF6FD8"/>
    <w:rsid w:val="00BF6FFB"/>
    <w:rsid w:val="00BF7641"/>
    <w:rsid w:val="00BF775D"/>
    <w:rsid w:val="00C03680"/>
    <w:rsid w:val="00C054DF"/>
    <w:rsid w:val="00C07000"/>
    <w:rsid w:val="00C10005"/>
    <w:rsid w:val="00C10AFC"/>
    <w:rsid w:val="00C21562"/>
    <w:rsid w:val="00C21762"/>
    <w:rsid w:val="00C21FEF"/>
    <w:rsid w:val="00C24543"/>
    <w:rsid w:val="00C256A2"/>
    <w:rsid w:val="00C35A26"/>
    <w:rsid w:val="00C51515"/>
    <w:rsid w:val="00C53910"/>
    <w:rsid w:val="00C5660B"/>
    <w:rsid w:val="00C56854"/>
    <w:rsid w:val="00C56F75"/>
    <w:rsid w:val="00C5788A"/>
    <w:rsid w:val="00C57C67"/>
    <w:rsid w:val="00C631B4"/>
    <w:rsid w:val="00C66B72"/>
    <w:rsid w:val="00C71320"/>
    <w:rsid w:val="00C80E8A"/>
    <w:rsid w:val="00C87AC4"/>
    <w:rsid w:val="00C9533E"/>
    <w:rsid w:val="00C9567A"/>
    <w:rsid w:val="00CA3C5F"/>
    <w:rsid w:val="00CA3C71"/>
    <w:rsid w:val="00CA48A3"/>
    <w:rsid w:val="00CA519C"/>
    <w:rsid w:val="00CB212D"/>
    <w:rsid w:val="00CB2660"/>
    <w:rsid w:val="00CB6F93"/>
    <w:rsid w:val="00CB7335"/>
    <w:rsid w:val="00CC0BFD"/>
    <w:rsid w:val="00CC395D"/>
    <w:rsid w:val="00CC3C86"/>
    <w:rsid w:val="00CC5E90"/>
    <w:rsid w:val="00CC7445"/>
    <w:rsid w:val="00CD046C"/>
    <w:rsid w:val="00CD063F"/>
    <w:rsid w:val="00CD186A"/>
    <w:rsid w:val="00CD1EBA"/>
    <w:rsid w:val="00CD240E"/>
    <w:rsid w:val="00CE076C"/>
    <w:rsid w:val="00CE45CF"/>
    <w:rsid w:val="00CE5199"/>
    <w:rsid w:val="00CE66D5"/>
    <w:rsid w:val="00CF3984"/>
    <w:rsid w:val="00CF637A"/>
    <w:rsid w:val="00D0051F"/>
    <w:rsid w:val="00D0423A"/>
    <w:rsid w:val="00D059DE"/>
    <w:rsid w:val="00D05ABD"/>
    <w:rsid w:val="00D11130"/>
    <w:rsid w:val="00D13FCE"/>
    <w:rsid w:val="00D16651"/>
    <w:rsid w:val="00D17E8C"/>
    <w:rsid w:val="00D22372"/>
    <w:rsid w:val="00D306D1"/>
    <w:rsid w:val="00D30800"/>
    <w:rsid w:val="00D314F3"/>
    <w:rsid w:val="00D34786"/>
    <w:rsid w:val="00D365D9"/>
    <w:rsid w:val="00D37BFC"/>
    <w:rsid w:val="00D42822"/>
    <w:rsid w:val="00D47653"/>
    <w:rsid w:val="00D47A8E"/>
    <w:rsid w:val="00D52D14"/>
    <w:rsid w:val="00D55256"/>
    <w:rsid w:val="00D56D93"/>
    <w:rsid w:val="00D70C4F"/>
    <w:rsid w:val="00D712D3"/>
    <w:rsid w:val="00D71422"/>
    <w:rsid w:val="00D72DC6"/>
    <w:rsid w:val="00D73F5E"/>
    <w:rsid w:val="00D7558D"/>
    <w:rsid w:val="00D77503"/>
    <w:rsid w:val="00D81D92"/>
    <w:rsid w:val="00D85F62"/>
    <w:rsid w:val="00D876F9"/>
    <w:rsid w:val="00D877B6"/>
    <w:rsid w:val="00D93A90"/>
    <w:rsid w:val="00DA28B1"/>
    <w:rsid w:val="00DA7B5F"/>
    <w:rsid w:val="00DB17A0"/>
    <w:rsid w:val="00DC0084"/>
    <w:rsid w:val="00DC11E7"/>
    <w:rsid w:val="00DC7023"/>
    <w:rsid w:val="00DC769A"/>
    <w:rsid w:val="00DD061E"/>
    <w:rsid w:val="00DD3D86"/>
    <w:rsid w:val="00DE12F0"/>
    <w:rsid w:val="00DE4071"/>
    <w:rsid w:val="00DE6D97"/>
    <w:rsid w:val="00DF1115"/>
    <w:rsid w:val="00DF1EC4"/>
    <w:rsid w:val="00DF51E9"/>
    <w:rsid w:val="00E01943"/>
    <w:rsid w:val="00E0340B"/>
    <w:rsid w:val="00E04A90"/>
    <w:rsid w:val="00E0551F"/>
    <w:rsid w:val="00E2171D"/>
    <w:rsid w:val="00E219C7"/>
    <w:rsid w:val="00E256DA"/>
    <w:rsid w:val="00E26521"/>
    <w:rsid w:val="00E26CCA"/>
    <w:rsid w:val="00E27F56"/>
    <w:rsid w:val="00E3582A"/>
    <w:rsid w:val="00E3650E"/>
    <w:rsid w:val="00E37026"/>
    <w:rsid w:val="00E40792"/>
    <w:rsid w:val="00E4118C"/>
    <w:rsid w:val="00E43157"/>
    <w:rsid w:val="00E43ED7"/>
    <w:rsid w:val="00E461CE"/>
    <w:rsid w:val="00E62F9E"/>
    <w:rsid w:val="00E7201C"/>
    <w:rsid w:val="00E720CA"/>
    <w:rsid w:val="00E727B3"/>
    <w:rsid w:val="00E75525"/>
    <w:rsid w:val="00E80B88"/>
    <w:rsid w:val="00E810D4"/>
    <w:rsid w:val="00E82B20"/>
    <w:rsid w:val="00E845BE"/>
    <w:rsid w:val="00E84EB5"/>
    <w:rsid w:val="00E85662"/>
    <w:rsid w:val="00E8789F"/>
    <w:rsid w:val="00E92747"/>
    <w:rsid w:val="00E92AFF"/>
    <w:rsid w:val="00E97B71"/>
    <w:rsid w:val="00EA2CD7"/>
    <w:rsid w:val="00EA3D34"/>
    <w:rsid w:val="00EB3B87"/>
    <w:rsid w:val="00EB454D"/>
    <w:rsid w:val="00EB66D0"/>
    <w:rsid w:val="00EC095B"/>
    <w:rsid w:val="00EC1605"/>
    <w:rsid w:val="00EC247E"/>
    <w:rsid w:val="00EC26E9"/>
    <w:rsid w:val="00EC5840"/>
    <w:rsid w:val="00EC72AB"/>
    <w:rsid w:val="00ED2F03"/>
    <w:rsid w:val="00ED549D"/>
    <w:rsid w:val="00ED76BE"/>
    <w:rsid w:val="00ED7F05"/>
    <w:rsid w:val="00EE00E9"/>
    <w:rsid w:val="00EE014D"/>
    <w:rsid w:val="00EE4D21"/>
    <w:rsid w:val="00EE5B7B"/>
    <w:rsid w:val="00EE7D98"/>
    <w:rsid w:val="00EF35AB"/>
    <w:rsid w:val="00EF4C44"/>
    <w:rsid w:val="00EF59BF"/>
    <w:rsid w:val="00EF5DC8"/>
    <w:rsid w:val="00EF619B"/>
    <w:rsid w:val="00F0073C"/>
    <w:rsid w:val="00F00B55"/>
    <w:rsid w:val="00F02AD1"/>
    <w:rsid w:val="00F04591"/>
    <w:rsid w:val="00F06354"/>
    <w:rsid w:val="00F10C7E"/>
    <w:rsid w:val="00F11423"/>
    <w:rsid w:val="00F13BBC"/>
    <w:rsid w:val="00F1457D"/>
    <w:rsid w:val="00F1614B"/>
    <w:rsid w:val="00F23377"/>
    <w:rsid w:val="00F23631"/>
    <w:rsid w:val="00F24C9B"/>
    <w:rsid w:val="00F253CC"/>
    <w:rsid w:val="00F279F1"/>
    <w:rsid w:val="00F30AE2"/>
    <w:rsid w:val="00F332EF"/>
    <w:rsid w:val="00F37106"/>
    <w:rsid w:val="00F41953"/>
    <w:rsid w:val="00F44829"/>
    <w:rsid w:val="00F519CF"/>
    <w:rsid w:val="00F53168"/>
    <w:rsid w:val="00F533A2"/>
    <w:rsid w:val="00F53676"/>
    <w:rsid w:val="00F56BA5"/>
    <w:rsid w:val="00F60E22"/>
    <w:rsid w:val="00F63B39"/>
    <w:rsid w:val="00F71140"/>
    <w:rsid w:val="00F81395"/>
    <w:rsid w:val="00F81457"/>
    <w:rsid w:val="00F81887"/>
    <w:rsid w:val="00F81BB8"/>
    <w:rsid w:val="00F82AE4"/>
    <w:rsid w:val="00F917D1"/>
    <w:rsid w:val="00F924F8"/>
    <w:rsid w:val="00F9342C"/>
    <w:rsid w:val="00F93B0D"/>
    <w:rsid w:val="00F9653B"/>
    <w:rsid w:val="00FA1A4C"/>
    <w:rsid w:val="00FA3048"/>
    <w:rsid w:val="00FA56EA"/>
    <w:rsid w:val="00FB62CF"/>
    <w:rsid w:val="00FB6727"/>
    <w:rsid w:val="00FB71F2"/>
    <w:rsid w:val="00FC0F4A"/>
    <w:rsid w:val="00FC22EA"/>
    <w:rsid w:val="00FC2FB9"/>
    <w:rsid w:val="00FC3330"/>
    <w:rsid w:val="00FC3A1D"/>
    <w:rsid w:val="00FC57DB"/>
    <w:rsid w:val="00FD09A6"/>
    <w:rsid w:val="00FD0D9D"/>
    <w:rsid w:val="00FD3C3B"/>
    <w:rsid w:val="00FD7C15"/>
    <w:rsid w:val="00FE07DD"/>
    <w:rsid w:val="00FE6353"/>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FD0D9D"/>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styleId="UnresolvedMention">
    <w:name w:val="Unresolved Mention"/>
    <w:basedOn w:val="DefaultParagraphFont"/>
    <w:uiPriority w:val="99"/>
    <w:semiHidden/>
    <w:unhideWhenUsed/>
    <w:rsid w:val="00A74D9B"/>
    <w:rPr>
      <w:color w:val="605E5C"/>
      <w:shd w:val="clear" w:color="auto" w:fill="E1DFDD"/>
    </w:rPr>
  </w:style>
  <w:style w:type="character" w:customStyle="1" w:styleId="sb8d990e2">
    <w:name w:val="sb8d990e2"/>
    <w:basedOn w:val="DefaultParagraphFont"/>
    <w:rsid w:val="00FC3A1D"/>
  </w:style>
  <w:style w:type="paragraph" w:customStyle="1" w:styleId="paragraph">
    <w:name w:val="paragraph"/>
    <w:basedOn w:val="Normal"/>
    <w:rsid w:val="0000367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003673"/>
  </w:style>
  <w:style w:type="character" w:customStyle="1" w:styleId="eop">
    <w:name w:val="eop"/>
    <w:basedOn w:val="DefaultParagraphFont"/>
    <w:rsid w:val="00003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CE060-65A0-4A62-9A22-D13517D40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3161</Words>
  <Characters>18023</Characters>
  <Application>Microsoft Office Word</Application>
  <DocSecurity>0</DocSecurity>
  <Lines>150</Lines>
  <Paragraphs>42</Paragraphs>
  <ScaleCrop>false</ScaleCrop>
  <Company/>
  <LinksUpToDate>false</LinksUpToDate>
  <CharactersWithSpaces>21142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2023-03-24T18:20:00Z</dcterms:created>
  <dcterms:modified xsi:type="dcterms:W3CDTF">2023-03-24T18:20:00Z</dcterms:modified>
</cp:coreProperties>
</file>