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24298" w:rsidRDefault="00D306D1" w:rsidP="00627C9F">
      <w:pPr>
        <w:jc w:val="both"/>
        <w:rPr>
          <w:rFonts w:asciiTheme="majorHAnsi" w:hAnsiTheme="majorHAnsi" w:cs="Univers"/>
          <w:b/>
          <w:bCs/>
          <w:sz w:val="22"/>
          <w:szCs w:val="22"/>
          <w:lang w:val="es-419"/>
        </w:rPr>
      </w:pPr>
      <w:r w:rsidRPr="00B24298">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DE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24298">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24298">
        <w:rPr>
          <w:rFonts w:asciiTheme="majorHAnsi" w:hAnsiTheme="majorHAnsi" w:cs="Univers"/>
          <w:b/>
          <w:bCs/>
          <w:sz w:val="22"/>
          <w:szCs w:val="22"/>
          <w:lang w:val="es-419"/>
        </w:rPr>
        <w:t xml:space="preserve"> </w:t>
      </w:r>
    </w:p>
    <w:p w14:paraId="751BC92D" w14:textId="77777777" w:rsidR="00040C3A" w:rsidRPr="00B24298"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B24298"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B24298" w:rsidRDefault="005128E4" w:rsidP="00040C3A">
      <w:pPr>
        <w:tabs>
          <w:tab w:val="center" w:pos="5400"/>
        </w:tabs>
        <w:suppressAutoHyphens/>
        <w:rPr>
          <w:rFonts w:asciiTheme="majorHAnsi" w:hAnsiTheme="majorHAnsi"/>
          <w:sz w:val="22"/>
          <w:szCs w:val="22"/>
          <w:lang w:val="es-419"/>
        </w:rPr>
      </w:pPr>
    </w:p>
    <w:p w14:paraId="7F51F08B" w14:textId="77777777" w:rsidR="005128E4" w:rsidRPr="00B24298" w:rsidRDefault="005128E4" w:rsidP="00040C3A">
      <w:pPr>
        <w:tabs>
          <w:tab w:val="center" w:pos="5400"/>
        </w:tabs>
        <w:suppressAutoHyphens/>
        <w:rPr>
          <w:rFonts w:asciiTheme="majorHAnsi" w:hAnsiTheme="majorHAnsi"/>
          <w:sz w:val="22"/>
          <w:szCs w:val="22"/>
          <w:lang w:val="es-419"/>
        </w:rPr>
      </w:pPr>
    </w:p>
    <w:p w14:paraId="058606A7" w14:textId="77777777" w:rsidR="005128E4" w:rsidRPr="00B24298" w:rsidRDefault="005128E4" w:rsidP="00040C3A">
      <w:pPr>
        <w:tabs>
          <w:tab w:val="center" w:pos="5400"/>
        </w:tabs>
        <w:suppressAutoHyphens/>
        <w:rPr>
          <w:rFonts w:asciiTheme="majorHAnsi" w:hAnsiTheme="majorHAnsi"/>
          <w:sz w:val="22"/>
          <w:szCs w:val="22"/>
          <w:lang w:val="es-419"/>
        </w:rPr>
      </w:pPr>
    </w:p>
    <w:p w14:paraId="01B9D56A" w14:textId="77777777" w:rsidR="00040C3A" w:rsidRPr="00B24298"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B24298"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B24298"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B24298"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B24298"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B24298" w:rsidRDefault="003D3BC2" w:rsidP="00040C3A">
      <w:pPr>
        <w:tabs>
          <w:tab w:val="center" w:pos="5400"/>
        </w:tabs>
        <w:suppressAutoHyphens/>
        <w:jc w:val="center"/>
        <w:rPr>
          <w:rFonts w:asciiTheme="majorHAnsi" w:hAnsiTheme="majorHAnsi"/>
          <w:sz w:val="22"/>
          <w:szCs w:val="22"/>
          <w:lang w:val="es-419"/>
        </w:rPr>
      </w:pPr>
      <w:r w:rsidRPr="00B24298">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12BAFA3A">
                <wp:simplePos x="0" y="0"/>
                <wp:positionH relativeFrom="column">
                  <wp:posOffset>1348965</wp:posOffset>
                </wp:positionH>
                <wp:positionV relativeFrom="paragraph">
                  <wp:posOffset>107051</wp:posOffset>
                </wp:positionV>
                <wp:extent cx="4771177"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71177"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B2569A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861E7">
                              <w:rPr>
                                <w:rFonts w:asciiTheme="majorHAnsi" w:hAnsiTheme="majorHAnsi" w:cs="Arial"/>
                                <w:b/>
                                <w:bCs/>
                                <w:color w:val="0D0D0D" w:themeColor="text1" w:themeTint="F2"/>
                                <w:sz w:val="36"/>
                                <w:szCs w:val="22"/>
                                <w:lang w:val="es-ES_tradnl"/>
                              </w:rPr>
                              <w:t>236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06788D">
                              <w:rPr>
                                <w:rFonts w:asciiTheme="majorHAnsi" w:hAnsiTheme="majorHAnsi" w:cs="Arial"/>
                                <w:b/>
                                <w:bCs/>
                                <w:color w:val="0D0D0D" w:themeColor="text1" w:themeTint="F2"/>
                                <w:sz w:val="36"/>
                                <w:szCs w:val="22"/>
                                <w:lang w:val="es-ES_tradnl"/>
                              </w:rPr>
                              <w:t>3</w:t>
                            </w:r>
                          </w:p>
                          <w:p w14:paraId="45F30ECA" w14:textId="3A0D371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F6C63">
                              <w:rPr>
                                <w:rFonts w:asciiTheme="majorHAnsi" w:hAnsiTheme="majorHAnsi" w:cs="Arial"/>
                                <w:b/>
                                <w:color w:val="0D0D0D" w:themeColor="text1" w:themeTint="F2"/>
                                <w:sz w:val="36"/>
                                <w:szCs w:val="22"/>
                                <w:lang w:val="es-ES_tradnl"/>
                              </w:rPr>
                              <w:t>460-15</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642D0DEF" w:rsidR="00A72E93" w:rsidRDefault="00DF6C63"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EX</w:t>
                            </w:r>
                            <w:r w:rsidR="00600C8E">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COMBATIENTES DE </w:t>
                            </w:r>
                            <w:r w:rsidR="00E122D0">
                              <w:rPr>
                                <w:rFonts w:asciiTheme="majorHAnsi" w:hAnsiTheme="majorHAnsi" w:cs="Arial"/>
                                <w:color w:val="0D0D0D" w:themeColor="text1" w:themeTint="F2"/>
                                <w:szCs w:val="22"/>
                                <w:lang w:val="es-ES_tradnl"/>
                              </w:rPr>
                              <w:t xml:space="preserve">LAS </w:t>
                            </w:r>
                            <w:r w:rsidR="00BF0D6F" w:rsidRPr="006A6677">
                              <w:rPr>
                                <w:rFonts w:asciiTheme="majorHAnsi" w:hAnsiTheme="majorHAnsi" w:cs="Arial"/>
                                <w:color w:val="0D0D0D" w:themeColor="text1" w:themeTint="F2"/>
                                <w:szCs w:val="22"/>
                                <w:lang w:val="es-ES_tradnl"/>
                              </w:rPr>
                              <w:t>MALVINAS</w:t>
                            </w:r>
                            <w:r w:rsidR="00BF0D6F">
                              <w:rPr>
                                <w:rFonts w:asciiTheme="majorHAnsi" w:hAnsiTheme="majorHAnsi" w:cs="Arial"/>
                                <w:color w:val="0D0D0D" w:themeColor="text1" w:themeTint="F2"/>
                                <w:szCs w:val="22"/>
                                <w:lang w:val="es-ES_tradnl"/>
                              </w:rPr>
                              <w:t xml:space="preserve"> Y</w:t>
                            </w:r>
                            <w:r w:rsidR="00600C8E">
                              <w:rPr>
                                <w:rFonts w:asciiTheme="majorHAnsi" w:hAnsiTheme="majorHAnsi" w:cs="Arial"/>
                                <w:color w:val="0D0D0D" w:themeColor="text1" w:themeTint="F2"/>
                                <w:szCs w:val="22"/>
                                <w:lang w:val="es-ES_tradnl"/>
                              </w:rPr>
                              <w:t xml:space="preserve"> FAMILIARES</w:t>
                            </w:r>
                          </w:p>
                          <w:p w14:paraId="0B9F7D22" w14:textId="60C81E41" w:rsidR="005B52B0" w:rsidRPr="00AE5488" w:rsidRDefault="0006788D"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2pt;margin-top:8.45pt;width:375.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" filled="f" stroked="f" strokeweight=".5pt">
                <v:textbox>
                  <w:txbxContent>
                    <w:p w14:paraId="7D7328D9" w14:textId="6B2569A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861E7">
                        <w:rPr>
                          <w:rFonts w:asciiTheme="majorHAnsi" w:hAnsiTheme="majorHAnsi" w:cs="Arial"/>
                          <w:b/>
                          <w:bCs/>
                          <w:color w:val="0D0D0D" w:themeColor="text1" w:themeTint="F2"/>
                          <w:sz w:val="36"/>
                          <w:szCs w:val="22"/>
                          <w:lang w:val="es-ES_tradnl"/>
                        </w:rPr>
                        <w:t>236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06788D">
                        <w:rPr>
                          <w:rFonts w:asciiTheme="majorHAnsi" w:hAnsiTheme="majorHAnsi" w:cs="Arial"/>
                          <w:b/>
                          <w:bCs/>
                          <w:color w:val="0D0D0D" w:themeColor="text1" w:themeTint="F2"/>
                          <w:sz w:val="36"/>
                          <w:szCs w:val="22"/>
                          <w:lang w:val="es-ES_tradnl"/>
                        </w:rPr>
                        <w:t>3</w:t>
                      </w:r>
                    </w:p>
                    <w:p w14:paraId="45F30ECA" w14:textId="3A0D371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F6C63">
                        <w:rPr>
                          <w:rFonts w:asciiTheme="majorHAnsi" w:hAnsiTheme="majorHAnsi" w:cs="Arial"/>
                          <w:b/>
                          <w:color w:val="0D0D0D" w:themeColor="text1" w:themeTint="F2"/>
                          <w:sz w:val="36"/>
                          <w:szCs w:val="22"/>
                          <w:lang w:val="es-ES_tradnl"/>
                        </w:rPr>
                        <w:t>460-15</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642D0DEF" w:rsidR="00A72E93" w:rsidRDefault="00DF6C63"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EX</w:t>
                      </w:r>
                      <w:r w:rsidR="00600C8E">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COMBATIENTES DE </w:t>
                      </w:r>
                      <w:r w:rsidR="00E122D0">
                        <w:rPr>
                          <w:rFonts w:asciiTheme="majorHAnsi" w:hAnsiTheme="majorHAnsi" w:cs="Arial"/>
                          <w:color w:val="0D0D0D" w:themeColor="text1" w:themeTint="F2"/>
                          <w:szCs w:val="22"/>
                          <w:lang w:val="es-ES_tradnl"/>
                        </w:rPr>
                        <w:t xml:space="preserve">LAS </w:t>
                      </w:r>
                      <w:r w:rsidR="00BF0D6F" w:rsidRPr="006A6677">
                        <w:rPr>
                          <w:rFonts w:asciiTheme="majorHAnsi" w:hAnsiTheme="majorHAnsi" w:cs="Arial"/>
                          <w:color w:val="0D0D0D" w:themeColor="text1" w:themeTint="F2"/>
                          <w:szCs w:val="22"/>
                          <w:lang w:val="es-ES_tradnl"/>
                        </w:rPr>
                        <w:t>MALVINAS</w:t>
                      </w:r>
                      <w:r w:rsidR="00BF0D6F">
                        <w:rPr>
                          <w:rFonts w:asciiTheme="majorHAnsi" w:hAnsiTheme="majorHAnsi" w:cs="Arial"/>
                          <w:color w:val="0D0D0D" w:themeColor="text1" w:themeTint="F2"/>
                          <w:szCs w:val="22"/>
                          <w:lang w:val="es-ES_tradnl"/>
                        </w:rPr>
                        <w:t xml:space="preserve"> Y</w:t>
                      </w:r>
                      <w:r w:rsidR="00600C8E">
                        <w:rPr>
                          <w:rFonts w:asciiTheme="majorHAnsi" w:hAnsiTheme="majorHAnsi" w:cs="Arial"/>
                          <w:color w:val="0D0D0D" w:themeColor="text1" w:themeTint="F2"/>
                          <w:szCs w:val="22"/>
                          <w:lang w:val="es-ES_tradnl"/>
                        </w:rPr>
                        <w:t xml:space="preserve"> FAMILIARES</w:t>
                      </w:r>
                    </w:p>
                    <w:p w14:paraId="0B9F7D22" w14:textId="60C81E41" w:rsidR="005B52B0" w:rsidRPr="00AE5488" w:rsidRDefault="0006788D"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B24298">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35BF353" w:rsidR="00627C9F" w:rsidRPr="00C90467" w:rsidRDefault="00834D49" w:rsidP="007A5817">
                            <w:pPr>
                              <w:spacing w:line="276" w:lineRule="auto"/>
                              <w:jc w:val="right"/>
                              <w:rPr>
                                <w:rFonts w:asciiTheme="minorHAnsi" w:hAnsiTheme="minorHAnsi"/>
                                <w:color w:val="FFFFFF" w:themeColor="background1"/>
                                <w:sz w:val="22"/>
                                <w:lang w:val="es-ES"/>
                              </w:rPr>
                            </w:pPr>
                            <w:r w:rsidRPr="00C90467">
                              <w:rPr>
                                <w:rFonts w:asciiTheme="minorHAnsi" w:hAnsiTheme="minorHAnsi"/>
                                <w:color w:val="FFFFFF" w:themeColor="background1"/>
                                <w:sz w:val="22"/>
                                <w:lang w:val="es-ES"/>
                              </w:rPr>
                              <w:t>OEA/Ser.L/V/II</w:t>
                            </w:r>
                          </w:p>
                          <w:p w14:paraId="71D2D5D2" w14:textId="0A51116B" w:rsidR="00627C9F" w:rsidRPr="00C90467" w:rsidRDefault="00627C9F" w:rsidP="007A5817">
                            <w:pPr>
                              <w:spacing w:line="276" w:lineRule="auto"/>
                              <w:jc w:val="right"/>
                              <w:rPr>
                                <w:rFonts w:asciiTheme="minorHAnsi" w:hAnsiTheme="minorHAnsi"/>
                                <w:color w:val="FFFFFF" w:themeColor="background1"/>
                                <w:sz w:val="22"/>
                                <w:lang w:val="es-ES"/>
                              </w:rPr>
                            </w:pPr>
                            <w:r w:rsidRPr="00C90467">
                              <w:rPr>
                                <w:rFonts w:asciiTheme="minorHAnsi" w:hAnsiTheme="minorHAnsi"/>
                                <w:color w:val="FFFFFF" w:themeColor="background1"/>
                                <w:sz w:val="22"/>
                                <w:lang w:val="es-ES"/>
                              </w:rPr>
                              <w:t xml:space="preserve">Doc. </w:t>
                            </w:r>
                            <w:r w:rsidR="00DC13C3" w:rsidRPr="00C90467">
                              <w:rPr>
                                <w:rFonts w:asciiTheme="minorHAnsi" w:hAnsiTheme="minorHAnsi"/>
                                <w:color w:val="FFFFFF" w:themeColor="background1"/>
                                <w:sz w:val="22"/>
                                <w:lang w:val="es-ES"/>
                              </w:rPr>
                              <w:t>255</w:t>
                            </w:r>
                          </w:p>
                          <w:p w14:paraId="4061DBBD" w14:textId="09784938" w:rsidR="00627C9F" w:rsidRPr="00C25ADB" w:rsidRDefault="00DC13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6788D">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35BF353" w:rsidR="00627C9F" w:rsidRPr="00C90467" w:rsidRDefault="00834D49" w:rsidP="007A5817">
                      <w:pPr>
                        <w:spacing w:line="276" w:lineRule="auto"/>
                        <w:jc w:val="right"/>
                        <w:rPr>
                          <w:rFonts w:asciiTheme="minorHAnsi" w:hAnsiTheme="minorHAnsi"/>
                          <w:color w:val="FFFFFF" w:themeColor="background1"/>
                          <w:sz w:val="22"/>
                          <w:lang w:val="es-ES"/>
                        </w:rPr>
                      </w:pPr>
                      <w:r w:rsidRPr="00C90467">
                        <w:rPr>
                          <w:rFonts w:asciiTheme="minorHAnsi" w:hAnsiTheme="minorHAnsi"/>
                          <w:color w:val="FFFFFF" w:themeColor="background1"/>
                          <w:sz w:val="22"/>
                          <w:lang w:val="es-ES"/>
                        </w:rPr>
                        <w:t>OEA/Ser.L/V/II</w:t>
                      </w:r>
                    </w:p>
                    <w:p w14:paraId="71D2D5D2" w14:textId="0A51116B" w:rsidR="00627C9F" w:rsidRPr="00C90467" w:rsidRDefault="00627C9F" w:rsidP="007A5817">
                      <w:pPr>
                        <w:spacing w:line="276" w:lineRule="auto"/>
                        <w:jc w:val="right"/>
                        <w:rPr>
                          <w:rFonts w:asciiTheme="minorHAnsi" w:hAnsiTheme="minorHAnsi"/>
                          <w:color w:val="FFFFFF" w:themeColor="background1"/>
                          <w:sz w:val="22"/>
                          <w:lang w:val="es-ES"/>
                        </w:rPr>
                      </w:pPr>
                      <w:r w:rsidRPr="00C90467">
                        <w:rPr>
                          <w:rFonts w:asciiTheme="minorHAnsi" w:hAnsiTheme="minorHAnsi"/>
                          <w:color w:val="FFFFFF" w:themeColor="background1"/>
                          <w:sz w:val="22"/>
                          <w:lang w:val="es-ES"/>
                        </w:rPr>
                        <w:t xml:space="preserve">Doc. </w:t>
                      </w:r>
                      <w:r w:rsidR="00DC13C3" w:rsidRPr="00C90467">
                        <w:rPr>
                          <w:rFonts w:asciiTheme="minorHAnsi" w:hAnsiTheme="minorHAnsi"/>
                          <w:color w:val="FFFFFF" w:themeColor="background1"/>
                          <w:sz w:val="22"/>
                          <w:lang w:val="es-ES"/>
                        </w:rPr>
                        <w:t>255</w:t>
                      </w:r>
                    </w:p>
                    <w:p w14:paraId="4061DBBD" w14:textId="09784938" w:rsidR="00627C9F" w:rsidRPr="00C25ADB" w:rsidRDefault="00DC13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6788D">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B24298"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B24298" w:rsidRDefault="0090270B" w:rsidP="00040C3A">
      <w:pPr>
        <w:tabs>
          <w:tab w:val="center" w:pos="5400"/>
        </w:tabs>
        <w:suppressAutoHyphens/>
        <w:jc w:val="center"/>
        <w:rPr>
          <w:rFonts w:asciiTheme="majorHAnsi" w:hAnsiTheme="majorHAnsi"/>
          <w:sz w:val="18"/>
          <w:szCs w:val="22"/>
          <w:lang w:val="es-419"/>
        </w:rPr>
      </w:pPr>
      <w:r w:rsidRPr="00B24298">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677DFC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A4068">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6A406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6788D">
                              <w:rPr>
                                <w:rFonts w:asciiTheme="majorHAnsi" w:hAnsiTheme="majorHAnsi"/>
                                <w:color w:val="0D0D0D" w:themeColor="text1" w:themeTint="F2"/>
                                <w:sz w:val="18"/>
                                <w:szCs w:val="22"/>
                                <w:lang w:val="es-ES"/>
                              </w:rPr>
                              <w:t>3</w:t>
                            </w:r>
                            <w:r w:rsidR="00DC13C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677DFC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A4068">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6A406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6788D">
                        <w:rPr>
                          <w:rFonts w:asciiTheme="majorHAnsi" w:hAnsiTheme="majorHAnsi"/>
                          <w:color w:val="0D0D0D" w:themeColor="text1" w:themeTint="F2"/>
                          <w:sz w:val="18"/>
                          <w:szCs w:val="22"/>
                          <w:lang w:val="es-ES"/>
                        </w:rPr>
                        <w:t>3</w:t>
                      </w:r>
                      <w:r w:rsidR="00DC13C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B24298" w:rsidRDefault="0090270B" w:rsidP="00040C3A">
      <w:pPr>
        <w:tabs>
          <w:tab w:val="center" w:pos="5400"/>
        </w:tabs>
        <w:suppressAutoHyphens/>
        <w:jc w:val="center"/>
        <w:rPr>
          <w:rFonts w:asciiTheme="majorHAnsi" w:hAnsiTheme="majorHAnsi"/>
          <w:sz w:val="18"/>
          <w:szCs w:val="22"/>
          <w:lang w:val="es-419"/>
        </w:rPr>
      </w:pPr>
      <w:r w:rsidRPr="00B24298">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A3FD71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A4068" w:rsidRPr="006A4068">
                              <w:rPr>
                                <w:rFonts w:asciiTheme="majorHAnsi" w:hAnsiTheme="majorHAnsi"/>
                                <w:color w:val="595959" w:themeColor="text1" w:themeTint="A6"/>
                                <w:sz w:val="18"/>
                                <w:szCs w:val="18"/>
                                <w:lang w:val="pt-BR"/>
                              </w:rPr>
                              <w:t>236</w:t>
                            </w:r>
                            <w:r w:rsidR="007B05C4" w:rsidRPr="006A4068">
                              <w:rPr>
                                <w:rFonts w:asciiTheme="majorHAnsi" w:hAnsiTheme="majorHAnsi"/>
                                <w:color w:val="595959" w:themeColor="text1" w:themeTint="A6"/>
                                <w:sz w:val="18"/>
                                <w:szCs w:val="18"/>
                                <w:lang w:val="pt-BR"/>
                              </w:rPr>
                              <w:t>/</w:t>
                            </w:r>
                            <w:r w:rsidR="006A4068" w:rsidRPr="006A4068">
                              <w:rPr>
                                <w:rFonts w:asciiTheme="majorHAnsi" w:hAnsiTheme="majorHAnsi"/>
                                <w:color w:val="595959" w:themeColor="text1" w:themeTint="A6"/>
                                <w:sz w:val="18"/>
                                <w:szCs w:val="18"/>
                                <w:lang w:val="pt-BR"/>
                              </w:rPr>
                              <w:t>23</w:t>
                            </w:r>
                            <w:r w:rsidRPr="006A406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F6C63">
                              <w:rPr>
                                <w:rFonts w:asciiTheme="majorHAnsi" w:hAnsiTheme="majorHAnsi"/>
                                <w:color w:val="595959" w:themeColor="text1" w:themeTint="A6"/>
                                <w:sz w:val="18"/>
                                <w:szCs w:val="18"/>
                                <w:lang w:val="es-ES"/>
                              </w:rPr>
                              <w:t>460-15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F6C63">
                              <w:rPr>
                                <w:rFonts w:asciiTheme="majorHAnsi" w:hAnsiTheme="majorHAnsi"/>
                                <w:color w:val="595959" w:themeColor="text1" w:themeTint="A6"/>
                                <w:sz w:val="18"/>
                                <w:szCs w:val="18"/>
                                <w:lang w:val="es-ES_tradnl"/>
                              </w:rPr>
                              <w:t xml:space="preserve">Ex Combatientes de </w:t>
                            </w:r>
                            <w:r w:rsidR="00A62573">
                              <w:rPr>
                                <w:rFonts w:asciiTheme="majorHAnsi" w:hAnsiTheme="majorHAnsi"/>
                                <w:color w:val="595959" w:themeColor="text1" w:themeTint="A6"/>
                                <w:sz w:val="18"/>
                                <w:szCs w:val="18"/>
                                <w:lang w:val="es-ES_tradnl"/>
                              </w:rPr>
                              <w:t xml:space="preserve">las </w:t>
                            </w:r>
                            <w:r w:rsidR="00DF6C63">
                              <w:rPr>
                                <w:rFonts w:asciiTheme="majorHAnsi" w:hAnsiTheme="majorHAnsi"/>
                                <w:color w:val="595959" w:themeColor="text1" w:themeTint="A6"/>
                                <w:sz w:val="18"/>
                                <w:szCs w:val="18"/>
                                <w:lang w:val="es-ES_tradnl"/>
                              </w:rPr>
                              <w:t>Malvinas</w:t>
                            </w:r>
                            <w:r w:rsidR="00FF3B14">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06788D">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A73E53">
                              <w:rPr>
                                <w:rFonts w:asciiTheme="majorHAnsi" w:hAnsiTheme="majorHAnsi"/>
                                <w:color w:val="595959" w:themeColor="text1" w:themeTint="A6"/>
                                <w:sz w:val="18"/>
                                <w:szCs w:val="18"/>
                                <w:lang w:val="es-ES"/>
                              </w:rPr>
                              <w:t>22 de octubre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A3FD71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A4068" w:rsidRPr="006A4068">
                        <w:rPr>
                          <w:rFonts w:asciiTheme="majorHAnsi" w:hAnsiTheme="majorHAnsi"/>
                          <w:color w:val="595959" w:themeColor="text1" w:themeTint="A6"/>
                          <w:sz w:val="18"/>
                          <w:szCs w:val="18"/>
                          <w:lang w:val="pt-BR"/>
                        </w:rPr>
                        <w:t>236</w:t>
                      </w:r>
                      <w:r w:rsidR="007B05C4" w:rsidRPr="006A4068">
                        <w:rPr>
                          <w:rFonts w:asciiTheme="majorHAnsi" w:hAnsiTheme="majorHAnsi"/>
                          <w:color w:val="595959" w:themeColor="text1" w:themeTint="A6"/>
                          <w:sz w:val="18"/>
                          <w:szCs w:val="18"/>
                          <w:lang w:val="pt-BR"/>
                        </w:rPr>
                        <w:t>/</w:t>
                      </w:r>
                      <w:r w:rsidR="006A4068" w:rsidRPr="006A4068">
                        <w:rPr>
                          <w:rFonts w:asciiTheme="majorHAnsi" w:hAnsiTheme="majorHAnsi"/>
                          <w:color w:val="595959" w:themeColor="text1" w:themeTint="A6"/>
                          <w:sz w:val="18"/>
                          <w:szCs w:val="18"/>
                          <w:lang w:val="pt-BR"/>
                        </w:rPr>
                        <w:t>23</w:t>
                      </w:r>
                      <w:r w:rsidRPr="006A406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F6C63">
                        <w:rPr>
                          <w:rFonts w:asciiTheme="majorHAnsi" w:hAnsiTheme="majorHAnsi"/>
                          <w:color w:val="595959" w:themeColor="text1" w:themeTint="A6"/>
                          <w:sz w:val="18"/>
                          <w:szCs w:val="18"/>
                          <w:lang w:val="es-ES"/>
                        </w:rPr>
                        <w:t>460-15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F6C63">
                        <w:rPr>
                          <w:rFonts w:asciiTheme="majorHAnsi" w:hAnsiTheme="majorHAnsi"/>
                          <w:color w:val="595959" w:themeColor="text1" w:themeTint="A6"/>
                          <w:sz w:val="18"/>
                          <w:szCs w:val="18"/>
                          <w:lang w:val="es-ES_tradnl"/>
                        </w:rPr>
                        <w:t xml:space="preserve">Ex Combatientes de </w:t>
                      </w:r>
                      <w:r w:rsidR="00A62573">
                        <w:rPr>
                          <w:rFonts w:asciiTheme="majorHAnsi" w:hAnsiTheme="majorHAnsi"/>
                          <w:color w:val="595959" w:themeColor="text1" w:themeTint="A6"/>
                          <w:sz w:val="18"/>
                          <w:szCs w:val="18"/>
                          <w:lang w:val="es-ES_tradnl"/>
                        </w:rPr>
                        <w:t xml:space="preserve">las </w:t>
                      </w:r>
                      <w:r w:rsidR="00DF6C63">
                        <w:rPr>
                          <w:rFonts w:asciiTheme="majorHAnsi" w:hAnsiTheme="majorHAnsi"/>
                          <w:color w:val="595959" w:themeColor="text1" w:themeTint="A6"/>
                          <w:sz w:val="18"/>
                          <w:szCs w:val="18"/>
                          <w:lang w:val="es-ES_tradnl"/>
                        </w:rPr>
                        <w:t>Malvinas</w:t>
                      </w:r>
                      <w:r w:rsidR="00FF3B14">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06788D">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A73E53">
                        <w:rPr>
                          <w:rFonts w:asciiTheme="majorHAnsi" w:hAnsiTheme="majorHAnsi"/>
                          <w:color w:val="595959" w:themeColor="text1" w:themeTint="A6"/>
                          <w:sz w:val="18"/>
                          <w:szCs w:val="18"/>
                          <w:lang w:val="es-ES"/>
                        </w:rPr>
                        <w:t>22 de octubre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B24298" w:rsidRDefault="00D306D1" w:rsidP="005516A1">
      <w:pPr>
        <w:tabs>
          <w:tab w:val="center" w:pos="5400"/>
        </w:tabs>
        <w:suppressAutoHyphens/>
        <w:jc w:val="center"/>
        <w:rPr>
          <w:rFonts w:asciiTheme="majorHAnsi" w:hAnsiTheme="majorHAnsi"/>
          <w:b/>
          <w:sz w:val="20"/>
          <w:lang w:val="es-419"/>
        </w:rPr>
      </w:pPr>
      <w:r w:rsidRPr="00B24298">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9E0638F" w:rsidR="00D72DC6" w:rsidRPr="00D72DC6" w:rsidRDefault="00A73E53" w:rsidP="00F02AD1">
                            <w:pPr>
                              <w:rPr>
                                <w:color w:val="FFFFFF" w:themeColor="background1"/>
                                <w14:textFill>
                                  <w14:noFill/>
                                </w14:textFill>
                              </w:rPr>
                            </w:pPr>
                            <w:r>
                              <w:rPr>
                                <w:noProof/>
                                <w:color w:val="FFFFFF" w:themeColor="background1"/>
                              </w:rPr>
                              <w:drawing>
                                <wp:inline distT="0" distB="0" distL="0" distR="0" wp14:anchorId="60585E68" wp14:editId="392AA67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9E0638F" w:rsidR="00D72DC6" w:rsidRPr="00D72DC6" w:rsidRDefault="00A73E53" w:rsidP="00F02AD1">
                      <w:pPr>
                        <w:rPr>
                          <w:color w:val="FFFFFF" w:themeColor="background1"/>
                          <w14:textFill>
                            <w14:noFill/>
                          </w14:textFill>
                        </w:rPr>
                      </w:pPr>
                      <w:r>
                        <w:rPr>
                          <w:noProof/>
                          <w:color w:val="FFFFFF" w:themeColor="background1"/>
                        </w:rPr>
                        <w:drawing>
                          <wp:inline distT="0" distB="0" distL="0" distR="0" wp14:anchorId="60585E68" wp14:editId="392AA67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24298">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24298" w:rsidRDefault="004A6A54" w:rsidP="005516A1">
      <w:pPr>
        <w:tabs>
          <w:tab w:val="center" w:pos="5400"/>
        </w:tabs>
        <w:suppressAutoHyphens/>
        <w:jc w:val="center"/>
        <w:rPr>
          <w:rFonts w:asciiTheme="majorHAnsi" w:hAnsiTheme="majorHAnsi"/>
          <w:b/>
          <w:sz w:val="20"/>
          <w:lang w:val="es-419"/>
        </w:rPr>
        <w:sectPr w:rsidR="0070697F" w:rsidRPr="00B2429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24298">
        <w:rPr>
          <w:rFonts w:asciiTheme="majorHAnsi" w:hAnsiTheme="majorHAnsi"/>
          <w:b/>
          <w:sz w:val="20"/>
          <w:lang w:val="es-419"/>
        </w:rPr>
        <w:tab/>
      </w:r>
    </w:p>
    <w:p w14:paraId="2786EE58" w14:textId="77777777" w:rsidR="003239B8" w:rsidRPr="00B24298" w:rsidRDefault="003239B8" w:rsidP="004A6A54">
      <w:pPr>
        <w:spacing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lastRenderedPageBreak/>
        <w:t>I.</w:t>
      </w:r>
      <w:r w:rsidRPr="00B24298">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A0251"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039F8FD2" w:rsidR="003239B8" w:rsidRPr="00B24298" w:rsidRDefault="00487435" w:rsidP="008D2290">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P</w:t>
            </w:r>
            <w:r w:rsidR="0099076E">
              <w:rPr>
                <w:rFonts w:ascii="Cambria" w:hAnsi="Cambria"/>
                <w:b/>
                <w:bCs/>
                <w:color w:val="FFFFFF" w:themeColor="background1"/>
                <w:sz w:val="20"/>
                <w:szCs w:val="20"/>
                <w:lang w:val="es-419"/>
              </w:rPr>
              <w:t>arte p</w:t>
            </w:r>
            <w:r>
              <w:rPr>
                <w:rFonts w:ascii="Cambria" w:hAnsi="Cambria"/>
                <w:b/>
                <w:bCs/>
                <w:color w:val="FFFFFF" w:themeColor="background1"/>
                <w:sz w:val="20"/>
                <w:szCs w:val="20"/>
                <w:lang w:val="es-419"/>
              </w:rPr>
              <w:t>eticionaria</w:t>
            </w:r>
            <w:r w:rsidR="003239B8" w:rsidRPr="00B24298">
              <w:rPr>
                <w:rFonts w:ascii="Cambria" w:hAnsi="Cambria"/>
                <w:b/>
                <w:bCs/>
                <w:color w:val="FFFFFF" w:themeColor="background1"/>
                <w:sz w:val="20"/>
                <w:szCs w:val="20"/>
                <w:lang w:val="es-419"/>
              </w:rPr>
              <w:t>:</w:t>
            </w:r>
          </w:p>
        </w:tc>
        <w:tc>
          <w:tcPr>
            <w:tcW w:w="5760" w:type="dxa"/>
            <w:vAlign w:val="center"/>
          </w:tcPr>
          <w:p w14:paraId="07DAAE2E" w14:textId="1F01DCE6" w:rsidR="0099076E" w:rsidRPr="0099076E" w:rsidRDefault="00DF6C63" w:rsidP="008D2290">
            <w:pPr>
              <w:jc w:val="both"/>
              <w:rPr>
                <w:rFonts w:ascii="Cambria" w:hAnsi="Cambria"/>
                <w:bCs/>
                <w:sz w:val="20"/>
                <w:szCs w:val="20"/>
                <w:lang w:val="es-419"/>
              </w:rPr>
            </w:pPr>
            <w:r>
              <w:rPr>
                <w:rFonts w:ascii="Cambria" w:hAnsi="Cambria"/>
                <w:bCs/>
                <w:sz w:val="20"/>
                <w:szCs w:val="20"/>
                <w:lang w:val="es-419"/>
              </w:rPr>
              <w:t xml:space="preserve">Centro de </w:t>
            </w:r>
            <w:r w:rsidR="00CF24A2">
              <w:rPr>
                <w:rFonts w:ascii="Cambria" w:hAnsi="Cambria"/>
                <w:bCs/>
                <w:sz w:val="20"/>
                <w:szCs w:val="20"/>
                <w:lang w:val="es-419"/>
              </w:rPr>
              <w:t>Excombatientes</w:t>
            </w:r>
            <w:r>
              <w:rPr>
                <w:rFonts w:ascii="Cambria" w:hAnsi="Cambria"/>
                <w:bCs/>
                <w:sz w:val="20"/>
                <w:szCs w:val="20"/>
                <w:lang w:val="es-419"/>
              </w:rPr>
              <w:t xml:space="preserve"> Islas Malvinas La Plata (Cecim)</w:t>
            </w:r>
            <w:r w:rsidR="0099076E">
              <w:rPr>
                <w:rFonts w:ascii="Cambria" w:hAnsi="Cambria"/>
                <w:bCs/>
                <w:sz w:val="20"/>
                <w:szCs w:val="20"/>
                <w:lang w:val="es-419"/>
              </w:rPr>
              <w:t xml:space="preserve">, </w:t>
            </w:r>
            <w:r w:rsidR="0099076E" w:rsidRPr="0099076E">
              <w:rPr>
                <w:rFonts w:ascii="Cambria" w:hAnsi="Cambria"/>
                <w:bCs/>
                <w:sz w:val="20"/>
                <w:szCs w:val="20"/>
                <w:lang w:val="pt-BR"/>
              </w:rPr>
              <w:t>Mario Miguel Volpe, Carlos Daniel Amato</w:t>
            </w:r>
            <w:r w:rsidR="004E4735">
              <w:rPr>
                <w:rFonts w:ascii="Cambria" w:hAnsi="Cambria"/>
                <w:bCs/>
                <w:sz w:val="20"/>
                <w:szCs w:val="20"/>
                <w:lang w:val="pt-BR"/>
              </w:rPr>
              <w:t xml:space="preserve"> y</w:t>
            </w:r>
            <w:r w:rsidR="0099076E">
              <w:rPr>
                <w:rFonts w:ascii="Cambria" w:hAnsi="Cambria"/>
                <w:bCs/>
                <w:sz w:val="20"/>
                <w:szCs w:val="20"/>
                <w:lang w:val="pt-BR"/>
              </w:rPr>
              <w:t xml:space="preserve"> </w:t>
            </w:r>
            <w:r w:rsidR="0099076E" w:rsidRPr="0099076E">
              <w:rPr>
                <w:rFonts w:ascii="Cambria" w:hAnsi="Cambria"/>
                <w:bCs/>
                <w:sz w:val="20"/>
                <w:szCs w:val="20"/>
                <w:lang w:val="pt-BR"/>
              </w:rPr>
              <w:t>Jerónimo Guerrero Iraola</w:t>
            </w:r>
          </w:p>
        </w:tc>
      </w:tr>
      <w:tr w:rsidR="003239B8" w:rsidRPr="00F82BD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66BC870" w:rsidR="003239B8" w:rsidRPr="00B24298" w:rsidRDefault="00E20CE7"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F6C63">
                  <w:rPr>
                    <w:rFonts w:ascii="Cambria" w:hAnsi="Cambria"/>
                    <w:b/>
                    <w:bCs/>
                    <w:color w:val="FFFFFF" w:themeColor="background1"/>
                    <w:sz w:val="20"/>
                    <w:szCs w:val="20"/>
                    <w:lang w:val="es-419"/>
                  </w:rPr>
                  <w:t>Presuntas víctimas</w:t>
                </w:r>
              </w:sdtContent>
            </w:sdt>
            <w:r w:rsidR="003239B8" w:rsidRPr="00B24298">
              <w:rPr>
                <w:rFonts w:ascii="Cambria" w:hAnsi="Cambria"/>
                <w:b/>
                <w:bCs/>
                <w:color w:val="FFFFFF" w:themeColor="background1"/>
                <w:sz w:val="20"/>
                <w:szCs w:val="20"/>
                <w:lang w:val="es-419"/>
              </w:rPr>
              <w:t>:</w:t>
            </w:r>
          </w:p>
        </w:tc>
        <w:tc>
          <w:tcPr>
            <w:tcW w:w="5760" w:type="dxa"/>
            <w:vAlign w:val="center"/>
          </w:tcPr>
          <w:p w14:paraId="143D44A8" w14:textId="09F87AE8" w:rsidR="001D21C7" w:rsidRPr="00B24298" w:rsidRDefault="00DF6C63" w:rsidP="00FC6219">
            <w:pPr>
              <w:jc w:val="both"/>
              <w:rPr>
                <w:rFonts w:ascii="Cambria" w:hAnsi="Cambria"/>
                <w:bCs/>
                <w:sz w:val="20"/>
                <w:szCs w:val="20"/>
                <w:lang w:val="es-419"/>
              </w:rPr>
            </w:pPr>
            <w:r>
              <w:rPr>
                <w:rFonts w:ascii="Cambria" w:hAnsi="Cambria"/>
                <w:bCs/>
                <w:sz w:val="20"/>
                <w:szCs w:val="20"/>
                <w:lang w:val="es-419"/>
              </w:rPr>
              <w:t>Ex Combatientes de</w:t>
            </w:r>
            <w:r w:rsidR="0068720E">
              <w:rPr>
                <w:rFonts w:ascii="Cambria" w:hAnsi="Cambria"/>
                <w:bCs/>
                <w:sz w:val="20"/>
                <w:szCs w:val="20"/>
                <w:lang w:val="es-419"/>
              </w:rPr>
              <w:t xml:space="preserve"> las</w:t>
            </w:r>
            <w:r>
              <w:rPr>
                <w:rFonts w:ascii="Cambria" w:hAnsi="Cambria"/>
                <w:bCs/>
                <w:sz w:val="20"/>
                <w:szCs w:val="20"/>
                <w:lang w:val="es-419"/>
              </w:rPr>
              <w:t xml:space="preserve"> Malvinas</w:t>
            </w:r>
            <w:r w:rsidR="00FF3B14">
              <w:rPr>
                <w:rFonts w:ascii="Cambria" w:hAnsi="Cambria"/>
                <w:bCs/>
                <w:sz w:val="20"/>
                <w:szCs w:val="20"/>
                <w:lang w:val="es-419"/>
              </w:rPr>
              <w:t xml:space="preserve"> y sus familiares</w:t>
            </w:r>
          </w:p>
        </w:tc>
      </w:tr>
      <w:tr w:rsidR="003239B8" w:rsidRPr="00B2429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Estado denunciado:</w:t>
            </w:r>
          </w:p>
        </w:tc>
        <w:tc>
          <w:tcPr>
            <w:tcW w:w="5760" w:type="dxa"/>
            <w:vAlign w:val="center"/>
          </w:tcPr>
          <w:p w14:paraId="5D0EC05D" w14:textId="7C06052C" w:rsidR="003239B8" w:rsidRPr="00B24298" w:rsidRDefault="0006788D" w:rsidP="008D2290">
            <w:pPr>
              <w:jc w:val="both"/>
              <w:rPr>
                <w:rFonts w:ascii="Cambria" w:hAnsi="Cambria"/>
                <w:bCs/>
                <w:sz w:val="20"/>
                <w:szCs w:val="20"/>
                <w:lang w:val="es-419"/>
              </w:rPr>
            </w:pPr>
            <w:r>
              <w:rPr>
                <w:rFonts w:ascii="Cambria" w:hAnsi="Cambria"/>
                <w:bCs/>
                <w:sz w:val="20"/>
                <w:szCs w:val="20"/>
                <w:lang w:val="es-419"/>
              </w:rPr>
              <w:t>Argentina</w:t>
            </w:r>
          </w:p>
        </w:tc>
      </w:tr>
      <w:tr w:rsidR="00223A29" w:rsidRPr="00F82BD9"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B24298" w:rsidRDefault="001B3A00" w:rsidP="00E4118C">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 xml:space="preserve">Derechos </w:t>
            </w:r>
            <w:r w:rsidR="00E4118C" w:rsidRPr="00B24298">
              <w:rPr>
                <w:rFonts w:ascii="Cambria" w:hAnsi="Cambria"/>
                <w:b/>
                <w:bCs/>
                <w:color w:val="FFFFFF" w:themeColor="background1"/>
                <w:sz w:val="20"/>
                <w:szCs w:val="20"/>
                <w:lang w:val="es-419"/>
              </w:rPr>
              <w:t>invocados</w:t>
            </w:r>
            <w:r w:rsidRPr="00B24298">
              <w:rPr>
                <w:rFonts w:ascii="Cambria" w:hAnsi="Cambria"/>
                <w:b/>
                <w:bCs/>
                <w:color w:val="FFFFFF" w:themeColor="background1"/>
                <w:sz w:val="20"/>
                <w:szCs w:val="20"/>
                <w:lang w:val="es-419"/>
              </w:rPr>
              <w:t>:</w:t>
            </w:r>
          </w:p>
        </w:tc>
        <w:tc>
          <w:tcPr>
            <w:tcW w:w="5760" w:type="dxa"/>
            <w:vAlign w:val="center"/>
          </w:tcPr>
          <w:p w14:paraId="52B28392" w14:textId="73A1B453" w:rsidR="0039508C" w:rsidRPr="00B24298" w:rsidRDefault="00A34797" w:rsidP="005A5BDE">
            <w:pPr>
              <w:jc w:val="both"/>
              <w:rPr>
                <w:rFonts w:ascii="Cambria" w:hAnsi="Cambria"/>
                <w:bCs/>
                <w:sz w:val="20"/>
                <w:szCs w:val="20"/>
                <w:lang w:val="es-419"/>
              </w:rPr>
            </w:pPr>
            <w:r w:rsidRPr="0099076E">
              <w:rPr>
                <w:rFonts w:ascii="Cambria" w:hAnsi="Cambria"/>
                <w:bCs/>
                <w:sz w:val="20"/>
                <w:szCs w:val="20"/>
                <w:lang w:val="es-419" w:bidi="es-ES"/>
              </w:rPr>
              <w:t>Artículos</w:t>
            </w:r>
            <w:r w:rsidR="006822E1" w:rsidRPr="0099076E">
              <w:rPr>
                <w:rFonts w:ascii="Cambria" w:hAnsi="Cambria"/>
                <w:bCs/>
                <w:sz w:val="20"/>
                <w:szCs w:val="20"/>
                <w:lang w:val="es-419" w:bidi="es-ES"/>
              </w:rPr>
              <w:t xml:space="preserve"> 4 (vida)</w:t>
            </w:r>
            <w:r w:rsidR="0099076E" w:rsidRPr="0099076E">
              <w:rPr>
                <w:rFonts w:ascii="Cambria" w:hAnsi="Cambria"/>
                <w:bCs/>
                <w:sz w:val="20"/>
                <w:szCs w:val="20"/>
                <w:lang w:val="es-419" w:bidi="es-ES"/>
              </w:rPr>
              <w:t>, 5 (integridad personal)</w:t>
            </w:r>
            <w:r w:rsidR="0006788D" w:rsidRPr="0099076E">
              <w:rPr>
                <w:rFonts w:ascii="Cambria" w:hAnsi="Cambria"/>
                <w:bCs/>
                <w:sz w:val="20"/>
                <w:szCs w:val="20"/>
                <w:lang w:val="es-419" w:bidi="es-ES"/>
              </w:rPr>
              <w:t xml:space="preserve"> </w:t>
            </w:r>
            <w:r w:rsidR="00614A9D" w:rsidRPr="0099076E">
              <w:rPr>
                <w:rFonts w:ascii="Cambria" w:hAnsi="Cambria"/>
                <w:bCs/>
                <w:sz w:val="20"/>
                <w:szCs w:val="20"/>
                <w:lang w:val="es-419" w:bidi="es-ES"/>
              </w:rPr>
              <w:t>y 25</w:t>
            </w:r>
            <w:r w:rsidR="00C64E07" w:rsidRPr="0099076E">
              <w:rPr>
                <w:rFonts w:ascii="Cambria" w:hAnsi="Cambria"/>
                <w:bCs/>
                <w:sz w:val="20"/>
                <w:szCs w:val="20"/>
                <w:lang w:val="es-419" w:bidi="es-ES"/>
              </w:rPr>
              <w:t xml:space="preserve"> (protección judicial)</w:t>
            </w:r>
            <w:r w:rsidR="00614A9D" w:rsidRPr="0099076E">
              <w:rPr>
                <w:rFonts w:ascii="Cambria" w:hAnsi="Cambria"/>
                <w:bCs/>
                <w:sz w:val="20"/>
                <w:szCs w:val="20"/>
                <w:lang w:val="es-419" w:bidi="es-ES"/>
              </w:rPr>
              <w:t xml:space="preserve"> </w:t>
            </w:r>
            <w:r w:rsidRPr="0099076E">
              <w:rPr>
                <w:rFonts w:ascii="Cambria" w:hAnsi="Cambria"/>
                <w:bCs/>
                <w:sz w:val="20"/>
                <w:szCs w:val="20"/>
                <w:lang w:val="es-419" w:bidi="es-ES"/>
              </w:rPr>
              <w:t>de la Convención Americana sobre Derechos Humanos</w:t>
            </w:r>
            <w:r w:rsidR="00B12E5E" w:rsidRPr="0099076E">
              <w:rPr>
                <w:rStyle w:val="FootnoteReference"/>
                <w:rFonts w:ascii="Cambria" w:hAnsi="Cambria"/>
                <w:bCs/>
                <w:sz w:val="20"/>
                <w:szCs w:val="20"/>
                <w:lang w:val="es-419" w:bidi="es-ES"/>
              </w:rPr>
              <w:footnoteReference w:id="2"/>
            </w:r>
            <w:r w:rsidR="0099076E">
              <w:rPr>
                <w:rFonts w:ascii="Cambria" w:hAnsi="Cambria"/>
                <w:bCs/>
                <w:sz w:val="20"/>
                <w:szCs w:val="20"/>
                <w:lang w:val="es-419" w:bidi="es-ES"/>
              </w:rPr>
              <w:t xml:space="preserve">; </w:t>
            </w:r>
            <w:r w:rsidR="0099076E">
              <w:rPr>
                <w:rFonts w:ascii="Cambria" w:hAnsi="Cambria"/>
                <w:bCs/>
                <w:sz w:val="20"/>
                <w:szCs w:val="20"/>
                <w:lang w:val="es-ES_tradnl" w:bidi="es-ES"/>
              </w:rPr>
              <w:t xml:space="preserve">artículos </w:t>
            </w:r>
            <w:r w:rsidR="0099076E" w:rsidRPr="0099076E">
              <w:rPr>
                <w:rFonts w:ascii="Cambria" w:hAnsi="Cambria"/>
                <w:bCs/>
                <w:sz w:val="20"/>
                <w:szCs w:val="20"/>
                <w:lang w:val="es-ES_tradnl" w:bidi="es-ES"/>
              </w:rPr>
              <w:t>1</w:t>
            </w:r>
            <w:r w:rsidR="0099076E">
              <w:rPr>
                <w:rFonts w:ascii="Cambria" w:hAnsi="Cambria"/>
                <w:bCs/>
                <w:sz w:val="20"/>
                <w:szCs w:val="20"/>
                <w:lang w:val="es-ES_tradnl" w:bidi="es-ES"/>
              </w:rPr>
              <w:t>,</w:t>
            </w:r>
            <w:r w:rsidR="0099076E" w:rsidRPr="0099076E">
              <w:rPr>
                <w:rFonts w:ascii="Cambria" w:hAnsi="Cambria"/>
                <w:bCs/>
                <w:sz w:val="20"/>
                <w:szCs w:val="20"/>
                <w:lang w:val="es-ES_tradnl" w:bidi="es-ES"/>
              </w:rPr>
              <w:t xml:space="preserve"> 2, 3, 4, 5, y 6 de la Convención Interamericana para Prevenir y Sancionar la Tortura</w:t>
            </w:r>
            <w:r w:rsidR="0099076E">
              <w:rPr>
                <w:rFonts w:ascii="Cambria" w:hAnsi="Cambria"/>
                <w:bCs/>
                <w:sz w:val="20"/>
                <w:szCs w:val="20"/>
                <w:lang w:val="es-ES_tradnl" w:bidi="es-ES"/>
              </w:rPr>
              <w:t>;</w:t>
            </w:r>
            <w:r w:rsidR="0099076E">
              <w:rPr>
                <w:rFonts w:ascii="Cambria" w:hAnsi="Cambria"/>
                <w:bCs/>
                <w:sz w:val="20"/>
                <w:szCs w:val="20"/>
                <w:lang w:val="es-419" w:bidi="es-ES"/>
              </w:rPr>
              <w:t xml:space="preserve"> artículos </w:t>
            </w:r>
            <w:r w:rsidR="0099076E" w:rsidRPr="0099076E">
              <w:rPr>
                <w:rFonts w:ascii="Cambria" w:hAnsi="Cambria"/>
                <w:bCs/>
                <w:sz w:val="20"/>
                <w:szCs w:val="20"/>
                <w:lang w:val="es-ES_tradnl" w:bidi="es-ES"/>
              </w:rPr>
              <w:t>XVIII (derecho a la justicia) y XXIV (derecho de petición) de la Declaración Americana de los Derechos y Deberes del Hombre</w:t>
            </w:r>
          </w:p>
        </w:tc>
      </w:tr>
    </w:tbl>
    <w:p w14:paraId="176FB213" w14:textId="77777777" w:rsidR="003239B8" w:rsidRPr="00B24298" w:rsidRDefault="003239B8" w:rsidP="003239B8">
      <w:pPr>
        <w:spacing w:before="240"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t>II.</w:t>
      </w:r>
      <w:r w:rsidRPr="00B24298">
        <w:rPr>
          <w:rFonts w:asciiTheme="majorHAnsi" w:hAnsiTheme="majorHAnsi"/>
          <w:b/>
          <w:bCs/>
          <w:sz w:val="20"/>
          <w:szCs w:val="20"/>
          <w:lang w:val="es-419"/>
        </w:rPr>
        <w:tab/>
        <w:t>TRÁMITE ANTE LA CIDH</w:t>
      </w:r>
      <w:r w:rsidR="008E3BFE" w:rsidRPr="00B24298">
        <w:rPr>
          <w:rStyle w:val="FootnoteReference"/>
          <w:rFonts w:ascii="Cambria" w:hAnsi="Cambria"/>
          <w:b/>
          <w:sz w:val="20"/>
          <w:szCs w:val="20"/>
          <w:lang w:val="es-4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F6C63" w:rsidRPr="00B24298"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DF6C63" w:rsidRPr="00B24298" w:rsidRDefault="00DF6C63" w:rsidP="00DF6C63">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Presentación de la petición:</w:t>
            </w:r>
          </w:p>
        </w:tc>
        <w:tc>
          <w:tcPr>
            <w:tcW w:w="5760" w:type="dxa"/>
            <w:vAlign w:val="center"/>
          </w:tcPr>
          <w:p w14:paraId="6883A5F8" w14:textId="34B7B46C" w:rsidR="00DF6C63" w:rsidRPr="00B24298" w:rsidRDefault="00DF6C63" w:rsidP="00DF6C63">
            <w:pPr>
              <w:jc w:val="both"/>
              <w:rPr>
                <w:rFonts w:ascii="Cambria" w:hAnsi="Cambria"/>
                <w:bCs/>
                <w:sz w:val="20"/>
                <w:szCs w:val="20"/>
                <w:lang w:val="es-419"/>
              </w:rPr>
            </w:pPr>
            <w:r>
              <w:rPr>
                <w:rFonts w:ascii="Cambria" w:hAnsi="Cambria"/>
                <w:bCs/>
                <w:sz w:val="20"/>
                <w:szCs w:val="20"/>
                <w:lang w:val="es-419"/>
              </w:rPr>
              <w:t>20 de mayo de 2015</w:t>
            </w:r>
          </w:p>
        </w:tc>
      </w:tr>
      <w:tr w:rsidR="00DF6C63" w:rsidRPr="0006788D"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DF6C63" w:rsidRPr="00B24298" w:rsidRDefault="00DF6C63" w:rsidP="00DF6C63">
            <w:pPr>
              <w:jc w:val="center"/>
              <w:rPr>
                <w:rFonts w:ascii="Cambria" w:hAnsi="Cambria"/>
                <w:b/>
                <w:bCs/>
                <w:color w:val="FFFFFF" w:themeColor="background1"/>
                <w:sz w:val="20"/>
                <w:szCs w:val="20"/>
                <w:lang w:val="es-419"/>
              </w:rPr>
            </w:pPr>
            <w:r w:rsidRPr="00B24298">
              <w:rPr>
                <w:rFonts w:ascii="Cambria" w:hAnsi="Cambria"/>
                <w:b/>
                <w:color w:val="FFFFFF" w:themeColor="background1"/>
                <w:sz w:val="20"/>
                <w:szCs w:val="20"/>
                <w:lang w:val="es-419"/>
              </w:rPr>
              <w:t>Notificación de la petición al Estado:</w:t>
            </w:r>
          </w:p>
        </w:tc>
        <w:tc>
          <w:tcPr>
            <w:tcW w:w="5760" w:type="dxa"/>
            <w:vAlign w:val="center"/>
          </w:tcPr>
          <w:p w14:paraId="58485921" w14:textId="027AE92B" w:rsidR="00DF6C63" w:rsidRPr="00B24298" w:rsidRDefault="00DF6C63" w:rsidP="00DF6C63">
            <w:pPr>
              <w:jc w:val="both"/>
              <w:rPr>
                <w:rFonts w:ascii="Cambria" w:hAnsi="Cambria"/>
                <w:bCs/>
                <w:sz w:val="20"/>
                <w:szCs w:val="20"/>
                <w:lang w:val="es-419"/>
              </w:rPr>
            </w:pPr>
            <w:r>
              <w:rPr>
                <w:rFonts w:ascii="Cambria" w:hAnsi="Cambria"/>
                <w:bCs/>
                <w:sz w:val="20"/>
                <w:szCs w:val="20"/>
                <w:lang w:val="es-419"/>
              </w:rPr>
              <w:t>3 de noviembre de 2015</w:t>
            </w:r>
          </w:p>
        </w:tc>
      </w:tr>
      <w:tr w:rsidR="00DF6C63" w:rsidRPr="0006788D" w14:paraId="260F9C1D" w14:textId="77777777" w:rsidTr="004A6A54">
        <w:tc>
          <w:tcPr>
            <w:tcW w:w="3600" w:type="dxa"/>
            <w:tcBorders>
              <w:top w:val="single" w:sz="6" w:space="0" w:color="auto"/>
              <w:bottom w:val="single" w:sz="6" w:space="0" w:color="auto"/>
            </w:tcBorders>
            <w:shd w:val="clear" w:color="auto" w:fill="386294"/>
            <w:vAlign w:val="center"/>
          </w:tcPr>
          <w:p w14:paraId="24B68A4F" w14:textId="1433BFD4" w:rsidR="00DF6C63" w:rsidRPr="00B24298" w:rsidRDefault="00765FBC" w:rsidP="00DF6C63">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Primera respuesta del Estado:</w:t>
            </w:r>
          </w:p>
        </w:tc>
        <w:tc>
          <w:tcPr>
            <w:tcW w:w="5760" w:type="dxa"/>
            <w:vAlign w:val="center"/>
          </w:tcPr>
          <w:p w14:paraId="09E4B565" w14:textId="2EFAA74B" w:rsidR="00DF6C63" w:rsidRPr="0006788D" w:rsidRDefault="00765FBC" w:rsidP="00DF6C63">
            <w:pPr>
              <w:jc w:val="both"/>
              <w:rPr>
                <w:rFonts w:ascii="Cambria" w:hAnsi="Cambria"/>
                <w:bCs/>
                <w:sz w:val="20"/>
                <w:szCs w:val="20"/>
                <w:lang w:val="pt-BR"/>
              </w:rPr>
            </w:pPr>
            <w:r>
              <w:rPr>
                <w:rFonts w:ascii="Cambria" w:hAnsi="Cambria"/>
                <w:bCs/>
                <w:sz w:val="20"/>
                <w:szCs w:val="20"/>
                <w:lang w:val="pt-BR"/>
              </w:rPr>
              <w:t>26 de Febrero de 2019</w:t>
            </w:r>
          </w:p>
        </w:tc>
      </w:tr>
      <w:tr w:rsidR="00765FBC" w:rsidRPr="00F82BD9" w14:paraId="573162D6" w14:textId="77777777" w:rsidTr="004A6A54">
        <w:tc>
          <w:tcPr>
            <w:tcW w:w="3600" w:type="dxa"/>
            <w:tcBorders>
              <w:top w:val="single" w:sz="6" w:space="0" w:color="auto"/>
              <w:bottom w:val="single" w:sz="6" w:space="0" w:color="auto"/>
            </w:tcBorders>
            <w:shd w:val="clear" w:color="auto" w:fill="386294"/>
            <w:vAlign w:val="center"/>
          </w:tcPr>
          <w:p w14:paraId="691ABC2B" w14:textId="1E20ED7E" w:rsidR="00765FBC" w:rsidRDefault="00765FBC" w:rsidP="00DF6C63">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w:t>
            </w:r>
            <w:r w:rsidR="00695F2F">
              <w:rPr>
                <w:rFonts w:ascii="Cambria" w:hAnsi="Cambria"/>
                <w:b/>
                <w:color w:val="FFFFFF" w:themeColor="background1"/>
                <w:sz w:val="20"/>
                <w:szCs w:val="20"/>
                <w:lang w:val="es-419"/>
              </w:rPr>
              <w:t>o</w:t>
            </w:r>
            <w:r>
              <w:rPr>
                <w:rFonts w:ascii="Cambria" w:hAnsi="Cambria"/>
                <w:b/>
                <w:color w:val="FFFFFF" w:themeColor="background1"/>
                <w:sz w:val="20"/>
                <w:szCs w:val="20"/>
                <w:lang w:val="es-419"/>
              </w:rPr>
              <w:t>n</w:t>
            </w:r>
            <w:r w:rsidR="00695F2F">
              <w:rPr>
                <w:rFonts w:ascii="Cambria" w:hAnsi="Cambria"/>
                <w:b/>
                <w:color w:val="FFFFFF" w:themeColor="background1"/>
                <w:sz w:val="20"/>
                <w:szCs w:val="20"/>
                <w:lang w:val="es-419"/>
              </w:rPr>
              <w:t>es</w:t>
            </w:r>
            <w:r>
              <w:rPr>
                <w:rFonts w:ascii="Cambria" w:hAnsi="Cambria"/>
                <w:b/>
                <w:color w:val="FFFFFF" w:themeColor="background1"/>
                <w:sz w:val="20"/>
                <w:szCs w:val="20"/>
                <w:lang w:val="es-419"/>
              </w:rPr>
              <w:t xml:space="preserve"> adicional</w:t>
            </w:r>
            <w:r w:rsidR="00695F2F">
              <w:rPr>
                <w:rFonts w:ascii="Cambria" w:hAnsi="Cambria"/>
                <w:b/>
                <w:color w:val="FFFFFF" w:themeColor="background1"/>
                <w:sz w:val="20"/>
                <w:szCs w:val="20"/>
                <w:lang w:val="es-419"/>
              </w:rPr>
              <w:t>es</w:t>
            </w:r>
            <w:r>
              <w:rPr>
                <w:rFonts w:ascii="Cambria" w:hAnsi="Cambria"/>
                <w:b/>
                <w:color w:val="FFFFFF" w:themeColor="background1"/>
                <w:sz w:val="20"/>
                <w:szCs w:val="20"/>
                <w:lang w:val="es-419"/>
              </w:rPr>
              <w:t xml:space="preserve"> del peticionario:</w:t>
            </w:r>
          </w:p>
        </w:tc>
        <w:tc>
          <w:tcPr>
            <w:tcW w:w="5760" w:type="dxa"/>
            <w:vAlign w:val="center"/>
          </w:tcPr>
          <w:p w14:paraId="41B1A5C6" w14:textId="77938663" w:rsidR="00765FBC" w:rsidRPr="00AD174D" w:rsidRDefault="00695F2F" w:rsidP="00DF6C63">
            <w:pPr>
              <w:jc w:val="both"/>
              <w:rPr>
                <w:rFonts w:ascii="Cambria" w:hAnsi="Cambria"/>
                <w:bCs/>
                <w:sz w:val="20"/>
                <w:szCs w:val="20"/>
                <w:lang w:val="es-ES"/>
              </w:rPr>
            </w:pPr>
            <w:r>
              <w:rPr>
                <w:rFonts w:ascii="Cambria" w:hAnsi="Cambria"/>
                <w:bCs/>
                <w:sz w:val="20"/>
                <w:szCs w:val="20"/>
                <w:lang w:val="es-419"/>
              </w:rPr>
              <w:t>5 de abril de 2018</w:t>
            </w:r>
            <w:r w:rsidR="006D0FA8">
              <w:rPr>
                <w:rFonts w:ascii="Cambria" w:hAnsi="Cambria"/>
                <w:bCs/>
                <w:sz w:val="20"/>
                <w:szCs w:val="20"/>
                <w:lang w:val="es-419"/>
              </w:rPr>
              <w:t>, 15 de julio de 2019</w:t>
            </w:r>
            <w:r w:rsidR="00AD174D">
              <w:rPr>
                <w:rFonts w:ascii="Cambria" w:hAnsi="Cambria"/>
                <w:bCs/>
                <w:sz w:val="20"/>
                <w:szCs w:val="20"/>
                <w:lang w:val="es-419"/>
              </w:rPr>
              <w:t xml:space="preserve"> y</w:t>
            </w:r>
            <w:r w:rsidR="006D0FA8">
              <w:rPr>
                <w:rFonts w:ascii="Cambria" w:hAnsi="Cambria"/>
                <w:bCs/>
                <w:sz w:val="20"/>
                <w:szCs w:val="20"/>
                <w:lang w:val="es-419"/>
              </w:rPr>
              <w:t xml:space="preserve"> 12 de noviembre de 2020</w:t>
            </w:r>
          </w:p>
        </w:tc>
      </w:tr>
      <w:tr w:rsidR="00DF6C63" w:rsidRPr="0006788D" w14:paraId="0E6DF2CB" w14:textId="77777777" w:rsidTr="004A6A54">
        <w:tc>
          <w:tcPr>
            <w:tcW w:w="3600" w:type="dxa"/>
            <w:tcBorders>
              <w:top w:val="single" w:sz="6" w:space="0" w:color="auto"/>
              <w:bottom w:val="single" w:sz="6" w:space="0" w:color="auto"/>
            </w:tcBorders>
            <w:shd w:val="clear" w:color="auto" w:fill="386294"/>
            <w:vAlign w:val="center"/>
          </w:tcPr>
          <w:p w14:paraId="5B37A8CF" w14:textId="4E7C1909" w:rsidR="00DF6C63" w:rsidRPr="00B24298" w:rsidRDefault="00DF6C63" w:rsidP="00DF6C63">
            <w:pPr>
              <w:jc w:val="center"/>
              <w:rPr>
                <w:rFonts w:ascii="Cambria" w:hAnsi="Cambria"/>
                <w:b/>
                <w:color w:val="FFFFFF" w:themeColor="background1"/>
                <w:sz w:val="20"/>
                <w:szCs w:val="20"/>
                <w:lang w:val="es-419"/>
              </w:rPr>
            </w:pPr>
            <w:r w:rsidRPr="00B24298">
              <w:rPr>
                <w:rFonts w:ascii="Cambria" w:hAnsi="Cambria"/>
                <w:b/>
                <w:color w:val="FFFFFF" w:themeColor="background1"/>
                <w:sz w:val="20"/>
                <w:szCs w:val="20"/>
                <w:lang w:val="es-419"/>
              </w:rPr>
              <w:t>Observaciones adicionales del Estado:</w:t>
            </w:r>
          </w:p>
        </w:tc>
        <w:tc>
          <w:tcPr>
            <w:tcW w:w="5760" w:type="dxa"/>
            <w:vAlign w:val="center"/>
          </w:tcPr>
          <w:p w14:paraId="0153FF18" w14:textId="6EB9E1CB" w:rsidR="00DF6C63" w:rsidRPr="00B24298" w:rsidRDefault="006D0FA8" w:rsidP="00DF6C63">
            <w:pPr>
              <w:jc w:val="both"/>
              <w:rPr>
                <w:rFonts w:ascii="Cambria" w:hAnsi="Cambria"/>
                <w:bCs/>
                <w:sz w:val="20"/>
                <w:szCs w:val="20"/>
                <w:lang w:val="es-419"/>
              </w:rPr>
            </w:pPr>
            <w:r>
              <w:rPr>
                <w:rFonts w:ascii="Cambria" w:hAnsi="Cambria"/>
                <w:bCs/>
                <w:sz w:val="20"/>
                <w:szCs w:val="20"/>
                <w:lang w:val="es-419"/>
              </w:rPr>
              <w:t>12 de mayo de 2020</w:t>
            </w:r>
          </w:p>
        </w:tc>
      </w:tr>
    </w:tbl>
    <w:p w14:paraId="0FC6E9E8" w14:textId="77777777" w:rsidR="003239B8" w:rsidRPr="00B24298" w:rsidRDefault="003239B8" w:rsidP="003239B8">
      <w:pPr>
        <w:spacing w:before="240"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t xml:space="preserve">III. </w:t>
      </w:r>
      <w:r w:rsidRPr="00B24298">
        <w:rPr>
          <w:rFonts w:asciiTheme="majorHAnsi" w:hAnsiTheme="majorHAnsi"/>
          <w:b/>
          <w:bCs/>
          <w:sz w:val="20"/>
          <w:szCs w:val="20"/>
          <w:lang w:val="es-419"/>
        </w:rPr>
        <w:tab/>
        <w:t>COMPETENCIA</w:t>
      </w:r>
      <w:r w:rsidR="00EE00E9" w:rsidRPr="00B24298">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B24298" w14:paraId="7D299FC7" w14:textId="77777777" w:rsidTr="005855F5">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B24298" w:rsidRDefault="003239B8" w:rsidP="008D2290">
            <w:pPr>
              <w:jc w:val="center"/>
              <w:rPr>
                <w:rFonts w:ascii="Cambria" w:hAnsi="Cambria"/>
                <w:b/>
                <w:bCs/>
                <w:i/>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B24298" w:rsidRDefault="00A004BB" w:rsidP="008D2290">
            <w:pPr>
              <w:rPr>
                <w:rFonts w:ascii="Cambria" w:hAnsi="Cambria"/>
                <w:bCs/>
                <w:sz w:val="20"/>
                <w:szCs w:val="20"/>
                <w:lang w:val="es-419"/>
              </w:rPr>
            </w:pPr>
            <w:r w:rsidRPr="00B24298">
              <w:rPr>
                <w:rFonts w:ascii="Cambria" w:hAnsi="Cambria"/>
                <w:bCs/>
                <w:sz w:val="20"/>
                <w:szCs w:val="20"/>
                <w:lang w:val="es-419"/>
              </w:rPr>
              <w:t>Sí</w:t>
            </w:r>
          </w:p>
        </w:tc>
      </w:tr>
      <w:tr w:rsidR="003239B8" w:rsidRPr="00B24298" w14:paraId="54503A4F" w14:textId="77777777" w:rsidTr="005855F5">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loci</w:t>
            </w:r>
            <w:r w:rsidRPr="00B24298">
              <w:rPr>
                <w:rFonts w:ascii="Cambria" w:hAnsi="Cambria"/>
                <w:b/>
                <w:bCs/>
                <w:color w:val="FFFFFF" w:themeColor="background1"/>
                <w:sz w:val="20"/>
                <w:szCs w:val="20"/>
                <w:lang w:val="es-419"/>
              </w:rPr>
              <w:t>:</w:t>
            </w:r>
          </w:p>
        </w:tc>
        <w:tc>
          <w:tcPr>
            <w:tcW w:w="5776" w:type="dxa"/>
            <w:vAlign w:val="center"/>
          </w:tcPr>
          <w:p w14:paraId="77C8256A" w14:textId="5E819D9D" w:rsidR="003239B8" w:rsidRPr="00B24298" w:rsidRDefault="00A004BB" w:rsidP="008D2290">
            <w:pPr>
              <w:rPr>
                <w:rFonts w:ascii="Cambria" w:hAnsi="Cambria"/>
                <w:bCs/>
                <w:sz w:val="20"/>
                <w:szCs w:val="20"/>
                <w:lang w:val="es-419"/>
              </w:rPr>
            </w:pPr>
            <w:r w:rsidRPr="00B24298">
              <w:rPr>
                <w:rFonts w:ascii="Cambria" w:hAnsi="Cambria"/>
                <w:bCs/>
                <w:sz w:val="20"/>
                <w:szCs w:val="20"/>
                <w:lang w:val="es-419"/>
              </w:rPr>
              <w:t>Sí</w:t>
            </w:r>
          </w:p>
        </w:tc>
      </w:tr>
      <w:tr w:rsidR="003239B8" w:rsidRPr="00B24298" w14:paraId="6618D96A" w14:textId="77777777" w:rsidTr="005855F5">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temporis</w:t>
            </w:r>
            <w:r w:rsidRPr="00B24298">
              <w:rPr>
                <w:rFonts w:ascii="Cambria" w:hAnsi="Cambria"/>
                <w:b/>
                <w:bCs/>
                <w:color w:val="FFFFFF" w:themeColor="background1"/>
                <w:sz w:val="20"/>
                <w:szCs w:val="20"/>
                <w:lang w:val="es-419"/>
              </w:rPr>
              <w:t>:</w:t>
            </w:r>
          </w:p>
        </w:tc>
        <w:tc>
          <w:tcPr>
            <w:tcW w:w="5776" w:type="dxa"/>
            <w:vAlign w:val="center"/>
          </w:tcPr>
          <w:p w14:paraId="523F6BD6" w14:textId="69B6757A" w:rsidR="003239B8" w:rsidRPr="00B24298" w:rsidRDefault="00A004BB" w:rsidP="008D2290">
            <w:pPr>
              <w:rPr>
                <w:rFonts w:ascii="Cambria" w:hAnsi="Cambria"/>
                <w:bCs/>
                <w:sz w:val="20"/>
                <w:szCs w:val="20"/>
                <w:lang w:val="es-419"/>
              </w:rPr>
            </w:pPr>
            <w:r w:rsidRPr="00B24298">
              <w:rPr>
                <w:rFonts w:ascii="Cambria" w:hAnsi="Cambria"/>
                <w:bCs/>
                <w:sz w:val="20"/>
                <w:szCs w:val="20"/>
                <w:lang w:val="es-419"/>
              </w:rPr>
              <w:t>Sí</w:t>
            </w:r>
          </w:p>
        </w:tc>
      </w:tr>
      <w:tr w:rsidR="003239B8" w:rsidRPr="00F82BD9" w14:paraId="34C2A0A9" w14:textId="77777777" w:rsidTr="005855F5">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materia</w:t>
            </w:r>
            <w:r w:rsidR="00EE00E9" w:rsidRPr="00B24298">
              <w:rPr>
                <w:rFonts w:ascii="Cambria" w:hAnsi="Cambria"/>
                <w:b/>
                <w:bCs/>
                <w:i/>
                <w:color w:val="FFFFFF" w:themeColor="background1"/>
                <w:sz w:val="20"/>
                <w:szCs w:val="20"/>
                <w:lang w:val="es-419"/>
              </w:rPr>
              <w:t>e</w:t>
            </w:r>
            <w:r w:rsidRPr="00B24298">
              <w:rPr>
                <w:rFonts w:ascii="Cambria" w:hAnsi="Cambria"/>
                <w:b/>
                <w:bCs/>
                <w:color w:val="FFFFFF" w:themeColor="background1"/>
                <w:sz w:val="20"/>
                <w:szCs w:val="20"/>
                <w:lang w:val="es-419"/>
              </w:rPr>
              <w:t>:</w:t>
            </w:r>
          </w:p>
        </w:tc>
        <w:tc>
          <w:tcPr>
            <w:tcW w:w="5776" w:type="dxa"/>
            <w:vAlign w:val="center"/>
          </w:tcPr>
          <w:p w14:paraId="257C8337" w14:textId="448CAF1B" w:rsidR="00392AED" w:rsidRPr="00392AED" w:rsidRDefault="00A004BB" w:rsidP="008D2290">
            <w:pPr>
              <w:jc w:val="both"/>
              <w:rPr>
                <w:rFonts w:ascii="Cambria" w:hAnsi="Cambria"/>
                <w:bCs/>
                <w:sz w:val="20"/>
                <w:szCs w:val="20"/>
                <w:lang w:val="es-ES" w:bidi="es-ES"/>
              </w:rPr>
            </w:pPr>
            <w:r w:rsidRPr="00B24298">
              <w:rPr>
                <w:rFonts w:ascii="Cambria" w:hAnsi="Cambria"/>
                <w:bCs/>
                <w:sz w:val="20"/>
                <w:szCs w:val="20"/>
                <w:lang w:val="es-419" w:bidi="es-ES"/>
              </w:rPr>
              <w:t xml:space="preserve">Sí, </w:t>
            </w:r>
            <w:r w:rsidR="00392AED" w:rsidRPr="00392AED">
              <w:rPr>
                <w:rFonts w:ascii="Cambria" w:hAnsi="Cambria"/>
                <w:bCs/>
                <w:sz w:val="20"/>
                <w:szCs w:val="20"/>
                <w:lang w:val="es-ES" w:bidi="es-ES"/>
              </w:rPr>
              <w:t>Declaración Americana de los Derechos y Deberes del Hombre (depósito de instrumento de ratificación de la Carta de la OEA el 10 de abril de 1956); Convención Americana sobre Derechos Humanos (depósito de instrumento de ratificación realizado el 5 de septiembre de 1984); Convención Interamericana sobre Desaparición Forzada de Personas (depósito de instrumento realizado el 28 de febrero de 1996) y Convención Interamericana para Prevenir y Sancionar la Tortura (depósito de instrumento realizado el 31 de marzo de 1989)</w:t>
            </w:r>
          </w:p>
        </w:tc>
      </w:tr>
    </w:tbl>
    <w:p w14:paraId="299A3868" w14:textId="763E2446" w:rsidR="003239B8" w:rsidRPr="00B24298" w:rsidRDefault="003239B8" w:rsidP="003239B8">
      <w:pPr>
        <w:spacing w:before="240"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t xml:space="preserve">IV. </w:t>
      </w:r>
      <w:r w:rsidRPr="00B24298">
        <w:rPr>
          <w:rFonts w:asciiTheme="majorHAnsi" w:hAnsiTheme="majorHAnsi"/>
          <w:b/>
          <w:bCs/>
          <w:sz w:val="20"/>
          <w:szCs w:val="20"/>
          <w:lang w:val="es-419"/>
        </w:rPr>
        <w:tab/>
      </w:r>
      <w:r w:rsidR="00EE00E9" w:rsidRPr="00B24298">
        <w:rPr>
          <w:rFonts w:asciiTheme="majorHAnsi" w:hAnsiTheme="majorHAnsi"/>
          <w:b/>
          <w:bCs/>
          <w:sz w:val="20"/>
          <w:szCs w:val="20"/>
          <w:lang w:val="es-419"/>
        </w:rPr>
        <w:t>DUPLICACIÓN</w:t>
      </w:r>
      <w:r w:rsidR="00EE00E9" w:rsidRPr="00B24298">
        <w:rPr>
          <w:rFonts w:asciiTheme="majorHAnsi" w:hAnsiTheme="majorHAnsi"/>
          <w:b/>
          <w:bCs/>
          <w:color w:val="FFFFFF" w:themeColor="background1"/>
          <w:sz w:val="20"/>
          <w:szCs w:val="20"/>
          <w:lang w:val="es-419"/>
        </w:rPr>
        <w:t xml:space="preserve"> </w:t>
      </w:r>
      <w:r w:rsidR="00EE00E9" w:rsidRPr="00B24298">
        <w:rPr>
          <w:rFonts w:asciiTheme="majorHAnsi" w:hAnsiTheme="majorHAnsi"/>
          <w:b/>
          <w:bCs/>
          <w:sz w:val="20"/>
          <w:szCs w:val="20"/>
          <w:lang w:val="es-419"/>
        </w:rPr>
        <w:t>DE PROCEDIMIENTOS Y COSA JUZGADA</w:t>
      </w:r>
      <w:r w:rsidR="00EE00E9" w:rsidRPr="00B24298">
        <w:rPr>
          <w:rFonts w:asciiTheme="majorHAnsi" w:hAnsiTheme="majorHAnsi"/>
          <w:b/>
          <w:bCs/>
          <w:i/>
          <w:sz w:val="20"/>
          <w:szCs w:val="20"/>
          <w:lang w:val="es-419"/>
        </w:rPr>
        <w:t xml:space="preserve"> </w:t>
      </w:r>
      <w:r w:rsidR="00EE00E9" w:rsidRPr="00B24298">
        <w:rPr>
          <w:rFonts w:asciiTheme="majorHAnsi" w:hAnsiTheme="majorHAnsi"/>
          <w:b/>
          <w:bCs/>
          <w:sz w:val="20"/>
          <w:szCs w:val="20"/>
          <w:lang w:val="es-419"/>
        </w:rPr>
        <w:t xml:space="preserve">INTERNACIONAL, </w:t>
      </w:r>
      <w:r w:rsidRPr="00B24298">
        <w:rPr>
          <w:rFonts w:asciiTheme="majorHAnsi" w:hAnsiTheme="majorHAnsi"/>
          <w:b/>
          <w:bCs/>
          <w:sz w:val="20"/>
          <w:szCs w:val="20"/>
          <w:lang w:val="es-419"/>
        </w:rPr>
        <w:t xml:space="preserve">CARACTERIZACIÓN, </w:t>
      </w:r>
      <w:r w:rsidRPr="00B24298">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B24298" w14:paraId="161C8568" w14:textId="77777777" w:rsidTr="00FE4C44">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B24298" w:rsidRDefault="00EE00E9"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Duplicación de procedimientos y cosa juzgada internacional:</w:t>
            </w:r>
          </w:p>
        </w:tc>
        <w:tc>
          <w:tcPr>
            <w:tcW w:w="5772" w:type="dxa"/>
            <w:vAlign w:val="center"/>
          </w:tcPr>
          <w:p w14:paraId="764D7F60" w14:textId="003B40D1" w:rsidR="00EE00E9" w:rsidRPr="00B24298" w:rsidRDefault="00A004BB" w:rsidP="008D2290">
            <w:pPr>
              <w:jc w:val="both"/>
              <w:rPr>
                <w:rFonts w:ascii="Cambria" w:hAnsi="Cambria"/>
                <w:bCs/>
                <w:sz w:val="20"/>
                <w:szCs w:val="20"/>
                <w:lang w:val="es-419"/>
              </w:rPr>
            </w:pPr>
            <w:r w:rsidRPr="00B24298">
              <w:rPr>
                <w:rFonts w:ascii="Cambria" w:hAnsi="Cambria"/>
                <w:bCs/>
                <w:sz w:val="20"/>
                <w:szCs w:val="20"/>
                <w:lang w:val="es-419"/>
              </w:rPr>
              <w:t>No</w:t>
            </w:r>
          </w:p>
        </w:tc>
      </w:tr>
      <w:tr w:rsidR="003239B8" w:rsidRPr="00F82BD9" w14:paraId="3ED57BF3" w14:textId="77777777" w:rsidTr="00FE4C44">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B24298" w:rsidRDefault="003239B8" w:rsidP="008D2290">
            <w:pPr>
              <w:jc w:val="center"/>
              <w:rPr>
                <w:rFonts w:ascii="Cambria" w:hAnsi="Cambria"/>
                <w:b/>
                <w:bCs/>
                <w:i/>
                <w:color w:val="FFFFFF" w:themeColor="background1"/>
                <w:sz w:val="20"/>
                <w:szCs w:val="20"/>
                <w:lang w:val="es-419"/>
              </w:rPr>
            </w:pPr>
            <w:r w:rsidRPr="00B24298">
              <w:rPr>
                <w:rFonts w:ascii="Cambria" w:hAnsi="Cambria"/>
                <w:b/>
                <w:bCs/>
                <w:color w:val="FFFFFF" w:themeColor="background1"/>
                <w:sz w:val="20"/>
                <w:szCs w:val="20"/>
                <w:lang w:val="es-419"/>
              </w:rPr>
              <w:t>Derechos declarados admisibles</w:t>
            </w:r>
            <w:r w:rsidRPr="00B24298">
              <w:rPr>
                <w:rFonts w:ascii="Cambria" w:hAnsi="Cambria"/>
                <w:b/>
                <w:bCs/>
                <w:i/>
                <w:color w:val="FFFFFF" w:themeColor="background1"/>
                <w:sz w:val="20"/>
                <w:szCs w:val="20"/>
                <w:lang w:val="es-419"/>
              </w:rPr>
              <w:t>:</w:t>
            </w:r>
          </w:p>
        </w:tc>
        <w:tc>
          <w:tcPr>
            <w:tcW w:w="5772" w:type="dxa"/>
            <w:vAlign w:val="center"/>
          </w:tcPr>
          <w:p w14:paraId="4DAE9D4D" w14:textId="601145A3" w:rsidR="003239B8" w:rsidRPr="00B24298" w:rsidRDefault="0091191E" w:rsidP="008D2290">
            <w:pPr>
              <w:jc w:val="both"/>
              <w:rPr>
                <w:rFonts w:ascii="Cambria" w:hAnsi="Cambria"/>
                <w:bCs/>
                <w:sz w:val="20"/>
                <w:szCs w:val="20"/>
                <w:lang w:val="es-419"/>
              </w:rPr>
            </w:pPr>
            <w:r w:rsidRPr="00091A21">
              <w:rPr>
                <w:rFonts w:ascii="Cambria" w:hAnsi="Cambria"/>
                <w:bCs/>
                <w:sz w:val="20"/>
                <w:szCs w:val="20"/>
                <w:lang w:val="es-419" w:bidi="es-ES"/>
              </w:rPr>
              <w:t>Artículo</w:t>
            </w:r>
            <w:r w:rsidR="008F607C">
              <w:rPr>
                <w:rFonts w:ascii="Cambria" w:hAnsi="Cambria"/>
                <w:bCs/>
                <w:sz w:val="20"/>
                <w:szCs w:val="20"/>
                <w:lang w:val="es-419" w:bidi="es-ES"/>
              </w:rPr>
              <w:t>s</w:t>
            </w:r>
            <w:r w:rsidR="00265EC5" w:rsidRPr="00265EC5">
              <w:rPr>
                <w:rFonts w:ascii="Cambria" w:hAnsi="Cambria"/>
                <w:bCs/>
                <w:sz w:val="20"/>
                <w:szCs w:val="20"/>
                <w:lang w:val="es-ES_tradnl" w:bidi="es-ES"/>
              </w:rPr>
              <w:t xml:space="preserve"> I (vida e integridad), II (igualdad), III (libertad religiosa) y XVIII (justicia) de la Declaración Americana</w:t>
            </w:r>
            <w:r w:rsidR="00265EC5">
              <w:rPr>
                <w:rFonts w:ascii="Cambria" w:hAnsi="Cambria"/>
                <w:bCs/>
                <w:sz w:val="20"/>
                <w:szCs w:val="20"/>
                <w:lang w:val="es-ES_tradnl" w:bidi="es-ES"/>
              </w:rPr>
              <w:t>;</w:t>
            </w:r>
            <w:r w:rsidR="00265EC5" w:rsidRPr="00265EC5">
              <w:rPr>
                <w:rFonts w:ascii="Cambria" w:hAnsi="Cambria"/>
                <w:bCs/>
                <w:sz w:val="20"/>
                <w:szCs w:val="20"/>
                <w:lang w:val="es-ES_tradnl" w:bidi="es-ES"/>
              </w:rPr>
              <w:t xml:space="preserve"> artículos 5 (integridad personal), 8 (garantías judiciales) y 25 (protección judicial) de la Convención Americana, con conexión con sus artículos 1 (obligación de respetar los derechos) y 2 (deber de adoptar disposiciones de derecho interno); </w:t>
            </w:r>
            <w:r w:rsidR="00265EC5" w:rsidRPr="00265EC5">
              <w:rPr>
                <w:rFonts w:ascii="Cambria" w:hAnsi="Cambria"/>
                <w:bCs/>
                <w:sz w:val="20"/>
                <w:szCs w:val="20"/>
                <w:lang w:val="es-ES" w:bidi="es-ES"/>
              </w:rPr>
              <w:t>artículos 1, 6 y 8 de la Convención Interamericana para Prevenir y Sancionar la Tortura</w:t>
            </w:r>
          </w:p>
        </w:tc>
      </w:tr>
      <w:tr w:rsidR="003239B8" w:rsidRPr="00F82BD9" w14:paraId="5702249F" w14:textId="77777777" w:rsidTr="00FE4C44">
        <w:trPr>
          <w:cantSplit/>
        </w:trPr>
        <w:tc>
          <w:tcPr>
            <w:tcW w:w="3565" w:type="dxa"/>
            <w:tcBorders>
              <w:top w:val="single" w:sz="6" w:space="0" w:color="auto"/>
              <w:bottom w:val="single" w:sz="6" w:space="0" w:color="auto"/>
            </w:tcBorders>
            <w:shd w:val="clear" w:color="auto" w:fill="386294"/>
            <w:vAlign w:val="center"/>
          </w:tcPr>
          <w:p w14:paraId="1F00DF1D"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lastRenderedPageBreak/>
              <w:t>Agotamiento de recursos internos</w:t>
            </w:r>
            <w:r w:rsidR="00EE00E9" w:rsidRPr="00B24298">
              <w:rPr>
                <w:rFonts w:ascii="Cambria" w:hAnsi="Cambria"/>
                <w:b/>
                <w:bCs/>
                <w:color w:val="FFFFFF" w:themeColor="background1"/>
                <w:sz w:val="20"/>
                <w:szCs w:val="20"/>
                <w:lang w:val="es-419"/>
              </w:rPr>
              <w:t xml:space="preserve"> o procedencia de una excepción</w:t>
            </w:r>
            <w:r w:rsidRPr="00B24298">
              <w:rPr>
                <w:rFonts w:ascii="Cambria" w:hAnsi="Cambria"/>
                <w:b/>
                <w:bCs/>
                <w:color w:val="FFFFFF" w:themeColor="background1"/>
                <w:sz w:val="20"/>
                <w:szCs w:val="20"/>
                <w:lang w:val="es-419"/>
              </w:rPr>
              <w:t>:</w:t>
            </w:r>
          </w:p>
        </w:tc>
        <w:tc>
          <w:tcPr>
            <w:tcW w:w="5772" w:type="dxa"/>
            <w:vAlign w:val="center"/>
          </w:tcPr>
          <w:p w14:paraId="7F7C1A19" w14:textId="295EF926" w:rsidR="003239B8" w:rsidRPr="00091A21" w:rsidRDefault="007431A2" w:rsidP="008D2290">
            <w:pPr>
              <w:rPr>
                <w:rFonts w:ascii="Cambria" w:hAnsi="Cambria"/>
                <w:bCs/>
                <w:sz w:val="20"/>
                <w:szCs w:val="20"/>
                <w:lang w:val="es-419"/>
              </w:rPr>
            </w:pPr>
            <w:r>
              <w:rPr>
                <w:rFonts w:ascii="Cambria" w:hAnsi="Cambria"/>
                <w:bCs/>
                <w:sz w:val="20"/>
                <w:szCs w:val="20"/>
                <w:lang w:val="es-419" w:bidi="es-ES"/>
              </w:rPr>
              <w:t>Excepción del 46.2.c) de la Convención Americana</w:t>
            </w:r>
          </w:p>
        </w:tc>
      </w:tr>
      <w:tr w:rsidR="003239B8" w:rsidRPr="00F82BD9" w14:paraId="7A101B89" w14:textId="77777777" w:rsidTr="00FE4C44">
        <w:trPr>
          <w:cantSplit/>
        </w:trPr>
        <w:tc>
          <w:tcPr>
            <w:tcW w:w="3565" w:type="dxa"/>
            <w:tcBorders>
              <w:top w:val="single" w:sz="6" w:space="0" w:color="auto"/>
              <w:bottom w:val="single" w:sz="6" w:space="0" w:color="auto"/>
            </w:tcBorders>
            <w:shd w:val="clear" w:color="auto" w:fill="386294"/>
            <w:vAlign w:val="center"/>
          </w:tcPr>
          <w:p w14:paraId="0843C533"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Presentación dentro de plazo:</w:t>
            </w:r>
          </w:p>
        </w:tc>
        <w:tc>
          <w:tcPr>
            <w:tcW w:w="5772" w:type="dxa"/>
            <w:vAlign w:val="center"/>
          </w:tcPr>
          <w:p w14:paraId="2AF0FC69" w14:textId="2D6464AD" w:rsidR="003239B8" w:rsidRPr="00091A21" w:rsidRDefault="00A004BB" w:rsidP="008D2290">
            <w:pPr>
              <w:rPr>
                <w:rFonts w:ascii="Cambria" w:hAnsi="Cambria"/>
                <w:bCs/>
                <w:sz w:val="20"/>
                <w:szCs w:val="20"/>
                <w:lang w:val="es-419"/>
              </w:rPr>
            </w:pPr>
            <w:r w:rsidRPr="00091A21">
              <w:rPr>
                <w:rFonts w:ascii="Cambria" w:hAnsi="Cambria"/>
                <w:bCs/>
                <w:sz w:val="20"/>
                <w:szCs w:val="20"/>
                <w:lang w:val="es-419" w:bidi="es-ES"/>
              </w:rPr>
              <w:t xml:space="preserve">Sí, en los términos </w:t>
            </w:r>
            <w:r w:rsidR="00966973">
              <w:rPr>
                <w:rFonts w:ascii="Cambria" w:hAnsi="Cambria"/>
                <w:bCs/>
                <w:sz w:val="20"/>
                <w:szCs w:val="20"/>
                <w:lang w:val="es-419" w:bidi="es-ES"/>
              </w:rPr>
              <w:t>del artículo 32.2 de Reglamento de la CIDH</w:t>
            </w:r>
          </w:p>
        </w:tc>
      </w:tr>
    </w:tbl>
    <w:p w14:paraId="56FD5D57" w14:textId="2F45A79B" w:rsidR="003239B8" w:rsidRPr="0029472A" w:rsidRDefault="00223A29" w:rsidP="006C3416">
      <w:pPr>
        <w:spacing w:before="240" w:after="240"/>
        <w:ind w:firstLine="720"/>
        <w:jc w:val="both"/>
        <w:rPr>
          <w:rFonts w:asciiTheme="majorHAnsi" w:hAnsiTheme="majorHAnsi"/>
          <w:b/>
          <w:sz w:val="20"/>
          <w:szCs w:val="20"/>
          <w:lang w:val="es-ES_tradnl"/>
        </w:rPr>
      </w:pPr>
      <w:r w:rsidRPr="00505C71">
        <w:rPr>
          <w:rFonts w:asciiTheme="majorHAnsi" w:hAnsiTheme="majorHAnsi"/>
          <w:b/>
          <w:sz w:val="20"/>
          <w:szCs w:val="20"/>
          <w:lang w:val="es-ES_tradnl"/>
        </w:rPr>
        <w:t xml:space="preserve">V. </w:t>
      </w:r>
      <w:r w:rsidRPr="00505C71">
        <w:rPr>
          <w:rFonts w:asciiTheme="majorHAnsi" w:hAnsiTheme="majorHAnsi"/>
          <w:b/>
          <w:sz w:val="20"/>
          <w:szCs w:val="20"/>
          <w:lang w:val="es-ES_tradnl"/>
        </w:rPr>
        <w:tab/>
      </w:r>
      <w:r w:rsidR="004241A0" w:rsidRPr="0029472A">
        <w:rPr>
          <w:rFonts w:asciiTheme="majorHAnsi" w:hAnsiTheme="majorHAnsi"/>
          <w:b/>
          <w:sz w:val="20"/>
          <w:szCs w:val="20"/>
          <w:lang w:val="es-ES_tradnl"/>
        </w:rPr>
        <w:t>POSICIÓN DE LAS PARTES</w:t>
      </w:r>
      <w:r w:rsidR="003239B8" w:rsidRPr="0029472A">
        <w:rPr>
          <w:rFonts w:asciiTheme="majorHAnsi" w:hAnsiTheme="majorHAnsi"/>
          <w:b/>
          <w:sz w:val="20"/>
          <w:szCs w:val="20"/>
          <w:lang w:val="es-ES_tradnl"/>
        </w:rPr>
        <w:t xml:space="preserve"> </w:t>
      </w:r>
    </w:p>
    <w:p w14:paraId="15877455" w14:textId="415771B3" w:rsidR="0099076E" w:rsidRPr="0029472A" w:rsidRDefault="0099076E" w:rsidP="006C341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i/>
          <w:iCs/>
          <w:sz w:val="20"/>
          <w:szCs w:val="20"/>
          <w:lang w:val="es-ES_tradnl"/>
        </w:rPr>
      </w:pPr>
      <w:r w:rsidRPr="0029472A">
        <w:rPr>
          <w:i/>
          <w:iCs/>
          <w:sz w:val="20"/>
          <w:szCs w:val="20"/>
          <w:lang w:val="es-ES_tradnl"/>
        </w:rPr>
        <w:t>Posición de la parte peticionaria</w:t>
      </w:r>
    </w:p>
    <w:p w14:paraId="5D756B4F" w14:textId="55D58F79" w:rsidR="00C324E3" w:rsidRPr="0029472A" w:rsidRDefault="000204BF"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Pr>
          <w:sz w:val="20"/>
          <w:szCs w:val="20"/>
          <w:lang w:val="es-ES_tradnl"/>
        </w:rPr>
        <w:t>Los peticionarios denuncian</w:t>
      </w:r>
      <w:r w:rsidR="00820512" w:rsidRPr="0029472A">
        <w:rPr>
          <w:sz w:val="20"/>
          <w:szCs w:val="20"/>
          <w:lang w:val="es-ES_tradnl"/>
        </w:rPr>
        <w:t xml:space="preserve"> homicidios y actos de torturas, tratos crueles</w:t>
      </w:r>
      <w:r w:rsidR="00153394" w:rsidRPr="0029472A">
        <w:rPr>
          <w:sz w:val="20"/>
          <w:szCs w:val="20"/>
          <w:lang w:val="es-ES_tradnl"/>
        </w:rPr>
        <w:t xml:space="preserve">, </w:t>
      </w:r>
      <w:r w:rsidR="00820512" w:rsidRPr="0029472A">
        <w:rPr>
          <w:sz w:val="20"/>
          <w:szCs w:val="20"/>
          <w:lang w:val="es-ES_tradnl"/>
        </w:rPr>
        <w:t xml:space="preserve">inhumanos y degradantes, en contra de soldados argentinos por parte de los oficiales y suboficiales que se habrían encontrado al mando durante el conflicto bélico de 1982 en las </w:t>
      </w:r>
      <w:r w:rsidR="00693BB8">
        <w:rPr>
          <w:sz w:val="20"/>
          <w:szCs w:val="20"/>
          <w:lang w:val="es-ES_tradnl"/>
        </w:rPr>
        <w:t xml:space="preserve">Islas </w:t>
      </w:r>
      <w:r w:rsidR="00820512" w:rsidRPr="0029472A">
        <w:rPr>
          <w:sz w:val="20"/>
          <w:szCs w:val="20"/>
          <w:lang w:val="es-ES_tradnl"/>
        </w:rPr>
        <w:t>Malvinas</w:t>
      </w:r>
      <w:r w:rsidR="002E0437">
        <w:rPr>
          <w:sz w:val="20"/>
          <w:szCs w:val="20"/>
          <w:lang w:val="es-ES_tradnl"/>
        </w:rPr>
        <w:t xml:space="preserve"> </w:t>
      </w:r>
      <w:r w:rsidR="00014DAB" w:rsidRPr="0029472A">
        <w:rPr>
          <w:sz w:val="20"/>
          <w:szCs w:val="20"/>
          <w:lang w:val="es-ES_tradnl"/>
        </w:rPr>
        <w:t>en parte motivados por intolerancia religiosa y antisemitismo. Asimismo, denuncia</w:t>
      </w:r>
      <w:r w:rsidR="00820512" w:rsidRPr="0029472A">
        <w:rPr>
          <w:sz w:val="20"/>
          <w:szCs w:val="20"/>
          <w:lang w:val="es-ES_tradnl"/>
        </w:rPr>
        <w:t xml:space="preserve"> la demora injustificada y otras irregularidades en el proceso penal respectivo, el cual habría sido sobreseído por prescripción.</w:t>
      </w:r>
    </w:p>
    <w:p w14:paraId="545331F5" w14:textId="2133E1BE" w:rsidR="00820512" w:rsidRPr="0029472A" w:rsidRDefault="00E17392"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Pr>
          <w:sz w:val="20"/>
          <w:szCs w:val="20"/>
          <w:lang w:val="es-ES_tradnl"/>
        </w:rPr>
        <w:t>D</w:t>
      </w:r>
      <w:r w:rsidR="00820512" w:rsidRPr="0029472A">
        <w:rPr>
          <w:sz w:val="20"/>
          <w:szCs w:val="20"/>
          <w:lang w:val="es-ES_tradnl"/>
        </w:rPr>
        <w:t>urante el conflicto en las Islas Malvinas, entre</w:t>
      </w:r>
      <w:r w:rsidR="001B6318" w:rsidRPr="0029472A">
        <w:rPr>
          <w:sz w:val="20"/>
          <w:szCs w:val="20"/>
          <w:lang w:val="es-ES_tradnl"/>
        </w:rPr>
        <w:t xml:space="preserve"> el</w:t>
      </w:r>
      <w:r w:rsidR="00820512" w:rsidRPr="0029472A">
        <w:rPr>
          <w:sz w:val="20"/>
          <w:szCs w:val="20"/>
          <w:lang w:val="es-ES_tradnl"/>
        </w:rPr>
        <w:t xml:space="preserve"> 2 de abril </w:t>
      </w:r>
      <w:r w:rsidR="00853667" w:rsidRPr="0029472A">
        <w:rPr>
          <w:sz w:val="20"/>
          <w:szCs w:val="20"/>
          <w:lang w:val="es-ES_tradnl"/>
        </w:rPr>
        <w:t xml:space="preserve">y el 14 de junio </w:t>
      </w:r>
      <w:r w:rsidR="00820512" w:rsidRPr="0029472A">
        <w:rPr>
          <w:sz w:val="20"/>
          <w:szCs w:val="20"/>
          <w:lang w:val="es-ES_tradnl"/>
        </w:rPr>
        <w:t xml:space="preserve">1982, oficiales y suboficiales de las Fuerzas Armadas argentinas habrían sometido a estos soldados de las mismas tropas a torturas de tipo físico y psicológico. Algunos habrían sido obligados a estar semidesnudos en </w:t>
      </w:r>
      <w:r w:rsidR="00C961DE">
        <w:rPr>
          <w:sz w:val="20"/>
          <w:szCs w:val="20"/>
          <w:lang w:val="es-ES_tradnl"/>
        </w:rPr>
        <w:t>recintos</w:t>
      </w:r>
      <w:r w:rsidR="00820512" w:rsidRPr="0029472A">
        <w:rPr>
          <w:sz w:val="20"/>
          <w:szCs w:val="20"/>
          <w:lang w:val="es-ES_tradnl"/>
        </w:rPr>
        <w:t xml:space="preserve"> de agua congelada y sometidos a altas temperaturas</w:t>
      </w:r>
      <w:r w:rsidR="003B1F42">
        <w:rPr>
          <w:sz w:val="20"/>
          <w:szCs w:val="20"/>
          <w:lang w:val="es-ES_tradnl"/>
        </w:rPr>
        <w:t>;</w:t>
      </w:r>
      <w:r w:rsidR="00820512" w:rsidRPr="0029472A">
        <w:rPr>
          <w:sz w:val="20"/>
          <w:szCs w:val="20"/>
          <w:lang w:val="es-ES_tradnl"/>
        </w:rPr>
        <w:t xml:space="preserve"> habrían sido golpeados</w:t>
      </w:r>
      <w:r w:rsidR="00E86CD9">
        <w:rPr>
          <w:sz w:val="20"/>
          <w:szCs w:val="20"/>
          <w:lang w:val="es-ES_tradnl"/>
        </w:rPr>
        <w:t>;</w:t>
      </w:r>
      <w:r w:rsidR="00820512" w:rsidRPr="0029472A">
        <w:rPr>
          <w:sz w:val="20"/>
          <w:szCs w:val="20"/>
          <w:lang w:val="es-ES_tradnl"/>
        </w:rPr>
        <w:t xml:space="preserve"> sometidos a </w:t>
      </w:r>
      <w:r w:rsidR="00C961DE">
        <w:rPr>
          <w:sz w:val="20"/>
          <w:szCs w:val="20"/>
          <w:lang w:val="es-ES_tradnl"/>
        </w:rPr>
        <w:t>“</w:t>
      </w:r>
      <w:r w:rsidR="00425133" w:rsidRPr="0029472A">
        <w:rPr>
          <w:sz w:val="20"/>
          <w:szCs w:val="20"/>
          <w:lang w:val="es-ES_tradnl"/>
        </w:rPr>
        <w:t>estaqueamientos</w:t>
      </w:r>
      <w:r w:rsidR="00C961DE">
        <w:rPr>
          <w:sz w:val="20"/>
          <w:szCs w:val="20"/>
          <w:lang w:val="es-ES_tradnl"/>
        </w:rPr>
        <w:t>”</w:t>
      </w:r>
      <w:r w:rsidR="00425133" w:rsidRPr="0029472A">
        <w:rPr>
          <w:rStyle w:val="FootnoteReference"/>
          <w:sz w:val="20"/>
          <w:szCs w:val="20"/>
          <w:lang w:val="es-ES_tradnl"/>
        </w:rPr>
        <w:footnoteReference w:id="4"/>
      </w:r>
      <w:r w:rsidR="00C961DE">
        <w:rPr>
          <w:sz w:val="20"/>
          <w:szCs w:val="20"/>
          <w:lang w:val="es-ES_tradnl"/>
        </w:rPr>
        <w:t>;</w:t>
      </w:r>
      <w:r w:rsidR="00425133" w:rsidRPr="0029472A">
        <w:rPr>
          <w:sz w:val="20"/>
          <w:szCs w:val="20"/>
          <w:lang w:val="es-ES_tradnl"/>
        </w:rPr>
        <w:t xml:space="preserve"> </w:t>
      </w:r>
      <w:r w:rsidR="00820512" w:rsidRPr="0029472A">
        <w:rPr>
          <w:sz w:val="20"/>
          <w:szCs w:val="20"/>
          <w:lang w:val="es-ES_tradnl"/>
        </w:rPr>
        <w:t>simulacros de fusilamiento, enter</w:t>
      </w:r>
      <w:r w:rsidR="00153394" w:rsidRPr="0029472A">
        <w:rPr>
          <w:sz w:val="20"/>
          <w:szCs w:val="20"/>
          <w:lang w:val="es-ES_tradnl"/>
        </w:rPr>
        <w:t>r</w:t>
      </w:r>
      <w:r w:rsidR="00820512" w:rsidRPr="0029472A">
        <w:rPr>
          <w:sz w:val="20"/>
          <w:szCs w:val="20"/>
          <w:lang w:val="es-ES_tradnl"/>
        </w:rPr>
        <w:t xml:space="preserve">amiento y hambre como forma de sojuzgamiento. Además, algunos militares habrían muerto por inanición y otros habrían sido asesinados. </w:t>
      </w:r>
      <w:r w:rsidR="0077698D">
        <w:rPr>
          <w:sz w:val="20"/>
          <w:szCs w:val="20"/>
          <w:lang w:val="es-ES_tradnl"/>
        </w:rPr>
        <w:t>Los peticionarios aducen</w:t>
      </w:r>
      <w:r w:rsidR="00820512" w:rsidRPr="0029472A">
        <w:rPr>
          <w:sz w:val="20"/>
          <w:szCs w:val="20"/>
          <w:lang w:val="es-ES_tradnl"/>
        </w:rPr>
        <w:t xml:space="preserve"> que estos actos </w:t>
      </w:r>
      <w:r w:rsidR="000204BF">
        <w:rPr>
          <w:sz w:val="20"/>
          <w:szCs w:val="20"/>
          <w:lang w:val="es-ES_tradnl"/>
        </w:rPr>
        <w:t>fueron</w:t>
      </w:r>
      <w:r w:rsidR="00820512" w:rsidRPr="0029472A">
        <w:rPr>
          <w:sz w:val="20"/>
          <w:szCs w:val="20"/>
          <w:lang w:val="es-ES_tradnl"/>
        </w:rPr>
        <w:t xml:space="preserve"> cometidos en ocasiones como resultado de la intolerancia religiosa y sentimientos de antisemitismo.</w:t>
      </w:r>
    </w:p>
    <w:p w14:paraId="066EE042" w14:textId="6A3FCFCE" w:rsidR="00820512" w:rsidRPr="0029472A" w:rsidRDefault="000204BF" w:rsidP="006C3416">
      <w:pPr>
        <w:pStyle w:val="ListParagraph"/>
        <w:numPr>
          <w:ilvl w:val="0"/>
          <w:numId w:val="55"/>
        </w:numPr>
        <w:autoSpaceDE w:val="0"/>
        <w:autoSpaceDN w:val="0"/>
        <w:spacing w:before="240" w:after="240"/>
        <w:ind w:left="0" w:firstLine="709"/>
        <w:jc w:val="both"/>
        <w:rPr>
          <w:sz w:val="20"/>
          <w:szCs w:val="20"/>
          <w:lang w:val="es-ES_tradnl"/>
        </w:rPr>
      </w:pPr>
      <w:r>
        <w:rPr>
          <w:sz w:val="20"/>
          <w:szCs w:val="20"/>
          <w:lang w:val="es-ES_tradnl"/>
        </w:rPr>
        <w:t>U</w:t>
      </w:r>
      <w:r w:rsidR="00820512" w:rsidRPr="0029472A">
        <w:rPr>
          <w:sz w:val="20"/>
          <w:szCs w:val="20"/>
          <w:lang w:val="es-ES_tradnl"/>
        </w:rPr>
        <w:t>na vez finalizado el conflicto los agentes del Estado habrían realizado acciones directas tendientes a impedir que se conocieran e investigaran los hechos</w:t>
      </w:r>
      <w:r w:rsidR="00700C03">
        <w:rPr>
          <w:sz w:val="20"/>
          <w:szCs w:val="20"/>
          <w:lang w:val="es-ES_tradnl"/>
        </w:rPr>
        <w:t xml:space="preserve"> impidiendo así</w:t>
      </w:r>
      <w:r w:rsidR="00820512" w:rsidRPr="0029472A">
        <w:rPr>
          <w:sz w:val="20"/>
          <w:szCs w:val="20"/>
          <w:lang w:val="es-ES_tradnl"/>
        </w:rPr>
        <w:t xml:space="preserve"> el acceso de las víctimas a la justicia. Documentos desclasificados por el Ministerio de Defensa habrían evidenciado que las tareas de </w:t>
      </w:r>
      <w:r w:rsidR="0085371D" w:rsidRPr="0029472A">
        <w:rPr>
          <w:sz w:val="20"/>
          <w:szCs w:val="20"/>
          <w:lang w:val="es-ES_tradnl"/>
        </w:rPr>
        <w:t>contra</w:t>
      </w:r>
      <w:r w:rsidR="0085371D">
        <w:rPr>
          <w:sz w:val="20"/>
          <w:szCs w:val="20"/>
          <w:lang w:val="es-ES_tradnl"/>
        </w:rPr>
        <w:t>i</w:t>
      </w:r>
      <w:r w:rsidR="0085371D" w:rsidRPr="0029472A">
        <w:rPr>
          <w:sz w:val="20"/>
          <w:szCs w:val="20"/>
          <w:lang w:val="es-ES_tradnl"/>
        </w:rPr>
        <w:t>nteligencia</w:t>
      </w:r>
      <w:r w:rsidR="00820512" w:rsidRPr="0029472A">
        <w:rPr>
          <w:sz w:val="20"/>
          <w:szCs w:val="20"/>
          <w:lang w:val="es-ES_tradnl"/>
        </w:rPr>
        <w:t xml:space="preserve"> al finalizar el conflicto habrían instado a la “disciplina del secreto” la cual incluía advertencias y recomendaciones con este mismo fin.</w:t>
      </w:r>
      <w:r w:rsidR="00382430" w:rsidRPr="0029472A">
        <w:rPr>
          <w:sz w:val="20"/>
          <w:szCs w:val="20"/>
          <w:lang w:val="es-ES_tradnl"/>
        </w:rPr>
        <w:t xml:space="preserve"> Adicionalmente, </w:t>
      </w:r>
      <w:r w:rsidR="00820512" w:rsidRPr="0029472A">
        <w:rPr>
          <w:sz w:val="20"/>
          <w:szCs w:val="20"/>
          <w:lang w:val="es-ES_tradnl"/>
        </w:rPr>
        <w:t>se habría iniciado una investigación judicial en contra de J</w:t>
      </w:r>
      <w:r w:rsidR="00364730">
        <w:rPr>
          <w:sz w:val="20"/>
          <w:szCs w:val="20"/>
          <w:lang w:val="es-ES_tradnl"/>
        </w:rPr>
        <w:t xml:space="preserve">.E.T. </w:t>
      </w:r>
      <w:r w:rsidR="00820512" w:rsidRPr="0029472A">
        <w:rPr>
          <w:sz w:val="20"/>
          <w:szCs w:val="20"/>
          <w:lang w:val="es-ES_tradnl"/>
        </w:rPr>
        <w:t xml:space="preserve">sindicado por los crímenes antes mencionados. Sin embargo, la decisión en última instancia habría </w:t>
      </w:r>
      <w:r w:rsidR="00437F28">
        <w:rPr>
          <w:sz w:val="20"/>
          <w:szCs w:val="20"/>
          <w:lang w:val="es-ES_tradnl"/>
        </w:rPr>
        <w:t xml:space="preserve">sido </w:t>
      </w:r>
      <w:r w:rsidR="00820512" w:rsidRPr="0029472A">
        <w:rPr>
          <w:sz w:val="20"/>
          <w:szCs w:val="20"/>
          <w:lang w:val="es-ES_tradnl"/>
        </w:rPr>
        <w:t>fallad</w:t>
      </w:r>
      <w:r w:rsidR="00437F28">
        <w:rPr>
          <w:sz w:val="20"/>
          <w:szCs w:val="20"/>
          <w:lang w:val="es-ES_tradnl"/>
        </w:rPr>
        <w:t>a</w:t>
      </w:r>
      <w:r w:rsidR="00820512" w:rsidRPr="0029472A">
        <w:rPr>
          <w:sz w:val="20"/>
          <w:szCs w:val="20"/>
          <w:lang w:val="es-ES_tradnl"/>
        </w:rPr>
        <w:t xml:space="preserve"> extinta por prescripción la acción penal</w:t>
      </w:r>
      <w:r w:rsidR="00437F28">
        <w:rPr>
          <w:sz w:val="20"/>
          <w:szCs w:val="20"/>
          <w:lang w:val="es-ES_tradnl"/>
        </w:rPr>
        <w:t>,</w:t>
      </w:r>
      <w:r w:rsidR="00820512" w:rsidRPr="0029472A">
        <w:rPr>
          <w:sz w:val="20"/>
          <w:szCs w:val="20"/>
          <w:lang w:val="es-ES_tradnl"/>
        </w:rPr>
        <w:t xml:space="preserve"> </w:t>
      </w:r>
      <w:r w:rsidR="00C63E73">
        <w:rPr>
          <w:sz w:val="20"/>
          <w:szCs w:val="20"/>
          <w:lang w:val="es-ES_tradnl"/>
        </w:rPr>
        <w:t>sobreseyéndose</w:t>
      </w:r>
      <w:r w:rsidR="00820512" w:rsidRPr="0029472A">
        <w:rPr>
          <w:sz w:val="20"/>
          <w:szCs w:val="20"/>
          <w:lang w:val="es-ES_tradnl"/>
        </w:rPr>
        <w:t xml:space="preserve"> al imputado. Como consecuencia, resultó impedida la investigación de por lo menos </w:t>
      </w:r>
      <w:r w:rsidR="00C63E73">
        <w:rPr>
          <w:sz w:val="20"/>
          <w:szCs w:val="20"/>
          <w:lang w:val="es-ES_tradnl"/>
        </w:rPr>
        <w:t>setenta y cuatro</w:t>
      </w:r>
      <w:r w:rsidR="00820512" w:rsidRPr="0029472A">
        <w:rPr>
          <w:sz w:val="20"/>
          <w:szCs w:val="20"/>
          <w:lang w:val="es-ES_tradnl"/>
        </w:rPr>
        <w:t xml:space="preserve"> casos que se habrían encontrado en el expediente de la investigación mencionada por los mismos hechos.</w:t>
      </w:r>
    </w:p>
    <w:p w14:paraId="00AB5B06" w14:textId="087E88B0" w:rsidR="00382430" w:rsidRPr="0029472A" w:rsidRDefault="00382430" w:rsidP="006C3416">
      <w:pPr>
        <w:pStyle w:val="ListParagraph"/>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t xml:space="preserve">Según </w:t>
      </w:r>
      <w:r w:rsidR="007E5E8D">
        <w:rPr>
          <w:sz w:val="20"/>
          <w:szCs w:val="20"/>
          <w:lang w:val="es-ES_tradnl"/>
        </w:rPr>
        <w:t>los peticionarios</w:t>
      </w:r>
      <w:r w:rsidRPr="0029472A">
        <w:rPr>
          <w:sz w:val="20"/>
          <w:szCs w:val="20"/>
          <w:lang w:val="es-ES_tradnl"/>
        </w:rPr>
        <w:t xml:space="preserve">, en resumen, los </w:t>
      </w:r>
      <w:r w:rsidR="00C94F1B" w:rsidRPr="0029472A">
        <w:rPr>
          <w:sz w:val="20"/>
          <w:szCs w:val="20"/>
          <w:lang w:val="es-ES_tradnl"/>
        </w:rPr>
        <w:t>excombatientes</w:t>
      </w:r>
      <w:r w:rsidRPr="0029472A">
        <w:rPr>
          <w:sz w:val="20"/>
          <w:szCs w:val="20"/>
          <w:lang w:val="es-ES_tradnl"/>
        </w:rPr>
        <w:t xml:space="preserve"> y sus representantes habían iniciado varias acciones para lograr que se investigaran y juzgaran </w:t>
      </w:r>
      <w:r w:rsidR="00FF48D6">
        <w:rPr>
          <w:sz w:val="20"/>
          <w:szCs w:val="20"/>
          <w:lang w:val="es-ES_tradnl"/>
        </w:rPr>
        <w:t>estos graves hechos de tortura</w:t>
      </w:r>
      <w:r w:rsidRPr="0029472A">
        <w:rPr>
          <w:sz w:val="20"/>
          <w:szCs w:val="20"/>
          <w:lang w:val="es-ES_tradnl"/>
        </w:rPr>
        <w:t xml:space="preserve">. Mediante diversos requerimientos de instrucción, el Ministerio Público Fiscal habría solicitado la investigación de un total de </w:t>
      </w:r>
      <w:r w:rsidR="00586648">
        <w:rPr>
          <w:sz w:val="20"/>
          <w:szCs w:val="20"/>
          <w:lang w:val="es-ES_tradnl"/>
        </w:rPr>
        <w:t>setenta y cuatro</w:t>
      </w:r>
      <w:r w:rsidRPr="0029472A">
        <w:rPr>
          <w:sz w:val="20"/>
          <w:szCs w:val="20"/>
          <w:lang w:val="es-ES_tradnl"/>
        </w:rPr>
        <w:t xml:space="preserve"> hechos. En 2007, </w:t>
      </w:r>
      <w:r w:rsidR="008F607C" w:rsidRPr="0029472A">
        <w:rPr>
          <w:sz w:val="20"/>
          <w:szCs w:val="20"/>
          <w:lang w:val="es-ES_tradnl"/>
        </w:rPr>
        <w:t xml:space="preserve">un </w:t>
      </w:r>
      <w:r w:rsidRPr="0029472A">
        <w:rPr>
          <w:sz w:val="20"/>
          <w:szCs w:val="20"/>
          <w:lang w:val="es-ES_tradnl"/>
        </w:rPr>
        <w:t xml:space="preserve">denunciante que afirmara haber sido víctima de actos de tortura y otras degradaciones, como la carencia de las condiciones básicas de higiene y salubridad de la tropa, cometidos por integrantes de las Fuerzas Armadas de la Nación, </w:t>
      </w:r>
      <w:r w:rsidR="008F607C" w:rsidRPr="0029472A">
        <w:rPr>
          <w:sz w:val="20"/>
          <w:szCs w:val="20"/>
          <w:lang w:val="es-ES_tradnl"/>
        </w:rPr>
        <w:t xml:space="preserve">logró </w:t>
      </w:r>
      <w:r w:rsidRPr="0029472A">
        <w:rPr>
          <w:sz w:val="20"/>
          <w:szCs w:val="20"/>
          <w:lang w:val="es-ES_tradnl"/>
        </w:rPr>
        <w:t>presentar y sostener su causa ante el Juzgado Federal de Rio Grande, Tierra del Fuego</w:t>
      </w:r>
      <w:r w:rsidR="008F607C" w:rsidRPr="0029472A">
        <w:rPr>
          <w:sz w:val="20"/>
          <w:szCs w:val="20"/>
          <w:lang w:val="es-ES_tradnl"/>
        </w:rPr>
        <w:t xml:space="preserve">, lo que </w:t>
      </w:r>
      <w:r w:rsidR="004D01D5">
        <w:rPr>
          <w:sz w:val="20"/>
          <w:szCs w:val="20"/>
          <w:lang w:val="es-ES_tradnl"/>
        </w:rPr>
        <w:t>dio lugar</w:t>
      </w:r>
      <w:r w:rsidR="008F607C" w:rsidRPr="0029472A">
        <w:rPr>
          <w:sz w:val="20"/>
          <w:szCs w:val="20"/>
          <w:lang w:val="es-ES_tradnl"/>
        </w:rPr>
        <w:t xml:space="preserve"> </w:t>
      </w:r>
      <w:r w:rsidR="004D01D5">
        <w:rPr>
          <w:sz w:val="20"/>
          <w:szCs w:val="20"/>
          <w:lang w:val="es-ES_tradnl"/>
        </w:rPr>
        <w:t>a</w:t>
      </w:r>
      <w:r w:rsidR="008F607C" w:rsidRPr="0029472A">
        <w:rPr>
          <w:sz w:val="20"/>
          <w:szCs w:val="20"/>
          <w:lang w:val="es-ES_tradnl"/>
        </w:rPr>
        <w:t xml:space="preserve">l Expediente No. 14.947/06, </w:t>
      </w:r>
      <w:r w:rsidR="0099076E" w:rsidRPr="0029472A">
        <w:rPr>
          <w:sz w:val="20"/>
          <w:szCs w:val="20"/>
          <w:lang w:val="es-ES_tradnl"/>
        </w:rPr>
        <w:t>"Pierre Pedro Valentín y otros s/ delito de acción pública"</w:t>
      </w:r>
      <w:r w:rsidRPr="0029472A">
        <w:rPr>
          <w:sz w:val="20"/>
          <w:szCs w:val="20"/>
          <w:lang w:val="es-ES_tradnl"/>
        </w:rPr>
        <w:t xml:space="preserve">. El 3 de febrero de 2009, el señor </w:t>
      </w:r>
      <w:r w:rsidR="008A30B6">
        <w:rPr>
          <w:sz w:val="20"/>
          <w:szCs w:val="20"/>
          <w:lang w:val="es-ES_tradnl"/>
        </w:rPr>
        <w:t>J.E.T.</w:t>
      </w:r>
      <w:r w:rsidRPr="0029472A">
        <w:rPr>
          <w:sz w:val="20"/>
          <w:szCs w:val="20"/>
          <w:lang w:val="es-ES_tradnl"/>
        </w:rPr>
        <w:t xml:space="preserve"> se presentó ante el juzgado en carácter de imputado como supuesto perpetrador de numerosos casos de tortura y demás afrentas a la dignidad humana, y sostuvo la necesidad de extinción de la acción penal por prescripción. Sin embargo, tanto el Juzgado como la Cámara Federal de Apelaciones de Comodoro Rivadavia rechazaron el planteamiento</w:t>
      </w:r>
      <w:r w:rsidR="0093065E">
        <w:rPr>
          <w:sz w:val="20"/>
          <w:szCs w:val="20"/>
          <w:lang w:val="es-ES_tradnl"/>
        </w:rPr>
        <w:t>,</w:t>
      </w:r>
      <w:r w:rsidRPr="0029472A">
        <w:rPr>
          <w:sz w:val="20"/>
          <w:szCs w:val="20"/>
          <w:lang w:val="es-ES_tradnl"/>
        </w:rPr>
        <w:t xml:space="preserve"> entendiendo que los delitos habían constituido crímenes contra la humanidad según el derecho internacional</w:t>
      </w:r>
      <w:r w:rsidR="000C620F">
        <w:rPr>
          <w:sz w:val="20"/>
          <w:szCs w:val="20"/>
          <w:lang w:val="es-ES_tradnl"/>
        </w:rPr>
        <w:t>,</w:t>
      </w:r>
      <w:r w:rsidRPr="0029472A">
        <w:rPr>
          <w:sz w:val="20"/>
          <w:szCs w:val="20"/>
          <w:lang w:val="es-ES_tradnl"/>
        </w:rPr>
        <w:t xml:space="preserve"> y por lo tanto, no habrían estado sometidos al régimen de prescripción de la acción penal. </w:t>
      </w:r>
      <w:r w:rsidR="000C620F">
        <w:rPr>
          <w:sz w:val="20"/>
          <w:szCs w:val="20"/>
          <w:lang w:val="es-ES_tradnl"/>
        </w:rPr>
        <w:t>L</w:t>
      </w:r>
      <w:r w:rsidRPr="0029472A">
        <w:rPr>
          <w:sz w:val="20"/>
          <w:szCs w:val="20"/>
          <w:lang w:val="es-ES_tradnl"/>
        </w:rPr>
        <w:t xml:space="preserve">a Cámara Federal de Apelaciones </w:t>
      </w:r>
      <w:r w:rsidR="00C14427">
        <w:rPr>
          <w:sz w:val="20"/>
          <w:szCs w:val="20"/>
          <w:lang w:val="es-ES_tradnl"/>
        </w:rPr>
        <w:t>emitió esta decisión el</w:t>
      </w:r>
      <w:r w:rsidRPr="0029472A">
        <w:rPr>
          <w:sz w:val="20"/>
          <w:szCs w:val="20"/>
          <w:lang w:val="es-ES_tradnl"/>
        </w:rPr>
        <w:t xml:space="preserve"> 24 de junio de 2009.</w:t>
      </w:r>
    </w:p>
    <w:p w14:paraId="48CF9FF7" w14:textId="4AB82958" w:rsidR="00382430" w:rsidRPr="0029472A" w:rsidRDefault="000D3F22" w:rsidP="006C3416">
      <w:pPr>
        <w:pStyle w:val="ListParagraph"/>
        <w:numPr>
          <w:ilvl w:val="0"/>
          <w:numId w:val="55"/>
        </w:numPr>
        <w:autoSpaceDE w:val="0"/>
        <w:autoSpaceDN w:val="0"/>
        <w:spacing w:before="240" w:after="240"/>
        <w:ind w:left="0" w:firstLine="709"/>
        <w:jc w:val="both"/>
        <w:rPr>
          <w:sz w:val="20"/>
          <w:szCs w:val="20"/>
          <w:lang w:val="es-ES_tradnl"/>
        </w:rPr>
      </w:pPr>
      <w:r>
        <w:rPr>
          <w:sz w:val="20"/>
          <w:szCs w:val="20"/>
          <w:lang w:val="es-ES_tradnl"/>
        </w:rPr>
        <w:t>Contra esta decisión J.E.T.</w:t>
      </w:r>
      <w:r w:rsidR="00382430" w:rsidRPr="0029472A">
        <w:rPr>
          <w:sz w:val="20"/>
          <w:szCs w:val="20"/>
          <w:lang w:val="es-ES_tradnl"/>
        </w:rPr>
        <w:t xml:space="preserve"> </w:t>
      </w:r>
      <w:r>
        <w:rPr>
          <w:sz w:val="20"/>
          <w:szCs w:val="20"/>
          <w:lang w:val="es-ES_tradnl"/>
        </w:rPr>
        <w:t>interpuso un</w:t>
      </w:r>
      <w:r w:rsidR="00382430" w:rsidRPr="0029472A">
        <w:rPr>
          <w:sz w:val="20"/>
          <w:szCs w:val="20"/>
          <w:lang w:val="es-ES_tradnl"/>
        </w:rPr>
        <w:t xml:space="preserve"> recurso de casación el cual habría sido elevado a la Cámara Nacional de Casación Penal. </w:t>
      </w:r>
      <w:r w:rsidR="00C32D45">
        <w:rPr>
          <w:sz w:val="20"/>
          <w:szCs w:val="20"/>
          <w:lang w:val="es-ES_tradnl"/>
        </w:rPr>
        <w:t>Así, e</w:t>
      </w:r>
      <w:r w:rsidR="00382430" w:rsidRPr="0029472A">
        <w:rPr>
          <w:sz w:val="20"/>
          <w:szCs w:val="20"/>
          <w:lang w:val="es-ES_tradnl"/>
        </w:rPr>
        <w:t xml:space="preserve">l 24 de septiembre de 2010, </w:t>
      </w:r>
      <w:r w:rsidR="00D279FF">
        <w:rPr>
          <w:sz w:val="20"/>
          <w:szCs w:val="20"/>
          <w:lang w:val="es-ES_tradnl"/>
        </w:rPr>
        <w:t>esta cámara</w:t>
      </w:r>
      <w:r w:rsidR="00382430" w:rsidRPr="0029472A">
        <w:rPr>
          <w:sz w:val="20"/>
          <w:szCs w:val="20"/>
          <w:lang w:val="es-ES_tradnl"/>
        </w:rPr>
        <w:t xml:space="preserve"> </w:t>
      </w:r>
      <w:r w:rsidR="00D279FF">
        <w:rPr>
          <w:sz w:val="20"/>
          <w:szCs w:val="20"/>
          <w:lang w:val="es-ES_tradnl"/>
        </w:rPr>
        <w:t>revocó</w:t>
      </w:r>
      <w:r w:rsidR="00382430" w:rsidRPr="0029472A">
        <w:rPr>
          <w:sz w:val="20"/>
          <w:szCs w:val="20"/>
          <w:lang w:val="es-ES_tradnl"/>
        </w:rPr>
        <w:t xml:space="preserve"> la resolución de la Cámara Federal de Apelaciones. En su razonamiento, consideró errónea la interpretación que esta realiz</w:t>
      </w:r>
      <w:r w:rsidR="00D279FF">
        <w:rPr>
          <w:sz w:val="20"/>
          <w:szCs w:val="20"/>
          <w:lang w:val="es-ES_tradnl"/>
        </w:rPr>
        <w:t>ó</w:t>
      </w:r>
      <w:r w:rsidR="00382430" w:rsidRPr="0029472A">
        <w:rPr>
          <w:sz w:val="20"/>
          <w:szCs w:val="20"/>
          <w:lang w:val="es-ES_tradnl"/>
        </w:rPr>
        <w:t xml:space="preserve"> de la categoría jurídica de crimen contra la humanidad. De acuerdo con su interpretación, esa categoría exigiría una conexión entre uno o más atentados individuales, por un lado</w:t>
      </w:r>
      <w:r w:rsidR="007D453A">
        <w:rPr>
          <w:sz w:val="20"/>
          <w:szCs w:val="20"/>
          <w:lang w:val="es-ES_tradnl"/>
        </w:rPr>
        <w:t>,</w:t>
      </w:r>
      <w:r w:rsidR="00382430" w:rsidRPr="0029472A">
        <w:rPr>
          <w:sz w:val="20"/>
          <w:szCs w:val="20"/>
          <w:lang w:val="es-ES_tradnl"/>
        </w:rPr>
        <w:t xml:space="preserve"> y una política estatal de ataque generalizado o </w:t>
      </w:r>
      <w:r w:rsidR="00382430" w:rsidRPr="0029472A">
        <w:rPr>
          <w:sz w:val="20"/>
          <w:szCs w:val="20"/>
          <w:lang w:val="es-ES_tradnl"/>
        </w:rPr>
        <w:lastRenderedPageBreak/>
        <w:t>sistemático a un sector de la población civil</w:t>
      </w:r>
      <w:r w:rsidR="007D453A">
        <w:rPr>
          <w:sz w:val="20"/>
          <w:szCs w:val="20"/>
          <w:lang w:val="es-ES_tradnl"/>
        </w:rPr>
        <w:t>,</w:t>
      </w:r>
      <w:r w:rsidR="00382430" w:rsidRPr="0029472A">
        <w:rPr>
          <w:sz w:val="20"/>
          <w:szCs w:val="20"/>
          <w:lang w:val="es-ES_tradnl"/>
        </w:rPr>
        <w:t xml:space="preserve"> que no estaría dada en el caso de los crímenes que fueron objeto del proceso. A continuación, la causa fue reenviada a la Cámara Federal de Apelaciones para que dictara una nueva sentencia acorde con la interpretación postulada en la sentencia de casación. De esta forma, la Cámara de Apelaciones declaró extinta por prescripción la acción penal y sobreseyó al imputado.</w:t>
      </w:r>
    </w:p>
    <w:p w14:paraId="603895B4" w14:textId="241BCF41" w:rsidR="00382430" w:rsidRPr="0029472A" w:rsidRDefault="00382430" w:rsidP="006C3416">
      <w:pPr>
        <w:pStyle w:val="ListParagraph"/>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t xml:space="preserve">Ante esta decisión, el excombatiente Carlos Amato, en representación del Centro de </w:t>
      </w:r>
      <w:r w:rsidR="00254D12" w:rsidRPr="0029472A">
        <w:rPr>
          <w:sz w:val="20"/>
          <w:szCs w:val="20"/>
          <w:lang w:val="es-ES_tradnl"/>
        </w:rPr>
        <w:t>Excombatientes</w:t>
      </w:r>
      <w:r w:rsidRPr="0029472A">
        <w:rPr>
          <w:sz w:val="20"/>
          <w:szCs w:val="20"/>
          <w:lang w:val="es-ES_tradnl"/>
        </w:rPr>
        <w:t xml:space="preserve"> Islas Malvinas La Plata (Cecim), interpuso recurso de casación. El recurso fue </w:t>
      </w:r>
      <w:r w:rsidR="00186127" w:rsidRPr="0029472A">
        <w:rPr>
          <w:sz w:val="20"/>
          <w:szCs w:val="20"/>
          <w:lang w:val="es-ES_tradnl"/>
        </w:rPr>
        <w:t>rechazado</w:t>
      </w:r>
      <w:r w:rsidRPr="0029472A">
        <w:rPr>
          <w:sz w:val="20"/>
          <w:szCs w:val="20"/>
          <w:lang w:val="es-ES_tradnl"/>
        </w:rPr>
        <w:t xml:space="preserve"> la Sala I de la Cámara Nacional de Casación Penal el 22 de noviembre de 2011. En su razonamiento, </w:t>
      </w:r>
      <w:r w:rsidR="00277D4A">
        <w:rPr>
          <w:sz w:val="20"/>
          <w:szCs w:val="20"/>
          <w:lang w:val="es-ES_tradnl"/>
        </w:rPr>
        <w:t xml:space="preserve">esta instancia </w:t>
      </w:r>
      <w:r w:rsidRPr="0029472A">
        <w:rPr>
          <w:sz w:val="20"/>
          <w:szCs w:val="20"/>
          <w:lang w:val="es-ES_tradnl"/>
        </w:rPr>
        <w:t>sostuvo que la ponderación de los argumentos esgrimidos en el antedicho remedio procesal supondría realizar una nueva evaluación sobre los hechos motivo de investigación, sin que se hubiera realizado nuevos aportes que permitiesen el encuadre contextual dentro de la clasificación de delitos de lesa humanidad y que, por tanto, la acción se encontraría prescripta. La Cámara Nacional de Casación Penal habría argumentado que, en el caso, no concurre el elemento de contexto que permitiría asignarle a los hechos investigados el carácter de lesa humanidad propiciado por los impugnantes.</w:t>
      </w:r>
    </w:p>
    <w:p w14:paraId="39D9CFEF" w14:textId="3DEB79E2" w:rsidR="00382430" w:rsidRPr="0029472A" w:rsidRDefault="00382430" w:rsidP="006C3416">
      <w:pPr>
        <w:pStyle w:val="ListParagraph"/>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t xml:space="preserve">Seguidamente, el Cecim interpuso </w:t>
      </w:r>
      <w:r w:rsidR="005A31B5">
        <w:rPr>
          <w:sz w:val="20"/>
          <w:szCs w:val="20"/>
          <w:lang w:val="es-ES_tradnl"/>
        </w:rPr>
        <w:t xml:space="preserve">un </w:t>
      </w:r>
      <w:r w:rsidRPr="0029472A">
        <w:rPr>
          <w:sz w:val="20"/>
          <w:szCs w:val="20"/>
          <w:lang w:val="es-ES_tradnl"/>
        </w:rPr>
        <w:t xml:space="preserve">recurso extraordinario federal que terminó </w:t>
      </w:r>
      <w:r w:rsidR="009C760B">
        <w:rPr>
          <w:sz w:val="20"/>
          <w:szCs w:val="20"/>
          <w:lang w:val="es-ES_tradnl"/>
        </w:rPr>
        <w:t xml:space="preserve">siendo </w:t>
      </w:r>
      <w:r w:rsidRPr="0029472A">
        <w:rPr>
          <w:sz w:val="20"/>
          <w:szCs w:val="20"/>
          <w:lang w:val="es-ES_tradnl"/>
        </w:rPr>
        <w:t>desestimado por tardío</w:t>
      </w:r>
      <w:r w:rsidR="00F21289">
        <w:rPr>
          <w:sz w:val="20"/>
          <w:szCs w:val="20"/>
          <w:lang w:val="es-ES_tradnl"/>
        </w:rPr>
        <w:t>,</w:t>
      </w:r>
      <w:r w:rsidRPr="0029472A">
        <w:rPr>
          <w:sz w:val="20"/>
          <w:szCs w:val="20"/>
          <w:lang w:val="es-ES_tradnl"/>
        </w:rPr>
        <w:t xml:space="preserve"> bajo el entendimiento de que la cuestión impugnada había quedado firme al no haberse impugnado la primera sentencia de casación en la que fijó la interpretación de la categoría de los crímenes contra la humanidad y se dispuso el reenvío para su aplicación a los hechos del caso. El Cecim intentó</w:t>
      </w:r>
      <w:r w:rsidR="00F21289">
        <w:rPr>
          <w:sz w:val="20"/>
          <w:szCs w:val="20"/>
          <w:lang w:val="es-ES_tradnl"/>
        </w:rPr>
        <w:t xml:space="preserve"> seguidamente</w:t>
      </w:r>
      <w:r w:rsidRPr="0029472A">
        <w:rPr>
          <w:sz w:val="20"/>
          <w:szCs w:val="20"/>
          <w:lang w:val="es-ES_tradnl"/>
        </w:rPr>
        <w:t xml:space="preserve"> la interposición de una queja ante la Corte Suprema de Justicia de la Nación. </w:t>
      </w:r>
      <w:r w:rsidR="00394CAE">
        <w:rPr>
          <w:sz w:val="20"/>
          <w:szCs w:val="20"/>
          <w:lang w:val="es-ES_tradnl"/>
        </w:rPr>
        <w:t xml:space="preserve">La </w:t>
      </w:r>
      <w:r w:rsidR="00F82BD9">
        <w:rPr>
          <w:sz w:val="20"/>
          <w:szCs w:val="20"/>
          <w:lang w:val="es-ES_tradnl"/>
        </w:rPr>
        <w:t>cual,</w:t>
      </w:r>
      <w:r w:rsidR="00394CAE">
        <w:rPr>
          <w:sz w:val="20"/>
          <w:szCs w:val="20"/>
          <w:lang w:val="es-ES_tradnl"/>
        </w:rPr>
        <w:t xml:space="preserve"> e</w:t>
      </w:r>
      <w:r w:rsidRPr="0029472A">
        <w:rPr>
          <w:sz w:val="20"/>
          <w:szCs w:val="20"/>
          <w:lang w:val="es-ES_tradnl"/>
        </w:rPr>
        <w:t xml:space="preserve">n su resolución de 19 de febrero de 2015, confirmó la decisión de la Cámara Nacional de Casación Penal. Esta decisión fue notificada el 20 de febrero de 2015. </w:t>
      </w:r>
      <w:r w:rsidR="00E943D0">
        <w:rPr>
          <w:sz w:val="20"/>
          <w:szCs w:val="20"/>
          <w:lang w:val="es-ES_tradnl"/>
        </w:rPr>
        <w:t>Los peticionarios alegan</w:t>
      </w:r>
      <w:r w:rsidRPr="0029472A">
        <w:rPr>
          <w:sz w:val="20"/>
          <w:szCs w:val="20"/>
          <w:lang w:val="es-ES_tradnl"/>
        </w:rPr>
        <w:t xml:space="preserve"> que esta decisión impide la investigación </w:t>
      </w:r>
      <w:r w:rsidR="00395B29">
        <w:rPr>
          <w:sz w:val="20"/>
          <w:szCs w:val="20"/>
          <w:lang w:val="es-ES_tradnl"/>
        </w:rPr>
        <w:t>de los hechos alegadamente perpetrados por</w:t>
      </w:r>
      <w:r w:rsidRPr="0029472A">
        <w:rPr>
          <w:sz w:val="20"/>
          <w:szCs w:val="20"/>
          <w:lang w:val="es-ES_tradnl"/>
        </w:rPr>
        <w:t xml:space="preserve"> "</w:t>
      </w:r>
      <w:r w:rsidR="003B1D34">
        <w:rPr>
          <w:sz w:val="20"/>
          <w:szCs w:val="20"/>
          <w:lang w:val="es-ES_tradnl"/>
        </w:rPr>
        <w:t>J.E.T.</w:t>
      </w:r>
      <w:r w:rsidRPr="0029472A">
        <w:rPr>
          <w:sz w:val="20"/>
          <w:szCs w:val="20"/>
          <w:lang w:val="es-ES_tradnl"/>
        </w:rPr>
        <w:t>"</w:t>
      </w:r>
      <w:r w:rsidR="00167861">
        <w:rPr>
          <w:sz w:val="20"/>
          <w:szCs w:val="20"/>
          <w:lang w:val="es-ES_tradnl"/>
        </w:rPr>
        <w:t>,</w:t>
      </w:r>
      <w:r w:rsidRPr="0029472A">
        <w:rPr>
          <w:sz w:val="20"/>
          <w:szCs w:val="20"/>
          <w:lang w:val="es-ES_tradnl"/>
        </w:rPr>
        <w:t xml:space="preserve"> y en consecuencia la resolución de </w:t>
      </w:r>
      <w:r w:rsidR="002919DB">
        <w:rPr>
          <w:sz w:val="20"/>
          <w:szCs w:val="20"/>
          <w:lang w:val="es-ES_tradnl"/>
        </w:rPr>
        <w:t>setenta y cuatro</w:t>
      </w:r>
      <w:r w:rsidRPr="0029472A">
        <w:rPr>
          <w:sz w:val="20"/>
          <w:szCs w:val="20"/>
          <w:lang w:val="es-ES_tradnl"/>
        </w:rPr>
        <w:t xml:space="preserve"> casos que se habrían encontrado en el expediente de la investigación mencionada.</w:t>
      </w:r>
    </w:p>
    <w:p w14:paraId="048DE9D8" w14:textId="1DBE4D63" w:rsidR="0099076E" w:rsidRPr="0029472A" w:rsidRDefault="0099076E" w:rsidP="006C3416">
      <w:pPr>
        <w:pStyle w:val="ListParagraph"/>
        <w:autoSpaceDE w:val="0"/>
        <w:autoSpaceDN w:val="0"/>
        <w:spacing w:before="240" w:after="240"/>
        <w:ind w:left="709"/>
        <w:jc w:val="both"/>
        <w:rPr>
          <w:i/>
          <w:iCs/>
          <w:sz w:val="20"/>
          <w:szCs w:val="20"/>
          <w:lang w:val="es-ES_tradnl"/>
        </w:rPr>
      </w:pPr>
      <w:r w:rsidRPr="0029472A">
        <w:rPr>
          <w:i/>
          <w:iCs/>
          <w:sz w:val="20"/>
          <w:szCs w:val="20"/>
          <w:lang w:val="es-ES_tradnl"/>
        </w:rPr>
        <w:t>Posición del Estado argentino</w:t>
      </w:r>
    </w:p>
    <w:p w14:paraId="6114E15E" w14:textId="75EBE89F" w:rsidR="0096653E" w:rsidRPr="0029472A" w:rsidRDefault="0096653E"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29472A">
        <w:rPr>
          <w:sz w:val="20"/>
          <w:szCs w:val="20"/>
          <w:lang w:val="es-ES_tradnl"/>
        </w:rPr>
        <w:t>El Estado argentino, de su parte, señala que la petición se presenta a raíz del trámite judicial iniciado ante el Juzgado Federal de Primera Instancia N° 2 de la Ciudad de Río Grande en la causa caratulada "Pierre Pedro Valentín y otros s/ delito de acción pública" (Expediente No. 14.947/06). Dicha actuación, informa el Estado, se generó a partir de la denuncia presentada por Rubén Darío Gleriano ante la Subsecretaría de Derechos Humanos de la Provincia de Buenos Aires. El denunciante declaró haber sido víctima de hechos de tortura y otras degradaciones durante el conflicto de la guerra entre Argentina y el Reino Unido en las Malvinas. La Secretaría de Derechos Humanos provincial remitió al mismo Juzgado otra denuncia de las mismas características efectuada por Walter Alfredo Salas.</w:t>
      </w:r>
    </w:p>
    <w:p w14:paraId="7916B620" w14:textId="61B6E102" w:rsidR="0096653E" w:rsidRPr="0029472A" w:rsidRDefault="0096653E" w:rsidP="006C3416">
      <w:pPr>
        <w:pStyle w:val="ListParagraph"/>
        <w:widowControl w:val="0"/>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t xml:space="preserve">A partir de dichas denuncias, el 12 de abril de 2007 el fiscal formuló el correspondiente requerimiento de instrucción, solicitando la investigación de los hechos. A media que fue avanzando la investigación surgieron nuevas víctimas, ampliándose la plataforma fáctica de la causa. Finalmente, el Ministerio Público Fiscal solicitó la investigación de un total de </w:t>
      </w:r>
      <w:r w:rsidR="001327C4">
        <w:rPr>
          <w:sz w:val="20"/>
          <w:szCs w:val="20"/>
          <w:lang w:val="es-ES_tradnl"/>
        </w:rPr>
        <w:t>setenta y cuatro</w:t>
      </w:r>
      <w:r w:rsidRPr="0029472A">
        <w:rPr>
          <w:sz w:val="20"/>
          <w:szCs w:val="20"/>
          <w:lang w:val="es-ES_tradnl"/>
        </w:rPr>
        <w:t xml:space="preserve"> hechos.</w:t>
      </w:r>
    </w:p>
    <w:p w14:paraId="7755E7CD" w14:textId="4139CDE7" w:rsidR="0096653E" w:rsidRPr="0029472A" w:rsidRDefault="0096653E" w:rsidP="006C3416">
      <w:pPr>
        <w:pStyle w:val="ListParagraph"/>
        <w:widowControl w:val="0"/>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t xml:space="preserve">Uno de los imputados de la causa </w:t>
      </w:r>
      <w:r w:rsidR="00670C49">
        <w:rPr>
          <w:sz w:val="20"/>
          <w:szCs w:val="20"/>
          <w:lang w:val="es-ES_tradnl"/>
        </w:rPr>
        <w:t>fue J.E.T</w:t>
      </w:r>
      <w:r w:rsidRPr="0029472A">
        <w:rPr>
          <w:sz w:val="20"/>
          <w:szCs w:val="20"/>
          <w:lang w:val="es-ES_tradnl"/>
        </w:rPr>
        <w:t xml:space="preserve">, quien fuera sindicado como perpetrador de numerosos casos de tortura y demás afrentas a la dignidad humana. </w:t>
      </w:r>
      <w:r w:rsidR="00844A9A">
        <w:rPr>
          <w:sz w:val="20"/>
          <w:szCs w:val="20"/>
          <w:lang w:val="es-ES_tradnl"/>
        </w:rPr>
        <w:t>J.E.T.</w:t>
      </w:r>
      <w:r w:rsidRPr="0029472A">
        <w:rPr>
          <w:sz w:val="20"/>
          <w:szCs w:val="20"/>
          <w:lang w:val="es-ES_tradnl"/>
        </w:rPr>
        <w:t xml:space="preserve"> se presentó ante el Juzgado y solicitó la clausura del proceso alegando que la acción penal se había extinguido por prescripción. Ante dicha solicitud tanto el Juzgado de Instrucción y la Cámara Federal de Apelaciones de Comodoro Rivadavia, rechazaron ese planteo entendiendo que los delitos que son objeto del proceso constituyen crímenes contra la humanidad según el derecho internacional aplicable y, por lo tanto, no están sometidos al régimen de prescripción de la acción penal que prevé el Código Penal para los delitos comunes.</w:t>
      </w:r>
    </w:p>
    <w:p w14:paraId="35AA9F2E" w14:textId="58B1AAC9" w:rsidR="0096653E" w:rsidRPr="0029472A" w:rsidRDefault="0096653E" w:rsidP="006C3416">
      <w:pPr>
        <w:pStyle w:val="ListParagraph"/>
        <w:widowControl w:val="0"/>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t xml:space="preserve">La Sala I de la Cámara Nacional de Casación Penal, revocó la decisión de la Cámara de Apelaciones entendiendo que los hechos no encuadran en crímenes de lesa humanidad y por lo tanto la acción penal se encontraba prescripta. Esta decisión no fue recurrida por la querella, quedando firme dicha sentencia, impidiendo cualquier posibilidad de revisión de dicho fallo. En consecuencia, la Cámara de Casación remitió las actuaciones a su procedencia. De esta forma la Cámara de Apelaciones aplicó la interpretación de Casación y declaró extinta por prescripción la acción penal y sobreseyó </w:t>
      </w:r>
      <w:r w:rsidR="00844A9A">
        <w:rPr>
          <w:sz w:val="20"/>
          <w:szCs w:val="20"/>
          <w:lang w:val="es-ES_tradnl"/>
        </w:rPr>
        <w:t>a J.E.T</w:t>
      </w:r>
      <w:r w:rsidRPr="0029472A">
        <w:rPr>
          <w:sz w:val="20"/>
          <w:szCs w:val="20"/>
          <w:lang w:val="es-ES_tradnl"/>
        </w:rPr>
        <w:t>.</w:t>
      </w:r>
    </w:p>
    <w:p w14:paraId="6DA97D5A" w14:textId="555103C5" w:rsidR="0096653E" w:rsidRPr="0029472A" w:rsidRDefault="0096653E" w:rsidP="006C3416">
      <w:pPr>
        <w:pStyle w:val="ListParagraph"/>
        <w:widowControl w:val="0"/>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lastRenderedPageBreak/>
        <w:t xml:space="preserve">Ante esta situación, </w:t>
      </w:r>
      <w:r w:rsidR="00E943D0">
        <w:rPr>
          <w:sz w:val="20"/>
          <w:szCs w:val="20"/>
          <w:lang w:val="es-ES_tradnl"/>
        </w:rPr>
        <w:t>la parte peticionaria</w:t>
      </w:r>
      <w:r w:rsidRPr="0029472A">
        <w:rPr>
          <w:sz w:val="20"/>
          <w:szCs w:val="20"/>
          <w:lang w:val="es-ES_tradnl"/>
        </w:rPr>
        <w:t xml:space="preserve"> interpuso </w:t>
      </w:r>
      <w:r w:rsidR="00844A9A">
        <w:rPr>
          <w:sz w:val="20"/>
          <w:szCs w:val="20"/>
          <w:lang w:val="es-ES_tradnl"/>
        </w:rPr>
        <w:t xml:space="preserve">un </w:t>
      </w:r>
      <w:r w:rsidRPr="0029472A">
        <w:rPr>
          <w:sz w:val="20"/>
          <w:szCs w:val="20"/>
          <w:lang w:val="es-ES_tradnl"/>
        </w:rPr>
        <w:t>recurso de casación contra la sentencia de la Cámara de Apelaciones que dictó el sobreseimiento, el cual fue declarado inadmisible. Ello dio lugar a un recurso extraordinario y, ante su rechazo, la presentación de una queja, o recurso de hecho, ante la Corte Suprema de Justicia de la Nación, que también fue desestimado.</w:t>
      </w:r>
    </w:p>
    <w:p w14:paraId="29E35979" w14:textId="4BAC063E" w:rsidR="00BC0028" w:rsidRDefault="0096653E" w:rsidP="006C3416">
      <w:pPr>
        <w:pStyle w:val="ListParagraph"/>
        <w:widowControl w:val="0"/>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t xml:space="preserve">Finalmente, ante el recurso de hecho presentado por </w:t>
      </w:r>
      <w:r w:rsidR="00325005">
        <w:rPr>
          <w:sz w:val="20"/>
          <w:szCs w:val="20"/>
          <w:lang w:val="es-ES_tradnl"/>
        </w:rPr>
        <w:t>los peticionarios</w:t>
      </w:r>
      <w:r w:rsidRPr="0029472A">
        <w:rPr>
          <w:sz w:val="20"/>
          <w:szCs w:val="20"/>
          <w:lang w:val="es-ES_tradnl"/>
        </w:rPr>
        <w:t>, la CSJN sostuvo que</w:t>
      </w:r>
      <w:r w:rsidR="00BC0028">
        <w:rPr>
          <w:sz w:val="20"/>
          <w:szCs w:val="20"/>
          <w:lang w:val="es-ES_tradnl"/>
        </w:rPr>
        <w:t>:</w:t>
      </w:r>
      <w:r w:rsidRPr="0029472A">
        <w:rPr>
          <w:sz w:val="20"/>
          <w:szCs w:val="20"/>
          <w:lang w:val="es-ES_tradnl"/>
        </w:rPr>
        <w:t xml:space="preserve"> </w:t>
      </w:r>
    </w:p>
    <w:p w14:paraId="1A3AD724" w14:textId="31457A20" w:rsidR="0096653E" w:rsidRPr="00BC0028" w:rsidRDefault="0096653E" w:rsidP="00BC0028">
      <w:pPr>
        <w:widowControl w:val="0"/>
        <w:autoSpaceDE w:val="0"/>
        <w:autoSpaceDN w:val="0"/>
        <w:spacing w:before="240" w:after="240"/>
        <w:ind w:left="720" w:right="720"/>
        <w:jc w:val="both"/>
        <w:rPr>
          <w:sz w:val="20"/>
          <w:szCs w:val="20"/>
          <w:lang w:val="es-ES_tradnl"/>
        </w:rPr>
      </w:pPr>
      <w:r w:rsidRPr="00BC0028">
        <w:rPr>
          <w:sz w:val="20"/>
          <w:szCs w:val="20"/>
          <w:lang w:val="es-ES_tradnl"/>
        </w:rPr>
        <w:t>la decisión tratada a esta Corte a través de este recurso de hecho era lisa y llana aplicación de la doctrina sentada por la Cámara Federal de Casación Penal a través de un pronunciamiento cuyo acierto o error no podía ser actualmente revisado por esta Corte debido a que había pasado en autoridad de cosa juzgada, y la decisión que finalmente hizo lugar a la prescripción no fue más que su consecuencia, motivo por el cual, este Tribunal no se ha expedido en este recurso sobre el fondo del asunto.</w:t>
      </w:r>
    </w:p>
    <w:p w14:paraId="5E5C33DA" w14:textId="2178524A" w:rsidR="0096653E" w:rsidRPr="0029472A" w:rsidRDefault="0096653E" w:rsidP="006C3416">
      <w:pPr>
        <w:pStyle w:val="ListParagraph"/>
        <w:widowControl w:val="0"/>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t>En consecuencia, la CSJN desestimó la presentación efectuada, quedando firme la absolución por prescripción dictada por la Cámara de Apelaciones siguiendo los parámetros de la Cámara Nacional de Casación Penal.</w:t>
      </w:r>
    </w:p>
    <w:p w14:paraId="515760D4" w14:textId="550CC605" w:rsidR="0000787B" w:rsidRPr="0029472A" w:rsidRDefault="0099076E"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29472A">
        <w:rPr>
          <w:sz w:val="20"/>
          <w:szCs w:val="20"/>
          <w:lang w:val="es-ES_tradnl"/>
        </w:rPr>
        <w:t>Argentina sostiene que</w:t>
      </w:r>
      <w:r w:rsidR="0000787B" w:rsidRPr="0029472A">
        <w:rPr>
          <w:sz w:val="20"/>
          <w:szCs w:val="20"/>
          <w:lang w:val="es-ES_tradnl"/>
        </w:rPr>
        <w:t xml:space="preserve"> la </w:t>
      </w:r>
      <w:r w:rsidR="00B65A01">
        <w:rPr>
          <w:sz w:val="20"/>
          <w:szCs w:val="20"/>
          <w:lang w:val="es-ES_tradnl"/>
        </w:rPr>
        <w:t>CIDH</w:t>
      </w:r>
      <w:r w:rsidR="0000787B" w:rsidRPr="0029472A">
        <w:rPr>
          <w:sz w:val="20"/>
          <w:szCs w:val="20"/>
          <w:lang w:val="es-ES_tradnl"/>
        </w:rPr>
        <w:t xml:space="preserve"> no tiene competencia </w:t>
      </w:r>
      <w:r w:rsidR="0000787B" w:rsidRPr="0029472A">
        <w:rPr>
          <w:i/>
          <w:iCs/>
          <w:sz w:val="20"/>
          <w:szCs w:val="20"/>
          <w:lang w:val="es-ES_tradnl"/>
        </w:rPr>
        <w:t>ratione temporis</w:t>
      </w:r>
      <w:r w:rsidR="0000787B" w:rsidRPr="0029472A">
        <w:rPr>
          <w:sz w:val="20"/>
          <w:szCs w:val="20"/>
          <w:lang w:val="es-ES_tradnl"/>
        </w:rPr>
        <w:t xml:space="preserve"> para evaluar la petición con respecto a las alegadas violaciones a los artículos 4 y 5.2 de la Convención Americana y 1, 2. 3, 4, 5 y 6 de la Convención Interamericana para Prevenir y Sancionar la Tortura. Según señala el Estado, i) los hechos que dieron origen a los reclamos se remontan a un tiempo comprendido entre el 2 de abril y el 14 de junio de 1982 en las Islas Malvinas</w:t>
      </w:r>
      <w:r w:rsidR="002E25A8">
        <w:rPr>
          <w:sz w:val="20"/>
          <w:szCs w:val="20"/>
          <w:lang w:val="es-ES_tradnl"/>
        </w:rPr>
        <w:t>;</w:t>
      </w:r>
      <w:r w:rsidR="0000787B" w:rsidRPr="0029472A">
        <w:rPr>
          <w:sz w:val="20"/>
          <w:szCs w:val="20"/>
          <w:lang w:val="es-ES_tradnl"/>
        </w:rPr>
        <w:t xml:space="preserve"> y ii) el Estado ratificó la Convención y aceptó la competencia de esa Ilustre Comisión el 5 de septiembre de 1984, haciendo expresa mención de que, sobre la base del principio de irretroactividad de los tratados.</w:t>
      </w:r>
    </w:p>
    <w:p w14:paraId="4DAAFA23" w14:textId="1BA7569E" w:rsidR="0000787B" w:rsidRPr="0029472A" w:rsidRDefault="0000787B"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29472A">
        <w:rPr>
          <w:sz w:val="20"/>
          <w:szCs w:val="20"/>
          <w:lang w:val="es-ES_tradnl"/>
        </w:rPr>
        <w:t>Asimismo, el Estado argumenta que la petición es inadmisible por falta de agotamiento de los recursos internos en buena y debida forma. Según el Estado</w:t>
      </w:r>
      <w:r w:rsidR="007E5E8D">
        <w:rPr>
          <w:sz w:val="20"/>
          <w:szCs w:val="20"/>
          <w:lang w:val="es-ES_tradnl"/>
        </w:rPr>
        <w:t>, la parte peticionaria</w:t>
      </w:r>
      <w:r w:rsidRPr="0029472A">
        <w:rPr>
          <w:sz w:val="20"/>
          <w:szCs w:val="20"/>
          <w:lang w:val="es-ES_tradnl"/>
        </w:rPr>
        <w:t xml:space="preserve"> omitió apelar el fallo de la Cámara Federal de Casación Penal, el cual establecía la prescripción de la causa por no considerar los hechos acontecidos como delitos de lesa humanidad. Dicha sentencia no fue recurrida, lo cual la convirtió en sentencia firme y por lo tanto impidió cualquier posibilidad de revisión sustancial por parte del máximo tribunal de la nación. El Recurso Extraordinario, argumenta el Estado, se presentaba como la vía idónea para cuestionar la sentencia de la Cámara de Casación Penal ya que la materia debatida era eminentemente federal. La cuestión que ahora se debate en sede internacional encuadraba claramente en los supuestos que habilitan competencia de la Corte Suprema de Justicia de la Nación, la que no pudo ser habilitada por parte del Estado por la falta de debido Recurso Extraordinario por parte de los peticionarios.</w:t>
      </w:r>
    </w:p>
    <w:p w14:paraId="5C0EB9DE" w14:textId="7167A247" w:rsidR="002F1FD5" w:rsidRPr="0029472A" w:rsidRDefault="0000787B" w:rsidP="006C3416">
      <w:pPr>
        <w:pStyle w:val="ListParagraph"/>
        <w:widowControl w:val="0"/>
        <w:numPr>
          <w:ilvl w:val="0"/>
          <w:numId w:val="55"/>
        </w:numPr>
        <w:autoSpaceDE w:val="0"/>
        <w:autoSpaceDN w:val="0"/>
        <w:spacing w:before="240" w:after="240"/>
        <w:ind w:left="0" w:firstLine="709"/>
        <w:jc w:val="both"/>
        <w:rPr>
          <w:sz w:val="20"/>
          <w:szCs w:val="20"/>
          <w:lang w:val="es-ES_tradnl"/>
        </w:rPr>
      </w:pPr>
      <w:r w:rsidRPr="0029472A">
        <w:rPr>
          <w:sz w:val="20"/>
          <w:szCs w:val="20"/>
          <w:lang w:val="es-ES_tradnl"/>
        </w:rPr>
        <w:t xml:space="preserve">Además, argumenta </w:t>
      </w:r>
      <w:r w:rsidR="00654384">
        <w:rPr>
          <w:sz w:val="20"/>
          <w:szCs w:val="20"/>
          <w:lang w:val="es-ES_tradnl"/>
        </w:rPr>
        <w:t>que</w:t>
      </w:r>
      <w:r w:rsidRPr="0029472A">
        <w:rPr>
          <w:sz w:val="20"/>
          <w:szCs w:val="20"/>
          <w:lang w:val="es-ES_tradnl"/>
        </w:rPr>
        <w:t xml:space="preserve"> si bien el imputado </w:t>
      </w:r>
      <w:r w:rsidR="00654384">
        <w:rPr>
          <w:sz w:val="20"/>
          <w:szCs w:val="20"/>
          <w:lang w:val="es-ES_tradnl"/>
        </w:rPr>
        <w:t>J.E.T.</w:t>
      </w:r>
      <w:r w:rsidRPr="0029472A">
        <w:rPr>
          <w:sz w:val="20"/>
          <w:szCs w:val="20"/>
          <w:lang w:val="es-ES_tradnl"/>
        </w:rPr>
        <w:t xml:space="preserve"> </w:t>
      </w:r>
      <w:r w:rsidR="00654384">
        <w:rPr>
          <w:sz w:val="20"/>
          <w:szCs w:val="20"/>
          <w:lang w:val="es-ES_tradnl"/>
        </w:rPr>
        <w:t>fue</w:t>
      </w:r>
      <w:r w:rsidRPr="0029472A">
        <w:rPr>
          <w:sz w:val="20"/>
          <w:szCs w:val="20"/>
          <w:lang w:val="es-ES_tradnl"/>
        </w:rPr>
        <w:t xml:space="preserve"> sobreseído por la justicia, aún los hechos que impulsaron la petición se encontrarían en plena etapa de investigación y con avances significativos en la justicia interna. </w:t>
      </w:r>
      <w:r w:rsidR="0096653E" w:rsidRPr="0029472A">
        <w:rPr>
          <w:sz w:val="20"/>
          <w:szCs w:val="20"/>
          <w:lang w:val="es-ES_tradnl"/>
        </w:rPr>
        <w:t xml:space="preserve">Según el Estado, han aparecido nuevas denuncias contra más imputados por los mismos hechos. La Cámara Federal de Apelaciones de Comodoro Rivadavia confirmó un fallo en octubre del 2018 por el cual los presuntos delitos encuadrarían en violaciones a los derechos humanos y deben seguir investigándose. Al 8 de diciembre de 2018 </w:t>
      </w:r>
      <w:r w:rsidR="00194D29">
        <w:rPr>
          <w:sz w:val="20"/>
          <w:szCs w:val="20"/>
          <w:lang w:val="es-ES_tradnl"/>
        </w:rPr>
        <w:t>esa</w:t>
      </w:r>
      <w:r w:rsidR="0096653E" w:rsidRPr="0029472A">
        <w:rPr>
          <w:sz w:val="20"/>
          <w:szCs w:val="20"/>
          <w:lang w:val="es-ES_tradnl"/>
        </w:rPr>
        <w:t xml:space="preserve"> causa contaba con </w:t>
      </w:r>
      <w:r w:rsidR="00031F24">
        <w:rPr>
          <w:sz w:val="20"/>
          <w:szCs w:val="20"/>
          <w:lang w:val="es-ES_tradnl"/>
        </w:rPr>
        <w:t>varios imputados</w:t>
      </w:r>
      <w:r w:rsidR="0096653E" w:rsidRPr="0029472A">
        <w:rPr>
          <w:sz w:val="20"/>
          <w:szCs w:val="20"/>
          <w:lang w:val="es-ES_tradnl"/>
        </w:rPr>
        <w:t xml:space="preserve"> llamados a </w:t>
      </w:r>
      <w:r w:rsidR="00613D55">
        <w:rPr>
          <w:sz w:val="20"/>
          <w:szCs w:val="20"/>
          <w:lang w:val="es-ES_tradnl"/>
        </w:rPr>
        <w:t xml:space="preserve">dar </w:t>
      </w:r>
      <w:r w:rsidR="0096653E" w:rsidRPr="0029472A">
        <w:rPr>
          <w:sz w:val="20"/>
          <w:szCs w:val="20"/>
          <w:lang w:val="es-ES_tradnl"/>
        </w:rPr>
        <w:t>declaración indagatoria por el Juez Federal del Juzgado Federal de Primera Instancia de Ushuaia. Por otra parte, el Fiscal Federal de Primera Instancia de la ciudad de Río Grande, provincia de tierra del Fuego, informó a esta Dirección Nacional, que se encuentra</w:t>
      </w:r>
      <w:r w:rsidR="00613D55">
        <w:rPr>
          <w:sz w:val="20"/>
          <w:szCs w:val="20"/>
          <w:lang w:val="es-ES_tradnl"/>
        </w:rPr>
        <w:t>n</w:t>
      </w:r>
      <w:r w:rsidR="0096653E" w:rsidRPr="0029472A">
        <w:rPr>
          <w:sz w:val="20"/>
          <w:szCs w:val="20"/>
          <w:lang w:val="es-ES_tradnl"/>
        </w:rPr>
        <w:t xml:space="preserve"> en plena etapa de investigación los "</w:t>
      </w:r>
      <w:r w:rsidR="0096653E" w:rsidRPr="0029472A">
        <w:rPr>
          <w:i/>
          <w:iCs/>
          <w:sz w:val="20"/>
          <w:szCs w:val="20"/>
          <w:lang w:val="es-ES_tradnl"/>
        </w:rPr>
        <w:t>presuntos hechos de tortura sufridos por soldados conscriptos y propiciado por autoridades militares</w:t>
      </w:r>
      <w:r w:rsidR="0096653E" w:rsidRPr="0029472A">
        <w:rPr>
          <w:sz w:val="20"/>
          <w:szCs w:val="20"/>
          <w:lang w:val="es-ES_tradnl"/>
        </w:rPr>
        <w:t>" en el expediente caratulado "</w:t>
      </w:r>
      <w:r w:rsidR="0096653E" w:rsidRPr="0029472A">
        <w:rPr>
          <w:i/>
          <w:iCs/>
          <w:sz w:val="20"/>
          <w:szCs w:val="20"/>
          <w:lang w:val="es-ES_tradnl"/>
        </w:rPr>
        <w:t>Pierre, Pedro Valentin y Otros s/ Imposición de Tortura (art. 144 ter. inc.1)</w:t>
      </w:r>
      <w:r w:rsidR="0096653E" w:rsidRPr="0029472A">
        <w:rPr>
          <w:sz w:val="20"/>
          <w:szCs w:val="20"/>
          <w:lang w:val="es-ES_tradnl"/>
        </w:rPr>
        <w:t xml:space="preserve">”. </w:t>
      </w:r>
      <w:r w:rsidRPr="0029472A">
        <w:rPr>
          <w:sz w:val="20"/>
          <w:szCs w:val="20"/>
          <w:lang w:val="es-ES_tradnl"/>
        </w:rPr>
        <w:t>Para el Estado, la complejidad de la investigación de la causa en cuestión y la necesidad del Estado de contar con un tiempo razonable para expedirse sobre os hechos denunciados en la justicia nacional justificarían la continuidad de la investigación hasta el presente.</w:t>
      </w:r>
    </w:p>
    <w:p w14:paraId="605B1269" w14:textId="150D9F8D" w:rsidR="0009368F" w:rsidRPr="0029472A" w:rsidRDefault="0009368F" w:rsidP="006C3416">
      <w:pPr>
        <w:pStyle w:val="ListParagraph"/>
        <w:spacing w:before="240" w:after="240"/>
        <w:ind w:left="758"/>
        <w:jc w:val="both"/>
        <w:rPr>
          <w:sz w:val="20"/>
          <w:szCs w:val="20"/>
          <w:lang w:val="es-ES_tradnl"/>
        </w:rPr>
      </w:pPr>
      <w:r w:rsidRPr="0029472A">
        <w:rPr>
          <w:rFonts w:asciiTheme="majorHAnsi" w:hAnsiTheme="majorHAnsi"/>
          <w:b/>
          <w:sz w:val="20"/>
          <w:szCs w:val="20"/>
          <w:lang w:val="es-ES_tradnl"/>
        </w:rPr>
        <w:t xml:space="preserve">VI. </w:t>
      </w:r>
      <w:r w:rsidRPr="0029472A">
        <w:rPr>
          <w:rFonts w:asciiTheme="majorHAnsi" w:hAnsiTheme="majorHAnsi"/>
          <w:b/>
          <w:sz w:val="20"/>
          <w:szCs w:val="20"/>
          <w:lang w:val="es-ES_tradnl"/>
        </w:rPr>
        <w:tab/>
      </w:r>
      <w:r w:rsidRPr="0029472A">
        <w:rPr>
          <w:rFonts w:asciiTheme="majorHAnsi" w:hAnsiTheme="majorHAnsi"/>
          <w:b/>
          <w:bCs/>
          <w:sz w:val="20"/>
          <w:szCs w:val="20"/>
          <w:lang w:val="es-ES_tradnl"/>
        </w:rPr>
        <w:t xml:space="preserve">ANÁLISIS DE </w:t>
      </w:r>
      <w:r w:rsidRPr="0029472A">
        <w:rPr>
          <w:rFonts w:asciiTheme="majorHAnsi" w:hAnsiTheme="majorHAnsi"/>
          <w:b/>
          <w:sz w:val="20"/>
          <w:szCs w:val="20"/>
          <w:lang w:val="es-ES_tradnl"/>
        </w:rPr>
        <w:t>AGOTAMIENTO DE LOS RECURSOS INTERNOS Y PLAZO DE PRESENTACIÓN</w:t>
      </w:r>
      <w:r w:rsidRPr="0029472A">
        <w:rPr>
          <w:rFonts w:asciiTheme="majorHAnsi" w:hAnsiTheme="majorHAnsi"/>
          <w:b/>
          <w:bCs/>
          <w:sz w:val="20"/>
          <w:szCs w:val="20"/>
          <w:lang w:val="es-ES_tradnl"/>
        </w:rPr>
        <w:t xml:space="preserve"> </w:t>
      </w:r>
    </w:p>
    <w:p w14:paraId="55F6F034" w14:textId="5A7436AC" w:rsidR="00C52928" w:rsidRPr="0029472A" w:rsidRDefault="00C324E3"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sz w:val="20"/>
          <w:szCs w:val="20"/>
          <w:lang w:val="es-ES"/>
        </w:rPr>
        <w:t xml:space="preserve">Para efectos de evaluar la idoneidad de los recursos disponibles en el ordenamiento nacional, la Comisión usualmente establece cuál es el reclamo específico que se ha formulado, para luego identificar los </w:t>
      </w:r>
      <w:r w:rsidRPr="0029472A">
        <w:rPr>
          <w:sz w:val="20"/>
          <w:szCs w:val="20"/>
          <w:lang w:val="es-ES"/>
        </w:rPr>
        <w:lastRenderedPageBreak/>
        <w:t>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p>
    <w:p w14:paraId="3FDA0E3E" w14:textId="3C497915" w:rsidR="00E26EF4" w:rsidRPr="0029472A" w:rsidRDefault="00EC7E8C"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Pr>
          <w:sz w:val="20"/>
          <w:szCs w:val="20"/>
          <w:lang w:val="es-ES"/>
        </w:rPr>
        <w:t>En suma, l</w:t>
      </w:r>
      <w:r w:rsidR="00E61F9D">
        <w:rPr>
          <w:sz w:val="20"/>
          <w:szCs w:val="20"/>
          <w:lang w:val="es-ES"/>
        </w:rPr>
        <w:t>a parte peticionaria plantea</w:t>
      </w:r>
      <w:r w:rsidR="002C6775" w:rsidRPr="0029472A">
        <w:rPr>
          <w:sz w:val="20"/>
          <w:szCs w:val="20"/>
          <w:lang w:val="es-ES_tradnl"/>
        </w:rPr>
        <w:t xml:space="preserve"> que los recursos internos se han agotado con la conclusión de la causa “</w:t>
      </w:r>
      <w:r w:rsidR="003C7B4D">
        <w:rPr>
          <w:sz w:val="20"/>
          <w:szCs w:val="20"/>
          <w:lang w:val="es-ES_tradnl"/>
        </w:rPr>
        <w:t>J.E.T</w:t>
      </w:r>
      <w:r w:rsidR="002C6775" w:rsidRPr="0029472A">
        <w:rPr>
          <w:sz w:val="20"/>
          <w:szCs w:val="20"/>
          <w:lang w:val="es-ES_tradnl"/>
        </w:rPr>
        <w:t>”</w:t>
      </w:r>
      <w:r w:rsidR="003C7B4D">
        <w:rPr>
          <w:sz w:val="20"/>
          <w:szCs w:val="20"/>
          <w:lang w:val="es-ES_tradnl"/>
        </w:rPr>
        <w:t>.</w:t>
      </w:r>
      <w:r w:rsidR="00E26EF4" w:rsidRPr="0029472A">
        <w:rPr>
          <w:sz w:val="20"/>
          <w:szCs w:val="20"/>
          <w:lang w:val="es-ES_tradnl"/>
        </w:rPr>
        <w:t xml:space="preserve"> </w:t>
      </w:r>
      <w:r w:rsidR="007D7D84" w:rsidRPr="0029472A">
        <w:rPr>
          <w:sz w:val="20"/>
          <w:szCs w:val="20"/>
          <w:lang w:val="es-ES_tradnl"/>
        </w:rPr>
        <w:t xml:space="preserve">El </w:t>
      </w:r>
      <w:r w:rsidR="00E26EF4" w:rsidRPr="0029472A">
        <w:rPr>
          <w:sz w:val="20"/>
          <w:szCs w:val="20"/>
          <w:lang w:val="es-ES_tradnl"/>
        </w:rPr>
        <w:t>Estado</w:t>
      </w:r>
      <w:r>
        <w:rPr>
          <w:sz w:val="20"/>
          <w:szCs w:val="20"/>
          <w:lang w:val="es-ES_tradnl"/>
        </w:rPr>
        <w:t>, por su parte,</w:t>
      </w:r>
      <w:r w:rsidR="00E26EF4" w:rsidRPr="0029472A">
        <w:rPr>
          <w:sz w:val="20"/>
          <w:szCs w:val="20"/>
          <w:lang w:val="es-ES_tradnl"/>
        </w:rPr>
        <w:t xml:space="preserve"> argumenta que la petición es inadmisible por falta de agotamiento de los recursos internos en buena y debida forma, porque </w:t>
      </w:r>
      <w:r w:rsidR="00960A70">
        <w:rPr>
          <w:sz w:val="20"/>
          <w:szCs w:val="20"/>
          <w:lang w:val="es-ES_tradnl"/>
        </w:rPr>
        <w:t>la parte peticionaria</w:t>
      </w:r>
      <w:r w:rsidR="00E26EF4" w:rsidRPr="0029472A">
        <w:rPr>
          <w:sz w:val="20"/>
          <w:szCs w:val="20"/>
          <w:lang w:val="es-ES_tradnl"/>
        </w:rPr>
        <w:t xml:space="preserve"> omitió apelar el fallo de la Cámara Federal de Casación Penal. Adicionalmente, sostiene que los recursos internos no han sido todavía agotados, ya que, si bien </w:t>
      </w:r>
      <w:r w:rsidR="002C6775" w:rsidRPr="0029472A">
        <w:rPr>
          <w:sz w:val="20"/>
          <w:szCs w:val="20"/>
          <w:lang w:val="es-ES_tradnl"/>
        </w:rPr>
        <w:t xml:space="preserve">el imputado </w:t>
      </w:r>
      <w:r w:rsidR="00AE236A">
        <w:rPr>
          <w:sz w:val="20"/>
          <w:szCs w:val="20"/>
          <w:lang w:val="es-ES_tradnl"/>
        </w:rPr>
        <w:t>J.E.T.</w:t>
      </w:r>
      <w:r w:rsidR="00E26EF4" w:rsidRPr="0029472A">
        <w:rPr>
          <w:sz w:val="20"/>
          <w:szCs w:val="20"/>
          <w:lang w:val="es-ES_tradnl"/>
        </w:rPr>
        <w:t xml:space="preserve"> ha sido sobreseído por la justicia, los hechos que impulsaron la petición se encontrarían en plena etapa de investigación</w:t>
      </w:r>
      <w:r w:rsidR="006E55E1">
        <w:rPr>
          <w:sz w:val="20"/>
          <w:szCs w:val="20"/>
          <w:lang w:val="es-ES_tradnl"/>
        </w:rPr>
        <w:t xml:space="preserve"> </w:t>
      </w:r>
      <w:r w:rsidR="00AE236A">
        <w:rPr>
          <w:sz w:val="20"/>
          <w:szCs w:val="20"/>
          <w:lang w:val="es-ES_tradnl"/>
        </w:rPr>
        <w:t>luego de reabrirse posteriormente</w:t>
      </w:r>
      <w:r w:rsidR="00E26EF4" w:rsidRPr="0029472A">
        <w:rPr>
          <w:sz w:val="20"/>
          <w:szCs w:val="20"/>
          <w:lang w:val="es-ES_tradnl"/>
        </w:rPr>
        <w:t>.</w:t>
      </w:r>
    </w:p>
    <w:p w14:paraId="45455B26" w14:textId="54312F9C" w:rsidR="002C6775" w:rsidRPr="0029472A" w:rsidRDefault="002C6775"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sz w:val="20"/>
          <w:szCs w:val="20"/>
          <w:lang w:val="es-ES"/>
        </w:rPr>
        <w:t>La petición bajo análisis se refiere a posibles violaciones de los derechos humanos de los excombatientes de las Malvinas</w:t>
      </w:r>
      <w:r w:rsidR="00CA6525">
        <w:rPr>
          <w:sz w:val="20"/>
          <w:szCs w:val="20"/>
          <w:lang w:val="es-ES"/>
        </w:rPr>
        <w:t>,</w:t>
      </w:r>
      <w:r w:rsidRPr="0029472A">
        <w:rPr>
          <w:sz w:val="20"/>
          <w:szCs w:val="20"/>
          <w:lang w:val="es-ES"/>
        </w:rPr>
        <w:t xml:space="preserve"> a la integridad personal y a la vida durante el conflicto bélico</w:t>
      </w:r>
      <w:r w:rsidR="00C469DF" w:rsidRPr="0029472A">
        <w:rPr>
          <w:sz w:val="20"/>
          <w:szCs w:val="20"/>
          <w:lang w:val="es-ES"/>
        </w:rPr>
        <w:t xml:space="preserve"> </w:t>
      </w:r>
      <w:r w:rsidR="0083298E">
        <w:rPr>
          <w:sz w:val="20"/>
          <w:szCs w:val="20"/>
          <w:lang w:val="es-ES"/>
        </w:rPr>
        <w:t xml:space="preserve">ocurrido </w:t>
      </w:r>
      <w:r w:rsidR="00C469DF" w:rsidRPr="0029472A">
        <w:rPr>
          <w:sz w:val="20"/>
          <w:szCs w:val="20"/>
          <w:lang w:val="es-ES"/>
        </w:rPr>
        <w:t>en 1982</w:t>
      </w:r>
      <w:r w:rsidRPr="0029472A">
        <w:rPr>
          <w:sz w:val="20"/>
          <w:szCs w:val="20"/>
          <w:lang w:val="es-ES"/>
        </w:rPr>
        <w:t xml:space="preserve"> </w:t>
      </w:r>
      <w:r w:rsidR="0083298E">
        <w:rPr>
          <w:sz w:val="20"/>
          <w:szCs w:val="20"/>
          <w:lang w:val="es-ES"/>
        </w:rPr>
        <w:t xml:space="preserve">en las Malvinas argentinas </w:t>
      </w:r>
      <w:r w:rsidRPr="0029472A">
        <w:rPr>
          <w:sz w:val="20"/>
          <w:szCs w:val="20"/>
          <w:lang w:val="es-ES"/>
        </w:rPr>
        <w:t xml:space="preserve">por manos de sus oficiales y suboficiales, así como la impunidad en que se encontrarían los hechos hasta el presente.  </w:t>
      </w:r>
    </w:p>
    <w:p w14:paraId="72D9E6DA" w14:textId="2E0E4D48" w:rsidR="00785E7E" w:rsidRPr="00036755" w:rsidRDefault="00467938" w:rsidP="0003675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sz w:val="20"/>
          <w:szCs w:val="20"/>
          <w:lang w:val="es-ES"/>
        </w:rPr>
        <w:t>E</w:t>
      </w:r>
      <w:r w:rsidR="00AD232F" w:rsidRPr="0029472A">
        <w:rPr>
          <w:sz w:val="20"/>
          <w:szCs w:val="20"/>
          <w:lang w:val="es-ES"/>
        </w:rPr>
        <w:t>n</w:t>
      </w:r>
      <w:r w:rsidRPr="0029472A">
        <w:rPr>
          <w:sz w:val="20"/>
          <w:szCs w:val="20"/>
          <w:lang w:val="es-ES"/>
        </w:rPr>
        <w:t xml:space="preserve"> </w:t>
      </w:r>
      <w:r w:rsidR="0083298E">
        <w:rPr>
          <w:sz w:val="20"/>
          <w:szCs w:val="20"/>
          <w:lang w:val="es-ES"/>
        </w:rPr>
        <w:t xml:space="preserve">este sentido, y como es criterio constante de la CIDH, en </w:t>
      </w:r>
      <w:r w:rsidRPr="0029472A">
        <w:rPr>
          <w:sz w:val="20"/>
          <w:szCs w:val="20"/>
          <w:lang w:val="es-ES"/>
        </w:rPr>
        <w:t>situaciones que incluyen delitos contra la</w:t>
      </w:r>
      <w:r w:rsidR="002C6775" w:rsidRPr="0029472A">
        <w:rPr>
          <w:sz w:val="20"/>
          <w:szCs w:val="20"/>
          <w:lang w:val="es-ES"/>
        </w:rPr>
        <w:t xml:space="preserve"> </w:t>
      </w:r>
      <w:r w:rsidRPr="0029472A">
        <w:rPr>
          <w:sz w:val="20"/>
          <w:szCs w:val="20"/>
          <w:lang w:val="es-ES"/>
        </w:rPr>
        <w:t>vida</w:t>
      </w:r>
      <w:r w:rsidR="002C6775" w:rsidRPr="0029472A">
        <w:rPr>
          <w:sz w:val="20"/>
          <w:szCs w:val="20"/>
          <w:lang w:val="es-ES"/>
        </w:rPr>
        <w:t xml:space="preserve"> e integridad</w:t>
      </w:r>
      <w:r w:rsidR="00C8513A">
        <w:rPr>
          <w:sz w:val="20"/>
          <w:szCs w:val="20"/>
          <w:lang w:val="es-ES"/>
        </w:rPr>
        <w:t xml:space="preserve"> personal</w:t>
      </w:r>
      <w:r w:rsidRPr="0029472A">
        <w:rPr>
          <w:sz w:val="20"/>
          <w:szCs w:val="20"/>
          <w:lang w:val="es-ES"/>
        </w:rPr>
        <w:t xml:space="preserve">, los recursos internos que deben tomarse en cuenta a los efectos de la admisibilidad de las peticiones son los relacionados con la investigación y sanción </w:t>
      </w:r>
      <w:r w:rsidR="00C8513A">
        <w:rPr>
          <w:sz w:val="20"/>
          <w:szCs w:val="20"/>
          <w:lang w:val="es-ES"/>
        </w:rPr>
        <w:t xml:space="preserve">penales </w:t>
      </w:r>
      <w:r w:rsidRPr="0029472A">
        <w:rPr>
          <w:sz w:val="20"/>
          <w:szCs w:val="20"/>
          <w:lang w:val="es-ES"/>
        </w:rPr>
        <w:t xml:space="preserve">de los responsables. </w:t>
      </w:r>
      <w:r w:rsidR="00C469DF" w:rsidRPr="0029472A">
        <w:rPr>
          <w:sz w:val="20"/>
          <w:szCs w:val="20"/>
          <w:lang w:val="es-ES"/>
        </w:rPr>
        <w:t xml:space="preserve">Si bien tales violaciones son delitos perseguibles de oficio, los hechos narrados por el Estado indican que las investigaciones fueron iniciadas el 12 de abril de 2007. También según el Estado, si bien una de las investigaciones concluyó con la aplicación del beneficio de la prescripción penal </w:t>
      </w:r>
      <w:r w:rsidR="00895734" w:rsidRPr="0029472A">
        <w:rPr>
          <w:sz w:val="20"/>
          <w:szCs w:val="20"/>
          <w:lang w:val="es-ES"/>
        </w:rPr>
        <w:t>a</w:t>
      </w:r>
      <w:r w:rsidR="00C469DF" w:rsidRPr="0029472A">
        <w:rPr>
          <w:sz w:val="20"/>
          <w:szCs w:val="20"/>
          <w:lang w:val="es-ES"/>
        </w:rPr>
        <w:t xml:space="preserve"> una persona acusada, se iniciaron más investigaciones judiciales. Según la información más reciente puesta a disposición de la Comisión Interamericana, estas investigaciones aún continúan. Por lo tanto, si bien las presuntas violaciones tuvieron lugar en 1982, más de cuarenta años después las investigaciones aún no habrían concluido.</w:t>
      </w:r>
      <w:bookmarkStart w:id="2" w:name="_Hlk117929164"/>
      <w:r w:rsidR="00036755">
        <w:rPr>
          <w:sz w:val="20"/>
          <w:szCs w:val="20"/>
          <w:lang w:val="es-ES"/>
        </w:rPr>
        <w:t xml:space="preserve"> </w:t>
      </w:r>
      <w:r w:rsidR="00785E7E" w:rsidRPr="00036755">
        <w:rPr>
          <w:sz w:val="20"/>
          <w:szCs w:val="20"/>
          <w:lang w:val="es-ES"/>
        </w:rPr>
        <w:t>En ese sentido, la CIDH considera aplicable la excepción al agotamiento de los recursos internos prevista en el artículo 46.2.</w:t>
      </w:r>
      <w:r w:rsidR="00343D10" w:rsidRPr="00036755">
        <w:rPr>
          <w:sz w:val="20"/>
          <w:szCs w:val="20"/>
          <w:lang w:val="es-ES"/>
        </w:rPr>
        <w:t>c</w:t>
      </w:r>
      <w:r w:rsidR="00785E7E" w:rsidRPr="00036755">
        <w:rPr>
          <w:sz w:val="20"/>
          <w:szCs w:val="20"/>
          <w:lang w:val="es-ES"/>
        </w:rPr>
        <w:t>) de la Convención Americana</w:t>
      </w:r>
      <w:r w:rsidR="00343D10" w:rsidRPr="00036755">
        <w:rPr>
          <w:bCs/>
          <w:sz w:val="20"/>
          <w:szCs w:val="20"/>
          <w:vertAlign w:val="superscript"/>
          <w:lang w:val="es-ES_tradnl"/>
        </w:rPr>
        <w:footnoteReference w:id="5"/>
      </w:r>
      <w:r w:rsidR="00785E7E" w:rsidRPr="00036755">
        <w:rPr>
          <w:sz w:val="20"/>
          <w:szCs w:val="20"/>
          <w:lang w:val="es-ES"/>
        </w:rPr>
        <w:t xml:space="preserve">. </w:t>
      </w:r>
    </w:p>
    <w:p w14:paraId="5CD7687C" w14:textId="28D0982E" w:rsidR="00184161" w:rsidRPr="00785E7E" w:rsidRDefault="00785E7E" w:rsidP="00785E7E">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bookmarkStart w:id="3" w:name="_Hlk118123845"/>
      <w:r>
        <w:rPr>
          <w:sz w:val="20"/>
          <w:szCs w:val="20"/>
          <w:lang w:val="es-ES_tradnl"/>
        </w:rPr>
        <w:t>El</w:t>
      </w:r>
      <w:r w:rsidR="00BB04F5" w:rsidRPr="00BB04F5">
        <w:rPr>
          <w:sz w:val="20"/>
          <w:szCs w:val="20"/>
          <w:lang w:val="es-ES_tradnl"/>
        </w:rPr>
        <w:t xml:space="preserve">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00BB04F5" w:rsidRPr="00BB04F5">
        <w:rPr>
          <w:sz w:val="20"/>
          <w:szCs w:val="20"/>
          <w:lang w:val="es-ES_tradnl"/>
        </w:rPr>
        <w:t xml:space="preserve">La CIDH también ha subrayado que no existen disposiciones convencionales o reglamentarias que regulen de modo específico el </w:t>
      </w:r>
      <w:r w:rsidR="00036755" w:rsidRPr="00BB04F5">
        <w:rPr>
          <w:sz w:val="20"/>
          <w:szCs w:val="20"/>
          <w:lang w:val="es-ES_tradnl"/>
        </w:rPr>
        <w:t>lapso</w:t>
      </w:r>
      <w:r w:rsidR="00BB04F5" w:rsidRPr="00BB04F5">
        <w:rPr>
          <w:sz w:val="20"/>
          <w:szCs w:val="20"/>
          <w:lang w:val="es-ES_tradnl"/>
        </w:rPr>
        <w:t xml:space="preserve"> que constituye retardo injustificado, por lo cual la Comisión evalúa caso por caso para determinar si se configura dicho retardo</w:t>
      </w:r>
      <w:r w:rsidR="00BB04F5" w:rsidRPr="00A11B3B">
        <w:rPr>
          <w:rStyle w:val="FootnoteReference"/>
          <w:sz w:val="20"/>
          <w:szCs w:val="20"/>
          <w:lang w:val="es-ES_tradnl"/>
        </w:rPr>
        <w:footnoteReference w:id="6"/>
      </w:r>
      <w:r w:rsidR="00BB04F5" w:rsidRPr="00BB04F5">
        <w:rPr>
          <w:sz w:val="20"/>
          <w:szCs w:val="20"/>
          <w:lang w:val="es-ES_tradnl"/>
        </w:rPr>
        <w:t xml:space="preserve">. En esta línea, </w:t>
      </w:r>
      <w:r w:rsidR="00BB04F5" w:rsidRPr="00BB04F5">
        <w:rPr>
          <w:sz w:val="20"/>
          <w:szCs w:val="20"/>
          <w:lang w:val="es-ES"/>
        </w:rPr>
        <w:t>la Corte Interamericana ha establecido como principio rector del análisis del eventual retardo injustificado como excepción a la regla del agotamiento de los recursos internos, que “</w:t>
      </w:r>
      <w:r w:rsidR="00BB04F5" w:rsidRPr="00BB04F5">
        <w:rPr>
          <w:i/>
          <w:iCs/>
          <w:sz w:val="20"/>
          <w:szCs w:val="20"/>
          <w:lang w:val="es-ES"/>
        </w:rPr>
        <w:t>de ninguna manera la regla del previo agotamiento debe conducir a que se detenga o se demore hasta la inutilidad la actuación internacional en auxilio de la víctima indefensa</w:t>
      </w:r>
      <w:r w:rsidR="00BB04F5" w:rsidRPr="00BB04F5">
        <w:rPr>
          <w:sz w:val="20"/>
          <w:szCs w:val="20"/>
          <w:lang w:val="es-ES"/>
        </w:rPr>
        <w:t>”</w:t>
      </w:r>
      <w:r w:rsidR="00BB04F5" w:rsidRPr="00A11B3B">
        <w:rPr>
          <w:rStyle w:val="FootnoteReference"/>
          <w:sz w:val="20"/>
          <w:szCs w:val="20"/>
          <w:lang w:val="es-ES"/>
        </w:rPr>
        <w:footnoteReference w:id="7"/>
      </w:r>
      <w:r w:rsidR="00BB04F5" w:rsidRPr="00BB04F5">
        <w:rPr>
          <w:sz w:val="20"/>
          <w:szCs w:val="20"/>
          <w:lang w:val="es-ES"/>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bookmarkEnd w:id="2"/>
      <w:bookmarkEnd w:id="3"/>
      <w:bookmarkEnd w:id="4"/>
    </w:p>
    <w:p w14:paraId="4C40E7D3" w14:textId="57991FE4" w:rsidR="00C648E6" w:rsidRDefault="004A48FB"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sz w:val="20"/>
          <w:szCs w:val="20"/>
          <w:lang w:val="es-ES"/>
        </w:rPr>
        <w:t xml:space="preserve">El artículo 32 del Reglamento de la Comisión establece que en los casos en los cuales resulten aplicables las excepciones al previo agotamiento de los recursos internos, la petición deberá presentarse dentro de un plazo razonable, a criterio de la Comisión. </w:t>
      </w:r>
      <w:r w:rsidR="00C648E6">
        <w:rPr>
          <w:sz w:val="20"/>
          <w:szCs w:val="20"/>
          <w:lang w:val="es-ES"/>
        </w:rPr>
        <w:t>A este respecto, en el presente asunto</w:t>
      </w:r>
      <w:r w:rsidR="00EC2DD6">
        <w:rPr>
          <w:sz w:val="20"/>
          <w:szCs w:val="20"/>
          <w:lang w:val="es-ES"/>
        </w:rPr>
        <w:t xml:space="preserve"> si bien los hechos denunciados habrían ocurrido hace cuarenta años, por su naturaleza se trata </w:t>
      </w:r>
      <w:r w:rsidR="006A1238">
        <w:rPr>
          <w:sz w:val="20"/>
          <w:szCs w:val="20"/>
          <w:lang w:val="es-ES"/>
        </w:rPr>
        <w:t xml:space="preserve">de graves violaciones de derechos </w:t>
      </w:r>
      <w:r w:rsidR="006A1238">
        <w:rPr>
          <w:sz w:val="20"/>
          <w:szCs w:val="20"/>
          <w:lang w:val="es-ES"/>
        </w:rPr>
        <w:lastRenderedPageBreak/>
        <w:t>humanos, imprescriptibles incluso de acuerdo con el ordenamiento jurídico interno, cuyas investigaciones permanecen abiertas en la actualidad</w:t>
      </w:r>
      <w:r w:rsidR="004D7DEE">
        <w:rPr>
          <w:sz w:val="20"/>
          <w:szCs w:val="20"/>
          <w:lang w:val="es-ES"/>
        </w:rPr>
        <w:t>, por lo tanto, tomando en cuenta que la presente petición fue presentada en 2015</w:t>
      </w:r>
      <w:r w:rsidR="00AD05EC">
        <w:rPr>
          <w:sz w:val="20"/>
          <w:szCs w:val="20"/>
          <w:lang w:val="es-ES"/>
        </w:rPr>
        <w:t>,</w:t>
      </w:r>
      <w:r w:rsidR="004D7DEE">
        <w:rPr>
          <w:sz w:val="20"/>
          <w:szCs w:val="20"/>
          <w:lang w:val="es-ES"/>
        </w:rPr>
        <w:t xml:space="preserve"> la Comisión considera </w:t>
      </w:r>
      <w:r w:rsidR="00AD05EC">
        <w:rPr>
          <w:sz w:val="20"/>
          <w:szCs w:val="20"/>
          <w:lang w:val="es-ES"/>
        </w:rPr>
        <w:t>que esta fue presentada dentro de un plazo razonable en los términos del artículo 32.2 de su Reglamento.</w:t>
      </w:r>
    </w:p>
    <w:p w14:paraId="098F1A31" w14:textId="3D55864A" w:rsidR="004630BD" w:rsidRPr="0029472A" w:rsidRDefault="004630BD" w:rsidP="006C3416">
      <w:pPr>
        <w:pStyle w:val="ListParagraph"/>
        <w:spacing w:before="240" w:after="240"/>
        <w:ind w:left="758"/>
        <w:jc w:val="both"/>
        <w:rPr>
          <w:rFonts w:asciiTheme="majorHAnsi" w:hAnsiTheme="majorHAnsi"/>
          <w:b/>
          <w:sz w:val="20"/>
          <w:szCs w:val="20"/>
          <w:lang w:val="es-ES_tradnl"/>
        </w:rPr>
      </w:pPr>
      <w:r w:rsidRPr="0029472A">
        <w:rPr>
          <w:rFonts w:asciiTheme="majorHAnsi" w:hAnsiTheme="majorHAnsi"/>
          <w:b/>
          <w:sz w:val="20"/>
          <w:szCs w:val="20"/>
          <w:lang w:val="es-ES_tradnl"/>
        </w:rPr>
        <w:t>V</w:t>
      </w:r>
      <w:r w:rsidR="00826389" w:rsidRPr="0029472A">
        <w:rPr>
          <w:rFonts w:asciiTheme="majorHAnsi" w:hAnsiTheme="majorHAnsi"/>
          <w:b/>
          <w:sz w:val="20"/>
          <w:szCs w:val="20"/>
          <w:lang w:val="es-ES_tradnl"/>
        </w:rPr>
        <w:t>I</w:t>
      </w:r>
      <w:r w:rsidRPr="0029472A">
        <w:rPr>
          <w:rFonts w:asciiTheme="majorHAnsi" w:hAnsiTheme="majorHAnsi"/>
          <w:b/>
          <w:sz w:val="20"/>
          <w:szCs w:val="20"/>
          <w:lang w:val="es-ES_tradnl"/>
        </w:rPr>
        <w:t xml:space="preserve">I. </w:t>
      </w:r>
      <w:r w:rsidRPr="0029472A">
        <w:rPr>
          <w:rFonts w:asciiTheme="majorHAnsi" w:hAnsiTheme="majorHAnsi"/>
          <w:b/>
          <w:sz w:val="20"/>
          <w:szCs w:val="20"/>
          <w:lang w:val="es-ES_tradnl"/>
        </w:rPr>
        <w:tab/>
      </w:r>
      <w:r w:rsidRPr="0029472A">
        <w:rPr>
          <w:rFonts w:asciiTheme="majorHAnsi" w:hAnsiTheme="majorHAnsi"/>
          <w:b/>
          <w:bCs/>
          <w:sz w:val="20"/>
          <w:szCs w:val="20"/>
          <w:lang w:val="es-ES_tradnl"/>
        </w:rPr>
        <w:t>ANÁLISIS DE CARACTERIZACIÓN DE LOS HECHOS ALEGADOS</w:t>
      </w:r>
    </w:p>
    <w:p w14:paraId="02BAC538" w14:textId="6183D0AC" w:rsidR="00FF3B14" w:rsidRPr="0029472A" w:rsidRDefault="00FF3B14"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sz w:val="20"/>
          <w:szCs w:val="20"/>
          <w:lang w:val="es-ES"/>
        </w:rPr>
        <w:t>Para efectos de la admisibilidad, corresponde a la Comisión Interamericana determinar si los hechos denunciados en la petición tienden a caracterizar una violación de derechos garantizados por la Convención Americana, como lo exige el artículo 47(b), o si la petición debe ser rechazada por ser manifiestamente infundada</w:t>
      </w:r>
      <w:r w:rsidR="007D7D84" w:rsidRPr="0029472A">
        <w:rPr>
          <w:sz w:val="20"/>
          <w:szCs w:val="20"/>
          <w:lang w:val="es-ES"/>
        </w:rPr>
        <w:t xml:space="preserve"> o improcedente</w:t>
      </w:r>
      <w:r w:rsidRPr="0029472A">
        <w:rPr>
          <w:sz w:val="20"/>
          <w:szCs w:val="20"/>
          <w:lang w:val="es-ES"/>
        </w:rPr>
        <w:t xml:space="preserve">. En esta etapa del procedimiento, corresponde a la CIDH realizar una evaluación </w:t>
      </w:r>
      <w:r w:rsidRPr="0029472A">
        <w:rPr>
          <w:i/>
          <w:iCs/>
          <w:sz w:val="20"/>
          <w:szCs w:val="20"/>
          <w:lang w:val="es-ES"/>
        </w:rPr>
        <w:t>prima facie</w:t>
      </w:r>
      <w:r w:rsidRPr="0029472A">
        <w:rPr>
          <w:sz w:val="20"/>
          <w:szCs w:val="20"/>
          <w:lang w:val="es-ES"/>
        </w:rPr>
        <w:t>, no para establecer presuntas violaciones a la Convención Americana u otro tratado aplicable, sino para determinar si la petición describe hechos que podrían caracterizar violaciones de derechos protegidos por los instrumentos interamericanos. Este examen no constituye en modo alguno un juicio previo o una opinión preliminar sobre el fondo del asunto.</w:t>
      </w:r>
    </w:p>
    <w:p w14:paraId="12D16238" w14:textId="503980A4" w:rsidR="009E682F" w:rsidRPr="0029472A" w:rsidRDefault="009E682F"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29472A">
        <w:rPr>
          <w:rFonts w:asciiTheme="majorHAnsi" w:hAnsiTheme="majorHAnsi"/>
          <w:sz w:val="20"/>
          <w:szCs w:val="20"/>
          <w:lang w:val="es-ES_tradnl"/>
        </w:rPr>
        <w:t xml:space="preserve">Es importante señalar que el conflicto bélico de las </w:t>
      </w:r>
      <w:r w:rsidR="001A02F9" w:rsidRPr="0029472A">
        <w:rPr>
          <w:rFonts w:asciiTheme="majorHAnsi" w:hAnsiTheme="majorHAnsi"/>
          <w:sz w:val="20"/>
          <w:szCs w:val="20"/>
          <w:lang w:val="es-ES_tradnl"/>
        </w:rPr>
        <w:t>I</w:t>
      </w:r>
      <w:r w:rsidRPr="0029472A">
        <w:rPr>
          <w:rFonts w:asciiTheme="majorHAnsi" w:hAnsiTheme="majorHAnsi"/>
          <w:sz w:val="20"/>
          <w:szCs w:val="20"/>
          <w:lang w:val="es-ES_tradnl"/>
        </w:rPr>
        <w:t>slas Malvinas, que involucró enfrentamientos entre las tropas británicas y argentinas, se dio en un contexto de dictadura militar en la República Argentina que duró entre el 24 de marzo de 1976 y el 10 de diciembre de 1982. Durante este per</w:t>
      </w:r>
      <w:r w:rsidR="00D30E09" w:rsidRPr="0029472A">
        <w:rPr>
          <w:rFonts w:asciiTheme="majorHAnsi" w:hAnsiTheme="majorHAnsi"/>
          <w:sz w:val="20"/>
          <w:szCs w:val="20"/>
          <w:lang w:val="es-ES_tradnl"/>
        </w:rPr>
        <w:t>í</w:t>
      </w:r>
      <w:r w:rsidRPr="0029472A">
        <w:rPr>
          <w:rFonts w:asciiTheme="majorHAnsi" w:hAnsiTheme="majorHAnsi"/>
          <w:sz w:val="20"/>
          <w:szCs w:val="20"/>
          <w:lang w:val="es-ES_tradnl"/>
        </w:rPr>
        <w:t xml:space="preserve">odo, se han cometido aberrantes hechos por parte de las Fuerzas Armadas Argentinas que han avasallado derechos humanos, se han producido asesinatos y desapariciones de miles de personas. </w:t>
      </w:r>
      <w:r w:rsidR="00D766B2" w:rsidRPr="0029472A">
        <w:rPr>
          <w:rFonts w:asciiTheme="majorHAnsi" w:hAnsiTheme="majorHAnsi"/>
          <w:sz w:val="20"/>
          <w:szCs w:val="20"/>
          <w:lang w:val="es-ES_tradnl"/>
        </w:rPr>
        <w:t xml:space="preserve">En este sentido, la CIDH realizó una visita in loco al país </w:t>
      </w:r>
      <w:r w:rsidR="00D766B2" w:rsidRPr="0029472A">
        <w:rPr>
          <w:rFonts w:asciiTheme="majorHAnsi" w:hAnsiTheme="majorHAnsi"/>
          <w:sz w:val="20"/>
          <w:szCs w:val="20"/>
          <w:lang w:val="es-AR"/>
        </w:rPr>
        <w:t>desde el 6 de septiembre hasta el 20 de septiembre de 1979</w:t>
      </w:r>
      <w:r w:rsidR="00D766B2" w:rsidRPr="0029472A">
        <w:rPr>
          <w:rFonts w:asciiTheme="majorHAnsi" w:hAnsiTheme="majorHAnsi"/>
          <w:sz w:val="20"/>
          <w:szCs w:val="20"/>
          <w:lang w:val="es-ES_tradnl"/>
        </w:rPr>
        <w:t xml:space="preserve">, y formuló recomendaciones con respecto a los desaparecidos, los detenidos, los métodos de investigación, el régimen carcelario, la jurisdicción militar, y las garantías procesales y de defensa en juicio. </w:t>
      </w:r>
      <w:r w:rsidR="004D6F9C" w:rsidRPr="0029472A">
        <w:rPr>
          <w:rFonts w:asciiTheme="majorHAnsi" w:hAnsiTheme="majorHAnsi"/>
          <w:sz w:val="20"/>
          <w:szCs w:val="20"/>
          <w:lang w:val="es-ES_tradnl"/>
        </w:rPr>
        <w:t>En este sentido, el 11 de abril de 1980, la CIDH emitió un informe sobre la situación de los Derechos Humanos en Argentina</w:t>
      </w:r>
      <w:r w:rsidR="004D6F9C" w:rsidRPr="0029472A">
        <w:rPr>
          <w:rStyle w:val="FootnoteReference"/>
          <w:rFonts w:asciiTheme="majorHAnsi" w:hAnsiTheme="majorHAnsi"/>
          <w:sz w:val="20"/>
          <w:szCs w:val="20"/>
          <w:lang w:val="es-ES_tradnl"/>
        </w:rPr>
        <w:footnoteReference w:id="8"/>
      </w:r>
      <w:r w:rsidR="004D6F9C" w:rsidRPr="0029472A">
        <w:rPr>
          <w:rFonts w:asciiTheme="majorHAnsi" w:hAnsiTheme="majorHAnsi"/>
          <w:sz w:val="20"/>
          <w:szCs w:val="20"/>
          <w:lang w:val="es-ES_tradnl"/>
        </w:rPr>
        <w:t>.</w:t>
      </w:r>
    </w:p>
    <w:p w14:paraId="6C2A464F" w14:textId="0639B09B" w:rsidR="00B94F4B" w:rsidRPr="0029472A" w:rsidRDefault="00B94F4B"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sz w:val="20"/>
          <w:szCs w:val="20"/>
          <w:lang w:val="es-ES"/>
        </w:rPr>
        <w:t>La petición</w:t>
      </w:r>
      <w:r w:rsidR="00D766B2" w:rsidRPr="0029472A">
        <w:rPr>
          <w:sz w:val="20"/>
          <w:szCs w:val="20"/>
          <w:lang w:val="es-ES"/>
        </w:rPr>
        <w:t xml:space="preserve"> en particular </w:t>
      </w:r>
      <w:r w:rsidRPr="0029472A">
        <w:rPr>
          <w:sz w:val="20"/>
          <w:szCs w:val="20"/>
          <w:lang w:val="es-ES"/>
        </w:rPr>
        <w:t xml:space="preserve">se refiere a agresiones, actos de tortura, muertes por </w:t>
      </w:r>
      <w:r w:rsidR="008150FD" w:rsidRPr="0029472A">
        <w:rPr>
          <w:sz w:val="20"/>
          <w:szCs w:val="20"/>
          <w:lang w:val="es-ES"/>
        </w:rPr>
        <w:t>inanición y asesinatos provocados</w:t>
      </w:r>
      <w:r w:rsidRPr="0029472A">
        <w:rPr>
          <w:sz w:val="20"/>
          <w:szCs w:val="20"/>
          <w:lang w:val="es-ES"/>
        </w:rPr>
        <w:t xml:space="preserve"> por oficiales y suboficiales de las Fuerzas Armadas argentinas contra sus colegas. </w:t>
      </w:r>
      <w:r w:rsidR="00960A70">
        <w:rPr>
          <w:sz w:val="20"/>
          <w:szCs w:val="20"/>
          <w:lang w:val="es-ES"/>
        </w:rPr>
        <w:t>E</w:t>
      </w:r>
      <w:r w:rsidRPr="0029472A">
        <w:rPr>
          <w:sz w:val="20"/>
          <w:szCs w:val="20"/>
          <w:lang w:val="es-ES"/>
        </w:rPr>
        <w:t>n ocasiones</w:t>
      </w:r>
      <w:r w:rsidR="00014DAB" w:rsidRPr="0029472A">
        <w:rPr>
          <w:sz w:val="20"/>
          <w:szCs w:val="20"/>
          <w:lang w:val="es-ES"/>
        </w:rPr>
        <w:t>,</w:t>
      </w:r>
      <w:r w:rsidRPr="0029472A">
        <w:rPr>
          <w:sz w:val="20"/>
          <w:szCs w:val="20"/>
          <w:lang w:val="es-ES"/>
        </w:rPr>
        <w:t xml:space="preserve"> est</w:t>
      </w:r>
      <w:r w:rsidR="00960A70">
        <w:rPr>
          <w:sz w:val="20"/>
          <w:szCs w:val="20"/>
          <w:lang w:val="es-ES"/>
        </w:rPr>
        <w:t>o</w:t>
      </w:r>
      <w:r w:rsidRPr="0029472A">
        <w:rPr>
          <w:sz w:val="20"/>
          <w:szCs w:val="20"/>
          <w:lang w:val="es-ES"/>
        </w:rPr>
        <w:t xml:space="preserve">s actos </w:t>
      </w:r>
      <w:r w:rsidR="00960A70">
        <w:rPr>
          <w:sz w:val="20"/>
          <w:szCs w:val="20"/>
          <w:lang w:val="es-ES"/>
        </w:rPr>
        <w:t>habrían sido</w:t>
      </w:r>
      <w:r w:rsidRPr="0029472A">
        <w:rPr>
          <w:sz w:val="20"/>
          <w:szCs w:val="20"/>
          <w:lang w:val="es-ES"/>
        </w:rPr>
        <w:t xml:space="preserve"> cometidos por motivación de intolerancia religiosa y antisemitismo. Estos hechos habrían ocurrido entre el 2 de abril de 1982 y el 14 de junio de 1982. Desde entonces, los hechos no habrían sido debidamente investigados y sancionados</w:t>
      </w:r>
      <w:r w:rsidR="00745C84" w:rsidRPr="0029472A">
        <w:rPr>
          <w:sz w:val="20"/>
          <w:szCs w:val="20"/>
          <w:lang w:val="es-ES"/>
        </w:rPr>
        <w:t xml:space="preserve"> hasta el presente.</w:t>
      </w:r>
    </w:p>
    <w:p w14:paraId="397FE98A" w14:textId="77777777" w:rsidR="00014DAB" w:rsidRPr="0029472A" w:rsidRDefault="00132D97"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sz w:val="20"/>
          <w:szCs w:val="20"/>
          <w:lang w:val="es-ES"/>
        </w:rPr>
        <w:t xml:space="preserve">El Estado indica que la petición debe ser declarada inadmitida en razón de la falta de competencia </w:t>
      </w:r>
      <w:r w:rsidRPr="0029472A">
        <w:rPr>
          <w:i/>
          <w:iCs/>
          <w:sz w:val="20"/>
          <w:szCs w:val="20"/>
          <w:lang w:val="es-ES"/>
        </w:rPr>
        <w:t>ratione temporis</w:t>
      </w:r>
      <w:r w:rsidRPr="0029472A">
        <w:rPr>
          <w:sz w:val="20"/>
          <w:szCs w:val="20"/>
          <w:lang w:val="es-ES"/>
        </w:rPr>
        <w:t xml:space="preserve"> de la Comisión, dado que los hechos alegados ocurrieron antes de la fecha de entrada en vigor de la Convención Americana para Argentina. </w:t>
      </w:r>
    </w:p>
    <w:p w14:paraId="301F6AA9" w14:textId="242B422E" w:rsidR="00132D97" w:rsidRPr="0029472A" w:rsidRDefault="00014DAB"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sz w:val="20"/>
          <w:szCs w:val="20"/>
          <w:lang w:val="es-ES"/>
        </w:rPr>
        <w:t>L</w:t>
      </w:r>
      <w:r w:rsidR="00132D97" w:rsidRPr="0029472A">
        <w:rPr>
          <w:sz w:val="20"/>
          <w:szCs w:val="20"/>
          <w:lang w:val="es-ES"/>
        </w:rPr>
        <w:t>a Comisión resalta que</w:t>
      </w:r>
      <w:r w:rsidRPr="0029472A">
        <w:rPr>
          <w:sz w:val="20"/>
          <w:szCs w:val="20"/>
          <w:lang w:val="es-ES"/>
        </w:rPr>
        <w:t>,</w:t>
      </w:r>
      <w:r w:rsidR="00132D97" w:rsidRPr="0029472A">
        <w:rPr>
          <w:sz w:val="20"/>
          <w:szCs w:val="20"/>
          <w:lang w:val="es-ES"/>
        </w:rPr>
        <w:t xml:space="preserve"> en relación a cualquier Estado miembro que aún no haya ratificado la Convención, los derechos fundamentales que deberán ser preservados son los contenidos en la Carta de la OEA, así como los estipulados en la Declaración Americana, que es fuente de obligaciones internacionales desde el momento en que un Estado decide integrar la Organización de los Estados Americanos. El Estatuto y el Reglamento de la Comisión, además, establecen normas adicionales referentes al ejercicio de la competencia de este </w:t>
      </w:r>
      <w:r w:rsidR="00132D97" w:rsidRPr="0029472A">
        <w:rPr>
          <w:i/>
          <w:iCs/>
          <w:sz w:val="20"/>
          <w:szCs w:val="20"/>
          <w:lang w:val="es-ES"/>
        </w:rPr>
        <w:t>corpus iuris</w:t>
      </w:r>
      <w:r w:rsidR="00132D97" w:rsidRPr="0029472A">
        <w:rPr>
          <w:sz w:val="20"/>
          <w:szCs w:val="20"/>
          <w:lang w:val="es-ES"/>
        </w:rPr>
        <w:t xml:space="preserve">. A partir de la información aportada por las partes, la Comisión verifica que ya tenía competencia en relación a la Declaración Americana y, una vez en vigor la Convención Americana para Argentina, esta se convirtió en la principal fuente de obligaciones jurídicas en el ámbito del Sistema Interamericano. </w:t>
      </w:r>
      <w:r w:rsidRPr="0029472A">
        <w:rPr>
          <w:sz w:val="20"/>
          <w:szCs w:val="20"/>
          <w:lang w:val="es-ES"/>
        </w:rPr>
        <w:t>Así</w:t>
      </w:r>
      <w:r w:rsidR="00132D97" w:rsidRPr="0029472A">
        <w:rPr>
          <w:sz w:val="20"/>
          <w:szCs w:val="20"/>
          <w:lang w:val="es-ES"/>
        </w:rPr>
        <w:t xml:space="preserve">, sobre las presuntas violaciones ocurridas después de la entrada en vigor de la Convención, la Comisión aplicará la Convención Americana y, por eso, declara su competencia </w:t>
      </w:r>
      <w:r w:rsidR="00132D97" w:rsidRPr="0029472A">
        <w:rPr>
          <w:i/>
          <w:iCs/>
          <w:sz w:val="20"/>
          <w:szCs w:val="20"/>
          <w:lang w:val="es-ES"/>
        </w:rPr>
        <w:t>ratione temporis</w:t>
      </w:r>
      <w:r w:rsidR="00132D97" w:rsidRPr="0029472A">
        <w:rPr>
          <w:sz w:val="20"/>
          <w:szCs w:val="20"/>
          <w:lang w:val="es-ES"/>
        </w:rPr>
        <w:t xml:space="preserve"> en relación a las denuncias presentadas por </w:t>
      </w:r>
      <w:r w:rsidRPr="0029472A">
        <w:rPr>
          <w:sz w:val="20"/>
          <w:szCs w:val="20"/>
          <w:lang w:val="es-ES"/>
        </w:rPr>
        <w:t>el peticionario</w:t>
      </w:r>
      <w:r w:rsidR="00132D97" w:rsidRPr="0029472A">
        <w:rPr>
          <w:bCs/>
          <w:sz w:val="20"/>
          <w:szCs w:val="20"/>
          <w:vertAlign w:val="superscript"/>
          <w:lang w:val="es-ES_tradnl"/>
        </w:rPr>
        <w:footnoteReference w:id="9"/>
      </w:r>
      <w:r w:rsidR="008150FD">
        <w:rPr>
          <w:sz w:val="20"/>
          <w:szCs w:val="20"/>
          <w:lang w:val="es-ES"/>
        </w:rPr>
        <w:t>.</w:t>
      </w:r>
    </w:p>
    <w:p w14:paraId="5FAB180D" w14:textId="34C42605" w:rsidR="00814DFD" w:rsidRPr="0029472A" w:rsidRDefault="00014DAB"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sz w:val="20"/>
          <w:szCs w:val="20"/>
          <w:lang w:val="es-ES"/>
        </w:rPr>
        <w:t>C</w:t>
      </w:r>
      <w:r w:rsidR="00814DFD" w:rsidRPr="0029472A">
        <w:rPr>
          <w:sz w:val="20"/>
          <w:szCs w:val="20"/>
          <w:lang w:val="es-ES"/>
        </w:rPr>
        <w:t xml:space="preserve">on respecto a la Convención Interamericana para Prevenir y Sancionar la Tortura, a pesar de su ratificación en fecha posterior a los hechos denunciados de tortura, la Comisión resalta que viene entendiendo en múltiplos casos por la aplicación de sus artículos 1, 6 y 8. En el presente caso, podrá ser </w:t>
      </w:r>
      <w:r w:rsidR="00814DFD" w:rsidRPr="0029472A">
        <w:rPr>
          <w:sz w:val="20"/>
          <w:szCs w:val="20"/>
          <w:lang w:val="es-ES"/>
        </w:rPr>
        <w:lastRenderedPageBreak/>
        <w:t>analizada en la etapa de fondo la ocurrencia o no de violaciones relacionadas con la falta de investigación de los hechos de tortura y los efectos causados por la impunidad a los familiares de las presuntas víctimas a la luz del mencionado tratado. En el contexto, tanto la Comisión como la Corte Interamericana ya declararon en otros casos violaciones a esas disposiciones, entendiendo que el inciso tercero del artículo 8 incorpora una cláusula general de competencia aceptada por los Estados en el momento de ratificar o adherir dicho instrumento</w:t>
      </w:r>
      <w:r w:rsidR="00814DFD" w:rsidRPr="0029472A">
        <w:rPr>
          <w:bCs/>
          <w:sz w:val="20"/>
          <w:szCs w:val="20"/>
          <w:vertAlign w:val="superscript"/>
          <w:lang w:val="es-ES_tradnl"/>
        </w:rPr>
        <w:footnoteReference w:id="10"/>
      </w:r>
      <w:r w:rsidR="00A36FDA">
        <w:rPr>
          <w:sz w:val="20"/>
          <w:szCs w:val="20"/>
          <w:lang w:val="es-ES"/>
        </w:rPr>
        <w:t>.</w:t>
      </w:r>
    </w:p>
    <w:p w14:paraId="057F76C7" w14:textId="30395038" w:rsidR="00FF3B14" w:rsidRPr="0029472A" w:rsidRDefault="008D0E23" w:rsidP="006C341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29472A">
        <w:rPr>
          <w:rFonts w:asciiTheme="majorHAnsi" w:hAnsiTheme="majorHAnsi"/>
          <w:sz w:val="20"/>
          <w:szCs w:val="20"/>
          <w:lang w:val="es-ES_tradnl"/>
        </w:rPr>
        <w:t xml:space="preserve">Teniendo en cuenta todo lo anterior, y </w:t>
      </w:r>
      <w:r w:rsidR="00814DFD" w:rsidRPr="0029472A">
        <w:rPr>
          <w:rFonts w:asciiTheme="majorHAnsi" w:hAnsiTheme="majorHAnsi"/>
          <w:sz w:val="20"/>
          <w:szCs w:val="20"/>
          <w:lang w:val="es-ES_tradnl"/>
        </w:rPr>
        <w:t>l</w:t>
      </w:r>
      <w:r w:rsidR="00091A21" w:rsidRPr="0029472A">
        <w:rPr>
          <w:rFonts w:asciiTheme="majorHAnsi" w:hAnsiTheme="majorHAnsi"/>
          <w:sz w:val="20"/>
          <w:szCs w:val="20"/>
          <w:lang w:val="es-ES_tradnl"/>
        </w:rPr>
        <w:t>a Comisión</w:t>
      </w:r>
      <w:r w:rsidRPr="0029472A">
        <w:rPr>
          <w:rFonts w:asciiTheme="majorHAnsi" w:hAnsiTheme="majorHAnsi"/>
          <w:sz w:val="20"/>
          <w:szCs w:val="20"/>
          <w:lang w:val="es-ES_tradnl"/>
        </w:rPr>
        <w:t xml:space="preserve"> Interamericana</w:t>
      </w:r>
      <w:r w:rsidR="00091A21" w:rsidRPr="0029472A">
        <w:rPr>
          <w:rFonts w:asciiTheme="majorHAnsi" w:hAnsiTheme="majorHAnsi"/>
          <w:sz w:val="20"/>
          <w:szCs w:val="20"/>
          <w:lang w:val="es-ES_tradnl"/>
        </w:rPr>
        <w:t xml:space="preserve"> estima que </w:t>
      </w:r>
      <w:r w:rsidR="004B62FC">
        <w:rPr>
          <w:rFonts w:asciiTheme="majorHAnsi" w:hAnsiTheme="majorHAnsi"/>
          <w:sz w:val="20"/>
          <w:szCs w:val="20"/>
          <w:lang w:val="es-ES_tradnl"/>
        </w:rPr>
        <w:t xml:space="preserve">los hechos denunciados </w:t>
      </w:r>
      <w:r w:rsidR="00091A21" w:rsidRPr="0029472A">
        <w:rPr>
          <w:rFonts w:asciiTheme="majorHAnsi" w:hAnsiTheme="majorHAnsi"/>
          <w:sz w:val="20"/>
          <w:szCs w:val="20"/>
          <w:lang w:val="es-ES_tradnl"/>
        </w:rPr>
        <w:t>requieren un estudio de fondo</w:t>
      </w:r>
      <w:r w:rsidRPr="0029472A">
        <w:rPr>
          <w:rFonts w:asciiTheme="majorHAnsi" w:hAnsiTheme="majorHAnsi"/>
          <w:sz w:val="20"/>
          <w:szCs w:val="20"/>
          <w:lang w:val="es-ES_tradnl"/>
        </w:rPr>
        <w:t>.</w:t>
      </w:r>
      <w:r w:rsidR="00091A21" w:rsidRPr="0029472A">
        <w:rPr>
          <w:rFonts w:asciiTheme="majorHAnsi" w:hAnsiTheme="majorHAnsi"/>
          <w:sz w:val="20"/>
          <w:szCs w:val="20"/>
          <w:lang w:val="es-ES_tradnl"/>
        </w:rPr>
        <w:t xml:space="preserve"> </w:t>
      </w:r>
      <w:r w:rsidRPr="0029472A">
        <w:rPr>
          <w:rFonts w:asciiTheme="majorHAnsi" w:hAnsiTheme="majorHAnsi"/>
          <w:sz w:val="20"/>
          <w:szCs w:val="20"/>
          <w:lang w:val="es-ES_tradnl"/>
        </w:rPr>
        <w:t>L</w:t>
      </w:r>
      <w:r w:rsidR="00091A21" w:rsidRPr="0029472A">
        <w:rPr>
          <w:rFonts w:asciiTheme="majorHAnsi" w:hAnsiTheme="majorHAnsi"/>
          <w:sz w:val="20"/>
          <w:szCs w:val="20"/>
          <w:lang w:val="es-ES_tradnl"/>
        </w:rPr>
        <w:t>os hechos alegados, de corroborarse, podrían caracterizar violaciones a</w:t>
      </w:r>
      <w:r w:rsidR="00FF3B14" w:rsidRPr="0029472A">
        <w:rPr>
          <w:rFonts w:asciiTheme="majorHAnsi" w:hAnsiTheme="majorHAnsi"/>
          <w:sz w:val="20"/>
          <w:szCs w:val="20"/>
          <w:lang w:val="es-ES_tradnl"/>
        </w:rPr>
        <w:t xml:space="preserve"> los artículos</w:t>
      </w:r>
      <w:r w:rsidR="00745C84" w:rsidRPr="0029472A">
        <w:rPr>
          <w:rFonts w:asciiTheme="majorHAnsi" w:hAnsiTheme="majorHAnsi"/>
          <w:sz w:val="20"/>
          <w:szCs w:val="20"/>
          <w:lang w:val="es-ES_tradnl"/>
        </w:rPr>
        <w:t xml:space="preserve"> I (vida e integridad), II (igualdad), III (libertad religiosa) y XVIII (justicia)</w:t>
      </w:r>
      <w:r w:rsidR="00C13837" w:rsidRPr="0029472A">
        <w:rPr>
          <w:rFonts w:asciiTheme="majorHAnsi" w:hAnsiTheme="majorHAnsi"/>
          <w:sz w:val="20"/>
          <w:szCs w:val="20"/>
          <w:lang w:val="es-ES_tradnl"/>
        </w:rPr>
        <w:t xml:space="preserve"> de la Declaración Americana</w:t>
      </w:r>
      <w:r w:rsidR="00745C84" w:rsidRPr="0029472A">
        <w:rPr>
          <w:rFonts w:asciiTheme="majorHAnsi" w:hAnsiTheme="majorHAnsi"/>
          <w:sz w:val="20"/>
          <w:szCs w:val="20"/>
          <w:lang w:val="es-ES_tradnl"/>
        </w:rPr>
        <w:t>,</w:t>
      </w:r>
      <w:r w:rsidR="00C94980" w:rsidRPr="0029472A">
        <w:rPr>
          <w:rFonts w:asciiTheme="majorHAnsi" w:hAnsiTheme="majorHAnsi"/>
          <w:sz w:val="20"/>
          <w:szCs w:val="20"/>
          <w:lang w:val="es-ES_tradnl"/>
        </w:rPr>
        <w:t xml:space="preserve"> así como los artículos 5 (integridad personal), 8 (garantías judiciales) y 25 (protección judicial) de la Convención Americana, con conexión con sus artículos 1 (obligación de respetar los derechos) y 2 (deber de adoptar disposiciones de derecho interno)</w:t>
      </w:r>
      <w:r w:rsidR="00006237" w:rsidRPr="0029472A">
        <w:rPr>
          <w:rFonts w:asciiTheme="majorHAnsi" w:hAnsiTheme="majorHAnsi"/>
          <w:sz w:val="20"/>
          <w:szCs w:val="20"/>
          <w:lang w:val="es-ES_tradnl"/>
        </w:rPr>
        <w:t xml:space="preserve">; </w:t>
      </w:r>
      <w:r w:rsidR="00006237" w:rsidRPr="0029472A">
        <w:rPr>
          <w:rFonts w:asciiTheme="majorHAnsi" w:hAnsiTheme="majorHAnsi"/>
          <w:sz w:val="20"/>
          <w:szCs w:val="20"/>
          <w:lang w:val="es-ES"/>
        </w:rPr>
        <w:t>y de los artículos 1, 6 y 8 de la Convención Interamericana para Prevenir y Sancionar la Tortura</w:t>
      </w:r>
      <w:r w:rsidR="0037658A" w:rsidRPr="0029472A">
        <w:rPr>
          <w:bCs/>
          <w:sz w:val="20"/>
          <w:szCs w:val="20"/>
          <w:vertAlign w:val="superscript"/>
          <w:lang w:val="es-ES_tradnl"/>
        </w:rPr>
        <w:footnoteReference w:id="11"/>
      </w:r>
      <w:r w:rsidR="00006237" w:rsidRPr="0029472A">
        <w:rPr>
          <w:rFonts w:asciiTheme="majorHAnsi" w:hAnsiTheme="majorHAnsi"/>
          <w:sz w:val="20"/>
          <w:szCs w:val="20"/>
          <w:lang w:val="es-ES"/>
        </w:rPr>
        <w:t>,</w:t>
      </w:r>
      <w:r w:rsidR="00C94980" w:rsidRPr="0029472A">
        <w:rPr>
          <w:rFonts w:asciiTheme="majorHAnsi" w:hAnsiTheme="majorHAnsi"/>
          <w:sz w:val="20"/>
          <w:szCs w:val="20"/>
          <w:lang w:val="es-ES_tradnl"/>
        </w:rPr>
        <w:t xml:space="preserve"> en perjuicio de </w:t>
      </w:r>
      <w:r w:rsidR="006F1FCF">
        <w:rPr>
          <w:rFonts w:asciiTheme="majorHAnsi" w:hAnsiTheme="majorHAnsi"/>
          <w:sz w:val="20"/>
          <w:szCs w:val="20"/>
          <w:lang w:val="es-ES_tradnl"/>
        </w:rPr>
        <w:t>Carlos Amanto y otros</w:t>
      </w:r>
      <w:r w:rsidR="00C94980" w:rsidRPr="0029472A">
        <w:rPr>
          <w:rFonts w:asciiTheme="majorHAnsi" w:hAnsiTheme="majorHAnsi"/>
          <w:sz w:val="20"/>
          <w:szCs w:val="20"/>
          <w:lang w:val="es-ES_tradnl"/>
        </w:rPr>
        <w:t xml:space="preserve"> </w:t>
      </w:r>
      <w:r w:rsidR="006F1FCF">
        <w:rPr>
          <w:rFonts w:asciiTheme="majorHAnsi" w:hAnsiTheme="majorHAnsi"/>
          <w:sz w:val="20"/>
          <w:szCs w:val="20"/>
          <w:lang w:val="es-ES_tradnl"/>
        </w:rPr>
        <w:t>e</w:t>
      </w:r>
      <w:r w:rsidR="00C94980" w:rsidRPr="0029472A">
        <w:rPr>
          <w:rFonts w:asciiTheme="majorHAnsi" w:hAnsiTheme="majorHAnsi"/>
          <w:sz w:val="20"/>
          <w:szCs w:val="20"/>
          <w:lang w:val="es-ES_tradnl"/>
        </w:rPr>
        <w:t>x</w:t>
      </w:r>
      <w:r w:rsidR="006F1FCF">
        <w:rPr>
          <w:rFonts w:asciiTheme="majorHAnsi" w:hAnsiTheme="majorHAnsi"/>
          <w:sz w:val="20"/>
          <w:szCs w:val="20"/>
          <w:lang w:val="es-ES_tradnl"/>
        </w:rPr>
        <w:t>c</w:t>
      </w:r>
      <w:r w:rsidR="00C94980" w:rsidRPr="0029472A">
        <w:rPr>
          <w:rFonts w:asciiTheme="majorHAnsi" w:hAnsiTheme="majorHAnsi"/>
          <w:sz w:val="20"/>
          <w:szCs w:val="20"/>
          <w:lang w:val="es-ES_tradnl"/>
        </w:rPr>
        <w:t xml:space="preserve">ombatientes de </w:t>
      </w:r>
      <w:r w:rsidR="006F1FCF">
        <w:rPr>
          <w:rFonts w:asciiTheme="majorHAnsi" w:hAnsiTheme="majorHAnsi"/>
          <w:sz w:val="20"/>
          <w:szCs w:val="20"/>
          <w:lang w:val="es-ES_tradnl"/>
        </w:rPr>
        <w:t xml:space="preserve">las </w:t>
      </w:r>
      <w:r w:rsidR="00C94980" w:rsidRPr="0029472A">
        <w:rPr>
          <w:rFonts w:asciiTheme="majorHAnsi" w:hAnsiTheme="majorHAnsi"/>
          <w:sz w:val="20"/>
          <w:szCs w:val="20"/>
          <w:lang w:val="es-ES_tradnl"/>
        </w:rPr>
        <w:t xml:space="preserve">Malvinas </w:t>
      </w:r>
      <w:r w:rsidR="006F1FCF">
        <w:rPr>
          <w:rFonts w:asciiTheme="majorHAnsi" w:hAnsiTheme="majorHAnsi"/>
          <w:sz w:val="20"/>
          <w:szCs w:val="20"/>
          <w:lang w:val="es-ES_tradnl"/>
        </w:rPr>
        <w:t xml:space="preserve">argentinas afectados por los hechos denunciados y </w:t>
      </w:r>
      <w:r w:rsidR="00C25D79">
        <w:rPr>
          <w:rFonts w:asciiTheme="majorHAnsi" w:hAnsiTheme="majorHAnsi"/>
          <w:sz w:val="20"/>
          <w:szCs w:val="20"/>
          <w:lang w:val="es-ES_tradnl"/>
        </w:rPr>
        <w:t>que sean parte de los procesos internos considerados en el presente informe, quienes deberán ser</w:t>
      </w:r>
      <w:r w:rsidR="006C67BF">
        <w:rPr>
          <w:rFonts w:asciiTheme="majorHAnsi" w:hAnsiTheme="majorHAnsi"/>
          <w:sz w:val="20"/>
          <w:szCs w:val="20"/>
          <w:lang w:val="es-ES_tradnl"/>
        </w:rPr>
        <w:t xml:space="preserve"> debidamente establecidos como presuntas víctimas durante la etapa de fondo del presente caso </w:t>
      </w:r>
      <w:r w:rsidR="00337BED">
        <w:rPr>
          <w:rFonts w:asciiTheme="majorHAnsi" w:hAnsiTheme="majorHAnsi"/>
          <w:sz w:val="20"/>
          <w:szCs w:val="20"/>
          <w:lang w:val="es-ES_tradnl"/>
        </w:rPr>
        <w:t>por la parte peticionaria.</w:t>
      </w:r>
    </w:p>
    <w:p w14:paraId="40DABB4D" w14:textId="7F69AE0C" w:rsidR="006E3BAD" w:rsidRPr="0029472A" w:rsidRDefault="006E3BAD" w:rsidP="006C3416">
      <w:pPr>
        <w:pStyle w:val="ListParagraph"/>
        <w:spacing w:before="240" w:after="240"/>
        <w:ind w:left="0" w:firstLine="709"/>
        <w:jc w:val="both"/>
        <w:rPr>
          <w:rFonts w:asciiTheme="majorHAnsi" w:hAnsiTheme="majorHAnsi"/>
          <w:b/>
          <w:sz w:val="20"/>
          <w:szCs w:val="20"/>
          <w:lang w:val="es-ES_tradnl"/>
        </w:rPr>
      </w:pPr>
      <w:r w:rsidRPr="0029472A">
        <w:rPr>
          <w:rFonts w:asciiTheme="majorHAnsi" w:hAnsiTheme="majorHAnsi"/>
          <w:b/>
          <w:sz w:val="20"/>
          <w:szCs w:val="20"/>
          <w:lang w:val="es-ES_tradnl"/>
        </w:rPr>
        <w:t xml:space="preserve">VIII. </w:t>
      </w:r>
      <w:r w:rsidRPr="0029472A">
        <w:rPr>
          <w:rFonts w:asciiTheme="majorHAnsi" w:hAnsiTheme="majorHAnsi"/>
          <w:b/>
          <w:sz w:val="20"/>
          <w:szCs w:val="20"/>
          <w:lang w:val="es-ES_tradnl"/>
        </w:rPr>
        <w:tab/>
      </w:r>
      <w:r w:rsidRPr="0029472A">
        <w:rPr>
          <w:rFonts w:asciiTheme="majorHAnsi" w:hAnsiTheme="majorHAnsi"/>
          <w:b/>
          <w:bCs/>
          <w:sz w:val="20"/>
          <w:szCs w:val="20"/>
          <w:lang w:val="es-ES_tradnl"/>
        </w:rPr>
        <w:t>DECISIÓN</w:t>
      </w:r>
    </w:p>
    <w:p w14:paraId="776C2EB8" w14:textId="44695DAB" w:rsidR="006E3BAD" w:rsidRPr="0029472A" w:rsidRDefault="006E3BAD" w:rsidP="006C3416">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29472A">
        <w:rPr>
          <w:sz w:val="20"/>
          <w:szCs w:val="20"/>
          <w:lang w:val="es-ES_tradnl"/>
        </w:rPr>
        <w:t xml:space="preserve">Declarar admisible la presente petición en relación con artículos </w:t>
      </w:r>
      <w:r w:rsidR="00C94980" w:rsidRPr="0029472A">
        <w:rPr>
          <w:sz w:val="20"/>
          <w:szCs w:val="20"/>
          <w:lang w:val="es-ES_tradnl"/>
        </w:rPr>
        <w:t xml:space="preserve">I, II, III y XVIII de la Declaración Americana; artículos </w:t>
      </w:r>
      <w:r w:rsidRPr="0029472A">
        <w:rPr>
          <w:sz w:val="20"/>
          <w:szCs w:val="20"/>
          <w:lang w:val="es-ES_tradnl"/>
        </w:rPr>
        <w:t>5, 8</w:t>
      </w:r>
      <w:r w:rsidR="00663CC3" w:rsidRPr="0029472A">
        <w:rPr>
          <w:sz w:val="20"/>
          <w:szCs w:val="20"/>
          <w:lang w:val="es-ES_tradnl"/>
        </w:rPr>
        <w:t xml:space="preserve">, </w:t>
      </w:r>
      <w:r w:rsidRPr="0029472A">
        <w:rPr>
          <w:sz w:val="20"/>
          <w:szCs w:val="20"/>
          <w:lang w:val="es-ES_tradnl"/>
        </w:rPr>
        <w:t>y 25 de la Convención Americana, en concordancia con su</w:t>
      </w:r>
      <w:r w:rsidR="00C94980" w:rsidRPr="0029472A">
        <w:rPr>
          <w:sz w:val="20"/>
          <w:szCs w:val="20"/>
          <w:lang w:val="es-ES_tradnl"/>
        </w:rPr>
        <w:t>s</w:t>
      </w:r>
      <w:r w:rsidRPr="0029472A">
        <w:rPr>
          <w:sz w:val="20"/>
          <w:szCs w:val="20"/>
          <w:lang w:val="es-ES_tradnl"/>
        </w:rPr>
        <w:t xml:space="preserve"> artículo</w:t>
      </w:r>
      <w:r w:rsidR="00C94980" w:rsidRPr="0029472A">
        <w:rPr>
          <w:sz w:val="20"/>
          <w:szCs w:val="20"/>
          <w:lang w:val="es-ES_tradnl"/>
        </w:rPr>
        <w:t>s</w:t>
      </w:r>
      <w:r w:rsidRPr="0029472A">
        <w:rPr>
          <w:sz w:val="20"/>
          <w:szCs w:val="20"/>
          <w:lang w:val="es-ES_tradnl"/>
        </w:rPr>
        <w:t xml:space="preserve"> 1.1</w:t>
      </w:r>
      <w:r w:rsidR="00C94980" w:rsidRPr="0029472A">
        <w:rPr>
          <w:sz w:val="20"/>
          <w:szCs w:val="20"/>
          <w:lang w:val="es-ES_tradnl"/>
        </w:rPr>
        <w:t xml:space="preserve"> y 2</w:t>
      </w:r>
      <w:r w:rsidR="00006237" w:rsidRPr="0029472A">
        <w:rPr>
          <w:sz w:val="20"/>
          <w:szCs w:val="20"/>
          <w:lang w:val="es-ES_tradnl"/>
        </w:rPr>
        <w:t xml:space="preserve">; y artículos </w:t>
      </w:r>
      <w:r w:rsidR="00006237" w:rsidRPr="0029472A">
        <w:rPr>
          <w:rFonts w:asciiTheme="majorHAnsi" w:hAnsiTheme="majorHAnsi"/>
          <w:sz w:val="20"/>
          <w:szCs w:val="20"/>
          <w:lang w:val="es-ES"/>
        </w:rPr>
        <w:t>1, 6 y 8 de la Convención Interamericana para Prevenir y Sancionar la Tortura;</w:t>
      </w:r>
      <w:r w:rsidR="009C3EC5">
        <w:rPr>
          <w:rFonts w:asciiTheme="majorHAnsi" w:hAnsiTheme="majorHAnsi"/>
          <w:sz w:val="20"/>
          <w:szCs w:val="20"/>
          <w:lang w:val="es-ES"/>
        </w:rPr>
        <w:t xml:space="preserve"> y</w:t>
      </w:r>
    </w:p>
    <w:p w14:paraId="43C1D8DD" w14:textId="4044BEDF" w:rsidR="0062464A" w:rsidRDefault="006E3BAD" w:rsidP="006C3416">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29472A">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0B7CC71" w14:textId="73D44AF0" w:rsidR="001462A8" w:rsidRPr="00F82BD9" w:rsidRDefault="008D16A6" w:rsidP="00F82BD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w:t>
      </w:r>
      <w:r w:rsidR="009B6A8A">
        <w:rPr>
          <w:rStyle w:val="normaltextrun"/>
          <w:rFonts w:ascii="Cambria" w:hAnsi="Cambria" w:cs="Segoe UI"/>
          <w:sz w:val="20"/>
          <w:szCs w:val="20"/>
          <w:lang w:val="es-CL"/>
        </w:rPr>
        <w:t>2</w:t>
      </w:r>
      <w:r>
        <w:rPr>
          <w:rStyle w:val="normaltextrun"/>
          <w:rFonts w:ascii="Cambria" w:hAnsi="Cambria" w:cs="Segoe UI"/>
          <w:sz w:val="20"/>
          <w:szCs w:val="20"/>
          <w:lang w:val="es-CL"/>
        </w:rPr>
        <w:t xml:space="preserve"> días del mes de octubre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F82BD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1029E569" w14:textId="77777777" w:rsidR="00780730" w:rsidRPr="0062464A" w:rsidRDefault="00780730" w:rsidP="006C3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_tradnl"/>
        </w:rPr>
      </w:pPr>
    </w:p>
    <w:sectPr w:rsidR="00780730" w:rsidRPr="0062464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9266" w14:textId="77777777" w:rsidR="0004281E" w:rsidRDefault="0004281E">
      <w:r>
        <w:separator/>
      </w:r>
    </w:p>
  </w:endnote>
  <w:endnote w:type="continuationSeparator" w:id="0">
    <w:p w14:paraId="52B27509" w14:textId="77777777" w:rsidR="0004281E" w:rsidRDefault="0004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05F5" w14:textId="77777777" w:rsidR="0004281E" w:rsidRPr="000F35ED" w:rsidRDefault="0004281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132CE3" w14:textId="77777777" w:rsidR="0004281E" w:rsidRPr="000F35ED" w:rsidRDefault="0004281E" w:rsidP="000F35ED">
      <w:pPr>
        <w:rPr>
          <w:rFonts w:asciiTheme="majorHAnsi" w:hAnsiTheme="majorHAnsi"/>
          <w:sz w:val="16"/>
          <w:szCs w:val="16"/>
        </w:rPr>
      </w:pPr>
      <w:r w:rsidRPr="000F35ED">
        <w:rPr>
          <w:rFonts w:asciiTheme="majorHAnsi" w:hAnsiTheme="majorHAnsi"/>
          <w:sz w:val="16"/>
          <w:szCs w:val="16"/>
        </w:rPr>
        <w:separator/>
      </w:r>
    </w:p>
    <w:p w14:paraId="7AADAB3F" w14:textId="77777777" w:rsidR="0004281E" w:rsidRPr="000F35ED" w:rsidRDefault="0004281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3F6D491" w14:textId="77777777" w:rsidR="0004281E" w:rsidRPr="000F35ED" w:rsidRDefault="0004281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E9BA29" w14:textId="663871FF" w:rsidR="00B12E5E" w:rsidRPr="0029472A" w:rsidRDefault="00B12E5E" w:rsidP="0029472A">
      <w:pPr>
        <w:pStyle w:val="FootnoteText"/>
        <w:ind w:firstLine="720"/>
        <w:jc w:val="both"/>
        <w:rPr>
          <w:rFonts w:asciiTheme="majorHAnsi" w:hAnsiTheme="majorHAnsi"/>
          <w:sz w:val="16"/>
          <w:szCs w:val="16"/>
          <w:lang w:val="es-US"/>
        </w:rPr>
      </w:pPr>
      <w:r w:rsidRPr="0029472A">
        <w:rPr>
          <w:rStyle w:val="FootnoteReference"/>
          <w:rFonts w:asciiTheme="majorHAnsi" w:hAnsiTheme="majorHAnsi"/>
          <w:sz w:val="16"/>
          <w:szCs w:val="16"/>
        </w:rPr>
        <w:footnoteRef/>
      </w:r>
      <w:r w:rsidRPr="0029472A">
        <w:rPr>
          <w:rFonts w:asciiTheme="majorHAnsi" w:hAnsiTheme="majorHAnsi"/>
          <w:sz w:val="16"/>
          <w:szCs w:val="16"/>
          <w:lang w:val="es-US"/>
        </w:rPr>
        <w:t xml:space="preserve"> En Adelante “la Convención Americana” o “la Convención”.</w:t>
      </w:r>
    </w:p>
  </w:footnote>
  <w:footnote w:id="3">
    <w:p w14:paraId="1AFEF3B0" w14:textId="21C74F4F" w:rsidR="008E3BFE" w:rsidRPr="0029472A" w:rsidRDefault="008E3BFE" w:rsidP="0029472A">
      <w:pPr>
        <w:pStyle w:val="FootnoteText"/>
        <w:ind w:firstLine="720"/>
        <w:jc w:val="both"/>
        <w:rPr>
          <w:rFonts w:asciiTheme="majorHAnsi" w:hAnsiTheme="majorHAnsi"/>
          <w:sz w:val="16"/>
          <w:szCs w:val="16"/>
          <w:lang w:val="es-ES"/>
        </w:rPr>
      </w:pPr>
      <w:r w:rsidRPr="0029472A">
        <w:rPr>
          <w:rStyle w:val="FootnoteReference"/>
          <w:rFonts w:asciiTheme="majorHAnsi" w:hAnsiTheme="majorHAnsi"/>
          <w:sz w:val="16"/>
          <w:szCs w:val="16"/>
        </w:rPr>
        <w:footnoteRef/>
      </w:r>
      <w:r w:rsidRPr="0029472A">
        <w:rPr>
          <w:rFonts w:asciiTheme="majorHAnsi" w:hAnsiTheme="majorHAnsi"/>
          <w:sz w:val="16"/>
          <w:szCs w:val="16"/>
          <w:lang w:val="es-ES"/>
        </w:rPr>
        <w:t xml:space="preserve"> Las observaciones de cada parte fueron debidamente trasladadas a la parte contraria</w:t>
      </w:r>
      <w:r w:rsidR="006D0FA8" w:rsidRPr="0029472A">
        <w:rPr>
          <w:rFonts w:asciiTheme="majorHAnsi" w:hAnsiTheme="majorHAnsi"/>
          <w:sz w:val="16"/>
          <w:szCs w:val="16"/>
          <w:lang w:val="es-ES"/>
        </w:rPr>
        <w:t>.</w:t>
      </w:r>
    </w:p>
  </w:footnote>
  <w:footnote w:id="4">
    <w:p w14:paraId="6A21FFA8" w14:textId="195DB678" w:rsidR="00425133" w:rsidRPr="0029472A" w:rsidRDefault="00425133" w:rsidP="0029472A">
      <w:pPr>
        <w:pStyle w:val="FootnoteText"/>
        <w:ind w:firstLine="720"/>
        <w:jc w:val="both"/>
        <w:rPr>
          <w:rFonts w:asciiTheme="majorHAnsi" w:hAnsiTheme="majorHAnsi"/>
          <w:sz w:val="16"/>
          <w:szCs w:val="16"/>
          <w:lang w:val="es-AR"/>
        </w:rPr>
      </w:pPr>
      <w:r w:rsidRPr="0029472A">
        <w:rPr>
          <w:rStyle w:val="FootnoteReference"/>
          <w:rFonts w:asciiTheme="majorHAnsi" w:hAnsiTheme="majorHAnsi"/>
          <w:sz w:val="16"/>
          <w:szCs w:val="16"/>
        </w:rPr>
        <w:footnoteRef/>
      </w:r>
      <w:r w:rsidRPr="0029472A">
        <w:rPr>
          <w:rFonts w:asciiTheme="majorHAnsi" w:hAnsiTheme="majorHAnsi"/>
          <w:sz w:val="16"/>
          <w:szCs w:val="16"/>
          <w:lang w:val="es-AR"/>
        </w:rPr>
        <w:t xml:space="preserve"> En Argentina, el </w:t>
      </w:r>
      <w:r w:rsidR="00636A36" w:rsidRPr="0029472A">
        <w:rPr>
          <w:rFonts w:asciiTheme="majorHAnsi" w:hAnsiTheme="majorHAnsi"/>
          <w:sz w:val="16"/>
          <w:szCs w:val="16"/>
          <w:lang w:val="es-AR"/>
        </w:rPr>
        <w:t>“</w:t>
      </w:r>
      <w:r w:rsidRPr="0029472A">
        <w:rPr>
          <w:rFonts w:asciiTheme="majorHAnsi" w:hAnsiTheme="majorHAnsi"/>
          <w:sz w:val="16"/>
          <w:szCs w:val="16"/>
          <w:lang w:val="es-AR"/>
        </w:rPr>
        <w:t>estaqueamiento</w:t>
      </w:r>
      <w:r w:rsidR="00636A36" w:rsidRPr="0029472A">
        <w:rPr>
          <w:rFonts w:asciiTheme="majorHAnsi" w:hAnsiTheme="majorHAnsi"/>
          <w:sz w:val="16"/>
          <w:szCs w:val="16"/>
          <w:lang w:val="es-AR"/>
        </w:rPr>
        <w:t xml:space="preserve">” </w:t>
      </w:r>
      <w:r w:rsidRPr="0029472A">
        <w:rPr>
          <w:rFonts w:asciiTheme="majorHAnsi" w:hAnsiTheme="majorHAnsi"/>
          <w:sz w:val="16"/>
          <w:szCs w:val="16"/>
          <w:lang w:val="es-AR"/>
        </w:rPr>
        <w:t>refiere a torturar a alguien amarrando sus extremidades con tiras de cuero entre cuatro estacas.</w:t>
      </w:r>
    </w:p>
  </w:footnote>
  <w:footnote w:id="5">
    <w:p w14:paraId="06109B4C" w14:textId="77777777" w:rsidR="00343D10" w:rsidRPr="0029472A" w:rsidRDefault="00343D10" w:rsidP="00343D10">
      <w:pPr>
        <w:pStyle w:val="FootnoteText"/>
        <w:ind w:firstLine="720"/>
        <w:jc w:val="both"/>
        <w:rPr>
          <w:rFonts w:asciiTheme="majorHAnsi" w:hAnsiTheme="majorHAnsi"/>
          <w:sz w:val="16"/>
          <w:szCs w:val="16"/>
          <w:lang w:val="es-AR"/>
        </w:rPr>
      </w:pPr>
      <w:r w:rsidRPr="0029472A">
        <w:rPr>
          <w:rStyle w:val="FootnoteReference"/>
          <w:rFonts w:asciiTheme="majorHAnsi" w:hAnsiTheme="majorHAnsi"/>
          <w:sz w:val="16"/>
          <w:szCs w:val="16"/>
        </w:rPr>
        <w:footnoteRef/>
      </w:r>
      <w:r w:rsidRPr="0029472A">
        <w:rPr>
          <w:rFonts w:asciiTheme="majorHAnsi" w:hAnsiTheme="majorHAnsi"/>
          <w:sz w:val="16"/>
          <w:szCs w:val="16"/>
          <w:lang w:val="pt-BR"/>
        </w:rPr>
        <w:t xml:space="preserve"> Similarmente: CIDH, </w:t>
      </w:r>
      <w:hyperlink r:id="rId1" w:history="1">
        <w:r w:rsidRPr="0029472A">
          <w:rPr>
            <w:rStyle w:val="Hyperlink"/>
            <w:rFonts w:asciiTheme="majorHAnsi" w:hAnsiTheme="majorHAnsi"/>
            <w:sz w:val="16"/>
            <w:szCs w:val="16"/>
            <w:u w:val="none"/>
            <w:lang w:val="pt-BR"/>
          </w:rPr>
          <w:t xml:space="preserve">Informe No. 33/01, Caso 11.552. </w:t>
        </w:r>
        <w:r w:rsidRPr="0029472A">
          <w:rPr>
            <w:rStyle w:val="Hyperlink"/>
            <w:rFonts w:asciiTheme="majorHAnsi" w:hAnsiTheme="majorHAnsi"/>
            <w:sz w:val="16"/>
            <w:szCs w:val="16"/>
            <w:u w:val="none"/>
            <w:lang w:val="es-ES"/>
          </w:rPr>
          <w:t>Admisibilidad. Julia Gomes Lund y otros</w:t>
        </w:r>
      </w:hyperlink>
      <w:r w:rsidRPr="0029472A">
        <w:rPr>
          <w:rFonts w:asciiTheme="majorHAnsi" w:hAnsiTheme="majorHAnsi"/>
          <w:sz w:val="16"/>
          <w:szCs w:val="16"/>
          <w:lang w:val="es-ES"/>
        </w:rPr>
        <w:t>. Brasil. 6 de marzo de 2001, párrafo 50.</w:t>
      </w:r>
    </w:p>
  </w:footnote>
  <w:footnote w:id="6">
    <w:p w14:paraId="613D4070" w14:textId="77777777" w:rsidR="00BB04F5" w:rsidRPr="00A11B3B" w:rsidRDefault="00BB04F5" w:rsidP="00BB04F5">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 14/08, Petición 652-04. Admisibilidad. Hugo Humberto Ruíz Fuentes. Guatemala. 5 de marzo de 2008, párr. 68.</w:t>
      </w:r>
    </w:p>
  </w:footnote>
  <w:footnote w:id="7">
    <w:p w14:paraId="05DDE647" w14:textId="77777777" w:rsidR="00BB04F5" w:rsidRPr="00A11B3B" w:rsidRDefault="00BB04F5" w:rsidP="00BB04F5">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 w:id="8">
    <w:p w14:paraId="34AA14DD" w14:textId="790F81F6" w:rsidR="004D6F9C" w:rsidRPr="0029472A" w:rsidRDefault="004D6F9C" w:rsidP="0029472A">
      <w:pPr>
        <w:pStyle w:val="FootnoteText"/>
        <w:ind w:firstLine="720"/>
        <w:jc w:val="both"/>
        <w:rPr>
          <w:rFonts w:asciiTheme="majorHAnsi" w:hAnsiTheme="majorHAnsi"/>
          <w:sz w:val="16"/>
          <w:szCs w:val="16"/>
          <w:lang w:val="es-ES"/>
        </w:rPr>
      </w:pPr>
      <w:r w:rsidRPr="0029472A">
        <w:rPr>
          <w:rStyle w:val="FootnoteReference"/>
          <w:rFonts w:asciiTheme="majorHAnsi" w:hAnsiTheme="majorHAnsi"/>
          <w:sz w:val="16"/>
          <w:szCs w:val="16"/>
        </w:rPr>
        <w:footnoteRef/>
      </w:r>
      <w:r w:rsidRPr="0029472A">
        <w:rPr>
          <w:rFonts w:asciiTheme="majorHAnsi" w:hAnsiTheme="majorHAnsi"/>
          <w:sz w:val="16"/>
          <w:szCs w:val="16"/>
          <w:lang w:val="es-AR"/>
        </w:rPr>
        <w:t xml:space="preserve"> </w:t>
      </w:r>
      <w:r w:rsidRPr="0029472A">
        <w:rPr>
          <w:rFonts w:asciiTheme="majorHAnsi" w:hAnsiTheme="majorHAnsi"/>
          <w:sz w:val="16"/>
          <w:szCs w:val="16"/>
          <w:lang w:val="es-ES"/>
        </w:rPr>
        <w:t>Informe sobre la situación de los Derechos Humanos en Argentina. OEA/Ser.L/V/II.49 doc. 19 11 abril 1980.</w:t>
      </w:r>
    </w:p>
  </w:footnote>
  <w:footnote w:id="9">
    <w:p w14:paraId="63FD4292" w14:textId="67734F67" w:rsidR="00132D97" w:rsidRPr="0029472A" w:rsidRDefault="00132D97" w:rsidP="0029472A">
      <w:pPr>
        <w:pStyle w:val="FootnoteText"/>
        <w:ind w:firstLine="720"/>
        <w:jc w:val="both"/>
        <w:rPr>
          <w:rFonts w:asciiTheme="majorHAnsi" w:hAnsiTheme="majorHAnsi"/>
          <w:sz w:val="16"/>
          <w:szCs w:val="16"/>
          <w:lang w:val="es-ES"/>
        </w:rPr>
      </w:pPr>
      <w:r w:rsidRPr="0029472A">
        <w:rPr>
          <w:rStyle w:val="FootnoteReference"/>
          <w:rFonts w:asciiTheme="majorHAnsi" w:hAnsiTheme="majorHAnsi"/>
          <w:sz w:val="16"/>
          <w:szCs w:val="16"/>
        </w:rPr>
        <w:footnoteRef/>
      </w:r>
      <w:r w:rsidRPr="0029472A">
        <w:rPr>
          <w:rFonts w:asciiTheme="majorHAnsi" w:hAnsiTheme="majorHAnsi"/>
          <w:sz w:val="16"/>
          <w:szCs w:val="16"/>
          <w:lang w:val="es-ES"/>
        </w:rPr>
        <w:t xml:space="preserve"> CIDH. Informe 3/15. Natalio Kejner, Remón Walton Ramis y otros. Admisibilidad. Argentina. 29 de enero de 2015, párr. 52; CIDH, Informe No. 70/19. Petición 858-09. Admisibilidad. Luiz José da Cunha “Crioulo” y familia. Brasil. 5 de mayo de 2019, párrafo 11.</w:t>
      </w:r>
    </w:p>
  </w:footnote>
  <w:footnote w:id="10">
    <w:p w14:paraId="31C3BFFA" w14:textId="42215272" w:rsidR="00814DFD" w:rsidRPr="0029472A" w:rsidRDefault="00814DFD" w:rsidP="0029472A">
      <w:pPr>
        <w:pStyle w:val="FootnoteText"/>
        <w:ind w:firstLine="720"/>
        <w:jc w:val="both"/>
        <w:rPr>
          <w:rFonts w:asciiTheme="majorHAnsi" w:hAnsiTheme="majorHAnsi"/>
          <w:sz w:val="16"/>
          <w:szCs w:val="16"/>
          <w:lang w:val="es-ES"/>
        </w:rPr>
      </w:pPr>
      <w:r w:rsidRPr="0029472A">
        <w:rPr>
          <w:rStyle w:val="FootnoteReference"/>
          <w:rFonts w:asciiTheme="majorHAnsi" w:hAnsiTheme="majorHAnsi"/>
          <w:sz w:val="16"/>
          <w:szCs w:val="16"/>
        </w:rPr>
        <w:footnoteRef/>
      </w:r>
      <w:r w:rsidRPr="0029472A">
        <w:rPr>
          <w:rFonts w:asciiTheme="majorHAnsi" w:hAnsiTheme="majorHAnsi"/>
          <w:sz w:val="16"/>
          <w:szCs w:val="16"/>
          <w:lang w:val="es-ES"/>
        </w:rPr>
        <w:t xml:space="preserve"> CIDH, Informe No. 70/19. Petición 858-09. Admisibilidad. Luiz José da Cunha “Crioulo” y familia. </w:t>
      </w:r>
      <w:r w:rsidRPr="0029472A">
        <w:rPr>
          <w:rFonts w:asciiTheme="majorHAnsi" w:hAnsiTheme="majorHAnsi"/>
          <w:sz w:val="16"/>
          <w:szCs w:val="16"/>
          <w:lang w:val="pt-BR"/>
        </w:rPr>
        <w:t xml:space="preserve">Brasil. 5 de mayo de 2019, párrafo 12; Corte IDH. Caso Favela Nova Brasília Vs. </w:t>
      </w:r>
      <w:r w:rsidRPr="0029472A">
        <w:rPr>
          <w:rFonts w:asciiTheme="majorHAnsi" w:hAnsiTheme="majorHAnsi"/>
          <w:sz w:val="16"/>
          <w:szCs w:val="16"/>
          <w:lang w:val="es-ES"/>
        </w:rPr>
        <w:t>Brasil. Excepciones Preliminares, Fondo, Reparaciones y Costas. Sentencia del 16 de febrero de 2017, pá</w:t>
      </w:r>
      <w:r w:rsidR="008D0E23" w:rsidRPr="0029472A">
        <w:rPr>
          <w:rFonts w:asciiTheme="majorHAnsi" w:hAnsiTheme="majorHAnsi"/>
          <w:sz w:val="16"/>
          <w:szCs w:val="16"/>
          <w:lang w:val="es-ES"/>
        </w:rPr>
        <w:t>r</w:t>
      </w:r>
      <w:r w:rsidRPr="0029472A">
        <w:rPr>
          <w:rFonts w:asciiTheme="majorHAnsi" w:hAnsiTheme="majorHAnsi"/>
          <w:sz w:val="16"/>
          <w:szCs w:val="16"/>
          <w:lang w:val="es-ES"/>
        </w:rPr>
        <w:t>r</w:t>
      </w:r>
      <w:r w:rsidR="008D0E23" w:rsidRPr="0029472A">
        <w:rPr>
          <w:rFonts w:asciiTheme="majorHAnsi" w:hAnsiTheme="majorHAnsi"/>
          <w:sz w:val="16"/>
          <w:szCs w:val="16"/>
          <w:lang w:val="es-ES"/>
        </w:rPr>
        <w:t>afo</w:t>
      </w:r>
      <w:r w:rsidRPr="0029472A">
        <w:rPr>
          <w:rFonts w:asciiTheme="majorHAnsi" w:hAnsiTheme="majorHAnsi"/>
          <w:sz w:val="16"/>
          <w:szCs w:val="16"/>
          <w:lang w:val="es-ES"/>
        </w:rPr>
        <w:t xml:space="preserve"> 61.</w:t>
      </w:r>
    </w:p>
  </w:footnote>
  <w:footnote w:id="11">
    <w:p w14:paraId="2E9DAB78" w14:textId="0BA7F535" w:rsidR="0037658A" w:rsidRPr="0029472A" w:rsidRDefault="0037658A" w:rsidP="0029472A">
      <w:pPr>
        <w:pStyle w:val="FootnoteText"/>
        <w:ind w:firstLine="720"/>
        <w:jc w:val="both"/>
        <w:rPr>
          <w:rFonts w:asciiTheme="majorHAnsi" w:hAnsiTheme="majorHAnsi"/>
          <w:sz w:val="16"/>
          <w:szCs w:val="16"/>
          <w:lang w:val="es-ES"/>
        </w:rPr>
      </w:pPr>
      <w:r w:rsidRPr="0029472A">
        <w:rPr>
          <w:rStyle w:val="FootnoteReference"/>
          <w:rFonts w:asciiTheme="majorHAnsi" w:hAnsiTheme="majorHAnsi"/>
          <w:sz w:val="16"/>
          <w:szCs w:val="16"/>
        </w:rPr>
        <w:footnoteRef/>
      </w:r>
      <w:r w:rsidRPr="0029472A">
        <w:rPr>
          <w:rFonts w:asciiTheme="majorHAnsi" w:hAnsiTheme="majorHAnsi"/>
          <w:sz w:val="16"/>
          <w:szCs w:val="16"/>
          <w:lang w:val="pt-BR"/>
        </w:rPr>
        <w:t xml:space="preserve"> Similarmente: CIDH, </w:t>
      </w:r>
      <w:hyperlink r:id="rId2" w:history="1">
        <w:r w:rsidRPr="0029472A">
          <w:rPr>
            <w:rStyle w:val="Hyperlink"/>
            <w:rFonts w:asciiTheme="majorHAnsi" w:hAnsiTheme="majorHAnsi"/>
            <w:sz w:val="16"/>
            <w:szCs w:val="16"/>
            <w:u w:val="none"/>
            <w:lang w:val="pt-BR"/>
          </w:rPr>
          <w:t xml:space="preserve">Informe No. 56/19, Caso 13.392. </w:t>
        </w:r>
        <w:r w:rsidRPr="0029472A">
          <w:rPr>
            <w:rStyle w:val="Hyperlink"/>
            <w:rFonts w:asciiTheme="majorHAnsi" w:hAnsiTheme="majorHAnsi"/>
            <w:sz w:val="16"/>
            <w:szCs w:val="16"/>
            <w:u w:val="none"/>
            <w:lang w:val="es-ES"/>
          </w:rPr>
          <w:t>Admisibilidad y Fondo. Familia</w:t>
        </w:r>
      </w:hyperlink>
      <w:r w:rsidRPr="0029472A">
        <w:rPr>
          <w:rFonts w:asciiTheme="majorHAnsi" w:hAnsiTheme="majorHAnsi"/>
          <w:sz w:val="16"/>
          <w:szCs w:val="16"/>
          <w:lang w:val="es-ES"/>
        </w:rPr>
        <w:t xml:space="preserve"> Julien - Grisonas. Argentina. 4 de mayo de 2019, </w:t>
      </w:r>
      <w:r w:rsidR="008D0E23" w:rsidRPr="0029472A">
        <w:rPr>
          <w:rFonts w:asciiTheme="majorHAnsi" w:hAnsiTheme="majorHAnsi"/>
          <w:sz w:val="16"/>
          <w:szCs w:val="16"/>
          <w:lang w:val="es-ES"/>
        </w:rPr>
        <w:t xml:space="preserve">párrafo </w:t>
      </w:r>
      <w:r w:rsidRPr="0029472A">
        <w:rPr>
          <w:rFonts w:asciiTheme="majorHAnsi" w:hAnsiTheme="majorHAnsi"/>
          <w:sz w:val="16"/>
          <w:szCs w:val="16"/>
          <w:lang w:val="es-ES"/>
        </w:rPr>
        <w:t xml:space="preserve">30; </w:t>
      </w:r>
      <w:r w:rsidR="00C425D5" w:rsidRPr="0029472A">
        <w:rPr>
          <w:rFonts w:asciiTheme="majorHAnsi" w:hAnsiTheme="majorHAnsi"/>
          <w:sz w:val="16"/>
          <w:szCs w:val="16"/>
          <w:lang w:val="es-ES"/>
        </w:rPr>
        <w:t xml:space="preserve">CIDH, Informe No. 70/19. Petición 858-09. Admisibilidad. Luiz José da Cunha “Crioulo” y familia. Brasil. 5 de mayo de 2019, párrafo 13; </w:t>
      </w:r>
      <w:r w:rsidRPr="0029472A">
        <w:rPr>
          <w:rFonts w:asciiTheme="majorHAnsi" w:hAnsiTheme="majorHAnsi"/>
          <w:sz w:val="16"/>
          <w:szCs w:val="16"/>
          <w:lang w:val="es-ES"/>
        </w:rPr>
        <w:t xml:space="preserve">CIDH, </w:t>
      </w:r>
      <w:hyperlink r:id="rId3" w:history="1">
        <w:r w:rsidRPr="0029472A">
          <w:rPr>
            <w:rStyle w:val="Hyperlink"/>
            <w:rFonts w:asciiTheme="majorHAnsi" w:hAnsiTheme="majorHAnsi"/>
            <w:sz w:val="16"/>
            <w:szCs w:val="16"/>
            <w:u w:val="none"/>
            <w:lang w:val="es-ES"/>
          </w:rPr>
          <w:t>Informe No. 80/12, Petición 859-09. Admisibilidad. Vladimir Herzog y otros</w:t>
        </w:r>
      </w:hyperlink>
      <w:r w:rsidRPr="0029472A">
        <w:rPr>
          <w:rFonts w:asciiTheme="majorHAnsi" w:hAnsiTheme="majorHAnsi"/>
          <w:sz w:val="16"/>
          <w:szCs w:val="16"/>
          <w:lang w:val="es-ES"/>
        </w:rPr>
        <w:t>. Brasil. 8 de noviembre de 2012, caracterización de los hechos alegados y conclusión (sobre vulneraciones a la vida e integridad, no investigadas y sancionadas, cometidas por militares antes de la vigencia de la Convención)</w:t>
      </w:r>
      <w:r w:rsidR="007D7D84" w:rsidRPr="0029472A">
        <w:rPr>
          <w:rFonts w:asciiTheme="majorHAnsi" w:hAnsiTheme="majorHAnsi"/>
          <w:sz w:val="16"/>
          <w:szCs w:val="16"/>
          <w:lang w:val="es-ES"/>
        </w:rPr>
        <w:t>; CIDH, Informe 19/05, Petición 54-04. Admisibilidad. Valdemir Quispialaya Vilcapoma. Perú. 25 de febrero de 2005 (sobre la tortura de una persona mientras prestaba su servicio militar y la falta de debida investigación y punición de los hechos).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20CE7"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AD2633"/>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2926C0E"/>
    <w:multiLevelType w:val="hybridMultilevel"/>
    <w:tmpl w:val="E2CC2BC6"/>
    <w:lvl w:ilvl="0" w:tplc="9B269E3C">
      <w:numFmt w:val="bullet"/>
      <w:lvlText w:val="-"/>
      <w:lvlJc w:val="left"/>
      <w:pPr>
        <w:ind w:left="720" w:hanging="360"/>
      </w:pPr>
      <w:rPr>
        <w:rFonts w:ascii="Arial" w:eastAsia="Arial Unicode MS"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8BA0FEE"/>
    <w:multiLevelType w:val="hybridMultilevel"/>
    <w:tmpl w:val="91B2E1F2"/>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0CA6D05"/>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3"/>
  </w:num>
  <w:num w:numId="2" w16cid:durableId="1815367427">
    <w:abstractNumId w:val="5"/>
  </w:num>
  <w:num w:numId="3" w16cid:durableId="1663389590">
    <w:abstractNumId w:val="54"/>
  </w:num>
  <w:num w:numId="4" w16cid:durableId="82342866">
    <w:abstractNumId w:val="20"/>
  </w:num>
  <w:num w:numId="5" w16cid:durableId="1599026591">
    <w:abstractNumId w:val="47"/>
  </w:num>
  <w:num w:numId="6" w16cid:durableId="1795514418">
    <w:abstractNumId w:val="25"/>
  </w:num>
  <w:num w:numId="7" w16cid:durableId="396254">
    <w:abstractNumId w:val="6"/>
  </w:num>
  <w:num w:numId="8" w16cid:durableId="1302268258">
    <w:abstractNumId w:val="16"/>
  </w:num>
  <w:num w:numId="9" w16cid:durableId="669480169">
    <w:abstractNumId w:val="41"/>
  </w:num>
  <w:num w:numId="10" w16cid:durableId="275260533">
    <w:abstractNumId w:val="0"/>
  </w:num>
  <w:num w:numId="11" w16cid:durableId="866258526">
    <w:abstractNumId w:val="35"/>
  </w:num>
  <w:num w:numId="12" w16cid:durableId="171335598">
    <w:abstractNumId w:val="36"/>
  </w:num>
  <w:num w:numId="13" w16cid:durableId="752550714">
    <w:abstractNumId w:val="43"/>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4"/>
  </w:num>
  <w:num w:numId="31" w16cid:durableId="2001157105">
    <w:abstractNumId w:val="26"/>
  </w:num>
  <w:num w:numId="32" w16cid:durableId="1680884154">
    <w:abstractNumId w:val="27"/>
  </w:num>
  <w:num w:numId="33" w16cid:durableId="1152284582">
    <w:abstractNumId w:val="29"/>
  </w:num>
  <w:num w:numId="34" w16cid:durableId="676424681">
    <w:abstractNumId w:val="30"/>
  </w:num>
  <w:num w:numId="35" w16cid:durableId="894270057">
    <w:abstractNumId w:val="31"/>
  </w:num>
  <w:num w:numId="36" w16cid:durableId="988172318">
    <w:abstractNumId w:val="32"/>
  </w:num>
  <w:num w:numId="37" w16cid:durableId="550464103">
    <w:abstractNumId w:val="33"/>
  </w:num>
  <w:num w:numId="38" w16cid:durableId="923027620">
    <w:abstractNumId w:val="34"/>
  </w:num>
  <w:num w:numId="39" w16cid:durableId="257376164">
    <w:abstractNumId w:val="37"/>
  </w:num>
  <w:num w:numId="40" w16cid:durableId="1595551088">
    <w:abstractNumId w:val="38"/>
  </w:num>
  <w:num w:numId="41" w16cid:durableId="1901792458">
    <w:abstractNumId w:val="46"/>
  </w:num>
  <w:num w:numId="42" w16cid:durableId="2066679574">
    <w:abstractNumId w:val="48"/>
  </w:num>
  <w:num w:numId="43" w16cid:durableId="1855076713">
    <w:abstractNumId w:val="50"/>
  </w:num>
  <w:num w:numId="44" w16cid:durableId="101000019">
    <w:abstractNumId w:val="52"/>
  </w:num>
  <w:num w:numId="45" w16cid:durableId="1260337889">
    <w:abstractNumId w:val="53"/>
  </w:num>
  <w:num w:numId="46" w16cid:durableId="1866938194">
    <w:abstractNumId w:val="55"/>
  </w:num>
  <w:num w:numId="47" w16cid:durableId="1627587656">
    <w:abstractNumId w:val="56"/>
  </w:num>
  <w:num w:numId="48" w16cid:durableId="43716973">
    <w:abstractNumId w:val="57"/>
  </w:num>
  <w:num w:numId="49" w16cid:durableId="795217068">
    <w:abstractNumId w:val="59"/>
  </w:num>
  <w:num w:numId="50" w16cid:durableId="1981417420">
    <w:abstractNumId w:val="60"/>
  </w:num>
  <w:num w:numId="51" w16cid:durableId="1472405985">
    <w:abstractNumId w:val="19"/>
  </w:num>
  <w:num w:numId="52" w16cid:durableId="1310091464">
    <w:abstractNumId w:val="39"/>
  </w:num>
  <w:num w:numId="53" w16cid:durableId="88084230">
    <w:abstractNumId w:val="51"/>
  </w:num>
  <w:num w:numId="54" w16cid:durableId="1659263601">
    <w:abstractNumId w:val="44"/>
  </w:num>
  <w:num w:numId="55" w16cid:durableId="665792024">
    <w:abstractNumId w:val="58"/>
  </w:num>
  <w:num w:numId="56" w16cid:durableId="1840730130">
    <w:abstractNumId w:val="49"/>
  </w:num>
  <w:num w:numId="57" w16cid:durableId="1157575197">
    <w:abstractNumId w:val="42"/>
  </w:num>
  <w:num w:numId="58" w16cid:durableId="843322360">
    <w:abstractNumId w:val="28"/>
  </w:num>
  <w:num w:numId="59" w16cid:durableId="82531147">
    <w:abstractNumId w:val="4"/>
  </w:num>
  <w:num w:numId="60" w16cid:durableId="740255080">
    <w:abstractNumId w:val="45"/>
  </w:num>
  <w:num w:numId="61" w16cid:durableId="251935502">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237"/>
    <w:rsid w:val="00006E1F"/>
    <w:rsid w:val="000070D7"/>
    <w:rsid w:val="0000787B"/>
    <w:rsid w:val="00007E23"/>
    <w:rsid w:val="00011D46"/>
    <w:rsid w:val="00014DAB"/>
    <w:rsid w:val="0001788C"/>
    <w:rsid w:val="000204BF"/>
    <w:rsid w:val="0002124D"/>
    <w:rsid w:val="00031F24"/>
    <w:rsid w:val="000324DF"/>
    <w:rsid w:val="000337EF"/>
    <w:rsid w:val="00034FAD"/>
    <w:rsid w:val="00036755"/>
    <w:rsid w:val="00040C3A"/>
    <w:rsid w:val="000419AD"/>
    <w:rsid w:val="0004281E"/>
    <w:rsid w:val="000433C9"/>
    <w:rsid w:val="000444E7"/>
    <w:rsid w:val="00044898"/>
    <w:rsid w:val="000603C5"/>
    <w:rsid w:val="0006788D"/>
    <w:rsid w:val="000700D1"/>
    <w:rsid w:val="00071174"/>
    <w:rsid w:val="000716C5"/>
    <w:rsid w:val="00074164"/>
    <w:rsid w:val="00075E23"/>
    <w:rsid w:val="00082AB6"/>
    <w:rsid w:val="00091A21"/>
    <w:rsid w:val="0009344A"/>
    <w:rsid w:val="0009368F"/>
    <w:rsid w:val="000970F4"/>
    <w:rsid w:val="000A0D88"/>
    <w:rsid w:val="000A1783"/>
    <w:rsid w:val="000A384A"/>
    <w:rsid w:val="000A392E"/>
    <w:rsid w:val="000A575F"/>
    <w:rsid w:val="000A5C5D"/>
    <w:rsid w:val="000B66F4"/>
    <w:rsid w:val="000B7730"/>
    <w:rsid w:val="000C620F"/>
    <w:rsid w:val="000C7473"/>
    <w:rsid w:val="000D05CB"/>
    <w:rsid w:val="000D10DB"/>
    <w:rsid w:val="000D3F22"/>
    <w:rsid w:val="000E12F0"/>
    <w:rsid w:val="000E3DCC"/>
    <w:rsid w:val="000E5C34"/>
    <w:rsid w:val="000E5EB5"/>
    <w:rsid w:val="000F35ED"/>
    <w:rsid w:val="000F5B3C"/>
    <w:rsid w:val="000F5E60"/>
    <w:rsid w:val="000F75B4"/>
    <w:rsid w:val="0010550C"/>
    <w:rsid w:val="00107131"/>
    <w:rsid w:val="0010736F"/>
    <w:rsid w:val="00110148"/>
    <w:rsid w:val="00113F73"/>
    <w:rsid w:val="00117739"/>
    <w:rsid w:val="00120FB0"/>
    <w:rsid w:val="00121CC2"/>
    <w:rsid w:val="00124156"/>
    <w:rsid w:val="001253BC"/>
    <w:rsid w:val="00131425"/>
    <w:rsid w:val="00131B8B"/>
    <w:rsid w:val="001327C4"/>
    <w:rsid w:val="00132D97"/>
    <w:rsid w:val="00133246"/>
    <w:rsid w:val="00133EE5"/>
    <w:rsid w:val="0013676D"/>
    <w:rsid w:val="00142498"/>
    <w:rsid w:val="001462A8"/>
    <w:rsid w:val="00147C4A"/>
    <w:rsid w:val="00153394"/>
    <w:rsid w:val="001631EA"/>
    <w:rsid w:val="00163853"/>
    <w:rsid w:val="00163F99"/>
    <w:rsid w:val="00165562"/>
    <w:rsid w:val="00167861"/>
    <w:rsid w:val="00167A34"/>
    <w:rsid w:val="00172976"/>
    <w:rsid w:val="00184161"/>
    <w:rsid w:val="00185BD4"/>
    <w:rsid w:val="00186127"/>
    <w:rsid w:val="00194D29"/>
    <w:rsid w:val="00196197"/>
    <w:rsid w:val="001A02F9"/>
    <w:rsid w:val="001A048D"/>
    <w:rsid w:val="001A520D"/>
    <w:rsid w:val="001A7870"/>
    <w:rsid w:val="001A7D7B"/>
    <w:rsid w:val="001B3A00"/>
    <w:rsid w:val="001B6318"/>
    <w:rsid w:val="001C1B41"/>
    <w:rsid w:val="001C6210"/>
    <w:rsid w:val="001C689E"/>
    <w:rsid w:val="001D21C7"/>
    <w:rsid w:val="001D65EF"/>
    <w:rsid w:val="001E1141"/>
    <w:rsid w:val="001E142D"/>
    <w:rsid w:val="001E15E7"/>
    <w:rsid w:val="001E2FC0"/>
    <w:rsid w:val="001E49E7"/>
    <w:rsid w:val="001F7201"/>
    <w:rsid w:val="001F7545"/>
    <w:rsid w:val="0020080E"/>
    <w:rsid w:val="0020233B"/>
    <w:rsid w:val="002101E9"/>
    <w:rsid w:val="00223A29"/>
    <w:rsid w:val="002250A3"/>
    <w:rsid w:val="002261FF"/>
    <w:rsid w:val="0023089A"/>
    <w:rsid w:val="00231957"/>
    <w:rsid w:val="00234F71"/>
    <w:rsid w:val="00235217"/>
    <w:rsid w:val="00237C68"/>
    <w:rsid w:val="00246D1F"/>
    <w:rsid w:val="00246E7B"/>
    <w:rsid w:val="00247403"/>
    <w:rsid w:val="00247542"/>
    <w:rsid w:val="00253CAC"/>
    <w:rsid w:val="00253F0D"/>
    <w:rsid w:val="00254D12"/>
    <w:rsid w:val="00256728"/>
    <w:rsid w:val="00265EC5"/>
    <w:rsid w:val="00266B61"/>
    <w:rsid w:val="0026712A"/>
    <w:rsid w:val="002704DB"/>
    <w:rsid w:val="002745AA"/>
    <w:rsid w:val="00274DE5"/>
    <w:rsid w:val="00275F20"/>
    <w:rsid w:val="00277013"/>
    <w:rsid w:val="00277D4A"/>
    <w:rsid w:val="00280B37"/>
    <w:rsid w:val="002840C1"/>
    <w:rsid w:val="002919DB"/>
    <w:rsid w:val="00293007"/>
    <w:rsid w:val="0029472A"/>
    <w:rsid w:val="00296BAD"/>
    <w:rsid w:val="002A0251"/>
    <w:rsid w:val="002A0385"/>
    <w:rsid w:val="002A0AAE"/>
    <w:rsid w:val="002A384C"/>
    <w:rsid w:val="002A5449"/>
    <w:rsid w:val="002A5820"/>
    <w:rsid w:val="002A5F30"/>
    <w:rsid w:val="002A6776"/>
    <w:rsid w:val="002B08D6"/>
    <w:rsid w:val="002B1533"/>
    <w:rsid w:val="002B4BD2"/>
    <w:rsid w:val="002B5907"/>
    <w:rsid w:val="002C0675"/>
    <w:rsid w:val="002C6775"/>
    <w:rsid w:val="002C748B"/>
    <w:rsid w:val="002D2B26"/>
    <w:rsid w:val="002D7EA2"/>
    <w:rsid w:val="002E0437"/>
    <w:rsid w:val="002E187C"/>
    <w:rsid w:val="002E25A8"/>
    <w:rsid w:val="002E633A"/>
    <w:rsid w:val="002E7BBE"/>
    <w:rsid w:val="002F1FD5"/>
    <w:rsid w:val="002F3F8C"/>
    <w:rsid w:val="003009E4"/>
    <w:rsid w:val="003018D1"/>
    <w:rsid w:val="00302733"/>
    <w:rsid w:val="00305835"/>
    <w:rsid w:val="00306F33"/>
    <w:rsid w:val="00314078"/>
    <w:rsid w:val="0031535D"/>
    <w:rsid w:val="003160DA"/>
    <w:rsid w:val="00317845"/>
    <w:rsid w:val="003239B8"/>
    <w:rsid w:val="00325005"/>
    <w:rsid w:val="0033169F"/>
    <w:rsid w:val="003346A0"/>
    <w:rsid w:val="00337BED"/>
    <w:rsid w:val="00343D10"/>
    <w:rsid w:val="003447F5"/>
    <w:rsid w:val="00344977"/>
    <w:rsid w:val="003459D0"/>
    <w:rsid w:val="00345E20"/>
    <w:rsid w:val="00346C95"/>
    <w:rsid w:val="00347F0D"/>
    <w:rsid w:val="003507E0"/>
    <w:rsid w:val="003517A8"/>
    <w:rsid w:val="00351A27"/>
    <w:rsid w:val="00356185"/>
    <w:rsid w:val="0035662F"/>
    <w:rsid w:val="003574EF"/>
    <w:rsid w:val="00360214"/>
    <w:rsid w:val="00360380"/>
    <w:rsid w:val="00361BED"/>
    <w:rsid w:val="00364723"/>
    <w:rsid w:val="00364730"/>
    <w:rsid w:val="003703C1"/>
    <w:rsid w:val="003733FA"/>
    <w:rsid w:val="0037519E"/>
    <w:rsid w:val="0037658A"/>
    <w:rsid w:val="00380295"/>
    <w:rsid w:val="00380AC4"/>
    <w:rsid w:val="00382430"/>
    <w:rsid w:val="00386CF0"/>
    <w:rsid w:val="00392AED"/>
    <w:rsid w:val="00392C96"/>
    <w:rsid w:val="00394CAE"/>
    <w:rsid w:val="0039508C"/>
    <w:rsid w:val="00395B29"/>
    <w:rsid w:val="003970A9"/>
    <w:rsid w:val="00397B79"/>
    <w:rsid w:val="003A11F6"/>
    <w:rsid w:val="003A7EE2"/>
    <w:rsid w:val="003B1D34"/>
    <w:rsid w:val="003B1F42"/>
    <w:rsid w:val="003B70FB"/>
    <w:rsid w:val="003C2F78"/>
    <w:rsid w:val="003C676B"/>
    <w:rsid w:val="003C7303"/>
    <w:rsid w:val="003C7B4D"/>
    <w:rsid w:val="003D0D6D"/>
    <w:rsid w:val="003D3036"/>
    <w:rsid w:val="003D3BC2"/>
    <w:rsid w:val="003D67A9"/>
    <w:rsid w:val="003D69AA"/>
    <w:rsid w:val="003E51E9"/>
    <w:rsid w:val="003E6CA1"/>
    <w:rsid w:val="003F5154"/>
    <w:rsid w:val="003F6767"/>
    <w:rsid w:val="00405184"/>
    <w:rsid w:val="00405F9C"/>
    <w:rsid w:val="004065A8"/>
    <w:rsid w:val="00407ED9"/>
    <w:rsid w:val="00415101"/>
    <w:rsid w:val="0041564C"/>
    <w:rsid w:val="004165C2"/>
    <w:rsid w:val="004205D0"/>
    <w:rsid w:val="004241A0"/>
    <w:rsid w:val="00424FB5"/>
    <w:rsid w:val="00425133"/>
    <w:rsid w:val="00427B38"/>
    <w:rsid w:val="00427D73"/>
    <w:rsid w:val="00437F28"/>
    <w:rsid w:val="004413DE"/>
    <w:rsid w:val="00441ECB"/>
    <w:rsid w:val="00445193"/>
    <w:rsid w:val="004528E6"/>
    <w:rsid w:val="00454A25"/>
    <w:rsid w:val="0046139B"/>
    <w:rsid w:val="0046238C"/>
    <w:rsid w:val="00462C1B"/>
    <w:rsid w:val="004630BD"/>
    <w:rsid w:val="00467938"/>
    <w:rsid w:val="00467B7E"/>
    <w:rsid w:val="00473BB4"/>
    <w:rsid w:val="00473DE9"/>
    <w:rsid w:val="004748B0"/>
    <w:rsid w:val="00474F44"/>
    <w:rsid w:val="00477592"/>
    <w:rsid w:val="0048501D"/>
    <w:rsid w:val="00486F1C"/>
    <w:rsid w:val="00487435"/>
    <w:rsid w:val="0049419D"/>
    <w:rsid w:val="00495932"/>
    <w:rsid w:val="004977D6"/>
    <w:rsid w:val="004A057B"/>
    <w:rsid w:val="004A3B9A"/>
    <w:rsid w:val="004A48FB"/>
    <w:rsid w:val="004A6A54"/>
    <w:rsid w:val="004B104A"/>
    <w:rsid w:val="004B421C"/>
    <w:rsid w:val="004B62FC"/>
    <w:rsid w:val="004C20D2"/>
    <w:rsid w:val="004C2312"/>
    <w:rsid w:val="004C4B62"/>
    <w:rsid w:val="004C54C9"/>
    <w:rsid w:val="004C7358"/>
    <w:rsid w:val="004D01D5"/>
    <w:rsid w:val="004D109B"/>
    <w:rsid w:val="004D4ABA"/>
    <w:rsid w:val="004D6025"/>
    <w:rsid w:val="004D6F9C"/>
    <w:rsid w:val="004D7DEE"/>
    <w:rsid w:val="004E013A"/>
    <w:rsid w:val="004E2649"/>
    <w:rsid w:val="004E3A90"/>
    <w:rsid w:val="004E4735"/>
    <w:rsid w:val="004F1840"/>
    <w:rsid w:val="004F1B17"/>
    <w:rsid w:val="004F229F"/>
    <w:rsid w:val="004F4509"/>
    <w:rsid w:val="004F626F"/>
    <w:rsid w:val="00501399"/>
    <w:rsid w:val="00502949"/>
    <w:rsid w:val="005047ED"/>
    <w:rsid w:val="00505C71"/>
    <w:rsid w:val="0050633D"/>
    <w:rsid w:val="0050662A"/>
    <w:rsid w:val="00507BC4"/>
    <w:rsid w:val="005128E4"/>
    <w:rsid w:val="005133DB"/>
    <w:rsid w:val="00514504"/>
    <w:rsid w:val="00521E1F"/>
    <w:rsid w:val="00522E0C"/>
    <w:rsid w:val="00525560"/>
    <w:rsid w:val="005369A2"/>
    <w:rsid w:val="00542D19"/>
    <w:rsid w:val="00544BF2"/>
    <w:rsid w:val="00544C49"/>
    <w:rsid w:val="005516A1"/>
    <w:rsid w:val="005559EF"/>
    <w:rsid w:val="00560825"/>
    <w:rsid w:val="005627DD"/>
    <w:rsid w:val="00563557"/>
    <w:rsid w:val="00571271"/>
    <w:rsid w:val="0057402A"/>
    <w:rsid w:val="00574B03"/>
    <w:rsid w:val="005771D0"/>
    <w:rsid w:val="005855F5"/>
    <w:rsid w:val="00586648"/>
    <w:rsid w:val="005866D3"/>
    <w:rsid w:val="0059191A"/>
    <w:rsid w:val="005921FF"/>
    <w:rsid w:val="005A1F42"/>
    <w:rsid w:val="005A24ED"/>
    <w:rsid w:val="005A31B5"/>
    <w:rsid w:val="005A350A"/>
    <w:rsid w:val="005A5BDE"/>
    <w:rsid w:val="005A6D0E"/>
    <w:rsid w:val="005B039F"/>
    <w:rsid w:val="005B0E27"/>
    <w:rsid w:val="005B3279"/>
    <w:rsid w:val="005B52B0"/>
    <w:rsid w:val="005B6806"/>
    <w:rsid w:val="005B6936"/>
    <w:rsid w:val="005C4225"/>
    <w:rsid w:val="005C5C59"/>
    <w:rsid w:val="005C7B65"/>
    <w:rsid w:val="005D31AC"/>
    <w:rsid w:val="005E2059"/>
    <w:rsid w:val="005E7173"/>
    <w:rsid w:val="005F0DAD"/>
    <w:rsid w:val="005F0F33"/>
    <w:rsid w:val="00600C8E"/>
    <w:rsid w:val="00600DEB"/>
    <w:rsid w:val="00604B65"/>
    <w:rsid w:val="00610CA2"/>
    <w:rsid w:val="00613D55"/>
    <w:rsid w:val="006142A4"/>
    <w:rsid w:val="00614A9D"/>
    <w:rsid w:val="00614FD6"/>
    <w:rsid w:val="00621CA4"/>
    <w:rsid w:val="0062464A"/>
    <w:rsid w:val="00627562"/>
    <w:rsid w:val="00627C9F"/>
    <w:rsid w:val="006311E9"/>
    <w:rsid w:val="00632354"/>
    <w:rsid w:val="00634973"/>
    <w:rsid w:val="00635421"/>
    <w:rsid w:val="00635B94"/>
    <w:rsid w:val="00636A36"/>
    <w:rsid w:val="00642751"/>
    <w:rsid w:val="00642810"/>
    <w:rsid w:val="00652333"/>
    <w:rsid w:val="00654384"/>
    <w:rsid w:val="006554DA"/>
    <w:rsid w:val="0065616B"/>
    <w:rsid w:val="00662F04"/>
    <w:rsid w:val="00663CC3"/>
    <w:rsid w:val="00670572"/>
    <w:rsid w:val="00670C49"/>
    <w:rsid w:val="006746F8"/>
    <w:rsid w:val="0067774B"/>
    <w:rsid w:val="0068009E"/>
    <w:rsid w:val="006822E1"/>
    <w:rsid w:val="0068720E"/>
    <w:rsid w:val="00687557"/>
    <w:rsid w:val="00691EB6"/>
    <w:rsid w:val="00692219"/>
    <w:rsid w:val="00693BB8"/>
    <w:rsid w:val="00693EB9"/>
    <w:rsid w:val="00695F2F"/>
    <w:rsid w:val="006A1238"/>
    <w:rsid w:val="006A17D2"/>
    <w:rsid w:val="006A4068"/>
    <w:rsid w:val="006A6677"/>
    <w:rsid w:val="006A73E6"/>
    <w:rsid w:val="006B178C"/>
    <w:rsid w:val="006B2D5C"/>
    <w:rsid w:val="006C0ECF"/>
    <w:rsid w:val="006C3416"/>
    <w:rsid w:val="006C4EB1"/>
    <w:rsid w:val="006C67BF"/>
    <w:rsid w:val="006D0FA8"/>
    <w:rsid w:val="006D50CC"/>
    <w:rsid w:val="006E0166"/>
    <w:rsid w:val="006E199E"/>
    <w:rsid w:val="006E2FFB"/>
    <w:rsid w:val="006E3BAD"/>
    <w:rsid w:val="006E55E1"/>
    <w:rsid w:val="006E677E"/>
    <w:rsid w:val="006E7B34"/>
    <w:rsid w:val="006F1FCF"/>
    <w:rsid w:val="006F5801"/>
    <w:rsid w:val="00700716"/>
    <w:rsid w:val="00700C03"/>
    <w:rsid w:val="00700C4F"/>
    <w:rsid w:val="00704306"/>
    <w:rsid w:val="0070697F"/>
    <w:rsid w:val="007103C4"/>
    <w:rsid w:val="0071078A"/>
    <w:rsid w:val="0071712E"/>
    <w:rsid w:val="00720CCB"/>
    <w:rsid w:val="0072199C"/>
    <w:rsid w:val="00722C9F"/>
    <w:rsid w:val="00723817"/>
    <w:rsid w:val="007253B8"/>
    <w:rsid w:val="00726F90"/>
    <w:rsid w:val="00735D99"/>
    <w:rsid w:val="0073741F"/>
    <w:rsid w:val="00741970"/>
    <w:rsid w:val="007431A2"/>
    <w:rsid w:val="007440D3"/>
    <w:rsid w:val="00745C84"/>
    <w:rsid w:val="00751952"/>
    <w:rsid w:val="00751E29"/>
    <w:rsid w:val="007648A7"/>
    <w:rsid w:val="00765FBC"/>
    <w:rsid w:val="0076643F"/>
    <w:rsid w:val="007763E7"/>
    <w:rsid w:val="0077698D"/>
    <w:rsid w:val="00777F63"/>
    <w:rsid w:val="00780730"/>
    <w:rsid w:val="00784185"/>
    <w:rsid w:val="00785E7E"/>
    <w:rsid w:val="007921FD"/>
    <w:rsid w:val="00792A05"/>
    <w:rsid w:val="00793F1C"/>
    <w:rsid w:val="00794C85"/>
    <w:rsid w:val="00794F46"/>
    <w:rsid w:val="00796714"/>
    <w:rsid w:val="00797621"/>
    <w:rsid w:val="007A5817"/>
    <w:rsid w:val="007B05C4"/>
    <w:rsid w:val="007B1823"/>
    <w:rsid w:val="007B60E9"/>
    <w:rsid w:val="007B6595"/>
    <w:rsid w:val="007B6CC3"/>
    <w:rsid w:val="007B71FA"/>
    <w:rsid w:val="007B76D3"/>
    <w:rsid w:val="007C282B"/>
    <w:rsid w:val="007C3334"/>
    <w:rsid w:val="007D295A"/>
    <w:rsid w:val="007D2B98"/>
    <w:rsid w:val="007D453A"/>
    <w:rsid w:val="007D5174"/>
    <w:rsid w:val="007D7D84"/>
    <w:rsid w:val="007E21BC"/>
    <w:rsid w:val="007E5C97"/>
    <w:rsid w:val="007E5E8D"/>
    <w:rsid w:val="007E6888"/>
    <w:rsid w:val="007E7C82"/>
    <w:rsid w:val="007F2AA1"/>
    <w:rsid w:val="007F588D"/>
    <w:rsid w:val="00803F1C"/>
    <w:rsid w:val="00804539"/>
    <w:rsid w:val="00805D5C"/>
    <w:rsid w:val="0080600E"/>
    <w:rsid w:val="0080671D"/>
    <w:rsid w:val="00814688"/>
    <w:rsid w:val="00814DFD"/>
    <w:rsid w:val="008150FD"/>
    <w:rsid w:val="00817612"/>
    <w:rsid w:val="00820512"/>
    <w:rsid w:val="00826389"/>
    <w:rsid w:val="0083298E"/>
    <w:rsid w:val="008338A4"/>
    <w:rsid w:val="00834D49"/>
    <w:rsid w:val="0083544D"/>
    <w:rsid w:val="00836C71"/>
    <w:rsid w:val="00837180"/>
    <w:rsid w:val="00837B0E"/>
    <w:rsid w:val="00837C45"/>
    <w:rsid w:val="00841CD0"/>
    <w:rsid w:val="00844730"/>
    <w:rsid w:val="00844A9A"/>
    <w:rsid w:val="008452B2"/>
    <w:rsid w:val="008457C2"/>
    <w:rsid w:val="00853667"/>
    <w:rsid w:val="0085371D"/>
    <w:rsid w:val="00857A82"/>
    <w:rsid w:val="008667F8"/>
    <w:rsid w:val="00872CBE"/>
    <w:rsid w:val="00873836"/>
    <w:rsid w:val="00885737"/>
    <w:rsid w:val="00886BFA"/>
    <w:rsid w:val="00890650"/>
    <w:rsid w:val="008944DC"/>
    <w:rsid w:val="00895734"/>
    <w:rsid w:val="00895F48"/>
    <w:rsid w:val="00897E12"/>
    <w:rsid w:val="008A30B6"/>
    <w:rsid w:val="008A7E0F"/>
    <w:rsid w:val="008B12F5"/>
    <w:rsid w:val="008B54B6"/>
    <w:rsid w:val="008C5E2D"/>
    <w:rsid w:val="008D0E23"/>
    <w:rsid w:val="008D16A6"/>
    <w:rsid w:val="008D7117"/>
    <w:rsid w:val="008D768D"/>
    <w:rsid w:val="008E2546"/>
    <w:rsid w:val="008E3759"/>
    <w:rsid w:val="008E3BFE"/>
    <w:rsid w:val="008E48AB"/>
    <w:rsid w:val="008E588F"/>
    <w:rsid w:val="008F1912"/>
    <w:rsid w:val="008F288F"/>
    <w:rsid w:val="008F607C"/>
    <w:rsid w:val="0090270B"/>
    <w:rsid w:val="009041DC"/>
    <w:rsid w:val="0091191E"/>
    <w:rsid w:val="0091291A"/>
    <w:rsid w:val="00917B5A"/>
    <w:rsid w:val="00920A58"/>
    <w:rsid w:val="00920A59"/>
    <w:rsid w:val="00920A8C"/>
    <w:rsid w:val="00927786"/>
    <w:rsid w:val="0093065E"/>
    <w:rsid w:val="00934A2C"/>
    <w:rsid w:val="0094161A"/>
    <w:rsid w:val="00941ADC"/>
    <w:rsid w:val="0094476D"/>
    <w:rsid w:val="00944C3A"/>
    <w:rsid w:val="00947229"/>
    <w:rsid w:val="0095059B"/>
    <w:rsid w:val="00957C0E"/>
    <w:rsid w:val="00960A70"/>
    <w:rsid w:val="0096653E"/>
    <w:rsid w:val="00966973"/>
    <w:rsid w:val="0096706E"/>
    <w:rsid w:val="009673B6"/>
    <w:rsid w:val="0096772C"/>
    <w:rsid w:val="00974312"/>
    <w:rsid w:val="00974491"/>
    <w:rsid w:val="00975C4E"/>
    <w:rsid w:val="00981FBA"/>
    <w:rsid w:val="00982364"/>
    <w:rsid w:val="00985520"/>
    <w:rsid w:val="0099076E"/>
    <w:rsid w:val="00993CAA"/>
    <w:rsid w:val="009951EE"/>
    <w:rsid w:val="00997BC5"/>
    <w:rsid w:val="009A1AF0"/>
    <w:rsid w:val="009A4F41"/>
    <w:rsid w:val="009A7844"/>
    <w:rsid w:val="009B03E1"/>
    <w:rsid w:val="009B1678"/>
    <w:rsid w:val="009B381B"/>
    <w:rsid w:val="009B5220"/>
    <w:rsid w:val="009B5839"/>
    <w:rsid w:val="009B6A8A"/>
    <w:rsid w:val="009B6EE6"/>
    <w:rsid w:val="009C32D9"/>
    <w:rsid w:val="009C3EC5"/>
    <w:rsid w:val="009C760B"/>
    <w:rsid w:val="009D1753"/>
    <w:rsid w:val="009D2D7C"/>
    <w:rsid w:val="009D5B48"/>
    <w:rsid w:val="009D7611"/>
    <w:rsid w:val="009E0009"/>
    <w:rsid w:val="009E0B61"/>
    <w:rsid w:val="009E39FC"/>
    <w:rsid w:val="009E481A"/>
    <w:rsid w:val="009E53DE"/>
    <w:rsid w:val="009E682F"/>
    <w:rsid w:val="009E7F46"/>
    <w:rsid w:val="00A004BB"/>
    <w:rsid w:val="00A01BED"/>
    <w:rsid w:val="00A05B01"/>
    <w:rsid w:val="00A11212"/>
    <w:rsid w:val="00A11E44"/>
    <w:rsid w:val="00A2438F"/>
    <w:rsid w:val="00A24F3B"/>
    <w:rsid w:val="00A30100"/>
    <w:rsid w:val="00A328B3"/>
    <w:rsid w:val="00A33C5E"/>
    <w:rsid w:val="00A34797"/>
    <w:rsid w:val="00A365F4"/>
    <w:rsid w:val="00A36FDA"/>
    <w:rsid w:val="00A43154"/>
    <w:rsid w:val="00A47319"/>
    <w:rsid w:val="00A50FCF"/>
    <w:rsid w:val="00A528D1"/>
    <w:rsid w:val="00A60F34"/>
    <w:rsid w:val="00A610CD"/>
    <w:rsid w:val="00A62573"/>
    <w:rsid w:val="00A678DC"/>
    <w:rsid w:val="00A67FF8"/>
    <w:rsid w:val="00A71745"/>
    <w:rsid w:val="00A72E93"/>
    <w:rsid w:val="00A73E53"/>
    <w:rsid w:val="00A7532B"/>
    <w:rsid w:val="00A758AA"/>
    <w:rsid w:val="00A879E9"/>
    <w:rsid w:val="00A90050"/>
    <w:rsid w:val="00A934E3"/>
    <w:rsid w:val="00AA09A2"/>
    <w:rsid w:val="00AA2D5C"/>
    <w:rsid w:val="00AA7996"/>
    <w:rsid w:val="00AB3141"/>
    <w:rsid w:val="00AB4DE6"/>
    <w:rsid w:val="00AB7498"/>
    <w:rsid w:val="00AC19CB"/>
    <w:rsid w:val="00AC4711"/>
    <w:rsid w:val="00AD05EC"/>
    <w:rsid w:val="00AD174D"/>
    <w:rsid w:val="00AD232F"/>
    <w:rsid w:val="00AD2609"/>
    <w:rsid w:val="00AE236A"/>
    <w:rsid w:val="00AE248D"/>
    <w:rsid w:val="00AE3683"/>
    <w:rsid w:val="00AE5488"/>
    <w:rsid w:val="00AE6800"/>
    <w:rsid w:val="00AE6F91"/>
    <w:rsid w:val="00AF1AF9"/>
    <w:rsid w:val="00AF1F0A"/>
    <w:rsid w:val="00AF3779"/>
    <w:rsid w:val="00AF4EFC"/>
    <w:rsid w:val="00AF5571"/>
    <w:rsid w:val="00B0247A"/>
    <w:rsid w:val="00B07341"/>
    <w:rsid w:val="00B079D3"/>
    <w:rsid w:val="00B12E5E"/>
    <w:rsid w:val="00B21119"/>
    <w:rsid w:val="00B24298"/>
    <w:rsid w:val="00B30539"/>
    <w:rsid w:val="00B314DB"/>
    <w:rsid w:val="00B32801"/>
    <w:rsid w:val="00B34BF0"/>
    <w:rsid w:val="00B35BFA"/>
    <w:rsid w:val="00B361F2"/>
    <w:rsid w:val="00B37097"/>
    <w:rsid w:val="00B3718B"/>
    <w:rsid w:val="00B3745F"/>
    <w:rsid w:val="00B374C3"/>
    <w:rsid w:val="00B4353B"/>
    <w:rsid w:val="00B44292"/>
    <w:rsid w:val="00B4632A"/>
    <w:rsid w:val="00B47774"/>
    <w:rsid w:val="00B530F1"/>
    <w:rsid w:val="00B53A49"/>
    <w:rsid w:val="00B53EAF"/>
    <w:rsid w:val="00B558DA"/>
    <w:rsid w:val="00B55A6C"/>
    <w:rsid w:val="00B61DEF"/>
    <w:rsid w:val="00B653DB"/>
    <w:rsid w:val="00B65A01"/>
    <w:rsid w:val="00B70730"/>
    <w:rsid w:val="00B70F7C"/>
    <w:rsid w:val="00B733D9"/>
    <w:rsid w:val="00B7711D"/>
    <w:rsid w:val="00B83158"/>
    <w:rsid w:val="00B90063"/>
    <w:rsid w:val="00B91683"/>
    <w:rsid w:val="00B93D7F"/>
    <w:rsid w:val="00B94F4B"/>
    <w:rsid w:val="00BA2401"/>
    <w:rsid w:val="00BA276C"/>
    <w:rsid w:val="00BA27E4"/>
    <w:rsid w:val="00BB019D"/>
    <w:rsid w:val="00BB04F5"/>
    <w:rsid w:val="00BB27A3"/>
    <w:rsid w:val="00BB306F"/>
    <w:rsid w:val="00BB395B"/>
    <w:rsid w:val="00BB6B26"/>
    <w:rsid w:val="00BB79F8"/>
    <w:rsid w:val="00BC0028"/>
    <w:rsid w:val="00BC243A"/>
    <w:rsid w:val="00BC3638"/>
    <w:rsid w:val="00BD0FF5"/>
    <w:rsid w:val="00BD4B89"/>
    <w:rsid w:val="00BD5922"/>
    <w:rsid w:val="00BD7AB4"/>
    <w:rsid w:val="00BE384F"/>
    <w:rsid w:val="00BF02CB"/>
    <w:rsid w:val="00BF0D6F"/>
    <w:rsid w:val="00BF367E"/>
    <w:rsid w:val="00BF6FD8"/>
    <w:rsid w:val="00C03680"/>
    <w:rsid w:val="00C054DF"/>
    <w:rsid w:val="00C10341"/>
    <w:rsid w:val="00C120E3"/>
    <w:rsid w:val="00C12D43"/>
    <w:rsid w:val="00C13837"/>
    <w:rsid w:val="00C14427"/>
    <w:rsid w:val="00C14533"/>
    <w:rsid w:val="00C21762"/>
    <w:rsid w:val="00C21FEF"/>
    <w:rsid w:val="00C23BA4"/>
    <w:rsid w:val="00C24543"/>
    <w:rsid w:val="00C256A2"/>
    <w:rsid w:val="00C25ADB"/>
    <w:rsid w:val="00C25D79"/>
    <w:rsid w:val="00C324E3"/>
    <w:rsid w:val="00C32D45"/>
    <w:rsid w:val="00C342A5"/>
    <w:rsid w:val="00C35895"/>
    <w:rsid w:val="00C4173B"/>
    <w:rsid w:val="00C425D5"/>
    <w:rsid w:val="00C4632C"/>
    <w:rsid w:val="00C469DF"/>
    <w:rsid w:val="00C51014"/>
    <w:rsid w:val="00C51515"/>
    <w:rsid w:val="00C5164A"/>
    <w:rsid w:val="00C52928"/>
    <w:rsid w:val="00C55615"/>
    <w:rsid w:val="00C5660B"/>
    <w:rsid w:val="00C56831"/>
    <w:rsid w:val="00C5769F"/>
    <w:rsid w:val="00C63E73"/>
    <w:rsid w:val="00C648E6"/>
    <w:rsid w:val="00C64E07"/>
    <w:rsid w:val="00C655F1"/>
    <w:rsid w:val="00C66B72"/>
    <w:rsid w:val="00C721DB"/>
    <w:rsid w:val="00C72948"/>
    <w:rsid w:val="00C72A97"/>
    <w:rsid w:val="00C76023"/>
    <w:rsid w:val="00C77BC9"/>
    <w:rsid w:val="00C8360D"/>
    <w:rsid w:val="00C8513A"/>
    <w:rsid w:val="00C87AC4"/>
    <w:rsid w:val="00C90467"/>
    <w:rsid w:val="00C91096"/>
    <w:rsid w:val="00C9124E"/>
    <w:rsid w:val="00C928FC"/>
    <w:rsid w:val="00C92A2D"/>
    <w:rsid w:val="00C94980"/>
    <w:rsid w:val="00C94F1B"/>
    <w:rsid w:val="00C9567A"/>
    <w:rsid w:val="00C961DE"/>
    <w:rsid w:val="00C96F72"/>
    <w:rsid w:val="00CA22DF"/>
    <w:rsid w:val="00CA43D7"/>
    <w:rsid w:val="00CA5205"/>
    <w:rsid w:val="00CA5848"/>
    <w:rsid w:val="00CA6525"/>
    <w:rsid w:val="00CB1F63"/>
    <w:rsid w:val="00CB212D"/>
    <w:rsid w:val="00CB2660"/>
    <w:rsid w:val="00CB2D44"/>
    <w:rsid w:val="00CC1930"/>
    <w:rsid w:val="00CC3E05"/>
    <w:rsid w:val="00CC5E90"/>
    <w:rsid w:val="00CC7AE4"/>
    <w:rsid w:val="00CD046C"/>
    <w:rsid w:val="00CD3896"/>
    <w:rsid w:val="00CD5D8E"/>
    <w:rsid w:val="00CD60DA"/>
    <w:rsid w:val="00CE076C"/>
    <w:rsid w:val="00CE5199"/>
    <w:rsid w:val="00CE66D5"/>
    <w:rsid w:val="00CF24A2"/>
    <w:rsid w:val="00CF28F3"/>
    <w:rsid w:val="00CF3218"/>
    <w:rsid w:val="00CF45B6"/>
    <w:rsid w:val="00CF5E3E"/>
    <w:rsid w:val="00CF637A"/>
    <w:rsid w:val="00D059DE"/>
    <w:rsid w:val="00D05ABD"/>
    <w:rsid w:val="00D06D97"/>
    <w:rsid w:val="00D10632"/>
    <w:rsid w:val="00D1064A"/>
    <w:rsid w:val="00D10D79"/>
    <w:rsid w:val="00D1307D"/>
    <w:rsid w:val="00D13FCE"/>
    <w:rsid w:val="00D2118B"/>
    <w:rsid w:val="00D2549E"/>
    <w:rsid w:val="00D2719D"/>
    <w:rsid w:val="00D279FF"/>
    <w:rsid w:val="00D306D1"/>
    <w:rsid w:val="00D30800"/>
    <w:rsid w:val="00D30E09"/>
    <w:rsid w:val="00D323D2"/>
    <w:rsid w:val="00D343AC"/>
    <w:rsid w:val="00D34786"/>
    <w:rsid w:val="00D37BFC"/>
    <w:rsid w:val="00D40CEE"/>
    <w:rsid w:val="00D471A2"/>
    <w:rsid w:val="00D47A8E"/>
    <w:rsid w:val="00D503D9"/>
    <w:rsid w:val="00D52D14"/>
    <w:rsid w:val="00D60325"/>
    <w:rsid w:val="00D707E9"/>
    <w:rsid w:val="00D712D3"/>
    <w:rsid w:val="00D71422"/>
    <w:rsid w:val="00D722F2"/>
    <w:rsid w:val="00D72DC6"/>
    <w:rsid w:val="00D74368"/>
    <w:rsid w:val="00D75503"/>
    <w:rsid w:val="00D7558D"/>
    <w:rsid w:val="00D766B2"/>
    <w:rsid w:val="00D80EEC"/>
    <w:rsid w:val="00D81D92"/>
    <w:rsid w:val="00D876F9"/>
    <w:rsid w:val="00D92F63"/>
    <w:rsid w:val="00D97E00"/>
    <w:rsid w:val="00D97F91"/>
    <w:rsid w:val="00DA1D72"/>
    <w:rsid w:val="00DA7598"/>
    <w:rsid w:val="00DA7B5F"/>
    <w:rsid w:val="00DB4BFD"/>
    <w:rsid w:val="00DC11E7"/>
    <w:rsid w:val="00DC13C3"/>
    <w:rsid w:val="00DC24E3"/>
    <w:rsid w:val="00DC526D"/>
    <w:rsid w:val="00DC7023"/>
    <w:rsid w:val="00DC769A"/>
    <w:rsid w:val="00DD27B0"/>
    <w:rsid w:val="00DD3D86"/>
    <w:rsid w:val="00DD4AD2"/>
    <w:rsid w:val="00DD7C9F"/>
    <w:rsid w:val="00DE0A58"/>
    <w:rsid w:val="00DE2862"/>
    <w:rsid w:val="00DF1EC4"/>
    <w:rsid w:val="00DF6C63"/>
    <w:rsid w:val="00E0340B"/>
    <w:rsid w:val="00E04A90"/>
    <w:rsid w:val="00E0551F"/>
    <w:rsid w:val="00E064AE"/>
    <w:rsid w:val="00E122D0"/>
    <w:rsid w:val="00E133F4"/>
    <w:rsid w:val="00E14159"/>
    <w:rsid w:val="00E14248"/>
    <w:rsid w:val="00E17392"/>
    <w:rsid w:val="00E20CE7"/>
    <w:rsid w:val="00E2123F"/>
    <w:rsid w:val="00E219C7"/>
    <w:rsid w:val="00E2321A"/>
    <w:rsid w:val="00E26EF4"/>
    <w:rsid w:val="00E40E47"/>
    <w:rsid w:val="00E4118C"/>
    <w:rsid w:val="00E43157"/>
    <w:rsid w:val="00E45BAB"/>
    <w:rsid w:val="00E461CE"/>
    <w:rsid w:val="00E46B7B"/>
    <w:rsid w:val="00E47CF5"/>
    <w:rsid w:val="00E509ED"/>
    <w:rsid w:val="00E573E4"/>
    <w:rsid w:val="00E60B69"/>
    <w:rsid w:val="00E61F9D"/>
    <w:rsid w:val="00E64C3D"/>
    <w:rsid w:val="00E66134"/>
    <w:rsid w:val="00E670A8"/>
    <w:rsid w:val="00E720CA"/>
    <w:rsid w:val="00E72C45"/>
    <w:rsid w:val="00E7394B"/>
    <w:rsid w:val="00E84EB5"/>
    <w:rsid w:val="00E85662"/>
    <w:rsid w:val="00E861E7"/>
    <w:rsid w:val="00E86CD9"/>
    <w:rsid w:val="00E8789F"/>
    <w:rsid w:val="00E943D0"/>
    <w:rsid w:val="00E97B71"/>
    <w:rsid w:val="00EA3D34"/>
    <w:rsid w:val="00EA7275"/>
    <w:rsid w:val="00EB0BCB"/>
    <w:rsid w:val="00EB454D"/>
    <w:rsid w:val="00EB6670"/>
    <w:rsid w:val="00EB77C7"/>
    <w:rsid w:val="00EC0975"/>
    <w:rsid w:val="00EC0B52"/>
    <w:rsid w:val="00EC2DD6"/>
    <w:rsid w:val="00EC5F4D"/>
    <w:rsid w:val="00EC7E8C"/>
    <w:rsid w:val="00ED549D"/>
    <w:rsid w:val="00ED5E10"/>
    <w:rsid w:val="00ED76BE"/>
    <w:rsid w:val="00EE00E9"/>
    <w:rsid w:val="00EE36C0"/>
    <w:rsid w:val="00EE54AF"/>
    <w:rsid w:val="00EF1AAA"/>
    <w:rsid w:val="00EF5524"/>
    <w:rsid w:val="00EF619B"/>
    <w:rsid w:val="00EF6CB4"/>
    <w:rsid w:val="00F00B55"/>
    <w:rsid w:val="00F02AD1"/>
    <w:rsid w:val="00F11000"/>
    <w:rsid w:val="00F11A4A"/>
    <w:rsid w:val="00F12A78"/>
    <w:rsid w:val="00F17870"/>
    <w:rsid w:val="00F21289"/>
    <w:rsid w:val="00F253CC"/>
    <w:rsid w:val="00F3234B"/>
    <w:rsid w:val="00F37106"/>
    <w:rsid w:val="00F40B35"/>
    <w:rsid w:val="00F44E25"/>
    <w:rsid w:val="00F450C3"/>
    <w:rsid w:val="00F47FB9"/>
    <w:rsid w:val="00F519CF"/>
    <w:rsid w:val="00F56418"/>
    <w:rsid w:val="00F56BA5"/>
    <w:rsid w:val="00F60C89"/>
    <w:rsid w:val="00F60E22"/>
    <w:rsid w:val="00F67E3B"/>
    <w:rsid w:val="00F7307E"/>
    <w:rsid w:val="00F73D6F"/>
    <w:rsid w:val="00F75291"/>
    <w:rsid w:val="00F7531D"/>
    <w:rsid w:val="00F76710"/>
    <w:rsid w:val="00F77AAD"/>
    <w:rsid w:val="00F80D59"/>
    <w:rsid w:val="00F81395"/>
    <w:rsid w:val="00F81BB8"/>
    <w:rsid w:val="00F8227D"/>
    <w:rsid w:val="00F82BD9"/>
    <w:rsid w:val="00F87CEB"/>
    <w:rsid w:val="00F90C64"/>
    <w:rsid w:val="00F917D1"/>
    <w:rsid w:val="00F9653B"/>
    <w:rsid w:val="00FA14A2"/>
    <w:rsid w:val="00FB62CF"/>
    <w:rsid w:val="00FC6219"/>
    <w:rsid w:val="00FC67EE"/>
    <w:rsid w:val="00FC6F3A"/>
    <w:rsid w:val="00FD3C3B"/>
    <w:rsid w:val="00FE003A"/>
    <w:rsid w:val="00FE07DD"/>
    <w:rsid w:val="00FE4C44"/>
    <w:rsid w:val="00FE55D6"/>
    <w:rsid w:val="00FE6B45"/>
    <w:rsid w:val="00FF2630"/>
    <w:rsid w:val="00FF3B14"/>
    <w:rsid w:val="00FF48D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footnote tex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3A11F6"/>
    <w:rPr>
      <w:sz w:val="16"/>
      <w:szCs w:val="16"/>
    </w:rPr>
  </w:style>
  <w:style w:type="paragraph" w:styleId="CommentText">
    <w:name w:val="annotation text"/>
    <w:basedOn w:val="Normal"/>
    <w:link w:val="CommentTextChar"/>
    <w:uiPriority w:val="99"/>
    <w:unhideWhenUsed/>
    <w:rsid w:val="003A11F6"/>
    <w:rPr>
      <w:sz w:val="20"/>
      <w:szCs w:val="20"/>
    </w:rPr>
  </w:style>
  <w:style w:type="character" w:customStyle="1" w:styleId="CommentTextChar">
    <w:name w:val="Comment Text Char"/>
    <w:basedOn w:val="DefaultParagraphFont"/>
    <w:link w:val="CommentText"/>
    <w:uiPriority w:val="99"/>
    <w:rsid w:val="003A11F6"/>
    <w:rPr>
      <w:lang w:val="en-US" w:eastAsia="en-US"/>
    </w:rPr>
  </w:style>
  <w:style w:type="paragraph" w:styleId="CommentSubject">
    <w:name w:val="annotation subject"/>
    <w:basedOn w:val="CommentText"/>
    <w:next w:val="CommentText"/>
    <w:link w:val="CommentSubjectChar"/>
    <w:uiPriority w:val="99"/>
    <w:semiHidden/>
    <w:unhideWhenUsed/>
    <w:rsid w:val="003A11F6"/>
    <w:rPr>
      <w:b/>
      <w:bCs/>
    </w:rPr>
  </w:style>
  <w:style w:type="character" w:customStyle="1" w:styleId="CommentSubjectChar">
    <w:name w:val="Comment Subject Char"/>
    <w:basedOn w:val="CommentTextChar"/>
    <w:link w:val="CommentSubject"/>
    <w:uiPriority w:val="99"/>
    <w:semiHidden/>
    <w:rsid w:val="003A11F6"/>
    <w:rPr>
      <w:b/>
      <w:bCs/>
      <w:lang w:val="en-US" w:eastAsia="en-US"/>
    </w:rPr>
  </w:style>
  <w:style w:type="paragraph" w:customStyle="1" w:styleId="1">
    <w:name w:val="1"/>
    <w:basedOn w:val="Normal"/>
    <w:link w:val="FootnoteReference"/>
    <w:rsid w:val="000448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365F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8D16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D16A6"/>
  </w:style>
  <w:style w:type="character" w:customStyle="1" w:styleId="eop">
    <w:name w:val="eop"/>
    <w:basedOn w:val="DefaultParagraphFont"/>
    <w:rsid w:val="008D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54195718">
      <w:bodyDiv w:val="1"/>
      <w:marLeft w:val="0"/>
      <w:marRight w:val="0"/>
      <w:marTop w:val="0"/>
      <w:marBottom w:val="0"/>
      <w:divBdr>
        <w:top w:val="none" w:sz="0" w:space="0" w:color="auto"/>
        <w:left w:val="none" w:sz="0" w:space="0" w:color="auto"/>
        <w:bottom w:val="none" w:sz="0" w:space="0" w:color="auto"/>
        <w:right w:val="none" w:sz="0" w:space="0" w:color="auto"/>
      </w:divBdr>
    </w:div>
    <w:div w:id="16907136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idh.oas.org/annualrep/2000port/11552.htm" TargetMode="External"/><Relationship Id="rId2" Type="http://schemas.openxmlformats.org/officeDocument/2006/relationships/hyperlink" Target="https://www.cidh.oas.org/annualrep/2000port/11552.htm" TargetMode="External"/><Relationship Id="rId1" Type="http://schemas.openxmlformats.org/officeDocument/2006/relationships/hyperlink" Target="https://www.cidh.oas.org/annualrep/2000port/11552.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0907C7"/>
    <w:rsid w:val="000E09F6"/>
    <w:rsid w:val="00171965"/>
    <w:rsid w:val="00200821"/>
    <w:rsid w:val="0024346A"/>
    <w:rsid w:val="0025245B"/>
    <w:rsid w:val="002A3923"/>
    <w:rsid w:val="002A4C6B"/>
    <w:rsid w:val="00394049"/>
    <w:rsid w:val="003B0C71"/>
    <w:rsid w:val="00444197"/>
    <w:rsid w:val="0045003C"/>
    <w:rsid w:val="00452982"/>
    <w:rsid w:val="004962B7"/>
    <w:rsid w:val="004B5BBB"/>
    <w:rsid w:val="004F2DF8"/>
    <w:rsid w:val="00517E2A"/>
    <w:rsid w:val="00567233"/>
    <w:rsid w:val="006D12AA"/>
    <w:rsid w:val="006F24A1"/>
    <w:rsid w:val="0072738C"/>
    <w:rsid w:val="007323CA"/>
    <w:rsid w:val="007626BC"/>
    <w:rsid w:val="007B0F5C"/>
    <w:rsid w:val="007C763B"/>
    <w:rsid w:val="0082351F"/>
    <w:rsid w:val="00875B8A"/>
    <w:rsid w:val="00981EC7"/>
    <w:rsid w:val="009A261B"/>
    <w:rsid w:val="00AA2E17"/>
    <w:rsid w:val="00AC15A4"/>
    <w:rsid w:val="00B0336C"/>
    <w:rsid w:val="00BB38BA"/>
    <w:rsid w:val="00D241E9"/>
    <w:rsid w:val="00D7750D"/>
    <w:rsid w:val="00D92D25"/>
    <w:rsid w:val="00DB67CE"/>
    <w:rsid w:val="00E2078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4060</Words>
  <Characters>23146</Characters>
  <Application>Microsoft Office Word</Application>
  <DocSecurity>0</DocSecurity>
  <Lines>192</Lines>
  <Paragraphs>54</Paragraphs>
  <ScaleCrop>false</ScaleCrop>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2024-01-02T20:09:00Z</dcterms:created>
  <dcterms:modified xsi:type="dcterms:W3CDTF">2024-01-02T20:09:00Z</dcterms:modified>
</cp:coreProperties>
</file>