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F677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2AA278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90EE1">
                              <w:rPr>
                                <w:rFonts w:asciiTheme="majorHAnsi" w:hAnsiTheme="majorHAnsi" w:cs="Arial"/>
                                <w:b/>
                                <w:bCs/>
                                <w:color w:val="0D0D0D" w:themeColor="text1" w:themeTint="F2"/>
                                <w:sz w:val="36"/>
                                <w:szCs w:val="22"/>
                                <w:lang w:val="es-ES_tradnl"/>
                              </w:rPr>
                              <w:t>30</w:t>
                            </w:r>
                            <w:r w:rsidR="000A0FA4">
                              <w:rPr>
                                <w:rFonts w:asciiTheme="majorHAnsi" w:hAnsiTheme="majorHAnsi" w:cs="Arial"/>
                                <w:b/>
                                <w:bCs/>
                                <w:color w:val="0D0D0D" w:themeColor="text1" w:themeTint="F2"/>
                                <w:sz w:val="36"/>
                                <w:szCs w:val="22"/>
                                <w:lang w:val="es-ES_tradnl"/>
                              </w:rPr>
                              <w:t>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4B03C7">
                              <w:rPr>
                                <w:rFonts w:asciiTheme="majorHAnsi" w:hAnsiTheme="majorHAnsi" w:cs="Arial"/>
                                <w:b/>
                                <w:bCs/>
                                <w:color w:val="0D0D0D" w:themeColor="text1" w:themeTint="F2"/>
                                <w:sz w:val="36"/>
                                <w:szCs w:val="22"/>
                                <w:lang w:val="es-ES_tradnl"/>
                              </w:rPr>
                              <w:t>3</w:t>
                            </w:r>
                          </w:p>
                          <w:p w14:paraId="45F30ECA" w14:textId="367AC1E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B3E22" w:rsidRPr="006B3E22">
                              <w:rPr>
                                <w:rFonts w:asciiTheme="majorHAnsi" w:hAnsiTheme="majorHAnsi" w:cs="Arial"/>
                                <w:b/>
                                <w:color w:val="0D0D0D" w:themeColor="text1" w:themeTint="F2"/>
                                <w:sz w:val="36"/>
                                <w:szCs w:val="22"/>
                                <w:lang w:val="es-ES_tradnl"/>
                              </w:rPr>
                              <w:t>2416-16</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B9F7D22" w14:textId="164CB0B8" w:rsidR="005B52B0" w:rsidRDefault="006B3E22" w:rsidP="006B3E22">
                            <w:pPr>
                              <w:spacing w:line="276" w:lineRule="auto"/>
                              <w:rPr>
                                <w:rFonts w:asciiTheme="majorHAnsi" w:hAnsiTheme="majorHAnsi" w:cs="Arial"/>
                                <w:color w:val="0D0D0D" w:themeColor="text1" w:themeTint="F2"/>
                                <w:szCs w:val="22"/>
                                <w:lang w:val="es-MX"/>
                              </w:rPr>
                            </w:pPr>
                            <w:r w:rsidRPr="006B3E22">
                              <w:rPr>
                                <w:rFonts w:asciiTheme="majorHAnsi" w:hAnsiTheme="majorHAnsi" w:cs="Arial"/>
                                <w:color w:val="0D0D0D" w:themeColor="text1" w:themeTint="F2"/>
                                <w:szCs w:val="22"/>
                                <w:lang w:val="es-MX"/>
                              </w:rPr>
                              <w:t>MARTHA M. GONZALEZ</w:t>
                            </w:r>
                          </w:p>
                          <w:p w14:paraId="1724503F" w14:textId="453E79D6" w:rsidR="006B3E22" w:rsidRPr="00DF6B57" w:rsidRDefault="006B3E22" w:rsidP="006B3E22">
                            <w:pPr>
                              <w:spacing w:line="276" w:lineRule="auto"/>
                              <w:rPr>
                                <w:color w:val="0D0D0D" w:themeColor="text1" w:themeTint="F2"/>
                                <w:lang w:val="es-MX"/>
                              </w:rPr>
                            </w:pPr>
                            <w:r>
                              <w:rPr>
                                <w:rFonts w:asciiTheme="majorHAnsi" w:hAnsiTheme="majorHAnsi" w:cs="Arial"/>
                                <w:color w:val="0D0D0D" w:themeColor="text1" w:themeTint="F2"/>
                                <w:szCs w:val="22"/>
                                <w:lang w:val="es-MX"/>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2AA278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90EE1">
                        <w:rPr>
                          <w:rFonts w:asciiTheme="majorHAnsi" w:hAnsiTheme="majorHAnsi" w:cs="Arial"/>
                          <w:b/>
                          <w:bCs/>
                          <w:color w:val="0D0D0D" w:themeColor="text1" w:themeTint="F2"/>
                          <w:sz w:val="36"/>
                          <w:szCs w:val="22"/>
                          <w:lang w:val="es-ES_tradnl"/>
                        </w:rPr>
                        <w:t>30</w:t>
                      </w:r>
                      <w:r w:rsidR="000A0FA4">
                        <w:rPr>
                          <w:rFonts w:asciiTheme="majorHAnsi" w:hAnsiTheme="majorHAnsi" w:cs="Arial"/>
                          <w:b/>
                          <w:bCs/>
                          <w:color w:val="0D0D0D" w:themeColor="text1" w:themeTint="F2"/>
                          <w:sz w:val="36"/>
                          <w:szCs w:val="22"/>
                          <w:lang w:val="es-ES_tradnl"/>
                        </w:rPr>
                        <w:t>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4B03C7">
                        <w:rPr>
                          <w:rFonts w:asciiTheme="majorHAnsi" w:hAnsiTheme="majorHAnsi" w:cs="Arial"/>
                          <w:b/>
                          <w:bCs/>
                          <w:color w:val="0D0D0D" w:themeColor="text1" w:themeTint="F2"/>
                          <w:sz w:val="36"/>
                          <w:szCs w:val="22"/>
                          <w:lang w:val="es-ES_tradnl"/>
                        </w:rPr>
                        <w:t>3</w:t>
                      </w:r>
                    </w:p>
                    <w:p w14:paraId="45F30ECA" w14:textId="367AC1E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B3E22" w:rsidRPr="006B3E22">
                        <w:rPr>
                          <w:rFonts w:asciiTheme="majorHAnsi" w:hAnsiTheme="majorHAnsi" w:cs="Arial"/>
                          <w:b/>
                          <w:color w:val="0D0D0D" w:themeColor="text1" w:themeTint="F2"/>
                          <w:sz w:val="36"/>
                          <w:szCs w:val="22"/>
                          <w:lang w:val="es-ES_tradnl"/>
                        </w:rPr>
                        <w:t>2416-16</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F7D22" w14:textId="164CB0B8" w:rsidR="005B52B0" w:rsidRDefault="006B3E22" w:rsidP="006B3E22">
                      <w:pPr>
                        <w:spacing w:line="276" w:lineRule="auto"/>
                        <w:rPr>
                          <w:rFonts w:asciiTheme="majorHAnsi" w:hAnsiTheme="majorHAnsi" w:cs="Arial"/>
                          <w:color w:val="0D0D0D" w:themeColor="text1" w:themeTint="F2"/>
                          <w:szCs w:val="22"/>
                          <w:lang w:val="es-MX"/>
                        </w:rPr>
                      </w:pPr>
                      <w:r w:rsidRPr="006B3E22">
                        <w:rPr>
                          <w:rFonts w:asciiTheme="majorHAnsi" w:hAnsiTheme="majorHAnsi" w:cs="Arial"/>
                          <w:color w:val="0D0D0D" w:themeColor="text1" w:themeTint="F2"/>
                          <w:szCs w:val="22"/>
                          <w:lang w:val="es-MX"/>
                        </w:rPr>
                        <w:t>MARTHA M. GONZALEZ</w:t>
                      </w:r>
                    </w:p>
                    <w:p w14:paraId="1724503F" w14:textId="453E79D6" w:rsidR="006B3E22" w:rsidRPr="00DF6B57" w:rsidRDefault="006B3E22" w:rsidP="006B3E22">
                      <w:pPr>
                        <w:spacing w:line="276" w:lineRule="auto"/>
                        <w:rPr>
                          <w:color w:val="0D0D0D" w:themeColor="text1" w:themeTint="F2"/>
                          <w:lang w:val="es-MX"/>
                        </w:rPr>
                      </w:pPr>
                      <w:r>
                        <w:rPr>
                          <w:rFonts w:asciiTheme="majorHAnsi" w:hAnsiTheme="majorHAnsi" w:cs="Arial"/>
                          <w:color w:val="0D0D0D" w:themeColor="text1" w:themeTint="F2"/>
                          <w:szCs w:val="22"/>
                          <w:lang w:val="es-MX"/>
                        </w:rPr>
                        <w:t>BRASIL</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76D5D8F" w:rsidR="00627C9F" w:rsidRPr="000B3E08" w:rsidRDefault="00834D49" w:rsidP="007A5817">
                            <w:pPr>
                              <w:spacing w:line="276" w:lineRule="auto"/>
                              <w:jc w:val="right"/>
                              <w:rPr>
                                <w:rFonts w:asciiTheme="minorHAnsi" w:hAnsiTheme="minorHAnsi"/>
                                <w:color w:val="FFFFFF" w:themeColor="background1"/>
                                <w:sz w:val="22"/>
                                <w:lang w:val="es-419"/>
                              </w:rPr>
                            </w:pPr>
                            <w:r w:rsidRPr="000B3E08">
                              <w:rPr>
                                <w:rFonts w:asciiTheme="minorHAnsi" w:hAnsiTheme="minorHAnsi"/>
                                <w:color w:val="FFFFFF" w:themeColor="background1"/>
                                <w:sz w:val="22"/>
                                <w:lang w:val="es-419"/>
                              </w:rPr>
                              <w:t>OEA/Ser.L/V/II</w:t>
                            </w:r>
                          </w:p>
                          <w:p w14:paraId="71D2D5D2" w14:textId="78ACD6B5" w:rsidR="00627C9F" w:rsidRPr="000B3E08" w:rsidRDefault="00627C9F" w:rsidP="007A5817">
                            <w:pPr>
                              <w:spacing w:line="276" w:lineRule="auto"/>
                              <w:jc w:val="right"/>
                              <w:rPr>
                                <w:rFonts w:asciiTheme="minorHAnsi" w:hAnsiTheme="minorHAnsi"/>
                                <w:color w:val="FFFFFF" w:themeColor="background1"/>
                                <w:sz w:val="22"/>
                                <w:lang w:val="es-419"/>
                              </w:rPr>
                            </w:pPr>
                            <w:r w:rsidRPr="000B3E08">
                              <w:rPr>
                                <w:rFonts w:asciiTheme="minorHAnsi" w:hAnsiTheme="minorHAnsi"/>
                                <w:color w:val="FFFFFF" w:themeColor="background1"/>
                                <w:sz w:val="22"/>
                                <w:lang w:val="es-419"/>
                              </w:rPr>
                              <w:t xml:space="preserve">Doc. </w:t>
                            </w:r>
                            <w:r w:rsidR="00990EE1" w:rsidRPr="000B3E08">
                              <w:rPr>
                                <w:rFonts w:asciiTheme="minorHAnsi" w:hAnsiTheme="minorHAnsi"/>
                                <w:color w:val="FFFFFF" w:themeColor="background1"/>
                                <w:sz w:val="22"/>
                                <w:lang w:val="es-419"/>
                              </w:rPr>
                              <w:t>325</w:t>
                            </w:r>
                          </w:p>
                          <w:p w14:paraId="4061DBBD" w14:textId="752E7CF7" w:rsidR="00627C9F" w:rsidRPr="00C25ADB" w:rsidRDefault="00990EE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B03C7">
                              <w:rPr>
                                <w:rFonts w:asciiTheme="minorHAnsi" w:hAnsiTheme="minorHAnsi"/>
                                <w:color w:val="FFFFFF" w:themeColor="background1"/>
                                <w:sz w:val="22"/>
                                <w:lang w:val="es-PA"/>
                              </w:rPr>
                              <w:t>3</w:t>
                            </w:r>
                          </w:p>
                          <w:p w14:paraId="0537C4A5" w14:textId="2B8A7845"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w:t>
                            </w:r>
                            <w:r w:rsidR="00DF6B57">
                              <w:rPr>
                                <w:rFonts w:asciiTheme="minorHAnsi" w:hAnsiTheme="minorHAnsi"/>
                                <w:color w:val="FFFFFF" w:themeColor="background1"/>
                                <w:sz w:val="22"/>
                                <w:lang w:val="es-PA"/>
                              </w:rPr>
                              <w:t xml:space="preserve">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76D5D8F" w:rsidR="00627C9F" w:rsidRPr="000B3E08" w:rsidRDefault="00834D49" w:rsidP="007A5817">
                      <w:pPr>
                        <w:spacing w:line="276" w:lineRule="auto"/>
                        <w:jc w:val="right"/>
                        <w:rPr>
                          <w:rFonts w:asciiTheme="minorHAnsi" w:hAnsiTheme="minorHAnsi"/>
                          <w:color w:val="FFFFFF" w:themeColor="background1"/>
                          <w:sz w:val="22"/>
                          <w:lang w:val="es-419"/>
                        </w:rPr>
                      </w:pPr>
                      <w:r w:rsidRPr="000B3E08">
                        <w:rPr>
                          <w:rFonts w:asciiTheme="minorHAnsi" w:hAnsiTheme="minorHAnsi"/>
                          <w:color w:val="FFFFFF" w:themeColor="background1"/>
                          <w:sz w:val="22"/>
                          <w:lang w:val="es-419"/>
                        </w:rPr>
                        <w:t>OEA/Ser.L/V/II</w:t>
                      </w:r>
                    </w:p>
                    <w:p w14:paraId="71D2D5D2" w14:textId="78ACD6B5" w:rsidR="00627C9F" w:rsidRPr="000B3E08" w:rsidRDefault="00627C9F" w:rsidP="007A5817">
                      <w:pPr>
                        <w:spacing w:line="276" w:lineRule="auto"/>
                        <w:jc w:val="right"/>
                        <w:rPr>
                          <w:rFonts w:asciiTheme="minorHAnsi" w:hAnsiTheme="minorHAnsi"/>
                          <w:color w:val="FFFFFF" w:themeColor="background1"/>
                          <w:sz w:val="22"/>
                          <w:lang w:val="es-419"/>
                        </w:rPr>
                      </w:pPr>
                      <w:r w:rsidRPr="000B3E08">
                        <w:rPr>
                          <w:rFonts w:asciiTheme="minorHAnsi" w:hAnsiTheme="minorHAnsi"/>
                          <w:color w:val="FFFFFF" w:themeColor="background1"/>
                          <w:sz w:val="22"/>
                          <w:lang w:val="es-419"/>
                        </w:rPr>
                        <w:t xml:space="preserve">Doc. </w:t>
                      </w:r>
                      <w:r w:rsidR="00990EE1" w:rsidRPr="000B3E08">
                        <w:rPr>
                          <w:rFonts w:asciiTheme="minorHAnsi" w:hAnsiTheme="minorHAnsi"/>
                          <w:color w:val="FFFFFF" w:themeColor="background1"/>
                          <w:sz w:val="22"/>
                          <w:lang w:val="es-419"/>
                        </w:rPr>
                        <w:t>325</w:t>
                      </w:r>
                    </w:p>
                    <w:p w14:paraId="4061DBBD" w14:textId="752E7CF7" w:rsidR="00627C9F" w:rsidRPr="00C25ADB" w:rsidRDefault="00990EE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B03C7">
                        <w:rPr>
                          <w:rFonts w:asciiTheme="minorHAnsi" w:hAnsiTheme="minorHAnsi"/>
                          <w:color w:val="FFFFFF" w:themeColor="background1"/>
                          <w:sz w:val="22"/>
                          <w:lang w:val="es-PA"/>
                        </w:rPr>
                        <w:t>3</w:t>
                      </w:r>
                    </w:p>
                    <w:p w14:paraId="0537C4A5" w14:textId="2B8A7845"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w:t>
                      </w:r>
                      <w:r w:rsidR="00DF6B57">
                        <w:rPr>
                          <w:rFonts w:asciiTheme="minorHAnsi" w:hAnsiTheme="minorHAnsi"/>
                          <w:color w:val="FFFFFF" w:themeColor="background1"/>
                          <w:sz w:val="22"/>
                          <w:lang w:val="es-PA"/>
                        </w:rPr>
                        <w:t xml:space="preserve"> portugués</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144E08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90EE1">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990EE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04DC6">
                              <w:rPr>
                                <w:rFonts w:asciiTheme="majorHAnsi" w:hAnsiTheme="majorHAnsi"/>
                                <w:color w:val="0D0D0D" w:themeColor="text1" w:themeTint="F2"/>
                                <w:sz w:val="18"/>
                                <w:szCs w:val="22"/>
                                <w:lang w:val="es-ES"/>
                              </w:rPr>
                              <w:t>3</w:t>
                            </w:r>
                            <w:r w:rsidR="00990EE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144E08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90EE1">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990EE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04DC6">
                        <w:rPr>
                          <w:rFonts w:asciiTheme="majorHAnsi" w:hAnsiTheme="majorHAnsi"/>
                          <w:color w:val="0D0D0D" w:themeColor="text1" w:themeTint="F2"/>
                          <w:sz w:val="18"/>
                          <w:szCs w:val="22"/>
                          <w:lang w:val="es-ES"/>
                        </w:rPr>
                        <w:t>3</w:t>
                      </w:r>
                      <w:r w:rsidR="00990EE1">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39C67F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90EE1" w:rsidRPr="00990EE1">
                              <w:rPr>
                                <w:rFonts w:asciiTheme="majorHAnsi" w:hAnsiTheme="majorHAnsi"/>
                                <w:color w:val="595959" w:themeColor="text1" w:themeTint="A6"/>
                                <w:sz w:val="18"/>
                                <w:szCs w:val="18"/>
                                <w:lang w:val="pt-BR"/>
                              </w:rPr>
                              <w:t>30</w:t>
                            </w:r>
                            <w:r w:rsidR="000A0FA4">
                              <w:rPr>
                                <w:rFonts w:asciiTheme="majorHAnsi" w:hAnsiTheme="majorHAnsi"/>
                                <w:color w:val="595959" w:themeColor="text1" w:themeTint="A6"/>
                                <w:sz w:val="18"/>
                                <w:szCs w:val="18"/>
                                <w:lang w:val="pt-BR"/>
                              </w:rPr>
                              <w:t>0</w:t>
                            </w:r>
                            <w:r w:rsidR="007B05C4" w:rsidRPr="00990EE1">
                              <w:rPr>
                                <w:rFonts w:asciiTheme="majorHAnsi" w:hAnsiTheme="majorHAnsi"/>
                                <w:color w:val="595959" w:themeColor="text1" w:themeTint="A6"/>
                                <w:sz w:val="18"/>
                                <w:szCs w:val="18"/>
                                <w:lang w:val="pt-BR"/>
                              </w:rPr>
                              <w:t>/</w:t>
                            </w:r>
                            <w:r w:rsidR="00990EE1" w:rsidRPr="00990EE1">
                              <w:rPr>
                                <w:rFonts w:asciiTheme="majorHAnsi" w:hAnsiTheme="majorHAnsi"/>
                                <w:color w:val="595959" w:themeColor="text1" w:themeTint="A6"/>
                                <w:sz w:val="18"/>
                                <w:szCs w:val="18"/>
                                <w:lang w:val="pt-BR"/>
                              </w:rPr>
                              <w:t>23</w:t>
                            </w:r>
                            <w:r w:rsidRPr="00990EE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B3E22" w:rsidRPr="006B3E22">
                              <w:rPr>
                                <w:rFonts w:asciiTheme="majorHAnsi" w:hAnsiTheme="majorHAnsi"/>
                                <w:color w:val="595959" w:themeColor="text1" w:themeTint="A6"/>
                                <w:sz w:val="18"/>
                                <w:szCs w:val="18"/>
                                <w:lang w:val="es-ES"/>
                              </w:rPr>
                              <w:t>2416-16</w:t>
                            </w:r>
                            <w:r w:rsidR="00DF6B57" w:rsidRPr="00DF6B57">
                              <w:rPr>
                                <w:rFonts w:asciiTheme="majorHAnsi" w:hAnsiTheme="majorHAnsi"/>
                                <w:color w:val="595959" w:themeColor="text1" w:themeTint="A6"/>
                                <w:sz w:val="18"/>
                                <w:szCs w:val="18"/>
                                <w:lang w:val="es-ES"/>
                              </w:rPr>
                              <w:t xml:space="preserve">. Admisibilidad. </w:t>
                            </w:r>
                            <w:r w:rsidR="006B3E22" w:rsidRPr="006B3E22">
                              <w:rPr>
                                <w:rFonts w:asciiTheme="majorHAnsi" w:hAnsiTheme="majorHAnsi"/>
                                <w:color w:val="595959" w:themeColor="text1" w:themeTint="A6"/>
                                <w:sz w:val="18"/>
                                <w:szCs w:val="18"/>
                                <w:lang w:val="es-ES"/>
                              </w:rPr>
                              <w:t>Martha M. Gonzalez</w:t>
                            </w:r>
                            <w:r w:rsidRPr="00890650">
                              <w:rPr>
                                <w:rFonts w:asciiTheme="majorHAnsi" w:hAnsiTheme="majorHAnsi"/>
                                <w:color w:val="595959" w:themeColor="text1" w:themeTint="A6"/>
                                <w:sz w:val="18"/>
                                <w:szCs w:val="18"/>
                                <w:lang w:val="es-ES_tradnl"/>
                              </w:rPr>
                              <w:t xml:space="preserve">. </w:t>
                            </w:r>
                            <w:r w:rsidR="00771587">
                              <w:rPr>
                                <w:rFonts w:asciiTheme="majorHAnsi" w:hAnsiTheme="majorHAnsi"/>
                                <w:color w:val="595959" w:themeColor="text1" w:themeTint="A6"/>
                                <w:sz w:val="18"/>
                                <w:szCs w:val="18"/>
                                <w:lang w:val="es-ES_tradnl"/>
                              </w:rPr>
                              <w:t>Brasil</w:t>
                            </w:r>
                            <w:r w:rsidR="00990EE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990EE1">
                              <w:rPr>
                                <w:rFonts w:asciiTheme="majorHAnsi" w:hAnsiTheme="majorHAnsi"/>
                                <w:color w:val="595959" w:themeColor="text1" w:themeTint="A6"/>
                                <w:sz w:val="18"/>
                                <w:szCs w:val="18"/>
                                <w:lang w:val="es-ES"/>
                              </w:rPr>
                              <w:t>8 de diciembre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39C67F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90EE1" w:rsidRPr="00990EE1">
                        <w:rPr>
                          <w:rFonts w:asciiTheme="majorHAnsi" w:hAnsiTheme="majorHAnsi"/>
                          <w:color w:val="595959" w:themeColor="text1" w:themeTint="A6"/>
                          <w:sz w:val="18"/>
                          <w:szCs w:val="18"/>
                          <w:lang w:val="pt-BR"/>
                        </w:rPr>
                        <w:t>30</w:t>
                      </w:r>
                      <w:r w:rsidR="000A0FA4">
                        <w:rPr>
                          <w:rFonts w:asciiTheme="majorHAnsi" w:hAnsiTheme="majorHAnsi"/>
                          <w:color w:val="595959" w:themeColor="text1" w:themeTint="A6"/>
                          <w:sz w:val="18"/>
                          <w:szCs w:val="18"/>
                          <w:lang w:val="pt-BR"/>
                        </w:rPr>
                        <w:t>0</w:t>
                      </w:r>
                      <w:r w:rsidR="007B05C4" w:rsidRPr="00990EE1">
                        <w:rPr>
                          <w:rFonts w:asciiTheme="majorHAnsi" w:hAnsiTheme="majorHAnsi"/>
                          <w:color w:val="595959" w:themeColor="text1" w:themeTint="A6"/>
                          <w:sz w:val="18"/>
                          <w:szCs w:val="18"/>
                          <w:lang w:val="pt-BR"/>
                        </w:rPr>
                        <w:t>/</w:t>
                      </w:r>
                      <w:r w:rsidR="00990EE1" w:rsidRPr="00990EE1">
                        <w:rPr>
                          <w:rFonts w:asciiTheme="majorHAnsi" w:hAnsiTheme="majorHAnsi"/>
                          <w:color w:val="595959" w:themeColor="text1" w:themeTint="A6"/>
                          <w:sz w:val="18"/>
                          <w:szCs w:val="18"/>
                          <w:lang w:val="pt-BR"/>
                        </w:rPr>
                        <w:t>23</w:t>
                      </w:r>
                      <w:r w:rsidRPr="00990EE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B3E22" w:rsidRPr="006B3E22">
                        <w:rPr>
                          <w:rFonts w:asciiTheme="majorHAnsi" w:hAnsiTheme="majorHAnsi"/>
                          <w:color w:val="595959" w:themeColor="text1" w:themeTint="A6"/>
                          <w:sz w:val="18"/>
                          <w:szCs w:val="18"/>
                          <w:lang w:val="es-ES"/>
                        </w:rPr>
                        <w:t>2416-16</w:t>
                      </w:r>
                      <w:r w:rsidR="00DF6B57" w:rsidRPr="00DF6B57">
                        <w:rPr>
                          <w:rFonts w:asciiTheme="majorHAnsi" w:hAnsiTheme="majorHAnsi"/>
                          <w:color w:val="595959" w:themeColor="text1" w:themeTint="A6"/>
                          <w:sz w:val="18"/>
                          <w:szCs w:val="18"/>
                          <w:lang w:val="es-ES"/>
                        </w:rPr>
                        <w:t xml:space="preserve">. Admisibilidad. </w:t>
                      </w:r>
                      <w:r w:rsidR="006B3E22" w:rsidRPr="006B3E22">
                        <w:rPr>
                          <w:rFonts w:asciiTheme="majorHAnsi" w:hAnsiTheme="majorHAnsi"/>
                          <w:color w:val="595959" w:themeColor="text1" w:themeTint="A6"/>
                          <w:sz w:val="18"/>
                          <w:szCs w:val="18"/>
                          <w:lang w:val="es-ES"/>
                        </w:rPr>
                        <w:t>Martha M. Gonzalez</w:t>
                      </w:r>
                      <w:r w:rsidRPr="00890650">
                        <w:rPr>
                          <w:rFonts w:asciiTheme="majorHAnsi" w:hAnsiTheme="majorHAnsi"/>
                          <w:color w:val="595959" w:themeColor="text1" w:themeTint="A6"/>
                          <w:sz w:val="18"/>
                          <w:szCs w:val="18"/>
                          <w:lang w:val="es-ES_tradnl"/>
                        </w:rPr>
                        <w:t xml:space="preserve">. </w:t>
                      </w:r>
                      <w:r w:rsidR="00771587">
                        <w:rPr>
                          <w:rFonts w:asciiTheme="majorHAnsi" w:hAnsiTheme="majorHAnsi"/>
                          <w:color w:val="595959" w:themeColor="text1" w:themeTint="A6"/>
                          <w:sz w:val="18"/>
                          <w:szCs w:val="18"/>
                          <w:lang w:val="es-ES_tradnl"/>
                        </w:rPr>
                        <w:t>Brasil</w:t>
                      </w:r>
                      <w:r w:rsidR="00990EE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990EE1">
                        <w:rPr>
                          <w:rFonts w:asciiTheme="majorHAnsi" w:hAnsiTheme="majorHAnsi"/>
                          <w:color w:val="595959" w:themeColor="text1" w:themeTint="A6"/>
                          <w:sz w:val="18"/>
                          <w:szCs w:val="18"/>
                          <w:lang w:val="es-ES"/>
                        </w:rPr>
                        <w:t>8 de diciembre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855C85D" w:rsidR="00D72DC6" w:rsidRPr="00D72DC6" w:rsidRDefault="00990EE1" w:rsidP="00F02AD1">
                            <w:pPr>
                              <w:rPr>
                                <w:color w:val="FFFFFF" w:themeColor="background1"/>
                                <w14:textFill>
                                  <w14:noFill/>
                                </w14:textFill>
                              </w:rPr>
                            </w:pPr>
                            <w:r>
                              <w:rPr>
                                <w:noProof/>
                                <w:color w:val="FFFFFF" w:themeColor="background1"/>
                              </w:rPr>
                              <w:drawing>
                                <wp:inline distT="0" distB="0" distL="0" distR="0" wp14:anchorId="6DF47A77" wp14:editId="570B098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5855C85D" w:rsidR="00D72DC6" w:rsidRPr="00D72DC6" w:rsidRDefault="00990EE1" w:rsidP="00F02AD1">
                      <w:pPr>
                        <w:rPr>
                          <w:color w:val="FFFFFF" w:themeColor="background1"/>
                          <w14:textFill>
                            <w14:noFill/>
                          </w14:textFill>
                        </w:rPr>
                      </w:pPr>
                      <w:r>
                        <w:rPr>
                          <w:noProof/>
                          <w:color w:val="FFFFFF" w:themeColor="background1"/>
                        </w:rPr>
                        <w:drawing>
                          <wp:inline distT="0" distB="0" distL="0" distR="0" wp14:anchorId="6DF47A77" wp14:editId="570B098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D323D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723817" w:rsidRDefault="003239B8" w:rsidP="008D2290">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Parte peticionaria:</w:t>
            </w:r>
          </w:p>
        </w:tc>
        <w:tc>
          <w:tcPr>
            <w:tcW w:w="5760" w:type="dxa"/>
            <w:vAlign w:val="center"/>
          </w:tcPr>
          <w:p w14:paraId="07DAAE2E" w14:textId="0535627C" w:rsidR="003239B8" w:rsidRPr="00723817" w:rsidRDefault="006B3E22" w:rsidP="008D2290">
            <w:pPr>
              <w:jc w:val="both"/>
              <w:rPr>
                <w:rFonts w:ascii="Cambria" w:hAnsi="Cambria"/>
                <w:bCs/>
                <w:sz w:val="19"/>
                <w:szCs w:val="19"/>
              </w:rPr>
            </w:pPr>
            <w:r w:rsidRPr="006B3E22">
              <w:rPr>
                <w:rFonts w:ascii="Cambria" w:hAnsi="Cambria"/>
                <w:bCs/>
                <w:sz w:val="19"/>
                <w:szCs w:val="19"/>
              </w:rPr>
              <w:t>Martha M. Gonzalez</w:t>
            </w:r>
          </w:p>
        </w:tc>
      </w:tr>
      <w:tr w:rsidR="003239B8" w:rsidRPr="006B3E22"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723817" w:rsidRDefault="00E9177E" w:rsidP="008D2290">
            <w:pPr>
              <w:jc w:val="center"/>
              <w:rPr>
                <w:rFonts w:ascii="Cambria" w:hAnsi="Cambria"/>
                <w:b/>
                <w:bCs/>
                <w:color w:val="FFFFFF" w:themeColor="background1"/>
                <w:sz w:val="19"/>
                <w:szCs w:val="19"/>
              </w:rPr>
            </w:pPr>
            <w:sdt>
              <w:sdtPr>
                <w:rPr>
                  <w:rFonts w:ascii="Cambria" w:hAnsi="Cambria"/>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Pr>
                    <w:rFonts w:ascii="Cambria" w:hAnsi="Cambria"/>
                    <w:b/>
                    <w:bCs/>
                    <w:color w:val="FFFFFF" w:themeColor="background1"/>
                    <w:sz w:val="19"/>
                    <w:szCs w:val="19"/>
                  </w:rPr>
                  <w:t>Presuntas víctimas</w:t>
                </w:r>
              </w:sdtContent>
            </w:sdt>
            <w:r w:rsidR="003239B8" w:rsidRPr="00723817">
              <w:rPr>
                <w:rFonts w:ascii="Cambria" w:hAnsi="Cambria"/>
                <w:b/>
                <w:bCs/>
                <w:color w:val="FFFFFF" w:themeColor="background1"/>
                <w:sz w:val="19"/>
                <w:szCs w:val="19"/>
              </w:rPr>
              <w:t>:</w:t>
            </w:r>
          </w:p>
        </w:tc>
        <w:tc>
          <w:tcPr>
            <w:tcW w:w="5760" w:type="dxa"/>
            <w:vAlign w:val="center"/>
          </w:tcPr>
          <w:p w14:paraId="143D44A8" w14:textId="63D03699" w:rsidR="001D21C7" w:rsidRPr="00DF6B57" w:rsidRDefault="006B3E22" w:rsidP="00FC6219">
            <w:pPr>
              <w:jc w:val="both"/>
              <w:rPr>
                <w:rFonts w:ascii="Cambria" w:hAnsi="Cambria"/>
                <w:bCs/>
                <w:sz w:val="19"/>
                <w:szCs w:val="19"/>
                <w:lang w:val="es-MX"/>
              </w:rPr>
            </w:pPr>
            <w:r w:rsidRPr="006B3E22">
              <w:rPr>
                <w:rFonts w:ascii="Cambria" w:hAnsi="Cambria"/>
                <w:bCs/>
                <w:sz w:val="19"/>
                <w:szCs w:val="19"/>
                <w:lang w:val="es-MX"/>
              </w:rPr>
              <w:t>Martha M. Gonzalez</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723817" w:rsidRDefault="003239B8" w:rsidP="008D2290">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Estado denunciado:</w:t>
            </w:r>
          </w:p>
        </w:tc>
        <w:tc>
          <w:tcPr>
            <w:tcW w:w="5760" w:type="dxa"/>
            <w:vAlign w:val="center"/>
          </w:tcPr>
          <w:p w14:paraId="5D0EC05D" w14:textId="2EAEE1E0" w:rsidR="003239B8" w:rsidRPr="00723817" w:rsidRDefault="00771587" w:rsidP="008D2290">
            <w:pPr>
              <w:jc w:val="both"/>
              <w:rPr>
                <w:rFonts w:ascii="Cambria" w:hAnsi="Cambria"/>
                <w:bCs/>
                <w:sz w:val="19"/>
                <w:szCs w:val="19"/>
              </w:rPr>
            </w:pPr>
            <w:r>
              <w:rPr>
                <w:rFonts w:ascii="Cambria" w:hAnsi="Cambria"/>
                <w:bCs/>
                <w:sz w:val="19"/>
                <w:szCs w:val="19"/>
              </w:rPr>
              <w:t>Brasil</w:t>
            </w:r>
          </w:p>
        </w:tc>
      </w:tr>
      <w:tr w:rsidR="00223A29" w:rsidRPr="00EE6CE0"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723817" w:rsidRDefault="001B3A00" w:rsidP="00E4118C">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 xml:space="preserve">Derechos </w:t>
            </w:r>
            <w:r w:rsidR="00E4118C" w:rsidRPr="00723817">
              <w:rPr>
                <w:rFonts w:ascii="Cambria" w:hAnsi="Cambria"/>
                <w:b/>
                <w:bCs/>
                <w:color w:val="FFFFFF" w:themeColor="background1"/>
                <w:sz w:val="19"/>
                <w:szCs w:val="19"/>
              </w:rPr>
              <w:t>invocados</w:t>
            </w:r>
            <w:r w:rsidRPr="00723817">
              <w:rPr>
                <w:rFonts w:ascii="Cambria" w:hAnsi="Cambria"/>
                <w:b/>
                <w:bCs/>
                <w:color w:val="FFFFFF" w:themeColor="background1"/>
                <w:sz w:val="19"/>
                <w:szCs w:val="19"/>
              </w:rPr>
              <w:t>:</w:t>
            </w:r>
          </w:p>
        </w:tc>
        <w:tc>
          <w:tcPr>
            <w:tcW w:w="5760" w:type="dxa"/>
            <w:vAlign w:val="center"/>
          </w:tcPr>
          <w:p w14:paraId="52B28392" w14:textId="2E19D0C0" w:rsidR="00223A29" w:rsidRPr="00771587" w:rsidRDefault="006B3E22" w:rsidP="008D2290">
            <w:pPr>
              <w:jc w:val="both"/>
              <w:rPr>
                <w:rFonts w:ascii="Cambria" w:hAnsi="Cambria"/>
                <w:bCs/>
                <w:sz w:val="19"/>
                <w:szCs w:val="19"/>
                <w:lang w:val="es-MX"/>
              </w:rPr>
            </w:pPr>
            <w:r w:rsidRPr="006B3E22">
              <w:rPr>
                <w:rFonts w:ascii="Cambria" w:hAnsi="Cambria"/>
                <w:bCs/>
                <w:sz w:val="19"/>
                <w:szCs w:val="19"/>
                <w:lang w:val="es-MX" w:bidi="es-ES"/>
              </w:rPr>
              <w:t>Artículos 1, 2, 3, 5, 7, 8, 9, 10, 11, 12, 14 y 28 de la Declaración Universal de Derechos Humanos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723817" w:rsidRDefault="004A6A54" w:rsidP="004A6A54">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P</w:t>
            </w:r>
            <w:r w:rsidR="004C2312" w:rsidRPr="00723817">
              <w:rPr>
                <w:rFonts w:ascii="Cambria" w:hAnsi="Cambria"/>
                <w:b/>
                <w:bCs/>
                <w:color w:val="FFFFFF" w:themeColor="background1"/>
                <w:sz w:val="19"/>
                <w:szCs w:val="19"/>
                <w:lang w:val="es-ES"/>
              </w:rPr>
              <w:t>resentación de la petición:</w:t>
            </w:r>
          </w:p>
        </w:tc>
        <w:tc>
          <w:tcPr>
            <w:tcW w:w="5760" w:type="dxa"/>
            <w:vAlign w:val="center"/>
          </w:tcPr>
          <w:p w14:paraId="6883A5F8" w14:textId="50CACF58" w:rsidR="004C2312" w:rsidRPr="00723817" w:rsidRDefault="006B3E22" w:rsidP="002625EA">
            <w:pPr>
              <w:jc w:val="both"/>
              <w:rPr>
                <w:rFonts w:ascii="Cambria" w:hAnsi="Cambria"/>
                <w:bCs/>
                <w:sz w:val="19"/>
                <w:szCs w:val="19"/>
                <w:lang w:val="es-ES"/>
              </w:rPr>
            </w:pPr>
            <w:r w:rsidRPr="006B3E22">
              <w:rPr>
                <w:rFonts w:ascii="Cambria" w:hAnsi="Cambria"/>
                <w:bCs/>
                <w:sz w:val="19"/>
                <w:szCs w:val="19"/>
                <w:lang w:val="es-ES"/>
              </w:rPr>
              <w:t>5 de diciembre de 2016</w:t>
            </w:r>
          </w:p>
        </w:tc>
      </w:tr>
      <w:tr w:rsidR="001D21C7" w:rsidRPr="00DF6B57"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1DAB0FD4" w:rsidR="001D21C7" w:rsidRPr="00723817" w:rsidRDefault="006B3E22" w:rsidP="001D21C7">
            <w:pPr>
              <w:jc w:val="center"/>
              <w:rPr>
                <w:rFonts w:ascii="Cambria" w:hAnsi="Cambria"/>
                <w:b/>
                <w:bCs/>
                <w:color w:val="FFFFFF" w:themeColor="background1"/>
                <w:sz w:val="19"/>
                <w:szCs w:val="19"/>
                <w:lang w:val="es-ES"/>
              </w:rPr>
            </w:pPr>
            <w:r>
              <w:rPr>
                <w:rFonts w:ascii="Cambria" w:hAnsi="Cambria"/>
                <w:b/>
                <w:color w:val="FFFFFF" w:themeColor="background1"/>
                <w:sz w:val="19"/>
                <w:szCs w:val="19"/>
                <w:lang w:val="es-ES"/>
              </w:rPr>
              <w:t>N</w:t>
            </w:r>
            <w:r w:rsidRPr="00723817">
              <w:rPr>
                <w:rFonts w:ascii="Cambria" w:hAnsi="Cambria"/>
                <w:b/>
                <w:color w:val="FFFFFF" w:themeColor="background1"/>
                <w:sz w:val="19"/>
                <w:szCs w:val="19"/>
                <w:lang w:val="es-ES"/>
              </w:rPr>
              <w:t>otificación de la petición al Estado:</w:t>
            </w:r>
          </w:p>
        </w:tc>
        <w:tc>
          <w:tcPr>
            <w:tcW w:w="5760" w:type="dxa"/>
            <w:vAlign w:val="center"/>
          </w:tcPr>
          <w:p w14:paraId="65CBC29E" w14:textId="092FEBBD" w:rsidR="001D21C7" w:rsidRPr="00DF6B57" w:rsidRDefault="006B3E22" w:rsidP="001D21C7">
            <w:pPr>
              <w:jc w:val="both"/>
              <w:rPr>
                <w:rFonts w:ascii="Cambria" w:hAnsi="Cambria"/>
                <w:bCs/>
                <w:sz w:val="19"/>
                <w:szCs w:val="19"/>
                <w:lang w:val="pt-BR"/>
              </w:rPr>
            </w:pPr>
            <w:r w:rsidRPr="006B3E22">
              <w:rPr>
                <w:rFonts w:ascii="Cambria" w:hAnsi="Cambria"/>
                <w:bCs/>
                <w:sz w:val="19"/>
                <w:szCs w:val="19"/>
                <w:lang w:val="pt-BR"/>
              </w:rPr>
              <w:t>15 de marzo de 2019</w:t>
            </w:r>
          </w:p>
        </w:tc>
      </w:tr>
      <w:tr w:rsidR="00DF6B57" w:rsidRPr="001D21C7" w14:paraId="32A2A6F9" w14:textId="77777777" w:rsidTr="004A6A54">
        <w:tc>
          <w:tcPr>
            <w:tcW w:w="3600" w:type="dxa"/>
            <w:tcBorders>
              <w:top w:val="single" w:sz="6" w:space="0" w:color="auto"/>
              <w:bottom w:val="single" w:sz="6" w:space="0" w:color="auto"/>
            </w:tcBorders>
            <w:shd w:val="clear" w:color="auto" w:fill="386294"/>
            <w:vAlign w:val="center"/>
          </w:tcPr>
          <w:p w14:paraId="3475C285" w14:textId="3F16249D" w:rsidR="00DF6B57" w:rsidRDefault="00DF6B57" w:rsidP="001D21C7">
            <w:pPr>
              <w:jc w:val="center"/>
              <w:rPr>
                <w:rFonts w:ascii="Cambria" w:hAnsi="Cambria"/>
                <w:b/>
                <w:color w:val="FFFFFF" w:themeColor="background1"/>
                <w:sz w:val="19"/>
                <w:szCs w:val="19"/>
                <w:lang w:val="es-ES"/>
              </w:rPr>
            </w:pPr>
            <w:r>
              <w:rPr>
                <w:rFonts w:ascii="Cambria" w:hAnsi="Cambria"/>
                <w:b/>
                <w:color w:val="FFFFFF" w:themeColor="background1"/>
                <w:sz w:val="19"/>
                <w:szCs w:val="19"/>
                <w:lang w:val="es-ES"/>
              </w:rPr>
              <w:t>Solicit</w:t>
            </w:r>
            <w:r w:rsidR="001F1BFE">
              <w:rPr>
                <w:rFonts w:ascii="Cambria" w:hAnsi="Cambria"/>
                <w:b/>
                <w:color w:val="FFFFFF" w:themeColor="background1"/>
                <w:sz w:val="19"/>
                <w:szCs w:val="19"/>
                <w:lang w:val="es-ES"/>
              </w:rPr>
              <w:t>ud de prórroga:</w:t>
            </w:r>
          </w:p>
        </w:tc>
        <w:tc>
          <w:tcPr>
            <w:tcW w:w="5760" w:type="dxa"/>
            <w:vAlign w:val="center"/>
          </w:tcPr>
          <w:p w14:paraId="24B44408" w14:textId="78D6E98A" w:rsidR="00DF6B57" w:rsidRPr="00DF6B57" w:rsidRDefault="006B3E22" w:rsidP="001D21C7">
            <w:pPr>
              <w:jc w:val="both"/>
              <w:rPr>
                <w:rFonts w:ascii="Cambria" w:hAnsi="Cambria"/>
                <w:bCs/>
                <w:sz w:val="19"/>
                <w:szCs w:val="19"/>
                <w:lang w:val="es-ES"/>
              </w:rPr>
            </w:pPr>
            <w:r w:rsidRPr="006B3E22">
              <w:rPr>
                <w:rFonts w:ascii="Cambria" w:hAnsi="Cambria"/>
                <w:bCs/>
                <w:sz w:val="19"/>
                <w:szCs w:val="19"/>
                <w:lang w:val="es-ES"/>
              </w:rPr>
              <w:t>21 de jun</w:t>
            </w:r>
            <w:r w:rsidR="002D05F6">
              <w:rPr>
                <w:rFonts w:ascii="Cambria" w:hAnsi="Cambria"/>
                <w:bCs/>
                <w:sz w:val="19"/>
                <w:szCs w:val="19"/>
                <w:lang w:val="es-ES"/>
              </w:rPr>
              <w:t>i</w:t>
            </w:r>
            <w:r w:rsidRPr="006B3E22">
              <w:rPr>
                <w:rFonts w:ascii="Cambria" w:hAnsi="Cambria"/>
                <w:bCs/>
                <w:sz w:val="19"/>
                <w:szCs w:val="19"/>
                <w:lang w:val="es-ES"/>
              </w:rPr>
              <w:t>o de 2019</w:t>
            </w:r>
          </w:p>
        </w:tc>
      </w:tr>
      <w:tr w:rsidR="001D21C7"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723817" w:rsidRDefault="001D21C7" w:rsidP="001D21C7">
            <w:pPr>
              <w:jc w:val="center"/>
              <w:rPr>
                <w:rFonts w:ascii="Cambria" w:hAnsi="Cambria"/>
                <w:b/>
                <w:bCs/>
                <w:color w:val="FFFFFF" w:themeColor="background1"/>
                <w:sz w:val="19"/>
                <w:szCs w:val="19"/>
                <w:lang w:val="es-ES"/>
              </w:rPr>
            </w:pPr>
            <w:r w:rsidRPr="00723817">
              <w:rPr>
                <w:rFonts w:ascii="Cambria" w:hAnsi="Cambria"/>
                <w:b/>
                <w:color w:val="FFFFFF" w:themeColor="background1"/>
                <w:sz w:val="19"/>
                <w:szCs w:val="19"/>
                <w:lang w:val="es-ES"/>
              </w:rPr>
              <w:t>Primera respuesta del Estado</w:t>
            </w:r>
            <w:r w:rsidR="00974312">
              <w:rPr>
                <w:rFonts w:ascii="Cambria" w:hAnsi="Cambria"/>
                <w:b/>
                <w:color w:val="FFFFFF" w:themeColor="background1"/>
                <w:sz w:val="19"/>
                <w:szCs w:val="19"/>
                <w:lang w:val="es-ES"/>
              </w:rPr>
              <w:t>:</w:t>
            </w:r>
          </w:p>
        </w:tc>
        <w:tc>
          <w:tcPr>
            <w:tcW w:w="5760" w:type="dxa"/>
            <w:vAlign w:val="center"/>
          </w:tcPr>
          <w:p w14:paraId="6B47064C" w14:textId="474C2D62" w:rsidR="001D21C7" w:rsidRPr="00723817" w:rsidRDefault="002D05F6" w:rsidP="001D21C7">
            <w:pPr>
              <w:jc w:val="both"/>
              <w:rPr>
                <w:rFonts w:ascii="Cambria" w:hAnsi="Cambria"/>
                <w:bCs/>
                <w:sz w:val="19"/>
                <w:szCs w:val="19"/>
                <w:lang w:val="es-ES"/>
              </w:rPr>
            </w:pPr>
            <w:r w:rsidRPr="002D05F6">
              <w:rPr>
                <w:rFonts w:ascii="Cambria" w:hAnsi="Cambria"/>
                <w:bCs/>
                <w:sz w:val="19"/>
                <w:szCs w:val="19"/>
                <w:lang w:val="es-ES"/>
              </w:rPr>
              <w:t>23 de jul</w:t>
            </w:r>
            <w:r>
              <w:rPr>
                <w:rFonts w:ascii="Cambria" w:hAnsi="Cambria"/>
                <w:bCs/>
                <w:sz w:val="19"/>
                <w:szCs w:val="19"/>
                <w:lang w:val="es-ES"/>
              </w:rPr>
              <w:t>i</w:t>
            </w:r>
            <w:r w:rsidRPr="002D05F6">
              <w:rPr>
                <w:rFonts w:ascii="Cambria" w:hAnsi="Cambria"/>
                <w:bCs/>
                <w:sz w:val="19"/>
                <w:szCs w:val="19"/>
                <w:lang w:val="es-ES"/>
              </w:rPr>
              <w:t>o de 2019</w:t>
            </w:r>
          </w:p>
        </w:tc>
      </w:tr>
      <w:tr w:rsidR="00DF6B57" w:rsidRPr="00E52F7F" w14:paraId="4B2A5E73" w14:textId="77777777" w:rsidTr="004A6A54">
        <w:tc>
          <w:tcPr>
            <w:tcW w:w="3600" w:type="dxa"/>
            <w:tcBorders>
              <w:top w:val="single" w:sz="6" w:space="0" w:color="auto"/>
              <w:bottom w:val="single" w:sz="6" w:space="0" w:color="auto"/>
            </w:tcBorders>
            <w:shd w:val="clear" w:color="auto" w:fill="386294"/>
            <w:vAlign w:val="center"/>
          </w:tcPr>
          <w:p w14:paraId="365AF93C" w14:textId="796D86F1" w:rsidR="00DF6B57" w:rsidRPr="00723817" w:rsidRDefault="00DF6B57" w:rsidP="001D21C7">
            <w:pPr>
              <w:jc w:val="center"/>
              <w:rPr>
                <w:rFonts w:ascii="Cambria" w:hAnsi="Cambria"/>
                <w:b/>
                <w:color w:val="FFFFFF" w:themeColor="background1"/>
                <w:sz w:val="19"/>
                <w:szCs w:val="19"/>
                <w:lang w:val="es-ES"/>
              </w:rPr>
            </w:pPr>
            <w:r>
              <w:rPr>
                <w:rFonts w:ascii="Cambria" w:hAnsi="Cambria"/>
                <w:b/>
                <w:color w:val="FFFFFF" w:themeColor="background1"/>
                <w:sz w:val="19"/>
                <w:szCs w:val="19"/>
                <w:lang w:val="es-ES"/>
              </w:rPr>
              <w:t>Observaciones adicionales de la parte peticionaria</w:t>
            </w:r>
            <w:r w:rsidR="001F1BFE">
              <w:rPr>
                <w:rFonts w:ascii="Cambria" w:hAnsi="Cambria"/>
                <w:b/>
                <w:color w:val="FFFFFF" w:themeColor="background1"/>
                <w:sz w:val="19"/>
                <w:szCs w:val="19"/>
                <w:lang w:val="es-ES"/>
              </w:rPr>
              <w:t>:</w:t>
            </w:r>
          </w:p>
        </w:tc>
        <w:tc>
          <w:tcPr>
            <w:tcW w:w="5760" w:type="dxa"/>
            <w:vAlign w:val="center"/>
          </w:tcPr>
          <w:p w14:paraId="5B183807" w14:textId="45201AD8" w:rsidR="00DF6B57" w:rsidRPr="00DF6B57" w:rsidRDefault="002D05F6" w:rsidP="001D21C7">
            <w:pPr>
              <w:jc w:val="both"/>
              <w:rPr>
                <w:rFonts w:ascii="Cambria" w:hAnsi="Cambria"/>
                <w:bCs/>
                <w:sz w:val="19"/>
                <w:szCs w:val="19"/>
                <w:lang w:val="es-MX"/>
              </w:rPr>
            </w:pPr>
            <w:r w:rsidRPr="002D05F6">
              <w:rPr>
                <w:rFonts w:ascii="Cambria" w:hAnsi="Cambria"/>
                <w:bCs/>
                <w:color w:val="000000" w:themeColor="text1"/>
                <w:sz w:val="20"/>
                <w:szCs w:val="20"/>
                <w:lang w:val="es-MX"/>
              </w:rPr>
              <w:t>19 de julio de 2021</w:t>
            </w:r>
            <w:r w:rsidR="00487538">
              <w:rPr>
                <w:rFonts w:ascii="Cambria" w:hAnsi="Cambria"/>
                <w:bCs/>
                <w:color w:val="000000" w:themeColor="text1"/>
                <w:sz w:val="20"/>
                <w:szCs w:val="20"/>
                <w:lang w:val="es-MX"/>
              </w:rPr>
              <w:t xml:space="preserve"> </w:t>
            </w:r>
          </w:p>
        </w:tc>
      </w:tr>
      <w:tr w:rsidR="005F34F5" w:rsidRPr="00E52F7F" w14:paraId="206ADFBF" w14:textId="77777777" w:rsidTr="004A6A54">
        <w:tc>
          <w:tcPr>
            <w:tcW w:w="3600" w:type="dxa"/>
            <w:tcBorders>
              <w:top w:val="single" w:sz="6" w:space="0" w:color="auto"/>
              <w:bottom w:val="single" w:sz="6" w:space="0" w:color="auto"/>
            </w:tcBorders>
            <w:shd w:val="clear" w:color="auto" w:fill="386294"/>
            <w:vAlign w:val="center"/>
          </w:tcPr>
          <w:p w14:paraId="447C086E" w14:textId="5C987F6D" w:rsidR="005F34F5" w:rsidRDefault="005F34F5" w:rsidP="001D21C7">
            <w:pPr>
              <w:jc w:val="center"/>
              <w:rPr>
                <w:rFonts w:ascii="Cambria" w:hAnsi="Cambria"/>
                <w:b/>
                <w:color w:val="FFFFFF" w:themeColor="background1"/>
                <w:sz w:val="19"/>
                <w:szCs w:val="19"/>
                <w:lang w:val="es-ES"/>
              </w:rPr>
            </w:pPr>
            <w:r>
              <w:rPr>
                <w:rFonts w:ascii="Cambria" w:hAnsi="Cambria"/>
                <w:b/>
                <w:color w:val="FFFFFF" w:themeColor="background1"/>
                <w:sz w:val="19"/>
                <w:szCs w:val="19"/>
                <w:lang w:val="es-ES"/>
              </w:rPr>
              <w:t>Advertencia sobre posible archivo:</w:t>
            </w:r>
          </w:p>
        </w:tc>
        <w:tc>
          <w:tcPr>
            <w:tcW w:w="5760" w:type="dxa"/>
            <w:vAlign w:val="center"/>
          </w:tcPr>
          <w:p w14:paraId="655C490A" w14:textId="1064342A" w:rsidR="005F34F5" w:rsidRPr="002D05F6" w:rsidRDefault="005F34F5" w:rsidP="001D21C7">
            <w:pPr>
              <w:jc w:val="both"/>
              <w:rPr>
                <w:rFonts w:ascii="Cambria" w:hAnsi="Cambria"/>
                <w:bCs/>
                <w:color w:val="000000" w:themeColor="text1"/>
                <w:sz w:val="20"/>
                <w:szCs w:val="20"/>
                <w:lang w:val="es-MX"/>
              </w:rPr>
            </w:pPr>
            <w:r>
              <w:rPr>
                <w:rFonts w:ascii="Cambria" w:hAnsi="Cambria"/>
                <w:bCs/>
                <w:color w:val="000000" w:themeColor="text1"/>
                <w:sz w:val="20"/>
                <w:szCs w:val="20"/>
                <w:lang w:val="es-MX"/>
              </w:rPr>
              <w:t>21 de junio de 2021</w:t>
            </w:r>
          </w:p>
        </w:tc>
      </w:tr>
      <w:tr w:rsidR="005F34F5" w:rsidRPr="00E52F7F" w14:paraId="19B53870" w14:textId="77777777" w:rsidTr="004A6A54">
        <w:tc>
          <w:tcPr>
            <w:tcW w:w="3600" w:type="dxa"/>
            <w:tcBorders>
              <w:top w:val="single" w:sz="6" w:space="0" w:color="auto"/>
              <w:bottom w:val="single" w:sz="6" w:space="0" w:color="auto"/>
            </w:tcBorders>
            <w:shd w:val="clear" w:color="auto" w:fill="386294"/>
            <w:vAlign w:val="center"/>
          </w:tcPr>
          <w:p w14:paraId="37DE6F69" w14:textId="058667A5" w:rsidR="005F34F5" w:rsidRDefault="005F34F5" w:rsidP="001D21C7">
            <w:pPr>
              <w:jc w:val="center"/>
              <w:rPr>
                <w:rFonts w:ascii="Cambria" w:hAnsi="Cambria"/>
                <w:b/>
                <w:color w:val="FFFFFF" w:themeColor="background1"/>
                <w:sz w:val="19"/>
                <w:szCs w:val="19"/>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r>
              <w:rPr>
                <w:rFonts w:ascii="Cambria" w:hAnsi="Cambria"/>
                <w:b/>
                <w:bCs/>
                <w:color w:val="FFFFFF" w:themeColor="background1"/>
                <w:sz w:val="20"/>
                <w:szCs w:val="20"/>
                <w:lang w:val="es-ES"/>
              </w:rPr>
              <w:t>:</w:t>
            </w:r>
          </w:p>
        </w:tc>
        <w:tc>
          <w:tcPr>
            <w:tcW w:w="5760" w:type="dxa"/>
            <w:vAlign w:val="center"/>
          </w:tcPr>
          <w:p w14:paraId="6B64EBC1" w14:textId="7BB2A8CE" w:rsidR="005F34F5" w:rsidRPr="002D05F6" w:rsidRDefault="005F34F5" w:rsidP="001D21C7">
            <w:pPr>
              <w:jc w:val="both"/>
              <w:rPr>
                <w:rFonts w:ascii="Cambria" w:hAnsi="Cambria"/>
                <w:bCs/>
                <w:color w:val="000000" w:themeColor="text1"/>
                <w:sz w:val="20"/>
                <w:szCs w:val="20"/>
                <w:lang w:val="es-MX"/>
              </w:rPr>
            </w:pPr>
            <w:r>
              <w:rPr>
                <w:rFonts w:ascii="Cambria" w:hAnsi="Cambria"/>
                <w:bCs/>
                <w:color w:val="000000" w:themeColor="text1"/>
                <w:sz w:val="20"/>
                <w:szCs w:val="20"/>
                <w:lang w:val="es-MX"/>
              </w:rPr>
              <w:t>30 de noviembre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723817" w:rsidRDefault="003239B8" w:rsidP="008D2290">
            <w:pPr>
              <w:jc w:val="center"/>
              <w:rPr>
                <w:rFonts w:ascii="Cambria" w:hAnsi="Cambria"/>
                <w:b/>
                <w:bCs/>
                <w:i/>
                <w:color w:val="FFFFFF" w:themeColor="background1"/>
                <w:sz w:val="19"/>
                <w:szCs w:val="19"/>
              </w:rPr>
            </w:pPr>
            <w:r w:rsidRPr="00723817">
              <w:rPr>
                <w:rFonts w:ascii="Cambria" w:hAnsi="Cambria"/>
                <w:b/>
                <w:bCs/>
                <w:color w:val="FFFFFF" w:themeColor="background1"/>
                <w:sz w:val="19"/>
                <w:szCs w:val="19"/>
              </w:rPr>
              <w:t>Competencia</w:t>
            </w:r>
            <w:r w:rsidRPr="00723817">
              <w:rPr>
                <w:rFonts w:ascii="Cambria" w:hAnsi="Cambria"/>
                <w:b/>
                <w:bCs/>
                <w:i/>
                <w:color w:val="FFFFFF" w:themeColor="background1"/>
                <w:sz w:val="19"/>
                <w:szCs w:val="19"/>
              </w:rPr>
              <w:t xml:space="preserve"> Ratione personae:</w:t>
            </w:r>
          </w:p>
        </w:tc>
        <w:tc>
          <w:tcPr>
            <w:tcW w:w="5760" w:type="dxa"/>
            <w:vAlign w:val="center"/>
          </w:tcPr>
          <w:p w14:paraId="1E494D5D" w14:textId="47C0DB82" w:rsidR="003239B8" w:rsidRPr="00723817" w:rsidRDefault="00A004BB" w:rsidP="008D2290">
            <w:pPr>
              <w:rPr>
                <w:rFonts w:ascii="Cambria" w:hAnsi="Cambria"/>
                <w:bCs/>
                <w:sz w:val="19"/>
                <w:szCs w:val="19"/>
              </w:rPr>
            </w:pPr>
            <w:r w:rsidRPr="00723817">
              <w:rPr>
                <w:rFonts w:ascii="Cambria" w:hAnsi="Cambria"/>
                <w:bCs/>
                <w:sz w:val="19"/>
                <w:szCs w:val="19"/>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723817" w:rsidRDefault="003239B8" w:rsidP="008D2290">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Competencia</w:t>
            </w:r>
            <w:r w:rsidRPr="00723817">
              <w:rPr>
                <w:rFonts w:ascii="Cambria" w:hAnsi="Cambria"/>
                <w:b/>
                <w:bCs/>
                <w:i/>
                <w:color w:val="FFFFFF" w:themeColor="background1"/>
                <w:sz w:val="19"/>
                <w:szCs w:val="19"/>
              </w:rPr>
              <w:t xml:space="preserve"> Ratione loci</w:t>
            </w:r>
            <w:r w:rsidRPr="00723817">
              <w:rPr>
                <w:rFonts w:ascii="Cambria" w:hAnsi="Cambria"/>
                <w:b/>
                <w:bCs/>
                <w:color w:val="FFFFFF" w:themeColor="background1"/>
                <w:sz w:val="19"/>
                <w:szCs w:val="19"/>
              </w:rPr>
              <w:t>:</w:t>
            </w:r>
          </w:p>
        </w:tc>
        <w:tc>
          <w:tcPr>
            <w:tcW w:w="5760" w:type="dxa"/>
            <w:vAlign w:val="center"/>
          </w:tcPr>
          <w:p w14:paraId="77C8256A" w14:textId="5E819D9D" w:rsidR="003239B8" w:rsidRPr="00723817" w:rsidRDefault="00A004BB" w:rsidP="008D2290">
            <w:pPr>
              <w:rPr>
                <w:rFonts w:ascii="Cambria" w:hAnsi="Cambria"/>
                <w:bCs/>
                <w:sz w:val="19"/>
                <w:szCs w:val="19"/>
              </w:rPr>
            </w:pPr>
            <w:r w:rsidRPr="00723817">
              <w:rPr>
                <w:rFonts w:ascii="Cambria" w:hAnsi="Cambria"/>
                <w:bCs/>
                <w:sz w:val="19"/>
                <w:szCs w:val="19"/>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723817" w:rsidRDefault="003239B8" w:rsidP="008D2290">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Competencia</w:t>
            </w:r>
            <w:r w:rsidRPr="00723817">
              <w:rPr>
                <w:rFonts w:ascii="Cambria" w:hAnsi="Cambria"/>
                <w:b/>
                <w:bCs/>
                <w:i/>
                <w:color w:val="FFFFFF" w:themeColor="background1"/>
                <w:sz w:val="19"/>
                <w:szCs w:val="19"/>
              </w:rPr>
              <w:t xml:space="preserve"> Ratione temporis</w:t>
            </w:r>
            <w:r w:rsidRPr="00723817">
              <w:rPr>
                <w:rFonts w:ascii="Cambria" w:hAnsi="Cambria"/>
                <w:b/>
                <w:bCs/>
                <w:color w:val="FFFFFF" w:themeColor="background1"/>
                <w:sz w:val="19"/>
                <w:szCs w:val="19"/>
              </w:rPr>
              <w:t>:</w:t>
            </w:r>
          </w:p>
        </w:tc>
        <w:tc>
          <w:tcPr>
            <w:tcW w:w="5760" w:type="dxa"/>
            <w:vAlign w:val="center"/>
          </w:tcPr>
          <w:p w14:paraId="523F6BD6" w14:textId="69B6757A" w:rsidR="003239B8" w:rsidRPr="00723817" w:rsidRDefault="00A004BB" w:rsidP="008D2290">
            <w:pPr>
              <w:rPr>
                <w:rFonts w:ascii="Cambria" w:hAnsi="Cambria"/>
                <w:bCs/>
                <w:sz w:val="19"/>
                <w:szCs w:val="19"/>
              </w:rPr>
            </w:pPr>
            <w:r w:rsidRPr="00723817">
              <w:rPr>
                <w:rFonts w:ascii="Cambria" w:hAnsi="Cambria"/>
                <w:bCs/>
                <w:sz w:val="19"/>
                <w:szCs w:val="19"/>
              </w:rPr>
              <w:t>Sí</w:t>
            </w:r>
          </w:p>
        </w:tc>
      </w:tr>
      <w:tr w:rsidR="003239B8" w:rsidRPr="00EE6CE0"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723817" w:rsidRDefault="003239B8" w:rsidP="008D2290">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Competencia</w:t>
            </w:r>
            <w:r w:rsidRPr="00723817">
              <w:rPr>
                <w:rFonts w:ascii="Cambria" w:hAnsi="Cambria"/>
                <w:b/>
                <w:bCs/>
                <w:i/>
                <w:color w:val="FFFFFF" w:themeColor="background1"/>
                <w:sz w:val="19"/>
                <w:szCs w:val="19"/>
              </w:rPr>
              <w:t xml:space="preserve"> Ratione materia</w:t>
            </w:r>
            <w:r w:rsidR="00EE00E9" w:rsidRPr="00723817">
              <w:rPr>
                <w:rFonts w:ascii="Cambria" w:hAnsi="Cambria"/>
                <w:b/>
                <w:bCs/>
                <w:i/>
                <w:color w:val="FFFFFF" w:themeColor="background1"/>
                <w:sz w:val="19"/>
                <w:szCs w:val="19"/>
              </w:rPr>
              <w:t>e</w:t>
            </w:r>
            <w:r w:rsidRPr="00723817">
              <w:rPr>
                <w:rFonts w:ascii="Cambria" w:hAnsi="Cambria"/>
                <w:b/>
                <w:bCs/>
                <w:color w:val="FFFFFF" w:themeColor="background1"/>
                <w:sz w:val="19"/>
                <w:szCs w:val="19"/>
              </w:rPr>
              <w:t>:</w:t>
            </w:r>
          </w:p>
        </w:tc>
        <w:tc>
          <w:tcPr>
            <w:tcW w:w="5760" w:type="dxa"/>
            <w:vAlign w:val="center"/>
          </w:tcPr>
          <w:p w14:paraId="257C8337" w14:textId="610BFE1C" w:rsidR="003239B8" w:rsidRPr="00723817" w:rsidRDefault="00A004BB" w:rsidP="008D2290">
            <w:pPr>
              <w:jc w:val="both"/>
              <w:rPr>
                <w:rFonts w:ascii="Cambria" w:hAnsi="Cambria"/>
                <w:bCs/>
                <w:sz w:val="19"/>
                <w:szCs w:val="19"/>
                <w:lang w:val="es-ES"/>
              </w:rPr>
            </w:pPr>
            <w:r w:rsidRPr="00723817">
              <w:rPr>
                <w:rFonts w:ascii="Cambria" w:hAnsi="Cambria"/>
                <w:bCs/>
                <w:sz w:val="19"/>
                <w:szCs w:val="19"/>
                <w:lang w:val="es-ES" w:bidi="es-ES"/>
              </w:rPr>
              <w:t>Sí, Convención Americana</w:t>
            </w:r>
            <w:r w:rsidR="00C13742">
              <w:rPr>
                <w:rFonts w:ascii="Cambria" w:hAnsi="Cambria"/>
                <w:bCs/>
                <w:sz w:val="19"/>
                <w:szCs w:val="19"/>
                <w:lang w:val="es-ES" w:bidi="es-ES"/>
              </w:rPr>
              <w:t xml:space="preserve"> sobre Derechos Humanos</w:t>
            </w:r>
            <w:r w:rsidR="00C13742">
              <w:rPr>
                <w:rStyle w:val="FootnoteReference"/>
                <w:rFonts w:ascii="Cambria" w:hAnsi="Cambria"/>
                <w:bCs/>
                <w:sz w:val="20"/>
                <w:szCs w:val="20"/>
                <w:lang w:val="es-ES"/>
              </w:rPr>
              <w:footnoteReference w:id="3"/>
            </w:r>
            <w:r w:rsidRPr="00723817">
              <w:rPr>
                <w:rFonts w:ascii="Cambria" w:hAnsi="Cambria"/>
                <w:bCs/>
                <w:sz w:val="19"/>
                <w:szCs w:val="19"/>
                <w:lang w:val="es-ES" w:bidi="es-ES"/>
              </w:rPr>
              <w:t xml:space="preserve"> (depósito de instrumento realizado el </w:t>
            </w:r>
            <w:r w:rsidR="008205F3">
              <w:rPr>
                <w:rFonts w:ascii="Cambria" w:hAnsi="Cambria"/>
                <w:bCs/>
                <w:sz w:val="19"/>
                <w:szCs w:val="19"/>
                <w:lang w:val="es-ES" w:bidi="es-ES"/>
              </w:rPr>
              <w:t>25</w:t>
            </w:r>
            <w:r w:rsidRPr="00723817">
              <w:rPr>
                <w:rFonts w:ascii="Cambria" w:hAnsi="Cambria"/>
                <w:bCs/>
                <w:sz w:val="19"/>
                <w:szCs w:val="19"/>
                <w:lang w:val="es-ES" w:bidi="es-ES"/>
              </w:rPr>
              <w:t xml:space="preserve"> de </w:t>
            </w:r>
            <w:r w:rsidR="008205F3">
              <w:rPr>
                <w:rFonts w:ascii="Cambria" w:hAnsi="Cambria"/>
                <w:bCs/>
                <w:sz w:val="19"/>
                <w:szCs w:val="19"/>
                <w:lang w:val="es-ES" w:bidi="es-ES"/>
              </w:rPr>
              <w:t>septiembre</w:t>
            </w:r>
            <w:r w:rsidRPr="00723817">
              <w:rPr>
                <w:rFonts w:ascii="Cambria" w:hAnsi="Cambria"/>
                <w:bCs/>
                <w:sz w:val="19"/>
                <w:szCs w:val="19"/>
                <w:lang w:val="es-ES" w:bidi="es-ES"/>
              </w:rPr>
              <w:t xml:space="preserve"> de 19</w:t>
            </w:r>
            <w:r w:rsidR="008205F3">
              <w:rPr>
                <w:rFonts w:ascii="Cambria" w:hAnsi="Cambria"/>
                <w:bCs/>
                <w:sz w:val="19"/>
                <w:szCs w:val="19"/>
                <w:lang w:val="es-ES" w:bidi="es-ES"/>
              </w:rPr>
              <w:t>92)</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3E51E9" w14:paraId="161C8568" w14:textId="77777777" w:rsidTr="000342AB">
        <w:trPr>
          <w:cantSplit/>
        </w:trPr>
        <w:tc>
          <w:tcPr>
            <w:tcW w:w="3563" w:type="dxa"/>
            <w:tcBorders>
              <w:top w:val="single" w:sz="4" w:space="0" w:color="auto"/>
              <w:bottom w:val="single" w:sz="6" w:space="0" w:color="auto"/>
            </w:tcBorders>
            <w:shd w:val="clear" w:color="auto" w:fill="386294"/>
            <w:vAlign w:val="center"/>
          </w:tcPr>
          <w:p w14:paraId="1C72AC6C" w14:textId="77777777" w:rsidR="00EE00E9" w:rsidRPr="00723817" w:rsidRDefault="00EE00E9" w:rsidP="008D2290">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Duplicación de procedimientos y cosa juzgada internacional:</w:t>
            </w:r>
          </w:p>
        </w:tc>
        <w:tc>
          <w:tcPr>
            <w:tcW w:w="5679" w:type="dxa"/>
            <w:vAlign w:val="center"/>
          </w:tcPr>
          <w:p w14:paraId="764D7F60" w14:textId="003B40D1" w:rsidR="00EE00E9" w:rsidRPr="00723817" w:rsidRDefault="00A004BB" w:rsidP="008D2290">
            <w:pPr>
              <w:jc w:val="both"/>
              <w:rPr>
                <w:rFonts w:ascii="Cambria" w:hAnsi="Cambria"/>
                <w:bCs/>
                <w:sz w:val="19"/>
                <w:szCs w:val="19"/>
                <w:lang w:val="es-ES"/>
              </w:rPr>
            </w:pPr>
            <w:r w:rsidRPr="00723817">
              <w:rPr>
                <w:rFonts w:ascii="Cambria" w:hAnsi="Cambria"/>
                <w:bCs/>
                <w:sz w:val="19"/>
                <w:szCs w:val="19"/>
                <w:lang w:val="es-ES"/>
              </w:rPr>
              <w:t>No</w:t>
            </w:r>
          </w:p>
        </w:tc>
      </w:tr>
      <w:tr w:rsidR="003239B8" w:rsidRPr="00EE6CE0" w14:paraId="3ED57BF3" w14:textId="77777777" w:rsidTr="000342AB">
        <w:trPr>
          <w:cantSplit/>
        </w:trPr>
        <w:tc>
          <w:tcPr>
            <w:tcW w:w="3563" w:type="dxa"/>
            <w:tcBorders>
              <w:top w:val="single" w:sz="4" w:space="0" w:color="auto"/>
              <w:bottom w:val="single" w:sz="6" w:space="0" w:color="auto"/>
            </w:tcBorders>
            <w:shd w:val="clear" w:color="auto" w:fill="386294"/>
            <w:vAlign w:val="center"/>
          </w:tcPr>
          <w:p w14:paraId="5F36A040" w14:textId="77777777" w:rsidR="003239B8" w:rsidRPr="00723817" w:rsidRDefault="003239B8" w:rsidP="008D2290">
            <w:pPr>
              <w:jc w:val="center"/>
              <w:rPr>
                <w:rFonts w:ascii="Cambria" w:hAnsi="Cambria"/>
                <w:b/>
                <w:bCs/>
                <w:i/>
                <w:color w:val="FFFFFF" w:themeColor="background1"/>
                <w:sz w:val="19"/>
                <w:szCs w:val="19"/>
              </w:rPr>
            </w:pPr>
            <w:r w:rsidRPr="00723817">
              <w:rPr>
                <w:rFonts w:ascii="Cambria" w:hAnsi="Cambria"/>
                <w:b/>
                <w:bCs/>
                <w:color w:val="FFFFFF" w:themeColor="background1"/>
                <w:sz w:val="19"/>
                <w:szCs w:val="19"/>
              </w:rPr>
              <w:t>Derechos declarados admisibles</w:t>
            </w:r>
            <w:r w:rsidRPr="00723817">
              <w:rPr>
                <w:rFonts w:ascii="Cambria" w:hAnsi="Cambria"/>
                <w:b/>
                <w:bCs/>
                <w:i/>
                <w:color w:val="FFFFFF" w:themeColor="background1"/>
                <w:sz w:val="19"/>
                <w:szCs w:val="19"/>
              </w:rPr>
              <w:t>:</w:t>
            </w:r>
          </w:p>
        </w:tc>
        <w:tc>
          <w:tcPr>
            <w:tcW w:w="5679" w:type="dxa"/>
            <w:vAlign w:val="center"/>
          </w:tcPr>
          <w:p w14:paraId="4DAE9D4D" w14:textId="149AEB2B" w:rsidR="003239B8" w:rsidRPr="00723817" w:rsidRDefault="002D05F6" w:rsidP="008D2290">
            <w:pPr>
              <w:jc w:val="both"/>
              <w:rPr>
                <w:rFonts w:ascii="Cambria" w:hAnsi="Cambria"/>
                <w:bCs/>
                <w:sz w:val="19"/>
                <w:szCs w:val="19"/>
                <w:lang w:val="es-ES"/>
              </w:rPr>
            </w:pPr>
            <w:r w:rsidRPr="002D05F6">
              <w:rPr>
                <w:rFonts w:ascii="Cambria" w:hAnsi="Cambria"/>
                <w:bCs/>
                <w:sz w:val="19"/>
                <w:szCs w:val="19"/>
                <w:lang w:val="es-ES" w:bidi="es-ES"/>
              </w:rPr>
              <w:t>Artículos 8 (garantías judiciales), 13 (libertad de expresión) y 25 (</w:t>
            </w:r>
            <w:r w:rsidR="005A1FCB">
              <w:rPr>
                <w:rFonts w:ascii="Cambria" w:hAnsi="Cambria"/>
                <w:bCs/>
                <w:sz w:val="19"/>
                <w:szCs w:val="19"/>
                <w:lang w:val="es-ES" w:bidi="es-ES"/>
              </w:rPr>
              <w:t>pr</w:t>
            </w:r>
            <w:r w:rsidRPr="002D05F6">
              <w:rPr>
                <w:rFonts w:ascii="Cambria" w:hAnsi="Cambria"/>
                <w:bCs/>
                <w:sz w:val="19"/>
                <w:szCs w:val="19"/>
                <w:lang w:val="es-ES" w:bidi="es-ES"/>
              </w:rPr>
              <w:t>otección judicial) de la Convención Americana</w:t>
            </w:r>
            <w:r w:rsidR="00EA335D">
              <w:rPr>
                <w:rFonts w:ascii="Cambria" w:hAnsi="Cambria"/>
                <w:bCs/>
                <w:sz w:val="19"/>
                <w:szCs w:val="19"/>
                <w:lang w:val="es-ES" w:bidi="es-ES"/>
              </w:rPr>
              <w:t>,</w:t>
            </w:r>
            <w:r w:rsidR="00EA335D" w:rsidRPr="00EA335D">
              <w:rPr>
                <w:rFonts w:ascii="Cambria" w:hAnsi="Cambria"/>
                <w:bCs/>
                <w:sz w:val="19"/>
                <w:szCs w:val="19"/>
                <w:lang w:val="es-ES_tradnl" w:bidi="es-ES"/>
              </w:rPr>
              <w:t xml:space="preserve"> en relación con su artículo 1.1</w:t>
            </w:r>
          </w:p>
        </w:tc>
      </w:tr>
      <w:tr w:rsidR="003239B8" w:rsidRPr="00EE6CE0" w14:paraId="5702249F" w14:textId="77777777" w:rsidTr="000342AB">
        <w:trPr>
          <w:cantSplit/>
        </w:trPr>
        <w:tc>
          <w:tcPr>
            <w:tcW w:w="3563" w:type="dxa"/>
            <w:tcBorders>
              <w:top w:val="single" w:sz="6" w:space="0" w:color="auto"/>
              <w:bottom w:val="single" w:sz="6" w:space="0" w:color="auto"/>
            </w:tcBorders>
            <w:shd w:val="clear" w:color="auto" w:fill="386294"/>
            <w:vAlign w:val="center"/>
          </w:tcPr>
          <w:p w14:paraId="1F00DF1D" w14:textId="77777777" w:rsidR="003239B8" w:rsidRPr="00723817" w:rsidRDefault="003239B8" w:rsidP="008D2290">
            <w:pPr>
              <w:jc w:val="center"/>
              <w:rPr>
                <w:rFonts w:ascii="Cambria" w:hAnsi="Cambria"/>
                <w:b/>
                <w:bCs/>
                <w:color w:val="FFFFFF" w:themeColor="background1"/>
                <w:sz w:val="19"/>
                <w:szCs w:val="19"/>
                <w:lang w:val="es-ES"/>
              </w:rPr>
            </w:pPr>
            <w:r w:rsidRPr="00723817">
              <w:rPr>
                <w:rFonts w:ascii="Cambria" w:hAnsi="Cambria"/>
                <w:b/>
                <w:bCs/>
                <w:color w:val="FFFFFF" w:themeColor="background1"/>
                <w:sz w:val="19"/>
                <w:szCs w:val="19"/>
                <w:lang w:val="es-ES"/>
              </w:rPr>
              <w:t>Agotamiento de recursos internos</w:t>
            </w:r>
            <w:r w:rsidR="00EE00E9" w:rsidRPr="00723817">
              <w:rPr>
                <w:rFonts w:ascii="Cambria" w:hAnsi="Cambria"/>
                <w:b/>
                <w:bCs/>
                <w:color w:val="FFFFFF" w:themeColor="background1"/>
                <w:sz w:val="19"/>
                <w:szCs w:val="19"/>
                <w:lang w:val="es-ES"/>
              </w:rPr>
              <w:t xml:space="preserve"> o procedencia de una excepción</w:t>
            </w:r>
            <w:r w:rsidRPr="00723817">
              <w:rPr>
                <w:rFonts w:ascii="Cambria" w:hAnsi="Cambria"/>
                <w:b/>
                <w:bCs/>
                <w:color w:val="FFFFFF" w:themeColor="background1"/>
                <w:sz w:val="19"/>
                <w:szCs w:val="19"/>
                <w:lang w:val="es-ES"/>
              </w:rPr>
              <w:t>:</w:t>
            </w:r>
          </w:p>
        </w:tc>
        <w:tc>
          <w:tcPr>
            <w:tcW w:w="5679" w:type="dxa"/>
            <w:vAlign w:val="center"/>
          </w:tcPr>
          <w:p w14:paraId="7F7C1A19" w14:textId="769CD28B" w:rsidR="003239B8" w:rsidRPr="00723817" w:rsidRDefault="00A004BB" w:rsidP="008D2290">
            <w:pPr>
              <w:rPr>
                <w:rFonts w:ascii="Cambria" w:hAnsi="Cambria"/>
                <w:bCs/>
                <w:sz w:val="19"/>
                <w:szCs w:val="19"/>
                <w:lang w:val="es-ES"/>
              </w:rPr>
            </w:pPr>
            <w:r w:rsidRPr="00723817">
              <w:rPr>
                <w:rFonts w:ascii="Cambria" w:hAnsi="Cambria"/>
                <w:bCs/>
                <w:sz w:val="19"/>
                <w:szCs w:val="19"/>
                <w:lang w:val="es-ES" w:bidi="es-ES"/>
              </w:rPr>
              <w:t>Sí</w:t>
            </w:r>
            <w:r w:rsidR="00975A02">
              <w:rPr>
                <w:rFonts w:ascii="Cambria" w:hAnsi="Cambria"/>
                <w:bCs/>
                <w:sz w:val="19"/>
                <w:szCs w:val="19"/>
                <w:lang w:val="es-ES" w:bidi="es-ES"/>
              </w:rPr>
              <w:t>, en los términos de la sección VI</w:t>
            </w:r>
            <w:r w:rsidR="000342AB">
              <w:rPr>
                <w:rFonts w:ascii="Cambria" w:hAnsi="Cambria"/>
                <w:bCs/>
                <w:sz w:val="19"/>
                <w:szCs w:val="19"/>
                <w:lang w:val="es-ES" w:bidi="es-ES"/>
              </w:rPr>
              <w:t xml:space="preserve"> </w:t>
            </w:r>
          </w:p>
        </w:tc>
      </w:tr>
      <w:tr w:rsidR="000342AB" w:rsidRPr="00EE6CE0" w14:paraId="7A101B89" w14:textId="77777777" w:rsidTr="000342AB">
        <w:trPr>
          <w:cantSplit/>
        </w:trPr>
        <w:tc>
          <w:tcPr>
            <w:tcW w:w="3563" w:type="dxa"/>
            <w:tcBorders>
              <w:top w:val="single" w:sz="6" w:space="0" w:color="auto"/>
              <w:bottom w:val="single" w:sz="6" w:space="0" w:color="auto"/>
            </w:tcBorders>
            <w:shd w:val="clear" w:color="auto" w:fill="386294"/>
            <w:vAlign w:val="center"/>
          </w:tcPr>
          <w:p w14:paraId="0843C533" w14:textId="77777777" w:rsidR="000342AB" w:rsidRPr="00723817" w:rsidRDefault="000342AB" w:rsidP="000342AB">
            <w:pPr>
              <w:jc w:val="center"/>
              <w:rPr>
                <w:rFonts w:ascii="Cambria" w:hAnsi="Cambria"/>
                <w:b/>
                <w:bCs/>
                <w:color w:val="FFFFFF" w:themeColor="background1"/>
                <w:sz w:val="19"/>
                <w:szCs w:val="19"/>
              </w:rPr>
            </w:pPr>
            <w:r w:rsidRPr="00723817">
              <w:rPr>
                <w:rFonts w:ascii="Cambria" w:hAnsi="Cambria"/>
                <w:b/>
                <w:bCs/>
                <w:color w:val="FFFFFF" w:themeColor="background1"/>
                <w:sz w:val="19"/>
                <w:szCs w:val="19"/>
              </w:rPr>
              <w:t>Presentación dentro de plazo:</w:t>
            </w:r>
          </w:p>
        </w:tc>
        <w:tc>
          <w:tcPr>
            <w:tcW w:w="5679" w:type="dxa"/>
            <w:vAlign w:val="center"/>
          </w:tcPr>
          <w:p w14:paraId="2AF0FC69" w14:textId="1B63A588" w:rsidR="000342AB" w:rsidRPr="00723817" w:rsidRDefault="000342AB" w:rsidP="000342AB">
            <w:pPr>
              <w:rPr>
                <w:rFonts w:ascii="Cambria" w:hAnsi="Cambria"/>
                <w:bCs/>
                <w:sz w:val="19"/>
                <w:szCs w:val="19"/>
                <w:lang w:val="es-ES"/>
              </w:rPr>
            </w:pPr>
            <w:r w:rsidRPr="00723817">
              <w:rPr>
                <w:rFonts w:ascii="Cambria" w:hAnsi="Cambria"/>
                <w:bCs/>
                <w:sz w:val="19"/>
                <w:szCs w:val="19"/>
                <w:lang w:val="es-ES" w:bidi="es-ES"/>
              </w:rPr>
              <w:t>Sí</w:t>
            </w:r>
            <w:r w:rsidR="00975A02">
              <w:rPr>
                <w:rFonts w:ascii="Cambria" w:hAnsi="Cambria"/>
                <w:bCs/>
                <w:sz w:val="19"/>
                <w:szCs w:val="19"/>
                <w:lang w:val="es-ES" w:bidi="es-ES"/>
              </w:rPr>
              <w:t>, en los términos de la sección VI</w:t>
            </w:r>
          </w:p>
        </w:tc>
      </w:tr>
    </w:tbl>
    <w:p w14:paraId="56FD5D57" w14:textId="18B0EAEB" w:rsidR="003239B8" w:rsidRDefault="00223A29" w:rsidP="00DA79C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5630E667" w14:textId="7A10F2CD" w:rsidR="00975A02" w:rsidRPr="00975A02" w:rsidRDefault="00975A02" w:rsidP="00DA79C8">
      <w:pPr>
        <w:spacing w:before="240" w:after="240"/>
        <w:ind w:firstLine="720"/>
        <w:jc w:val="both"/>
        <w:rPr>
          <w:rFonts w:asciiTheme="majorHAnsi" w:hAnsiTheme="majorHAnsi"/>
          <w:bCs/>
          <w:i/>
          <w:iCs/>
          <w:sz w:val="20"/>
          <w:szCs w:val="20"/>
          <w:lang w:val="es-UY"/>
        </w:rPr>
      </w:pPr>
      <w:r>
        <w:rPr>
          <w:rFonts w:asciiTheme="majorHAnsi" w:hAnsiTheme="majorHAnsi"/>
          <w:bCs/>
          <w:i/>
          <w:iCs/>
          <w:sz w:val="20"/>
          <w:szCs w:val="20"/>
          <w:lang w:val="es-UY"/>
        </w:rPr>
        <w:t>Alegatos de la parte peticionaria</w:t>
      </w:r>
    </w:p>
    <w:p w14:paraId="11271A34" w14:textId="1C842738" w:rsidR="00C10D3A" w:rsidRPr="00DA79C8" w:rsidRDefault="00C10D3A"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DA79C8">
        <w:rPr>
          <w:sz w:val="20"/>
          <w:szCs w:val="20"/>
          <w:lang w:val="es-ES_tradnl"/>
        </w:rPr>
        <w:t>La señora Martha González, en su condición de peticionaria y presunta víctima,</w:t>
      </w:r>
      <w:r w:rsidR="002D05F6" w:rsidRPr="00DA79C8">
        <w:rPr>
          <w:sz w:val="20"/>
          <w:szCs w:val="20"/>
          <w:lang w:val="es-ES_tradnl"/>
        </w:rPr>
        <w:t xml:space="preserve"> </w:t>
      </w:r>
      <w:r w:rsidRPr="00DA79C8">
        <w:rPr>
          <w:sz w:val="20"/>
          <w:szCs w:val="20"/>
          <w:lang w:val="es-ES_tradnl"/>
        </w:rPr>
        <w:t>denuncia que</w:t>
      </w:r>
      <w:r w:rsidR="002D05F6" w:rsidRPr="00DA79C8">
        <w:rPr>
          <w:sz w:val="20"/>
          <w:szCs w:val="20"/>
          <w:lang w:val="es-ES_tradnl"/>
        </w:rPr>
        <w:t xml:space="preserve"> </w:t>
      </w:r>
      <w:r w:rsidRPr="00DA79C8">
        <w:rPr>
          <w:sz w:val="20"/>
          <w:szCs w:val="20"/>
          <w:lang w:val="es-ES_tradnl"/>
        </w:rPr>
        <w:t>las autoridades judiciales la condenaron por el delito de denuncia calumni</w:t>
      </w:r>
      <w:r w:rsidR="00F04DC6" w:rsidRPr="00DA79C8">
        <w:rPr>
          <w:sz w:val="20"/>
          <w:szCs w:val="20"/>
          <w:lang w:val="es-ES_tradnl"/>
        </w:rPr>
        <w:t>osa</w:t>
      </w:r>
      <w:r w:rsidRPr="00DA79C8">
        <w:rPr>
          <w:sz w:val="20"/>
          <w:szCs w:val="20"/>
          <w:lang w:val="es-ES_tradnl"/>
        </w:rPr>
        <w:t>, debido a los cuestionamientos que realizó a</w:t>
      </w:r>
      <w:r w:rsidR="00F04DC6" w:rsidRPr="00DA79C8">
        <w:rPr>
          <w:sz w:val="20"/>
          <w:szCs w:val="20"/>
          <w:lang w:val="es-ES_tradnl"/>
        </w:rPr>
        <w:t xml:space="preserve"> un funcionario del</w:t>
      </w:r>
      <w:r w:rsidRPr="00DA79C8">
        <w:rPr>
          <w:sz w:val="20"/>
          <w:szCs w:val="20"/>
          <w:lang w:val="es-ES_tradnl"/>
        </w:rPr>
        <w:t xml:space="preserve"> </w:t>
      </w:r>
      <w:r w:rsidR="00F04DC6" w:rsidRPr="00DA79C8">
        <w:rPr>
          <w:sz w:val="20"/>
          <w:szCs w:val="20"/>
          <w:lang w:val="es-ES_tradnl"/>
        </w:rPr>
        <w:t>Estado</w:t>
      </w:r>
      <w:r w:rsidRPr="00DA79C8">
        <w:rPr>
          <w:sz w:val="20"/>
          <w:szCs w:val="20"/>
          <w:lang w:val="es-ES_tradnl"/>
        </w:rPr>
        <w:t xml:space="preserve"> por irregularidades</w:t>
      </w:r>
      <w:r w:rsidR="00F04DC6" w:rsidRPr="00DA79C8">
        <w:rPr>
          <w:sz w:val="20"/>
          <w:szCs w:val="20"/>
          <w:lang w:val="es-ES_tradnl"/>
        </w:rPr>
        <w:t xml:space="preserve"> cometidas durante su gestión</w:t>
      </w:r>
      <w:r w:rsidRPr="00DA79C8">
        <w:rPr>
          <w:sz w:val="20"/>
          <w:szCs w:val="20"/>
          <w:lang w:val="es-ES_tradnl"/>
        </w:rPr>
        <w:t xml:space="preserve">. A juicio de la peticionaria, tal decisión afectó su derecho a la libertad de expresión. </w:t>
      </w:r>
    </w:p>
    <w:p w14:paraId="57B57C9E" w14:textId="6791CA33" w:rsidR="00C10D3A" w:rsidRPr="00DA79C8" w:rsidRDefault="00C10D3A"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DA79C8">
        <w:rPr>
          <w:sz w:val="20"/>
          <w:szCs w:val="20"/>
          <w:lang w:val="es-ES_tradnl"/>
        </w:rPr>
        <w:t>Informa que</w:t>
      </w:r>
      <w:r w:rsidR="00BA6CEF" w:rsidRPr="00DA79C8">
        <w:rPr>
          <w:sz w:val="20"/>
          <w:szCs w:val="20"/>
          <w:lang w:val="es-ES_tradnl"/>
        </w:rPr>
        <w:t xml:space="preserve"> el 5 de </w:t>
      </w:r>
      <w:r w:rsidR="002500B3" w:rsidRPr="00DA79C8">
        <w:rPr>
          <w:sz w:val="20"/>
          <w:szCs w:val="20"/>
          <w:lang w:val="es-ES_tradnl"/>
        </w:rPr>
        <w:t>julio</w:t>
      </w:r>
      <w:r w:rsidR="00BA6CEF" w:rsidRPr="00DA79C8">
        <w:rPr>
          <w:sz w:val="20"/>
          <w:szCs w:val="20"/>
          <w:lang w:val="es-ES_tradnl"/>
        </w:rPr>
        <w:t xml:space="preserve"> de 2006 presentó una queja ante el Tribunal de </w:t>
      </w:r>
      <w:r w:rsidR="00366584" w:rsidRPr="00DA79C8">
        <w:rPr>
          <w:sz w:val="20"/>
          <w:szCs w:val="20"/>
          <w:lang w:val="es-ES_tradnl"/>
        </w:rPr>
        <w:t>Cuentas</w:t>
      </w:r>
      <w:r w:rsidR="00BA6CEF" w:rsidRPr="00DA79C8">
        <w:rPr>
          <w:sz w:val="20"/>
          <w:szCs w:val="20"/>
          <w:lang w:val="es-ES_tradnl"/>
        </w:rPr>
        <w:t xml:space="preserve"> del Estado de</w:t>
      </w:r>
      <w:r w:rsidR="002500B3" w:rsidRPr="00DA79C8">
        <w:rPr>
          <w:sz w:val="20"/>
          <w:szCs w:val="20"/>
          <w:lang w:val="es-ES_tradnl"/>
        </w:rPr>
        <w:t>l</w:t>
      </w:r>
      <w:r w:rsidR="00BA6CEF" w:rsidRPr="00DA79C8">
        <w:rPr>
          <w:sz w:val="20"/>
          <w:szCs w:val="20"/>
          <w:lang w:val="es-ES_tradnl"/>
        </w:rPr>
        <w:t xml:space="preserve"> Amazon</w:t>
      </w:r>
      <w:r w:rsidR="002500B3" w:rsidRPr="00DA79C8">
        <w:rPr>
          <w:sz w:val="20"/>
          <w:szCs w:val="20"/>
          <w:lang w:val="es-ES_tradnl"/>
        </w:rPr>
        <w:t>as</w:t>
      </w:r>
      <w:r w:rsidRPr="00DA79C8">
        <w:rPr>
          <w:sz w:val="20"/>
          <w:szCs w:val="20"/>
          <w:lang w:val="es-ES_tradnl"/>
        </w:rPr>
        <w:t xml:space="preserve">, arguyendo que el entonces secretario municipal de defensa civil de </w:t>
      </w:r>
      <w:r w:rsidR="00DA79C8" w:rsidRPr="00DA79C8">
        <w:rPr>
          <w:sz w:val="20"/>
          <w:szCs w:val="20"/>
          <w:lang w:val="es-ES_tradnl"/>
        </w:rPr>
        <w:t>Manaos</w:t>
      </w:r>
      <w:r w:rsidRPr="00DA79C8">
        <w:rPr>
          <w:sz w:val="20"/>
          <w:szCs w:val="20"/>
          <w:lang w:val="es-ES_tradnl"/>
        </w:rPr>
        <w:t xml:space="preserve"> compró irregularmente casas de madera que estaban destinadas a la población afectada por</w:t>
      </w:r>
      <w:r w:rsidR="00F04DC6" w:rsidRPr="00DA79C8">
        <w:rPr>
          <w:sz w:val="20"/>
          <w:szCs w:val="20"/>
          <w:lang w:val="es-ES_tradnl"/>
        </w:rPr>
        <w:t xml:space="preserve"> las</w:t>
      </w:r>
      <w:r w:rsidRPr="00DA79C8">
        <w:rPr>
          <w:sz w:val="20"/>
          <w:szCs w:val="20"/>
          <w:lang w:val="es-ES_tradnl"/>
        </w:rPr>
        <w:t xml:space="preserve"> inundaciones. Precisa </w:t>
      </w:r>
      <w:r w:rsidRPr="00DA79C8">
        <w:rPr>
          <w:sz w:val="20"/>
          <w:szCs w:val="20"/>
          <w:lang w:val="es-ES_tradnl"/>
        </w:rPr>
        <w:lastRenderedPageBreak/>
        <w:t>que</w:t>
      </w:r>
      <w:r w:rsidR="00BA6CEF" w:rsidRPr="00DA79C8">
        <w:rPr>
          <w:sz w:val="20"/>
          <w:szCs w:val="20"/>
          <w:lang w:val="es-ES_tradnl"/>
        </w:rPr>
        <w:t xml:space="preserve"> </w:t>
      </w:r>
      <w:r w:rsidR="0081055A" w:rsidRPr="00DA79C8">
        <w:rPr>
          <w:sz w:val="20"/>
          <w:szCs w:val="20"/>
          <w:lang w:val="es-ES_tradnl"/>
        </w:rPr>
        <w:t xml:space="preserve">tomó conocimiento </w:t>
      </w:r>
      <w:r w:rsidRPr="00DA79C8">
        <w:rPr>
          <w:sz w:val="20"/>
          <w:szCs w:val="20"/>
          <w:lang w:val="es-ES_tradnl"/>
        </w:rPr>
        <w:t>esta situación por el propio funcionario involucrado, pues era su amigo.</w:t>
      </w:r>
    </w:p>
    <w:p w14:paraId="67AF74D7" w14:textId="357D9350" w:rsidR="00C10D3A" w:rsidRPr="00DA79C8" w:rsidRDefault="00C10D3A"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DA79C8">
        <w:rPr>
          <w:sz w:val="20"/>
          <w:szCs w:val="20"/>
          <w:lang w:val="es-ES_tradnl"/>
        </w:rPr>
        <w:t>Afirma que,</w:t>
      </w:r>
      <w:r w:rsidR="00BA6CEF" w:rsidRPr="00DA79C8">
        <w:rPr>
          <w:sz w:val="20"/>
          <w:szCs w:val="20"/>
          <w:lang w:val="es-ES_tradnl"/>
        </w:rPr>
        <w:t xml:space="preserve"> como represalia de la queja, </w:t>
      </w:r>
      <w:r w:rsidRPr="00DA79C8">
        <w:rPr>
          <w:sz w:val="20"/>
          <w:szCs w:val="20"/>
          <w:lang w:val="es-ES_tradnl"/>
        </w:rPr>
        <w:t xml:space="preserve">dicha autoridad </w:t>
      </w:r>
      <w:r w:rsidR="00BA6CEF" w:rsidRPr="00DA79C8">
        <w:rPr>
          <w:sz w:val="20"/>
          <w:szCs w:val="20"/>
          <w:lang w:val="es-ES_tradnl"/>
        </w:rPr>
        <w:t xml:space="preserve">comenzó a </w:t>
      </w:r>
      <w:r w:rsidR="00366584" w:rsidRPr="00DA79C8">
        <w:rPr>
          <w:sz w:val="20"/>
          <w:szCs w:val="20"/>
          <w:lang w:val="es-ES_tradnl"/>
        </w:rPr>
        <w:t xml:space="preserve">tratarla mal </w:t>
      </w:r>
      <w:r w:rsidR="00BA6CEF" w:rsidRPr="00DA79C8">
        <w:rPr>
          <w:sz w:val="20"/>
          <w:szCs w:val="20"/>
          <w:lang w:val="es-ES_tradnl"/>
        </w:rPr>
        <w:t xml:space="preserve">y </w:t>
      </w:r>
      <w:r w:rsidR="00905457" w:rsidRPr="00DA79C8">
        <w:rPr>
          <w:sz w:val="20"/>
          <w:szCs w:val="20"/>
          <w:lang w:val="es-ES_tradnl"/>
        </w:rPr>
        <w:t>la acusó</w:t>
      </w:r>
      <w:r w:rsidR="00BA6CEF" w:rsidRPr="00DA79C8">
        <w:rPr>
          <w:sz w:val="20"/>
          <w:szCs w:val="20"/>
          <w:lang w:val="es-ES_tradnl"/>
        </w:rPr>
        <w:t xml:space="preserve"> </w:t>
      </w:r>
      <w:r w:rsidR="0081055A" w:rsidRPr="00DA79C8">
        <w:rPr>
          <w:sz w:val="20"/>
          <w:szCs w:val="20"/>
          <w:lang w:val="es-ES_tradnl"/>
        </w:rPr>
        <w:t>por el crimen de</w:t>
      </w:r>
      <w:r w:rsidR="00BA6CEF" w:rsidRPr="00DA79C8">
        <w:rPr>
          <w:sz w:val="20"/>
          <w:szCs w:val="20"/>
          <w:lang w:val="es-ES_tradnl"/>
        </w:rPr>
        <w:t xml:space="preserve"> denunci</w:t>
      </w:r>
      <w:r w:rsidR="0081055A" w:rsidRPr="00DA79C8">
        <w:rPr>
          <w:sz w:val="20"/>
          <w:szCs w:val="20"/>
          <w:lang w:val="es-ES_tradnl"/>
        </w:rPr>
        <w:t>a</w:t>
      </w:r>
      <w:r w:rsidR="00BA6CEF" w:rsidRPr="00DA79C8">
        <w:rPr>
          <w:sz w:val="20"/>
          <w:szCs w:val="20"/>
          <w:lang w:val="es-ES_tradnl"/>
        </w:rPr>
        <w:t xml:space="preserve"> </w:t>
      </w:r>
      <w:r w:rsidR="0081055A" w:rsidRPr="00DA79C8">
        <w:rPr>
          <w:bCs/>
          <w:color w:val="000000" w:themeColor="text1"/>
          <w:sz w:val="20"/>
          <w:szCs w:val="20"/>
          <w:lang w:val="es-ES_tradnl"/>
        </w:rPr>
        <w:t>calumniosa</w:t>
      </w:r>
      <w:r w:rsidRPr="00DA79C8">
        <w:rPr>
          <w:sz w:val="20"/>
          <w:szCs w:val="20"/>
          <w:lang w:val="es-ES_tradnl"/>
        </w:rPr>
        <w:t xml:space="preserve"> </w:t>
      </w:r>
      <w:r w:rsidRPr="00DA79C8">
        <w:rPr>
          <w:bCs/>
          <w:color w:val="000000" w:themeColor="text1"/>
          <w:sz w:val="20"/>
          <w:szCs w:val="20"/>
          <w:lang w:val="es-ES_tradnl"/>
        </w:rPr>
        <w:t>(</w:t>
      </w:r>
      <w:r w:rsidR="0081055A" w:rsidRPr="00DA79C8">
        <w:rPr>
          <w:bCs/>
          <w:color w:val="000000" w:themeColor="text1"/>
          <w:sz w:val="20"/>
          <w:szCs w:val="20"/>
          <w:lang w:val="es-ES_tradnl"/>
        </w:rPr>
        <w:t>proceso 001.08.223872-4</w:t>
      </w:r>
      <w:r w:rsidRPr="00DA79C8">
        <w:rPr>
          <w:bCs/>
          <w:color w:val="000000" w:themeColor="text1"/>
          <w:sz w:val="20"/>
          <w:szCs w:val="20"/>
          <w:lang w:val="es-ES_tradnl"/>
        </w:rPr>
        <w:t>)</w:t>
      </w:r>
      <w:r w:rsidR="00F04DC6" w:rsidRPr="00DA79C8">
        <w:rPr>
          <w:rStyle w:val="FootnoteReference"/>
          <w:sz w:val="20"/>
          <w:szCs w:val="20"/>
          <w:lang w:val="es-ES_tradnl"/>
        </w:rPr>
        <w:footnoteReference w:id="4"/>
      </w:r>
      <w:r w:rsidRPr="00DA79C8">
        <w:rPr>
          <w:bCs/>
          <w:color w:val="000000" w:themeColor="text1"/>
          <w:sz w:val="20"/>
          <w:szCs w:val="20"/>
          <w:lang w:val="es-ES_tradnl"/>
        </w:rPr>
        <w:t>.</w:t>
      </w:r>
      <w:r w:rsidR="0081055A" w:rsidRPr="00DA79C8">
        <w:rPr>
          <w:bCs/>
          <w:color w:val="000000" w:themeColor="text1"/>
          <w:sz w:val="20"/>
          <w:szCs w:val="20"/>
          <w:lang w:val="es-ES_tradnl"/>
        </w:rPr>
        <w:t xml:space="preserve"> </w:t>
      </w:r>
      <w:r w:rsidRPr="00DA79C8">
        <w:rPr>
          <w:bCs/>
          <w:color w:val="000000" w:themeColor="text1"/>
          <w:sz w:val="20"/>
          <w:szCs w:val="20"/>
          <w:lang w:val="es-ES_tradnl"/>
        </w:rPr>
        <w:t xml:space="preserve">En razón a ello, y luego de una serie de irregularidades en la tramitación del proceso, </w:t>
      </w:r>
      <w:r w:rsidR="00D75122" w:rsidRPr="00DA79C8">
        <w:rPr>
          <w:bCs/>
          <w:color w:val="000000" w:themeColor="text1"/>
          <w:sz w:val="20"/>
          <w:szCs w:val="20"/>
          <w:lang w:val="es-ES_tradnl"/>
        </w:rPr>
        <w:t>en el 2012</w:t>
      </w:r>
      <w:r w:rsidR="00F04DC6" w:rsidRPr="00DA79C8">
        <w:rPr>
          <w:bCs/>
          <w:color w:val="000000" w:themeColor="text1"/>
          <w:sz w:val="20"/>
          <w:szCs w:val="20"/>
          <w:lang w:val="es-ES_tradnl"/>
        </w:rPr>
        <w:t xml:space="preserve"> el</w:t>
      </w:r>
      <w:r w:rsidRPr="00DA79C8">
        <w:rPr>
          <w:bCs/>
          <w:color w:val="000000" w:themeColor="text1"/>
          <w:sz w:val="20"/>
          <w:szCs w:val="20"/>
          <w:lang w:val="es-ES_tradnl"/>
        </w:rPr>
        <w:t xml:space="preserve"> 1º Juzgado Penal del Distrito de </w:t>
      </w:r>
      <w:r w:rsidR="00DA79C8" w:rsidRPr="00DA79C8">
        <w:rPr>
          <w:bCs/>
          <w:color w:val="000000" w:themeColor="text1"/>
          <w:sz w:val="20"/>
          <w:szCs w:val="20"/>
          <w:lang w:val="es-ES_tradnl"/>
        </w:rPr>
        <w:t>Manaos</w:t>
      </w:r>
      <w:r w:rsidRPr="00DA79C8">
        <w:rPr>
          <w:bCs/>
          <w:color w:val="000000" w:themeColor="text1"/>
          <w:sz w:val="20"/>
          <w:szCs w:val="20"/>
          <w:lang w:val="es-ES_tradnl"/>
        </w:rPr>
        <w:t xml:space="preserve"> la condenó por </w:t>
      </w:r>
      <w:r w:rsidR="00905457" w:rsidRPr="00DA79C8">
        <w:rPr>
          <w:sz w:val="20"/>
          <w:szCs w:val="20"/>
          <w:lang w:val="es-ES_tradnl"/>
        </w:rPr>
        <w:t xml:space="preserve">dicho delito </w:t>
      </w:r>
      <w:r w:rsidR="00F04DC6" w:rsidRPr="00DA79C8">
        <w:rPr>
          <w:sz w:val="20"/>
          <w:szCs w:val="20"/>
          <w:lang w:val="es-ES_tradnl"/>
        </w:rPr>
        <w:t>a una pena de multa y prestación de servicios comunitarios</w:t>
      </w:r>
      <w:r w:rsidRPr="00DA79C8">
        <w:rPr>
          <w:sz w:val="20"/>
          <w:szCs w:val="20"/>
          <w:lang w:val="es-ES_tradnl"/>
        </w:rPr>
        <w:t xml:space="preserve">. Afirma que, ante ello, presentó </w:t>
      </w:r>
      <w:r w:rsidR="005A0136" w:rsidRPr="00DA79C8">
        <w:rPr>
          <w:sz w:val="20"/>
          <w:szCs w:val="20"/>
          <w:lang w:val="es-ES_tradnl"/>
        </w:rPr>
        <w:t>un recurso de apelación</w:t>
      </w:r>
      <w:r w:rsidRPr="00DA79C8">
        <w:rPr>
          <w:sz w:val="20"/>
          <w:szCs w:val="20"/>
          <w:lang w:val="es-ES_tradnl"/>
        </w:rPr>
        <w:t>, pero</w:t>
      </w:r>
      <w:r w:rsidR="00D75122" w:rsidRPr="00DA79C8">
        <w:rPr>
          <w:sz w:val="20"/>
          <w:szCs w:val="20"/>
          <w:lang w:val="es-ES_tradnl"/>
        </w:rPr>
        <w:t xml:space="preserve"> en el 2014</w:t>
      </w:r>
      <w:r w:rsidR="005A0136" w:rsidRPr="00DA79C8">
        <w:rPr>
          <w:sz w:val="20"/>
          <w:szCs w:val="20"/>
          <w:lang w:val="es-ES_tradnl"/>
        </w:rPr>
        <w:t xml:space="preserve"> </w:t>
      </w:r>
      <w:r w:rsidR="001157A0" w:rsidRPr="00DA79C8">
        <w:rPr>
          <w:sz w:val="20"/>
          <w:szCs w:val="20"/>
          <w:lang w:val="es-ES_tradnl"/>
        </w:rPr>
        <w:t>el Tribunal</w:t>
      </w:r>
      <w:r w:rsidR="005A0136" w:rsidRPr="00DA79C8">
        <w:rPr>
          <w:sz w:val="20"/>
          <w:szCs w:val="20"/>
          <w:lang w:val="es-ES_tradnl"/>
        </w:rPr>
        <w:t xml:space="preserve"> de Justicia de</w:t>
      </w:r>
      <w:r w:rsidR="00BD4443" w:rsidRPr="00DA79C8">
        <w:rPr>
          <w:sz w:val="20"/>
          <w:szCs w:val="20"/>
          <w:lang w:val="es-ES_tradnl"/>
        </w:rPr>
        <w:t>l</w:t>
      </w:r>
      <w:r w:rsidR="005A0136" w:rsidRPr="00DA79C8">
        <w:rPr>
          <w:sz w:val="20"/>
          <w:szCs w:val="20"/>
          <w:lang w:val="es-ES_tradnl"/>
        </w:rPr>
        <w:t xml:space="preserve"> Amazonas</w:t>
      </w:r>
      <w:r w:rsidRPr="00DA79C8">
        <w:rPr>
          <w:sz w:val="20"/>
          <w:szCs w:val="20"/>
          <w:lang w:val="es-ES_tradnl"/>
        </w:rPr>
        <w:t xml:space="preserve"> </w:t>
      </w:r>
      <w:r w:rsidR="005A0136" w:rsidRPr="00DA79C8">
        <w:rPr>
          <w:sz w:val="20"/>
          <w:szCs w:val="20"/>
          <w:lang w:val="es-ES_tradnl"/>
        </w:rPr>
        <w:t>confirmó la condena</w:t>
      </w:r>
      <w:r w:rsidRPr="00DA79C8">
        <w:rPr>
          <w:sz w:val="20"/>
          <w:szCs w:val="20"/>
          <w:lang w:val="es-ES_tradnl"/>
        </w:rPr>
        <w:t>.</w:t>
      </w:r>
    </w:p>
    <w:p w14:paraId="74FEF2F3" w14:textId="093DB0E3" w:rsidR="001825DE" w:rsidRPr="00DA79C8" w:rsidRDefault="00C10D3A"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DA79C8">
        <w:rPr>
          <w:sz w:val="20"/>
          <w:szCs w:val="20"/>
          <w:lang w:val="es-ES_tradnl"/>
        </w:rPr>
        <w:t xml:space="preserve">Al respecto, la parte peticionaria afirma que, en sus decisiones, las autoridades judiciales, </w:t>
      </w:r>
      <w:r w:rsidR="001825DE" w:rsidRPr="00DA79C8">
        <w:rPr>
          <w:sz w:val="20"/>
          <w:szCs w:val="20"/>
          <w:lang w:val="es-ES_tradnl"/>
        </w:rPr>
        <w:t xml:space="preserve">realizaron </w:t>
      </w:r>
      <w:bookmarkStart w:id="2" w:name="_Hlk107320564"/>
      <w:r w:rsidR="00CC6B23" w:rsidRPr="00DA79C8">
        <w:rPr>
          <w:sz w:val="20"/>
          <w:szCs w:val="20"/>
          <w:lang w:val="es-ES_tradnl"/>
        </w:rPr>
        <w:t>comentarios despectivos y falsos sobre ella</w:t>
      </w:r>
      <w:r w:rsidR="00905457" w:rsidRPr="00DA79C8">
        <w:rPr>
          <w:sz w:val="20"/>
          <w:szCs w:val="20"/>
          <w:lang w:val="es-ES_tradnl"/>
        </w:rPr>
        <w:t>,</w:t>
      </w:r>
      <w:r w:rsidR="00CC6B23" w:rsidRPr="00DA79C8">
        <w:rPr>
          <w:sz w:val="20"/>
          <w:szCs w:val="20"/>
          <w:lang w:val="es-ES_tradnl"/>
        </w:rPr>
        <w:t xml:space="preserve"> con la intención de dañar su buena reputación y honor, al </w:t>
      </w:r>
      <w:r w:rsidR="00F04DC6" w:rsidRPr="00DA79C8">
        <w:rPr>
          <w:sz w:val="20"/>
          <w:szCs w:val="20"/>
          <w:lang w:val="es-ES_tradnl"/>
        </w:rPr>
        <w:t>afirmar</w:t>
      </w:r>
      <w:r w:rsidR="00CC6B23" w:rsidRPr="00DA79C8">
        <w:rPr>
          <w:sz w:val="20"/>
          <w:szCs w:val="20"/>
          <w:lang w:val="es-ES_tradnl"/>
        </w:rPr>
        <w:t xml:space="preserve"> que </w:t>
      </w:r>
      <w:r w:rsidR="00F04DC6" w:rsidRPr="00DA79C8">
        <w:rPr>
          <w:sz w:val="20"/>
          <w:szCs w:val="20"/>
          <w:lang w:val="es-ES_tradnl"/>
        </w:rPr>
        <w:t>tuvo</w:t>
      </w:r>
      <w:r w:rsidR="00CC6B23" w:rsidRPr="00DA79C8">
        <w:rPr>
          <w:sz w:val="20"/>
          <w:szCs w:val="20"/>
          <w:lang w:val="es-ES_tradnl"/>
        </w:rPr>
        <w:t xml:space="preserve"> una relación amorosa con </w:t>
      </w:r>
      <w:r w:rsidR="001825DE" w:rsidRPr="00DA79C8">
        <w:rPr>
          <w:sz w:val="20"/>
          <w:szCs w:val="20"/>
          <w:lang w:val="es-ES_tradnl"/>
        </w:rPr>
        <w:t>el funcionario que cometió las irregularidades</w:t>
      </w:r>
      <w:r w:rsidR="00F04DC6" w:rsidRPr="00DA79C8">
        <w:rPr>
          <w:sz w:val="20"/>
          <w:szCs w:val="20"/>
          <w:lang w:val="es-ES_tradnl"/>
        </w:rPr>
        <w:t xml:space="preserve"> y, por ello, decidió presentar una denuncia en su contra, a modo de venganza. </w:t>
      </w:r>
    </w:p>
    <w:p w14:paraId="26E4D264" w14:textId="43FE359E" w:rsidR="001825DE" w:rsidRPr="00DA79C8" w:rsidRDefault="001825DE"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i/>
          <w:iCs/>
          <w:sz w:val="20"/>
          <w:szCs w:val="20"/>
          <w:lang w:val="es-ES_tradnl"/>
        </w:rPr>
      </w:pPr>
      <w:r w:rsidRPr="00DA79C8">
        <w:rPr>
          <w:sz w:val="20"/>
          <w:szCs w:val="20"/>
          <w:lang w:val="es-ES_tradnl"/>
        </w:rPr>
        <w:t>Finalmente, indica que</w:t>
      </w:r>
      <w:r w:rsidR="00CC6B23" w:rsidRPr="00DA79C8">
        <w:rPr>
          <w:sz w:val="20"/>
          <w:szCs w:val="20"/>
          <w:lang w:val="es-ES_tradnl"/>
        </w:rPr>
        <w:t xml:space="preserve"> interpuso un </w:t>
      </w:r>
      <w:r w:rsidR="00F04DC6" w:rsidRPr="00DA79C8">
        <w:rPr>
          <w:sz w:val="20"/>
          <w:szCs w:val="20"/>
          <w:lang w:val="es-ES_tradnl"/>
        </w:rPr>
        <w:t>r</w:t>
      </w:r>
      <w:r w:rsidR="00CC6B23" w:rsidRPr="00DA79C8">
        <w:rPr>
          <w:sz w:val="20"/>
          <w:szCs w:val="20"/>
          <w:lang w:val="es-ES_tradnl"/>
        </w:rPr>
        <w:t xml:space="preserve">ecurso </w:t>
      </w:r>
      <w:r w:rsidR="00F04DC6" w:rsidRPr="00DA79C8">
        <w:rPr>
          <w:sz w:val="20"/>
          <w:szCs w:val="20"/>
          <w:lang w:val="es-ES_tradnl"/>
        </w:rPr>
        <w:t>e</w:t>
      </w:r>
      <w:r w:rsidR="00CC6B23" w:rsidRPr="00DA79C8">
        <w:rPr>
          <w:sz w:val="20"/>
          <w:szCs w:val="20"/>
          <w:lang w:val="es-ES_tradnl"/>
        </w:rPr>
        <w:t xml:space="preserve">special ante el Tribunal </w:t>
      </w:r>
      <w:r w:rsidR="00F04DC6" w:rsidRPr="00DA79C8">
        <w:rPr>
          <w:sz w:val="20"/>
          <w:szCs w:val="20"/>
          <w:lang w:val="es-ES_tradnl"/>
        </w:rPr>
        <w:t xml:space="preserve">Superior </w:t>
      </w:r>
      <w:r w:rsidR="00CC6B23" w:rsidRPr="00DA79C8">
        <w:rPr>
          <w:sz w:val="20"/>
          <w:szCs w:val="20"/>
          <w:lang w:val="es-ES_tradnl"/>
        </w:rPr>
        <w:t>de Justicia (T</w:t>
      </w:r>
      <w:r w:rsidR="00F04DC6" w:rsidRPr="00DA79C8">
        <w:rPr>
          <w:sz w:val="20"/>
          <w:szCs w:val="20"/>
          <w:lang w:val="es-ES_tradnl"/>
        </w:rPr>
        <w:t>S</w:t>
      </w:r>
      <w:r w:rsidR="00CC6B23" w:rsidRPr="00DA79C8">
        <w:rPr>
          <w:sz w:val="20"/>
          <w:szCs w:val="20"/>
          <w:lang w:val="es-ES_tradnl"/>
        </w:rPr>
        <w:t xml:space="preserve">J) y un </w:t>
      </w:r>
      <w:r w:rsidR="00F04DC6" w:rsidRPr="00DA79C8">
        <w:rPr>
          <w:sz w:val="20"/>
          <w:szCs w:val="20"/>
          <w:lang w:val="es-ES_tradnl"/>
        </w:rPr>
        <w:t>r</w:t>
      </w:r>
      <w:r w:rsidR="00CC6B23" w:rsidRPr="00DA79C8">
        <w:rPr>
          <w:sz w:val="20"/>
          <w:szCs w:val="20"/>
          <w:lang w:val="es-ES_tradnl"/>
        </w:rPr>
        <w:t xml:space="preserve">ecurso </w:t>
      </w:r>
      <w:r w:rsidR="00F04DC6" w:rsidRPr="00DA79C8">
        <w:rPr>
          <w:sz w:val="20"/>
          <w:szCs w:val="20"/>
          <w:lang w:val="es-ES_tradnl"/>
        </w:rPr>
        <w:t>e</w:t>
      </w:r>
      <w:r w:rsidR="00CC6B23" w:rsidRPr="00DA79C8">
        <w:rPr>
          <w:sz w:val="20"/>
          <w:szCs w:val="20"/>
          <w:lang w:val="es-ES_tradnl"/>
        </w:rPr>
        <w:t>xtraordinario ante el Tribunal</w:t>
      </w:r>
      <w:r w:rsidR="00F04DC6" w:rsidRPr="00DA79C8">
        <w:rPr>
          <w:sz w:val="20"/>
          <w:szCs w:val="20"/>
          <w:lang w:val="es-ES_tradnl"/>
        </w:rPr>
        <w:t xml:space="preserve"> Supremo</w:t>
      </w:r>
      <w:r w:rsidR="00CC6B23" w:rsidRPr="00DA79C8">
        <w:rPr>
          <w:sz w:val="20"/>
          <w:szCs w:val="20"/>
          <w:lang w:val="es-ES_tradnl"/>
        </w:rPr>
        <w:t xml:space="preserve"> Federal (T</w:t>
      </w:r>
      <w:r w:rsidR="00F04DC6" w:rsidRPr="00DA79C8">
        <w:rPr>
          <w:sz w:val="20"/>
          <w:szCs w:val="20"/>
          <w:lang w:val="es-ES_tradnl"/>
        </w:rPr>
        <w:t>S</w:t>
      </w:r>
      <w:r w:rsidR="00CC6B23" w:rsidRPr="00DA79C8">
        <w:rPr>
          <w:sz w:val="20"/>
          <w:szCs w:val="20"/>
          <w:lang w:val="es-ES_tradnl"/>
        </w:rPr>
        <w:t>F)</w:t>
      </w:r>
      <w:r w:rsidRPr="00DA79C8">
        <w:rPr>
          <w:sz w:val="20"/>
          <w:szCs w:val="20"/>
          <w:lang w:val="es-ES_tradnl"/>
        </w:rPr>
        <w:t xml:space="preserve">, pero tales órganos rechazaron sus reclamos. Afirma que, frente a ello, presentó recursos de queja ante las mismas instancias, pero tales tribunales también desestimaron estos últimos recursos. </w:t>
      </w:r>
    </w:p>
    <w:p w14:paraId="454EB82F" w14:textId="624423A1" w:rsidR="00975A02" w:rsidRPr="00DA79C8" w:rsidRDefault="00975A02" w:rsidP="00DA79C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DA79C8">
        <w:rPr>
          <w:i/>
          <w:iCs/>
          <w:sz w:val="20"/>
          <w:szCs w:val="20"/>
          <w:lang w:val="es-ES_tradnl"/>
        </w:rPr>
        <w:t>Alegatos del Estado</w:t>
      </w:r>
      <w:r w:rsidR="00970A7F" w:rsidRPr="00DA79C8">
        <w:rPr>
          <w:i/>
          <w:iCs/>
          <w:sz w:val="20"/>
          <w:szCs w:val="20"/>
          <w:lang w:val="es-ES_tradnl"/>
        </w:rPr>
        <w:t xml:space="preserve"> brasileño</w:t>
      </w:r>
    </w:p>
    <w:p w14:paraId="3655FC22" w14:textId="3B7BC639" w:rsidR="001825DE" w:rsidRPr="00DA79C8" w:rsidRDefault="00C3331F"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DA79C8">
        <w:rPr>
          <w:sz w:val="20"/>
          <w:szCs w:val="20"/>
          <w:lang w:val="es-ES_tradnl"/>
        </w:rPr>
        <w:t xml:space="preserve">El Estado, por su parte, </w:t>
      </w:r>
      <w:r w:rsidR="001825DE" w:rsidRPr="00DA79C8">
        <w:rPr>
          <w:sz w:val="20"/>
          <w:szCs w:val="20"/>
          <w:lang w:val="es-ES_tradnl"/>
        </w:rPr>
        <w:t xml:space="preserve">replica </w:t>
      </w:r>
      <w:r w:rsidRPr="00DA79C8">
        <w:rPr>
          <w:sz w:val="20"/>
          <w:szCs w:val="20"/>
          <w:lang w:val="es-ES_tradnl"/>
        </w:rPr>
        <w:t>que</w:t>
      </w:r>
      <w:r w:rsidR="00F04DC6" w:rsidRPr="00DA79C8">
        <w:rPr>
          <w:sz w:val="20"/>
          <w:szCs w:val="20"/>
          <w:lang w:val="es-ES_tradnl"/>
        </w:rPr>
        <w:t xml:space="preserve">, </w:t>
      </w:r>
      <w:r w:rsidRPr="00DA79C8">
        <w:rPr>
          <w:sz w:val="20"/>
          <w:szCs w:val="20"/>
          <w:lang w:val="es-ES_tradnl"/>
        </w:rPr>
        <w:t xml:space="preserve">tras el final de una relación sentimental con </w:t>
      </w:r>
      <w:r w:rsidR="001825DE" w:rsidRPr="00DA79C8">
        <w:rPr>
          <w:sz w:val="20"/>
          <w:szCs w:val="20"/>
          <w:lang w:val="es-ES_tradnl"/>
        </w:rPr>
        <w:t>la autoridad involucrada en las presuntas irregularidades</w:t>
      </w:r>
      <w:r w:rsidRPr="00DA79C8">
        <w:rPr>
          <w:sz w:val="20"/>
          <w:szCs w:val="20"/>
          <w:lang w:val="es-ES_tradnl"/>
        </w:rPr>
        <w:t>,</w:t>
      </w:r>
      <w:r w:rsidR="00F04DC6" w:rsidRPr="00DA79C8">
        <w:rPr>
          <w:sz w:val="20"/>
          <w:szCs w:val="20"/>
          <w:lang w:val="es-ES_tradnl"/>
        </w:rPr>
        <w:t xml:space="preserve"> la señora Gonzalez</w:t>
      </w:r>
      <w:r w:rsidRPr="00DA79C8">
        <w:rPr>
          <w:sz w:val="20"/>
          <w:szCs w:val="20"/>
          <w:lang w:val="es-ES_tradnl"/>
        </w:rPr>
        <w:t xml:space="preserve"> presentó denuncias para perjudicar no solo ante el Tribunal de Cuentas del Estado de</w:t>
      </w:r>
      <w:r w:rsidR="00BD4443" w:rsidRPr="00DA79C8">
        <w:rPr>
          <w:sz w:val="20"/>
          <w:szCs w:val="20"/>
          <w:lang w:val="es-ES_tradnl"/>
        </w:rPr>
        <w:t>l</w:t>
      </w:r>
      <w:r w:rsidRPr="00DA79C8">
        <w:rPr>
          <w:sz w:val="20"/>
          <w:szCs w:val="20"/>
          <w:lang w:val="es-ES_tradnl"/>
        </w:rPr>
        <w:t xml:space="preserve"> Amazonas, sino también ante el Comando de la Policía Militar y el Gobernador del Estado de</w:t>
      </w:r>
      <w:r w:rsidR="001157A0" w:rsidRPr="00DA79C8">
        <w:rPr>
          <w:sz w:val="20"/>
          <w:szCs w:val="20"/>
          <w:lang w:val="es-ES_tradnl"/>
        </w:rPr>
        <w:t>l</w:t>
      </w:r>
      <w:r w:rsidRPr="00DA79C8">
        <w:rPr>
          <w:sz w:val="20"/>
          <w:szCs w:val="20"/>
          <w:lang w:val="es-ES_tradnl"/>
        </w:rPr>
        <w:t xml:space="preserve"> Amazonas. </w:t>
      </w:r>
    </w:p>
    <w:p w14:paraId="381A68B1" w14:textId="6C55B9A3" w:rsidR="00C3331F" w:rsidRPr="00DA79C8" w:rsidRDefault="001825DE"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DA79C8">
        <w:rPr>
          <w:sz w:val="20"/>
          <w:szCs w:val="20"/>
          <w:lang w:val="es-ES_tradnl"/>
        </w:rPr>
        <w:t>Asimismo, precisa que</w:t>
      </w:r>
      <w:r w:rsidR="00F04DC6" w:rsidRPr="00DA79C8">
        <w:rPr>
          <w:sz w:val="20"/>
          <w:szCs w:val="20"/>
          <w:lang w:val="es-ES_tradnl"/>
        </w:rPr>
        <w:t xml:space="preserve"> </w:t>
      </w:r>
      <w:r w:rsidR="00C3331F" w:rsidRPr="00DA79C8">
        <w:rPr>
          <w:sz w:val="20"/>
          <w:szCs w:val="20"/>
          <w:lang w:val="es-ES_tradnl"/>
        </w:rPr>
        <w:t xml:space="preserve">el Ministerio Público solicitó inicialmente su condena en relación con todas las denuncias antes mencionadas. </w:t>
      </w:r>
      <w:r w:rsidRPr="00DA79C8">
        <w:rPr>
          <w:sz w:val="20"/>
          <w:szCs w:val="20"/>
          <w:lang w:val="es-ES_tradnl"/>
        </w:rPr>
        <w:t xml:space="preserve">Sin embargo, </w:t>
      </w:r>
      <w:r w:rsidR="00F04DC6" w:rsidRPr="00DA79C8">
        <w:rPr>
          <w:sz w:val="20"/>
          <w:szCs w:val="20"/>
          <w:lang w:val="es-ES_tradnl"/>
        </w:rPr>
        <w:t>durante</w:t>
      </w:r>
      <w:r w:rsidR="00C3331F" w:rsidRPr="00DA79C8">
        <w:rPr>
          <w:sz w:val="20"/>
          <w:szCs w:val="20"/>
          <w:lang w:val="es-ES_tradnl"/>
        </w:rPr>
        <w:t xml:space="preserve"> </w:t>
      </w:r>
      <w:r w:rsidR="00CE3595" w:rsidRPr="00DA79C8">
        <w:rPr>
          <w:sz w:val="20"/>
          <w:szCs w:val="20"/>
          <w:lang w:val="es-ES_tradnl"/>
        </w:rPr>
        <w:t>d</w:t>
      </w:r>
      <w:r w:rsidR="00C3331F" w:rsidRPr="00DA79C8">
        <w:rPr>
          <w:sz w:val="20"/>
          <w:szCs w:val="20"/>
          <w:lang w:val="es-ES_tradnl"/>
        </w:rPr>
        <w:t>el proceso</w:t>
      </w:r>
      <w:r w:rsidRPr="00DA79C8">
        <w:rPr>
          <w:sz w:val="20"/>
          <w:szCs w:val="20"/>
          <w:lang w:val="es-ES_tradnl"/>
        </w:rPr>
        <w:t xml:space="preserve"> decidió únicamente presentar acusación </w:t>
      </w:r>
      <w:r w:rsidR="007A2986" w:rsidRPr="00DA79C8">
        <w:rPr>
          <w:sz w:val="20"/>
          <w:szCs w:val="20"/>
          <w:lang w:val="es-ES_tradnl"/>
        </w:rPr>
        <w:t>con</w:t>
      </w:r>
      <w:r w:rsidR="00C3331F" w:rsidRPr="00DA79C8">
        <w:rPr>
          <w:sz w:val="20"/>
          <w:szCs w:val="20"/>
          <w:lang w:val="es-ES_tradnl"/>
        </w:rPr>
        <w:t xml:space="preserve"> relación a la </w:t>
      </w:r>
      <w:r w:rsidRPr="00DA79C8">
        <w:rPr>
          <w:sz w:val="20"/>
          <w:szCs w:val="20"/>
          <w:lang w:val="es-ES_tradnl"/>
        </w:rPr>
        <w:t>denuncia</w:t>
      </w:r>
      <w:r w:rsidR="00C3331F" w:rsidRPr="00DA79C8">
        <w:rPr>
          <w:sz w:val="20"/>
          <w:szCs w:val="20"/>
          <w:lang w:val="es-ES_tradnl"/>
        </w:rPr>
        <w:t xml:space="preserve"> que </w:t>
      </w:r>
      <w:r w:rsidR="007A2986" w:rsidRPr="00DA79C8">
        <w:rPr>
          <w:sz w:val="20"/>
          <w:szCs w:val="20"/>
          <w:lang w:val="es-ES_tradnl"/>
        </w:rPr>
        <w:t>generó</w:t>
      </w:r>
      <w:r w:rsidR="00C3331F" w:rsidRPr="00DA79C8">
        <w:rPr>
          <w:sz w:val="20"/>
          <w:szCs w:val="20"/>
          <w:lang w:val="es-ES_tradnl"/>
        </w:rPr>
        <w:t xml:space="preserve"> la apertura del </w:t>
      </w:r>
      <w:r w:rsidRPr="00DA79C8">
        <w:rPr>
          <w:sz w:val="20"/>
          <w:szCs w:val="20"/>
          <w:lang w:val="es-ES_tradnl"/>
        </w:rPr>
        <w:t>procedimiento</w:t>
      </w:r>
      <w:r w:rsidR="00C3331F" w:rsidRPr="00DA79C8">
        <w:rPr>
          <w:sz w:val="20"/>
          <w:szCs w:val="20"/>
          <w:lang w:val="es-ES_tradnl"/>
        </w:rPr>
        <w:t xml:space="preserve"> administrativo 2.848/2006 en el ámbito del Tribunal de Cuentas de la Estado de</w:t>
      </w:r>
      <w:r w:rsidR="00BD4443" w:rsidRPr="00DA79C8">
        <w:rPr>
          <w:sz w:val="20"/>
          <w:szCs w:val="20"/>
          <w:lang w:val="es-ES_tradnl"/>
        </w:rPr>
        <w:t>l</w:t>
      </w:r>
      <w:r w:rsidR="00C3331F" w:rsidRPr="00DA79C8">
        <w:rPr>
          <w:sz w:val="20"/>
          <w:szCs w:val="20"/>
          <w:lang w:val="es-ES_tradnl"/>
        </w:rPr>
        <w:t xml:space="preserve"> Amazonas. </w:t>
      </w:r>
    </w:p>
    <w:p w14:paraId="009D81EE" w14:textId="27D32A91" w:rsidR="00B249AB" w:rsidRPr="00DA79C8" w:rsidRDefault="00AF563C"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DA79C8">
        <w:rPr>
          <w:sz w:val="20"/>
          <w:szCs w:val="20"/>
          <w:lang w:val="es-ES_tradnl"/>
        </w:rPr>
        <w:t>Con base en ello,</w:t>
      </w:r>
      <w:r w:rsidR="00201077" w:rsidRPr="00DA79C8">
        <w:rPr>
          <w:sz w:val="20"/>
          <w:szCs w:val="20"/>
          <w:lang w:val="es-ES_tradnl"/>
        </w:rPr>
        <w:t xml:space="preserve"> la autoridad judicial </w:t>
      </w:r>
      <w:r w:rsidR="0002521F" w:rsidRPr="00DA79C8">
        <w:rPr>
          <w:sz w:val="20"/>
          <w:szCs w:val="20"/>
          <w:lang w:val="es-ES_tradnl"/>
        </w:rPr>
        <w:t>decla</w:t>
      </w:r>
      <w:r w:rsidR="00201077" w:rsidRPr="00DA79C8">
        <w:rPr>
          <w:sz w:val="20"/>
          <w:szCs w:val="20"/>
          <w:lang w:val="es-ES_tradnl"/>
        </w:rPr>
        <w:t xml:space="preserve">ró a la </w:t>
      </w:r>
      <w:r w:rsidR="00F04DC6" w:rsidRPr="00DA79C8">
        <w:rPr>
          <w:sz w:val="20"/>
          <w:szCs w:val="20"/>
          <w:lang w:val="es-ES_tradnl"/>
        </w:rPr>
        <w:t>señora</w:t>
      </w:r>
      <w:r w:rsidR="00201077" w:rsidRPr="00DA79C8">
        <w:rPr>
          <w:sz w:val="20"/>
          <w:szCs w:val="20"/>
          <w:lang w:val="es-ES_tradnl"/>
        </w:rPr>
        <w:t xml:space="preserve"> Gonz</w:t>
      </w:r>
      <w:r w:rsidR="00416CAB" w:rsidRPr="00DA79C8">
        <w:rPr>
          <w:sz w:val="20"/>
          <w:szCs w:val="20"/>
          <w:lang w:val="es-ES_tradnl"/>
        </w:rPr>
        <w:t>a</w:t>
      </w:r>
      <w:r w:rsidR="00201077" w:rsidRPr="00DA79C8">
        <w:rPr>
          <w:sz w:val="20"/>
          <w:szCs w:val="20"/>
          <w:lang w:val="es-ES_tradnl"/>
        </w:rPr>
        <w:t>lez culpable del delito de denuncia calumniosa</w:t>
      </w:r>
      <w:r w:rsidR="00F04DC6" w:rsidRPr="00DA79C8">
        <w:rPr>
          <w:sz w:val="20"/>
          <w:szCs w:val="20"/>
          <w:lang w:val="es-ES_tradnl"/>
        </w:rPr>
        <w:t>, debido al reclamo</w:t>
      </w:r>
      <w:r w:rsidR="00201077" w:rsidRPr="00DA79C8">
        <w:rPr>
          <w:sz w:val="20"/>
          <w:szCs w:val="20"/>
          <w:lang w:val="es-ES_tradnl"/>
        </w:rPr>
        <w:t xml:space="preserve"> que hizo ante el Tribunal de Cuentas del Estado de</w:t>
      </w:r>
      <w:r w:rsidR="00CD1060" w:rsidRPr="00DA79C8">
        <w:rPr>
          <w:sz w:val="20"/>
          <w:szCs w:val="20"/>
          <w:lang w:val="es-ES_tradnl"/>
        </w:rPr>
        <w:t>l</w:t>
      </w:r>
      <w:r w:rsidR="00201077" w:rsidRPr="00DA79C8">
        <w:rPr>
          <w:sz w:val="20"/>
          <w:szCs w:val="20"/>
          <w:lang w:val="es-ES_tradnl"/>
        </w:rPr>
        <w:t xml:space="preserve"> Amazonas. </w:t>
      </w:r>
      <w:r w:rsidRPr="00DA79C8">
        <w:rPr>
          <w:sz w:val="20"/>
          <w:szCs w:val="20"/>
          <w:lang w:val="es-ES_tradnl"/>
        </w:rPr>
        <w:t xml:space="preserve">Al respecto, </w:t>
      </w:r>
      <w:r w:rsidR="00201077" w:rsidRPr="00DA79C8">
        <w:rPr>
          <w:sz w:val="20"/>
          <w:szCs w:val="20"/>
          <w:lang w:val="es-ES_tradnl"/>
        </w:rPr>
        <w:t xml:space="preserve">la autoridad judicial señaló que la denuncia </w:t>
      </w:r>
      <w:r w:rsidR="00CD1060" w:rsidRPr="00DA79C8">
        <w:rPr>
          <w:sz w:val="20"/>
          <w:szCs w:val="20"/>
          <w:lang w:val="es-ES_tradnl"/>
        </w:rPr>
        <w:t>generó</w:t>
      </w:r>
      <w:r w:rsidR="00201077" w:rsidRPr="00DA79C8">
        <w:rPr>
          <w:sz w:val="20"/>
          <w:szCs w:val="20"/>
          <w:lang w:val="es-ES_tradnl"/>
        </w:rPr>
        <w:t xml:space="preserve"> </w:t>
      </w:r>
      <w:r w:rsidRPr="00DA79C8">
        <w:rPr>
          <w:sz w:val="20"/>
          <w:szCs w:val="20"/>
          <w:lang w:val="es-ES_tradnl"/>
        </w:rPr>
        <w:t>el proceso administrativo 2848/2006 ante</w:t>
      </w:r>
      <w:r w:rsidR="00201077" w:rsidRPr="00DA79C8">
        <w:rPr>
          <w:sz w:val="20"/>
          <w:szCs w:val="20"/>
          <w:lang w:val="es-ES_tradnl"/>
        </w:rPr>
        <w:t xml:space="preserve"> el Tribunal de Cuentas</w:t>
      </w:r>
      <w:r w:rsidRPr="00DA79C8">
        <w:rPr>
          <w:sz w:val="20"/>
          <w:szCs w:val="20"/>
          <w:lang w:val="es-ES_tradnl"/>
        </w:rPr>
        <w:t>, a pesar de que esta era</w:t>
      </w:r>
      <w:r w:rsidR="00201077" w:rsidRPr="00DA79C8">
        <w:rPr>
          <w:sz w:val="20"/>
          <w:szCs w:val="20"/>
          <w:lang w:val="es-ES_tradnl"/>
        </w:rPr>
        <w:t xml:space="preserve"> infundada, ya que no hubo irregularidad</w:t>
      </w:r>
      <w:r w:rsidRPr="00DA79C8">
        <w:rPr>
          <w:sz w:val="20"/>
          <w:szCs w:val="20"/>
          <w:lang w:val="es-ES_tradnl"/>
        </w:rPr>
        <w:t xml:space="preserve">, pues </w:t>
      </w:r>
      <w:r w:rsidR="00201077" w:rsidRPr="00DA79C8">
        <w:rPr>
          <w:sz w:val="20"/>
          <w:szCs w:val="20"/>
          <w:lang w:val="es-ES_tradnl"/>
        </w:rPr>
        <w:t>la madera fue efectivamente entregada para el fin social propuesto</w:t>
      </w:r>
      <w:r w:rsidRPr="00DA79C8">
        <w:rPr>
          <w:sz w:val="20"/>
          <w:szCs w:val="20"/>
          <w:lang w:val="es-ES_tradnl"/>
        </w:rPr>
        <w:t xml:space="preserve">; </w:t>
      </w:r>
      <w:r w:rsidR="00201077" w:rsidRPr="00DA79C8">
        <w:rPr>
          <w:sz w:val="20"/>
          <w:szCs w:val="20"/>
          <w:lang w:val="es-ES_tradnl"/>
        </w:rPr>
        <w:t xml:space="preserve">y el </w:t>
      </w:r>
      <w:r w:rsidRPr="00DA79C8">
        <w:rPr>
          <w:sz w:val="20"/>
          <w:szCs w:val="20"/>
          <w:lang w:val="es-ES_tradnl"/>
        </w:rPr>
        <w:t>funcionario involucrado</w:t>
      </w:r>
      <w:r w:rsidR="00201077" w:rsidRPr="00DA79C8">
        <w:rPr>
          <w:sz w:val="20"/>
          <w:szCs w:val="20"/>
          <w:lang w:val="es-ES_tradnl"/>
        </w:rPr>
        <w:t xml:space="preserve"> ni siquiera formaba parte de la Secretaría Municipal de Defensa Civil en el momento de los hechos</w:t>
      </w:r>
      <w:r w:rsidRPr="00DA79C8">
        <w:rPr>
          <w:sz w:val="20"/>
          <w:szCs w:val="20"/>
          <w:lang w:val="es-ES_tradnl"/>
        </w:rPr>
        <w:t xml:space="preserve">. Debido a ello, el </w:t>
      </w:r>
      <w:r w:rsidRPr="00DA79C8">
        <w:rPr>
          <w:bCs/>
          <w:color w:val="000000" w:themeColor="text1"/>
          <w:sz w:val="20"/>
          <w:szCs w:val="20"/>
          <w:lang w:val="es-ES_tradnl"/>
        </w:rPr>
        <w:t xml:space="preserve">1º Juzgado Penal del Distrito de </w:t>
      </w:r>
      <w:r w:rsidR="00DA79C8" w:rsidRPr="00DA79C8">
        <w:rPr>
          <w:bCs/>
          <w:color w:val="000000" w:themeColor="text1"/>
          <w:sz w:val="20"/>
          <w:szCs w:val="20"/>
          <w:lang w:val="es-ES_tradnl"/>
        </w:rPr>
        <w:t>Manaos</w:t>
      </w:r>
      <w:r w:rsidRPr="00DA79C8">
        <w:rPr>
          <w:bCs/>
          <w:color w:val="000000" w:themeColor="text1"/>
          <w:sz w:val="20"/>
          <w:szCs w:val="20"/>
          <w:lang w:val="es-ES_tradnl"/>
        </w:rPr>
        <w:t xml:space="preserve"> </w:t>
      </w:r>
      <w:r w:rsidR="00201077" w:rsidRPr="00DA79C8">
        <w:rPr>
          <w:sz w:val="20"/>
          <w:szCs w:val="20"/>
          <w:lang w:val="es-ES_tradnl"/>
        </w:rPr>
        <w:t>condenó a la Sra. Gonz</w:t>
      </w:r>
      <w:r w:rsidR="00416CAB" w:rsidRPr="00DA79C8">
        <w:rPr>
          <w:sz w:val="20"/>
          <w:szCs w:val="20"/>
          <w:lang w:val="es-ES_tradnl"/>
        </w:rPr>
        <w:t>a</w:t>
      </w:r>
      <w:r w:rsidR="00201077" w:rsidRPr="00DA79C8">
        <w:rPr>
          <w:sz w:val="20"/>
          <w:szCs w:val="20"/>
          <w:lang w:val="es-ES_tradnl"/>
        </w:rPr>
        <w:t>lez</w:t>
      </w:r>
      <w:r w:rsidRPr="00DA79C8">
        <w:rPr>
          <w:sz w:val="20"/>
          <w:szCs w:val="20"/>
          <w:lang w:val="es-ES_tradnl"/>
        </w:rPr>
        <w:t>, sustituyendo</w:t>
      </w:r>
      <w:r w:rsidR="00201077" w:rsidRPr="00DA79C8">
        <w:rPr>
          <w:sz w:val="20"/>
          <w:szCs w:val="20"/>
          <w:lang w:val="es-ES_tradnl"/>
        </w:rPr>
        <w:t xml:space="preserve"> la pena de privación de libertad por una pena de multa y prestación de servicios comunitarios.</w:t>
      </w:r>
    </w:p>
    <w:p w14:paraId="640C4EE4" w14:textId="363A8B52" w:rsidR="00D75122" w:rsidRPr="00DA79C8" w:rsidRDefault="00AF563C"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DA79C8">
        <w:rPr>
          <w:sz w:val="20"/>
          <w:szCs w:val="20"/>
          <w:lang w:val="es-ES_tradnl"/>
        </w:rPr>
        <w:t xml:space="preserve">Asimismo, destaca que </w:t>
      </w:r>
      <w:r w:rsidR="000B7F16" w:rsidRPr="00DA79C8">
        <w:rPr>
          <w:sz w:val="20"/>
          <w:szCs w:val="20"/>
          <w:lang w:val="es-ES_tradnl"/>
        </w:rPr>
        <w:t>la 2ª Sala Penal de</w:t>
      </w:r>
      <w:r w:rsidR="00CD1060" w:rsidRPr="00DA79C8">
        <w:rPr>
          <w:sz w:val="20"/>
          <w:szCs w:val="20"/>
          <w:lang w:val="es-ES_tradnl"/>
        </w:rPr>
        <w:t xml:space="preserve">l Tribunal </w:t>
      </w:r>
      <w:r w:rsidR="000B7F16" w:rsidRPr="00DA79C8">
        <w:rPr>
          <w:sz w:val="20"/>
          <w:szCs w:val="20"/>
          <w:lang w:val="es-ES_tradnl"/>
        </w:rPr>
        <w:t>de Justicia del Estado de</w:t>
      </w:r>
      <w:r w:rsidR="00CD1060" w:rsidRPr="00DA79C8">
        <w:rPr>
          <w:sz w:val="20"/>
          <w:szCs w:val="20"/>
          <w:lang w:val="es-ES_tradnl"/>
        </w:rPr>
        <w:t>l</w:t>
      </w:r>
      <w:r w:rsidR="000B7F16" w:rsidRPr="00DA79C8">
        <w:rPr>
          <w:sz w:val="20"/>
          <w:szCs w:val="20"/>
          <w:lang w:val="es-ES_tradnl"/>
        </w:rPr>
        <w:t xml:space="preserve"> Amazonas </w:t>
      </w:r>
      <w:r w:rsidRPr="00DA79C8">
        <w:rPr>
          <w:sz w:val="20"/>
          <w:szCs w:val="20"/>
          <w:lang w:val="es-ES_tradnl"/>
        </w:rPr>
        <w:t xml:space="preserve">desestimó la apelación presentada por la presunta víctima contra su sentencia condenatoria, al considerar que </w:t>
      </w:r>
      <w:r w:rsidR="000B7F16" w:rsidRPr="00DA79C8">
        <w:rPr>
          <w:sz w:val="20"/>
          <w:szCs w:val="20"/>
          <w:lang w:val="es-ES_tradnl"/>
        </w:rPr>
        <w:t>denunció intencionalmente para hacerle daño</w:t>
      </w:r>
      <w:r w:rsidR="00D75122" w:rsidRPr="00DA79C8">
        <w:rPr>
          <w:sz w:val="20"/>
          <w:szCs w:val="20"/>
          <w:lang w:val="es-ES_tradnl"/>
        </w:rPr>
        <w:t xml:space="preserve"> al funcionario involucrado, únicamente </w:t>
      </w:r>
      <w:r w:rsidR="000B7F16" w:rsidRPr="00DA79C8">
        <w:rPr>
          <w:sz w:val="20"/>
          <w:szCs w:val="20"/>
          <w:lang w:val="es-ES_tradnl"/>
        </w:rPr>
        <w:t xml:space="preserve">por venganza personal. </w:t>
      </w:r>
      <w:r w:rsidR="00D75122" w:rsidRPr="00DA79C8">
        <w:rPr>
          <w:sz w:val="20"/>
          <w:szCs w:val="20"/>
          <w:lang w:val="es-ES_tradnl"/>
        </w:rPr>
        <w:t>Señala que el tribunal</w:t>
      </w:r>
      <w:r w:rsidR="000B7F16" w:rsidRPr="00DA79C8">
        <w:rPr>
          <w:sz w:val="20"/>
          <w:szCs w:val="20"/>
          <w:lang w:val="es-ES_tradnl"/>
        </w:rPr>
        <w:t xml:space="preserve"> encontró que la </w:t>
      </w:r>
      <w:r w:rsidR="00F04DC6" w:rsidRPr="00DA79C8">
        <w:rPr>
          <w:sz w:val="20"/>
          <w:szCs w:val="20"/>
          <w:lang w:val="es-ES_tradnl"/>
        </w:rPr>
        <w:t>señora</w:t>
      </w:r>
      <w:r w:rsidR="000B7F16" w:rsidRPr="00DA79C8">
        <w:rPr>
          <w:sz w:val="20"/>
          <w:szCs w:val="20"/>
          <w:lang w:val="es-ES_tradnl"/>
        </w:rPr>
        <w:t xml:space="preserve"> Gonzalez sabía que los presuntos hechos que había denunciado </w:t>
      </w:r>
      <w:r w:rsidR="00D75122" w:rsidRPr="00DA79C8">
        <w:rPr>
          <w:sz w:val="20"/>
          <w:szCs w:val="20"/>
          <w:lang w:val="es-ES_tradnl"/>
        </w:rPr>
        <w:t xml:space="preserve">no ocurrieron cuando la citada autoridad ocupaba el cargo de secretario municipal de defensa civil. </w:t>
      </w:r>
    </w:p>
    <w:bookmarkEnd w:id="2"/>
    <w:p w14:paraId="70537BAB" w14:textId="0E2BF730" w:rsidR="00D75122" w:rsidRPr="00DA79C8" w:rsidRDefault="00D75122"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DA79C8">
        <w:rPr>
          <w:sz w:val="20"/>
          <w:szCs w:val="20"/>
          <w:lang w:val="es-ES_tradnl"/>
        </w:rPr>
        <w:t>Con base en las citadas consideraciones de hecho, e</w:t>
      </w:r>
      <w:r w:rsidR="00801E92" w:rsidRPr="00DA79C8">
        <w:rPr>
          <w:sz w:val="20"/>
          <w:szCs w:val="20"/>
          <w:lang w:val="es-ES_tradnl"/>
        </w:rPr>
        <w:t xml:space="preserve">l Estado </w:t>
      </w:r>
      <w:r w:rsidRPr="00DA79C8">
        <w:rPr>
          <w:sz w:val="20"/>
          <w:szCs w:val="20"/>
          <w:lang w:val="es-ES_tradnl"/>
        </w:rPr>
        <w:t>arguye que el presente reclamo es inadmisible por falta de agotamiento de la jurisdicción interna. Destaca que, al momento de presente su petición, aún estaban pendiente</w:t>
      </w:r>
      <w:r w:rsidR="00F04DC6" w:rsidRPr="00DA79C8">
        <w:rPr>
          <w:sz w:val="20"/>
          <w:szCs w:val="20"/>
          <w:lang w:val="es-ES_tradnl"/>
        </w:rPr>
        <w:t>s</w:t>
      </w:r>
      <w:r w:rsidRPr="00DA79C8">
        <w:rPr>
          <w:sz w:val="20"/>
          <w:szCs w:val="20"/>
          <w:lang w:val="es-ES_tradnl"/>
        </w:rPr>
        <w:t xml:space="preserve"> de resolución los recursos que interpuso la presunta víctima ante </w:t>
      </w:r>
      <w:r w:rsidR="00801E92" w:rsidRPr="00DA79C8">
        <w:rPr>
          <w:sz w:val="20"/>
          <w:szCs w:val="20"/>
          <w:lang w:val="es-ES_tradnl"/>
        </w:rPr>
        <w:t>el T</w:t>
      </w:r>
      <w:r w:rsidR="00F04DC6" w:rsidRPr="00DA79C8">
        <w:rPr>
          <w:sz w:val="20"/>
          <w:szCs w:val="20"/>
          <w:lang w:val="es-ES_tradnl"/>
        </w:rPr>
        <w:t>S</w:t>
      </w:r>
      <w:r w:rsidR="00801E92" w:rsidRPr="00DA79C8">
        <w:rPr>
          <w:sz w:val="20"/>
          <w:szCs w:val="20"/>
          <w:lang w:val="es-ES_tradnl"/>
        </w:rPr>
        <w:t>F y el T</w:t>
      </w:r>
      <w:r w:rsidR="00F04DC6" w:rsidRPr="00DA79C8">
        <w:rPr>
          <w:sz w:val="20"/>
          <w:szCs w:val="20"/>
          <w:lang w:val="es-ES_tradnl"/>
        </w:rPr>
        <w:t>S</w:t>
      </w:r>
      <w:r w:rsidR="00801E92" w:rsidRPr="00DA79C8">
        <w:rPr>
          <w:sz w:val="20"/>
          <w:szCs w:val="20"/>
          <w:lang w:val="es-ES_tradnl"/>
        </w:rPr>
        <w:t xml:space="preserve">J. En este sentido, informa que: i) el </w:t>
      </w:r>
      <w:r w:rsidR="00F04DC6" w:rsidRPr="00DA79C8">
        <w:rPr>
          <w:sz w:val="20"/>
          <w:szCs w:val="20"/>
          <w:lang w:val="es-ES_tradnl"/>
        </w:rPr>
        <w:t>a</w:t>
      </w:r>
      <w:r w:rsidR="00801E92" w:rsidRPr="00DA79C8">
        <w:rPr>
          <w:sz w:val="20"/>
          <w:szCs w:val="20"/>
          <w:lang w:val="es-ES_tradnl"/>
        </w:rPr>
        <w:t xml:space="preserve">gravio en </w:t>
      </w:r>
      <w:r w:rsidR="00F04DC6" w:rsidRPr="00DA79C8">
        <w:rPr>
          <w:sz w:val="20"/>
          <w:szCs w:val="20"/>
          <w:lang w:val="es-ES_tradnl"/>
        </w:rPr>
        <w:t>r</w:t>
      </w:r>
      <w:r w:rsidR="00801E92" w:rsidRPr="00DA79C8">
        <w:rPr>
          <w:sz w:val="20"/>
          <w:szCs w:val="20"/>
          <w:lang w:val="es-ES_tradnl"/>
        </w:rPr>
        <w:t xml:space="preserve">ecurso </w:t>
      </w:r>
      <w:r w:rsidR="00F04DC6" w:rsidRPr="00DA79C8">
        <w:rPr>
          <w:sz w:val="20"/>
          <w:szCs w:val="20"/>
          <w:lang w:val="es-ES_tradnl"/>
        </w:rPr>
        <w:t>e</w:t>
      </w:r>
      <w:r w:rsidR="00801E92" w:rsidRPr="00DA79C8">
        <w:rPr>
          <w:sz w:val="20"/>
          <w:szCs w:val="20"/>
          <w:lang w:val="es-ES_tradnl"/>
        </w:rPr>
        <w:t>special No. 1003836 fue evaluad</w:t>
      </w:r>
      <w:r w:rsidR="00BF2534" w:rsidRPr="00DA79C8">
        <w:rPr>
          <w:sz w:val="20"/>
          <w:szCs w:val="20"/>
          <w:lang w:val="es-ES_tradnl"/>
        </w:rPr>
        <w:t>o</w:t>
      </w:r>
      <w:r w:rsidR="00801E92" w:rsidRPr="00DA79C8">
        <w:rPr>
          <w:sz w:val="20"/>
          <w:szCs w:val="20"/>
          <w:lang w:val="es-ES_tradnl"/>
        </w:rPr>
        <w:t xml:space="preserve"> en octubre de 2016 y rechazad</w:t>
      </w:r>
      <w:r w:rsidR="00BF2534" w:rsidRPr="00DA79C8">
        <w:rPr>
          <w:sz w:val="20"/>
          <w:szCs w:val="20"/>
          <w:lang w:val="es-ES_tradnl"/>
        </w:rPr>
        <w:t>o</w:t>
      </w:r>
      <w:r w:rsidR="00801E92" w:rsidRPr="00DA79C8">
        <w:rPr>
          <w:sz w:val="20"/>
          <w:szCs w:val="20"/>
          <w:lang w:val="es-ES_tradnl"/>
        </w:rPr>
        <w:t xml:space="preserve"> el 21 de febrero de 2017, con decisión final el 20 de marzo de 2017; ii) el </w:t>
      </w:r>
      <w:r w:rsidR="00F04DC6" w:rsidRPr="00DA79C8">
        <w:rPr>
          <w:sz w:val="20"/>
          <w:szCs w:val="20"/>
          <w:lang w:val="es-ES_tradnl"/>
        </w:rPr>
        <w:t>a</w:t>
      </w:r>
      <w:r w:rsidR="00801E92" w:rsidRPr="00DA79C8">
        <w:rPr>
          <w:sz w:val="20"/>
          <w:szCs w:val="20"/>
          <w:lang w:val="es-ES_tradnl"/>
        </w:rPr>
        <w:t xml:space="preserve">gravio en </w:t>
      </w:r>
      <w:r w:rsidR="00F04DC6" w:rsidRPr="00DA79C8">
        <w:rPr>
          <w:sz w:val="20"/>
          <w:szCs w:val="20"/>
          <w:lang w:val="es-ES_tradnl"/>
        </w:rPr>
        <w:t>r</w:t>
      </w:r>
      <w:r w:rsidR="00801E92" w:rsidRPr="00DA79C8">
        <w:rPr>
          <w:sz w:val="20"/>
          <w:szCs w:val="20"/>
          <w:lang w:val="es-ES_tradnl"/>
        </w:rPr>
        <w:t xml:space="preserve">ecurso </w:t>
      </w:r>
      <w:r w:rsidR="00F04DC6" w:rsidRPr="00DA79C8">
        <w:rPr>
          <w:sz w:val="20"/>
          <w:szCs w:val="20"/>
          <w:lang w:val="es-ES_tradnl"/>
        </w:rPr>
        <w:t>e</w:t>
      </w:r>
      <w:r w:rsidR="00801E92" w:rsidRPr="00DA79C8">
        <w:rPr>
          <w:sz w:val="20"/>
          <w:szCs w:val="20"/>
          <w:lang w:val="es-ES_tradnl"/>
        </w:rPr>
        <w:t xml:space="preserve">xtraordinario No. 995932 fue distribuido en septiembre de 2016 y rechazado el 19 de junio de 2017, </w:t>
      </w:r>
      <w:r w:rsidR="00F04DC6" w:rsidRPr="00DA79C8">
        <w:rPr>
          <w:sz w:val="20"/>
          <w:szCs w:val="20"/>
          <w:lang w:val="es-ES_tradnl"/>
        </w:rPr>
        <w:lastRenderedPageBreak/>
        <w:t xml:space="preserve">adquiriendo calidad de </w:t>
      </w:r>
      <w:r w:rsidR="00447769" w:rsidRPr="00DA79C8">
        <w:rPr>
          <w:sz w:val="20"/>
          <w:szCs w:val="20"/>
          <w:lang w:val="es-ES_tradnl"/>
        </w:rPr>
        <w:t xml:space="preserve">cosa juzgada el </w:t>
      </w:r>
      <w:r w:rsidR="00801E92" w:rsidRPr="00DA79C8">
        <w:rPr>
          <w:sz w:val="20"/>
          <w:szCs w:val="20"/>
          <w:lang w:val="es-ES_tradnl"/>
        </w:rPr>
        <w:t xml:space="preserve">24 de agosto de 2017. </w:t>
      </w:r>
      <w:r w:rsidRPr="00DA79C8">
        <w:rPr>
          <w:sz w:val="20"/>
          <w:szCs w:val="20"/>
          <w:lang w:val="es-ES_tradnl"/>
        </w:rPr>
        <w:t>Adicionalmente,</w:t>
      </w:r>
      <w:r w:rsidR="00801E92" w:rsidRPr="00DA79C8">
        <w:rPr>
          <w:sz w:val="20"/>
          <w:szCs w:val="20"/>
          <w:lang w:val="es-ES_tradnl"/>
        </w:rPr>
        <w:t xml:space="preserve"> sostiene que</w:t>
      </w:r>
      <w:r w:rsidRPr="00DA79C8">
        <w:rPr>
          <w:sz w:val="20"/>
          <w:szCs w:val="20"/>
          <w:lang w:val="es-ES_tradnl"/>
        </w:rPr>
        <w:t xml:space="preserve"> no se configura</w:t>
      </w:r>
      <w:r w:rsidR="00801E92" w:rsidRPr="00DA79C8">
        <w:rPr>
          <w:sz w:val="20"/>
          <w:szCs w:val="20"/>
          <w:lang w:val="es-ES_tradnl"/>
        </w:rPr>
        <w:t xml:space="preserve"> la excepción de retardo injustificado</w:t>
      </w:r>
      <w:r w:rsidRPr="00DA79C8">
        <w:rPr>
          <w:sz w:val="20"/>
          <w:szCs w:val="20"/>
          <w:lang w:val="es-ES_tradnl"/>
        </w:rPr>
        <w:t xml:space="preserve"> contemplada en el artículo 46.2.c) de la Convención, toda vez que </w:t>
      </w:r>
      <w:r w:rsidR="00F04DC6" w:rsidRPr="00DA79C8">
        <w:rPr>
          <w:sz w:val="20"/>
          <w:szCs w:val="20"/>
          <w:lang w:val="es-ES_tradnl"/>
        </w:rPr>
        <w:t>todas</w:t>
      </w:r>
      <w:r w:rsidRPr="00DA79C8">
        <w:rPr>
          <w:sz w:val="20"/>
          <w:szCs w:val="20"/>
          <w:lang w:val="es-ES_tradnl"/>
        </w:rPr>
        <w:t xml:space="preserve"> </w:t>
      </w:r>
      <w:r w:rsidR="00F04DC6" w:rsidRPr="00DA79C8">
        <w:rPr>
          <w:sz w:val="20"/>
          <w:szCs w:val="20"/>
          <w:lang w:val="es-ES_tradnl"/>
        </w:rPr>
        <w:t xml:space="preserve">las </w:t>
      </w:r>
      <w:r w:rsidRPr="00DA79C8">
        <w:rPr>
          <w:sz w:val="20"/>
          <w:szCs w:val="20"/>
          <w:lang w:val="es-ES_tradnl"/>
        </w:rPr>
        <w:t>resoluci</w:t>
      </w:r>
      <w:r w:rsidR="00F04DC6" w:rsidRPr="00DA79C8">
        <w:rPr>
          <w:sz w:val="20"/>
          <w:szCs w:val="20"/>
          <w:lang w:val="es-ES_tradnl"/>
        </w:rPr>
        <w:t>ones</w:t>
      </w:r>
      <w:r w:rsidRPr="00DA79C8">
        <w:rPr>
          <w:sz w:val="20"/>
          <w:szCs w:val="20"/>
          <w:lang w:val="es-ES_tradnl"/>
        </w:rPr>
        <w:t xml:space="preserve"> se emiti</w:t>
      </w:r>
      <w:r w:rsidR="00F04DC6" w:rsidRPr="00DA79C8">
        <w:rPr>
          <w:sz w:val="20"/>
          <w:szCs w:val="20"/>
          <w:lang w:val="es-ES_tradnl"/>
        </w:rPr>
        <w:t>eron</w:t>
      </w:r>
      <w:r w:rsidRPr="00DA79C8">
        <w:rPr>
          <w:sz w:val="20"/>
          <w:szCs w:val="20"/>
          <w:lang w:val="es-ES_tradnl"/>
        </w:rPr>
        <w:t xml:space="preserve"> en un plazo razonable. Por las razones expuestas, solicita que el presente reclamo sea inadmitido, por no cumplir con el requisito previsto en el artículo 46.1.a) de la Convención Americana.</w:t>
      </w:r>
    </w:p>
    <w:p w14:paraId="4C07EB30" w14:textId="78CB37CB" w:rsidR="004F1872" w:rsidRPr="00DA79C8" w:rsidRDefault="00DD68A1"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DA79C8">
        <w:rPr>
          <w:sz w:val="20"/>
          <w:szCs w:val="20"/>
          <w:lang w:val="es-ES_tradnl"/>
        </w:rPr>
        <w:t>Por otra parte</w:t>
      </w:r>
      <w:r w:rsidR="004F1872" w:rsidRPr="00DA79C8">
        <w:rPr>
          <w:sz w:val="20"/>
          <w:szCs w:val="20"/>
          <w:lang w:val="es-ES_tradnl"/>
        </w:rPr>
        <w:t xml:space="preserve">, </w:t>
      </w:r>
      <w:r w:rsidR="0002521F" w:rsidRPr="00DA79C8">
        <w:rPr>
          <w:sz w:val="20"/>
          <w:szCs w:val="20"/>
          <w:lang w:val="es-ES_tradnl"/>
        </w:rPr>
        <w:t>considera</w:t>
      </w:r>
      <w:r w:rsidR="004F1872" w:rsidRPr="00DA79C8">
        <w:rPr>
          <w:sz w:val="20"/>
          <w:szCs w:val="20"/>
          <w:lang w:val="es-ES_tradnl"/>
        </w:rPr>
        <w:t xml:space="preserve"> que los hechos denunciados no caracterizan vulneraciones de derechos humanos que le sean atribuibles. Por el contrario, sostiene que </w:t>
      </w:r>
      <w:r w:rsidR="00E6535D" w:rsidRPr="00DA79C8">
        <w:rPr>
          <w:sz w:val="20"/>
          <w:szCs w:val="20"/>
          <w:lang w:val="es-ES_tradnl"/>
        </w:rPr>
        <w:t xml:space="preserve">la peticionaria pretende convertir a la Comisión Interamericana en un órgano revisor con relación a los procesos internos, cuestión que </w:t>
      </w:r>
      <w:r w:rsidR="008B7355" w:rsidRPr="00DA79C8">
        <w:rPr>
          <w:sz w:val="20"/>
          <w:szCs w:val="20"/>
          <w:lang w:val="es-ES_tradnl"/>
        </w:rPr>
        <w:t>escapa</w:t>
      </w:r>
      <w:r w:rsidR="004F1872" w:rsidRPr="00DA79C8">
        <w:rPr>
          <w:sz w:val="20"/>
          <w:szCs w:val="20"/>
          <w:lang w:val="es-ES_tradnl"/>
        </w:rPr>
        <w:t xml:space="preserve"> a su</w:t>
      </w:r>
      <w:r w:rsidR="00E6535D" w:rsidRPr="00DA79C8">
        <w:rPr>
          <w:sz w:val="20"/>
          <w:szCs w:val="20"/>
          <w:lang w:val="es-ES_tradnl"/>
        </w:rPr>
        <w:t xml:space="preserve"> competencia </w:t>
      </w:r>
      <w:r w:rsidR="00E6535D" w:rsidRPr="00DA79C8">
        <w:rPr>
          <w:i/>
          <w:iCs/>
          <w:sz w:val="20"/>
          <w:szCs w:val="20"/>
          <w:lang w:val="es-ES_tradnl"/>
        </w:rPr>
        <w:t>ratione materiae</w:t>
      </w:r>
      <w:r w:rsidR="004F1872" w:rsidRPr="00DA79C8">
        <w:rPr>
          <w:sz w:val="20"/>
          <w:szCs w:val="20"/>
          <w:lang w:val="es-ES_tradnl"/>
        </w:rPr>
        <w:t xml:space="preserve">. </w:t>
      </w:r>
    </w:p>
    <w:p w14:paraId="116AAC50" w14:textId="42FA0031" w:rsidR="004F1872" w:rsidRPr="00DA79C8" w:rsidRDefault="004F1872"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DA79C8">
        <w:rPr>
          <w:sz w:val="20"/>
          <w:szCs w:val="20"/>
          <w:lang w:val="es-ES_tradnl"/>
        </w:rPr>
        <w:t xml:space="preserve">Destaca que las autoridades judiciales tramitaron </w:t>
      </w:r>
      <w:r w:rsidR="00852380" w:rsidRPr="00DA79C8">
        <w:rPr>
          <w:sz w:val="20"/>
          <w:szCs w:val="20"/>
          <w:lang w:val="es-ES_tradnl"/>
        </w:rPr>
        <w:t>correctamente</w:t>
      </w:r>
      <w:r w:rsidRPr="00DA79C8">
        <w:rPr>
          <w:sz w:val="20"/>
          <w:szCs w:val="20"/>
          <w:lang w:val="es-ES_tradnl"/>
        </w:rPr>
        <w:t xml:space="preserve"> cada recurso y los desestimaron mediante decisiones debidamente motivadas. En este sentido, destaca que</w:t>
      </w:r>
      <w:r w:rsidR="00DD68A1" w:rsidRPr="00DA79C8">
        <w:rPr>
          <w:sz w:val="20"/>
          <w:szCs w:val="20"/>
          <w:lang w:val="es-ES_tradnl"/>
        </w:rPr>
        <w:t xml:space="preserve"> la Sra. Gonzalez:</w:t>
      </w:r>
      <w:r w:rsidRPr="00DA79C8">
        <w:rPr>
          <w:sz w:val="20"/>
          <w:szCs w:val="20"/>
          <w:lang w:val="es-ES_tradnl"/>
        </w:rPr>
        <w:t xml:space="preserve"> i) fue oída por una autoridad judicial competente, independiente e imparcial, dentro de un plazo razonable previamente establecido por la ley; ii) </w:t>
      </w:r>
      <w:r w:rsidR="00DD68A1" w:rsidRPr="00DA79C8">
        <w:rPr>
          <w:sz w:val="20"/>
          <w:szCs w:val="20"/>
          <w:lang w:val="es-ES_tradnl"/>
        </w:rPr>
        <w:t>contó con su derecho a la</w:t>
      </w:r>
      <w:r w:rsidRPr="00DA79C8">
        <w:rPr>
          <w:sz w:val="20"/>
          <w:szCs w:val="20"/>
          <w:lang w:val="es-ES_tradnl"/>
        </w:rPr>
        <w:t xml:space="preserve"> presunción de inocencia hasta la sentencia definitiva del caso</w:t>
      </w:r>
      <w:r w:rsidR="00DD68A1" w:rsidRPr="00DA79C8">
        <w:rPr>
          <w:sz w:val="20"/>
          <w:szCs w:val="20"/>
          <w:lang w:val="es-ES_tradnl"/>
        </w:rPr>
        <w:t xml:space="preserve">; iii) a lo largo del proceso estuvieron a su disposición </w:t>
      </w:r>
      <w:r w:rsidRPr="00DA79C8">
        <w:rPr>
          <w:sz w:val="20"/>
          <w:szCs w:val="20"/>
          <w:lang w:val="es-ES_tradnl"/>
        </w:rPr>
        <w:t xml:space="preserve">diversos recursos </w:t>
      </w:r>
      <w:r w:rsidR="00DD68A1" w:rsidRPr="00DA79C8">
        <w:rPr>
          <w:sz w:val="20"/>
          <w:szCs w:val="20"/>
          <w:lang w:val="es-ES_tradnl"/>
        </w:rPr>
        <w:t>para que pueda plantear sus alegatos de defensa</w:t>
      </w:r>
      <w:r w:rsidRPr="00DA79C8">
        <w:rPr>
          <w:sz w:val="20"/>
          <w:szCs w:val="20"/>
          <w:lang w:val="es-ES_tradnl"/>
        </w:rPr>
        <w:t xml:space="preserve">; </w:t>
      </w:r>
      <w:r w:rsidR="00DD68A1" w:rsidRPr="00DA79C8">
        <w:rPr>
          <w:sz w:val="20"/>
          <w:szCs w:val="20"/>
          <w:lang w:val="es-ES_tradnl"/>
        </w:rPr>
        <w:t xml:space="preserve">y </w:t>
      </w:r>
      <w:r w:rsidRPr="00DA79C8">
        <w:rPr>
          <w:sz w:val="20"/>
          <w:szCs w:val="20"/>
          <w:lang w:val="es-ES_tradnl"/>
        </w:rPr>
        <w:t>i</w:t>
      </w:r>
      <w:r w:rsidR="00DD68A1" w:rsidRPr="00DA79C8">
        <w:rPr>
          <w:sz w:val="20"/>
          <w:szCs w:val="20"/>
          <w:lang w:val="es-ES_tradnl"/>
        </w:rPr>
        <w:t>v</w:t>
      </w:r>
      <w:r w:rsidRPr="00DA79C8">
        <w:rPr>
          <w:sz w:val="20"/>
          <w:szCs w:val="20"/>
          <w:lang w:val="es-ES_tradnl"/>
        </w:rPr>
        <w:t>) no fue privada de su derecho a la libertad personal como consecuencia del mencionado proceso.</w:t>
      </w:r>
    </w:p>
    <w:p w14:paraId="48E0A5C0" w14:textId="6D9A3F9C" w:rsidR="00DD68A1" w:rsidRPr="00DA79C8" w:rsidRDefault="00DD68A1" w:rsidP="00DA79C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DA79C8">
        <w:rPr>
          <w:sz w:val="20"/>
          <w:szCs w:val="20"/>
          <w:lang w:val="es-ES_tradnl"/>
        </w:rPr>
        <w:t>Finalmente, sostiene que el proceso contra la presunta víctima no incurrió en una irregularidad que constituya fraude procesal.  Destaca que, si bien el Ministerio Público constató que, durante la investigación, i) la Secretaría del Tribunal erró al enviar un escrito a la Fiscalía General del Estado, en lugar de la Fiscalía General de Justicia; y ii) el Tribunal de Cuentas del Estado de Amazonas cometió otr</w:t>
      </w:r>
      <w:r w:rsidR="00852380" w:rsidRPr="00DA79C8">
        <w:rPr>
          <w:sz w:val="20"/>
          <w:szCs w:val="20"/>
          <w:lang w:val="es-ES_tradnl"/>
        </w:rPr>
        <w:t>a equivocación</w:t>
      </w:r>
      <w:r w:rsidRPr="00DA79C8">
        <w:rPr>
          <w:sz w:val="20"/>
          <w:szCs w:val="20"/>
          <w:lang w:val="es-ES_tradnl"/>
        </w:rPr>
        <w:t xml:space="preserve"> similar, al informar que la autoridad denunciada no pertenecía a</w:t>
      </w:r>
      <w:r w:rsidR="00C12270" w:rsidRPr="00DA79C8">
        <w:rPr>
          <w:sz w:val="20"/>
          <w:szCs w:val="20"/>
          <w:lang w:val="es-ES_tradnl"/>
        </w:rPr>
        <w:t>l organismo involucrado,</w:t>
      </w:r>
      <w:r w:rsidRPr="00DA79C8">
        <w:rPr>
          <w:sz w:val="20"/>
          <w:szCs w:val="20"/>
          <w:lang w:val="es-ES_tradnl"/>
        </w:rPr>
        <w:t xml:space="preserve"> esto solo representó una simple falencia en el envío, los cual no lesionó los derechos de la </w:t>
      </w:r>
      <w:r w:rsidR="00852380" w:rsidRPr="00DA79C8">
        <w:rPr>
          <w:sz w:val="20"/>
          <w:szCs w:val="20"/>
          <w:lang w:val="es-ES_tradnl"/>
        </w:rPr>
        <w:t>señora</w:t>
      </w:r>
      <w:r w:rsidRPr="00DA79C8">
        <w:rPr>
          <w:sz w:val="20"/>
          <w:szCs w:val="20"/>
          <w:lang w:val="es-ES_tradnl"/>
        </w:rPr>
        <w:t xml:space="preserve"> González. </w:t>
      </w:r>
    </w:p>
    <w:p w14:paraId="6B466593" w14:textId="3359A70F" w:rsidR="00B83158" w:rsidRPr="00DA79C8" w:rsidRDefault="00B83158" w:rsidP="00DA7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firstLine="720"/>
        <w:jc w:val="both"/>
        <w:rPr>
          <w:sz w:val="20"/>
          <w:szCs w:val="20"/>
          <w:lang w:val="es-ES_tradnl"/>
        </w:rPr>
      </w:pPr>
      <w:r w:rsidRPr="00DA79C8">
        <w:rPr>
          <w:rFonts w:asciiTheme="majorHAnsi" w:hAnsiTheme="majorHAnsi"/>
          <w:b/>
          <w:sz w:val="20"/>
          <w:szCs w:val="20"/>
          <w:lang w:val="es-ES_tradnl"/>
        </w:rPr>
        <w:t xml:space="preserve">VI. </w:t>
      </w:r>
      <w:r w:rsidRPr="00DA79C8">
        <w:rPr>
          <w:rFonts w:asciiTheme="majorHAnsi" w:hAnsiTheme="majorHAnsi"/>
          <w:b/>
          <w:sz w:val="20"/>
          <w:szCs w:val="20"/>
          <w:lang w:val="es-ES_tradnl"/>
        </w:rPr>
        <w:tab/>
      </w:r>
      <w:r w:rsidRPr="00DA79C8">
        <w:rPr>
          <w:rFonts w:asciiTheme="majorHAnsi" w:hAnsiTheme="majorHAnsi"/>
          <w:b/>
          <w:bCs/>
          <w:sz w:val="20"/>
          <w:szCs w:val="20"/>
          <w:lang w:val="es-ES_tradnl"/>
        </w:rPr>
        <w:t xml:space="preserve">ANÁLISIS DE </w:t>
      </w:r>
      <w:r w:rsidRPr="00DA79C8">
        <w:rPr>
          <w:rFonts w:asciiTheme="majorHAnsi" w:hAnsiTheme="majorHAnsi"/>
          <w:b/>
          <w:sz w:val="20"/>
          <w:szCs w:val="20"/>
          <w:lang w:val="es-ES_tradnl"/>
        </w:rPr>
        <w:t>AGOTAMIENTO DE LOS RECURSOS INTERNOS Y PLAZO DE PRESENTACIÓN</w:t>
      </w:r>
      <w:r w:rsidRPr="00DA79C8">
        <w:rPr>
          <w:rFonts w:asciiTheme="majorHAnsi" w:hAnsiTheme="majorHAnsi"/>
          <w:b/>
          <w:bCs/>
          <w:sz w:val="20"/>
          <w:szCs w:val="20"/>
          <w:lang w:val="es-ES_tradnl"/>
        </w:rPr>
        <w:t xml:space="preserve"> </w:t>
      </w:r>
    </w:p>
    <w:p w14:paraId="31FFD04B" w14:textId="17B72FF6" w:rsidR="002B3777" w:rsidRPr="00DA79C8" w:rsidRDefault="002B3777" w:rsidP="00DA79C8">
      <w:pPr>
        <w:pStyle w:val="ListParagraph"/>
        <w:widowControl w:val="0"/>
        <w:numPr>
          <w:ilvl w:val="0"/>
          <w:numId w:val="59"/>
        </w:numPr>
        <w:spacing w:before="240" w:after="240"/>
        <w:ind w:left="0" w:firstLine="720"/>
        <w:jc w:val="both"/>
        <w:rPr>
          <w:sz w:val="20"/>
          <w:szCs w:val="20"/>
          <w:lang w:val="es-ES_tradnl"/>
        </w:rPr>
      </w:pPr>
      <w:r w:rsidRPr="00DA79C8">
        <w:rPr>
          <w:sz w:val="20"/>
          <w:szCs w:val="20"/>
          <w:lang w:val="es-ES_tradnl"/>
        </w:rPr>
        <w:t>Respecto 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bookmarkStart w:id="3" w:name="_Hlk152683020"/>
      <w:r w:rsidRPr="00DA79C8">
        <w:rPr>
          <w:rStyle w:val="FootnoteReference"/>
          <w:sz w:val="20"/>
          <w:szCs w:val="20"/>
          <w:lang w:val="es-ES_tradnl"/>
        </w:rPr>
        <w:footnoteReference w:id="5"/>
      </w:r>
      <w:bookmarkEnd w:id="3"/>
      <w:r w:rsidRPr="00DA79C8">
        <w:rPr>
          <w:sz w:val="20"/>
          <w:szCs w:val="20"/>
          <w:lang w:val="es-ES_tradnl"/>
        </w:rPr>
        <w:t xml:space="preserve">. </w:t>
      </w:r>
    </w:p>
    <w:p w14:paraId="6B27E4ED" w14:textId="366F14A1" w:rsidR="001A137B" w:rsidRPr="00DA79C8" w:rsidRDefault="002B3777" w:rsidP="00DA79C8">
      <w:pPr>
        <w:pStyle w:val="ListParagraph"/>
        <w:widowControl w:val="0"/>
        <w:numPr>
          <w:ilvl w:val="0"/>
          <w:numId w:val="59"/>
        </w:numPr>
        <w:spacing w:before="240" w:after="240"/>
        <w:ind w:left="0" w:firstLine="720"/>
        <w:jc w:val="both"/>
        <w:rPr>
          <w:sz w:val="20"/>
          <w:szCs w:val="20"/>
          <w:lang w:val="es-ES_tradnl"/>
        </w:rPr>
      </w:pPr>
      <w:r w:rsidRPr="00DA79C8">
        <w:rPr>
          <w:sz w:val="20"/>
          <w:szCs w:val="20"/>
          <w:lang w:val="es-ES_tradnl"/>
        </w:rPr>
        <w:t>En el presente asunto, la Comisión observa que</w:t>
      </w:r>
      <w:r w:rsidR="00852380" w:rsidRPr="00DA79C8">
        <w:rPr>
          <w:sz w:val="20"/>
          <w:szCs w:val="20"/>
          <w:lang w:val="es-ES_tradnl"/>
        </w:rPr>
        <w:t>, de acuerdo con la información proporcionada por ambas partes, el 2</w:t>
      </w:r>
      <w:r w:rsidR="00487538" w:rsidRPr="00DA79C8">
        <w:rPr>
          <w:sz w:val="20"/>
          <w:szCs w:val="20"/>
          <w:lang w:val="es-ES_tradnl"/>
        </w:rPr>
        <w:t xml:space="preserve">4 de agosto de 2017 el </w:t>
      </w:r>
      <w:r w:rsidR="00852380" w:rsidRPr="00DA79C8">
        <w:rPr>
          <w:sz w:val="20"/>
          <w:szCs w:val="20"/>
          <w:lang w:val="es-ES_tradnl"/>
        </w:rPr>
        <w:t>Tribunal Supremo de Justicia desestimó el recurso extraordinario presentado por la presunta víctima</w:t>
      </w:r>
      <w:r w:rsidR="00487538" w:rsidRPr="00DA79C8">
        <w:rPr>
          <w:sz w:val="20"/>
          <w:szCs w:val="20"/>
          <w:lang w:val="es-ES_tradnl"/>
        </w:rPr>
        <w:t xml:space="preserve"> contra su sentencia condenatoria. Tomando en cuenta que el Estado no controvierte esta información, la Comisión concluye que el presente reclamo cumple con el requisito previsto en el artículo 46.1.a) de la Convención Americana. Asimismo, dado que esta decisión se adoptó mientras el presente asunto estaba bajo estudio de admisibilidad, la Comisión también considera que este reclamo cumple con el requerimiento de plazo previsto en el artículo 46.1.b) de la Convención.</w:t>
      </w:r>
    </w:p>
    <w:p w14:paraId="2C613E54" w14:textId="77777777" w:rsidR="00C9124E" w:rsidRPr="00DA79C8" w:rsidRDefault="00C9124E" w:rsidP="00DA79C8">
      <w:pPr>
        <w:pStyle w:val="ListParagraph"/>
        <w:spacing w:before="240" w:after="240"/>
        <w:ind w:left="758"/>
        <w:jc w:val="both"/>
        <w:rPr>
          <w:rFonts w:asciiTheme="majorHAnsi" w:hAnsiTheme="majorHAnsi"/>
          <w:b/>
          <w:sz w:val="20"/>
          <w:szCs w:val="20"/>
          <w:lang w:val="es-ES_tradnl"/>
        </w:rPr>
      </w:pPr>
      <w:r w:rsidRPr="00DA79C8">
        <w:rPr>
          <w:rFonts w:asciiTheme="majorHAnsi" w:hAnsiTheme="majorHAnsi"/>
          <w:b/>
          <w:sz w:val="20"/>
          <w:szCs w:val="20"/>
          <w:lang w:val="es-ES_tradnl"/>
        </w:rPr>
        <w:t xml:space="preserve">VII. </w:t>
      </w:r>
      <w:r w:rsidRPr="00DA79C8">
        <w:rPr>
          <w:rFonts w:asciiTheme="majorHAnsi" w:hAnsiTheme="majorHAnsi"/>
          <w:b/>
          <w:sz w:val="20"/>
          <w:szCs w:val="20"/>
          <w:lang w:val="es-ES_tradnl"/>
        </w:rPr>
        <w:tab/>
      </w:r>
      <w:r w:rsidRPr="00DA79C8">
        <w:rPr>
          <w:rFonts w:asciiTheme="majorHAnsi" w:hAnsiTheme="majorHAnsi"/>
          <w:b/>
          <w:bCs/>
          <w:sz w:val="20"/>
          <w:szCs w:val="20"/>
          <w:lang w:val="es-ES_tradnl"/>
        </w:rPr>
        <w:t>ANÁLISIS DE CARACTERIZACIÓN DE LOS HECHOS ALEGADOS</w:t>
      </w:r>
    </w:p>
    <w:p w14:paraId="7EF8DCD0" w14:textId="20BCB614" w:rsidR="0075547F" w:rsidRPr="00DA79C8" w:rsidRDefault="0075547F" w:rsidP="00DA79C8">
      <w:pPr>
        <w:pStyle w:val="ListParagraph"/>
        <w:widowControl w:val="0"/>
        <w:numPr>
          <w:ilvl w:val="0"/>
          <w:numId w:val="59"/>
        </w:numPr>
        <w:spacing w:before="240" w:after="240"/>
        <w:ind w:left="0" w:firstLine="709"/>
        <w:jc w:val="both"/>
        <w:rPr>
          <w:rFonts w:asciiTheme="majorHAnsi" w:hAnsiTheme="majorHAnsi"/>
          <w:b/>
          <w:sz w:val="20"/>
          <w:szCs w:val="20"/>
          <w:lang w:val="es-ES_tradnl"/>
        </w:rPr>
      </w:pPr>
      <w:r w:rsidRPr="00DA79C8">
        <w:rPr>
          <w:sz w:val="20"/>
          <w:szCs w:val="20"/>
          <w:lang w:val="es-ES_tradnl"/>
        </w:rPr>
        <w:t>Con relación a la admisibilidad de la petición, la Comisión debe decidir si los hechos alegados pueden caracterizarse como una violación de derechos, en los términos del artículo 47.b de la Convención Americana, o si la petición es "manifiestamente infundada" o "evidentemente infundada", según el inciso c) de tal artículo. El criterio para analizar la admisibilidad difiere del utilizado para analizar el fondo de la petición, ya que la Comisión s</w:t>
      </w:r>
      <w:r w:rsidR="0025385F" w:rsidRPr="00DA79C8">
        <w:rPr>
          <w:sz w:val="20"/>
          <w:szCs w:val="20"/>
          <w:lang w:val="es-ES_tradnl"/>
        </w:rPr>
        <w:t>o</w:t>
      </w:r>
      <w:r w:rsidRPr="00DA79C8">
        <w:rPr>
          <w:sz w:val="20"/>
          <w:szCs w:val="20"/>
          <w:lang w:val="es-ES_tradnl"/>
        </w:rPr>
        <w:t xml:space="preserve">lo realiza un análisis </w:t>
      </w:r>
      <w:r w:rsidRPr="00DA79C8">
        <w:rPr>
          <w:i/>
          <w:iCs/>
          <w:sz w:val="20"/>
          <w:szCs w:val="20"/>
          <w:lang w:val="es-ES_tradnl"/>
        </w:rPr>
        <w:t>prima facie</w:t>
      </w:r>
      <w:r w:rsidRPr="00DA79C8">
        <w:rPr>
          <w:sz w:val="20"/>
          <w:szCs w:val="20"/>
          <w:lang w:val="es-ES_tradnl"/>
        </w:rPr>
        <w:t xml:space="preserve"> para determinar si los peticionarios establecen una aparente o posible violación de un derecho garantizado por la Convención Americana. Se trata de un análisis </w:t>
      </w:r>
      <w:r w:rsidRPr="00DA79C8">
        <w:rPr>
          <w:sz w:val="20"/>
          <w:szCs w:val="20"/>
          <w:lang w:val="es-ES_tradnl"/>
        </w:rPr>
        <w:lastRenderedPageBreak/>
        <w:t>sumario que no implica prejuzgar ni emitir una opinión preliminar sobre el fondo del asunto</w:t>
      </w:r>
      <w:bookmarkStart w:id="4" w:name="_Hlk152683159"/>
      <w:r w:rsidRPr="00DA79C8">
        <w:rPr>
          <w:rStyle w:val="FootnoteReference"/>
          <w:sz w:val="20"/>
          <w:szCs w:val="20"/>
          <w:lang w:val="es-ES_tradnl"/>
        </w:rPr>
        <w:footnoteReference w:id="6"/>
      </w:r>
      <w:bookmarkEnd w:id="4"/>
      <w:r w:rsidRPr="00DA79C8">
        <w:rPr>
          <w:sz w:val="20"/>
          <w:szCs w:val="20"/>
          <w:lang w:val="es-ES_tradnl"/>
        </w:rPr>
        <w:t>.</w:t>
      </w:r>
    </w:p>
    <w:p w14:paraId="6E9A72C0" w14:textId="7547134A" w:rsidR="002B3777" w:rsidRPr="00DA79C8" w:rsidRDefault="0075547F" w:rsidP="00DA79C8">
      <w:pPr>
        <w:pStyle w:val="ListParagraph"/>
        <w:widowControl w:val="0"/>
        <w:numPr>
          <w:ilvl w:val="0"/>
          <w:numId w:val="59"/>
        </w:numPr>
        <w:spacing w:before="240" w:after="240"/>
        <w:ind w:left="0" w:firstLine="709"/>
        <w:jc w:val="both"/>
        <w:rPr>
          <w:rFonts w:asciiTheme="majorHAnsi" w:hAnsiTheme="majorHAnsi"/>
          <w:bCs/>
          <w:sz w:val="20"/>
          <w:szCs w:val="20"/>
          <w:lang w:val="es-ES_tradnl"/>
        </w:rPr>
      </w:pPr>
      <w:r w:rsidRPr="00DA79C8">
        <w:rPr>
          <w:sz w:val="20"/>
          <w:szCs w:val="20"/>
          <w:lang w:val="es-ES_tradnl"/>
        </w:rPr>
        <w:t>Además, ni la Convención Americana ni el Reglamento de la CIDH exigen que el peticionario identifique los derechos específicos que habrían sido violados por el Estado en el asunto sometido a la Comisión, aunque los peticionarios pued</w:t>
      </w:r>
      <w:r w:rsidR="00CD1060" w:rsidRPr="00DA79C8">
        <w:rPr>
          <w:sz w:val="20"/>
          <w:szCs w:val="20"/>
          <w:lang w:val="es-ES_tradnl"/>
        </w:rPr>
        <w:t>a</w:t>
      </w:r>
      <w:r w:rsidRPr="00DA79C8">
        <w:rPr>
          <w:sz w:val="20"/>
          <w:szCs w:val="20"/>
          <w:lang w:val="es-ES_tradnl"/>
        </w:rPr>
        <w:t xml:space="preserve">n hacerlo. </w:t>
      </w:r>
      <w:r w:rsidR="00487538" w:rsidRPr="00DA79C8">
        <w:rPr>
          <w:sz w:val="20"/>
          <w:szCs w:val="20"/>
          <w:lang w:val="es-ES_tradnl"/>
        </w:rPr>
        <w:t>Por el contrario, c</w:t>
      </w:r>
      <w:r w:rsidRPr="00DA79C8">
        <w:rPr>
          <w:sz w:val="20"/>
          <w:szCs w:val="20"/>
          <w:lang w:val="es-ES_tradnl"/>
        </w:rPr>
        <w:t>orresponde a la Comisión</w:t>
      </w:r>
      <w:r w:rsidR="007472BE" w:rsidRPr="00DA79C8">
        <w:rPr>
          <w:sz w:val="20"/>
          <w:szCs w:val="20"/>
          <w:lang w:val="es-ES_tradnl"/>
        </w:rPr>
        <w:t xml:space="preserve"> </w:t>
      </w:r>
      <w:r w:rsidRPr="00DA79C8">
        <w:rPr>
          <w:sz w:val="20"/>
          <w:szCs w:val="20"/>
          <w:lang w:val="es-ES_tradnl"/>
        </w:rPr>
        <w:t>determinar en sus informes de admisibilidad qué disposición de los instrumentos interamericanos en la materia sería aplicable y si podría ser violada si los hechos alegados se prueb</w:t>
      </w:r>
      <w:r w:rsidR="007472BE" w:rsidRPr="00DA79C8">
        <w:rPr>
          <w:sz w:val="20"/>
          <w:szCs w:val="20"/>
          <w:lang w:val="es-ES_tradnl"/>
        </w:rPr>
        <w:t>a</w:t>
      </w:r>
      <w:r w:rsidRPr="00DA79C8">
        <w:rPr>
          <w:sz w:val="20"/>
          <w:szCs w:val="20"/>
          <w:lang w:val="es-ES_tradnl"/>
        </w:rPr>
        <w:t xml:space="preserve">n con </w:t>
      </w:r>
      <w:r w:rsidR="005079DA" w:rsidRPr="00DA79C8">
        <w:rPr>
          <w:sz w:val="20"/>
          <w:szCs w:val="20"/>
          <w:lang w:val="es-ES_tradnl"/>
        </w:rPr>
        <w:t xml:space="preserve">elementos </w:t>
      </w:r>
      <w:r w:rsidRPr="00DA79C8">
        <w:rPr>
          <w:sz w:val="20"/>
          <w:szCs w:val="20"/>
          <w:lang w:val="es-ES_tradnl"/>
        </w:rPr>
        <w:t>suficiente</w:t>
      </w:r>
      <w:r w:rsidR="005079DA" w:rsidRPr="00DA79C8">
        <w:rPr>
          <w:sz w:val="20"/>
          <w:szCs w:val="20"/>
          <w:lang w:val="es-ES_tradnl"/>
        </w:rPr>
        <w:t>s</w:t>
      </w:r>
      <w:bookmarkStart w:id="5" w:name="_Hlk152683171"/>
      <w:r w:rsidR="005079DA" w:rsidRPr="00DA79C8">
        <w:rPr>
          <w:rStyle w:val="FootnoteReference"/>
          <w:sz w:val="20"/>
          <w:szCs w:val="20"/>
          <w:lang w:val="es-ES_tradnl"/>
        </w:rPr>
        <w:footnoteReference w:id="7"/>
      </w:r>
      <w:bookmarkEnd w:id="5"/>
      <w:r w:rsidRPr="00DA79C8">
        <w:rPr>
          <w:sz w:val="20"/>
          <w:szCs w:val="20"/>
          <w:lang w:val="es-ES_tradnl"/>
        </w:rPr>
        <w:t>.</w:t>
      </w:r>
    </w:p>
    <w:p w14:paraId="2A2421B7" w14:textId="6EEB043C" w:rsidR="0002521F" w:rsidRPr="00DA79C8" w:rsidRDefault="00487538" w:rsidP="00DA79C8">
      <w:pPr>
        <w:pStyle w:val="ListParagraph"/>
        <w:widowControl w:val="0"/>
        <w:numPr>
          <w:ilvl w:val="0"/>
          <w:numId w:val="59"/>
        </w:numPr>
        <w:spacing w:before="240" w:after="240"/>
        <w:ind w:left="0" w:firstLine="709"/>
        <w:jc w:val="both"/>
        <w:rPr>
          <w:rFonts w:asciiTheme="majorHAnsi" w:hAnsiTheme="majorHAnsi"/>
          <w:bCs/>
          <w:sz w:val="20"/>
          <w:szCs w:val="20"/>
          <w:lang w:val="es-ES_tradnl"/>
        </w:rPr>
      </w:pPr>
      <w:r w:rsidRPr="00DA79C8">
        <w:rPr>
          <w:sz w:val="20"/>
          <w:szCs w:val="20"/>
          <w:lang w:val="es-ES_tradnl"/>
        </w:rPr>
        <w:t>Con base en ello, la Comisión observa que presente asunto</w:t>
      </w:r>
      <w:r w:rsidR="002B3777" w:rsidRPr="00DA79C8">
        <w:rPr>
          <w:sz w:val="20"/>
          <w:szCs w:val="20"/>
          <w:lang w:val="es-ES_tradnl"/>
        </w:rPr>
        <w:t xml:space="preserve"> incluye alegatos referentes a una condena por el delito de denuncia calumniosa y que, según la peticionaria, se realizó de manera irregular y como represalia por l</w:t>
      </w:r>
      <w:r w:rsidRPr="00DA79C8">
        <w:rPr>
          <w:sz w:val="20"/>
          <w:szCs w:val="20"/>
          <w:lang w:val="es-ES_tradnl"/>
        </w:rPr>
        <w:t>os reclamos</w:t>
      </w:r>
      <w:r w:rsidR="002B3777" w:rsidRPr="00DA79C8">
        <w:rPr>
          <w:sz w:val="20"/>
          <w:szCs w:val="20"/>
          <w:lang w:val="es-ES_tradnl"/>
        </w:rPr>
        <w:t xml:space="preserve"> que había realizado sobre posibles actos de corrupción.</w:t>
      </w:r>
      <w:r w:rsidR="0002521F" w:rsidRPr="00DA79C8">
        <w:rPr>
          <w:sz w:val="20"/>
          <w:szCs w:val="20"/>
          <w:lang w:val="es-ES_tradnl"/>
        </w:rPr>
        <w:t xml:space="preserve"> Es decir, en caso de ser probado, se determinará que se hizo uso de mecanismos judiciales, a través de una demanda estratégica contra la participación pública o “SLAPP”, con el objeto de silenciar a una persona que emitía declaraciones de interés público sobre hechos eventualmente irregulares. </w:t>
      </w:r>
    </w:p>
    <w:p w14:paraId="7D41A9A1" w14:textId="1A279633" w:rsidR="002B3777" w:rsidRPr="00DA79C8" w:rsidRDefault="002B3777" w:rsidP="00DA79C8">
      <w:pPr>
        <w:pStyle w:val="ListParagraph"/>
        <w:widowControl w:val="0"/>
        <w:numPr>
          <w:ilvl w:val="0"/>
          <w:numId w:val="59"/>
        </w:numPr>
        <w:spacing w:before="240" w:after="240"/>
        <w:ind w:left="0" w:firstLine="709"/>
        <w:jc w:val="both"/>
        <w:rPr>
          <w:rFonts w:asciiTheme="majorHAnsi" w:hAnsiTheme="majorHAnsi"/>
          <w:bCs/>
          <w:sz w:val="20"/>
          <w:szCs w:val="20"/>
          <w:lang w:val="es-ES_tradnl"/>
        </w:rPr>
      </w:pPr>
      <w:r w:rsidRPr="00DA79C8">
        <w:rPr>
          <w:sz w:val="20"/>
          <w:szCs w:val="20"/>
          <w:lang w:val="es-ES_tradnl"/>
        </w:rPr>
        <w:t xml:space="preserve"> </w:t>
      </w:r>
      <w:r w:rsidR="000F3E4D" w:rsidRPr="00DA79C8">
        <w:rPr>
          <w:rFonts w:asciiTheme="majorHAnsi" w:hAnsiTheme="majorHAnsi"/>
          <w:bCs/>
          <w:sz w:val="20"/>
          <w:szCs w:val="20"/>
          <w:lang w:val="es-ES_tradnl"/>
        </w:rPr>
        <w:t>A la luz de estas consideraciones de hecho y de derecho</w:t>
      </w:r>
      <w:r w:rsidR="007472BE" w:rsidRPr="00DA79C8">
        <w:rPr>
          <w:rFonts w:asciiTheme="majorHAnsi" w:hAnsiTheme="majorHAnsi"/>
          <w:bCs/>
          <w:sz w:val="20"/>
          <w:szCs w:val="20"/>
          <w:lang w:val="es-ES_tradnl"/>
        </w:rPr>
        <w:t xml:space="preserve">, </w:t>
      </w:r>
      <w:r w:rsidR="000F3E4D" w:rsidRPr="00DA79C8">
        <w:rPr>
          <w:rFonts w:asciiTheme="majorHAnsi" w:hAnsiTheme="majorHAnsi"/>
          <w:bCs/>
          <w:sz w:val="20"/>
          <w:szCs w:val="20"/>
          <w:lang w:val="es-ES_tradnl"/>
        </w:rPr>
        <w:t>la Comisión considera que los alegatos de</w:t>
      </w:r>
      <w:r w:rsidR="005079DA" w:rsidRPr="00DA79C8">
        <w:rPr>
          <w:rFonts w:asciiTheme="majorHAnsi" w:hAnsiTheme="majorHAnsi"/>
          <w:bCs/>
          <w:sz w:val="20"/>
          <w:szCs w:val="20"/>
          <w:lang w:val="es-ES_tradnl"/>
        </w:rPr>
        <w:t xml:space="preserve"> </w:t>
      </w:r>
      <w:r w:rsidR="000F3E4D" w:rsidRPr="00DA79C8">
        <w:rPr>
          <w:rFonts w:asciiTheme="majorHAnsi" w:hAnsiTheme="majorHAnsi"/>
          <w:bCs/>
          <w:sz w:val="20"/>
          <w:szCs w:val="20"/>
          <w:lang w:val="es-ES_tradnl"/>
        </w:rPr>
        <w:t>l</w:t>
      </w:r>
      <w:r w:rsidR="005079DA" w:rsidRPr="00DA79C8">
        <w:rPr>
          <w:rFonts w:asciiTheme="majorHAnsi" w:hAnsiTheme="majorHAnsi"/>
          <w:bCs/>
          <w:sz w:val="20"/>
          <w:szCs w:val="20"/>
          <w:lang w:val="es-ES_tradnl"/>
        </w:rPr>
        <w:t>a</w:t>
      </w:r>
      <w:r w:rsidR="000F3E4D" w:rsidRPr="00DA79C8">
        <w:rPr>
          <w:rFonts w:asciiTheme="majorHAnsi" w:hAnsiTheme="majorHAnsi"/>
          <w:bCs/>
          <w:sz w:val="20"/>
          <w:szCs w:val="20"/>
          <w:lang w:val="es-ES_tradnl"/>
        </w:rPr>
        <w:t xml:space="preserve"> peticionari</w:t>
      </w:r>
      <w:r w:rsidR="005079DA" w:rsidRPr="00DA79C8">
        <w:rPr>
          <w:rFonts w:asciiTheme="majorHAnsi" w:hAnsiTheme="majorHAnsi"/>
          <w:bCs/>
          <w:sz w:val="20"/>
          <w:szCs w:val="20"/>
          <w:lang w:val="es-ES_tradnl"/>
        </w:rPr>
        <w:t>a</w:t>
      </w:r>
      <w:r w:rsidR="000F3E4D" w:rsidRPr="00DA79C8">
        <w:rPr>
          <w:rFonts w:asciiTheme="majorHAnsi" w:hAnsiTheme="majorHAnsi"/>
          <w:bCs/>
          <w:sz w:val="20"/>
          <w:szCs w:val="20"/>
          <w:lang w:val="es-ES_tradnl"/>
        </w:rPr>
        <w:t xml:space="preserve"> no son manifiestamente infundados y requieren un estudio de fondo, pues los hechos alegados,</w:t>
      </w:r>
      <w:r w:rsidR="00487538" w:rsidRPr="00DA79C8">
        <w:rPr>
          <w:rFonts w:asciiTheme="majorHAnsi" w:hAnsiTheme="majorHAnsi"/>
          <w:bCs/>
          <w:sz w:val="20"/>
          <w:szCs w:val="20"/>
          <w:lang w:val="es-ES_tradnl"/>
        </w:rPr>
        <w:t xml:space="preserve"> en</w:t>
      </w:r>
      <w:r w:rsidR="000F3E4D" w:rsidRPr="00DA79C8">
        <w:rPr>
          <w:rFonts w:asciiTheme="majorHAnsi" w:hAnsiTheme="majorHAnsi"/>
          <w:bCs/>
          <w:sz w:val="20"/>
          <w:szCs w:val="20"/>
          <w:lang w:val="es-ES_tradnl"/>
        </w:rPr>
        <w:t xml:space="preserve"> </w:t>
      </w:r>
      <w:r w:rsidR="005079DA" w:rsidRPr="00DA79C8">
        <w:rPr>
          <w:rFonts w:asciiTheme="majorHAnsi" w:hAnsiTheme="majorHAnsi"/>
          <w:bCs/>
          <w:sz w:val="20"/>
          <w:szCs w:val="20"/>
          <w:lang w:val="es-ES_tradnl"/>
        </w:rPr>
        <w:t>caso</w:t>
      </w:r>
      <w:r w:rsidR="00487538" w:rsidRPr="00DA79C8">
        <w:rPr>
          <w:rFonts w:asciiTheme="majorHAnsi" w:hAnsiTheme="majorHAnsi"/>
          <w:bCs/>
          <w:sz w:val="20"/>
          <w:szCs w:val="20"/>
          <w:lang w:val="es-ES_tradnl"/>
        </w:rPr>
        <w:t xml:space="preserve"> sean</w:t>
      </w:r>
      <w:r w:rsidR="000F3E4D" w:rsidRPr="00DA79C8">
        <w:rPr>
          <w:rFonts w:asciiTheme="majorHAnsi" w:hAnsiTheme="majorHAnsi"/>
          <w:bCs/>
          <w:sz w:val="20"/>
          <w:szCs w:val="20"/>
          <w:lang w:val="es-ES_tradnl"/>
        </w:rPr>
        <w:t xml:space="preserve"> corroborados como ciertos, pueden caracterizar violaciones a los derechos protegidos por los artículos 8 (garantías judiciales), 13 (libertad de expresión) y 25 (protección judicial)</w:t>
      </w:r>
      <w:r w:rsidR="00487538" w:rsidRPr="00DA79C8">
        <w:rPr>
          <w:rFonts w:asciiTheme="majorHAnsi" w:hAnsiTheme="majorHAnsi"/>
          <w:bCs/>
          <w:sz w:val="20"/>
          <w:szCs w:val="20"/>
          <w:lang w:val="es-ES_tradnl"/>
        </w:rPr>
        <w:t xml:space="preserve"> de la Convención Americana</w:t>
      </w:r>
      <w:r w:rsidR="000F3E4D" w:rsidRPr="00DA79C8">
        <w:rPr>
          <w:rFonts w:asciiTheme="majorHAnsi" w:hAnsiTheme="majorHAnsi"/>
          <w:bCs/>
          <w:sz w:val="20"/>
          <w:szCs w:val="20"/>
          <w:lang w:val="es-ES_tradnl"/>
        </w:rPr>
        <w:t xml:space="preserve">, </w:t>
      </w:r>
      <w:r w:rsidR="00487538" w:rsidRPr="00DA79C8">
        <w:rPr>
          <w:rFonts w:asciiTheme="majorHAnsi" w:hAnsiTheme="majorHAnsi"/>
          <w:bCs/>
          <w:sz w:val="20"/>
          <w:szCs w:val="20"/>
          <w:lang w:val="es-ES_tradnl"/>
        </w:rPr>
        <w:t>en relación con su artículo 1.1.</w:t>
      </w:r>
    </w:p>
    <w:p w14:paraId="4A16A62E" w14:textId="6B026664" w:rsidR="002B3777" w:rsidRPr="00DA79C8" w:rsidRDefault="000F3E4D" w:rsidP="00DA79C8">
      <w:pPr>
        <w:pStyle w:val="ListParagraph"/>
        <w:widowControl w:val="0"/>
        <w:numPr>
          <w:ilvl w:val="0"/>
          <w:numId w:val="59"/>
        </w:numPr>
        <w:spacing w:before="240" w:after="240"/>
        <w:ind w:left="0" w:firstLine="709"/>
        <w:jc w:val="both"/>
        <w:rPr>
          <w:rFonts w:asciiTheme="majorHAnsi" w:hAnsiTheme="majorHAnsi"/>
          <w:bCs/>
          <w:sz w:val="20"/>
          <w:szCs w:val="20"/>
          <w:lang w:val="es-ES_tradnl"/>
        </w:rPr>
      </w:pPr>
      <w:r w:rsidRPr="00DA79C8">
        <w:rPr>
          <w:rFonts w:asciiTheme="majorHAnsi" w:hAnsiTheme="majorHAnsi"/>
          <w:bCs/>
          <w:sz w:val="20"/>
          <w:szCs w:val="20"/>
          <w:lang w:val="es-ES_tradnl"/>
        </w:rPr>
        <w:t>En cuanto a los derechos previstos en la Declaración Universal de los Derechos Humanos que fueron mencionados por el peticionario, la Comisión aclara que no se trata</w:t>
      </w:r>
      <w:r w:rsidR="00CD1060" w:rsidRPr="00DA79C8">
        <w:rPr>
          <w:rFonts w:asciiTheme="majorHAnsi" w:hAnsiTheme="majorHAnsi"/>
          <w:bCs/>
          <w:sz w:val="20"/>
          <w:szCs w:val="20"/>
          <w:lang w:val="es-ES_tradnl"/>
        </w:rPr>
        <w:t>n</w:t>
      </w:r>
      <w:r w:rsidRPr="00DA79C8">
        <w:rPr>
          <w:rFonts w:asciiTheme="majorHAnsi" w:hAnsiTheme="majorHAnsi"/>
          <w:bCs/>
          <w:sz w:val="20"/>
          <w:szCs w:val="20"/>
          <w:lang w:val="es-ES_tradnl"/>
        </w:rPr>
        <w:t xml:space="preserve"> de normas</w:t>
      </w:r>
      <w:r w:rsidR="00487538" w:rsidRPr="00DA79C8">
        <w:rPr>
          <w:rFonts w:asciiTheme="majorHAnsi" w:hAnsiTheme="majorHAnsi"/>
          <w:bCs/>
          <w:sz w:val="20"/>
          <w:szCs w:val="20"/>
          <w:lang w:val="es-ES_tradnl"/>
        </w:rPr>
        <w:t xml:space="preserve"> que pueda analizar mediante su competencia contenciosa.</w:t>
      </w:r>
      <w:r w:rsidRPr="00DA79C8">
        <w:rPr>
          <w:rFonts w:asciiTheme="majorHAnsi" w:hAnsiTheme="majorHAnsi"/>
          <w:bCs/>
          <w:sz w:val="20"/>
          <w:szCs w:val="20"/>
          <w:lang w:val="es-ES_tradnl"/>
        </w:rPr>
        <w:t xml:space="preserve"> Sin embargo, la Comisión podrá tomar</w:t>
      </w:r>
      <w:r w:rsidR="00487538" w:rsidRPr="00DA79C8">
        <w:rPr>
          <w:rFonts w:asciiTheme="majorHAnsi" w:hAnsiTheme="majorHAnsi"/>
          <w:bCs/>
          <w:sz w:val="20"/>
          <w:szCs w:val="20"/>
          <w:lang w:val="es-ES_tradnl"/>
        </w:rPr>
        <w:t xml:space="preserve"> en cuenta tal instrumento</w:t>
      </w:r>
      <w:r w:rsidRPr="00DA79C8">
        <w:rPr>
          <w:rFonts w:asciiTheme="majorHAnsi" w:hAnsiTheme="majorHAnsi"/>
          <w:bCs/>
          <w:sz w:val="20"/>
          <w:szCs w:val="20"/>
          <w:lang w:val="es-ES_tradnl"/>
        </w:rPr>
        <w:t xml:space="preserve"> como parte de su labor de interpretación de las normas de la Convención Americana en la etapa de fondo del presente caso, de conformidad con el artículo 29 de la Convención</w:t>
      </w:r>
      <w:r w:rsidR="002B3777" w:rsidRPr="00DA79C8">
        <w:rPr>
          <w:rFonts w:asciiTheme="majorHAnsi" w:hAnsiTheme="majorHAnsi"/>
          <w:bCs/>
          <w:sz w:val="20"/>
          <w:szCs w:val="20"/>
          <w:lang w:val="es-ES_tradnl"/>
        </w:rPr>
        <w:t>.</w:t>
      </w:r>
    </w:p>
    <w:p w14:paraId="40DABB4D" w14:textId="7E3D4816" w:rsidR="006E3BAD" w:rsidRPr="00DA79C8" w:rsidRDefault="006E3BAD" w:rsidP="00DA79C8">
      <w:pPr>
        <w:pStyle w:val="ListParagraph"/>
        <w:widowControl w:val="0"/>
        <w:spacing w:before="240" w:after="240"/>
        <w:ind w:left="709"/>
        <w:jc w:val="both"/>
        <w:rPr>
          <w:rFonts w:asciiTheme="majorHAnsi" w:hAnsiTheme="majorHAnsi"/>
          <w:b/>
          <w:sz w:val="20"/>
          <w:szCs w:val="20"/>
          <w:lang w:val="es-ES_tradnl"/>
        </w:rPr>
      </w:pPr>
      <w:r w:rsidRPr="00DA79C8">
        <w:rPr>
          <w:rFonts w:asciiTheme="majorHAnsi" w:hAnsiTheme="majorHAnsi"/>
          <w:b/>
          <w:sz w:val="20"/>
          <w:szCs w:val="20"/>
          <w:lang w:val="es-ES_tradnl"/>
        </w:rPr>
        <w:t xml:space="preserve">VIII. </w:t>
      </w:r>
      <w:r w:rsidRPr="00DA79C8">
        <w:rPr>
          <w:rFonts w:asciiTheme="majorHAnsi" w:hAnsiTheme="majorHAnsi"/>
          <w:b/>
          <w:sz w:val="20"/>
          <w:szCs w:val="20"/>
          <w:lang w:val="es-ES_tradnl"/>
        </w:rPr>
        <w:tab/>
      </w:r>
      <w:r w:rsidRPr="00DA79C8">
        <w:rPr>
          <w:rFonts w:asciiTheme="majorHAnsi" w:hAnsiTheme="majorHAnsi"/>
          <w:b/>
          <w:bCs/>
          <w:sz w:val="20"/>
          <w:szCs w:val="20"/>
          <w:lang w:val="es-ES_tradnl"/>
        </w:rPr>
        <w:t>DECISIÓN</w:t>
      </w:r>
    </w:p>
    <w:p w14:paraId="2CD54096" w14:textId="78A0ECBD" w:rsidR="000F3E4D" w:rsidRPr="00DA79C8" w:rsidRDefault="000F3E4D" w:rsidP="00DA79C8">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DA79C8">
        <w:rPr>
          <w:sz w:val="20"/>
          <w:szCs w:val="20"/>
          <w:lang w:val="es-ES_tradnl"/>
        </w:rPr>
        <w:t>Declarar admisible la presente petición en relación con los artículos 8, 13 y 25 de la Convención Americana</w:t>
      </w:r>
      <w:r w:rsidR="00DD6160">
        <w:rPr>
          <w:sz w:val="20"/>
          <w:szCs w:val="20"/>
          <w:lang w:val="es-ES_tradnl"/>
        </w:rPr>
        <w:t>, en relación con su artículo 1.1</w:t>
      </w:r>
      <w:r w:rsidRPr="00DA79C8">
        <w:rPr>
          <w:sz w:val="20"/>
          <w:szCs w:val="20"/>
          <w:lang w:val="es-ES_tradnl"/>
        </w:rPr>
        <w:t>; y</w:t>
      </w:r>
    </w:p>
    <w:p w14:paraId="245C05A6" w14:textId="629CABCA" w:rsidR="006E3BAD" w:rsidRDefault="006E3BAD" w:rsidP="00DA79C8">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DA79C8">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990EE1">
        <w:rPr>
          <w:sz w:val="20"/>
          <w:szCs w:val="20"/>
          <w:lang w:val="es-ES_tradnl"/>
        </w:rPr>
        <w:tab/>
      </w:r>
    </w:p>
    <w:p w14:paraId="661C24AA" w14:textId="285DFEA0" w:rsidR="00990EE1" w:rsidRPr="00DA79C8" w:rsidRDefault="00990EE1" w:rsidP="00990EE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Pr>
          <w:rStyle w:val="normaltextrun"/>
          <w:rFonts w:cs="Segoe UI"/>
          <w:sz w:val="20"/>
          <w:szCs w:val="20"/>
          <w:lang w:val="es-CL"/>
        </w:rPr>
        <w:t xml:space="preserve">Aprobado por la Comisión Interamericana de Derechos Humanos a los 8 días del mes de diciembre de 2023.  (Firmado): Esmeralda Arosemena de Troitiño, Primera Vicepresidenta; Julissa Mantilla Falcón, Stuardo Ralón Orellana y </w:t>
      </w:r>
      <w:r w:rsidRPr="005D270A">
        <w:rPr>
          <w:rStyle w:val="normaltextrun"/>
          <w:rFonts w:cs="Segoe UI"/>
          <w:sz w:val="20"/>
          <w:szCs w:val="20"/>
          <w:lang w:val="es-CL"/>
        </w:rPr>
        <w:t>José Luis Caballero Ochoa</w:t>
      </w:r>
      <w:r>
        <w:rPr>
          <w:rStyle w:val="normaltextrun"/>
          <w:rFonts w:cs="Segoe UI"/>
          <w:sz w:val="20"/>
          <w:szCs w:val="20"/>
          <w:lang w:val="es-CL"/>
        </w:rPr>
        <w:t xml:space="preserve">, </w:t>
      </w:r>
      <w:r w:rsidR="00EE6CE0">
        <w:rPr>
          <w:rStyle w:val="normaltextrun"/>
          <w:rFonts w:cs="Segoe UI"/>
          <w:sz w:val="20"/>
          <w:szCs w:val="20"/>
          <w:lang w:val="es-CL"/>
        </w:rPr>
        <w:t>m</w:t>
      </w:r>
      <w:r>
        <w:rPr>
          <w:rStyle w:val="normaltextrun"/>
          <w:rFonts w:cs="Segoe UI"/>
          <w:sz w:val="20"/>
          <w:szCs w:val="20"/>
          <w:lang w:val="es-CL"/>
        </w:rPr>
        <w:t xml:space="preserve">iembros de la Comisión. </w:t>
      </w:r>
      <w:r w:rsidRPr="00407104">
        <w:rPr>
          <w:rStyle w:val="eop"/>
          <w:rFonts w:cs="Segoe UI"/>
          <w:sz w:val="20"/>
          <w:szCs w:val="20"/>
          <w:lang w:val="es-ES"/>
        </w:rPr>
        <w:t> </w:t>
      </w:r>
    </w:p>
    <w:sectPr w:rsidR="00990EE1" w:rsidRPr="00DA79C8" w:rsidSect="00D323D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6659" w14:textId="77777777" w:rsidR="00D323D0" w:rsidRDefault="00D323D0">
      <w:r>
        <w:separator/>
      </w:r>
    </w:p>
  </w:endnote>
  <w:endnote w:type="continuationSeparator" w:id="0">
    <w:p w14:paraId="71B1DA22" w14:textId="77777777" w:rsidR="00D323D0" w:rsidRDefault="00D3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7A99" w14:textId="77777777" w:rsidR="00D323D0" w:rsidRPr="000F35ED" w:rsidRDefault="00D323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CA3C2F" w14:textId="77777777" w:rsidR="00D323D0" w:rsidRPr="000F35ED" w:rsidRDefault="00D323D0" w:rsidP="000F35ED">
      <w:pPr>
        <w:rPr>
          <w:rFonts w:asciiTheme="majorHAnsi" w:hAnsiTheme="majorHAnsi"/>
          <w:sz w:val="16"/>
          <w:szCs w:val="16"/>
        </w:rPr>
      </w:pPr>
      <w:r w:rsidRPr="000F35ED">
        <w:rPr>
          <w:rFonts w:asciiTheme="majorHAnsi" w:hAnsiTheme="majorHAnsi"/>
          <w:sz w:val="16"/>
          <w:szCs w:val="16"/>
        </w:rPr>
        <w:separator/>
      </w:r>
    </w:p>
    <w:p w14:paraId="3C73CF09" w14:textId="77777777" w:rsidR="00D323D0" w:rsidRPr="000F35ED" w:rsidRDefault="00D323D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1725E84" w14:textId="77777777" w:rsidR="00D323D0" w:rsidRPr="000F35ED" w:rsidRDefault="00D323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4D32872A" w:rsidR="008E3BFE" w:rsidRPr="00982364" w:rsidRDefault="008E3BFE" w:rsidP="00EA335D">
      <w:pPr>
        <w:pStyle w:val="FootnoteText"/>
        <w:ind w:firstLine="709"/>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9838C1" w:rsidRPr="009838C1">
        <w:rPr>
          <w:rFonts w:asciiTheme="majorHAnsi" w:hAnsiTheme="majorHAnsi"/>
          <w:sz w:val="16"/>
          <w:szCs w:val="16"/>
          <w:lang w:val="es-ES"/>
        </w:rPr>
        <w:t xml:space="preserve">Las observaciones de cada parte fueron debidamente trasladadas a la </w:t>
      </w:r>
      <w:r w:rsidR="001F1BFE">
        <w:rPr>
          <w:rFonts w:asciiTheme="majorHAnsi" w:hAnsiTheme="majorHAnsi"/>
          <w:sz w:val="16"/>
          <w:szCs w:val="16"/>
          <w:lang w:val="es-ES"/>
        </w:rPr>
        <w:t>parte contraria.</w:t>
      </w:r>
    </w:p>
  </w:footnote>
  <w:footnote w:id="3">
    <w:p w14:paraId="1EBA1453" w14:textId="77777777" w:rsidR="00C13742" w:rsidRPr="00916C1D" w:rsidRDefault="00C13742" w:rsidP="00EA335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4">
    <w:p w14:paraId="168D045A" w14:textId="77777777" w:rsidR="00F04DC6" w:rsidRPr="006769F3" w:rsidRDefault="00F04DC6" w:rsidP="00EA335D">
      <w:pPr>
        <w:pStyle w:val="FootnoteText"/>
        <w:ind w:firstLine="709"/>
        <w:jc w:val="both"/>
        <w:rPr>
          <w:rFonts w:asciiTheme="majorHAnsi" w:hAnsiTheme="majorHAnsi"/>
          <w:sz w:val="16"/>
          <w:szCs w:val="16"/>
          <w:lang w:val="es-MX"/>
        </w:rPr>
      </w:pPr>
      <w:r w:rsidRPr="006769F3">
        <w:rPr>
          <w:rStyle w:val="FootnoteReference"/>
          <w:rFonts w:asciiTheme="majorHAnsi" w:hAnsiTheme="majorHAnsi"/>
          <w:sz w:val="16"/>
          <w:szCs w:val="16"/>
        </w:rPr>
        <w:footnoteRef/>
      </w:r>
      <w:r w:rsidRPr="006769F3">
        <w:rPr>
          <w:rFonts w:asciiTheme="majorHAnsi" w:hAnsiTheme="majorHAnsi"/>
          <w:sz w:val="16"/>
          <w:szCs w:val="16"/>
          <w:lang w:val="es-MX"/>
        </w:rPr>
        <w:t xml:space="preserve"> Delito previsto en el artículo 339 del Código Penal brasileño (“Denuncia calumniosa. Art. 339. Provocar el inicio de una investigación policial, proceso judicial, investigación administrativa, investigación civil o acción de improbidad administrativa contra alguien, acusándolo de un delito de el que lo sabe inocente: Pena - reclusión, de dos a ocho años, y multa.”).</w:t>
      </w:r>
    </w:p>
  </w:footnote>
  <w:footnote w:id="5">
    <w:p w14:paraId="5517C37D" w14:textId="77777777" w:rsidR="002B3777" w:rsidRPr="00C70A03" w:rsidRDefault="002B3777" w:rsidP="00EA335D">
      <w:pPr>
        <w:pStyle w:val="FootnoteText"/>
        <w:ind w:firstLine="720"/>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 w:id="6">
    <w:p w14:paraId="16897D6F" w14:textId="7D1A9705" w:rsidR="0075547F" w:rsidRPr="000A0FA4" w:rsidRDefault="0075547F" w:rsidP="00EA335D">
      <w:pPr>
        <w:pStyle w:val="FootnoteText"/>
        <w:ind w:firstLine="709"/>
        <w:jc w:val="both"/>
        <w:rPr>
          <w:lang w:val="es-US"/>
        </w:rPr>
      </w:pPr>
      <w:r>
        <w:rPr>
          <w:rStyle w:val="FootnoteReference"/>
        </w:rPr>
        <w:footnoteRef/>
      </w:r>
      <w:r w:rsidRPr="0075547F">
        <w:rPr>
          <w:lang w:val="es-MX"/>
        </w:rPr>
        <w:t xml:space="preserve"> </w:t>
      </w:r>
      <w:r w:rsidRPr="0075547F">
        <w:rPr>
          <w:rFonts w:asciiTheme="majorHAnsi" w:hAnsiTheme="majorHAnsi"/>
          <w:sz w:val="16"/>
          <w:szCs w:val="16"/>
          <w:lang w:val="es-MX"/>
        </w:rPr>
        <w:t xml:space="preserve">CIDH, Informe No. 11/16. Petición 362-09. Admisibilidad. </w:t>
      </w:r>
      <w:r w:rsidRPr="000A0FA4">
        <w:rPr>
          <w:rFonts w:asciiTheme="majorHAnsi" w:hAnsiTheme="majorHAnsi"/>
          <w:sz w:val="16"/>
          <w:szCs w:val="16"/>
          <w:lang w:val="es-US"/>
        </w:rPr>
        <w:t>Luisa Melinho. Brasil. 14 de abril de 2016, párrafo 46.</w:t>
      </w:r>
    </w:p>
  </w:footnote>
  <w:footnote w:id="7">
    <w:p w14:paraId="621C1416" w14:textId="6E24F4AB" w:rsidR="005079DA" w:rsidRPr="00E52F7F" w:rsidRDefault="005079DA" w:rsidP="00EA335D">
      <w:pPr>
        <w:pStyle w:val="FootnoteText"/>
        <w:ind w:firstLine="709"/>
        <w:jc w:val="both"/>
        <w:rPr>
          <w:lang w:val="pt-BR"/>
        </w:rPr>
      </w:pPr>
      <w:r>
        <w:rPr>
          <w:rStyle w:val="FootnoteReference"/>
        </w:rPr>
        <w:footnoteRef/>
      </w:r>
      <w:r w:rsidRPr="005079DA">
        <w:rPr>
          <w:lang w:val="es-MX"/>
        </w:rPr>
        <w:t xml:space="preserve"> </w:t>
      </w:r>
      <w:r w:rsidRPr="0075547F">
        <w:rPr>
          <w:rFonts w:asciiTheme="majorHAnsi" w:hAnsiTheme="majorHAnsi"/>
          <w:sz w:val="16"/>
          <w:szCs w:val="16"/>
          <w:lang w:val="es-MX"/>
        </w:rPr>
        <w:t xml:space="preserve">CIDH, Informe No. 11/16. Petición 362-09. </w:t>
      </w:r>
      <w:r w:rsidRPr="00EE6CE0">
        <w:rPr>
          <w:rFonts w:asciiTheme="majorHAnsi" w:hAnsiTheme="majorHAnsi"/>
          <w:sz w:val="16"/>
          <w:szCs w:val="16"/>
          <w:lang w:val="pt-BR"/>
        </w:rPr>
        <w:t xml:space="preserve">Admisibilidad. </w:t>
      </w:r>
      <w:r w:rsidRPr="00E52F7F">
        <w:rPr>
          <w:rFonts w:asciiTheme="majorHAnsi" w:hAnsiTheme="majorHAnsi"/>
          <w:sz w:val="16"/>
          <w:szCs w:val="16"/>
          <w:lang w:val="pt-BR"/>
        </w:rPr>
        <w:t>Luisa Melinho. Brasil. 14 de abril de 2016, párrafo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9177E"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9BCDF6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3841B1"/>
    <w:multiLevelType w:val="hybridMultilevel"/>
    <w:tmpl w:val="630AFF30"/>
    <w:lvl w:ilvl="0" w:tplc="FFFFFFFF">
      <w:start w:val="1"/>
      <w:numFmt w:val="decimal"/>
      <w:lvlText w:val="%1."/>
      <w:lvlJc w:val="left"/>
      <w:pPr>
        <w:ind w:left="758" w:hanging="720"/>
      </w:pPr>
      <w:rPr>
        <w:rFonts w:ascii="Cambria" w:eastAsia="Cambria" w:hAnsi="Cambria" w:cs="Cambria" w:hint="default"/>
        <w:b w:val="0"/>
        <w:bCs/>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630AFF30"/>
    <w:lvl w:ilvl="0" w:tplc="8E3C031C">
      <w:start w:val="1"/>
      <w:numFmt w:val="decimal"/>
      <w:lvlText w:val="%1."/>
      <w:lvlJc w:val="left"/>
      <w:pPr>
        <w:ind w:left="758" w:hanging="720"/>
      </w:pPr>
      <w:rPr>
        <w:rFonts w:ascii="Cambria" w:eastAsia="Cambria" w:hAnsi="Cambria" w:cs="Cambria" w:hint="default"/>
        <w:b w:val="0"/>
        <w:bCs/>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6"/>
  </w:num>
  <w:num w:numId="3" w16cid:durableId="1663389590">
    <w:abstractNumId w:val="58"/>
  </w:num>
  <w:num w:numId="4" w16cid:durableId="82342866">
    <w:abstractNumId w:val="22"/>
  </w:num>
  <w:num w:numId="5" w16cid:durableId="1599026591">
    <w:abstractNumId w:val="51"/>
  </w:num>
  <w:num w:numId="6" w16cid:durableId="1795514418">
    <w:abstractNumId w:val="29"/>
  </w:num>
  <w:num w:numId="7" w16cid:durableId="396254">
    <w:abstractNumId w:val="7"/>
  </w:num>
  <w:num w:numId="8" w16cid:durableId="1302268258">
    <w:abstractNumId w:val="18"/>
  </w:num>
  <w:num w:numId="9" w16cid:durableId="669480169">
    <w:abstractNumId w:val="45"/>
  </w:num>
  <w:num w:numId="10" w16cid:durableId="275260533">
    <w:abstractNumId w:val="0"/>
  </w:num>
  <w:num w:numId="11" w16cid:durableId="866258526">
    <w:abstractNumId w:val="40"/>
  </w:num>
  <w:num w:numId="12" w16cid:durableId="171335598">
    <w:abstractNumId w:val="41"/>
  </w:num>
  <w:num w:numId="13" w16cid:durableId="752550714">
    <w:abstractNumId w:val="48"/>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1"/>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2"/>
  </w:num>
  <w:num w:numId="60" w16cid:durableId="712732366">
    <w:abstractNumId w:val="35"/>
  </w:num>
  <w:num w:numId="61" w16cid:durableId="1097671741">
    <w:abstractNumId w:val="47"/>
  </w:num>
  <w:num w:numId="62" w16cid:durableId="1840730130">
    <w:abstractNumId w:val="53"/>
  </w:num>
  <w:num w:numId="63" w16cid:durableId="369187513">
    <w:abstractNumId w:val="3"/>
  </w:num>
  <w:num w:numId="64" w16cid:durableId="984119965">
    <w:abstractNumId w:val="5"/>
  </w:num>
  <w:num w:numId="65" w16cid:durableId="1478180829">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9E"/>
    <w:rsid w:val="00000CDA"/>
    <w:rsid w:val="00006E1F"/>
    <w:rsid w:val="000070D7"/>
    <w:rsid w:val="000077B5"/>
    <w:rsid w:val="00007E23"/>
    <w:rsid w:val="0001788C"/>
    <w:rsid w:val="000237BB"/>
    <w:rsid w:val="0002521F"/>
    <w:rsid w:val="000337EF"/>
    <w:rsid w:val="000342AB"/>
    <w:rsid w:val="00034A6A"/>
    <w:rsid w:val="00040C3A"/>
    <w:rsid w:val="000419AD"/>
    <w:rsid w:val="000433C9"/>
    <w:rsid w:val="000444E7"/>
    <w:rsid w:val="0005720B"/>
    <w:rsid w:val="00071174"/>
    <w:rsid w:val="000716C5"/>
    <w:rsid w:val="00075E23"/>
    <w:rsid w:val="0009344A"/>
    <w:rsid w:val="000970F4"/>
    <w:rsid w:val="000A0FA4"/>
    <w:rsid w:val="000A392E"/>
    <w:rsid w:val="000A3AB0"/>
    <w:rsid w:val="000A575F"/>
    <w:rsid w:val="000B3E08"/>
    <w:rsid w:val="000B66F4"/>
    <w:rsid w:val="000B7730"/>
    <w:rsid w:val="000B7F16"/>
    <w:rsid w:val="000C09E6"/>
    <w:rsid w:val="000D05CB"/>
    <w:rsid w:val="000D10DB"/>
    <w:rsid w:val="000D5EDE"/>
    <w:rsid w:val="000E5EB5"/>
    <w:rsid w:val="000F35ED"/>
    <w:rsid w:val="000F3E4D"/>
    <w:rsid w:val="0010550C"/>
    <w:rsid w:val="00105B87"/>
    <w:rsid w:val="00107131"/>
    <w:rsid w:val="0010736F"/>
    <w:rsid w:val="00112DD7"/>
    <w:rsid w:val="00113F73"/>
    <w:rsid w:val="001157A0"/>
    <w:rsid w:val="00121CC2"/>
    <w:rsid w:val="001276F0"/>
    <w:rsid w:val="00130478"/>
    <w:rsid w:val="00131425"/>
    <w:rsid w:val="00133EE5"/>
    <w:rsid w:val="00134726"/>
    <w:rsid w:val="00165562"/>
    <w:rsid w:val="00167A34"/>
    <w:rsid w:val="001825DE"/>
    <w:rsid w:val="00184A32"/>
    <w:rsid w:val="001913A0"/>
    <w:rsid w:val="001A137B"/>
    <w:rsid w:val="001A520D"/>
    <w:rsid w:val="001A7870"/>
    <w:rsid w:val="001A7D7B"/>
    <w:rsid w:val="001B3A00"/>
    <w:rsid w:val="001C1B41"/>
    <w:rsid w:val="001D21C7"/>
    <w:rsid w:val="001D65EF"/>
    <w:rsid w:val="001E15E7"/>
    <w:rsid w:val="001E308A"/>
    <w:rsid w:val="001E49E7"/>
    <w:rsid w:val="001F1BFE"/>
    <w:rsid w:val="001F7201"/>
    <w:rsid w:val="001F75A8"/>
    <w:rsid w:val="00201077"/>
    <w:rsid w:val="00223A29"/>
    <w:rsid w:val="002250A3"/>
    <w:rsid w:val="00234F71"/>
    <w:rsid w:val="00235217"/>
    <w:rsid w:val="00237C68"/>
    <w:rsid w:val="00246D1F"/>
    <w:rsid w:val="00247403"/>
    <w:rsid w:val="00247542"/>
    <w:rsid w:val="002500B3"/>
    <w:rsid w:val="0025385F"/>
    <w:rsid w:val="00266B61"/>
    <w:rsid w:val="0026712A"/>
    <w:rsid w:val="002704DB"/>
    <w:rsid w:val="00275A32"/>
    <w:rsid w:val="00280B37"/>
    <w:rsid w:val="0028279E"/>
    <w:rsid w:val="002A0AAE"/>
    <w:rsid w:val="002A5820"/>
    <w:rsid w:val="002B13B6"/>
    <w:rsid w:val="002B1533"/>
    <w:rsid w:val="002B3777"/>
    <w:rsid w:val="002D05F6"/>
    <w:rsid w:val="002D2B26"/>
    <w:rsid w:val="002D7EA2"/>
    <w:rsid w:val="002E187C"/>
    <w:rsid w:val="002F3F8C"/>
    <w:rsid w:val="00302733"/>
    <w:rsid w:val="00305835"/>
    <w:rsid w:val="00306F33"/>
    <w:rsid w:val="00314078"/>
    <w:rsid w:val="0031535D"/>
    <w:rsid w:val="003239B8"/>
    <w:rsid w:val="0033169F"/>
    <w:rsid w:val="00344977"/>
    <w:rsid w:val="003459D0"/>
    <w:rsid w:val="00346C95"/>
    <w:rsid w:val="00356185"/>
    <w:rsid w:val="00360380"/>
    <w:rsid w:val="00366584"/>
    <w:rsid w:val="0037519E"/>
    <w:rsid w:val="00380295"/>
    <w:rsid w:val="00386CF0"/>
    <w:rsid w:val="003B70FB"/>
    <w:rsid w:val="003C676B"/>
    <w:rsid w:val="003D3BC2"/>
    <w:rsid w:val="003D67A9"/>
    <w:rsid w:val="003E51E9"/>
    <w:rsid w:val="003E6CA1"/>
    <w:rsid w:val="003F5154"/>
    <w:rsid w:val="003F5500"/>
    <w:rsid w:val="003F5AFC"/>
    <w:rsid w:val="00405F9C"/>
    <w:rsid w:val="004065A8"/>
    <w:rsid w:val="004165C2"/>
    <w:rsid w:val="00416CAB"/>
    <w:rsid w:val="004205D0"/>
    <w:rsid w:val="004241A0"/>
    <w:rsid w:val="00426EB8"/>
    <w:rsid w:val="00427B38"/>
    <w:rsid w:val="00441ECB"/>
    <w:rsid w:val="00445193"/>
    <w:rsid w:val="00447769"/>
    <w:rsid w:val="00462C1B"/>
    <w:rsid w:val="00467B7E"/>
    <w:rsid w:val="00473BB4"/>
    <w:rsid w:val="00477592"/>
    <w:rsid w:val="00486F1C"/>
    <w:rsid w:val="00487538"/>
    <w:rsid w:val="0049419D"/>
    <w:rsid w:val="004A057B"/>
    <w:rsid w:val="004A6A54"/>
    <w:rsid w:val="004B03C7"/>
    <w:rsid w:val="004B421C"/>
    <w:rsid w:val="004C20D2"/>
    <w:rsid w:val="004C2312"/>
    <w:rsid w:val="004C24EC"/>
    <w:rsid w:val="004C4B62"/>
    <w:rsid w:val="004C54C9"/>
    <w:rsid w:val="004D2A22"/>
    <w:rsid w:val="004D4ABA"/>
    <w:rsid w:val="004D6025"/>
    <w:rsid w:val="004E013A"/>
    <w:rsid w:val="004E2649"/>
    <w:rsid w:val="004F1840"/>
    <w:rsid w:val="004F1872"/>
    <w:rsid w:val="004F1B17"/>
    <w:rsid w:val="004F626F"/>
    <w:rsid w:val="00501399"/>
    <w:rsid w:val="005047ED"/>
    <w:rsid w:val="0050633D"/>
    <w:rsid w:val="005079DA"/>
    <w:rsid w:val="00507BC4"/>
    <w:rsid w:val="005128E4"/>
    <w:rsid w:val="005133DB"/>
    <w:rsid w:val="00514504"/>
    <w:rsid w:val="00521E1F"/>
    <w:rsid w:val="00525560"/>
    <w:rsid w:val="00544C49"/>
    <w:rsid w:val="005516A1"/>
    <w:rsid w:val="00552088"/>
    <w:rsid w:val="005559EF"/>
    <w:rsid w:val="005627DD"/>
    <w:rsid w:val="00563557"/>
    <w:rsid w:val="0056768B"/>
    <w:rsid w:val="0057402A"/>
    <w:rsid w:val="005771D0"/>
    <w:rsid w:val="0059191A"/>
    <w:rsid w:val="005921FF"/>
    <w:rsid w:val="005A0136"/>
    <w:rsid w:val="005A1FCB"/>
    <w:rsid w:val="005A24ED"/>
    <w:rsid w:val="005A6D0E"/>
    <w:rsid w:val="005B039F"/>
    <w:rsid w:val="005B52B0"/>
    <w:rsid w:val="005B6806"/>
    <w:rsid w:val="005C4225"/>
    <w:rsid w:val="005F0791"/>
    <w:rsid w:val="005F0DAD"/>
    <w:rsid w:val="005F0F33"/>
    <w:rsid w:val="005F34F5"/>
    <w:rsid w:val="00600DEB"/>
    <w:rsid w:val="00627562"/>
    <w:rsid w:val="00627C9F"/>
    <w:rsid w:val="006311E9"/>
    <w:rsid w:val="00632354"/>
    <w:rsid w:val="00635421"/>
    <w:rsid w:val="00635B94"/>
    <w:rsid w:val="00642810"/>
    <w:rsid w:val="00652333"/>
    <w:rsid w:val="006769F3"/>
    <w:rsid w:val="0068009E"/>
    <w:rsid w:val="006900A2"/>
    <w:rsid w:val="00692219"/>
    <w:rsid w:val="00693EB9"/>
    <w:rsid w:val="006A17D2"/>
    <w:rsid w:val="006A73E6"/>
    <w:rsid w:val="006B2D5C"/>
    <w:rsid w:val="006B3E22"/>
    <w:rsid w:val="006C0ECF"/>
    <w:rsid w:val="006C3A93"/>
    <w:rsid w:val="006C4EB1"/>
    <w:rsid w:val="006E0166"/>
    <w:rsid w:val="006E2FFB"/>
    <w:rsid w:val="006E3BAD"/>
    <w:rsid w:val="006E3F40"/>
    <w:rsid w:val="006E7878"/>
    <w:rsid w:val="006E7B34"/>
    <w:rsid w:val="006F0092"/>
    <w:rsid w:val="00700F50"/>
    <w:rsid w:val="0070697F"/>
    <w:rsid w:val="007103C4"/>
    <w:rsid w:val="00714EF5"/>
    <w:rsid w:val="0072199C"/>
    <w:rsid w:val="00722C9F"/>
    <w:rsid w:val="00723817"/>
    <w:rsid w:val="007253B8"/>
    <w:rsid w:val="0073741F"/>
    <w:rsid w:val="007472BE"/>
    <w:rsid w:val="00751EB7"/>
    <w:rsid w:val="0075547F"/>
    <w:rsid w:val="0076643F"/>
    <w:rsid w:val="00771587"/>
    <w:rsid w:val="00777F63"/>
    <w:rsid w:val="0078658C"/>
    <w:rsid w:val="00793F1C"/>
    <w:rsid w:val="007A0DC6"/>
    <w:rsid w:val="007A2986"/>
    <w:rsid w:val="007A5817"/>
    <w:rsid w:val="007B05C4"/>
    <w:rsid w:val="007B60E9"/>
    <w:rsid w:val="007B6595"/>
    <w:rsid w:val="007B6CC3"/>
    <w:rsid w:val="007B76D3"/>
    <w:rsid w:val="007C18F9"/>
    <w:rsid w:val="007C3334"/>
    <w:rsid w:val="007C73A3"/>
    <w:rsid w:val="007D2B98"/>
    <w:rsid w:val="007E1EE8"/>
    <w:rsid w:val="007E21BC"/>
    <w:rsid w:val="007E62F2"/>
    <w:rsid w:val="007E6888"/>
    <w:rsid w:val="007E7C82"/>
    <w:rsid w:val="007F2AA1"/>
    <w:rsid w:val="007F2D7C"/>
    <w:rsid w:val="007F588D"/>
    <w:rsid w:val="00801E92"/>
    <w:rsid w:val="00803F1C"/>
    <w:rsid w:val="0080600E"/>
    <w:rsid w:val="0081055A"/>
    <w:rsid w:val="00814688"/>
    <w:rsid w:val="00817612"/>
    <w:rsid w:val="008205F3"/>
    <w:rsid w:val="008338A4"/>
    <w:rsid w:val="00834D49"/>
    <w:rsid w:val="00837C45"/>
    <w:rsid w:val="00841CD0"/>
    <w:rsid w:val="00844730"/>
    <w:rsid w:val="008457C2"/>
    <w:rsid w:val="00846680"/>
    <w:rsid w:val="00852380"/>
    <w:rsid w:val="00856620"/>
    <w:rsid w:val="00857A82"/>
    <w:rsid w:val="00872CBE"/>
    <w:rsid w:val="00873836"/>
    <w:rsid w:val="00885737"/>
    <w:rsid w:val="00890650"/>
    <w:rsid w:val="008944DC"/>
    <w:rsid w:val="00895F48"/>
    <w:rsid w:val="00897E12"/>
    <w:rsid w:val="008A7E0F"/>
    <w:rsid w:val="008B12F5"/>
    <w:rsid w:val="008B7355"/>
    <w:rsid w:val="008C5E2D"/>
    <w:rsid w:val="008D768D"/>
    <w:rsid w:val="008E2546"/>
    <w:rsid w:val="008E3759"/>
    <w:rsid w:val="008E3BFE"/>
    <w:rsid w:val="008F1912"/>
    <w:rsid w:val="0090270B"/>
    <w:rsid w:val="009041DC"/>
    <w:rsid w:val="00905457"/>
    <w:rsid w:val="00917B5A"/>
    <w:rsid w:val="00920A58"/>
    <w:rsid w:val="00920A8C"/>
    <w:rsid w:val="00934A2C"/>
    <w:rsid w:val="00937452"/>
    <w:rsid w:val="009445F4"/>
    <w:rsid w:val="00957C0E"/>
    <w:rsid w:val="0096706E"/>
    <w:rsid w:val="00970A7F"/>
    <w:rsid w:val="00974312"/>
    <w:rsid w:val="00974491"/>
    <w:rsid w:val="00975A02"/>
    <w:rsid w:val="00975C4E"/>
    <w:rsid w:val="00981FBA"/>
    <w:rsid w:val="00982364"/>
    <w:rsid w:val="009838C1"/>
    <w:rsid w:val="00990ACA"/>
    <w:rsid w:val="00990EE1"/>
    <w:rsid w:val="00997BC5"/>
    <w:rsid w:val="009A431F"/>
    <w:rsid w:val="009A4F41"/>
    <w:rsid w:val="009B381B"/>
    <w:rsid w:val="009D1753"/>
    <w:rsid w:val="009D2D7C"/>
    <w:rsid w:val="009D7611"/>
    <w:rsid w:val="009E0B61"/>
    <w:rsid w:val="009E53DE"/>
    <w:rsid w:val="009E7F46"/>
    <w:rsid w:val="00A004BB"/>
    <w:rsid w:val="00A11212"/>
    <w:rsid w:val="00A11E44"/>
    <w:rsid w:val="00A30100"/>
    <w:rsid w:val="00A328B3"/>
    <w:rsid w:val="00A34797"/>
    <w:rsid w:val="00A348E6"/>
    <w:rsid w:val="00A50FCF"/>
    <w:rsid w:val="00A528D1"/>
    <w:rsid w:val="00A610CD"/>
    <w:rsid w:val="00A758AA"/>
    <w:rsid w:val="00A87253"/>
    <w:rsid w:val="00AA09A2"/>
    <w:rsid w:val="00AA5191"/>
    <w:rsid w:val="00AA7996"/>
    <w:rsid w:val="00AB3141"/>
    <w:rsid w:val="00AB5C3E"/>
    <w:rsid w:val="00AC19CB"/>
    <w:rsid w:val="00AE263F"/>
    <w:rsid w:val="00AE5488"/>
    <w:rsid w:val="00AE6F91"/>
    <w:rsid w:val="00AF1AF9"/>
    <w:rsid w:val="00AF5571"/>
    <w:rsid w:val="00AF563C"/>
    <w:rsid w:val="00B0247A"/>
    <w:rsid w:val="00B07341"/>
    <w:rsid w:val="00B11718"/>
    <w:rsid w:val="00B249AB"/>
    <w:rsid w:val="00B30539"/>
    <w:rsid w:val="00B314DB"/>
    <w:rsid w:val="00B361F2"/>
    <w:rsid w:val="00B3718B"/>
    <w:rsid w:val="00B3745F"/>
    <w:rsid w:val="00B4632A"/>
    <w:rsid w:val="00B530F1"/>
    <w:rsid w:val="00B83158"/>
    <w:rsid w:val="00B93D7F"/>
    <w:rsid w:val="00BA2401"/>
    <w:rsid w:val="00BA276C"/>
    <w:rsid w:val="00BA27E4"/>
    <w:rsid w:val="00BA6CEF"/>
    <w:rsid w:val="00BB019D"/>
    <w:rsid w:val="00BB1B39"/>
    <w:rsid w:val="00BB306F"/>
    <w:rsid w:val="00BB6B26"/>
    <w:rsid w:val="00BD0FF5"/>
    <w:rsid w:val="00BD4443"/>
    <w:rsid w:val="00BD4B89"/>
    <w:rsid w:val="00BD5922"/>
    <w:rsid w:val="00BF02CB"/>
    <w:rsid w:val="00BF2534"/>
    <w:rsid w:val="00BF6FD8"/>
    <w:rsid w:val="00C03680"/>
    <w:rsid w:val="00C054DF"/>
    <w:rsid w:val="00C10D3A"/>
    <w:rsid w:val="00C12270"/>
    <w:rsid w:val="00C13055"/>
    <w:rsid w:val="00C13742"/>
    <w:rsid w:val="00C20BC2"/>
    <w:rsid w:val="00C21762"/>
    <w:rsid w:val="00C21FEF"/>
    <w:rsid w:val="00C23BA4"/>
    <w:rsid w:val="00C24543"/>
    <w:rsid w:val="00C256A2"/>
    <w:rsid w:val="00C25ADB"/>
    <w:rsid w:val="00C3331F"/>
    <w:rsid w:val="00C51515"/>
    <w:rsid w:val="00C544BB"/>
    <w:rsid w:val="00C5660B"/>
    <w:rsid w:val="00C56831"/>
    <w:rsid w:val="00C66B72"/>
    <w:rsid w:val="00C721DB"/>
    <w:rsid w:val="00C87AC4"/>
    <w:rsid w:val="00C90E63"/>
    <w:rsid w:val="00C9124E"/>
    <w:rsid w:val="00C9567A"/>
    <w:rsid w:val="00CB0178"/>
    <w:rsid w:val="00CB212D"/>
    <w:rsid w:val="00CB2660"/>
    <w:rsid w:val="00CB58A6"/>
    <w:rsid w:val="00CC543D"/>
    <w:rsid w:val="00CC5E90"/>
    <w:rsid w:val="00CC6B23"/>
    <w:rsid w:val="00CD046C"/>
    <w:rsid w:val="00CD1060"/>
    <w:rsid w:val="00CD1D3B"/>
    <w:rsid w:val="00CE076C"/>
    <w:rsid w:val="00CE3595"/>
    <w:rsid w:val="00CE37C4"/>
    <w:rsid w:val="00CE5199"/>
    <w:rsid w:val="00CE66D5"/>
    <w:rsid w:val="00CF637A"/>
    <w:rsid w:val="00D01312"/>
    <w:rsid w:val="00D059DE"/>
    <w:rsid w:val="00D05ABD"/>
    <w:rsid w:val="00D13FCE"/>
    <w:rsid w:val="00D306D1"/>
    <w:rsid w:val="00D30800"/>
    <w:rsid w:val="00D323D0"/>
    <w:rsid w:val="00D34786"/>
    <w:rsid w:val="00D37BFC"/>
    <w:rsid w:val="00D471A2"/>
    <w:rsid w:val="00D47A8E"/>
    <w:rsid w:val="00D52D14"/>
    <w:rsid w:val="00D712D3"/>
    <w:rsid w:val="00D71422"/>
    <w:rsid w:val="00D72DC6"/>
    <w:rsid w:val="00D75122"/>
    <w:rsid w:val="00D7558D"/>
    <w:rsid w:val="00D75B49"/>
    <w:rsid w:val="00D80A66"/>
    <w:rsid w:val="00D81D92"/>
    <w:rsid w:val="00D876F9"/>
    <w:rsid w:val="00D92F63"/>
    <w:rsid w:val="00DA79C8"/>
    <w:rsid w:val="00DA7B5F"/>
    <w:rsid w:val="00DC11E7"/>
    <w:rsid w:val="00DC24E3"/>
    <w:rsid w:val="00DC7023"/>
    <w:rsid w:val="00DC769A"/>
    <w:rsid w:val="00DD3D86"/>
    <w:rsid w:val="00DD4AD2"/>
    <w:rsid w:val="00DD515C"/>
    <w:rsid w:val="00DD6160"/>
    <w:rsid w:val="00DD68A1"/>
    <w:rsid w:val="00DE0A58"/>
    <w:rsid w:val="00DE2862"/>
    <w:rsid w:val="00DF1EC4"/>
    <w:rsid w:val="00DF6B57"/>
    <w:rsid w:val="00E0340B"/>
    <w:rsid w:val="00E04A90"/>
    <w:rsid w:val="00E0551F"/>
    <w:rsid w:val="00E219C7"/>
    <w:rsid w:val="00E2321A"/>
    <w:rsid w:val="00E40E47"/>
    <w:rsid w:val="00E4118C"/>
    <w:rsid w:val="00E43157"/>
    <w:rsid w:val="00E461CE"/>
    <w:rsid w:val="00E52F7F"/>
    <w:rsid w:val="00E573E4"/>
    <w:rsid w:val="00E64C3D"/>
    <w:rsid w:val="00E6535D"/>
    <w:rsid w:val="00E66AFF"/>
    <w:rsid w:val="00E720CA"/>
    <w:rsid w:val="00E7697A"/>
    <w:rsid w:val="00E84EB5"/>
    <w:rsid w:val="00E85662"/>
    <w:rsid w:val="00E8789F"/>
    <w:rsid w:val="00E9177E"/>
    <w:rsid w:val="00E95F8D"/>
    <w:rsid w:val="00E97B71"/>
    <w:rsid w:val="00EA335D"/>
    <w:rsid w:val="00EA3D34"/>
    <w:rsid w:val="00EB454D"/>
    <w:rsid w:val="00EB47CD"/>
    <w:rsid w:val="00EB77C7"/>
    <w:rsid w:val="00ED2B3F"/>
    <w:rsid w:val="00ED549D"/>
    <w:rsid w:val="00ED5E10"/>
    <w:rsid w:val="00ED76BE"/>
    <w:rsid w:val="00EE00E9"/>
    <w:rsid w:val="00EE36C0"/>
    <w:rsid w:val="00EE6CE0"/>
    <w:rsid w:val="00EF1AAA"/>
    <w:rsid w:val="00EF619B"/>
    <w:rsid w:val="00F00B55"/>
    <w:rsid w:val="00F02AD1"/>
    <w:rsid w:val="00F04DC6"/>
    <w:rsid w:val="00F17870"/>
    <w:rsid w:val="00F253CC"/>
    <w:rsid w:val="00F37106"/>
    <w:rsid w:val="00F44E25"/>
    <w:rsid w:val="00F519CF"/>
    <w:rsid w:val="00F56BA5"/>
    <w:rsid w:val="00F60C89"/>
    <w:rsid w:val="00F60E22"/>
    <w:rsid w:val="00F80D59"/>
    <w:rsid w:val="00F81395"/>
    <w:rsid w:val="00F81BB8"/>
    <w:rsid w:val="00F8227D"/>
    <w:rsid w:val="00F90C64"/>
    <w:rsid w:val="00F917D1"/>
    <w:rsid w:val="00F9653B"/>
    <w:rsid w:val="00FA01FC"/>
    <w:rsid w:val="00FB62CF"/>
    <w:rsid w:val="00FB66EE"/>
    <w:rsid w:val="00FC6219"/>
    <w:rsid w:val="00FD3C3B"/>
    <w:rsid w:val="00FD4E08"/>
    <w:rsid w:val="00FD5701"/>
    <w:rsid w:val="00FD667B"/>
    <w:rsid w:val="00FD715C"/>
    <w:rsid w:val="00FE07DD"/>
    <w:rsid w:val="00FE382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paragraph" w:customStyle="1" w:styleId="1">
    <w:name w:val="1"/>
    <w:basedOn w:val="Normal"/>
    <w:link w:val="FootnoteReference"/>
    <w:rsid w:val="008205F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C1374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90545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905457"/>
    <w:rPr>
      <w:sz w:val="16"/>
      <w:szCs w:val="16"/>
    </w:rPr>
  </w:style>
  <w:style w:type="paragraph" w:styleId="CommentText">
    <w:name w:val="annotation text"/>
    <w:basedOn w:val="Normal"/>
    <w:link w:val="CommentTextChar"/>
    <w:uiPriority w:val="99"/>
    <w:unhideWhenUsed/>
    <w:rsid w:val="00905457"/>
    <w:rPr>
      <w:sz w:val="20"/>
      <w:szCs w:val="20"/>
    </w:rPr>
  </w:style>
  <w:style w:type="character" w:customStyle="1" w:styleId="CommentTextChar">
    <w:name w:val="Comment Text Char"/>
    <w:basedOn w:val="DefaultParagraphFont"/>
    <w:link w:val="CommentText"/>
    <w:uiPriority w:val="99"/>
    <w:rsid w:val="00905457"/>
    <w:rPr>
      <w:lang w:val="en-US" w:eastAsia="en-US"/>
    </w:rPr>
  </w:style>
  <w:style w:type="paragraph" w:styleId="CommentSubject">
    <w:name w:val="annotation subject"/>
    <w:basedOn w:val="CommentText"/>
    <w:next w:val="CommentText"/>
    <w:link w:val="CommentSubjectChar"/>
    <w:uiPriority w:val="99"/>
    <w:semiHidden/>
    <w:unhideWhenUsed/>
    <w:rsid w:val="00905457"/>
    <w:rPr>
      <w:b/>
      <w:bCs/>
    </w:rPr>
  </w:style>
  <w:style w:type="character" w:customStyle="1" w:styleId="CommentSubjectChar">
    <w:name w:val="Comment Subject Char"/>
    <w:basedOn w:val="CommentTextChar"/>
    <w:link w:val="CommentSubject"/>
    <w:uiPriority w:val="99"/>
    <w:semiHidden/>
    <w:rsid w:val="00905457"/>
    <w:rPr>
      <w:b/>
      <w:bCs/>
      <w:lang w:val="en-US" w:eastAsia="en-US"/>
    </w:rPr>
  </w:style>
  <w:style w:type="character" w:customStyle="1" w:styleId="normaltextrun">
    <w:name w:val="normaltextrun"/>
    <w:basedOn w:val="DefaultParagraphFont"/>
    <w:rsid w:val="00990EE1"/>
  </w:style>
  <w:style w:type="character" w:customStyle="1" w:styleId="eop">
    <w:name w:val="eop"/>
    <w:basedOn w:val="DefaultParagraphFont"/>
    <w:rsid w:val="0099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1440D3"/>
    <w:rsid w:val="001F1E7D"/>
    <w:rsid w:val="00200821"/>
    <w:rsid w:val="0025245B"/>
    <w:rsid w:val="002A3923"/>
    <w:rsid w:val="003251FE"/>
    <w:rsid w:val="00394049"/>
    <w:rsid w:val="003B0C71"/>
    <w:rsid w:val="003F35D0"/>
    <w:rsid w:val="004B5BBB"/>
    <w:rsid w:val="004F2DF8"/>
    <w:rsid w:val="00517E2A"/>
    <w:rsid w:val="00553390"/>
    <w:rsid w:val="005D5618"/>
    <w:rsid w:val="006255DD"/>
    <w:rsid w:val="00684694"/>
    <w:rsid w:val="00686BED"/>
    <w:rsid w:val="006D12AA"/>
    <w:rsid w:val="006F24A1"/>
    <w:rsid w:val="007016BF"/>
    <w:rsid w:val="00875B8A"/>
    <w:rsid w:val="008F55D1"/>
    <w:rsid w:val="009A261B"/>
    <w:rsid w:val="00AA2E17"/>
    <w:rsid w:val="00AC15A4"/>
    <w:rsid w:val="00B0336C"/>
    <w:rsid w:val="00C94B94"/>
    <w:rsid w:val="00D241E9"/>
    <w:rsid w:val="00D7750D"/>
    <w:rsid w:val="00DB3FD6"/>
    <w:rsid w:val="00E32779"/>
    <w:rsid w:val="00EB2B0D"/>
    <w:rsid w:val="00F00D2F"/>
    <w:rsid w:val="00F128DF"/>
    <w:rsid w:val="00F642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1998</Words>
  <Characters>11389</Characters>
  <Application>Microsoft Office Word</Application>
  <DocSecurity>0</DocSecurity>
  <Lines>94</Lines>
  <Paragraphs>26</Paragraphs>
  <ScaleCrop>false</ScaleCrop>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2024-01-18T15:35:00Z</dcterms:created>
  <dcterms:modified xsi:type="dcterms:W3CDTF">2024-01-18T15:35:00Z</dcterms:modified>
</cp:coreProperties>
</file>