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AB53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5E0A0019">
                <wp:simplePos x="0" y="0"/>
                <wp:positionH relativeFrom="margin">
                  <wp:align>right</wp:align>
                </wp:positionH>
                <wp:positionV relativeFrom="paragraph">
                  <wp:posOffset>109220</wp:posOffset>
                </wp:positionV>
                <wp:extent cx="459105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9105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4797D2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A17EA">
                              <w:rPr>
                                <w:rFonts w:asciiTheme="majorHAnsi" w:hAnsiTheme="majorHAnsi" w:cs="Arial"/>
                                <w:b/>
                                <w:bCs/>
                                <w:color w:val="0D0D0D" w:themeColor="text1" w:themeTint="F2"/>
                                <w:sz w:val="36"/>
                                <w:szCs w:val="22"/>
                                <w:lang w:val="es-ES_tradnl"/>
                              </w:rPr>
                              <w:t>97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6D6BB6">
                              <w:rPr>
                                <w:rFonts w:asciiTheme="majorHAnsi" w:hAnsiTheme="majorHAnsi" w:cs="Arial"/>
                                <w:b/>
                                <w:bCs/>
                                <w:color w:val="0D0D0D" w:themeColor="text1" w:themeTint="F2"/>
                                <w:sz w:val="36"/>
                                <w:szCs w:val="22"/>
                                <w:lang w:val="es-ES_tradnl"/>
                              </w:rPr>
                              <w:t>3</w:t>
                            </w:r>
                          </w:p>
                          <w:p w14:paraId="45F30ECA" w14:textId="0A5DF4A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C43F7">
                              <w:rPr>
                                <w:rFonts w:asciiTheme="majorHAnsi" w:hAnsiTheme="majorHAnsi" w:cs="Arial"/>
                                <w:b/>
                                <w:color w:val="0D0D0D" w:themeColor="text1" w:themeTint="F2"/>
                                <w:sz w:val="36"/>
                                <w:szCs w:val="22"/>
                                <w:lang w:val="es-ES_tradnl"/>
                              </w:rPr>
                              <w:t>522-14</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6849E556" w:rsidR="005B52B0" w:rsidRPr="003C43F7" w:rsidRDefault="003C43F7" w:rsidP="006B3E22">
                            <w:pPr>
                              <w:spacing w:line="276" w:lineRule="auto"/>
                              <w:rPr>
                                <w:rFonts w:asciiTheme="majorHAnsi" w:hAnsiTheme="majorHAnsi" w:cs="Arial"/>
                                <w:color w:val="0D0D0D" w:themeColor="text1" w:themeTint="F2"/>
                                <w:szCs w:val="22"/>
                                <w:lang w:val="pt-BR"/>
                              </w:rPr>
                            </w:pPr>
                            <w:r w:rsidRPr="003C43F7">
                              <w:rPr>
                                <w:rFonts w:asciiTheme="majorHAnsi" w:hAnsiTheme="majorHAnsi" w:cs="Arial"/>
                                <w:color w:val="0D0D0D" w:themeColor="text1" w:themeTint="F2"/>
                                <w:szCs w:val="22"/>
                                <w:lang w:val="pt-BR"/>
                              </w:rPr>
                              <w:t xml:space="preserve">JOSÉ ROBERTO SALGADO, KÁTIA </w:t>
                            </w:r>
                            <w:r>
                              <w:rPr>
                                <w:rFonts w:asciiTheme="majorHAnsi" w:hAnsiTheme="majorHAnsi" w:cs="Arial"/>
                                <w:color w:val="0D0D0D" w:themeColor="text1" w:themeTint="F2"/>
                                <w:szCs w:val="22"/>
                                <w:lang w:val="pt-BR"/>
                              </w:rPr>
                              <w:t>RABELLO</w:t>
                            </w:r>
                            <w:r w:rsidR="00C1640D">
                              <w:rPr>
                                <w:rFonts w:asciiTheme="majorHAnsi" w:hAnsiTheme="majorHAnsi" w:cs="Arial"/>
                                <w:color w:val="0D0D0D" w:themeColor="text1" w:themeTint="F2"/>
                                <w:szCs w:val="22"/>
                                <w:lang w:val="pt-BR"/>
                              </w:rPr>
                              <w:t xml:space="preserve"> Y</w:t>
                            </w:r>
                            <w:r>
                              <w:rPr>
                                <w:rFonts w:asciiTheme="majorHAnsi" w:hAnsiTheme="majorHAnsi" w:cs="Arial"/>
                                <w:color w:val="0D0D0D" w:themeColor="text1" w:themeTint="F2"/>
                                <w:szCs w:val="22"/>
                                <w:lang w:val="pt-BR"/>
                              </w:rPr>
                              <w:t xml:space="preserve"> VIN</w:t>
                            </w:r>
                            <w:r w:rsidR="00CD7DDD">
                              <w:rPr>
                                <w:rFonts w:asciiTheme="majorHAnsi" w:hAnsiTheme="majorHAnsi" w:cs="Arial"/>
                                <w:color w:val="0D0D0D" w:themeColor="text1" w:themeTint="F2"/>
                                <w:szCs w:val="22"/>
                                <w:lang w:val="pt-BR"/>
                              </w:rPr>
                              <w:t>Í</w:t>
                            </w:r>
                            <w:r>
                              <w:rPr>
                                <w:rFonts w:asciiTheme="majorHAnsi" w:hAnsiTheme="majorHAnsi" w:cs="Arial"/>
                                <w:color w:val="0D0D0D" w:themeColor="text1" w:themeTint="F2"/>
                                <w:szCs w:val="22"/>
                                <w:lang w:val="pt-BR"/>
                              </w:rPr>
                              <w:t>CIUS SAMARANE</w:t>
                            </w:r>
                          </w:p>
                          <w:p w14:paraId="1724503F" w14:textId="453E79D6" w:rsidR="006B3E22" w:rsidRPr="003C43F7" w:rsidRDefault="006B3E22" w:rsidP="006B3E22">
                            <w:pPr>
                              <w:spacing w:line="276" w:lineRule="auto"/>
                              <w:rPr>
                                <w:color w:val="0D0D0D" w:themeColor="text1" w:themeTint="F2"/>
                                <w:lang w:val="pt-BR"/>
                              </w:rPr>
                            </w:pPr>
                            <w:r w:rsidRPr="003C43F7">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310.3pt;margin-top:8.6pt;width:361.5pt;height:171.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" filled="f" stroked="f" strokeweight=".5pt">
                <v:textbox>
                  <w:txbxContent>
                    <w:p w14:paraId="7D7328D9" w14:textId="64797D2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A17EA">
                        <w:rPr>
                          <w:rFonts w:asciiTheme="majorHAnsi" w:hAnsiTheme="majorHAnsi" w:cs="Arial"/>
                          <w:b/>
                          <w:bCs/>
                          <w:color w:val="0D0D0D" w:themeColor="text1" w:themeTint="F2"/>
                          <w:sz w:val="36"/>
                          <w:szCs w:val="22"/>
                          <w:lang w:val="es-ES_tradnl"/>
                        </w:rPr>
                        <w:t>97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6D6BB6">
                        <w:rPr>
                          <w:rFonts w:asciiTheme="majorHAnsi" w:hAnsiTheme="majorHAnsi" w:cs="Arial"/>
                          <w:b/>
                          <w:bCs/>
                          <w:color w:val="0D0D0D" w:themeColor="text1" w:themeTint="F2"/>
                          <w:sz w:val="36"/>
                          <w:szCs w:val="22"/>
                          <w:lang w:val="es-ES_tradnl"/>
                        </w:rPr>
                        <w:t>3</w:t>
                      </w:r>
                    </w:p>
                    <w:p w14:paraId="45F30ECA" w14:textId="0A5DF4A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C43F7">
                        <w:rPr>
                          <w:rFonts w:asciiTheme="majorHAnsi" w:hAnsiTheme="majorHAnsi" w:cs="Arial"/>
                          <w:b/>
                          <w:color w:val="0D0D0D" w:themeColor="text1" w:themeTint="F2"/>
                          <w:sz w:val="36"/>
                          <w:szCs w:val="22"/>
                          <w:lang w:val="es-ES_tradnl"/>
                        </w:rPr>
                        <w:t>522-14</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6849E556" w:rsidR="005B52B0" w:rsidRPr="003C43F7" w:rsidRDefault="003C43F7" w:rsidP="006B3E22">
                      <w:pPr>
                        <w:spacing w:line="276" w:lineRule="auto"/>
                        <w:rPr>
                          <w:rFonts w:asciiTheme="majorHAnsi" w:hAnsiTheme="majorHAnsi" w:cs="Arial"/>
                          <w:color w:val="0D0D0D" w:themeColor="text1" w:themeTint="F2"/>
                          <w:szCs w:val="22"/>
                          <w:lang w:val="pt-BR"/>
                        </w:rPr>
                      </w:pPr>
                      <w:r w:rsidRPr="003C43F7">
                        <w:rPr>
                          <w:rFonts w:asciiTheme="majorHAnsi" w:hAnsiTheme="majorHAnsi" w:cs="Arial"/>
                          <w:color w:val="0D0D0D" w:themeColor="text1" w:themeTint="F2"/>
                          <w:szCs w:val="22"/>
                          <w:lang w:val="pt-BR"/>
                        </w:rPr>
                        <w:t xml:space="preserve">JOSÉ ROBERTO SALGADO, KÁTIA </w:t>
                      </w:r>
                      <w:r>
                        <w:rPr>
                          <w:rFonts w:asciiTheme="majorHAnsi" w:hAnsiTheme="majorHAnsi" w:cs="Arial"/>
                          <w:color w:val="0D0D0D" w:themeColor="text1" w:themeTint="F2"/>
                          <w:szCs w:val="22"/>
                          <w:lang w:val="pt-BR"/>
                        </w:rPr>
                        <w:t>RABELLO</w:t>
                      </w:r>
                      <w:r w:rsidR="00C1640D">
                        <w:rPr>
                          <w:rFonts w:asciiTheme="majorHAnsi" w:hAnsiTheme="majorHAnsi" w:cs="Arial"/>
                          <w:color w:val="0D0D0D" w:themeColor="text1" w:themeTint="F2"/>
                          <w:szCs w:val="22"/>
                          <w:lang w:val="pt-BR"/>
                        </w:rPr>
                        <w:t xml:space="preserve"> Y</w:t>
                      </w:r>
                      <w:r>
                        <w:rPr>
                          <w:rFonts w:asciiTheme="majorHAnsi" w:hAnsiTheme="majorHAnsi" w:cs="Arial"/>
                          <w:color w:val="0D0D0D" w:themeColor="text1" w:themeTint="F2"/>
                          <w:szCs w:val="22"/>
                          <w:lang w:val="pt-BR"/>
                        </w:rPr>
                        <w:t xml:space="preserve"> VIN</w:t>
                      </w:r>
                      <w:r w:rsidR="00CD7DDD">
                        <w:rPr>
                          <w:rFonts w:asciiTheme="majorHAnsi" w:hAnsiTheme="majorHAnsi" w:cs="Arial"/>
                          <w:color w:val="0D0D0D" w:themeColor="text1" w:themeTint="F2"/>
                          <w:szCs w:val="22"/>
                          <w:lang w:val="pt-BR"/>
                        </w:rPr>
                        <w:t>Í</w:t>
                      </w:r>
                      <w:r>
                        <w:rPr>
                          <w:rFonts w:asciiTheme="majorHAnsi" w:hAnsiTheme="majorHAnsi" w:cs="Arial"/>
                          <w:color w:val="0D0D0D" w:themeColor="text1" w:themeTint="F2"/>
                          <w:szCs w:val="22"/>
                          <w:lang w:val="pt-BR"/>
                        </w:rPr>
                        <w:t>CIUS SAMARANE</w:t>
                      </w:r>
                    </w:p>
                    <w:p w14:paraId="1724503F" w14:textId="453E79D6" w:rsidR="006B3E22" w:rsidRPr="003C43F7" w:rsidRDefault="006B3E22" w:rsidP="006B3E22">
                      <w:pPr>
                        <w:spacing w:line="276" w:lineRule="auto"/>
                        <w:rPr>
                          <w:color w:val="0D0D0D" w:themeColor="text1" w:themeTint="F2"/>
                          <w:lang w:val="pt-BR"/>
                        </w:rPr>
                      </w:pPr>
                      <w:r w:rsidRPr="003C43F7">
                        <w:rPr>
                          <w:rFonts w:asciiTheme="majorHAnsi" w:hAnsiTheme="majorHAnsi" w:cs="Arial"/>
                          <w:color w:val="0D0D0D" w:themeColor="text1" w:themeTint="F2"/>
                          <w:szCs w:val="22"/>
                          <w:lang w:val="pt-BR"/>
                        </w:rPr>
                        <w:t>BRASIL</w:t>
                      </w:r>
                    </w:p>
                  </w:txbxContent>
                </v:textbox>
                <w10:wrap anchorx="margin"/>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15B549E" w:rsidR="00627C9F" w:rsidRPr="00CD7DDD" w:rsidRDefault="00834D49" w:rsidP="007A5817">
                            <w:pPr>
                              <w:spacing w:line="276" w:lineRule="auto"/>
                              <w:jc w:val="right"/>
                              <w:rPr>
                                <w:rFonts w:asciiTheme="minorHAnsi" w:hAnsiTheme="minorHAnsi"/>
                                <w:color w:val="FFFFFF" w:themeColor="background1"/>
                                <w:sz w:val="22"/>
                                <w:lang w:val="es-ES"/>
                              </w:rPr>
                            </w:pPr>
                            <w:r w:rsidRPr="00CD7DDD">
                              <w:rPr>
                                <w:rFonts w:asciiTheme="minorHAnsi" w:hAnsiTheme="minorHAnsi"/>
                                <w:color w:val="FFFFFF" w:themeColor="background1"/>
                                <w:sz w:val="22"/>
                                <w:lang w:val="es-ES"/>
                              </w:rPr>
                              <w:t>OEA/Ser.L/V/II</w:t>
                            </w:r>
                          </w:p>
                          <w:p w14:paraId="71D2D5D2" w14:textId="781F0308" w:rsidR="00627C9F" w:rsidRPr="00CD7DDD" w:rsidRDefault="00627C9F" w:rsidP="007A5817">
                            <w:pPr>
                              <w:spacing w:line="276" w:lineRule="auto"/>
                              <w:jc w:val="right"/>
                              <w:rPr>
                                <w:rFonts w:asciiTheme="minorHAnsi" w:hAnsiTheme="minorHAnsi"/>
                                <w:color w:val="FFFFFF" w:themeColor="background1"/>
                                <w:sz w:val="22"/>
                                <w:lang w:val="es-ES"/>
                              </w:rPr>
                            </w:pPr>
                            <w:r w:rsidRPr="00CD7DDD">
                              <w:rPr>
                                <w:rFonts w:asciiTheme="minorHAnsi" w:hAnsiTheme="minorHAnsi"/>
                                <w:color w:val="FFFFFF" w:themeColor="background1"/>
                                <w:sz w:val="22"/>
                                <w:lang w:val="es-ES"/>
                              </w:rPr>
                              <w:t xml:space="preserve">Doc. </w:t>
                            </w:r>
                            <w:r w:rsidR="00CD7DDD" w:rsidRPr="00CD7DDD">
                              <w:rPr>
                                <w:rFonts w:asciiTheme="minorHAnsi" w:hAnsiTheme="minorHAnsi"/>
                                <w:color w:val="FFFFFF" w:themeColor="background1"/>
                                <w:sz w:val="22"/>
                                <w:lang w:val="es-ES"/>
                              </w:rPr>
                              <w:t>107</w:t>
                            </w:r>
                          </w:p>
                          <w:p w14:paraId="4061DBBD" w14:textId="29BA0993" w:rsidR="00627C9F" w:rsidRPr="00C25ADB" w:rsidRDefault="00CD7D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D6BB6">
                              <w:rPr>
                                <w:rFonts w:asciiTheme="minorHAnsi" w:hAnsiTheme="minorHAnsi"/>
                                <w:color w:val="FFFFFF" w:themeColor="background1"/>
                                <w:sz w:val="22"/>
                                <w:lang w:val="es-PA"/>
                              </w:rPr>
                              <w:t>3</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15B549E" w:rsidR="00627C9F" w:rsidRPr="00CD7DDD" w:rsidRDefault="00834D49" w:rsidP="007A5817">
                      <w:pPr>
                        <w:spacing w:line="276" w:lineRule="auto"/>
                        <w:jc w:val="right"/>
                        <w:rPr>
                          <w:rFonts w:asciiTheme="minorHAnsi" w:hAnsiTheme="minorHAnsi"/>
                          <w:color w:val="FFFFFF" w:themeColor="background1"/>
                          <w:sz w:val="22"/>
                          <w:lang w:val="es-ES"/>
                        </w:rPr>
                      </w:pPr>
                      <w:r w:rsidRPr="00CD7DDD">
                        <w:rPr>
                          <w:rFonts w:asciiTheme="minorHAnsi" w:hAnsiTheme="minorHAnsi"/>
                          <w:color w:val="FFFFFF" w:themeColor="background1"/>
                          <w:sz w:val="22"/>
                          <w:lang w:val="es-ES"/>
                        </w:rPr>
                        <w:t>OEA/Ser.L/V/II</w:t>
                      </w:r>
                    </w:p>
                    <w:p w14:paraId="71D2D5D2" w14:textId="781F0308" w:rsidR="00627C9F" w:rsidRPr="00CD7DDD" w:rsidRDefault="00627C9F" w:rsidP="007A5817">
                      <w:pPr>
                        <w:spacing w:line="276" w:lineRule="auto"/>
                        <w:jc w:val="right"/>
                        <w:rPr>
                          <w:rFonts w:asciiTheme="minorHAnsi" w:hAnsiTheme="minorHAnsi"/>
                          <w:color w:val="FFFFFF" w:themeColor="background1"/>
                          <w:sz w:val="22"/>
                          <w:lang w:val="es-ES"/>
                        </w:rPr>
                      </w:pPr>
                      <w:r w:rsidRPr="00CD7DDD">
                        <w:rPr>
                          <w:rFonts w:asciiTheme="minorHAnsi" w:hAnsiTheme="minorHAnsi"/>
                          <w:color w:val="FFFFFF" w:themeColor="background1"/>
                          <w:sz w:val="22"/>
                          <w:lang w:val="es-ES"/>
                        </w:rPr>
                        <w:t xml:space="preserve">Doc. </w:t>
                      </w:r>
                      <w:r w:rsidR="00CD7DDD" w:rsidRPr="00CD7DDD">
                        <w:rPr>
                          <w:rFonts w:asciiTheme="minorHAnsi" w:hAnsiTheme="minorHAnsi"/>
                          <w:color w:val="FFFFFF" w:themeColor="background1"/>
                          <w:sz w:val="22"/>
                          <w:lang w:val="es-ES"/>
                        </w:rPr>
                        <w:t>107</w:t>
                      </w:r>
                    </w:p>
                    <w:p w14:paraId="4061DBBD" w14:textId="29BA0993" w:rsidR="00627C9F" w:rsidRPr="00C25ADB" w:rsidRDefault="00CD7DD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D6BB6">
                        <w:rPr>
                          <w:rFonts w:asciiTheme="minorHAnsi" w:hAnsiTheme="minorHAnsi"/>
                          <w:color w:val="FFFFFF" w:themeColor="background1"/>
                          <w:sz w:val="22"/>
                          <w:lang w:val="es-PA"/>
                        </w:rPr>
                        <w:t>3</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DB2CF3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D7DDD">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CD7DD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D6BB6">
                              <w:rPr>
                                <w:rFonts w:asciiTheme="majorHAnsi" w:hAnsiTheme="majorHAnsi"/>
                                <w:color w:val="0D0D0D" w:themeColor="text1" w:themeTint="F2"/>
                                <w:sz w:val="18"/>
                                <w:szCs w:val="22"/>
                                <w:lang w:val="es-ES"/>
                              </w:rPr>
                              <w:t>3</w:t>
                            </w:r>
                            <w:r w:rsidR="00CD7DD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DB2CF3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D7DDD">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CD7DD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D6BB6">
                        <w:rPr>
                          <w:rFonts w:asciiTheme="majorHAnsi" w:hAnsiTheme="majorHAnsi"/>
                          <w:color w:val="0D0D0D" w:themeColor="text1" w:themeTint="F2"/>
                          <w:sz w:val="18"/>
                          <w:szCs w:val="22"/>
                          <w:lang w:val="es-ES"/>
                        </w:rPr>
                        <w:t>3</w:t>
                      </w:r>
                      <w:r w:rsidR="00CD7DD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A27469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D7DDD" w:rsidRPr="00CD7DDD">
                              <w:rPr>
                                <w:rFonts w:asciiTheme="majorHAnsi" w:hAnsiTheme="majorHAnsi"/>
                                <w:color w:val="595959" w:themeColor="text1" w:themeTint="A6"/>
                                <w:sz w:val="18"/>
                                <w:szCs w:val="18"/>
                                <w:lang w:val="pt-BR"/>
                              </w:rPr>
                              <w:t>97</w:t>
                            </w:r>
                            <w:r w:rsidR="007B05C4" w:rsidRPr="00CD7DDD">
                              <w:rPr>
                                <w:rFonts w:asciiTheme="majorHAnsi" w:hAnsiTheme="majorHAnsi"/>
                                <w:color w:val="595959" w:themeColor="text1" w:themeTint="A6"/>
                                <w:sz w:val="18"/>
                                <w:szCs w:val="18"/>
                                <w:lang w:val="pt-BR"/>
                              </w:rPr>
                              <w:t>/</w:t>
                            </w:r>
                            <w:r w:rsidR="00CD7DDD" w:rsidRPr="00CD7DDD">
                              <w:rPr>
                                <w:rFonts w:asciiTheme="majorHAnsi" w:hAnsiTheme="majorHAnsi"/>
                                <w:color w:val="595959" w:themeColor="text1" w:themeTint="A6"/>
                                <w:sz w:val="18"/>
                                <w:szCs w:val="18"/>
                                <w:lang w:val="pt-BR"/>
                              </w:rPr>
                              <w:t>23</w:t>
                            </w:r>
                            <w:r w:rsidRPr="00CD7DD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7289E">
                              <w:rPr>
                                <w:rFonts w:asciiTheme="majorHAnsi" w:hAnsiTheme="majorHAnsi"/>
                                <w:color w:val="595959" w:themeColor="text1" w:themeTint="A6"/>
                                <w:sz w:val="18"/>
                                <w:szCs w:val="18"/>
                                <w:lang w:val="es-ES"/>
                              </w:rPr>
                              <w:t>5</w:t>
                            </w:r>
                            <w:r w:rsidR="003C43F7">
                              <w:rPr>
                                <w:rFonts w:asciiTheme="majorHAnsi" w:hAnsiTheme="majorHAnsi"/>
                                <w:color w:val="595959" w:themeColor="text1" w:themeTint="A6"/>
                                <w:sz w:val="18"/>
                                <w:szCs w:val="18"/>
                                <w:lang w:val="es-ES"/>
                              </w:rPr>
                              <w:t>22-14</w:t>
                            </w:r>
                            <w:r w:rsidR="00DF6B57" w:rsidRPr="00DF6B57">
                              <w:rPr>
                                <w:rFonts w:asciiTheme="majorHAnsi" w:hAnsiTheme="majorHAnsi"/>
                                <w:color w:val="595959" w:themeColor="text1" w:themeTint="A6"/>
                                <w:sz w:val="18"/>
                                <w:szCs w:val="18"/>
                                <w:lang w:val="es-ES"/>
                              </w:rPr>
                              <w:t xml:space="preserve">. Admisibilidad. </w:t>
                            </w:r>
                            <w:r w:rsidR="003C43F7">
                              <w:rPr>
                                <w:rFonts w:asciiTheme="majorHAnsi" w:hAnsiTheme="majorHAnsi"/>
                                <w:color w:val="595959" w:themeColor="text1" w:themeTint="A6"/>
                                <w:sz w:val="18"/>
                                <w:szCs w:val="18"/>
                                <w:lang w:val="es-ES"/>
                              </w:rPr>
                              <w:t>José Roberto Salgado, Kátia Rabello</w:t>
                            </w:r>
                            <w:r w:rsidR="00677ED3">
                              <w:rPr>
                                <w:rFonts w:asciiTheme="majorHAnsi" w:hAnsiTheme="majorHAnsi"/>
                                <w:color w:val="595959" w:themeColor="text1" w:themeTint="A6"/>
                                <w:sz w:val="18"/>
                                <w:szCs w:val="18"/>
                                <w:lang w:val="es-ES"/>
                              </w:rPr>
                              <w:t xml:space="preserve"> y</w:t>
                            </w:r>
                            <w:r w:rsidR="003C43F7">
                              <w:rPr>
                                <w:rFonts w:asciiTheme="majorHAnsi" w:hAnsiTheme="majorHAnsi"/>
                                <w:color w:val="595959" w:themeColor="text1" w:themeTint="A6"/>
                                <w:sz w:val="18"/>
                                <w:szCs w:val="18"/>
                                <w:lang w:val="es-ES"/>
                              </w:rPr>
                              <w:t xml:space="preserve"> Vinicius Samarane</w:t>
                            </w:r>
                            <w:r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2639E9">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2639E9">
                              <w:rPr>
                                <w:rFonts w:asciiTheme="majorHAnsi" w:hAnsiTheme="majorHAnsi"/>
                                <w:color w:val="595959" w:themeColor="text1" w:themeTint="A6"/>
                                <w:sz w:val="18"/>
                                <w:szCs w:val="18"/>
                                <w:lang w:val="es-ES"/>
                              </w:rPr>
                              <w:t>26 de junio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A27469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D7DDD" w:rsidRPr="00CD7DDD">
                        <w:rPr>
                          <w:rFonts w:asciiTheme="majorHAnsi" w:hAnsiTheme="majorHAnsi"/>
                          <w:color w:val="595959" w:themeColor="text1" w:themeTint="A6"/>
                          <w:sz w:val="18"/>
                          <w:szCs w:val="18"/>
                          <w:lang w:val="pt-BR"/>
                        </w:rPr>
                        <w:t>97</w:t>
                      </w:r>
                      <w:r w:rsidR="007B05C4" w:rsidRPr="00CD7DDD">
                        <w:rPr>
                          <w:rFonts w:asciiTheme="majorHAnsi" w:hAnsiTheme="majorHAnsi"/>
                          <w:color w:val="595959" w:themeColor="text1" w:themeTint="A6"/>
                          <w:sz w:val="18"/>
                          <w:szCs w:val="18"/>
                          <w:lang w:val="pt-BR"/>
                        </w:rPr>
                        <w:t>/</w:t>
                      </w:r>
                      <w:r w:rsidR="00CD7DDD" w:rsidRPr="00CD7DDD">
                        <w:rPr>
                          <w:rFonts w:asciiTheme="majorHAnsi" w:hAnsiTheme="majorHAnsi"/>
                          <w:color w:val="595959" w:themeColor="text1" w:themeTint="A6"/>
                          <w:sz w:val="18"/>
                          <w:szCs w:val="18"/>
                          <w:lang w:val="pt-BR"/>
                        </w:rPr>
                        <w:t>23</w:t>
                      </w:r>
                      <w:r w:rsidRPr="00CD7DD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7289E">
                        <w:rPr>
                          <w:rFonts w:asciiTheme="majorHAnsi" w:hAnsiTheme="majorHAnsi"/>
                          <w:color w:val="595959" w:themeColor="text1" w:themeTint="A6"/>
                          <w:sz w:val="18"/>
                          <w:szCs w:val="18"/>
                          <w:lang w:val="es-ES"/>
                        </w:rPr>
                        <w:t>5</w:t>
                      </w:r>
                      <w:r w:rsidR="003C43F7">
                        <w:rPr>
                          <w:rFonts w:asciiTheme="majorHAnsi" w:hAnsiTheme="majorHAnsi"/>
                          <w:color w:val="595959" w:themeColor="text1" w:themeTint="A6"/>
                          <w:sz w:val="18"/>
                          <w:szCs w:val="18"/>
                          <w:lang w:val="es-ES"/>
                        </w:rPr>
                        <w:t>22-14</w:t>
                      </w:r>
                      <w:r w:rsidR="00DF6B57" w:rsidRPr="00DF6B57">
                        <w:rPr>
                          <w:rFonts w:asciiTheme="majorHAnsi" w:hAnsiTheme="majorHAnsi"/>
                          <w:color w:val="595959" w:themeColor="text1" w:themeTint="A6"/>
                          <w:sz w:val="18"/>
                          <w:szCs w:val="18"/>
                          <w:lang w:val="es-ES"/>
                        </w:rPr>
                        <w:t xml:space="preserve">. Admisibilidad. </w:t>
                      </w:r>
                      <w:r w:rsidR="003C43F7">
                        <w:rPr>
                          <w:rFonts w:asciiTheme="majorHAnsi" w:hAnsiTheme="majorHAnsi"/>
                          <w:color w:val="595959" w:themeColor="text1" w:themeTint="A6"/>
                          <w:sz w:val="18"/>
                          <w:szCs w:val="18"/>
                          <w:lang w:val="es-ES"/>
                        </w:rPr>
                        <w:t>José Roberto Salgado, Kátia Rabello</w:t>
                      </w:r>
                      <w:r w:rsidR="00677ED3">
                        <w:rPr>
                          <w:rFonts w:asciiTheme="majorHAnsi" w:hAnsiTheme="majorHAnsi"/>
                          <w:color w:val="595959" w:themeColor="text1" w:themeTint="A6"/>
                          <w:sz w:val="18"/>
                          <w:szCs w:val="18"/>
                          <w:lang w:val="es-ES"/>
                        </w:rPr>
                        <w:t xml:space="preserve"> y</w:t>
                      </w:r>
                      <w:r w:rsidR="003C43F7">
                        <w:rPr>
                          <w:rFonts w:asciiTheme="majorHAnsi" w:hAnsiTheme="majorHAnsi"/>
                          <w:color w:val="595959" w:themeColor="text1" w:themeTint="A6"/>
                          <w:sz w:val="18"/>
                          <w:szCs w:val="18"/>
                          <w:lang w:val="es-ES"/>
                        </w:rPr>
                        <w:t xml:space="preserve"> Vinicius Samarane</w:t>
                      </w:r>
                      <w:r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2639E9">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2639E9">
                        <w:rPr>
                          <w:rFonts w:asciiTheme="majorHAnsi" w:hAnsiTheme="majorHAnsi"/>
                          <w:color w:val="595959" w:themeColor="text1" w:themeTint="A6"/>
                          <w:sz w:val="18"/>
                          <w:szCs w:val="18"/>
                          <w:lang w:val="es-ES"/>
                        </w:rPr>
                        <w:t>26 de junio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AE47CBA" w:rsidR="00D72DC6" w:rsidRPr="00D72DC6" w:rsidRDefault="00CC7884" w:rsidP="00F02AD1">
                            <w:pPr>
                              <w:rPr>
                                <w:color w:val="FFFFFF" w:themeColor="background1"/>
                                <w14:textFill>
                                  <w14:noFill/>
                                </w14:textFill>
                              </w:rPr>
                            </w:pPr>
                            <w:r>
                              <w:rPr>
                                <w:noProof/>
                              </w:rPr>
                              <w:drawing>
                                <wp:inline distT="0" distB="0" distL="0" distR="0" wp14:anchorId="5A91D84A" wp14:editId="28237E4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AE47CBA" w:rsidR="00D72DC6" w:rsidRPr="00D72DC6" w:rsidRDefault="00CC7884" w:rsidP="00F02AD1">
                      <w:pPr>
                        <w:rPr>
                          <w:color w:val="FFFFFF" w:themeColor="background1"/>
                          <w14:textFill>
                            <w14:noFill/>
                          </w14:textFill>
                        </w:rPr>
                      </w:pPr>
                      <w:r>
                        <w:rPr>
                          <w:noProof/>
                        </w:rPr>
                        <w:drawing>
                          <wp:inline distT="0" distB="0" distL="0" distR="0" wp14:anchorId="5A91D84A" wp14:editId="28237E4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30882"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FC14F6" w:rsidRDefault="003239B8" w:rsidP="008D2290">
            <w:pPr>
              <w:jc w:val="center"/>
              <w:rPr>
                <w:rFonts w:ascii="Cambria" w:hAnsi="Cambria"/>
                <w:b/>
                <w:bCs/>
                <w:color w:val="FFFFFF" w:themeColor="background1"/>
                <w:sz w:val="20"/>
                <w:szCs w:val="20"/>
              </w:rPr>
            </w:pPr>
            <w:r w:rsidRPr="00FC14F6">
              <w:rPr>
                <w:rFonts w:ascii="Cambria" w:hAnsi="Cambria"/>
                <w:b/>
                <w:bCs/>
                <w:color w:val="FFFFFF" w:themeColor="background1"/>
                <w:sz w:val="20"/>
                <w:szCs w:val="20"/>
              </w:rPr>
              <w:t>Parte peticionaria:</w:t>
            </w:r>
          </w:p>
        </w:tc>
        <w:tc>
          <w:tcPr>
            <w:tcW w:w="5760" w:type="dxa"/>
            <w:vAlign w:val="center"/>
          </w:tcPr>
          <w:p w14:paraId="07DAAE2E" w14:textId="028395B0" w:rsidR="003239B8" w:rsidRPr="00FC14F6" w:rsidRDefault="003C43F7" w:rsidP="008D2290">
            <w:pPr>
              <w:jc w:val="both"/>
              <w:rPr>
                <w:rFonts w:ascii="Cambria" w:hAnsi="Cambria"/>
                <w:bCs/>
                <w:sz w:val="20"/>
                <w:szCs w:val="20"/>
                <w:lang w:val="pt-BR"/>
              </w:rPr>
            </w:pPr>
            <w:r w:rsidRPr="00FC14F6">
              <w:rPr>
                <w:rFonts w:ascii="Cambria" w:hAnsi="Cambria"/>
                <w:bCs/>
                <w:sz w:val="20"/>
                <w:szCs w:val="20"/>
                <w:lang w:val="pt-BR"/>
              </w:rPr>
              <w:t>Maurício de Oliveira Campos Júnior, Márcio Thomaz Bastos, José Carlos Dias</w:t>
            </w:r>
          </w:p>
        </w:tc>
      </w:tr>
      <w:tr w:rsidR="003239B8" w:rsidRPr="002B3B7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FC14F6" w:rsidRDefault="00F5455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FC14F6">
                  <w:rPr>
                    <w:rFonts w:ascii="Cambria" w:hAnsi="Cambria"/>
                    <w:b/>
                    <w:bCs/>
                    <w:color w:val="FFFFFF" w:themeColor="background1"/>
                    <w:sz w:val="20"/>
                    <w:szCs w:val="20"/>
                  </w:rPr>
                  <w:t>Presuntas víctimas</w:t>
                </w:r>
              </w:sdtContent>
            </w:sdt>
            <w:r w:rsidR="003239B8" w:rsidRPr="00FC14F6">
              <w:rPr>
                <w:rFonts w:ascii="Cambria" w:hAnsi="Cambria"/>
                <w:b/>
                <w:bCs/>
                <w:color w:val="FFFFFF" w:themeColor="background1"/>
                <w:sz w:val="20"/>
                <w:szCs w:val="20"/>
              </w:rPr>
              <w:t>:</w:t>
            </w:r>
          </w:p>
        </w:tc>
        <w:tc>
          <w:tcPr>
            <w:tcW w:w="5760" w:type="dxa"/>
            <w:vAlign w:val="center"/>
          </w:tcPr>
          <w:p w14:paraId="143D44A8" w14:textId="14CCD4F6" w:rsidR="001D21C7" w:rsidRPr="00FC14F6" w:rsidRDefault="003C43F7" w:rsidP="00FC6219">
            <w:pPr>
              <w:jc w:val="both"/>
              <w:rPr>
                <w:rFonts w:ascii="Cambria" w:hAnsi="Cambria"/>
                <w:bCs/>
                <w:sz w:val="20"/>
                <w:szCs w:val="20"/>
                <w:lang w:val="pt-BR"/>
              </w:rPr>
            </w:pPr>
            <w:r w:rsidRPr="00FC14F6">
              <w:rPr>
                <w:rFonts w:ascii="Cambria" w:hAnsi="Cambria"/>
                <w:bCs/>
                <w:sz w:val="20"/>
                <w:szCs w:val="20"/>
                <w:lang w:val="pt-BR"/>
              </w:rPr>
              <w:t>José Roberto Salgado, Kátia Rabello</w:t>
            </w:r>
            <w:r w:rsidR="007A43DD">
              <w:rPr>
                <w:rFonts w:ascii="Cambria" w:hAnsi="Cambria"/>
                <w:bCs/>
                <w:sz w:val="20"/>
                <w:szCs w:val="20"/>
                <w:lang w:val="pt-BR"/>
              </w:rPr>
              <w:t xml:space="preserve"> y</w:t>
            </w:r>
            <w:r w:rsidRPr="00FC14F6">
              <w:rPr>
                <w:rFonts w:ascii="Cambria" w:hAnsi="Cambria"/>
                <w:bCs/>
                <w:sz w:val="20"/>
                <w:szCs w:val="20"/>
                <w:lang w:val="pt-BR"/>
              </w:rPr>
              <w:t xml:space="preserve"> Vinicius Samarane</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FC14F6" w:rsidRDefault="003239B8" w:rsidP="008D2290">
            <w:pPr>
              <w:jc w:val="center"/>
              <w:rPr>
                <w:rFonts w:ascii="Cambria" w:hAnsi="Cambria"/>
                <w:b/>
                <w:bCs/>
                <w:color w:val="FFFFFF" w:themeColor="background1"/>
                <w:sz w:val="20"/>
                <w:szCs w:val="20"/>
              </w:rPr>
            </w:pPr>
            <w:r w:rsidRPr="00FC14F6">
              <w:rPr>
                <w:rFonts w:ascii="Cambria" w:hAnsi="Cambria"/>
                <w:b/>
                <w:bCs/>
                <w:color w:val="FFFFFF" w:themeColor="background1"/>
                <w:sz w:val="20"/>
                <w:szCs w:val="20"/>
              </w:rPr>
              <w:t>Estado denunciado:</w:t>
            </w:r>
          </w:p>
        </w:tc>
        <w:tc>
          <w:tcPr>
            <w:tcW w:w="5760" w:type="dxa"/>
            <w:vAlign w:val="center"/>
          </w:tcPr>
          <w:p w14:paraId="5D0EC05D" w14:textId="2EAEE1E0" w:rsidR="003239B8" w:rsidRPr="00FC14F6" w:rsidRDefault="00771587" w:rsidP="008D2290">
            <w:pPr>
              <w:jc w:val="both"/>
              <w:rPr>
                <w:rFonts w:ascii="Cambria" w:hAnsi="Cambria"/>
                <w:bCs/>
                <w:sz w:val="20"/>
                <w:szCs w:val="20"/>
              </w:rPr>
            </w:pPr>
            <w:r w:rsidRPr="00FC14F6">
              <w:rPr>
                <w:rFonts w:ascii="Cambria" w:hAnsi="Cambria"/>
                <w:bCs/>
                <w:sz w:val="20"/>
                <w:szCs w:val="20"/>
              </w:rPr>
              <w:t>Brasil</w:t>
            </w:r>
          </w:p>
        </w:tc>
      </w:tr>
      <w:tr w:rsidR="00223A29" w:rsidRPr="00F30882"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FC14F6" w:rsidRDefault="001B3A00" w:rsidP="00E4118C">
            <w:pPr>
              <w:jc w:val="center"/>
              <w:rPr>
                <w:rFonts w:ascii="Cambria" w:hAnsi="Cambria"/>
                <w:b/>
                <w:bCs/>
                <w:color w:val="FFFFFF" w:themeColor="background1"/>
                <w:sz w:val="20"/>
                <w:szCs w:val="20"/>
              </w:rPr>
            </w:pPr>
            <w:r w:rsidRPr="00FC14F6">
              <w:rPr>
                <w:rFonts w:ascii="Cambria" w:hAnsi="Cambria"/>
                <w:b/>
                <w:bCs/>
                <w:color w:val="FFFFFF" w:themeColor="background1"/>
                <w:sz w:val="20"/>
                <w:szCs w:val="20"/>
              </w:rPr>
              <w:t xml:space="preserve">Derechos </w:t>
            </w:r>
            <w:r w:rsidR="00E4118C" w:rsidRPr="00FC14F6">
              <w:rPr>
                <w:rFonts w:ascii="Cambria" w:hAnsi="Cambria"/>
                <w:b/>
                <w:bCs/>
                <w:color w:val="FFFFFF" w:themeColor="background1"/>
                <w:sz w:val="20"/>
                <w:szCs w:val="20"/>
              </w:rPr>
              <w:t>invocados</w:t>
            </w:r>
            <w:r w:rsidRPr="00FC14F6">
              <w:rPr>
                <w:rFonts w:ascii="Cambria" w:hAnsi="Cambria"/>
                <w:b/>
                <w:bCs/>
                <w:color w:val="FFFFFF" w:themeColor="background1"/>
                <w:sz w:val="20"/>
                <w:szCs w:val="20"/>
              </w:rPr>
              <w:t>:</w:t>
            </w:r>
          </w:p>
        </w:tc>
        <w:tc>
          <w:tcPr>
            <w:tcW w:w="5760" w:type="dxa"/>
            <w:vAlign w:val="center"/>
          </w:tcPr>
          <w:p w14:paraId="52B28392" w14:textId="0F554A75" w:rsidR="00F7289E" w:rsidRPr="00637368" w:rsidRDefault="00F7289E" w:rsidP="008D2290">
            <w:pPr>
              <w:jc w:val="both"/>
              <w:rPr>
                <w:rFonts w:ascii="Cambria" w:hAnsi="Cambria"/>
                <w:bCs/>
                <w:sz w:val="20"/>
                <w:szCs w:val="20"/>
                <w:lang w:val="es-ES"/>
              </w:rPr>
            </w:pPr>
            <w:r w:rsidRPr="00FC14F6">
              <w:rPr>
                <w:rFonts w:ascii="Cambria" w:hAnsi="Cambria"/>
                <w:bCs/>
                <w:sz w:val="20"/>
                <w:szCs w:val="20"/>
                <w:lang w:val="es-ES"/>
              </w:rPr>
              <w:t>Artículo 8 (garantías judiciales) em conexión con los artículos 1.1 (</w:t>
            </w:r>
            <w:r w:rsidR="00DC1B4C" w:rsidRPr="00FC14F6">
              <w:rPr>
                <w:rFonts w:ascii="Cambria" w:hAnsi="Cambria"/>
                <w:bCs/>
                <w:sz w:val="20"/>
                <w:szCs w:val="20"/>
                <w:lang w:val="es-ES"/>
              </w:rPr>
              <w:t>obligación de respetar los derechos</w:t>
            </w:r>
            <w:r w:rsidRPr="00FC14F6">
              <w:rPr>
                <w:rFonts w:ascii="Cambria" w:hAnsi="Cambria"/>
                <w:bCs/>
                <w:sz w:val="20"/>
                <w:szCs w:val="20"/>
                <w:lang w:val="es-ES"/>
              </w:rPr>
              <w:t xml:space="preserve">) y 2 (deber de adoptar disposiciones de derecho interno) de la Convención </w:t>
            </w:r>
            <w:r w:rsidR="00FC14F6" w:rsidRPr="00FC14F6">
              <w:rPr>
                <w:rFonts w:ascii="Cambria" w:hAnsi="Cambria"/>
                <w:bCs/>
                <w:sz w:val="20"/>
                <w:szCs w:val="20"/>
                <w:lang w:val="es-ES"/>
              </w:rPr>
              <w:t>Americana sobre Derechos Humanos</w:t>
            </w:r>
            <w:r w:rsidR="00FC14F6" w:rsidRPr="00FC14F6">
              <w:rPr>
                <w:rStyle w:val="FootnoteReference"/>
                <w:rFonts w:ascii="Cambria" w:hAnsi="Cambria"/>
                <w:bCs/>
                <w:sz w:val="20"/>
                <w:szCs w:val="20"/>
              </w:rPr>
              <w:footnoteReference w:id="2"/>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C43F7"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3C43F7" w:rsidRPr="00FC14F6" w:rsidRDefault="003C43F7" w:rsidP="003C43F7">
            <w:pPr>
              <w:jc w:val="center"/>
              <w:rPr>
                <w:rFonts w:ascii="Cambria" w:hAnsi="Cambria"/>
                <w:b/>
                <w:bCs/>
                <w:color w:val="FFFFFF" w:themeColor="background1"/>
                <w:sz w:val="20"/>
                <w:szCs w:val="20"/>
                <w:lang w:val="es-ES"/>
              </w:rPr>
            </w:pPr>
            <w:r w:rsidRPr="00FC14F6">
              <w:rPr>
                <w:rFonts w:ascii="Cambria" w:hAnsi="Cambria"/>
                <w:b/>
                <w:bCs/>
                <w:color w:val="FFFFFF" w:themeColor="background1"/>
                <w:sz w:val="20"/>
                <w:szCs w:val="20"/>
                <w:lang w:val="es-ES"/>
              </w:rPr>
              <w:t>Presentación de la petición:</w:t>
            </w:r>
          </w:p>
        </w:tc>
        <w:tc>
          <w:tcPr>
            <w:tcW w:w="5760" w:type="dxa"/>
            <w:vAlign w:val="center"/>
          </w:tcPr>
          <w:p w14:paraId="6883A5F8" w14:textId="02A834CD" w:rsidR="003C43F7" w:rsidRPr="00FC14F6" w:rsidRDefault="006D6BB6" w:rsidP="003C43F7">
            <w:pPr>
              <w:jc w:val="both"/>
              <w:rPr>
                <w:rFonts w:ascii="Cambria" w:hAnsi="Cambria"/>
                <w:bCs/>
                <w:sz w:val="20"/>
                <w:szCs w:val="20"/>
                <w:lang w:val="es-ES"/>
              </w:rPr>
            </w:pPr>
            <w:r w:rsidRPr="00FC14F6">
              <w:rPr>
                <w:rFonts w:ascii="Cambria" w:hAnsi="Cambria"/>
                <w:bCs/>
                <w:sz w:val="20"/>
                <w:szCs w:val="20"/>
                <w:lang w:val="es-ES"/>
              </w:rPr>
              <w:t>11 de abril de 2014</w:t>
            </w:r>
          </w:p>
        </w:tc>
      </w:tr>
      <w:tr w:rsidR="003C43F7" w:rsidRPr="006D6BB6"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1DAB0FD4" w:rsidR="003C43F7" w:rsidRPr="00FC14F6" w:rsidRDefault="003C43F7" w:rsidP="003C43F7">
            <w:pPr>
              <w:jc w:val="center"/>
              <w:rPr>
                <w:rFonts w:ascii="Cambria" w:hAnsi="Cambria"/>
                <w:b/>
                <w:bCs/>
                <w:color w:val="FFFFFF" w:themeColor="background1"/>
                <w:sz w:val="20"/>
                <w:szCs w:val="20"/>
                <w:lang w:val="es-ES"/>
              </w:rPr>
            </w:pPr>
            <w:r w:rsidRPr="00FC14F6">
              <w:rPr>
                <w:rFonts w:ascii="Cambria" w:hAnsi="Cambria"/>
                <w:b/>
                <w:color w:val="FFFFFF" w:themeColor="background1"/>
                <w:sz w:val="20"/>
                <w:szCs w:val="20"/>
                <w:lang w:val="es-ES"/>
              </w:rPr>
              <w:t>Notificación de la petición al Estado:</w:t>
            </w:r>
          </w:p>
        </w:tc>
        <w:tc>
          <w:tcPr>
            <w:tcW w:w="5760" w:type="dxa"/>
            <w:vAlign w:val="center"/>
          </w:tcPr>
          <w:p w14:paraId="65CBC29E" w14:textId="6089DD9E" w:rsidR="003C43F7" w:rsidRPr="00FC14F6" w:rsidRDefault="006D6BB6" w:rsidP="003C43F7">
            <w:pPr>
              <w:jc w:val="both"/>
              <w:rPr>
                <w:rFonts w:ascii="Cambria" w:hAnsi="Cambria"/>
                <w:bCs/>
                <w:sz w:val="20"/>
                <w:szCs w:val="20"/>
                <w:lang w:val="es-ES"/>
              </w:rPr>
            </w:pPr>
            <w:r w:rsidRPr="00FC14F6">
              <w:rPr>
                <w:rFonts w:ascii="Cambria" w:hAnsi="Cambria"/>
                <w:bCs/>
                <w:sz w:val="20"/>
                <w:szCs w:val="20"/>
                <w:lang w:val="es-ES"/>
              </w:rPr>
              <w:t>5 de marzo de 2019</w:t>
            </w:r>
          </w:p>
        </w:tc>
      </w:tr>
      <w:tr w:rsidR="006D6BB6" w:rsidRPr="006D6BB6" w14:paraId="28920461" w14:textId="77777777" w:rsidTr="004A6A54">
        <w:tc>
          <w:tcPr>
            <w:tcW w:w="3600" w:type="dxa"/>
            <w:tcBorders>
              <w:top w:val="single" w:sz="6" w:space="0" w:color="auto"/>
              <w:bottom w:val="single" w:sz="6" w:space="0" w:color="auto"/>
            </w:tcBorders>
            <w:shd w:val="clear" w:color="auto" w:fill="386294"/>
            <w:vAlign w:val="center"/>
          </w:tcPr>
          <w:p w14:paraId="2844BAFE" w14:textId="51B86223" w:rsidR="006D6BB6" w:rsidRPr="00FC14F6" w:rsidRDefault="006D6BB6" w:rsidP="003C43F7">
            <w:pPr>
              <w:jc w:val="center"/>
              <w:rPr>
                <w:rFonts w:ascii="Cambria" w:hAnsi="Cambria"/>
                <w:b/>
                <w:color w:val="FFFFFF" w:themeColor="background1"/>
                <w:sz w:val="20"/>
                <w:szCs w:val="20"/>
                <w:lang w:val="es-ES"/>
              </w:rPr>
            </w:pPr>
            <w:r w:rsidRPr="00FC14F6">
              <w:rPr>
                <w:rFonts w:ascii="Cambria" w:hAnsi="Cambria"/>
                <w:b/>
                <w:color w:val="FFFFFF" w:themeColor="background1"/>
                <w:sz w:val="20"/>
                <w:szCs w:val="20"/>
                <w:lang w:val="es-ES"/>
              </w:rPr>
              <w:t>Solicitud de prórroga:</w:t>
            </w:r>
          </w:p>
        </w:tc>
        <w:tc>
          <w:tcPr>
            <w:tcW w:w="5760" w:type="dxa"/>
            <w:vAlign w:val="center"/>
          </w:tcPr>
          <w:p w14:paraId="6FC6615C" w14:textId="7E8F5CF6" w:rsidR="006D6BB6" w:rsidRPr="00FC14F6" w:rsidRDefault="006D6BB6" w:rsidP="003C43F7">
            <w:pPr>
              <w:jc w:val="both"/>
              <w:rPr>
                <w:rFonts w:ascii="Cambria" w:hAnsi="Cambria"/>
                <w:bCs/>
                <w:sz w:val="20"/>
                <w:szCs w:val="20"/>
                <w:lang w:val="es-ES"/>
              </w:rPr>
            </w:pPr>
            <w:r w:rsidRPr="00FC14F6">
              <w:rPr>
                <w:rFonts w:ascii="Cambria" w:hAnsi="Cambria"/>
                <w:bCs/>
                <w:sz w:val="20"/>
                <w:szCs w:val="20"/>
                <w:lang w:val="es-ES"/>
              </w:rPr>
              <w:t>14 de junio de 2019</w:t>
            </w:r>
          </w:p>
        </w:tc>
      </w:tr>
      <w:tr w:rsidR="003C43F7"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3C43F7" w:rsidRPr="00FC14F6" w:rsidRDefault="003C43F7" w:rsidP="003C43F7">
            <w:pPr>
              <w:jc w:val="center"/>
              <w:rPr>
                <w:rFonts w:ascii="Cambria" w:hAnsi="Cambria"/>
                <w:b/>
                <w:bCs/>
                <w:color w:val="FFFFFF" w:themeColor="background1"/>
                <w:sz w:val="20"/>
                <w:szCs w:val="20"/>
                <w:lang w:val="es-ES"/>
              </w:rPr>
            </w:pPr>
            <w:r w:rsidRPr="00FC14F6">
              <w:rPr>
                <w:rFonts w:ascii="Cambria" w:hAnsi="Cambria"/>
                <w:b/>
                <w:color w:val="FFFFFF" w:themeColor="background1"/>
                <w:sz w:val="20"/>
                <w:szCs w:val="20"/>
                <w:lang w:val="es-ES"/>
              </w:rPr>
              <w:t>Primera respuesta del Estado:</w:t>
            </w:r>
          </w:p>
        </w:tc>
        <w:tc>
          <w:tcPr>
            <w:tcW w:w="5760" w:type="dxa"/>
            <w:vAlign w:val="center"/>
          </w:tcPr>
          <w:p w14:paraId="6B47064C" w14:textId="5A7C03F1" w:rsidR="003C43F7" w:rsidRPr="00FC14F6" w:rsidRDefault="006D6BB6" w:rsidP="003C43F7">
            <w:pPr>
              <w:jc w:val="both"/>
              <w:rPr>
                <w:rFonts w:ascii="Cambria" w:hAnsi="Cambria"/>
                <w:bCs/>
                <w:sz w:val="20"/>
                <w:szCs w:val="20"/>
                <w:lang w:val="es-ES"/>
              </w:rPr>
            </w:pPr>
            <w:r w:rsidRPr="00FC14F6">
              <w:rPr>
                <w:rFonts w:ascii="Cambria" w:hAnsi="Cambria"/>
                <w:bCs/>
                <w:sz w:val="20"/>
                <w:szCs w:val="20"/>
                <w:lang w:val="es-ES"/>
              </w:rPr>
              <w:t>24 de julio de 2019</w:t>
            </w:r>
          </w:p>
        </w:tc>
      </w:tr>
      <w:tr w:rsidR="003C43F7" w:rsidRPr="00F30882" w14:paraId="4B2A5E73" w14:textId="77777777" w:rsidTr="004A6A54">
        <w:tc>
          <w:tcPr>
            <w:tcW w:w="3600" w:type="dxa"/>
            <w:tcBorders>
              <w:top w:val="single" w:sz="6" w:space="0" w:color="auto"/>
              <w:bottom w:val="single" w:sz="6" w:space="0" w:color="auto"/>
            </w:tcBorders>
            <w:shd w:val="clear" w:color="auto" w:fill="386294"/>
            <w:vAlign w:val="center"/>
          </w:tcPr>
          <w:p w14:paraId="365AF93C" w14:textId="796D86F1" w:rsidR="003C43F7" w:rsidRPr="00FC14F6" w:rsidRDefault="003C43F7" w:rsidP="003C43F7">
            <w:pPr>
              <w:jc w:val="center"/>
              <w:rPr>
                <w:rFonts w:ascii="Cambria" w:hAnsi="Cambria"/>
                <w:b/>
                <w:color w:val="FFFFFF" w:themeColor="background1"/>
                <w:sz w:val="20"/>
                <w:szCs w:val="20"/>
                <w:lang w:val="es-ES"/>
              </w:rPr>
            </w:pPr>
            <w:r w:rsidRPr="00FC14F6">
              <w:rPr>
                <w:rFonts w:ascii="Cambria" w:hAnsi="Cambria"/>
                <w:b/>
                <w:color w:val="FFFFFF" w:themeColor="background1"/>
                <w:sz w:val="20"/>
                <w:szCs w:val="20"/>
                <w:lang w:val="es-ES"/>
              </w:rPr>
              <w:t>Observaciones adicionales de la parte peticionaria:</w:t>
            </w:r>
          </w:p>
        </w:tc>
        <w:tc>
          <w:tcPr>
            <w:tcW w:w="5760" w:type="dxa"/>
            <w:vAlign w:val="center"/>
          </w:tcPr>
          <w:p w14:paraId="5B183807" w14:textId="275A309E" w:rsidR="003C43F7" w:rsidRPr="00FC14F6" w:rsidRDefault="006D6BB6" w:rsidP="003C43F7">
            <w:pPr>
              <w:jc w:val="both"/>
              <w:rPr>
                <w:rFonts w:ascii="Cambria" w:hAnsi="Cambria"/>
                <w:bCs/>
                <w:sz w:val="20"/>
                <w:szCs w:val="20"/>
                <w:lang w:val="es-ES"/>
              </w:rPr>
            </w:pPr>
            <w:r w:rsidRPr="00FC14F6">
              <w:rPr>
                <w:rFonts w:ascii="Cambria" w:hAnsi="Cambria"/>
                <w:bCs/>
                <w:sz w:val="20"/>
                <w:szCs w:val="20"/>
                <w:lang w:val="es-ES"/>
              </w:rPr>
              <w:t>25 de marzo de 2020</w:t>
            </w:r>
            <w:r w:rsidR="002B3758">
              <w:rPr>
                <w:rFonts w:ascii="Cambria" w:hAnsi="Cambria"/>
                <w:bCs/>
                <w:sz w:val="20"/>
                <w:szCs w:val="20"/>
                <w:lang w:val="es-ES"/>
              </w:rPr>
              <w:t xml:space="preserve"> y</w:t>
            </w:r>
            <w:r w:rsidRPr="00FC14F6">
              <w:rPr>
                <w:rFonts w:ascii="Cambria" w:hAnsi="Cambria"/>
                <w:bCs/>
                <w:sz w:val="20"/>
                <w:szCs w:val="20"/>
                <w:lang w:val="es-ES"/>
              </w:rPr>
              <w:t xml:space="preserve"> 25 de mayo de 2021</w:t>
            </w:r>
          </w:p>
        </w:tc>
      </w:tr>
      <w:tr w:rsidR="003C43F7" w:rsidRPr="00F7289E" w14:paraId="3B8EA6D2" w14:textId="77777777" w:rsidTr="004A6A54">
        <w:tc>
          <w:tcPr>
            <w:tcW w:w="3600" w:type="dxa"/>
            <w:tcBorders>
              <w:top w:val="single" w:sz="6" w:space="0" w:color="auto"/>
              <w:bottom w:val="single" w:sz="6" w:space="0" w:color="auto"/>
            </w:tcBorders>
            <w:shd w:val="clear" w:color="auto" w:fill="386294"/>
            <w:vAlign w:val="center"/>
          </w:tcPr>
          <w:p w14:paraId="17E6814D" w14:textId="0DDE0593" w:rsidR="003C43F7" w:rsidRPr="00FC14F6" w:rsidRDefault="003C43F7" w:rsidP="003C43F7">
            <w:pPr>
              <w:jc w:val="center"/>
              <w:rPr>
                <w:rFonts w:ascii="Cambria" w:hAnsi="Cambria"/>
                <w:b/>
                <w:color w:val="FFFFFF" w:themeColor="background1"/>
                <w:sz w:val="20"/>
                <w:szCs w:val="20"/>
                <w:lang w:val="es-ES"/>
              </w:rPr>
            </w:pPr>
            <w:r w:rsidRPr="00FC14F6">
              <w:rPr>
                <w:rFonts w:ascii="Cambria" w:hAnsi="Cambria"/>
                <w:b/>
                <w:color w:val="FFFFFF" w:themeColor="background1"/>
                <w:sz w:val="20"/>
                <w:szCs w:val="20"/>
                <w:lang w:val="es-ES"/>
              </w:rPr>
              <w:t>Obsercaciones adicionales del Estado:</w:t>
            </w:r>
          </w:p>
        </w:tc>
        <w:tc>
          <w:tcPr>
            <w:tcW w:w="5760" w:type="dxa"/>
            <w:vAlign w:val="center"/>
          </w:tcPr>
          <w:p w14:paraId="00FB162F" w14:textId="58146859" w:rsidR="003C43F7" w:rsidRPr="00FC14F6" w:rsidRDefault="006D6BB6" w:rsidP="003C43F7">
            <w:pPr>
              <w:jc w:val="both"/>
              <w:rPr>
                <w:rFonts w:ascii="Cambria" w:hAnsi="Cambria"/>
                <w:bCs/>
                <w:color w:val="000000" w:themeColor="text1"/>
                <w:sz w:val="20"/>
                <w:szCs w:val="20"/>
                <w:lang w:val="pt-BR"/>
              </w:rPr>
            </w:pPr>
            <w:r w:rsidRPr="00FC14F6">
              <w:rPr>
                <w:rFonts w:ascii="Cambria" w:hAnsi="Cambria"/>
                <w:bCs/>
                <w:color w:val="000000" w:themeColor="text1"/>
                <w:sz w:val="20"/>
                <w:szCs w:val="20"/>
                <w:lang w:val="pt-BR"/>
              </w:rPr>
              <w:t>8 de marzo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FC14F6" w:rsidRDefault="003239B8" w:rsidP="008D2290">
            <w:pPr>
              <w:jc w:val="center"/>
              <w:rPr>
                <w:rFonts w:ascii="Cambria" w:hAnsi="Cambria"/>
                <w:b/>
                <w:bCs/>
                <w:i/>
                <w:color w:val="FFFFFF" w:themeColor="background1"/>
                <w:sz w:val="20"/>
                <w:szCs w:val="20"/>
              </w:rPr>
            </w:pPr>
            <w:r w:rsidRPr="00FC14F6">
              <w:rPr>
                <w:rFonts w:ascii="Cambria" w:hAnsi="Cambria"/>
                <w:b/>
                <w:bCs/>
                <w:color w:val="FFFFFF" w:themeColor="background1"/>
                <w:sz w:val="20"/>
                <w:szCs w:val="20"/>
              </w:rPr>
              <w:t>Competencia</w:t>
            </w:r>
            <w:r w:rsidRPr="00FC14F6">
              <w:rPr>
                <w:rFonts w:ascii="Cambria" w:hAnsi="Cambria"/>
                <w:b/>
                <w:bCs/>
                <w:i/>
                <w:color w:val="FFFFFF" w:themeColor="background1"/>
                <w:sz w:val="20"/>
                <w:szCs w:val="20"/>
              </w:rPr>
              <w:t xml:space="preserve"> Ratione personae:</w:t>
            </w:r>
          </w:p>
        </w:tc>
        <w:tc>
          <w:tcPr>
            <w:tcW w:w="5760" w:type="dxa"/>
            <w:vAlign w:val="center"/>
          </w:tcPr>
          <w:p w14:paraId="1E494D5D" w14:textId="47C0DB82" w:rsidR="003239B8" w:rsidRPr="00FC14F6" w:rsidRDefault="00A004BB" w:rsidP="008D2290">
            <w:pPr>
              <w:rPr>
                <w:rFonts w:ascii="Cambria" w:hAnsi="Cambria"/>
                <w:bCs/>
                <w:sz w:val="20"/>
                <w:szCs w:val="20"/>
              </w:rPr>
            </w:pPr>
            <w:r w:rsidRPr="00FC14F6">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FC14F6" w:rsidRDefault="003239B8" w:rsidP="008D2290">
            <w:pPr>
              <w:jc w:val="center"/>
              <w:rPr>
                <w:rFonts w:ascii="Cambria" w:hAnsi="Cambria"/>
                <w:b/>
                <w:bCs/>
                <w:color w:val="FFFFFF" w:themeColor="background1"/>
                <w:sz w:val="20"/>
                <w:szCs w:val="20"/>
              </w:rPr>
            </w:pPr>
            <w:r w:rsidRPr="00FC14F6">
              <w:rPr>
                <w:rFonts w:ascii="Cambria" w:hAnsi="Cambria"/>
                <w:b/>
                <w:bCs/>
                <w:color w:val="FFFFFF" w:themeColor="background1"/>
                <w:sz w:val="20"/>
                <w:szCs w:val="20"/>
              </w:rPr>
              <w:t>Competencia</w:t>
            </w:r>
            <w:r w:rsidRPr="00FC14F6">
              <w:rPr>
                <w:rFonts w:ascii="Cambria" w:hAnsi="Cambria"/>
                <w:b/>
                <w:bCs/>
                <w:i/>
                <w:color w:val="FFFFFF" w:themeColor="background1"/>
                <w:sz w:val="20"/>
                <w:szCs w:val="20"/>
              </w:rPr>
              <w:t xml:space="preserve"> Ratione loci</w:t>
            </w:r>
            <w:r w:rsidRPr="00FC14F6">
              <w:rPr>
                <w:rFonts w:ascii="Cambria" w:hAnsi="Cambria"/>
                <w:b/>
                <w:bCs/>
                <w:color w:val="FFFFFF" w:themeColor="background1"/>
                <w:sz w:val="20"/>
                <w:szCs w:val="20"/>
              </w:rPr>
              <w:t>:</w:t>
            </w:r>
          </w:p>
        </w:tc>
        <w:tc>
          <w:tcPr>
            <w:tcW w:w="5760" w:type="dxa"/>
            <w:vAlign w:val="center"/>
          </w:tcPr>
          <w:p w14:paraId="77C8256A" w14:textId="5E819D9D" w:rsidR="003239B8" w:rsidRPr="00FC14F6" w:rsidRDefault="00A004BB" w:rsidP="008D2290">
            <w:pPr>
              <w:rPr>
                <w:rFonts w:ascii="Cambria" w:hAnsi="Cambria"/>
                <w:bCs/>
                <w:sz w:val="20"/>
                <w:szCs w:val="20"/>
              </w:rPr>
            </w:pPr>
            <w:r w:rsidRPr="00FC14F6">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FC14F6" w:rsidRDefault="003239B8" w:rsidP="008D2290">
            <w:pPr>
              <w:jc w:val="center"/>
              <w:rPr>
                <w:rFonts w:ascii="Cambria" w:hAnsi="Cambria"/>
                <w:b/>
                <w:bCs/>
                <w:color w:val="FFFFFF" w:themeColor="background1"/>
                <w:sz w:val="20"/>
                <w:szCs w:val="20"/>
              </w:rPr>
            </w:pPr>
            <w:r w:rsidRPr="00FC14F6">
              <w:rPr>
                <w:rFonts w:ascii="Cambria" w:hAnsi="Cambria"/>
                <w:b/>
                <w:bCs/>
                <w:color w:val="FFFFFF" w:themeColor="background1"/>
                <w:sz w:val="20"/>
                <w:szCs w:val="20"/>
              </w:rPr>
              <w:t>Competencia</w:t>
            </w:r>
            <w:r w:rsidRPr="00FC14F6">
              <w:rPr>
                <w:rFonts w:ascii="Cambria" w:hAnsi="Cambria"/>
                <w:b/>
                <w:bCs/>
                <w:i/>
                <w:color w:val="FFFFFF" w:themeColor="background1"/>
                <w:sz w:val="20"/>
                <w:szCs w:val="20"/>
              </w:rPr>
              <w:t xml:space="preserve"> Ratione temporis</w:t>
            </w:r>
            <w:r w:rsidRPr="00FC14F6">
              <w:rPr>
                <w:rFonts w:ascii="Cambria" w:hAnsi="Cambria"/>
                <w:b/>
                <w:bCs/>
                <w:color w:val="FFFFFF" w:themeColor="background1"/>
                <w:sz w:val="20"/>
                <w:szCs w:val="20"/>
              </w:rPr>
              <w:t>:</w:t>
            </w:r>
          </w:p>
        </w:tc>
        <w:tc>
          <w:tcPr>
            <w:tcW w:w="5760" w:type="dxa"/>
            <w:vAlign w:val="center"/>
          </w:tcPr>
          <w:p w14:paraId="523F6BD6" w14:textId="69B6757A" w:rsidR="003239B8" w:rsidRPr="00FC14F6" w:rsidRDefault="00A004BB" w:rsidP="008D2290">
            <w:pPr>
              <w:rPr>
                <w:rFonts w:ascii="Cambria" w:hAnsi="Cambria"/>
                <w:bCs/>
                <w:sz w:val="20"/>
                <w:szCs w:val="20"/>
              </w:rPr>
            </w:pPr>
            <w:r w:rsidRPr="00FC14F6">
              <w:rPr>
                <w:rFonts w:ascii="Cambria" w:hAnsi="Cambria"/>
                <w:bCs/>
                <w:sz w:val="20"/>
                <w:szCs w:val="20"/>
              </w:rPr>
              <w:t>Sí</w:t>
            </w:r>
          </w:p>
        </w:tc>
      </w:tr>
      <w:tr w:rsidR="003239B8" w:rsidRPr="00F3088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FC14F6" w:rsidRDefault="003239B8" w:rsidP="008D2290">
            <w:pPr>
              <w:jc w:val="center"/>
              <w:rPr>
                <w:rFonts w:ascii="Cambria" w:hAnsi="Cambria"/>
                <w:b/>
                <w:bCs/>
                <w:color w:val="FFFFFF" w:themeColor="background1"/>
                <w:sz w:val="20"/>
                <w:szCs w:val="20"/>
              </w:rPr>
            </w:pPr>
            <w:r w:rsidRPr="00FC14F6">
              <w:rPr>
                <w:rFonts w:ascii="Cambria" w:hAnsi="Cambria"/>
                <w:b/>
                <w:bCs/>
                <w:color w:val="FFFFFF" w:themeColor="background1"/>
                <w:sz w:val="20"/>
                <w:szCs w:val="20"/>
              </w:rPr>
              <w:t>Competencia</w:t>
            </w:r>
            <w:r w:rsidRPr="00FC14F6">
              <w:rPr>
                <w:rFonts w:ascii="Cambria" w:hAnsi="Cambria"/>
                <w:b/>
                <w:bCs/>
                <w:i/>
                <w:color w:val="FFFFFF" w:themeColor="background1"/>
                <w:sz w:val="20"/>
                <w:szCs w:val="20"/>
              </w:rPr>
              <w:t xml:space="preserve"> Ratione materia</w:t>
            </w:r>
            <w:r w:rsidR="00EE00E9" w:rsidRPr="00FC14F6">
              <w:rPr>
                <w:rFonts w:ascii="Cambria" w:hAnsi="Cambria"/>
                <w:b/>
                <w:bCs/>
                <w:i/>
                <w:color w:val="FFFFFF" w:themeColor="background1"/>
                <w:sz w:val="20"/>
                <w:szCs w:val="20"/>
              </w:rPr>
              <w:t>e</w:t>
            </w:r>
            <w:r w:rsidRPr="00FC14F6">
              <w:rPr>
                <w:rFonts w:ascii="Cambria" w:hAnsi="Cambria"/>
                <w:b/>
                <w:bCs/>
                <w:color w:val="FFFFFF" w:themeColor="background1"/>
                <w:sz w:val="20"/>
                <w:szCs w:val="20"/>
              </w:rPr>
              <w:t>:</w:t>
            </w:r>
          </w:p>
        </w:tc>
        <w:tc>
          <w:tcPr>
            <w:tcW w:w="5760" w:type="dxa"/>
            <w:vAlign w:val="center"/>
          </w:tcPr>
          <w:p w14:paraId="257C8337" w14:textId="3FD547C8" w:rsidR="003239B8" w:rsidRPr="00FC14F6" w:rsidRDefault="00A004BB" w:rsidP="008D2290">
            <w:pPr>
              <w:jc w:val="both"/>
              <w:rPr>
                <w:rFonts w:ascii="Cambria" w:hAnsi="Cambria"/>
                <w:bCs/>
                <w:sz w:val="20"/>
                <w:szCs w:val="20"/>
                <w:lang w:val="es-ES"/>
              </w:rPr>
            </w:pPr>
            <w:r w:rsidRPr="00FC14F6">
              <w:rPr>
                <w:rFonts w:ascii="Cambria" w:hAnsi="Cambria"/>
                <w:bCs/>
                <w:sz w:val="20"/>
                <w:szCs w:val="20"/>
                <w:lang w:val="es-ES" w:bidi="es-ES"/>
              </w:rPr>
              <w:t xml:space="preserve">Sí, Convención Americana (depósito de instrumento realizado el </w:t>
            </w:r>
            <w:r w:rsidR="008205F3" w:rsidRPr="00FC14F6">
              <w:rPr>
                <w:rFonts w:ascii="Cambria" w:hAnsi="Cambria"/>
                <w:bCs/>
                <w:sz w:val="20"/>
                <w:szCs w:val="20"/>
                <w:lang w:val="es-ES" w:bidi="es-ES"/>
              </w:rPr>
              <w:t>25</w:t>
            </w:r>
            <w:r w:rsidRPr="00FC14F6">
              <w:rPr>
                <w:rFonts w:ascii="Cambria" w:hAnsi="Cambria"/>
                <w:bCs/>
                <w:sz w:val="20"/>
                <w:szCs w:val="20"/>
                <w:lang w:val="es-ES" w:bidi="es-ES"/>
              </w:rPr>
              <w:t xml:space="preserve"> de </w:t>
            </w:r>
            <w:r w:rsidR="008205F3" w:rsidRPr="00FC14F6">
              <w:rPr>
                <w:rFonts w:ascii="Cambria" w:hAnsi="Cambria"/>
                <w:bCs/>
                <w:sz w:val="20"/>
                <w:szCs w:val="20"/>
                <w:lang w:val="es-ES" w:bidi="es-ES"/>
              </w:rPr>
              <w:t>septiembre</w:t>
            </w:r>
            <w:r w:rsidRPr="00FC14F6">
              <w:rPr>
                <w:rFonts w:ascii="Cambria" w:hAnsi="Cambria"/>
                <w:bCs/>
                <w:sz w:val="20"/>
                <w:szCs w:val="20"/>
                <w:lang w:val="es-ES" w:bidi="es-ES"/>
              </w:rPr>
              <w:t xml:space="preserve"> de 19</w:t>
            </w:r>
            <w:r w:rsidR="008205F3" w:rsidRPr="00FC14F6">
              <w:rPr>
                <w:rFonts w:ascii="Cambria" w:hAnsi="Cambria"/>
                <w:bCs/>
                <w:sz w:val="20"/>
                <w:szCs w:val="20"/>
                <w:lang w:val="es-ES" w:bidi="es-ES"/>
              </w:rPr>
              <w:t>92)</w:t>
            </w:r>
            <w:r w:rsidR="00700F50" w:rsidRPr="00FC14F6">
              <w:rPr>
                <w:rFonts w:ascii="Cambria" w:hAnsi="Cambria"/>
                <w:bCs/>
                <w:sz w:val="20"/>
                <w:szCs w:val="20"/>
                <w:lang w:val="es-ES" w:bidi="es-ES"/>
              </w:rPr>
              <w:t xml:space="preserve"> </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3E51E9" w14:paraId="161C8568" w14:textId="77777777" w:rsidTr="000342AB">
        <w:trPr>
          <w:cantSplit/>
        </w:trPr>
        <w:tc>
          <w:tcPr>
            <w:tcW w:w="3563" w:type="dxa"/>
            <w:tcBorders>
              <w:top w:val="single" w:sz="4" w:space="0" w:color="auto"/>
              <w:bottom w:val="single" w:sz="6" w:space="0" w:color="auto"/>
            </w:tcBorders>
            <w:shd w:val="clear" w:color="auto" w:fill="386294"/>
            <w:vAlign w:val="center"/>
          </w:tcPr>
          <w:p w14:paraId="1C72AC6C" w14:textId="77777777" w:rsidR="00EE00E9" w:rsidRPr="00FC14F6" w:rsidRDefault="00EE00E9" w:rsidP="008D2290">
            <w:pPr>
              <w:jc w:val="center"/>
              <w:rPr>
                <w:rFonts w:ascii="Cambria" w:hAnsi="Cambria"/>
                <w:b/>
                <w:bCs/>
                <w:color w:val="FFFFFF" w:themeColor="background1"/>
                <w:sz w:val="20"/>
                <w:szCs w:val="20"/>
                <w:lang w:val="es-ES"/>
              </w:rPr>
            </w:pPr>
            <w:r w:rsidRPr="00FC14F6">
              <w:rPr>
                <w:rFonts w:ascii="Cambria" w:hAnsi="Cambria"/>
                <w:b/>
                <w:bCs/>
                <w:color w:val="FFFFFF" w:themeColor="background1"/>
                <w:sz w:val="20"/>
                <w:szCs w:val="20"/>
                <w:lang w:val="es-ES"/>
              </w:rPr>
              <w:t>Duplicación de procedimientos y cosa juzgada internacional:</w:t>
            </w:r>
          </w:p>
        </w:tc>
        <w:tc>
          <w:tcPr>
            <w:tcW w:w="5679" w:type="dxa"/>
            <w:vAlign w:val="center"/>
          </w:tcPr>
          <w:p w14:paraId="764D7F60" w14:textId="003B40D1" w:rsidR="00EE00E9" w:rsidRPr="00FC14F6" w:rsidRDefault="00A004BB" w:rsidP="008D2290">
            <w:pPr>
              <w:jc w:val="both"/>
              <w:rPr>
                <w:rFonts w:ascii="Cambria" w:hAnsi="Cambria"/>
                <w:bCs/>
                <w:sz w:val="20"/>
                <w:szCs w:val="20"/>
                <w:lang w:val="es-ES"/>
              </w:rPr>
            </w:pPr>
            <w:r w:rsidRPr="00FC14F6">
              <w:rPr>
                <w:rFonts w:ascii="Cambria" w:hAnsi="Cambria"/>
                <w:bCs/>
                <w:sz w:val="20"/>
                <w:szCs w:val="20"/>
                <w:lang w:val="es-ES"/>
              </w:rPr>
              <w:t>No</w:t>
            </w:r>
          </w:p>
        </w:tc>
      </w:tr>
      <w:tr w:rsidR="003239B8" w:rsidRPr="00F30882" w14:paraId="3ED57BF3" w14:textId="77777777" w:rsidTr="000342AB">
        <w:trPr>
          <w:cantSplit/>
        </w:trPr>
        <w:tc>
          <w:tcPr>
            <w:tcW w:w="3563" w:type="dxa"/>
            <w:tcBorders>
              <w:top w:val="single" w:sz="4" w:space="0" w:color="auto"/>
              <w:bottom w:val="single" w:sz="6" w:space="0" w:color="auto"/>
            </w:tcBorders>
            <w:shd w:val="clear" w:color="auto" w:fill="386294"/>
            <w:vAlign w:val="center"/>
          </w:tcPr>
          <w:p w14:paraId="5F36A040" w14:textId="77777777" w:rsidR="003239B8" w:rsidRPr="00FC14F6" w:rsidRDefault="003239B8" w:rsidP="008D2290">
            <w:pPr>
              <w:jc w:val="center"/>
              <w:rPr>
                <w:rFonts w:ascii="Cambria" w:hAnsi="Cambria"/>
                <w:b/>
                <w:bCs/>
                <w:i/>
                <w:color w:val="FFFFFF" w:themeColor="background1"/>
                <w:sz w:val="20"/>
                <w:szCs w:val="20"/>
              </w:rPr>
            </w:pPr>
            <w:r w:rsidRPr="00FC14F6">
              <w:rPr>
                <w:rFonts w:ascii="Cambria" w:hAnsi="Cambria"/>
                <w:b/>
                <w:bCs/>
                <w:color w:val="FFFFFF" w:themeColor="background1"/>
                <w:sz w:val="20"/>
                <w:szCs w:val="20"/>
              </w:rPr>
              <w:t>Derechos declarados admisibles</w:t>
            </w:r>
            <w:r w:rsidRPr="00FC14F6">
              <w:rPr>
                <w:rFonts w:ascii="Cambria" w:hAnsi="Cambria"/>
                <w:b/>
                <w:bCs/>
                <w:i/>
                <w:color w:val="FFFFFF" w:themeColor="background1"/>
                <w:sz w:val="20"/>
                <w:szCs w:val="20"/>
              </w:rPr>
              <w:t>:</w:t>
            </w:r>
          </w:p>
        </w:tc>
        <w:tc>
          <w:tcPr>
            <w:tcW w:w="5679" w:type="dxa"/>
            <w:vAlign w:val="center"/>
          </w:tcPr>
          <w:p w14:paraId="4DAE9D4D" w14:textId="6E15753E" w:rsidR="003239B8" w:rsidRPr="00FC14F6" w:rsidRDefault="002D05F6" w:rsidP="008D2290">
            <w:pPr>
              <w:jc w:val="both"/>
              <w:rPr>
                <w:rFonts w:ascii="Cambria" w:hAnsi="Cambria"/>
                <w:bCs/>
                <w:sz w:val="20"/>
                <w:szCs w:val="20"/>
                <w:lang w:val="es-ES"/>
              </w:rPr>
            </w:pPr>
            <w:r w:rsidRPr="00FC14F6">
              <w:rPr>
                <w:rFonts w:ascii="Cambria" w:hAnsi="Cambria"/>
                <w:bCs/>
                <w:sz w:val="20"/>
                <w:szCs w:val="20"/>
                <w:lang w:val="es-ES" w:bidi="es-ES"/>
              </w:rPr>
              <w:t>Artículos 8 (garantías judiciales)</w:t>
            </w:r>
            <w:r w:rsidR="00DC1B4C" w:rsidRPr="00FC14F6">
              <w:rPr>
                <w:rFonts w:ascii="Cambria" w:hAnsi="Cambria"/>
                <w:bCs/>
                <w:sz w:val="20"/>
                <w:szCs w:val="20"/>
                <w:lang w:val="es-ES" w:bidi="es-ES"/>
              </w:rPr>
              <w:t xml:space="preserve"> </w:t>
            </w:r>
            <w:r w:rsidRPr="00FC14F6">
              <w:rPr>
                <w:rFonts w:ascii="Cambria" w:hAnsi="Cambria"/>
                <w:bCs/>
                <w:sz w:val="20"/>
                <w:szCs w:val="20"/>
                <w:lang w:val="es-ES" w:bidi="es-ES"/>
              </w:rPr>
              <w:t>y 25 (protección judicial)</w:t>
            </w:r>
            <w:r w:rsidR="007246CD">
              <w:rPr>
                <w:rFonts w:ascii="Cambria" w:hAnsi="Cambria"/>
                <w:bCs/>
                <w:sz w:val="20"/>
                <w:szCs w:val="20"/>
                <w:lang w:val="es-ES" w:bidi="es-ES"/>
              </w:rPr>
              <w:t xml:space="preserve"> de la Convención Americana, en relación con su</w:t>
            </w:r>
            <w:r w:rsidR="0093579C">
              <w:rPr>
                <w:rFonts w:ascii="Cambria" w:hAnsi="Cambria"/>
                <w:bCs/>
                <w:sz w:val="20"/>
                <w:szCs w:val="20"/>
                <w:lang w:val="es-ES" w:bidi="es-ES"/>
              </w:rPr>
              <w:t>s</w:t>
            </w:r>
            <w:r w:rsidR="007246CD">
              <w:rPr>
                <w:rFonts w:ascii="Cambria" w:hAnsi="Cambria"/>
                <w:bCs/>
                <w:sz w:val="20"/>
                <w:szCs w:val="20"/>
                <w:lang w:val="es-ES" w:bidi="es-ES"/>
              </w:rPr>
              <w:t xml:space="preserve"> </w:t>
            </w:r>
            <w:r w:rsidRPr="00FC14F6">
              <w:rPr>
                <w:rFonts w:ascii="Cambria" w:hAnsi="Cambria"/>
                <w:bCs/>
                <w:sz w:val="20"/>
                <w:szCs w:val="20"/>
                <w:lang w:val="es-ES" w:bidi="es-ES"/>
              </w:rPr>
              <w:t>artículo</w:t>
            </w:r>
            <w:r w:rsidR="002F1E53">
              <w:rPr>
                <w:rFonts w:ascii="Cambria" w:hAnsi="Cambria"/>
                <w:bCs/>
                <w:sz w:val="20"/>
                <w:szCs w:val="20"/>
                <w:lang w:val="es-ES" w:bidi="es-ES"/>
              </w:rPr>
              <w:t>s</w:t>
            </w:r>
            <w:r w:rsidRPr="00FC14F6">
              <w:rPr>
                <w:rFonts w:ascii="Cambria" w:hAnsi="Cambria"/>
                <w:bCs/>
                <w:sz w:val="20"/>
                <w:szCs w:val="20"/>
                <w:lang w:val="es-ES" w:bidi="es-ES"/>
              </w:rPr>
              <w:t xml:space="preserve"> 1.1 (obligación de respetar los derechos) </w:t>
            </w:r>
            <w:r w:rsidR="002F1E53">
              <w:rPr>
                <w:rFonts w:ascii="Cambria" w:hAnsi="Cambria"/>
                <w:bCs/>
                <w:sz w:val="20"/>
                <w:szCs w:val="20"/>
                <w:lang w:val="es-ES" w:bidi="es-ES"/>
              </w:rPr>
              <w:t>y 2 (deber de adoptar disposiciones de derecho interno)</w:t>
            </w:r>
          </w:p>
        </w:tc>
      </w:tr>
      <w:tr w:rsidR="003239B8" w:rsidRPr="00F30882" w14:paraId="5702249F" w14:textId="77777777" w:rsidTr="000342AB">
        <w:trPr>
          <w:cantSplit/>
        </w:trPr>
        <w:tc>
          <w:tcPr>
            <w:tcW w:w="3563" w:type="dxa"/>
            <w:tcBorders>
              <w:top w:val="single" w:sz="6" w:space="0" w:color="auto"/>
              <w:bottom w:val="single" w:sz="6" w:space="0" w:color="auto"/>
            </w:tcBorders>
            <w:shd w:val="clear" w:color="auto" w:fill="386294"/>
            <w:vAlign w:val="center"/>
          </w:tcPr>
          <w:p w14:paraId="1F00DF1D" w14:textId="77777777" w:rsidR="003239B8" w:rsidRPr="00FC14F6" w:rsidRDefault="003239B8" w:rsidP="008D2290">
            <w:pPr>
              <w:jc w:val="center"/>
              <w:rPr>
                <w:rFonts w:ascii="Cambria" w:hAnsi="Cambria"/>
                <w:b/>
                <w:bCs/>
                <w:color w:val="FFFFFF" w:themeColor="background1"/>
                <w:sz w:val="20"/>
                <w:szCs w:val="20"/>
                <w:lang w:val="es-ES"/>
              </w:rPr>
            </w:pPr>
            <w:r w:rsidRPr="00FC14F6">
              <w:rPr>
                <w:rFonts w:ascii="Cambria" w:hAnsi="Cambria"/>
                <w:b/>
                <w:bCs/>
                <w:color w:val="FFFFFF" w:themeColor="background1"/>
                <w:sz w:val="20"/>
                <w:szCs w:val="20"/>
                <w:lang w:val="es-ES"/>
              </w:rPr>
              <w:t>Agotamiento de recursos internos</w:t>
            </w:r>
            <w:r w:rsidR="00EE00E9" w:rsidRPr="00FC14F6">
              <w:rPr>
                <w:rFonts w:ascii="Cambria" w:hAnsi="Cambria"/>
                <w:b/>
                <w:bCs/>
                <w:color w:val="FFFFFF" w:themeColor="background1"/>
                <w:sz w:val="20"/>
                <w:szCs w:val="20"/>
                <w:lang w:val="es-ES"/>
              </w:rPr>
              <w:t xml:space="preserve"> o procedencia de una excepción</w:t>
            </w:r>
            <w:r w:rsidRPr="00FC14F6">
              <w:rPr>
                <w:rFonts w:ascii="Cambria" w:hAnsi="Cambria"/>
                <w:b/>
                <w:bCs/>
                <w:color w:val="FFFFFF" w:themeColor="background1"/>
                <w:sz w:val="20"/>
                <w:szCs w:val="20"/>
                <w:lang w:val="es-ES"/>
              </w:rPr>
              <w:t>:</w:t>
            </w:r>
          </w:p>
        </w:tc>
        <w:tc>
          <w:tcPr>
            <w:tcW w:w="5679" w:type="dxa"/>
            <w:vAlign w:val="center"/>
          </w:tcPr>
          <w:p w14:paraId="7F7C1A19" w14:textId="4344FD4C" w:rsidR="003239B8" w:rsidRPr="00FC14F6" w:rsidRDefault="00A004BB" w:rsidP="008D2290">
            <w:pPr>
              <w:rPr>
                <w:rFonts w:ascii="Cambria" w:hAnsi="Cambria"/>
                <w:bCs/>
                <w:sz w:val="20"/>
                <w:szCs w:val="20"/>
                <w:lang w:val="es-ES"/>
              </w:rPr>
            </w:pPr>
            <w:r w:rsidRPr="00FC14F6">
              <w:rPr>
                <w:rFonts w:ascii="Cambria" w:hAnsi="Cambria"/>
                <w:bCs/>
                <w:sz w:val="20"/>
                <w:szCs w:val="20"/>
                <w:lang w:val="es-ES" w:bidi="es-ES"/>
              </w:rPr>
              <w:t>Sí</w:t>
            </w:r>
            <w:r w:rsidR="004768E2">
              <w:rPr>
                <w:rFonts w:ascii="Cambria" w:hAnsi="Cambria"/>
                <w:bCs/>
                <w:sz w:val="20"/>
                <w:szCs w:val="20"/>
                <w:lang w:val="es-ES" w:bidi="es-ES"/>
              </w:rPr>
              <w:t xml:space="preserve">, </w:t>
            </w:r>
            <w:r w:rsidR="00B82801" w:rsidRPr="002B3B77">
              <w:rPr>
                <w:rFonts w:ascii="Cambria" w:hAnsi="Cambria"/>
                <w:bCs/>
                <w:sz w:val="20"/>
                <w:szCs w:val="20"/>
                <w:lang w:val="es-ES" w:bidi="es-ES"/>
              </w:rPr>
              <w:t xml:space="preserve">la excepción del artículo 46.2.a) de la Convención, </w:t>
            </w:r>
            <w:r w:rsidR="004768E2" w:rsidRPr="002B3B77">
              <w:rPr>
                <w:rFonts w:ascii="Cambria" w:hAnsi="Cambria"/>
                <w:bCs/>
                <w:sz w:val="20"/>
                <w:szCs w:val="20"/>
                <w:lang w:val="es-ES" w:bidi="es-ES"/>
              </w:rPr>
              <w:t>en los</w:t>
            </w:r>
            <w:r w:rsidR="004768E2" w:rsidRPr="0091191E">
              <w:rPr>
                <w:rFonts w:ascii="Cambria" w:hAnsi="Cambria"/>
                <w:bCs/>
                <w:sz w:val="20"/>
                <w:szCs w:val="20"/>
                <w:lang w:val="es-ES" w:bidi="es-ES"/>
              </w:rPr>
              <w:t xml:space="preserve"> términos de la sección VI</w:t>
            </w:r>
          </w:p>
        </w:tc>
      </w:tr>
      <w:tr w:rsidR="000342AB" w:rsidRPr="00F30882" w14:paraId="7A101B89" w14:textId="77777777" w:rsidTr="000342AB">
        <w:trPr>
          <w:cantSplit/>
        </w:trPr>
        <w:tc>
          <w:tcPr>
            <w:tcW w:w="3563" w:type="dxa"/>
            <w:tcBorders>
              <w:top w:val="single" w:sz="6" w:space="0" w:color="auto"/>
              <w:bottom w:val="single" w:sz="6" w:space="0" w:color="auto"/>
            </w:tcBorders>
            <w:shd w:val="clear" w:color="auto" w:fill="386294"/>
            <w:vAlign w:val="center"/>
          </w:tcPr>
          <w:p w14:paraId="0843C533" w14:textId="77777777" w:rsidR="000342AB" w:rsidRPr="00FC14F6" w:rsidRDefault="000342AB" w:rsidP="000342AB">
            <w:pPr>
              <w:jc w:val="center"/>
              <w:rPr>
                <w:rFonts w:ascii="Cambria" w:hAnsi="Cambria"/>
                <w:b/>
                <w:bCs/>
                <w:color w:val="FFFFFF" w:themeColor="background1"/>
                <w:sz w:val="20"/>
                <w:szCs w:val="20"/>
              </w:rPr>
            </w:pPr>
            <w:r w:rsidRPr="00FC14F6">
              <w:rPr>
                <w:rFonts w:ascii="Cambria" w:hAnsi="Cambria"/>
                <w:b/>
                <w:bCs/>
                <w:color w:val="FFFFFF" w:themeColor="background1"/>
                <w:sz w:val="20"/>
                <w:szCs w:val="20"/>
              </w:rPr>
              <w:t>Presentación dentro de plazo:</w:t>
            </w:r>
          </w:p>
        </w:tc>
        <w:tc>
          <w:tcPr>
            <w:tcW w:w="5679" w:type="dxa"/>
            <w:vAlign w:val="center"/>
          </w:tcPr>
          <w:p w14:paraId="2AF0FC69" w14:textId="625E0F6C" w:rsidR="000342AB" w:rsidRPr="00FC14F6" w:rsidRDefault="004768E2" w:rsidP="000342AB">
            <w:pPr>
              <w:rPr>
                <w:rFonts w:ascii="Cambria" w:hAnsi="Cambria"/>
                <w:bCs/>
                <w:sz w:val="20"/>
                <w:szCs w:val="20"/>
                <w:lang w:val="es-ES"/>
              </w:rPr>
            </w:pPr>
            <w:r w:rsidRPr="0091191E">
              <w:rPr>
                <w:rFonts w:ascii="Cambria" w:hAnsi="Cambria"/>
                <w:bCs/>
                <w:sz w:val="20"/>
                <w:szCs w:val="20"/>
                <w:lang w:val="es-ES" w:bidi="es-ES"/>
              </w:rPr>
              <w:t>Sí, en los términos de la sección VI</w:t>
            </w:r>
          </w:p>
        </w:tc>
      </w:tr>
    </w:tbl>
    <w:p w14:paraId="56FD5D57" w14:textId="2F45A79B" w:rsidR="003239B8" w:rsidRDefault="00223A29" w:rsidP="005D66BE">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2E46FE67" w14:textId="79D126D0" w:rsidR="00487009" w:rsidRPr="005B0995" w:rsidRDefault="00487009" w:rsidP="005D66B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5B0995">
        <w:rPr>
          <w:rFonts w:asciiTheme="majorHAnsi" w:hAnsiTheme="majorHAnsi"/>
          <w:i/>
          <w:iCs/>
          <w:sz w:val="20"/>
          <w:szCs w:val="20"/>
          <w:lang w:val="es-ES"/>
        </w:rPr>
        <w:t>Posición de la parte peticionaria</w:t>
      </w:r>
    </w:p>
    <w:p w14:paraId="239CB576" w14:textId="6DD84BAB" w:rsidR="003C43F7" w:rsidRPr="005B0995" w:rsidRDefault="00DC1B4C" w:rsidP="006B19C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La parte peticionaria</w:t>
      </w:r>
      <w:r w:rsidR="00487009" w:rsidRPr="005B0995">
        <w:rPr>
          <w:rFonts w:asciiTheme="majorHAnsi" w:hAnsiTheme="majorHAnsi"/>
          <w:sz w:val="20"/>
          <w:szCs w:val="20"/>
          <w:lang w:val="es-ES"/>
        </w:rPr>
        <w:t xml:space="preserve"> </w:t>
      </w:r>
      <w:r w:rsidR="006B19CB" w:rsidRPr="005B0995">
        <w:rPr>
          <w:rFonts w:asciiTheme="majorHAnsi" w:hAnsiTheme="majorHAnsi"/>
          <w:sz w:val="20"/>
          <w:szCs w:val="20"/>
          <w:lang w:val="es-ES"/>
        </w:rPr>
        <w:t xml:space="preserve">denuncia que el Supremo Tribunal Federal (en adelante, STF) condenó en instancia única, mediante la Acción Penal No. 470, a </w:t>
      </w:r>
      <w:r w:rsidR="00487009" w:rsidRPr="005B0995">
        <w:rPr>
          <w:rFonts w:asciiTheme="majorHAnsi" w:hAnsiTheme="majorHAnsi"/>
          <w:sz w:val="20"/>
          <w:szCs w:val="20"/>
          <w:lang w:val="es-ES"/>
        </w:rPr>
        <w:t>José Roberto Salgado, Kátia Rabello y Vinicius Samarane</w:t>
      </w:r>
      <w:r w:rsidR="00EC5941" w:rsidRPr="005B0995">
        <w:rPr>
          <w:rFonts w:asciiTheme="majorHAnsi" w:hAnsiTheme="majorHAnsi"/>
          <w:sz w:val="20"/>
          <w:szCs w:val="20"/>
          <w:lang w:val="es-ES"/>
        </w:rPr>
        <w:t>, afectando su derecho a recurrir el fallo condenatorio.</w:t>
      </w:r>
    </w:p>
    <w:p w14:paraId="5345F39D" w14:textId="2ED3B4EB" w:rsidR="006B19CB" w:rsidRPr="005B0995" w:rsidRDefault="006B19CB" w:rsidP="006B19C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5B0995">
        <w:rPr>
          <w:rFonts w:asciiTheme="majorHAnsi" w:hAnsiTheme="majorHAnsi"/>
          <w:i/>
          <w:iCs/>
          <w:sz w:val="20"/>
          <w:szCs w:val="20"/>
          <w:lang w:val="es-ES"/>
        </w:rPr>
        <w:lastRenderedPageBreak/>
        <w:t>Proceso penal y condena de las presuntas víctimas</w:t>
      </w:r>
    </w:p>
    <w:p w14:paraId="40D34E9F" w14:textId="6058A2CC" w:rsidR="00017A2A" w:rsidRPr="005B0995" w:rsidRDefault="00DC4E8A" w:rsidP="005E7E8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La parte peticionaria narra</w:t>
      </w:r>
      <w:r w:rsidR="006B19CB" w:rsidRPr="005B0995">
        <w:rPr>
          <w:rFonts w:asciiTheme="majorHAnsi" w:hAnsiTheme="majorHAnsi"/>
          <w:sz w:val="20"/>
          <w:szCs w:val="20"/>
          <w:lang w:val="es-ES"/>
        </w:rPr>
        <w:t xml:space="preserve"> que</w:t>
      </w:r>
      <w:r w:rsidR="00BC6B3B" w:rsidRPr="005B0995">
        <w:rPr>
          <w:rFonts w:asciiTheme="majorHAnsi" w:hAnsiTheme="majorHAnsi"/>
          <w:sz w:val="20"/>
          <w:szCs w:val="20"/>
          <w:lang w:val="es-ES"/>
        </w:rPr>
        <w:t>,</w:t>
      </w:r>
      <w:r w:rsidR="0009365B" w:rsidRPr="005B0995">
        <w:rPr>
          <w:rFonts w:asciiTheme="majorHAnsi" w:hAnsiTheme="majorHAnsi"/>
          <w:sz w:val="20"/>
          <w:szCs w:val="20"/>
          <w:lang w:val="es-ES"/>
        </w:rPr>
        <w:t xml:space="preserve"> en el marco de la Acción Penal 470</w:t>
      </w:r>
      <w:r w:rsidR="00BC6B3B" w:rsidRPr="005B0995">
        <w:rPr>
          <w:rFonts w:asciiTheme="majorHAnsi" w:hAnsiTheme="majorHAnsi"/>
          <w:sz w:val="20"/>
          <w:szCs w:val="20"/>
          <w:lang w:val="es-ES"/>
        </w:rPr>
        <w:t>,</w:t>
      </w:r>
      <w:r w:rsidR="0009365B" w:rsidRPr="005B0995">
        <w:rPr>
          <w:rFonts w:asciiTheme="majorHAnsi" w:hAnsiTheme="majorHAnsi"/>
          <w:sz w:val="20"/>
          <w:szCs w:val="20"/>
          <w:lang w:val="es-ES"/>
        </w:rPr>
        <w:t xml:space="preserve"> el Ministerio Público </w:t>
      </w:r>
      <w:r w:rsidR="00BC6B3B" w:rsidRPr="005B0995">
        <w:rPr>
          <w:rFonts w:asciiTheme="majorHAnsi" w:hAnsiTheme="majorHAnsi"/>
          <w:sz w:val="20"/>
          <w:szCs w:val="20"/>
          <w:lang w:val="es-ES"/>
        </w:rPr>
        <w:t>imputó</w:t>
      </w:r>
      <w:r w:rsidR="0009365B" w:rsidRPr="005B0995">
        <w:rPr>
          <w:rFonts w:asciiTheme="majorHAnsi" w:hAnsiTheme="majorHAnsi"/>
          <w:sz w:val="20"/>
          <w:szCs w:val="20"/>
          <w:lang w:val="es-ES"/>
        </w:rPr>
        <w:t xml:space="preserve"> a las presuntas víctimas ante el STF por los delitos de lavado de activos, gestión fraudulenta de entidad financiera, evasión de divisas y concierto para delinquir, en el contexto de un largo proceso sobre corrupción que involucró a diputados federales que habrían recibido beneficios indebidos bajo el pretexto de comprar su apoyo político a favor del gobierno federal en el Congreso Nacional. Afirma que las presuntas víctimas fueron imputadas como consecuencia de la presunta implicación del Banco Rural en las alegadas prácticas de corrupción</w:t>
      </w:r>
      <w:r w:rsidR="00364614" w:rsidRPr="005B0995">
        <w:rPr>
          <w:rFonts w:asciiTheme="majorHAnsi" w:hAnsiTheme="majorHAnsi"/>
          <w:sz w:val="20"/>
          <w:szCs w:val="20"/>
          <w:lang w:val="es-ES"/>
        </w:rPr>
        <w:t>;</w:t>
      </w:r>
      <w:r w:rsidR="0009365B" w:rsidRPr="005B0995">
        <w:rPr>
          <w:rFonts w:asciiTheme="majorHAnsi" w:hAnsiTheme="majorHAnsi"/>
          <w:sz w:val="20"/>
          <w:szCs w:val="20"/>
          <w:lang w:val="es-ES"/>
        </w:rPr>
        <w:t xml:space="preserve"> y </w:t>
      </w:r>
      <w:r w:rsidR="00364614" w:rsidRPr="005B0995">
        <w:rPr>
          <w:rFonts w:asciiTheme="majorHAnsi" w:hAnsiTheme="majorHAnsi"/>
          <w:sz w:val="20"/>
          <w:szCs w:val="20"/>
          <w:lang w:val="es-ES"/>
        </w:rPr>
        <w:t>explica</w:t>
      </w:r>
      <w:r w:rsidR="0009365B" w:rsidRPr="005B0995">
        <w:rPr>
          <w:rFonts w:asciiTheme="majorHAnsi" w:hAnsiTheme="majorHAnsi"/>
          <w:sz w:val="20"/>
          <w:szCs w:val="20"/>
          <w:lang w:val="es-ES"/>
        </w:rPr>
        <w:t xml:space="preserve"> la relación de las presuntas víctimas con dicha institución financiera: </w:t>
      </w:r>
      <w:r w:rsidR="00487009" w:rsidRPr="005B0995">
        <w:rPr>
          <w:rFonts w:asciiTheme="majorHAnsi" w:hAnsiTheme="majorHAnsi"/>
          <w:sz w:val="20"/>
          <w:szCs w:val="20"/>
          <w:lang w:val="es-ES"/>
        </w:rPr>
        <w:t>Katia Rabello, hija del fundador, fue la principal accionista de Banco Rural y presidenta de la institución; José Roberto Salgado fue vicepresidente operativo de la institución desde 2004; y Vinícius Samarane era director estatutario de control interno del Banco Rural desde 2004. Además de las presuntas víctimas, también fue denunciada Ayanna Tenório, en ese momento empleada del Banco Rural.</w:t>
      </w:r>
    </w:p>
    <w:p w14:paraId="59CAF57F" w14:textId="5901B092" w:rsidR="00487009" w:rsidRPr="005B0995" w:rsidRDefault="008E41A8" w:rsidP="00430A8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Señala que, a nivel interno, conforme a los términos del artículo 102.I.b de la Constitución de Brasil</w:t>
      </w:r>
      <w:r w:rsidR="002639E9">
        <w:rPr>
          <w:rFonts w:asciiTheme="majorHAnsi" w:hAnsiTheme="majorHAnsi"/>
          <w:sz w:val="20"/>
          <w:szCs w:val="20"/>
          <w:lang w:val="es-ES"/>
        </w:rPr>
        <w:t>,</w:t>
      </w:r>
      <w:r w:rsidRPr="005B0995">
        <w:rPr>
          <w:rStyle w:val="FootnoteReference"/>
          <w:rFonts w:asciiTheme="majorHAnsi" w:hAnsiTheme="majorHAnsi"/>
          <w:bCs/>
          <w:sz w:val="20"/>
          <w:szCs w:val="20"/>
        </w:rPr>
        <w:footnoteReference w:id="4"/>
      </w:r>
      <w:r w:rsidRPr="005B0995">
        <w:rPr>
          <w:rFonts w:asciiTheme="majorHAnsi" w:hAnsiTheme="majorHAnsi"/>
          <w:sz w:val="20"/>
          <w:szCs w:val="20"/>
          <w:lang w:val="es-ES"/>
        </w:rPr>
        <w:t xml:space="preserve"> el STF es competente para juzgar la acción con respecto a los delitos comunes presuntamente cometidos por políticos. Dicha competencia, conocida por las expresiones “prerrogativa de foro o “foro por prerrogativa de función”, excluye la competencia de instancias comunes de la justicia, como los juicios de primera instancia. En el caso de la Acción Penal 470, el STF consideró que la norma era aplicable a todos los imputados. La parte peticionaria señala que solamente tres de los cuarenta imputados eran políticos, y que las presuntas víctimas fueron juzgadas erróneamente en instancia única por el STF. E</w:t>
      </w:r>
      <w:r w:rsidR="00487009" w:rsidRPr="005B0995">
        <w:rPr>
          <w:rFonts w:asciiTheme="majorHAnsi" w:hAnsiTheme="majorHAnsi"/>
          <w:sz w:val="20"/>
          <w:szCs w:val="20"/>
          <w:lang w:val="es-ES"/>
        </w:rPr>
        <w:t>l 9 de noviembre de 2007</w:t>
      </w:r>
      <w:r w:rsidRPr="005B0995">
        <w:rPr>
          <w:rFonts w:asciiTheme="majorHAnsi" w:hAnsiTheme="majorHAnsi"/>
          <w:sz w:val="20"/>
          <w:szCs w:val="20"/>
          <w:lang w:val="es-ES"/>
        </w:rPr>
        <w:t>, informa la parte peticionaria,</w:t>
      </w:r>
      <w:r w:rsidR="00487009" w:rsidRPr="005B0995">
        <w:rPr>
          <w:rFonts w:asciiTheme="majorHAnsi" w:hAnsiTheme="majorHAnsi"/>
          <w:sz w:val="20"/>
          <w:szCs w:val="20"/>
          <w:lang w:val="es-ES"/>
        </w:rPr>
        <w:t xml:space="preserve"> </w:t>
      </w:r>
      <w:r w:rsidR="00D14FB4" w:rsidRPr="005B0995">
        <w:rPr>
          <w:rFonts w:asciiTheme="majorHAnsi" w:hAnsiTheme="majorHAnsi"/>
          <w:sz w:val="20"/>
          <w:szCs w:val="20"/>
          <w:lang w:val="es-ES"/>
        </w:rPr>
        <w:t>el STF</w:t>
      </w:r>
      <w:r w:rsidR="00487009" w:rsidRPr="005B0995">
        <w:rPr>
          <w:rFonts w:asciiTheme="majorHAnsi" w:hAnsiTheme="majorHAnsi"/>
          <w:sz w:val="20"/>
          <w:szCs w:val="20"/>
          <w:lang w:val="es-ES"/>
        </w:rPr>
        <w:t xml:space="preserve"> acogió parcialmente la denuncia contra las presuntas víctimas</w:t>
      </w:r>
      <w:r w:rsidR="00E2060E" w:rsidRPr="005B0995">
        <w:rPr>
          <w:rFonts w:asciiTheme="majorHAnsi" w:hAnsiTheme="majorHAnsi"/>
          <w:sz w:val="20"/>
          <w:szCs w:val="20"/>
          <w:lang w:val="es-ES"/>
        </w:rPr>
        <w:t>,</w:t>
      </w:r>
      <w:r w:rsidR="00556A5A" w:rsidRPr="005B0995">
        <w:rPr>
          <w:rFonts w:asciiTheme="majorHAnsi" w:hAnsiTheme="majorHAnsi"/>
          <w:sz w:val="20"/>
          <w:szCs w:val="20"/>
          <w:lang w:val="es-ES"/>
        </w:rPr>
        <w:t xml:space="preserve"> y tras seguir las diligencias respectivas, </w:t>
      </w:r>
      <w:r w:rsidR="00487009" w:rsidRPr="005B0995">
        <w:rPr>
          <w:rFonts w:asciiTheme="majorHAnsi" w:hAnsiTheme="majorHAnsi"/>
          <w:sz w:val="20"/>
          <w:szCs w:val="20"/>
          <w:lang w:val="es-ES"/>
        </w:rPr>
        <w:t>el 17 de diciembre de 2012</w:t>
      </w:r>
      <w:r w:rsidR="00556A5A" w:rsidRPr="005B0995">
        <w:rPr>
          <w:rFonts w:asciiTheme="majorHAnsi" w:hAnsiTheme="majorHAnsi"/>
          <w:sz w:val="20"/>
          <w:szCs w:val="20"/>
          <w:lang w:val="es-ES"/>
        </w:rPr>
        <w:t xml:space="preserve"> </w:t>
      </w:r>
      <w:r w:rsidR="00F309E3" w:rsidRPr="005B0995">
        <w:rPr>
          <w:rFonts w:asciiTheme="majorHAnsi" w:hAnsiTheme="majorHAnsi"/>
          <w:sz w:val="20"/>
          <w:szCs w:val="20"/>
          <w:lang w:val="es-ES"/>
        </w:rPr>
        <w:t xml:space="preserve">el Pleno del STF </w:t>
      </w:r>
      <w:r w:rsidR="00556A5A" w:rsidRPr="005B0995">
        <w:rPr>
          <w:rFonts w:asciiTheme="majorHAnsi" w:hAnsiTheme="majorHAnsi"/>
          <w:sz w:val="20"/>
          <w:szCs w:val="20"/>
          <w:lang w:val="es-ES"/>
        </w:rPr>
        <w:t>l</w:t>
      </w:r>
      <w:r w:rsidR="00E7793B" w:rsidRPr="005B0995">
        <w:rPr>
          <w:rFonts w:asciiTheme="majorHAnsi" w:hAnsiTheme="majorHAnsi"/>
          <w:sz w:val="20"/>
          <w:szCs w:val="20"/>
          <w:lang w:val="es-ES"/>
        </w:rPr>
        <w:t>a</w:t>
      </w:r>
      <w:r w:rsidR="00556A5A" w:rsidRPr="005B0995">
        <w:rPr>
          <w:rFonts w:asciiTheme="majorHAnsi" w:hAnsiTheme="majorHAnsi"/>
          <w:sz w:val="20"/>
          <w:szCs w:val="20"/>
          <w:lang w:val="es-ES"/>
        </w:rPr>
        <w:t>s condenó en los siguientes términos</w:t>
      </w:r>
      <w:r w:rsidR="00487009" w:rsidRPr="005B0995">
        <w:rPr>
          <w:rFonts w:asciiTheme="majorHAnsi" w:hAnsiTheme="majorHAnsi"/>
          <w:sz w:val="20"/>
          <w:szCs w:val="20"/>
          <w:lang w:val="es-ES"/>
        </w:rPr>
        <w:t>:</w:t>
      </w:r>
    </w:p>
    <w:p w14:paraId="2DED0FEF" w14:textId="47DE89B2" w:rsidR="00D14FB4" w:rsidRPr="005B0995" w:rsidRDefault="00487009" w:rsidP="005D66BE">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r w:rsidRPr="005B0995">
        <w:rPr>
          <w:rFonts w:asciiTheme="majorHAnsi" w:hAnsiTheme="majorHAnsi"/>
          <w:sz w:val="20"/>
          <w:szCs w:val="20"/>
          <w:lang w:val="es-ES"/>
        </w:rPr>
        <w:t xml:space="preserve">Kátia Rabello fue condenada a 5 años y 10 meses de prisión y 166 días multa de 15 salarios mínimos cada uno por lavado de activos; 4 años de prisión y 120 días-multa de 15 salarios mínimos cada uno por </w:t>
      </w:r>
      <w:r w:rsidR="00E81194" w:rsidRPr="005B0995">
        <w:rPr>
          <w:rFonts w:asciiTheme="majorHAnsi" w:hAnsiTheme="majorHAnsi"/>
          <w:sz w:val="20"/>
          <w:szCs w:val="20"/>
          <w:lang w:val="es-ES"/>
        </w:rPr>
        <w:t>gestión fraudulenta</w:t>
      </w:r>
      <w:r w:rsidRPr="005B0995">
        <w:rPr>
          <w:rFonts w:asciiTheme="majorHAnsi" w:hAnsiTheme="majorHAnsi"/>
          <w:sz w:val="20"/>
          <w:szCs w:val="20"/>
          <w:lang w:val="es-ES"/>
        </w:rPr>
        <w:t xml:space="preserve"> de entidad financiera; 4 años y 7 meses de prisión más 100 días multa por la misma cuantía por evasión de divisas; 2 años y 3 meses de prisión por formar una </w:t>
      </w:r>
      <w:r w:rsidR="00D14FB4" w:rsidRPr="005B0995">
        <w:rPr>
          <w:rFonts w:asciiTheme="majorHAnsi" w:hAnsiTheme="majorHAnsi"/>
          <w:sz w:val="20"/>
          <w:szCs w:val="20"/>
          <w:lang w:val="es-ES"/>
        </w:rPr>
        <w:t>pandilla</w:t>
      </w:r>
      <w:r w:rsidR="00487090" w:rsidRPr="005B0995">
        <w:rPr>
          <w:rFonts w:asciiTheme="majorHAnsi" w:hAnsiTheme="majorHAnsi"/>
          <w:sz w:val="20"/>
          <w:szCs w:val="20"/>
          <w:lang w:val="es-ES"/>
        </w:rPr>
        <w:t xml:space="preserve"> (concierto para delinquir)</w:t>
      </w:r>
      <w:r w:rsidRPr="005B0995">
        <w:rPr>
          <w:rFonts w:asciiTheme="majorHAnsi" w:hAnsiTheme="majorHAnsi"/>
          <w:sz w:val="20"/>
          <w:szCs w:val="20"/>
          <w:lang w:val="es-ES"/>
        </w:rPr>
        <w:t>. La pena total fue de 16 años y 8 meses de prisión, con el pago de 386 días multa de 15 salarios mínimos cada uno.</w:t>
      </w:r>
    </w:p>
    <w:p w14:paraId="7EB649B9" w14:textId="77777777" w:rsidR="00D14FB4" w:rsidRPr="005B0995" w:rsidRDefault="00487009" w:rsidP="005D66BE">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r w:rsidRPr="005B0995">
        <w:rPr>
          <w:rFonts w:asciiTheme="majorHAnsi" w:hAnsiTheme="majorHAnsi"/>
          <w:sz w:val="20"/>
          <w:szCs w:val="20"/>
          <w:lang w:val="es-ES"/>
        </w:rPr>
        <w:t>José Roberto Salgado fue condenado a 5 años y 10 meses de prisión, más 166 días y multas de 15 salarios mínimos cada uno por lavado de activos; 4 años de prisión y 120 días multa por igual cuantía por gestión fraudulenta de entidad financiera; 4 años y 7 meses de prisión, más 100 días multa por la misma cuantía por evasión de divisas; y 2 años y 3 meses de prisión por formar una pandilla. La suma de las condenas fue de 16 años y 8 meses de prisión, más 386 días multa de 15 salarios mínimos cada uno.</w:t>
      </w:r>
    </w:p>
    <w:p w14:paraId="373E5C22" w14:textId="0AD0548C" w:rsidR="00487009" w:rsidRPr="005B0995" w:rsidRDefault="00487009" w:rsidP="005D66BE">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r w:rsidRPr="005B0995">
        <w:rPr>
          <w:rFonts w:asciiTheme="majorHAnsi" w:hAnsiTheme="majorHAnsi"/>
          <w:sz w:val="20"/>
          <w:szCs w:val="20"/>
          <w:lang w:val="es-ES"/>
        </w:rPr>
        <w:t xml:space="preserve">Vinícius Samarane fue absuelto de los delitos de evasión de divisas y concierto para delinquir y condenado a 5 años, 3 meses y 10 días de prisión y al pago de 130 días multa por blanqueo de capitales; y 3 años y 6 meses de prisión y 100 días multa por </w:t>
      </w:r>
      <w:r w:rsidR="00E81194" w:rsidRPr="005B0995">
        <w:rPr>
          <w:rFonts w:asciiTheme="majorHAnsi" w:hAnsiTheme="majorHAnsi"/>
          <w:sz w:val="20"/>
          <w:szCs w:val="20"/>
          <w:lang w:val="es-ES"/>
        </w:rPr>
        <w:t xml:space="preserve">gestión fraudulenta </w:t>
      </w:r>
      <w:r w:rsidRPr="005B0995">
        <w:rPr>
          <w:rFonts w:asciiTheme="majorHAnsi" w:hAnsiTheme="majorHAnsi"/>
          <w:sz w:val="20"/>
          <w:szCs w:val="20"/>
          <w:lang w:val="es-ES"/>
        </w:rPr>
        <w:t>de entidad financiera. En total, las condenas suman 8 años, 9 meses y 10 días de prisión, con 230 días de multa.</w:t>
      </w:r>
    </w:p>
    <w:p w14:paraId="754822AC" w14:textId="7961F7D7" w:rsidR="006B19CB" w:rsidRPr="005B0995" w:rsidRDefault="006B19CB" w:rsidP="006B19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20"/>
        <w:jc w:val="both"/>
        <w:rPr>
          <w:rFonts w:asciiTheme="majorHAnsi" w:hAnsiTheme="majorHAnsi"/>
          <w:i/>
          <w:iCs/>
          <w:sz w:val="20"/>
          <w:szCs w:val="20"/>
          <w:lang w:val="es-ES"/>
        </w:rPr>
      </w:pPr>
      <w:r w:rsidRPr="005B0995">
        <w:rPr>
          <w:rFonts w:asciiTheme="majorHAnsi" w:hAnsiTheme="majorHAnsi"/>
          <w:i/>
          <w:iCs/>
          <w:sz w:val="20"/>
          <w:szCs w:val="20"/>
          <w:lang w:val="es-ES"/>
        </w:rPr>
        <w:t>Recursos presentados contra las condenas</w:t>
      </w:r>
    </w:p>
    <w:p w14:paraId="5FC4BAAF" w14:textId="1127201B" w:rsidR="00487090" w:rsidRPr="005B0995" w:rsidRDefault="008262CB" w:rsidP="00CA098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L</w:t>
      </w:r>
      <w:r w:rsidR="00F841D5" w:rsidRPr="005B0995">
        <w:rPr>
          <w:rFonts w:asciiTheme="majorHAnsi" w:hAnsiTheme="majorHAnsi"/>
          <w:sz w:val="20"/>
          <w:szCs w:val="20"/>
          <w:lang w:val="es-ES"/>
        </w:rPr>
        <w:t>a</w:t>
      </w:r>
      <w:r w:rsidR="00487009" w:rsidRPr="005B0995">
        <w:rPr>
          <w:rFonts w:asciiTheme="majorHAnsi" w:hAnsiTheme="majorHAnsi"/>
          <w:sz w:val="20"/>
          <w:szCs w:val="20"/>
          <w:lang w:val="es-ES"/>
        </w:rPr>
        <w:t>s</w:t>
      </w:r>
      <w:r w:rsidR="00F841D5" w:rsidRPr="005B0995">
        <w:rPr>
          <w:rFonts w:asciiTheme="majorHAnsi" w:hAnsiTheme="majorHAnsi"/>
          <w:sz w:val="20"/>
          <w:szCs w:val="20"/>
          <w:lang w:val="es-ES"/>
        </w:rPr>
        <w:t xml:space="preserve"> presuntas víctimas</w:t>
      </w:r>
      <w:r w:rsidR="00487009" w:rsidRPr="005B0995">
        <w:rPr>
          <w:rFonts w:asciiTheme="majorHAnsi" w:hAnsiTheme="majorHAnsi"/>
          <w:sz w:val="20"/>
          <w:szCs w:val="20"/>
          <w:lang w:val="es-ES"/>
        </w:rPr>
        <w:t xml:space="preserve"> interpusieron recursos de aclaración</w:t>
      </w:r>
      <w:r w:rsidR="00487090" w:rsidRPr="005B0995">
        <w:rPr>
          <w:rFonts w:asciiTheme="majorHAnsi" w:hAnsiTheme="majorHAnsi"/>
          <w:sz w:val="20"/>
          <w:szCs w:val="20"/>
          <w:lang w:val="es-ES"/>
        </w:rPr>
        <w:t xml:space="preserve"> [</w:t>
      </w:r>
      <w:r w:rsidR="00487090" w:rsidRPr="005B0995">
        <w:rPr>
          <w:rFonts w:asciiTheme="majorHAnsi" w:hAnsiTheme="majorHAnsi"/>
          <w:i/>
          <w:iCs/>
          <w:sz w:val="20"/>
          <w:szCs w:val="20"/>
          <w:lang w:val="es-ES"/>
        </w:rPr>
        <w:t>embargos de declaração</w:t>
      </w:r>
      <w:r w:rsidR="00487090" w:rsidRPr="005B0995">
        <w:rPr>
          <w:rFonts w:asciiTheme="majorHAnsi" w:hAnsiTheme="majorHAnsi"/>
          <w:sz w:val="20"/>
          <w:szCs w:val="20"/>
          <w:lang w:val="es-ES"/>
        </w:rPr>
        <w:t>]</w:t>
      </w:r>
      <w:r w:rsidR="008E41A8" w:rsidRPr="005B0995">
        <w:rPr>
          <w:rFonts w:asciiTheme="majorHAnsi" w:hAnsiTheme="majorHAnsi"/>
          <w:sz w:val="20"/>
          <w:szCs w:val="20"/>
          <w:lang w:val="es-ES"/>
        </w:rPr>
        <w:t>. Sin embargo, el STF rechazó los recursos</w:t>
      </w:r>
      <w:r w:rsidR="00487009" w:rsidRPr="005B0995">
        <w:rPr>
          <w:rFonts w:asciiTheme="majorHAnsi" w:hAnsiTheme="majorHAnsi"/>
          <w:sz w:val="20"/>
          <w:szCs w:val="20"/>
          <w:lang w:val="es-ES"/>
        </w:rPr>
        <w:t xml:space="preserve"> por unanimidad en decisión publicada el 9 de octubre de 2013.</w:t>
      </w:r>
      <w:r w:rsidR="008936D5" w:rsidRPr="005B0995">
        <w:rPr>
          <w:rFonts w:asciiTheme="majorHAnsi" w:hAnsiTheme="majorHAnsi"/>
          <w:sz w:val="20"/>
          <w:szCs w:val="20"/>
          <w:lang w:val="es-ES"/>
        </w:rPr>
        <w:t xml:space="preserve"> Según </w:t>
      </w:r>
      <w:r w:rsidR="00EB3B4F" w:rsidRPr="005B0995">
        <w:rPr>
          <w:rFonts w:asciiTheme="majorHAnsi" w:hAnsiTheme="majorHAnsi"/>
          <w:sz w:val="20"/>
          <w:szCs w:val="20"/>
          <w:lang w:val="es-ES"/>
        </w:rPr>
        <w:t>el STF</w:t>
      </w:r>
      <w:r w:rsidR="008936D5" w:rsidRPr="005B0995">
        <w:rPr>
          <w:rFonts w:asciiTheme="majorHAnsi" w:hAnsiTheme="majorHAnsi"/>
          <w:sz w:val="20"/>
          <w:szCs w:val="20"/>
          <w:lang w:val="es-ES"/>
        </w:rPr>
        <w:t>, en resumen, la decisión impugnada no tenía aspectos a aclarar, y el recurso de aclaración no puede ser utilizado como recurso de apelación.</w:t>
      </w:r>
      <w:r w:rsidR="00487009" w:rsidRPr="005B0995">
        <w:rPr>
          <w:rFonts w:asciiTheme="majorHAnsi" w:hAnsiTheme="majorHAnsi"/>
          <w:sz w:val="20"/>
          <w:szCs w:val="20"/>
          <w:lang w:val="es-ES"/>
        </w:rPr>
        <w:t xml:space="preserve"> </w:t>
      </w:r>
      <w:r w:rsidR="00F841D5" w:rsidRPr="005B0995">
        <w:rPr>
          <w:rFonts w:asciiTheme="majorHAnsi" w:hAnsiTheme="majorHAnsi"/>
          <w:sz w:val="20"/>
          <w:szCs w:val="20"/>
          <w:lang w:val="es-ES"/>
        </w:rPr>
        <w:t>Tras ello</w:t>
      </w:r>
      <w:r w:rsidR="00487009" w:rsidRPr="005B0995">
        <w:rPr>
          <w:rFonts w:asciiTheme="majorHAnsi" w:hAnsiTheme="majorHAnsi"/>
          <w:sz w:val="20"/>
          <w:szCs w:val="20"/>
          <w:lang w:val="es-ES"/>
        </w:rPr>
        <w:t>,</w:t>
      </w:r>
      <w:r w:rsidR="00F841D5" w:rsidRPr="005B0995">
        <w:rPr>
          <w:rFonts w:asciiTheme="majorHAnsi" w:hAnsiTheme="majorHAnsi"/>
          <w:sz w:val="20"/>
          <w:szCs w:val="20"/>
          <w:lang w:val="es-ES"/>
        </w:rPr>
        <w:t xml:space="preserve"> </w:t>
      </w:r>
      <w:r w:rsidR="00556A5A" w:rsidRPr="005B0995">
        <w:rPr>
          <w:rFonts w:asciiTheme="majorHAnsi" w:hAnsiTheme="majorHAnsi"/>
          <w:sz w:val="20"/>
          <w:szCs w:val="20"/>
          <w:lang w:val="es-ES"/>
        </w:rPr>
        <w:t xml:space="preserve">el señor </w:t>
      </w:r>
      <w:r w:rsidR="00487009" w:rsidRPr="005B0995">
        <w:rPr>
          <w:rFonts w:asciiTheme="majorHAnsi" w:hAnsiTheme="majorHAnsi"/>
          <w:sz w:val="20"/>
          <w:szCs w:val="20"/>
          <w:lang w:val="es-ES"/>
        </w:rPr>
        <w:t xml:space="preserve">Vinícius Samarane interpuso </w:t>
      </w:r>
      <w:r w:rsidR="00F841D5" w:rsidRPr="005B0995">
        <w:rPr>
          <w:rFonts w:asciiTheme="majorHAnsi" w:hAnsiTheme="majorHAnsi"/>
          <w:sz w:val="20"/>
          <w:szCs w:val="20"/>
          <w:lang w:val="es-ES"/>
        </w:rPr>
        <w:t xml:space="preserve">un </w:t>
      </w:r>
      <w:r w:rsidR="00D14FB4" w:rsidRPr="005B0995">
        <w:rPr>
          <w:rFonts w:asciiTheme="majorHAnsi" w:hAnsiTheme="majorHAnsi"/>
          <w:sz w:val="20"/>
          <w:szCs w:val="20"/>
          <w:lang w:val="es-ES"/>
        </w:rPr>
        <w:t>recurso colegiado [</w:t>
      </w:r>
      <w:r w:rsidR="00D14FB4" w:rsidRPr="005B0995">
        <w:rPr>
          <w:rFonts w:asciiTheme="majorHAnsi" w:hAnsiTheme="majorHAnsi"/>
          <w:i/>
          <w:iCs/>
          <w:sz w:val="20"/>
          <w:szCs w:val="20"/>
          <w:lang w:val="es-ES"/>
        </w:rPr>
        <w:t>embargos infringentes</w:t>
      </w:r>
      <w:r w:rsidR="00D14FB4" w:rsidRPr="005B0995">
        <w:rPr>
          <w:rFonts w:asciiTheme="majorHAnsi" w:hAnsiTheme="majorHAnsi"/>
          <w:sz w:val="20"/>
          <w:szCs w:val="20"/>
          <w:lang w:val="es-ES"/>
        </w:rPr>
        <w:t>]</w:t>
      </w:r>
      <w:r w:rsidR="00487009" w:rsidRPr="005B0995">
        <w:rPr>
          <w:rFonts w:asciiTheme="majorHAnsi" w:hAnsiTheme="majorHAnsi"/>
          <w:sz w:val="20"/>
          <w:szCs w:val="20"/>
          <w:lang w:val="es-ES"/>
        </w:rPr>
        <w:t xml:space="preserve">, </w:t>
      </w:r>
      <w:r w:rsidR="00681F9F" w:rsidRPr="005B0995">
        <w:rPr>
          <w:rFonts w:asciiTheme="majorHAnsi" w:hAnsiTheme="majorHAnsi"/>
          <w:sz w:val="20"/>
          <w:szCs w:val="20"/>
          <w:lang w:val="es-ES"/>
        </w:rPr>
        <w:t xml:space="preserve">inadmitido por el </w:t>
      </w:r>
      <w:r w:rsidR="00556A5A" w:rsidRPr="005B0995">
        <w:rPr>
          <w:rFonts w:asciiTheme="majorHAnsi" w:hAnsiTheme="majorHAnsi"/>
          <w:sz w:val="20"/>
          <w:szCs w:val="20"/>
          <w:lang w:val="es-ES"/>
        </w:rPr>
        <w:t>magistrado Joaquim Barbosa</w:t>
      </w:r>
      <w:r w:rsidR="008E41A8" w:rsidRPr="005B0995">
        <w:rPr>
          <w:rFonts w:asciiTheme="majorHAnsi" w:hAnsiTheme="majorHAnsi"/>
          <w:sz w:val="20"/>
          <w:szCs w:val="20"/>
          <w:lang w:val="es-ES"/>
        </w:rPr>
        <w:t>, del STF</w:t>
      </w:r>
      <w:r w:rsidR="00556A5A" w:rsidRPr="005B0995">
        <w:rPr>
          <w:rFonts w:asciiTheme="majorHAnsi" w:hAnsiTheme="majorHAnsi"/>
          <w:sz w:val="20"/>
          <w:szCs w:val="20"/>
          <w:lang w:val="es-ES"/>
        </w:rPr>
        <w:t>.</w:t>
      </w:r>
      <w:r w:rsidR="008936D5" w:rsidRPr="005B0995">
        <w:rPr>
          <w:rFonts w:asciiTheme="majorHAnsi" w:hAnsiTheme="majorHAnsi"/>
          <w:sz w:val="20"/>
          <w:szCs w:val="20"/>
          <w:lang w:val="es-ES"/>
        </w:rPr>
        <w:t xml:space="preserve"> </w:t>
      </w:r>
      <w:r w:rsidR="00556A5A" w:rsidRPr="005B0995">
        <w:rPr>
          <w:rFonts w:asciiTheme="majorHAnsi" w:hAnsiTheme="majorHAnsi"/>
          <w:sz w:val="20"/>
          <w:szCs w:val="20"/>
          <w:lang w:val="es-ES"/>
        </w:rPr>
        <w:t>Ante ello</w:t>
      </w:r>
      <w:r w:rsidR="00487009" w:rsidRPr="005B0995">
        <w:rPr>
          <w:rFonts w:asciiTheme="majorHAnsi" w:hAnsiTheme="majorHAnsi"/>
          <w:sz w:val="20"/>
          <w:szCs w:val="20"/>
          <w:lang w:val="es-ES"/>
        </w:rPr>
        <w:t>,</w:t>
      </w:r>
      <w:r w:rsidR="00556A5A" w:rsidRPr="005B0995">
        <w:rPr>
          <w:rFonts w:asciiTheme="majorHAnsi" w:hAnsiTheme="majorHAnsi"/>
          <w:sz w:val="20"/>
          <w:szCs w:val="20"/>
          <w:lang w:val="es-ES"/>
        </w:rPr>
        <w:t xml:space="preserve"> dicha presunta víctima</w:t>
      </w:r>
      <w:r w:rsidR="00487009" w:rsidRPr="005B0995">
        <w:rPr>
          <w:rFonts w:asciiTheme="majorHAnsi" w:hAnsiTheme="majorHAnsi"/>
          <w:sz w:val="20"/>
          <w:szCs w:val="20"/>
          <w:lang w:val="es-ES"/>
        </w:rPr>
        <w:t xml:space="preserve"> interpuso recurso de casación reglamentario</w:t>
      </w:r>
      <w:r w:rsidR="00D14FB4" w:rsidRPr="005B0995">
        <w:rPr>
          <w:rFonts w:asciiTheme="majorHAnsi" w:hAnsiTheme="majorHAnsi"/>
          <w:sz w:val="20"/>
          <w:szCs w:val="20"/>
          <w:lang w:val="es-ES"/>
        </w:rPr>
        <w:t xml:space="preserve"> [</w:t>
      </w:r>
      <w:r w:rsidR="00D14FB4" w:rsidRPr="005B0995">
        <w:rPr>
          <w:rFonts w:asciiTheme="majorHAnsi" w:hAnsiTheme="majorHAnsi"/>
          <w:i/>
          <w:iCs/>
          <w:sz w:val="20"/>
          <w:szCs w:val="20"/>
          <w:lang w:val="es-ES"/>
        </w:rPr>
        <w:t>agravo regimental</w:t>
      </w:r>
      <w:r w:rsidR="00D14FB4" w:rsidRPr="005B0995">
        <w:rPr>
          <w:rFonts w:asciiTheme="majorHAnsi" w:hAnsiTheme="majorHAnsi"/>
          <w:sz w:val="20"/>
          <w:szCs w:val="20"/>
          <w:lang w:val="es-ES"/>
        </w:rPr>
        <w:t>]</w:t>
      </w:r>
      <w:r w:rsidR="00487009" w:rsidRPr="005B0995">
        <w:rPr>
          <w:rFonts w:asciiTheme="majorHAnsi" w:hAnsiTheme="majorHAnsi"/>
          <w:sz w:val="20"/>
          <w:szCs w:val="20"/>
          <w:lang w:val="es-ES"/>
        </w:rPr>
        <w:t>, rechazado</w:t>
      </w:r>
      <w:r w:rsidR="00723823" w:rsidRPr="005B0995">
        <w:rPr>
          <w:rFonts w:asciiTheme="majorHAnsi" w:hAnsiTheme="majorHAnsi"/>
          <w:sz w:val="20"/>
          <w:szCs w:val="20"/>
          <w:lang w:val="es-ES"/>
        </w:rPr>
        <w:t xml:space="preserve"> por el STF</w:t>
      </w:r>
      <w:r w:rsidR="00487009" w:rsidRPr="005B0995">
        <w:rPr>
          <w:rFonts w:asciiTheme="majorHAnsi" w:hAnsiTheme="majorHAnsi"/>
          <w:sz w:val="20"/>
          <w:szCs w:val="20"/>
          <w:lang w:val="es-ES"/>
        </w:rPr>
        <w:t xml:space="preserve"> el 13 de febrero </w:t>
      </w:r>
      <w:r w:rsidR="00487009" w:rsidRPr="005B0995">
        <w:rPr>
          <w:rFonts w:asciiTheme="majorHAnsi" w:hAnsiTheme="majorHAnsi"/>
          <w:sz w:val="20"/>
          <w:szCs w:val="20"/>
          <w:lang w:val="es-ES"/>
        </w:rPr>
        <w:lastRenderedPageBreak/>
        <w:t>de 201</w:t>
      </w:r>
      <w:r w:rsidR="00E60D76" w:rsidRPr="005B0995">
        <w:rPr>
          <w:rFonts w:asciiTheme="majorHAnsi" w:hAnsiTheme="majorHAnsi"/>
          <w:sz w:val="20"/>
          <w:szCs w:val="20"/>
          <w:lang w:val="es-ES"/>
        </w:rPr>
        <w:t>4</w:t>
      </w:r>
      <w:r w:rsidR="00487009" w:rsidRPr="005B0995">
        <w:rPr>
          <w:rFonts w:asciiTheme="majorHAnsi" w:hAnsiTheme="majorHAnsi"/>
          <w:sz w:val="20"/>
          <w:szCs w:val="20"/>
          <w:lang w:val="es-ES"/>
        </w:rPr>
        <w:t>, generando una decisión firme e inapelable sobre la acción contra el Sr. Samarane.</w:t>
      </w:r>
      <w:r w:rsidR="00487090" w:rsidRPr="005B0995">
        <w:rPr>
          <w:rFonts w:asciiTheme="majorHAnsi" w:hAnsiTheme="majorHAnsi"/>
          <w:sz w:val="20"/>
          <w:szCs w:val="20"/>
          <w:lang w:val="es-ES"/>
        </w:rPr>
        <w:t xml:space="preserve"> </w:t>
      </w:r>
      <w:r w:rsidR="00556A5A" w:rsidRPr="005B0995">
        <w:rPr>
          <w:rFonts w:asciiTheme="majorHAnsi" w:hAnsiTheme="majorHAnsi"/>
          <w:sz w:val="20"/>
          <w:szCs w:val="20"/>
          <w:lang w:val="es-ES"/>
        </w:rPr>
        <w:t xml:space="preserve">Por su parte la señora </w:t>
      </w:r>
      <w:r w:rsidR="00487009" w:rsidRPr="005B0995">
        <w:rPr>
          <w:rFonts w:asciiTheme="majorHAnsi" w:hAnsiTheme="majorHAnsi"/>
          <w:sz w:val="20"/>
          <w:szCs w:val="20"/>
          <w:lang w:val="es-ES"/>
        </w:rPr>
        <w:t>Kátia Rabello y</w:t>
      </w:r>
      <w:r w:rsidR="00556A5A" w:rsidRPr="005B0995">
        <w:rPr>
          <w:rFonts w:asciiTheme="majorHAnsi" w:hAnsiTheme="majorHAnsi"/>
          <w:sz w:val="20"/>
          <w:szCs w:val="20"/>
          <w:lang w:val="es-ES"/>
        </w:rPr>
        <w:t xml:space="preserve"> el señor</w:t>
      </w:r>
      <w:r w:rsidR="00487009" w:rsidRPr="005B0995">
        <w:rPr>
          <w:rFonts w:asciiTheme="majorHAnsi" w:hAnsiTheme="majorHAnsi"/>
          <w:sz w:val="20"/>
          <w:szCs w:val="20"/>
          <w:lang w:val="es-ES"/>
        </w:rPr>
        <w:t xml:space="preserve"> José Roberto Salgado interpusieron, </w:t>
      </w:r>
      <w:r w:rsidR="00D14FB4" w:rsidRPr="005B0995">
        <w:rPr>
          <w:rFonts w:asciiTheme="majorHAnsi" w:hAnsiTheme="majorHAnsi"/>
          <w:sz w:val="20"/>
          <w:szCs w:val="20"/>
          <w:lang w:val="es-ES"/>
        </w:rPr>
        <w:t>a su turno</w:t>
      </w:r>
      <w:r w:rsidR="00487009" w:rsidRPr="005B0995">
        <w:rPr>
          <w:rFonts w:asciiTheme="majorHAnsi" w:hAnsiTheme="majorHAnsi"/>
          <w:sz w:val="20"/>
          <w:szCs w:val="20"/>
          <w:lang w:val="es-ES"/>
        </w:rPr>
        <w:t xml:space="preserve">, </w:t>
      </w:r>
      <w:r w:rsidR="00D14FB4" w:rsidRPr="005B0995">
        <w:rPr>
          <w:rFonts w:asciiTheme="majorHAnsi" w:hAnsiTheme="majorHAnsi"/>
          <w:sz w:val="20"/>
          <w:szCs w:val="20"/>
          <w:lang w:val="es-ES"/>
        </w:rPr>
        <w:t>recursos colegiados</w:t>
      </w:r>
      <w:r w:rsidR="003B6684" w:rsidRPr="005B0995">
        <w:rPr>
          <w:rFonts w:asciiTheme="majorHAnsi" w:hAnsiTheme="majorHAnsi"/>
          <w:sz w:val="20"/>
          <w:szCs w:val="20"/>
          <w:lang w:val="es-ES"/>
        </w:rPr>
        <w:t xml:space="preserve"> y</w:t>
      </w:r>
      <w:r w:rsidR="00893184" w:rsidRPr="005B0995">
        <w:rPr>
          <w:rFonts w:asciiTheme="majorHAnsi" w:hAnsiTheme="majorHAnsi"/>
          <w:sz w:val="20"/>
          <w:szCs w:val="20"/>
          <w:lang w:val="es-ES"/>
        </w:rPr>
        <w:t>, p</w:t>
      </w:r>
      <w:r w:rsidR="00556A5A" w:rsidRPr="005B0995">
        <w:rPr>
          <w:rFonts w:asciiTheme="majorHAnsi" w:hAnsiTheme="majorHAnsi"/>
          <w:sz w:val="20"/>
          <w:szCs w:val="20"/>
          <w:lang w:val="es-ES"/>
        </w:rPr>
        <w:t>roducto de ello, el 27 de febrero de 201</w:t>
      </w:r>
      <w:r w:rsidR="00681F9F" w:rsidRPr="005B0995">
        <w:rPr>
          <w:rFonts w:asciiTheme="majorHAnsi" w:hAnsiTheme="majorHAnsi"/>
          <w:sz w:val="20"/>
          <w:szCs w:val="20"/>
          <w:lang w:val="es-ES"/>
        </w:rPr>
        <w:t>4</w:t>
      </w:r>
      <w:r w:rsidR="00556A5A" w:rsidRPr="005B0995">
        <w:rPr>
          <w:rFonts w:asciiTheme="majorHAnsi" w:hAnsiTheme="majorHAnsi"/>
          <w:sz w:val="20"/>
          <w:szCs w:val="20"/>
          <w:lang w:val="es-ES"/>
        </w:rPr>
        <w:t xml:space="preserve"> el STF los absolvió </w:t>
      </w:r>
      <w:r w:rsidR="00893184" w:rsidRPr="005B0995">
        <w:rPr>
          <w:rFonts w:asciiTheme="majorHAnsi" w:hAnsiTheme="majorHAnsi"/>
          <w:sz w:val="20"/>
          <w:szCs w:val="20"/>
          <w:lang w:val="es-ES"/>
        </w:rPr>
        <w:t xml:space="preserve">únicamente </w:t>
      </w:r>
      <w:r w:rsidR="00556A5A" w:rsidRPr="005B0995">
        <w:rPr>
          <w:rFonts w:asciiTheme="majorHAnsi" w:hAnsiTheme="majorHAnsi"/>
          <w:sz w:val="20"/>
          <w:szCs w:val="20"/>
          <w:lang w:val="es-ES"/>
        </w:rPr>
        <w:t>en relación</w:t>
      </w:r>
      <w:r w:rsidR="00487090" w:rsidRPr="005B0995">
        <w:rPr>
          <w:rFonts w:asciiTheme="majorHAnsi" w:hAnsiTheme="majorHAnsi"/>
          <w:sz w:val="20"/>
          <w:szCs w:val="20"/>
          <w:lang w:val="es-ES"/>
        </w:rPr>
        <w:t xml:space="preserve"> con el delito de formación de pandilla.</w:t>
      </w:r>
      <w:r w:rsidR="00556A5A" w:rsidRPr="005B0995">
        <w:rPr>
          <w:rFonts w:asciiTheme="majorHAnsi" w:hAnsiTheme="majorHAnsi"/>
          <w:sz w:val="20"/>
          <w:szCs w:val="20"/>
          <w:lang w:val="es-ES"/>
        </w:rPr>
        <w:t xml:space="preserve"> En consecuencia, l</w:t>
      </w:r>
      <w:r w:rsidR="00487090" w:rsidRPr="005B0995">
        <w:rPr>
          <w:rFonts w:asciiTheme="majorHAnsi" w:hAnsiTheme="majorHAnsi"/>
          <w:sz w:val="20"/>
          <w:szCs w:val="20"/>
          <w:lang w:val="es-ES"/>
        </w:rPr>
        <w:t xml:space="preserve">as penas finales para ambos </w:t>
      </w:r>
      <w:r w:rsidR="00556A5A" w:rsidRPr="005B0995">
        <w:rPr>
          <w:rFonts w:asciiTheme="majorHAnsi" w:hAnsiTheme="majorHAnsi"/>
          <w:sz w:val="20"/>
          <w:szCs w:val="20"/>
          <w:lang w:val="es-ES"/>
        </w:rPr>
        <w:t>quedaron</w:t>
      </w:r>
      <w:r w:rsidR="00487090" w:rsidRPr="005B0995">
        <w:rPr>
          <w:rFonts w:asciiTheme="majorHAnsi" w:hAnsiTheme="majorHAnsi"/>
          <w:sz w:val="20"/>
          <w:szCs w:val="20"/>
          <w:lang w:val="es-ES"/>
        </w:rPr>
        <w:t xml:space="preserve"> fijadas en 14 años 5 meses de prisión y 386 días-multa. </w:t>
      </w:r>
    </w:p>
    <w:p w14:paraId="203F48EE" w14:textId="058CD22C" w:rsidR="00893184" w:rsidRPr="005B0995" w:rsidRDefault="00893184" w:rsidP="0089318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5B0995">
        <w:rPr>
          <w:rFonts w:asciiTheme="majorHAnsi" w:hAnsiTheme="majorHAnsi"/>
          <w:i/>
          <w:iCs/>
          <w:sz w:val="20"/>
          <w:szCs w:val="20"/>
          <w:lang w:val="es-ES"/>
        </w:rPr>
        <w:t>Encarcelamiento de las presuntas víctimas</w:t>
      </w:r>
    </w:p>
    <w:p w14:paraId="7AAC585E" w14:textId="73AD50A2" w:rsidR="00487090" w:rsidRPr="005B0995" w:rsidRDefault="00487090" w:rsidP="00681F9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Kátia Rabello y José Roberto Salgado t</w:t>
      </w:r>
      <w:r w:rsidR="00105871" w:rsidRPr="005B0995">
        <w:rPr>
          <w:rFonts w:asciiTheme="majorHAnsi" w:hAnsiTheme="majorHAnsi"/>
          <w:sz w:val="20"/>
          <w:szCs w:val="20"/>
          <w:lang w:val="es-ES"/>
        </w:rPr>
        <w:t>uvieron emitidas</w:t>
      </w:r>
      <w:r w:rsidRPr="005B0995">
        <w:rPr>
          <w:rFonts w:asciiTheme="majorHAnsi" w:hAnsiTheme="majorHAnsi"/>
          <w:sz w:val="20"/>
          <w:szCs w:val="20"/>
          <w:lang w:val="es-ES"/>
        </w:rPr>
        <w:t xml:space="preserve"> sus órdenes de aprehensión y fueron detenidos el 15 de noviembre de 2013, </w:t>
      </w:r>
      <w:r w:rsidR="00105871" w:rsidRPr="005B0995">
        <w:rPr>
          <w:rFonts w:asciiTheme="majorHAnsi" w:hAnsiTheme="majorHAnsi"/>
          <w:sz w:val="20"/>
          <w:szCs w:val="20"/>
          <w:lang w:val="es-ES"/>
        </w:rPr>
        <w:t xml:space="preserve">feriado </w:t>
      </w:r>
      <w:r w:rsidRPr="005B0995">
        <w:rPr>
          <w:rFonts w:asciiTheme="majorHAnsi" w:hAnsiTheme="majorHAnsi"/>
          <w:sz w:val="20"/>
          <w:szCs w:val="20"/>
          <w:lang w:val="es-ES"/>
        </w:rPr>
        <w:t xml:space="preserve">nacional </w:t>
      </w:r>
      <w:r w:rsidR="00105871" w:rsidRPr="005B0995">
        <w:rPr>
          <w:rFonts w:asciiTheme="majorHAnsi" w:hAnsiTheme="majorHAnsi"/>
          <w:sz w:val="20"/>
          <w:szCs w:val="20"/>
          <w:lang w:val="es-ES"/>
        </w:rPr>
        <w:t>de</w:t>
      </w:r>
      <w:r w:rsidRPr="005B0995">
        <w:rPr>
          <w:rFonts w:asciiTheme="majorHAnsi" w:hAnsiTheme="majorHAnsi"/>
          <w:sz w:val="20"/>
          <w:szCs w:val="20"/>
          <w:lang w:val="es-ES"/>
        </w:rPr>
        <w:t xml:space="preserve"> día de la Proclamación de la República. </w:t>
      </w:r>
      <w:r w:rsidR="0032109E" w:rsidRPr="005B0995">
        <w:rPr>
          <w:rFonts w:asciiTheme="majorHAnsi" w:hAnsiTheme="majorHAnsi"/>
          <w:sz w:val="20"/>
          <w:szCs w:val="20"/>
          <w:lang w:val="es-ES"/>
        </w:rPr>
        <w:t>A</w:t>
      </w:r>
      <w:r w:rsidR="00681F9F" w:rsidRPr="005B0995">
        <w:rPr>
          <w:rFonts w:asciiTheme="majorHAnsi" w:hAnsiTheme="majorHAnsi"/>
          <w:sz w:val="20"/>
          <w:szCs w:val="20"/>
          <w:lang w:val="es-ES"/>
        </w:rPr>
        <w:t>l</w:t>
      </w:r>
      <w:r w:rsidRPr="005B0995">
        <w:rPr>
          <w:rFonts w:asciiTheme="majorHAnsi" w:hAnsiTheme="majorHAnsi"/>
          <w:sz w:val="20"/>
          <w:szCs w:val="20"/>
          <w:lang w:val="es-ES"/>
        </w:rPr>
        <w:t xml:space="preserve"> momento de presentar </w:t>
      </w:r>
      <w:r w:rsidR="00A42DE9" w:rsidRPr="005B0995">
        <w:rPr>
          <w:rFonts w:asciiTheme="majorHAnsi" w:hAnsiTheme="majorHAnsi"/>
          <w:sz w:val="20"/>
          <w:szCs w:val="20"/>
          <w:lang w:val="es-ES"/>
        </w:rPr>
        <w:t>esta</w:t>
      </w:r>
      <w:r w:rsidRPr="005B0995">
        <w:rPr>
          <w:rFonts w:asciiTheme="majorHAnsi" w:hAnsiTheme="majorHAnsi"/>
          <w:sz w:val="20"/>
          <w:szCs w:val="20"/>
          <w:lang w:val="es-ES"/>
        </w:rPr>
        <w:t xml:space="preserve"> petición, </w:t>
      </w:r>
      <w:r w:rsidR="00A42DE9" w:rsidRPr="005B0995">
        <w:rPr>
          <w:rFonts w:asciiTheme="majorHAnsi" w:hAnsiTheme="majorHAnsi"/>
          <w:sz w:val="20"/>
          <w:szCs w:val="20"/>
          <w:lang w:val="es-ES"/>
        </w:rPr>
        <w:t xml:space="preserve">la señora </w:t>
      </w:r>
      <w:r w:rsidRPr="005B0995">
        <w:rPr>
          <w:rFonts w:asciiTheme="majorHAnsi" w:hAnsiTheme="majorHAnsi"/>
          <w:sz w:val="20"/>
          <w:szCs w:val="20"/>
          <w:lang w:val="es-ES"/>
        </w:rPr>
        <w:t>Kátia</w:t>
      </w:r>
      <w:r w:rsidR="00A42DE9" w:rsidRPr="005B0995">
        <w:rPr>
          <w:rFonts w:asciiTheme="majorHAnsi" w:hAnsiTheme="majorHAnsi"/>
          <w:sz w:val="20"/>
          <w:szCs w:val="20"/>
          <w:lang w:val="es-ES"/>
        </w:rPr>
        <w:t xml:space="preserve"> Rabello</w:t>
      </w:r>
      <w:r w:rsidRPr="005B0995">
        <w:rPr>
          <w:rFonts w:asciiTheme="majorHAnsi" w:hAnsiTheme="majorHAnsi"/>
          <w:sz w:val="20"/>
          <w:szCs w:val="20"/>
          <w:lang w:val="es-ES"/>
        </w:rPr>
        <w:t xml:space="preserve"> se encontraba recluida en la penitenciaría Estevão Pinto en Belo Horizonte, Minas Gerais</w:t>
      </w:r>
      <w:r w:rsidR="00105871" w:rsidRPr="005B0995">
        <w:rPr>
          <w:rFonts w:asciiTheme="majorHAnsi" w:hAnsiTheme="majorHAnsi"/>
          <w:sz w:val="20"/>
          <w:szCs w:val="20"/>
          <w:lang w:val="es-ES"/>
        </w:rPr>
        <w:t>,</w:t>
      </w:r>
      <w:r w:rsidRPr="005B0995">
        <w:rPr>
          <w:rFonts w:asciiTheme="majorHAnsi" w:hAnsiTheme="majorHAnsi"/>
          <w:sz w:val="20"/>
          <w:szCs w:val="20"/>
          <w:lang w:val="es-ES"/>
        </w:rPr>
        <w:t xml:space="preserve"> y José Roberto Salgado en la penitenciaría Nelson Hungría en Contagem, Minas Gerais. </w:t>
      </w:r>
      <w:r w:rsidR="00A42DE9" w:rsidRPr="005B0995">
        <w:rPr>
          <w:rFonts w:asciiTheme="majorHAnsi" w:hAnsiTheme="majorHAnsi"/>
          <w:sz w:val="20"/>
          <w:szCs w:val="20"/>
          <w:lang w:val="es-ES"/>
        </w:rPr>
        <w:t>Por su parte, el 5 de diciembre de 2013, las autoridades detuvieron el señor Vinícius Samarane y lo trasladaron a la</w:t>
      </w:r>
      <w:r w:rsidRPr="005B0995">
        <w:rPr>
          <w:rFonts w:asciiTheme="majorHAnsi" w:hAnsiTheme="majorHAnsi"/>
          <w:sz w:val="20"/>
          <w:szCs w:val="20"/>
          <w:lang w:val="es-ES"/>
        </w:rPr>
        <w:t xml:space="preserve"> Penitenciaría Nelson Hungría.</w:t>
      </w:r>
    </w:p>
    <w:p w14:paraId="614B2799" w14:textId="40DFCAC0" w:rsidR="006B19CB" w:rsidRPr="005B0995" w:rsidRDefault="006B19CB" w:rsidP="006B19C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5B0995">
        <w:rPr>
          <w:rFonts w:asciiTheme="majorHAnsi" w:hAnsiTheme="majorHAnsi"/>
          <w:i/>
          <w:iCs/>
          <w:sz w:val="20"/>
          <w:szCs w:val="20"/>
          <w:lang w:val="es-ES"/>
        </w:rPr>
        <w:t>Consideraciones finales</w:t>
      </w:r>
    </w:p>
    <w:p w14:paraId="778FD02B" w14:textId="26E30531" w:rsidR="00291A2F" w:rsidRPr="005B0995" w:rsidRDefault="00A42DE9" w:rsidP="00DB2E4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Con base en las citadas consideraciones de hecho, l</w:t>
      </w:r>
      <w:r w:rsidR="00105871" w:rsidRPr="005B0995">
        <w:rPr>
          <w:rFonts w:asciiTheme="majorHAnsi" w:hAnsiTheme="majorHAnsi"/>
          <w:sz w:val="20"/>
          <w:szCs w:val="20"/>
          <w:lang w:val="es-ES"/>
        </w:rPr>
        <w:t xml:space="preserve">a parte peticionaria </w:t>
      </w:r>
      <w:r w:rsidR="00487090" w:rsidRPr="005B0995">
        <w:rPr>
          <w:rFonts w:asciiTheme="majorHAnsi" w:hAnsiTheme="majorHAnsi"/>
          <w:sz w:val="20"/>
          <w:szCs w:val="20"/>
          <w:lang w:val="es-ES"/>
        </w:rPr>
        <w:t xml:space="preserve">alega que hubo una irregularidad en la apreciación del caso en primera instancia por parte del </w:t>
      </w:r>
      <w:r w:rsidR="008D367F" w:rsidRPr="005B0995">
        <w:rPr>
          <w:rFonts w:asciiTheme="majorHAnsi" w:hAnsiTheme="majorHAnsi"/>
          <w:sz w:val="20"/>
          <w:szCs w:val="20"/>
          <w:lang w:val="es-ES"/>
        </w:rPr>
        <w:t>STF</w:t>
      </w:r>
      <w:r w:rsidR="00487090" w:rsidRPr="005B0995">
        <w:rPr>
          <w:rFonts w:asciiTheme="majorHAnsi" w:hAnsiTheme="majorHAnsi"/>
          <w:sz w:val="20"/>
          <w:szCs w:val="20"/>
          <w:lang w:val="es-ES"/>
        </w:rPr>
        <w:t xml:space="preserve">, ya que sólo tres de los </w:t>
      </w:r>
      <w:r w:rsidR="00193418" w:rsidRPr="005B0995">
        <w:rPr>
          <w:rFonts w:asciiTheme="majorHAnsi" w:hAnsiTheme="majorHAnsi"/>
          <w:sz w:val="20"/>
          <w:szCs w:val="20"/>
          <w:lang w:val="es-ES"/>
        </w:rPr>
        <w:t xml:space="preserve">cuarenta </w:t>
      </w:r>
      <w:r w:rsidR="00487090" w:rsidRPr="005B0995">
        <w:rPr>
          <w:rFonts w:asciiTheme="majorHAnsi" w:hAnsiTheme="majorHAnsi"/>
          <w:sz w:val="20"/>
          <w:szCs w:val="20"/>
          <w:lang w:val="es-ES"/>
        </w:rPr>
        <w:t xml:space="preserve">imputados </w:t>
      </w:r>
      <w:r w:rsidR="00B7068C" w:rsidRPr="005B0995">
        <w:rPr>
          <w:rFonts w:asciiTheme="majorHAnsi" w:hAnsiTheme="majorHAnsi"/>
          <w:sz w:val="20"/>
          <w:szCs w:val="20"/>
          <w:lang w:val="es-ES"/>
        </w:rPr>
        <w:t xml:space="preserve">en todo ese proceso </w:t>
      </w:r>
      <w:r w:rsidR="00487090" w:rsidRPr="005B0995">
        <w:rPr>
          <w:rFonts w:asciiTheme="majorHAnsi" w:hAnsiTheme="majorHAnsi"/>
          <w:sz w:val="20"/>
          <w:szCs w:val="20"/>
          <w:lang w:val="es-ES"/>
        </w:rPr>
        <w:t xml:space="preserve">tenían fuero </w:t>
      </w:r>
      <w:r w:rsidRPr="005B0995">
        <w:rPr>
          <w:rFonts w:asciiTheme="majorHAnsi" w:hAnsiTheme="majorHAnsi"/>
          <w:sz w:val="20"/>
          <w:szCs w:val="20"/>
          <w:lang w:val="es-ES"/>
        </w:rPr>
        <w:t>privilegiado</w:t>
      </w:r>
      <w:r w:rsidR="00893184" w:rsidRPr="005B0995">
        <w:rPr>
          <w:rFonts w:asciiTheme="majorHAnsi" w:hAnsiTheme="majorHAnsi"/>
          <w:sz w:val="20"/>
          <w:szCs w:val="20"/>
          <w:lang w:val="es-ES"/>
        </w:rPr>
        <w:t>.</w:t>
      </w:r>
      <w:r w:rsidR="00291A2F" w:rsidRPr="005B0995">
        <w:rPr>
          <w:rFonts w:asciiTheme="majorHAnsi" w:hAnsiTheme="majorHAnsi"/>
          <w:sz w:val="20"/>
          <w:szCs w:val="20"/>
          <w:lang w:val="es-ES"/>
        </w:rPr>
        <w:t xml:space="preserve"> A juicio de la parte peticionaria, un hecho que demuestra que el citado entendimiento del fuero resultó erróneo es que en mayo de 2018, en la resolución de la Acción Penal 937, el STF cambió de postura y solo analizó en instancia única los delitos cometidos por parlamentarios federales en el ejercicio de su mandato o actos conexos.</w:t>
      </w:r>
    </w:p>
    <w:p w14:paraId="40C6F673" w14:textId="4C893815" w:rsidR="00487090" w:rsidRPr="005B0995" w:rsidRDefault="00291A2F" w:rsidP="00291A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Además, sostiene que el citado juzgamiento en instancia única </w:t>
      </w:r>
      <w:r w:rsidR="00487090" w:rsidRPr="005B0995">
        <w:rPr>
          <w:rFonts w:asciiTheme="majorHAnsi" w:hAnsiTheme="majorHAnsi"/>
          <w:sz w:val="20"/>
          <w:szCs w:val="20"/>
          <w:lang w:val="es-ES"/>
        </w:rPr>
        <w:t xml:space="preserve">violó </w:t>
      </w:r>
      <w:r w:rsidR="00DB2E40" w:rsidRPr="005B0995">
        <w:rPr>
          <w:rFonts w:asciiTheme="majorHAnsi" w:hAnsiTheme="majorHAnsi"/>
          <w:sz w:val="20"/>
          <w:szCs w:val="20"/>
          <w:lang w:val="es-ES"/>
        </w:rPr>
        <w:t>el derecho a recurrir el fallo condenatorio,</w:t>
      </w:r>
      <w:r w:rsidR="00487090" w:rsidRPr="005B0995">
        <w:rPr>
          <w:rFonts w:asciiTheme="majorHAnsi" w:hAnsiTheme="majorHAnsi"/>
          <w:sz w:val="20"/>
          <w:szCs w:val="20"/>
          <w:lang w:val="es-ES"/>
        </w:rPr>
        <w:t xml:space="preserve"> previst</w:t>
      </w:r>
      <w:r w:rsidR="00DB2E40" w:rsidRPr="005B0995">
        <w:rPr>
          <w:rFonts w:asciiTheme="majorHAnsi" w:hAnsiTheme="majorHAnsi"/>
          <w:sz w:val="20"/>
          <w:szCs w:val="20"/>
          <w:lang w:val="es-ES"/>
        </w:rPr>
        <w:t>o</w:t>
      </w:r>
      <w:r w:rsidR="00487090" w:rsidRPr="005B0995">
        <w:rPr>
          <w:rFonts w:asciiTheme="majorHAnsi" w:hAnsiTheme="majorHAnsi"/>
          <w:sz w:val="20"/>
          <w:szCs w:val="20"/>
          <w:lang w:val="es-ES"/>
        </w:rPr>
        <w:t xml:space="preserve"> en el artículo 8.2 (h) de la Convención </w:t>
      </w:r>
      <w:r w:rsidR="00DB2E40" w:rsidRPr="005B0995">
        <w:rPr>
          <w:rFonts w:asciiTheme="majorHAnsi" w:hAnsiTheme="majorHAnsi"/>
          <w:sz w:val="20"/>
          <w:szCs w:val="20"/>
          <w:lang w:val="es-ES"/>
        </w:rPr>
        <w:t>Americana</w:t>
      </w:r>
      <w:r w:rsidR="009A4486" w:rsidRPr="005B0995">
        <w:rPr>
          <w:rFonts w:asciiTheme="majorHAnsi" w:hAnsiTheme="majorHAnsi"/>
          <w:sz w:val="20"/>
          <w:szCs w:val="20"/>
          <w:lang w:val="es-ES"/>
        </w:rPr>
        <w:t>, dado que</w:t>
      </w:r>
      <w:r w:rsidRPr="005B0995">
        <w:rPr>
          <w:rFonts w:asciiTheme="majorHAnsi" w:hAnsiTheme="majorHAnsi"/>
          <w:sz w:val="20"/>
          <w:szCs w:val="20"/>
          <w:lang w:val="es-ES"/>
        </w:rPr>
        <w:t xml:space="preserve"> las presuntas víctimas</w:t>
      </w:r>
      <w:r w:rsidR="009A4486" w:rsidRPr="005B0995">
        <w:rPr>
          <w:rFonts w:asciiTheme="majorHAnsi" w:hAnsiTheme="majorHAnsi"/>
          <w:sz w:val="20"/>
          <w:szCs w:val="20"/>
          <w:lang w:val="es-ES"/>
        </w:rPr>
        <w:t xml:space="preserve"> no tuvieron a su disposición recursos que les permitiesen cuestionar integralmente tal decisión</w:t>
      </w:r>
      <w:r w:rsidR="00487090" w:rsidRPr="005B0995">
        <w:rPr>
          <w:rFonts w:asciiTheme="majorHAnsi" w:hAnsiTheme="majorHAnsi"/>
          <w:sz w:val="20"/>
          <w:szCs w:val="20"/>
          <w:lang w:val="es-ES"/>
        </w:rPr>
        <w:t>. Por lo tanto, solicita a la Comisión que recomiende un nuevo juicio a los peticionarios, en cumplimiento del principio de doble jurisdicción</w:t>
      </w:r>
      <w:r w:rsidR="00DB2E40" w:rsidRPr="005B0995">
        <w:rPr>
          <w:rFonts w:asciiTheme="majorHAnsi" w:hAnsiTheme="majorHAnsi"/>
          <w:sz w:val="20"/>
          <w:szCs w:val="20"/>
          <w:lang w:val="es-ES"/>
        </w:rPr>
        <w:t>;</w:t>
      </w:r>
      <w:r w:rsidR="00487090" w:rsidRPr="005B0995">
        <w:rPr>
          <w:rFonts w:asciiTheme="majorHAnsi" w:hAnsiTheme="majorHAnsi"/>
          <w:sz w:val="20"/>
          <w:szCs w:val="20"/>
          <w:lang w:val="es-ES"/>
        </w:rPr>
        <w:t xml:space="preserve"> así como la adecuación de la legislación interna brasileña para hacer efectivo este derecho.</w:t>
      </w:r>
    </w:p>
    <w:p w14:paraId="098A273F" w14:textId="5FA81A43" w:rsidR="009A4486" w:rsidRPr="005B0995" w:rsidRDefault="009A4486" w:rsidP="00291A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En esa línea, destaca que el hecho de que el STF, en su condición de máximo tribunal de justicia, haya evaluado el caso resulta insuficiente para cumplir con la garantía prevista en el artículo 8.2.h) de la Convención. Por el contrario, destaca que el hecho que todos los recursos disponibles recaían en dicha instancia limitó los derechos de las presuntas víctimas.</w:t>
      </w:r>
      <w:r w:rsidR="00291A2F" w:rsidRPr="005B0995">
        <w:rPr>
          <w:rFonts w:asciiTheme="majorHAnsi" w:hAnsiTheme="majorHAnsi"/>
          <w:sz w:val="20"/>
          <w:szCs w:val="20"/>
          <w:lang w:val="es-ES"/>
        </w:rPr>
        <w:t xml:space="preserve"> </w:t>
      </w:r>
    </w:p>
    <w:p w14:paraId="363D836D" w14:textId="7295D282" w:rsidR="00971C97" w:rsidRPr="005B0995" w:rsidRDefault="00487090" w:rsidP="000D5FE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En cuanto al agotamiento de los recursos internos, </w:t>
      </w:r>
      <w:r w:rsidR="00971C97" w:rsidRPr="005B0995">
        <w:rPr>
          <w:rFonts w:asciiTheme="majorHAnsi" w:hAnsiTheme="majorHAnsi"/>
          <w:sz w:val="20"/>
          <w:szCs w:val="20"/>
          <w:lang w:val="es-ES"/>
        </w:rPr>
        <w:t>la parte</w:t>
      </w:r>
      <w:r w:rsidRPr="005B0995">
        <w:rPr>
          <w:rFonts w:asciiTheme="majorHAnsi" w:hAnsiTheme="majorHAnsi"/>
          <w:sz w:val="20"/>
          <w:szCs w:val="20"/>
          <w:lang w:val="es-ES"/>
        </w:rPr>
        <w:t xml:space="preserve"> peticionari</w:t>
      </w:r>
      <w:r w:rsidR="00971C97" w:rsidRPr="005B0995">
        <w:rPr>
          <w:rFonts w:asciiTheme="majorHAnsi" w:hAnsiTheme="majorHAnsi"/>
          <w:sz w:val="20"/>
          <w:szCs w:val="20"/>
          <w:lang w:val="es-ES"/>
        </w:rPr>
        <w:t>a</w:t>
      </w:r>
      <w:r w:rsidRPr="005B0995">
        <w:rPr>
          <w:rFonts w:asciiTheme="majorHAnsi" w:hAnsiTheme="majorHAnsi"/>
          <w:sz w:val="20"/>
          <w:szCs w:val="20"/>
          <w:lang w:val="es-ES"/>
        </w:rPr>
        <w:t xml:space="preserve"> alega que se interpusieron todos los recursos posibles ante el Pleno </w:t>
      </w:r>
      <w:r w:rsidR="00971C97" w:rsidRPr="005B0995">
        <w:rPr>
          <w:rFonts w:asciiTheme="majorHAnsi" w:hAnsiTheme="majorHAnsi"/>
          <w:sz w:val="20"/>
          <w:szCs w:val="20"/>
          <w:lang w:val="es-ES"/>
        </w:rPr>
        <w:t>del STF</w:t>
      </w:r>
      <w:r w:rsidR="00DB2E40" w:rsidRPr="005B0995">
        <w:rPr>
          <w:rFonts w:asciiTheme="majorHAnsi" w:hAnsiTheme="majorHAnsi"/>
          <w:sz w:val="20"/>
          <w:szCs w:val="20"/>
          <w:lang w:val="es-ES"/>
        </w:rPr>
        <w:t>.</w:t>
      </w:r>
      <w:r w:rsidRPr="005B0995">
        <w:rPr>
          <w:rFonts w:asciiTheme="majorHAnsi" w:hAnsiTheme="majorHAnsi"/>
          <w:sz w:val="20"/>
          <w:szCs w:val="20"/>
          <w:lang w:val="es-ES"/>
        </w:rPr>
        <w:t xml:space="preserve"> </w:t>
      </w:r>
      <w:r w:rsidR="00DB2E40" w:rsidRPr="005B0995">
        <w:rPr>
          <w:rFonts w:asciiTheme="majorHAnsi" w:hAnsiTheme="majorHAnsi"/>
          <w:sz w:val="20"/>
          <w:szCs w:val="20"/>
          <w:lang w:val="es-ES"/>
        </w:rPr>
        <w:t>Sin embargo, a criterio de</w:t>
      </w:r>
      <w:r w:rsidRPr="005B0995">
        <w:rPr>
          <w:rFonts w:asciiTheme="majorHAnsi" w:hAnsiTheme="majorHAnsi"/>
          <w:sz w:val="20"/>
          <w:szCs w:val="20"/>
          <w:lang w:val="es-ES"/>
        </w:rPr>
        <w:t xml:space="preserve"> </w:t>
      </w:r>
      <w:r w:rsidR="00971C97" w:rsidRPr="005B0995">
        <w:rPr>
          <w:rFonts w:asciiTheme="majorHAnsi" w:hAnsiTheme="majorHAnsi"/>
          <w:sz w:val="20"/>
          <w:szCs w:val="20"/>
          <w:lang w:val="es-ES"/>
        </w:rPr>
        <w:t>la parte peticionaria</w:t>
      </w:r>
      <w:r w:rsidRPr="005B0995">
        <w:rPr>
          <w:rFonts w:asciiTheme="majorHAnsi" w:hAnsiTheme="majorHAnsi"/>
          <w:sz w:val="20"/>
          <w:szCs w:val="20"/>
          <w:lang w:val="es-ES"/>
        </w:rPr>
        <w:t>, el STF restringió excesivamente el objeto y alcance de los recursos disponibles en el proceso, al rechazar</w:t>
      </w:r>
      <w:r w:rsidR="00971C97" w:rsidRPr="005B0995">
        <w:rPr>
          <w:rFonts w:asciiTheme="majorHAnsi" w:hAnsiTheme="majorHAnsi"/>
          <w:sz w:val="20"/>
          <w:szCs w:val="20"/>
          <w:lang w:val="es-ES"/>
        </w:rPr>
        <w:t xml:space="preserve"> y no admitir, parcial o integralmente, los recursos interpuestos por las presuntas víctimas</w:t>
      </w:r>
      <w:r w:rsidRPr="005B0995">
        <w:rPr>
          <w:rFonts w:asciiTheme="majorHAnsi" w:hAnsiTheme="majorHAnsi"/>
          <w:sz w:val="20"/>
          <w:szCs w:val="20"/>
          <w:lang w:val="es-ES"/>
        </w:rPr>
        <w:t xml:space="preserve">. Además, alega </w:t>
      </w:r>
      <w:r w:rsidR="00971C97" w:rsidRPr="005B0995">
        <w:rPr>
          <w:rFonts w:asciiTheme="majorHAnsi" w:hAnsiTheme="majorHAnsi"/>
          <w:sz w:val="20"/>
          <w:szCs w:val="20"/>
          <w:lang w:val="es-ES"/>
        </w:rPr>
        <w:t>la imposibilidad de las presuntas víctimas de defenderse, dados los limitados recursos internos disponibles.</w:t>
      </w:r>
    </w:p>
    <w:p w14:paraId="6F841F92" w14:textId="5CD806EB" w:rsidR="00487090" w:rsidRPr="005B0995" w:rsidRDefault="00DB2E40" w:rsidP="00DB2E4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Agrega que las presuntas víctimas cuestionaron la afectación de su derecho a la doble instancia desde </w:t>
      </w:r>
      <w:r w:rsidR="005D66BE" w:rsidRPr="005B0995">
        <w:rPr>
          <w:rFonts w:asciiTheme="majorHAnsi" w:hAnsiTheme="majorHAnsi"/>
          <w:sz w:val="20"/>
          <w:szCs w:val="20"/>
          <w:lang w:val="es-ES"/>
        </w:rPr>
        <w:t xml:space="preserve">el Auto de instrucción 2245, que dio lugar a la Acción Penal 470, </w:t>
      </w:r>
      <w:r w:rsidRPr="005B0995">
        <w:rPr>
          <w:rFonts w:asciiTheme="majorHAnsi" w:hAnsiTheme="majorHAnsi"/>
          <w:sz w:val="20"/>
          <w:szCs w:val="20"/>
          <w:lang w:val="es-ES"/>
        </w:rPr>
        <w:t xml:space="preserve">y posteriormente reiteraron este alegato </w:t>
      </w:r>
      <w:r w:rsidR="005D66BE" w:rsidRPr="005B0995">
        <w:rPr>
          <w:rFonts w:asciiTheme="majorHAnsi" w:hAnsiTheme="majorHAnsi"/>
          <w:sz w:val="20"/>
          <w:szCs w:val="20"/>
          <w:lang w:val="es-ES"/>
        </w:rPr>
        <w:t xml:space="preserve">en repetidas ocasiones durante el trámite </w:t>
      </w:r>
      <w:r w:rsidRPr="005B0995">
        <w:rPr>
          <w:rFonts w:asciiTheme="majorHAnsi" w:hAnsiTheme="majorHAnsi"/>
          <w:sz w:val="20"/>
          <w:szCs w:val="20"/>
          <w:lang w:val="es-ES"/>
        </w:rPr>
        <w:t xml:space="preserve">del proceso penal. No obstante, </w:t>
      </w:r>
      <w:r w:rsidR="005D66BE" w:rsidRPr="005B0995">
        <w:rPr>
          <w:rFonts w:asciiTheme="majorHAnsi" w:hAnsiTheme="majorHAnsi"/>
          <w:sz w:val="20"/>
          <w:szCs w:val="20"/>
          <w:lang w:val="es-ES"/>
        </w:rPr>
        <w:t>el STF consideró que tenía competencia para juzgar</w:t>
      </w:r>
      <w:r w:rsidRPr="005B0995">
        <w:rPr>
          <w:rFonts w:asciiTheme="majorHAnsi" w:hAnsiTheme="majorHAnsi"/>
          <w:sz w:val="20"/>
          <w:szCs w:val="20"/>
          <w:lang w:val="es-ES"/>
        </w:rPr>
        <w:t xml:space="preserve"> a</w:t>
      </w:r>
      <w:r w:rsidR="005D66BE" w:rsidRPr="005B0995">
        <w:rPr>
          <w:rFonts w:asciiTheme="majorHAnsi" w:hAnsiTheme="majorHAnsi"/>
          <w:sz w:val="20"/>
          <w:szCs w:val="20"/>
          <w:lang w:val="es-ES"/>
        </w:rPr>
        <w:t xml:space="preserve"> las presuntas víctimas sin que su caso fuera evaluado por otras instancias. </w:t>
      </w:r>
      <w:r w:rsidRPr="005B0995">
        <w:rPr>
          <w:rFonts w:asciiTheme="majorHAnsi" w:hAnsiTheme="majorHAnsi"/>
          <w:sz w:val="20"/>
          <w:szCs w:val="20"/>
          <w:lang w:val="es-ES"/>
        </w:rPr>
        <w:t>Asimismo, l</w:t>
      </w:r>
      <w:r w:rsidR="005D66BE" w:rsidRPr="005B0995">
        <w:rPr>
          <w:rFonts w:asciiTheme="majorHAnsi" w:hAnsiTheme="majorHAnsi"/>
          <w:sz w:val="20"/>
          <w:szCs w:val="20"/>
          <w:lang w:val="es-ES"/>
        </w:rPr>
        <w:t xml:space="preserve">a parte peticionaria argumenta, además, que </w:t>
      </w:r>
      <w:r w:rsidR="00487090" w:rsidRPr="005B0995">
        <w:rPr>
          <w:rFonts w:asciiTheme="majorHAnsi" w:hAnsiTheme="majorHAnsi"/>
          <w:sz w:val="20"/>
          <w:szCs w:val="20"/>
          <w:lang w:val="es-ES"/>
        </w:rPr>
        <w:t xml:space="preserve">cualquier acción de revisión penal o impugnación directa de la cosa juzgada terminaría siendo juzgada por el mismo STF y, por lo tanto, no serviría como medio para garantizar </w:t>
      </w:r>
      <w:r w:rsidR="009E12C9" w:rsidRPr="005B0995">
        <w:rPr>
          <w:rFonts w:asciiTheme="majorHAnsi" w:hAnsiTheme="majorHAnsi"/>
          <w:sz w:val="20"/>
          <w:szCs w:val="20"/>
          <w:lang w:val="es-ES"/>
        </w:rPr>
        <w:t>una verdadera doble instancia penal</w:t>
      </w:r>
      <w:r w:rsidR="00487090" w:rsidRPr="005B0995">
        <w:rPr>
          <w:rFonts w:asciiTheme="majorHAnsi" w:hAnsiTheme="majorHAnsi"/>
          <w:sz w:val="20"/>
          <w:szCs w:val="20"/>
          <w:lang w:val="es-ES"/>
        </w:rPr>
        <w:t>.</w:t>
      </w:r>
    </w:p>
    <w:p w14:paraId="4FB5161D" w14:textId="707A2140" w:rsidR="005D66BE" w:rsidRPr="005B0995" w:rsidRDefault="005D66BE" w:rsidP="00DB2E4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5B0995">
        <w:rPr>
          <w:rFonts w:asciiTheme="majorHAnsi" w:hAnsiTheme="majorHAnsi"/>
          <w:i/>
          <w:iCs/>
          <w:sz w:val="20"/>
          <w:szCs w:val="20"/>
          <w:lang w:val="es-ES"/>
        </w:rPr>
        <w:t>Posición del Estado de Brasil</w:t>
      </w:r>
    </w:p>
    <w:p w14:paraId="2408A117" w14:textId="600C3C51" w:rsidR="000822C2" w:rsidRPr="005B0995" w:rsidRDefault="000D5FE1" w:rsidP="000822C2">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El Estado, por su parte, </w:t>
      </w:r>
      <w:r w:rsidR="000822C2" w:rsidRPr="005B0995">
        <w:rPr>
          <w:rFonts w:asciiTheme="majorHAnsi" w:hAnsiTheme="majorHAnsi"/>
          <w:sz w:val="20"/>
          <w:szCs w:val="20"/>
          <w:lang w:val="es-ES"/>
        </w:rPr>
        <w:t>informa que</w:t>
      </w:r>
      <w:r w:rsidR="003B6684" w:rsidRPr="005B0995">
        <w:rPr>
          <w:rFonts w:asciiTheme="majorHAnsi" w:hAnsiTheme="majorHAnsi"/>
          <w:sz w:val="20"/>
          <w:szCs w:val="20"/>
          <w:lang w:val="es-ES"/>
        </w:rPr>
        <w:t xml:space="preserve"> el 6 de diciembre de 2006</w:t>
      </w:r>
      <w:r w:rsidR="000822C2" w:rsidRPr="005B0995">
        <w:rPr>
          <w:rFonts w:asciiTheme="majorHAnsi" w:hAnsiTheme="majorHAnsi"/>
          <w:sz w:val="20"/>
          <w:szCs w:val="20"/>
          <w:lang w:val="es-ES"/>
        </w:rPr>
        <w:t>, mediante la Segunda Cuestión de Orden en la Averiguación 2.245, las autoridades judiciales confirmaron la acumulación del proceso</w:t>
      </w:r>
      <w:r w:rsidR="00A71AF5" w:rsidRPr="005B0995">
        <w:rPr>
          <w:rFonts w:asciiTheme="majorHAnsi" w:hAnsiTheme="majorHAnsi"/>
          <w:sz w:val="20"/>
          <w:szCs w:val="20"/>
          <w:lang w:val="es-ES"/>
        </w:rPr>
        <w:t>,</w:t>
      </w:r>
      <w:r w:rsidR="000822C2" w:rsidRPr="005B0995">
        <w:rPr>
          <w:rFonts w:asciiTheme="majorHAnsi" w:hAnsiTheme="majorHAnsi"/>
          <w:sz w:val="20"/>
          <w:szCs w:val="20"/>
          <w:lang w:val="es-ES"/>
        </w:rPr>
        <w:t xml:space="preserve"> </w:t>
      </w:r>
      <w:r w:rsidR="005D0648" w:rsidRPr="005B0995">
        <w:rPr>
          <w:rFonts w:asciiTheme="majorHAnsi" w:hAnsiTheme="majorHAnsi"/>
          <w:sz w:val="20"/>
          <w:szCs w:val="20"/>
          <w:lang w:val="es-ES"/>
        </w:rPr>
        <w:t xml:space="preserve">de forma tal que la situación de todos los imputados sea juzgada en una sola causa. </w:t>
      </w:r>
      <w:r w:rsidR="000822C2" w:rsidRPr="005B0995">
        <w:rPr>
          <w:rFonts w:asciiTheme="majorHAnsi" w:hAnsiTheme="majorHAnsi"/>
          <w:sz w:val="20"/>
          <w:szCs w:val="20"/>
          <w:lang w:val="es-ES"/>
        </w:rPr>
        <w:t xml:space="preserve">Explica que otros </w:t>
      </w:r>
      <w:r w:rsidR="007D4918" w:rsidRPr="005B0995">
        <w:rPr>
          <w:rFonts w:asciiTheme="majorHAnsi" w:hAnsiTheme="majorHAnsi"/>
          <w:sz w:val="20"/>
          <w:szCs w:val="20"/>
          <w:lang w:val="es-ES"/>
        </w:rPr>
        <w:t>señalados</w:t>
      </w:r>
      <w:r w:rsidR="000822C2" w:rsidRPr="005B0995">
        <w:rPr>
          <w:rFonts w:asciiTheme="majorHAnsi" w:hAnsiTheme="majorHAnsi"/>
          <w:sz w:val="20"/>
          <w:szCs w:val="20"/>
          <w:lang w:val="es-ES"/>
        </w:rPr>
        <w:t xml:space="preserve"> en la acción penal interpusieron el Hábeas Corpus No. 88.842, el cual tuvo como objeto solicitar </w:t>
      </w:r>
      <w:r w:rsidR="00BF703D" w:rsidRPr="005B0995">
        <w:rPr>
          <w:rFonts w:asciiTheme="majorHAnsi" w:hAnsiTheme="majorHAnsi"/>
          <w:sz w:val="20"/>
          <w:szCs w:val="20"/>
          <w:lang w:val="es-ES"/>
        </w:rPr>
        <w:t>el desglose</w:t>
      </w:r>
      <w:r w:rsidR="000822C2" w:rsidRPr="005B0995">
        <w:rPr>
          <w:rFonts w:asciiTheme="majorHAnsi" w:hAnsiTheme="majorHAnsi"/>
          <w:sz w:val="20"/>
          <w:szCs w:val="20"/>
          <w:lang w:val="es-ES"/>
        </w:rPr>
        <w:t xml:space="preserve"> del </w:t>
      </w:r>
      <w:r w:rsidR="000822C2" w:rsidRPr="005B0995">
        <w:rPr>
          <w:rFonts w:asciiTheme="majorHAnsi" w:hAnsiTheme="majorHAnsi"/>
          <w:sz w:val="20"/>
          <w:szCs w:val="20"/>
          <w:lang w:val="es-ES"/>
        </w:rPr>
        <w:lastRenderedPageBreak/>
        <w:t xml:space="preserve">proceso. Sin embargo, esta acción no prosperó y las autoridades judiciales confirmaron que la causa debía mantenerse en un solo proceso, </w:t>
      </w:r>
      <w:r w:rsidRPr="005B0995">
        <w:rPr>
          <w:rFonts w:asciiTheme="majorHAnsi" w:hAnsiTheme="majorHAnsi"/>
          <w:sz w:val="20"/>
          <w:szCs w:val="20"/>
          <w:lang w:val="es-ES"/>
        </w:rPr>
        <w:t>a pesar de que no todos los acusados ​​gozaban de la prerrogativa de foro</w:t>
      </w:r>
      <w:r w:rsidR="00DB2E40" w:rsidRPr="005B0995">
        <w:rPr>
          <w:rFonts w:asciiTheme="majorHAnsi" w:hAnsiTheme="majorHAnsi"/>
          <w:sz w:val="20"/>
          <w:szCs w:val="20"/>
          <w:lang w:val="es-ES"/>
        </w:rPr>
        <w:t xml:space="preserve">. </w:t>
      </w:r>
    </w:p>
    <w:p w14:paraId="470F1423" w14:textId="71C9F50B" w:rsidR="000D5FE1" w:rsidRPr="005B0995" w:rsidRDefault="00EB3B4F" w:rsidP="000822C2">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S</w:t>
      </w:r>
      <w:r w:rsidR="000D5FE1" w:rsidRPr="005B0995">
        <w:rPr>
          <w:rFonts w:asciiTheme="majorHAnsi" w:hAnsiTheme="majorHAnsi"/>
          <w:sz w:val="20"/>
          <w:szCs w:val="20"/>
          <w:lang w:val="es-ES"/>
        </w:rPr>
        <w:t xml:space="preserve">ostiene </w:t>
      </w:r>
      <w:r w:rsidR="00DB2E40" w:rsidRPr="005B0995">
        <w:rPr>
          <w:rFonts w:asciiTheme="majorHAnsi" w:hAnsiTheme="majorHAnsi"/>
          <w:sz w:val="20"/>
          <w:szCs w:val="20"/>
          <w:lang w:val="es-ES"/>
        </w:rPr>
        <w:t>que</w:t>
      </w:r>
      <w:r w:rsidR="000D5FE1" w:rsidRPr="005B0995">
        <w:rPr>
          <w:rFonts w:asciiTheme="majorHAnsi" w:hAnsiTheme="majorHAnsi"/>
          <w:sz w:val="20"/>
          <w:szCs w:val="20"/>
          <w:lang w:val="es-ES"/>
        </w:rPr>
        <w:t xml:space="preserve"> ningun</w:t>
      </w:r>
      <w:r w:rsidR="00DB2E40" w:rsidRPr="005B0995">
        <w:rPr>
          <w:rFonts w:asciiTheme="majorHAnsi" w:hAnsiTheme="majorHAnsi"/>
          <w:sz w:val="20"/>
          <w:szCs w:val="20"/>
          <w:lang w:val="es-ES"/>
        </w:rPr>
        <w:t>a de las personas que planteó</w:t>
      </w:r>
      <w:r w:rsidR="000D5FE1" w:rsidRPr="005B0995">
        <w:rPr>
          <w:rFonts w:asciiTheme="majorHAnsi" w:hAnsiTheme="majorHAnsi"/>
          <w:sz w:val="20"/>
          <w:szCs w:val="20"/>
          <w:lang w:val="es-ES"/>
        </w:rPr>
        <w:t xml:space="preserve"> </w:t>
      </w:r>
      <w:r w:rsidR="00DB2E40" w:rsidRPr="005B0995">
        <w:rPr>
          <w:rFonts w:asciiTheme="majorHAnsi" w:hAnsiTheme="majorHAnsi"/>
          <w:sz w:val="20"/>
          <w:szCs w:val="20"/>
          <w:lang w:val="es-ES"/>
        </w:rPr>
        <w:t xml:space="preserve">este </w:t>
      </w:r>
      <w:r w:rsidR="000D5FE1" w:rsidRPr="005B0995">
        <w:rPr>
          <w:rFonts w:asciiTheme="majorHAnsi" w:hAnsiTheme="majorHAnsi"/>
          <w:sz w:val="20"/>
          <w:szCs w:val="20"/>
          <w:lang w:val="es-ES"/>
        </w:rPr>
        <w:t>tema</w:t>
      </w:r>
      <w:r w:rsidR="00DB2E40" w:rsidRPr="005B0995">
        <w:rPr>
          <w:rFonts w:asciiTheme="majorHAnsi" w:hAnsiTheme="majorHAnsi"/>
          <w:sz w:val="20"/>
          <w:szCs w:val="20"/>
          <w:lang w:val="es-ES"/>
        </w:rPr>
        <w:t xml:space="preserve"> inicialmente</w:t>
      </w:r>
      <w:r w:rsidR="000D5FE1" w:rsidRPr="005B0995">
        <w:rPr>
          <w:rFonts w:asciiTheme="majorHAnsi" w:hAnsiTheme="majorHAnsi"/>
          <w:sz w:val="20"/>
          <w:szCs w:val="20"/>
          <w:lang w:val="es-ES"/>
        </w:rPr>
        <w:t xml:space="preserve"> ante el STF aparecen como víctimas en </w:t>
      </w:r>
      <w:r w:rsidR="00DB2E40" w:rsidRPr="005B0995">
        <w:rPr>
          <w:rFonts w:asciiTheme="majorHAnsi" w:hAnsiTheme="majorHAnsi"/>
          <w:sz w:val="20"/>
          <w:szCs w:val="20"/>
          <w:lang w:val="es-ES"/>
        </w:rPr>
        <w:t xml:space="preserve">esta </w:t>
      </w:r>
      <w:r w:rsidR="000D5FE1" w:rsidRPr="005B0995">
        <w:rPr>
          <w:rFonts w:asciiTheme="majorHAnsi" w:hAnsiTheme="majorHAnsi"/>
          <w:sz w:val="20"/>
          <w:szCs w:val="20"/>
          <w:lang w:val="es-ES"/>
        </w:rPr>
        <w:t xml:space="preserve">petición. </w:t>
      </w:r>
      <w:r w:rsidR="000822C2" w:rsidRPr="005B0995">
        <w:rPr>
          <w:rFonts w:asciiTheme="majorHAnsi" w:hAnsiTheme="majorHAnsi"/>
          <w:sz w:val="20"/>
          <w:szCs w:val="20"/>
          <w:lang w:val="es-ES"/>
        </w:rPr>
        <w:t>Por el contrario, arguye que c</w:t>
      </w:r>
      <w:r w:rsidR="000D5FE1" w:rsidRPr="005B0995">
        <w:rPr>
          <w:rFonts w:asciiTheme="majorHAnsi" w:hAnsiTheme="majorHAnsi"/>
          <w:sz w:val="20"/>
          <w:szCs w:val="20"/>
          <w:lang w:val="es-ES"/>
        </w:rPr>
        <w:t>uando las presuntas víctimas plantearon e</w:t>
      </w:r>
      <w:r w:rsidR="004615C5" w:rsidRPr="005B0995">
        <w:rPr>
          <w:rFonts w:asciiTheme="majorHAnsi" w:hAnsiTheme="majorHAnsi"/>
          <w:sz w:val="20"/>
          <w:szCs w:val="20"/>
          <w:lang w:val="es-ES"/>
        </w:rPr>
        <w:t>ste</w:t>
      </w:r>
      <w:r w:rsidR="000D5FE1" w:rsidRPr="005B0995">
        <w:rPr>
          <w:rFonts w:asciiTheme="majorHAnsi" w:hAnsiTheme="majorHAnsi"/>
          <w:sz w:val="20"/>
          <w:szCs w:val="20"/>
          <w:lang w:val="es-ES"/>
        </w:rPr>
        <w:t xml:space="preserve"> punto,</w:t>
      </w:r>
      <w:r w:rsidR="000822C2" w:rsidRPr="005B0995">
        <w:rPr>
          <w:rFonts w:asciiTheme="majorHAnsi" w:hAnsiTheme="majorHAnsi"/>
          <w:sz w:val="20"/>
          <w:szCs w:val="20"/>
          <w:lang w:val="es-ES"/>
        </w:rPr>
        <w:t xml:space="preserve"> este ya había sido decidido</w:t>
      </w:r>
      <w:r w:rsidR="007A639D" w:rsidRPr="005B0995">
        <w:rPr>
          <w:rFonts w:asciiTheme="majorHAnsi" w:hAnsiTheme="majorHAnsi"/>
          <w:sz w:val="20"/>
          <w:szCs w:val="20"/>
          <w:lang w:val="es-ES"/>
        </w:rPr>
        <w:t>,</w:t>
      </w:r>
      <w:r w:rsidR="000822C2" w:rsidRPr="005B0995">
        <w:rPr>
          <w:rFonts w:asciiTheme="majorHAnsi" w:hAnsiTheme="majorHAnsi"/>
          <w:sz w:val="20"/>
          <w:szCs w:val="20"/>
          <w:lang w:val="es-ES"/>
        </w:rPr>
        <w:t xml:space="preserve"> y por ende, las autoridades lo dieron por sobreseído. A juicio del Estado esto demuestra que las presuntas víctimas no utilizaron ni agotaron correctamente los recursos previstos en la jurisdicción interna. </w:t>
      </w:r>
    </w:p>
    <w:p w14:paraId="288466BF" w14:textId="5E46D581" w:rsidR="000D5FE1" w:rsidRPr="005B0995" w:rsidRDefault="000822C2" w:rsidP="003B668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En esa línea</w:t>
      </w:r>
      <w:r w:rsidR="000D5FE1" w:rsidRPr="005B0995">
        <w:rPr>
          <w:rFonts w:asciiTheme="majorHAnsi" w:hAnsiTheme="majorHAnsi"/>
          <w:sz w:val="20"/>
          <w:szCs w:val="20"/>
          <w:lang w:val="es-ES"/>
        </w:rPr>
        <w:t>,</w:t>
      </w:r>
      <w:r w:rsidRPr="005B0995">
        <w:rPr>
          <w:rFonts w:asciiTheme="majorHAnsi" w:hAnsiTheme="majorHAnsi"/>
          <w:sz w:val="20"/>
          <w:szCs w:val="20"/>
          <w:lang w:val="es-ES"/>
        </w:rPr>
        <w:t xml:space="preserve"> Brasil</w:t>
      </w:r>
      <w:r w:rsidR="000D5FE1" w:rsidRPr="005B0995">
        <w:rPr>
          <w:rFonts w:asciiTheme="majorHAnsi" w:hAnsiTheme="majorHAnsi"/>
          <w:sz w:val="20"/>
          <w:szCs w:val="20"/>
          <w:lang w:val="es-ES"/>
        </w:rPr>
        <w:t xml:space="preserve"> indica que sólo la defensa del Sr. José Roberto Salgado planteó </w:t>
      </w:r>
      <w:r w:rsidR="003B6684" w:rsidRPr="005B0995">
        <w:rPr>
          <w:rFonts w:asciiTheme="majorHAnsi" w:hAnsiTheme="majorHAnsi"/>
          <w:sz w:val="20"/>
          <w:szCs w:val="20"/>
          <w:lang w:val="es-ES"/>
        </w:rPr>
        <w:t>sus cuestionamientos sobre la falta de una doble instancia mediante la presentación de un recurso de casación. Por ende, arguye que la Sra. Katia Rabello y el Sr. Vinicius Samarane no agotaron los recursos internos sobre este asunto en los recursos utilizados tras su sentencia condenatoria.</w:t>
      </w:r>
    </w:p>
    <w:p w14:paraId="7A6673AB" w14:textId="3EAF8BE6" w:rsidR="000D5FE1" w:rsidRPr="005B0995" w:rsidRDefault="000D5FE1" w:rsidP="003B668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Asimismo, el Estado afirma que la petición es inadmisible por el incumplimiento del plazo de seis meses para interponer una petición ante la CIDH. Según el Estado, </w:t>
      </w:r>
      <w:r w:rsidR="003B6684" w:rsidRPr="005B0995">
        <w:rPr>
          <w:rFonts w:asciiTheme="majorHAnsi" w:hAnsiTheme="majorHAnsi"/>
          <w:sz w:val="20"/>
          <w:szCs w:val="20"/>
          <w:lang w:val="es-ES"/>
        </w:rPr>
        <w:t>el 6 de diciembre de 2006 las autoridades jurisdiccionales determinaron mantener la acumulación del proceso respecto de todas las personas procesadas</w:t>
      </w:r>
      <w:r w:rsidR="00A65CA2" w:rsidRPr="005B0995">
        <w:rPr>
          <w:rFonts w:asciiTheme="majorHAnsi" w:hAnsiTheme="majorHAnsi"/>
          <w:sz w:val="20"/>
          <w:szCs w:val="20"/>
          <w:lang w:val="es-ES"/>
        </w:rPr>
        <w:t>,</w:t>
      </w:r>
      <w:r w:rsidR="003B6684" w:rsidRPr="005B0995">
        <w:rPr>
          <w:rFonts w:asciiTheme="majorHAnsi" w:hAnsiTheme="majorHAnsi"/>
          <w:sz w:val="20"/>
          <w:szCs w:val="20"/>
          <w:lang w:val="es-ES"/>
        </w:rPr>
        <w:t xml:space="preserve"> y por ende, en decisiones posteriores se reiteró que este asunto ya había sido decidido en ese momento. Debido a ello, el Estado arguye que esta debe ser la fecha tomada en cuenta para analizar el plazo previsto en el artículo 46.1.b) de la Convención. Con </w:t>
      </w:r>
      <w:r w:rsidR="00AA2A25" w:rsidRPr="005B0995">
        <w:rPr>
          <w:rFonts w:asciiTheme="majorHAnsi" w:hAnsiTheme="majorHAnsi"/>
          <w:sz w:val="20"/>
          <w:szCs w:val="20"/>
          <w:lang w:val="es-ES"/>
        </w:rPr>
        <w:t>lo cual</w:t>
      </w:r>
      <w:r w:rsidR="003B6684" w:rsidRPr="005B0995">
        <w:rPr>
          <w:rFonts w:asciiTheme="majorHAnsi" w:hAnsiTheme="majorHAnsi"/>
          <w:sz w:val="20"/>
          <w:szCs w:val="20"/>
          <w:lang w:val="es-ES"/>
        </w:rPr>
        <w:t xml:space="preserve">, solicita a la CIDH que inadmita la petición por extemporánea. </w:t>
      </w:r>
    </w:p>
    <w:p w14:paraId="47704F7F" w14:textId="2EE8D3F2" w:rsidR="000D5FE1" w:rsidRPr="005B0995" w:rsidRDefault="000D5FE1" w:rsidP="004615C5">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De manera subsidiaria, si la fecha anterior no </w:t>
      </w:r>
      <w:r w:rsidR="003B6684" w:rsidRPr="005B0995">
        <w:rPr>
          <w:rFonts w:asciiTheme="majorHAnsi" w:hAnsiTheme="majorHAnsi"/>
          <w:sz w:val="20"/>
          <w:szCs w:val="20"/>
          <w:lang w:val="es-ES"/>
        </w:rPr>
        <w:t>fuese</w:t>
      </w:r>
      <w:r w:rsidRPr="005B0995">
        <w:rPr>
          <w:rFonts w:asciiTheme="majorHAnsi" w:hAnsiTheme="majorHAnsi"/>
          <w:sz w:val="20"/>
          <w:szCs w:val="20"/>
          <w:lang w:val="es-ES"/>
        </w:rPr>
        <w:t xml:space="preserve"> considerada para efectos del cómputo del semestre, el Estado solicita</w:t>
      </w:r>
      <w:r w:rsidR="003B6684" w:rsidRPr="005B0995">
        <w:rPr>
          <w:rFonts w:asciiTheme="majorHAnsi" w:hAnsiTheme="majorHAnsi"/>
          <w:sz w:val="20"/>
          <w:szCs w:val="20"/>
          <w:lang w:val="es-ES"/>
        </w:rPr>
        <w:t xml:space="preserve"> a la CIDH</w:t>
      </w:r>
      <w:r w:rsidRPr="005B0995">
        <w:rPr>
          <w:rFonts w:asciiTheme="majorHAnsi" w:hAnsiTheme="majorHAnsi"/>
          <w:sz w:val="20"/>
          <w:szCs w:val="20"/>
          <w:lang w:val="es-ES"/>
        </w:rPr>
        <w:t xml:space="preserve"> que </w:t>
      </w:r>
      <w:r w:rsidR="003B6684" w:rsidRPr="005B0995">
        <w:rPr>
          <w:rFonts w:asciiTheme="majorHAnsi" w:hAnsiTheme="majorHAnsi"/>
          <w:sz w:val="20"/>
          <w:szCs w:val="20"/>
          <w:lang w:val="es-ES"/>
        </w:rPr>
        <w:t>valore</w:t>
      </w:r>
      <w:r w:rsidRPr="005B0995">
        <w:rPr>
          <w:rFonts w:asciiTheme="majorHAnsi" w:hAnsiTheme="majorHAnsi"/>
          <w:sz w:val="20"/>
          <w:szCs w:val="20"/>
          <w:lang w:val="es-ES"/>
        </w:rPr>
        <w:t xml:space="preserve"> que: i) en la sesión plenaria celebrada el 2 de agosto de 2012, el STF rechazó </w:t>
      </w:r>
      <w:r w:rsidR="00AC58CB" w:rsidRPr="005B0995">
        <w:rPr>
          <w:rFonts w:asciiTheme="majorHAnsi" w:hAnsiTheme="majorHAnsi"/>
          <w:sz w:val="20"/>
          <w:szCs w:val="20"/>
          <w:lang w:val="es-ES"/>
        </w:rPr>
        <w:t>la cuestión de orden</w:t>
      </w:r>
      <w:r w:rsidRPr="005B0995">
        <w:rPr>
          <w:rFonts w:asciiTheme="majorHAnsi" w:hAnsiTheme="majorHAnsi"/>
          <w:sz w:val="20"/>
          <w:szCs w:val="20"/>
          <w:lang w:val="es-ES"/>
        </w:rPr>
        <w:t xml:space="preserve"> en </w:t>
      </w:r>
      <w:r w:rsidR="009F7D57" w:rsidRPr="005B0995">
        <w:rPr>
          <w:rFonts w:asciiTheme="majorHAnsi" w:hAnsiTheme="majorHAnsi"/>
          <w:sz w:val="20"/>
          <w:szCs w:val="20"/>
          <w:lang w:val="es-ES"/>
        </w:rPr>
        <w:t>la</w:t>
      </w:r>
      <w:r w:rsidRPr="005B0995">
        <w:rPr>
          <w:rFonts w:asciiTheme="majorHAnsi" w:hAnsiTheme="majorHAnsi"/>
          <w:sz w:val="20"/>
          <w:szCs w:val="20"/>
          <w:lang w:val="es-ES"/>
        </w:rPr>
        <w:t xml:space="preserve"> que se interpuso la demanda </w:t>
      </w:r>
      <w:r w:rsidR="003B6684" w:rsidRPr="005B0995">
        <w:rPr>
          <w:rFonts w:asciiTheme="majorHAnsi" w:hAnsiTheme="majorHAnsi"/>
          <w:sz w:val="20"/>
          <w:szCs w:val="20"/>
          <w:lang w:val="es-ES"/>
        </w:rPr>
        <w:t xml:space="preserve">de </w:t>
      </w:r>
      <w:r w:rsidRPr="005B0995">
        <w:rPr>
          <w:rFonts w:asciiTheme="majorHAnsi" w:hAnsiTheme="majorHAnsi"/>
          <w:sz w:val="20"/>
          <w:szCs w:val="20"/>
          <w:lang w:val="es-ES"/>
        </w:rPr>
        <w:t>división de la causa en relación con aquellos demandados que no goza</w:t>
      </w:r>
      <w:r w:rsidR="00AC58CB" w:rsidRPr="005B0995">
        <w:rPr>
          <w:rFonts w:asciiTheme="majorHAnsi" w:hAnsiTheme="majorHAnsi"/>
          <w:sz w:val="20"/>
          <w:szCs w:val="20"/>
          <w:lang w:val="es-ES"/>
        </w:rPr>
        <w:t>ba</w:t>
      </w:r>
      <w:r w:rsidRPr="005B0995">
        <w:rPr>
          <w:rFonts w:asciiTheme="majorHAnsi" w:hAnsiTheme="majorHAnsi"/>
          <w:sz w:val="20"/>
          <w:szCs w:val="20"/>
          <w:lang w:val="es-ES"/>
        </w:rPr>
        <w:t xml:space="preserve">n de la prerrogativa de jurisdicción en dicho Tribunal, abordando la cuestión relativa a la garantía del doble grado de jurisdicción, ii) </w:t>
      </w:r>
      <w:r w:rsidR="00AC58CB" w:rsidRPr="005B0995">
        <w:rPr>
          <w:rFonts w:asciiTheme="majorHAnsi" w:hAnsiTheme="majorHAnsi"/>
          <w:sz w:val="20"/>
          <w:szCs w:val="20"/>
          <w:lang w:val="es-ES"/>
        </w:rPr>
        <w:t>tras</w:t>
      </w:r>
      <w:r w:rsidRPr="005B0995">
        <w:rPr>
          <w:rFonts w:asciiTheme="majorHAnsi" w:hAnsiTheme="majorHAnsi"/>
          <w:sz w:val="20"/>
          <w:szCs w:val="20"/>
          <w:lang w:val="es-ES"/>
        </w:rPr>
        <w:t xml:space="preserve"> la sentencia de fondo de la acción penal n. 470, sólo la defensa del Sr. José Roberto Salgado planteó el tema relacionado con el doble grado de jurisdicción</w:t>
      </w:r>
      <w:r w:rsidR="00AC58CB" w:rsidRPr="005B0995">
        <w:rPr>
          <w:rFonts w:asciiTheme="majorHAnsi" w:hAnsiTheme="majorHAnsi"/>
          <w:sz w:val="20"/>
          <w:szCs w:val="20"/>
          <w:lang w:val="es-ES"/>
        </w:rPr>
        <w:t>;</w:t>
      </w:r>
      <w:r w:rsidRPr="005B0995">
        <w:rPr>
          <w:rFonts w:asciiTheme="majorHAnsi" w:hAnsiTheme="majorHAnsi"/>
          <w:sz w:val="20"/>
          <w:szCs w:val="20"/>
          <w:lang w:val="es-ES"/>
        </w:rPr>
        <w:t xml:space="preserve"> iii) </w:t>
      </w:r>
      <w:r w:rsidR="003B6684" w:rsidRPr="005B0995">
        <w:rPr>
          <w:rFonts w:asciiTheme="majorHAnsi" w:hAnsiTheme="majorHAnsi"/>
          <w:sz w:val="20"/>
          <w:szCs w:val="20"/>
          <w:lang w:val="es-ES"/>
        </w:rPr>
        <w:t xml:space="preserve">la señora </w:t>
      </w:r>
      <w:r w:rsidRPr="005B0995">
        <w:rPr>
          <w:rFonts w:asciiTheme="majorHAnsi" w:hAnsiTheme="majorHAnsi"/>
          <w:sz w:val="20"/>
          <w:szCs w:val="20"/>
          <w:lang w:val="es-ES"/>
        </w:rPr>
        <w:t xml:space="preserve">Kátia Rabello y </w:t>
      </w:r>
      <w:r w:rsidR="003B6684" w:rsidRPr="005B0995">
        <w:rPr>
          <w:rFonts w:asciiTheme="majorHAnsi" w:hAnsiTheme="majorHAnsi"/>
          <w:sz w:val="20"/>
          <w:szCs w:val="20"/>
          <w:lang w:val="es-ES"/>
        </w:rPr>
        <w:t xml:space="preserve">el señor </w:t>
      </w:r>
      <w:r w:rsidRPr="005B0995">
        <w:rPr>
          <w:rFonts w:asciiTheme="majorHAnsi" w:hAnsiTheme="majorHAnsi"/>
          <w:sz w:val="20"/>
          <w:szCs w:val="20"/>
          <w:lang w:val="es-ES"/>
        </w:rPr>
        <w:t>Vinícius Samarane no abordaron el tema en sus respectivos recursos que siguieron a la sentencia sobre el fondo de la acción penal. Así, en relación con est</w:t>
      </w:r>
      <w:r w:rsidR="003B6684" w:rsidRPr="005B0995">
        <w:rPr>
          <w:rFonts w:asciiTheme="majorHAnsi" w:hAnsiTheme="majorHAnsi"/>
          <w:sz w:val="20"/>
          <w:szCs w:val="20"/>
          <w:lang w:val="es-ES"/>
        </w:rPr>
        <w:t>o</w:t>
      </w:r>
      <w:r w:rsidR="00AC58CB" w:rsidRPr="005B0995">
        <w:rPr>
          <w:rFonts w:asciiTheme="majorHAnsi" w:hAnsiTheme="majorHAnsi"/>
          <w:sz w:val="20"/>
          <w:szCs w:val="20"/>
          <w:lang w:val="es-ES"/>
        </w:rPr>
        <w:t>s</w:t>
      </w:r>
      <w:r w:rsidRPr="005B0995">
        <w:rPr>
          <w:rFonts w:asciiTheme="majorHAnsi" w:hAnsiTheme="majorHAnsi"/>
          <w:sz w:val="20"/>
          <w:szCs w:val="20"/>
          <w:lang w:val="es-ES"/>
        </w:rPr>
        <w:t xml:space="preserve"> último</w:t>
      </w:r>
      <w:r w:rsidR="00AC58CB" w:rsidRPr="005B0995">
        <w:rPr>
          <w:rFonts w:asciiTheme="majorHAnsi" w:hAnsiTheme="majorHAnsi"/>
          <w:sz w:val="20"/>
          <w:szCs w:val="20"/>
          <w:lang w:val="es-ES"/>
        </w:rPr>
        <w:t>s</w:t>
      </w:r>
      <w:r w:rsidRPr="005B0995">
        <w:rPr>
          <w:rFonts w:asciiTheme="majorHAnsi" w:hAnsiTheme="majorHAnsi"/>
          <w:sz w:val="20"/>
          <w:szCs w:val="20"/>
          <w:lang w:val="es-ES"/>
        </w:rPr>
        <w:t xml:space="preserve">, la cuestión relativa al doble grado de competencia no fue impugnada </w:t>
      </w:r>
      <w:r w:rsidR="00AC58CB" w:rsidRPr="005B0995">
        <w:rPr>
          <w:rFonts w:asciiTheme="majorHAnsi" w:hAnsiTheme="majorHAnsi"/>
          <w:sz w:val="20"/>
          <w:szCs w:val="20"/>
          <w:lang w:val="es-ES"/>
        </w:rPr>
        <w:t xml:space="preserve">mediante recurso </w:t>
      </w:r>
      <w:r w:rsidRPr="005B0995">
        <w:rPr>
          <w:rFonts w:asciiTheme="majorHAnsi" w:hAnsiTheme="majorHAnsi"/>
          <w:sz w:val="20"/>
          <w:szCs w:val="20"/>
          <w:lang w:val="es-ES"/>
        </w:rPr>
        <w:t xml:space="preserve">y quedó firme en los términos de la sentencia de 2 de agosto de 2012, siendo </w:t>
      </w:r>
      <w:r w:rsidR="003B6684" w:rsidRPr="005B0995">
        <w:rPr>
          <w:rFonts w:asciiTheme="majorHAnsi" w:hAnsiTheme="majorHAnsi"/>
          <w:sz w:val="20"/>
          <w:szCs w:val="20"/>
          <w:lang w:val="es-ES"/>
        </w:rPr>
        <w:t>esta última la fecha para considerar</w:t>
      </w:r>
      <w:r w:rsidRPr="005B0995">
        <w:rPr>
          <w:rFonts w:asciiTheme="majorHAnsi" w:hAnsiTheme="majorHAnsi"/>
          <w:sz w:val="20"/>
          <w:szCs w:val="20"/>
          <w:lang w:val="es-ES"/>
        </w:rPr>
        <w:t xml:space="preserve"> los efectos del cómputo</w:t>
      </w:r>
      <w:r w:rsidR="00AC58CB" w:rsidRPr="005B0995">
        <w:rPr>
          <w:rFonts w:asciiTheme="majorHAnsi" w:hAnsiTheme="majorHAnsi"/>
          <w:sz w:val="20"/>
          <w:szCs w:val="20"/>
          <w:lang w:val="es-ES"/>
        </w:rPr>
        <w:t xml:space="preserve"> d</w:t>
      </w:r>
      <w:r w:rsidRPr="005B0995">
        <w:rPr>
          <w:rFonts w:asciiTheme="majorHAnsi" w:hAnsiTheme="majorHAnsi"/>
          <w:sz w:val="20"/>
          <w:szCs w:val="20"/>
          <w:lang w:val="es-ES"/>
        </w:rPr>
        <w:t xml:space="preserve">el plazo de </w:t>
      </w:r>
      <w:r w:rsidR="003D02A8" w:rsidRPr="005B0995">
        <w:rPr>
          <w:rFonts w:asciiTheme="majorHAnsi" w:hAnsiTheme="majorHAnsi"/>
          <w:sz w:val="20"/>
          <w:szCs w:val="20"/>
          <w:lang w:val="es-ES"/>
        </w:rPr>
        <w:t>seis</w:t>
      </w:r>
      <w:r w:rsidRPr="005B0995">
        <w:rPr>
          <w:rFonts w:asciiTheme="majorHAnsi" w:hAnsiTheme="majorHAnsi"/>
          <w:sz w:val="20"/>
          <w:szCs w:val="20"/>
          <w:lang w:val="es-ES"/>
        </w:rPr>
        <w:t xml:space="preserve"> meses. </w:t>
      </w:r>
      <w:r w:rsidR="00AC58CB" w:rsidRPr="005B0995">
        <w:rPr>
          <w:rFonts w:asciiTheme="majorHAnsi" w:hAnsiTheme="majorHAnsi"/>
          <w:sz w:val="20"/>
          <w:szCs w:val="20"/>
          <w:lang w:val="es-ES"/>
        </w:rPr>
        <w:t>Así, en cuanto a la Sra. Rabello y al Sr. Samarane</w:t>
      </w:r>
      <w:r w:rsidRPr="005B0995">
        <w:rPr>
          <w:rFonts w:asciiTheme="majorHAnsi" w:hAnsiTheme="majorHAnsi"/>
          <w:sz w:val="20"/>
          <w:szCs w:val="20"/>
          <w:lang w:val="es-ES"/>
        </w:rPr>
        <w:t xml:space="preserve">, la petición presentada el 11 de abril de 2014 no cumpliría con </w:t>
      </w:r>
      <w:r w:rsidR="003B6684" w:rsidRPr="005B0995">
        <w:rPr>
          <w:rFonts w:asciiTheme="majorHAnsi" w:hAnsiTheme="majorHAnsi"/>
          <w:sz w:val="20"/>
          <w:szCs w:val="20"/>
          <w:lang w:val="es-ES"/>
        </w:rPr>
        <w:t>el</w:t>
      </w:r>
      <w:r w:rsidRPr="005B0995">
        <w:rPr>
          <w:rFonts w:asciiTheme="majorHAnsi" w:hAnsiTheme="majorHAnsi"/>
          <w:sz w:val="20"/>
          <w:szCs w:val="20"/>
          <w:lang w:val="es-ES"/>
        </w:rPr>
        <w:t xml:space="preserve"> requisito</w:t>
      </w:r>
      <w:r w:rsidR="003B6684" w:rsidRPr="005B0995">
        <w:rPr>
          <w:rFonts w:asciiTheme="majorHAnsi" w:hAnsiTheme="majorHAnsi"/>
          <w:sz w:val="20"/>
          <w:szCs w:val="20"/>
          <w:lang w:val="es-ES"/>
        </w:rPr>
        <w:t xml:space="preserve"> previsto en el artículo 46.1.b)</w:t>
      </w:r>
      <w:r w:rsidRPr="005B0995">
        <w:rPr>
          <w:rFonts w:asciiTheme="majorHAnsi" w:hAnsiTheme="majorHAnsi"/>
          <w:sz w:val="20"/>
          <w:szCs w:val="20"/>
          <w:lang w:val="es-ES"/>
        </w:rPr>
        <w:t xml:space="preserve"> de la CADH.</w:t>
      </w:r>
    </w:p>
    <w:p w14:paraId="6DDA5C62" w14:textId="773EB9CC" w:rsidR="004615C5" w:rsidRPr="005B0995" w:rsidRDefault="00D63A6B" w:rsidP="00D63A6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Por otra parte, </w:t>
      </w:r>
      <w:r w:rsidR="004615C5" w:rsidRPr="005B0995">
        <w:rPr>
          <w:rFonts w:asciiTheme="majorHAnsi" w:hAnsiTheme="majorHAnsi"/>
          <w:sz w:val="20"/>
          <w:szCs w:val="20"/>
          <w:lang w:val="es-ES"/>
        </w:rPr>
        <w:t>señala que</w:t>
      </w:r>
      <w:r w:rsidRPr="005B0995">
        <w:rPr>
          <w:rFonts w:asciiTheme="majorHAnsi" w:hAnsiTheme="majorHAnsi"/>
          <w:sz w:val="20"/>
          <w:szCs w:val="20"/>
          <w:lang w:val="es-ES"/>
        </w:rPr>
        <w:t xml:space="preserve"> las presuntas víctimas pudieron presentar recursos colegiados contra la sentencia condenatoria dictada por el STF</w:t>
      </w:r>
      <w:r w:rsidR="0028747A" w:rsidRPr="005B0995">
        <w:rPr>
          <w:rFonts w:asciiTheme="majorHAnsi" w:hAnsiTheme="majorHAnsi"/>
          <w:sz w:val="20"/>
          <w:szCs w:val="20"/>
          <w:lang w:val="es-ES"/>
        </w:rPr>
        <w:t>,</w:t>
      </w:r>
      <w:r w:rsidRPr="005B0995">
        <w:rPr>
          <w:rFonts w:asciiTheme="majorHAnsi" w:hAnsiTheme="majorHAnsi"/>
          <w:sz w:val="20"/>
          <w:szCs w:val="20"/>
          <w:lang w:val="es-ES"/>
        </w:rPr>
        <w:t xml:space="preserve"> y</w:t>
      </w:r>
      <w:r w:rsidR="00483ACE" w:rsidRPr="005B0995">
        <w:rPr>
          <w:rFonts w:asciiTheme="majorHAnsi" w:hAnsiTheme="majorHAnsi"/>
          <w:sz w:val="20"/>
          <w:szCs w:val="20"/>
          <w:lang w:val="es-ES"/>
        </w:rPr>
        <w:t xml:space="preserve"> contaron con la posibilidad de interposición de recursos de aclaración</w:t>
      </w:r>
      <w:r w:rsidR="004615C5" w:rsidRPr="005B0995">
        <w:rPr>
          <w:rFonts w:asciiTheme="majorHAnsi" w:hAnsiTheme="majorHAnsi"/>
          <w:sz w:val="20"/>
          <w:szCs w:val="20"/>
          <w:lang w:val="es-ES"/>
        </w:rPr>
        <w:t>.</w:t>
      </w:r>
    </w:p>
    <w:p w14:paraId="0B1B70D4" w14:textId="3635D807" w:rsidR="005F79FA" w:rsidRPr="005B0995" w:rsidRDefault="00D63A6B" w:rsidP="00D63A6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Sin perjuicio de ello, el Estado plantea que el artículo 8.2.h) debe interpretarse de manera teleológica</w:t>
      </w:r>
      <w:r w:rsidR="00725347" w:rsidRPr="005B0995">
        <w:rPr>
          <w:rFonts w:asciiTheme="majorHAnsi" w:hAnsiTheme="majorHAnsi"/>
          <w:sz w:val="20"/>
          <w:szCs w:val="20"/>
          <w:lang w:val="es-ES"/>
        </w:rPr>
        <w:t>,</w:t>
      </w:r>
      <w:r w:rsidRPr="005B0995">
        <w:rPr>
          <w:rFonts w:asciiTheme="majorHAnsi" w:hAnsiTheme="majorHAnsi"/>
          <w:sz w:val="20"/>
          <w:szCs w:val="20"/>
          <w:lang w:val="es-ES"/>
        </w:rPr>
        <w:t xml:space="preserve"> </w:t>
      </w:r>
      <w:r w:rsidR="00725347" w:rsidRPr="005B0995">
        <w:rPr>
          <w:rFonts w:asciiTheme="majorHAnsi" w:hAnsiTheme="majorHAnsi"/>
          <w:sz w:val="20"/>
          <w:szCs w:val="20"/>
          <w:lang w:val="es-ES"/>
        </w:rPr>
        <w:t>por lo que</w:t>
      </w:r>
      <w:r w:rsidRPr="005B0995">
        <w:rPr>
          <w:rFonts w:asciiTheme="majorHAnsi" w:hAnsiTheme="majorHAnsi"/>
          <w:sz w:val="20"/>
          <w:szCs w:val="20"/>
          <w:lang w:val="es-ES"/>
        </w:rPr>
        <w:t xml:space="preserve"> debe entenderse que esta disposición </w:t>
      </w:r>
      <w:r w:rsidR="00483ACE" w:rsidRPr="005B0995">
        <w:rPr>
          <w:rFonts w:asciiTheme="majorHAnsi" w:hAnsiTheme="majorHAnsi"/>
          <w:sz w:val="20"/>
          <w:szCs w:val="20"/>
          <w:lang w:val="es-ES"/>
        </w:rPr>
        <w:t xml:space="preserve">tiene como fin, u </w:t>
      </w:r>
      <w:r w:rsidR="004615C5" w:rsidRPr="005B0995">
        <w:rPr>
          <w:rFonts w:asciiTheme="majorHAnsi" w:hAnsiTheme="majorHAnsi"/>
          <w:sz w:val="20"/>
          <w:szCs w:val="20"/>
          <w:lang w:val="es-ES"/>
        </w:rPr>
        <w:t xml:space="preserve">objeto garantizar el derecho a la revisión para evitar condenas </w:t>
      </w:r>
      <w:r w:rsidR="00483ACE" w:rsidRPr="005B0995">
        <w:rPr>
          <w:rFonts w:asciiTheme="majorHAnsi" w:hAnsiTheme="majorHAnsi"/>
          <w:sz w:val="20"/>
          <w:szCs w:val="20"/>
          <w:lang w:val="es-ES"/>
        </w:rPr>
        <w:t xml:space="preserve">erróneas. </w:t>
      </w:r>
      <w:r w:rsidR="005F79FA" w:rsidRPr="005B0995">
        <w:rPr>
          <w:rFonts w:asciiTheme="majorHAnsi" w:hAnsiTheme="majorHAnsi"/>
          <w:sz w:val="20"/>
          <w:szCs w:val="20"/>
          <w:lang w:val="es-ES"/>
        </w:rPr>
        <w:t>Bajo esta premisa, plantea que e</w:t>
      </w:r>
      <w:r w:rsidR="00483ACE" w:rsidRPr="005B0995">
        <w:rPr>
          <w:rFonts w:asciiTheme="majorHAnsi" w:hAnsiTheme="majorHAnsi"/>
          <w:sz w:val="20"/>
          <w:szCs w:val="20"/>
          <w:lang w:val="es-ES"/>
        </w:rPr>
        <w:t>ste fin</w:t>
      </w:r>
      <w:r w:rsidR="004615C5" w:rsidRPr="005B0995">
        <w:rPr>
          <w:rFonts w:asciiTheme="majorHAnsi" w:hAnsiTheme="majorHAnsi"/>
          <w:sz w:val="20"/>
          <w:szCs w:val="20"/>
          <w:lang w:val="es-ES"/>
        </w:rPr>
        <w:t xml:space="preserve"> se obtendría de manera más directa cuando el caso es originalmente asignado </w:t>
      </w:r>
      <w:r w:rsidR="00483ACE" w:rsidRPr="005B0995">
        <w:rPr>
          <w:rFonts w:asciiTheme="majorHAnsi" w:hAnsiTheme="majorHAnsi"/>
          <w:sz w:val="20"/>
          <w:szCs w:val="20"/>
          <w:lang w:val="es-ES"/>
        </w:rPr>
        <w:t xml:space="preserve">al STF, </w:t>
      </w:r>
      <w:r w:rsidR="005F79FA" w:rsidRPr="005B0995">
        <w:rPr>
          <w:rFonts w:asciiTheme="majorHAnsi" w:hAnsiTheme="majorHAnsi"/>
          <w:sz w:val="20"/>
          <w:szCs w:val="20"/>
          <w:lang w:val="es-ES"/>
        </w:rPr>
        <w:t xml:space="preserve">dado que este órgano es la </w:t>
      </w:r>
      <w:r w:rsidR="00483ACE" w:rsidRPr="005B0995">
        <w:rPr>
          <w:rFonts w:asciiTheme="majorHAnsi" w:hAnsiTheme="majorHAnsi"/>
          <w:sz w:val="20"/>
          <w:szCs w:val="20"/>
          <w:lang w:val="es-ES"/>
        </w:rPr>
        <w:t>instancia superior</w:t>
      </w:r>
      <w:r w:rsidR="005F79FA" w:rsidRPr="005B0995">
        <w:rPr>
          <w:rFonts w:asciiTheme="majorHAnsi" w:hAnsiTheme="majorHAnsi"/>
          <w:sz w:val="20"/>
          <w:szCs w:val="20"/>
          <w:lang w:val="es-ES"/>
        </w:rPr>
        <w:t xml:space="preserve"> del ordenamiento jurídico</w:t>
      </w:r>
      <w:r w:rsidR="00483ACE" w:rsidRPr="005B0995">
        <w:rPr>
          <w:rFonts w:asciiTheme="majorHAnsi" w:hAnsiTheme="majorHAnsi"/>
          <w:sz w:val="20"/>
          <w:szCs w:val="20"/>
          <w:lang w:val="es-ES"/>
        </w:rPr>
        <w:t xml:space="preserve">. </w:t>
      </w:r>
    </w:p>
    <w:p w14:paraId="176B1D9D" w14:textId="524FC31A" w:rsidR="004A10F8" w:rsidRPr="005B0995" w:rsidRDefault="005F79FA" w:rsidP="00D63A6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Con base en tal argumentación,</w:t>
      </w:r>
      <w:r w:rsidR="004615C5" w:rsidRPr="005B0995">
        <w:rPr>
          <w:rFonts w:asciiTheme="majorHAnsi" w:hAnsiTheme="majorHAnsi"/>
          <w:sz w:val="20"/>
          <w:szCs w:val="20"/>
          <w:lang w:val="es-ES"/>
        </w:rPr>
        <w:t xml:space="preserve"> el Estado afirma que </w:t>
      </w:r>
      <w:r w:rsidRPr="005B0995">
        <w:rPr>
          <w:rFonts w:asciiTheme="majorHAnsi" w:hAnsiTheme="majorHAnsi"/>
          <w:sz w:val="20"/>
          <w:szCs w:val="20"/>
          <w:lang w:val="es-ES"/>
        </w:rPr>
        <w:t xml:space="preserve">se maximizó </w:t>
      </w:r>
      <w:r w:rsidR="004615C5" w:rsidRPr="005B0995">
        <w:rPr>
          <w:rFonts w:asciiTheme="majorHAnsi" w:hAnsiTheme="majorHAnsi"/>
          <w:sz w:val="20"/>
          <w:szCs w:val="20"/>
          <w:lang w:val="es-ES"/>
        </w:rPr>
        <w:t>la protección judicial de las personas sentenciadas</w:t>
      </w:r>
      <w:r w:rsidRPr="005B0995">
        <w:rPr>
          <w:rFonts w:asciiTheme="majorHAnsi" w:hAnsiTheme="majorHAnsi"/>
          <w:sz w:val="20"/>
          <w:szCs w:val="20"/>
          <w:lang w:val="es-ES"/>
        </w:rPr>
        <w:t xml:space="preserve">, dado que </w:t>
      </w:r>
      <w:r w:rsidR="004615C5" w:rsidRPr="005B0995">
        <w:rPr>
          <w:rFonts w:asciiTheme="majorHAnsi" w:hAnsiTheme="majorHAnsi"/>
          <w:sz w:val="20"/>
          <w:szCs w:val="20"/>
          <w:lang w:val="es-ES"/>
        </w:rPr>
        <w:t xml:space="preserve">i) la sentencia fue ejecutada por el </w:t>
      </w:r>
      <w:r w:rsidR="00291A2F" w:rsidRPr="005B0995">
        <w:rPr>
          <w:rFonts w:asciiTheme="majorHAnsi" w:hAnsiTheme="majorHAnsi"/>
          <w:sz w:val="20"/>
          <w:szCs w:val="20"/>
          <w:lang w:val="es-ES"/>
        </w:rPr>
        <w:t>p</w:t>
      </w:r>
      <w:r w:rsidR="004615C5" w:rsidRPr="005B0995">
        <w:rPr>
          <w:rFonts w:asciiTheme="majorHAnsi" w:hAnsiTheme="majorHAnsi"/>
          <w:sz w:val="20"/>
          <w:szCs w:val="20"/>
          <w:lang w:val="es-ES"/>
        </w:rPr>
        <w:t xml:space="preserve">leno </w:t>
      </w:r>
      <w:r w:rsidR="00483ACE" w:rsidRPr="005B0995">
        <w:rPr>
          <w:rFonts w:asciiTheme="majorHAnsi" w:hAnsiTheme="majorHAnsi"/>
          <w:sz w:val="20"/>
          <w:szCs w:val="20"/>
          <w:lang w:val="es-ES"/>
        </w:rPr>
        <w:t>del tribunal supremo del país</w:t>
      </w:r>
      <w:r w:rsidR="004615C5" w:rsidRPr="005B0995">
        <w:rPr>
          <w:rFonts w:asciiTheme="majorHAnsi" w:hAnsiTheme="majorHAnsi"/>
          <w:sz w:val="20"/>
          <w:szCs w:val="20"/>
          <w:lang w:val="es-ES"/>
        </w:rPr>
        <w:t xml:space="preserve">; ii) </w:t>
      </w:r>
      <w:r w:rsidR="00483ACE" w:rsidRPr="005B0995">
        <w:rPr>
          <w:rFonts w:asciiTheme="majorHAnsi" w:hAnsiTheme="majorHAnsi"/>
          <w:sz w:val="20"/>
          <w:szCs w:val="20"/>
          <w:lang w:val="es-ES"/>
        </w:rPr>
        <w:t>el tribunal reali</w:t>
      </w:r>
      <w:r w:rsidR="00291A2F" w:rsidRPr="005B0995">
        <w:rPr>
          <w:rFonts w:asciiTheme="majorHAnsi" w:hAnsiTheme="majorHAnsi"/>
          <w:sz w:val="20"/>
          <w:szCs w:val="20"/>
          <w:lang w:val="es-ES"/>
        </w:rPr>
        <w:t xml:space="preserve">zó </w:t>
      </w:r>
      <w:r w:rsidR="00483ACE" w:rsidRPr="005B0995">
        <w:rPr>
          <w:rFonts w:asciiTheme="majorHAnsi" w:hAnsiTheme="majorHAnsi"/>
          <w:sz w:val="20"/>
          <w:szCs w:val="20"/>
          <w:lang w:val="es-ES"/>
        </w:rPr>
        <w:t xml:space="preserve">53 sesiones colegiadas integralmente dedicadas al análisis de la acción penal 470; </w:t>
      </w:r>
      <w:r w:rsidRPr="005B0995">
        <w:rPr>
          <w:rFonts w:asciiTheme="majorHAnsi" w:hAnsiTheme="majorHAnsi"/>
          <w:sz w:val="20"/>
          <w:szCs w:val="20"/>
          <w:lang w:val="es-ES"/>
        </w:rPr>
        <w:t xml:space="preserve">y </w:t>
      </w:r>
      <w:r w:rsidR="00483ACE" w:rsidRPr="005B0995">
        <w:rPr>
          <w:rFonts w:asciiTheme="majorHAnsi" w:hAnsiTheme="majorHAnsi"/>
          <w:sz w:val="20"/>
          <w:szCs w:val="20"/>
          <w:lang w:val="es-ES"/>
        </w:rPr>
        <w:t xml:space="preserve">iii) </w:t>
      </w:r>
      <w:r w:rsidR="004615C5" w:rsidRPr="005B0995">
        <w:rPr>
          <w:rFonts w:asciiTheme="majorHAnsi" w:hAnsiTheme="majorHAnsi"/>
          <w:sz w:val="20"/>
          <w:szCs w:val="20"/>
          <w:lang w:val="es-ES"/>
        </w:rPr>
        <w:t xml:space="preserve">el doble grado de competencia fue, en cierta medida, contemplado en la sentencia, en vista de la admisión del recurso </w:t>
      </w:r>
      <w:r w:rsidR="00483ACE" w:rsidRPr="005B0995">
        <w:rPr>
          <w:rFonts w:asciiTheme="majorHAnsi" w:hAnsiTheme="majorHAnsi"/>
          <w:sz w:val="20"/>
          <w:szCs w:val="20"/>
          <w:lang w:val="es-ES"/>
        </w:rPr>
        <w:t>colegiado</w:t>
      </w:r>
      <w:r w:rsidR="004615C5" w:rsidRPr="005B0995">
        <w:rPr>
          <w:rFonts w:asciiTheme="majorHAnsi" w:hAnsiTheme="majorHAnsi"/>
          <w:sz w:val="20"/>
          <w:szCs w:val="20"/>
          <w:lang w:val="es-ES"/>
        </w:rPr>
        <w:t xml:space="preserve"> frente a las condenas mayoritarias.</w:t>
      </w:r>
      <w:r w:rsidR="00483ACE" w:rsidRPr="005B0995">
        <w:rPr>
          <w:rFonts w:asciiTheme="majorHAnsi" w:hAnsiTheme="majorHAnsi"/>
          <w:sz w:val="20"/>
          <w:szCs w:val="20"/>
          <w:lang w:val="es-ES"/>
        </w:rPr>
        <w:t xml:space="preserve"> </w:t>
      </w:r>
    </w:p>
    <w:p w14:paraId="1F980EE1" w14:textId="06A43D60" w:rsidR="00227BFE" w:rsidRPr="005B0995" w:rsidRDefault="003066A4" w:rsidP="003066A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Por otra parte</w:t>
      </w:r>
      <w:r w:rsidR="00291A2F" w:rsidRPr="005B0995">
        <w:rPr>
          <w:rFonts w:asciiTheme="majorHAnsi" w:hAnsiTheme="majorHAnsi"/>
          <w:sz w:val="20"/>
          <w:szCs w:val="20"/>
          <w:lang w:val="es-ES"/>
        </w:rPr>
        <w:t xml:space="preserve">, en relación con la Acción Penal 937 mencionada por la parte peticionaria, </w:t>
      </w:r>
      <w:r w:rsidR="006F4C2C" w:rsidRPr="005B0995">
        <w:rPr>
          <w:rFonts w:asciiTheme="majorHAnsi" w:hAnsiTheme="majorHAnsi"/>
          <w:sz w:val="20"/>
          <w:szCs w:val="20"/>
          <w:lang w:val="es-ES"/>
        </w:rPr>
        <w:t xml:space="preserve">argumenta que </w:t>
      </w:r>
      <w:r w:rsidR="00291A2F" w:rsidRPr="005B0995">
        <w:rPr>
          <w:rFonts w:asciiTheme="majorHAnsi" w:hAnsiTheme="majorHAnsi"/>
          <w:sz w:val="20"/>
          <w:szCs w:val="20"/>
          <w:lang w:val="es-ES"/>
        </w:rPr>
        <w:t xml:space="preserve">si bien </w:t>
      </w:r>
      <w:r w:rsidR="006F4C2C" w:rsidRPr="005B0995">
        <w:rPr>
          <w:rFonts w:asciiTheme="majorHAnsi" w:hAnsiTheme="majorHAnsi"/>
          <w:sz w:val="20"/>
          <w:szCs w:val="20"/>
          <w:lang w:val="es-ES"/>
        </w:rPr>
        <w:t>el STF ha adoptado una interpretación más restrictiva de su competencia</w:t>
      </w:r>
      <w:r w:rsidR="00291A2F" w:rsidRPr="005B0995">
        <w:rPr>
          <w:rFonts w:asciiTheme="majorHAnsi" w:hAnsiTheme="majorHAnsi"/>
          <w:sz w:val="20"/>
          <w:szCs w:val="20"/>
          <w:lang w:val="es-ES"/>
        </w:rPr>
        <w:t xml:space="preserve"> y la aplicación del fueron en instancia única, esto </w:t>
      </w:r>
      <w:r w:rsidR="006F4C2C" w:rsidRPr="005B0995">
        <w:rPr>
          <w:rFonts w:asciiTheme="majorHAnsi" w:hAnsiTheme="majorHAnsi"/>
          <w:sz w:val="20"/>
          <w:szCs w:val="20"/>
          <w:lang w:val="es-ES"/>
        </w:rPr>
        <w:t xml:space="preserve">no significa que haya </w:t>
      </w:r>
      <w:r w:rsidR="00291A2F" w:rsidRPr="005B0995">
        <w:rPr>
          <w:rFonts w:asciiTheme="majorHAnsi" w:hAnsiTheme="majorHAnsi"/>
          <w:sz w:val="20"/>
          <w:szCs w:val="20"/>
          <w:lang w:val="es-ES"/>
        </w:rPr>
        <w:t>existido</w:t>
      </w:r>
      <w:r w:rsidR="006F4C2C" w:rsidRPr="005B0995">
        <w:rPr>
          <w:rFonts w:asciiTheme="majorHAnsi" w:hAnsiTheme="majorHAnsi"/>
          <w:sz w:val="20"/>
          <w:szCs w:val="20"/>
          <w:lang w:val="es-ES"/>
        </w:rPr>
        <w:t xml:space="preserve"> un error judicial en</w:t>
      </w:r>
      <w:r w:rsidR="00291A2F" w:rsidRPr="005B0995">
        <w:rPr>
          <w:rFonts w:asciiTheme="majorHAnsi" w:hAnsiTheme="majorHAnsi"/>
          <w:sz w:val="20"/>
          <w:szCs w:val="20"/>
          <w:lang w:val="es-ES"/>
        </w:rPr>
        <w:t xml:space="preserve"> la resolución de</w:t>
      </w:r>
      <w:r w:rsidR="006F4C2C" w:rsidRPr="005B0995">
        <w:rPr>
          <w:rFonts w:asciiTheme="majorHAnsi" w:hAnsiTheme="majorHAnsi"/>
          <w:sz w:val="20"/>
          <w:szCs w:val="20"/>
          <w:lang w:val="es-ES"/>
        </w:rPr>
        <w:t xml:space="preserve"> casos anteriores. </w:t>
      </w:r>
      <w:r w:rsidR="00291A2F" w:rsidRPr="005B0995">
        <w:rPr>
          <w:rFonts w:asciiTheme="majorHAnsi" w:hAnsiTheme="majorHAnsi"/>
          <w:sz w:val="20"/>
          <w:szCs w:val="20"/>
          <w:lang w:val="es-ES"/>
        </w:rPr>
        <w:t>En tal sentido, considera</w:t>
      </w:r>
      <w:r w:rsidR="006F4C2C" w:rsidRPr="005B0995">
        <w:rPr>
          <w:rFonts w:asciiTheme="majorHAnsi" w:hAnsiTheme="majorHAnsi"/>
          <w:sz w:val="20"/>
          <w:szCs w:val="20"/>
          <w:lang w:val="es-ES"/>
        </w:rPr>
        <w:t xml:space="preserve"> que no es correcto </w:t>
      </w:r>
      <w:r w:rsidR="00291A2F" w:rsidRPr="005B0995">
        <w:rPr>
          <w:rFonts w:asciiTheme="majorHAnsi" w:hAnsiTheme="majorHAnsi"/>
          <w:sz w:val="20"/>
          <w:szCs w:val="20"/>
          <w:lang w:val="es-ES"/>
        </w:rPr>
        <w:t>afirmar</w:t>
      </w:r>
      <w:r w:rsidR="006F4C2C" w:rsidRPr="005B0995">
        <w:rPr>
          <w:rFonts w:asciiTheme="majorHAnsi" w:hAnsiTheme="majorHAnsi"/>
          <w:sz w:val="20"/>
          <w:szCs w:val="20"/>
          <w:lang w:val="es-ES"/>
        </w:rPr>
        <w:t xml:space="preserve"> que el STF </w:t>
      </w:r>
      <w:r w:rsidR="00291A2F" w:rsidRPr="005B0995">
        <w:rPr>
          <w:rFonts w:asciiTheme="majorHAnsi" w:hAnsiTheme="majorHAnsi"/>
          <w:sz w:val="20"/>
          <w:szCs w:val="20"/>
          <w:lang w:val="es-ES"/>
        </w:rPr>
        <w:t xml:space="preserve">haya concluido </w:t>
      </w:r>
      <w:r w:rsidR="006F4C2C" w:rsidRPr="005B0995">
        <w:rPr>
          <w:rFonts w:asciiTheme="majorHAnsi" w:hAnsiTheme="majorHAnsi"/>
          <w:sz w:val="20"/>
          <w:szCs w:val="20"/>
          <w:lang w:val="es-ES"/>
        </w:rPr>
        <w:t xml:space="preserve">que el foro por </w:t>
      </w:r>
      <w:r w:rsidR="006F4C2C" w:rsidRPr="005B0995">
        <w:rPr>
          <w:rFonts w:asciiTheme="majorHAnsi" w:hAnsiTheme="majorHAnsi"/>
          <w:sz w:val="20"/>
          <w:szCs w:val="20"/>
          <w:lang w:val="es-ES"/>
        </w:rPr>
        <w:lastRenderedPageBreak/>
        <w:t xml:space="preserve">prerrogativa de función </w:t>
      </w:r>
      <w:r w:rsidRPr="005B0995">
        <w:rPr>
          <w:rFonts w:asciiTheme="majorHAnsi" w:hAnsiTheme="majorHAnsi"/>
          <w:sz w:val="20"/>
          <w:szCs w:val="20"/>
          <w:lang w:val="es-ES"/>
        </w:rPr>
        <w:t>era inadecuado</w:t>
      </w:r>
      <w:r w:rsidR="006F4C2C" w:rsidRPr="005B0995">
        <w:rPr>
          <w:rFonts w:asciiTheme="majorHAnsi" w:hAnsiTheme="majorHAnsi"/>
          <w:sz w:val="20"/>
          <w:szCs w:val="20"/>
          <w:lang w:val="es-ES"/>
        </w:rPr>
        <w:t>, sino que solamente mejoró la aplicación de</w:t>
      </w:r>
      <w:r w:rsidRPr="005B0995">
        <w:rPr>
          <w:rFonts w:asciiTheme="majorHAnsi" w:hAnsiTheme="majorHAnsi"/>
          <w:sz w:val="20"/>
          <w:szCs w:val="20"/>
          <w:lang w:val="es-ES"/>
        </w:rPr>
        <w:t xml:space="preserve"> dicha figura jurídica</w:t>
      </w:r>
      <w:r w:rsidR="006F4C2C" w:rsidRPr="005B0995">
        <w:rPr>
          <w:rFonts w:asciiTheme="majorHAnsi" w:hAnsiTheme="majorHAnsi"/>
          <w:sz w:val="20"/>
          <w:szCs w:val="20"/>
          <w:lang w:val="es-ES"/>
        </w:rPr>
        <w:t>.</w:t>
      </w:r>
      <w:r w:rsidRPr="005B0995">
        <w:rPr>
          <w:rFonts w:asciiTheme="majorHAnsi" w:hAnsiTheme="majorHAnsi"/>
          <w:sz w:val="20"/>
          <w:szCs w:val="20"/>
          <w:lang w:val="es-ES"/>
        </w:rPr>
        <w:t xml:space="preserve"> </w:t>
      </w:r>
    </w:p>
    <w:p w14:paraId="782736B5" w14:textId="3BF8D14E" w:rsidR="003066A4" w:rsidRPr="005B0995" w:rsidRDefault="003066A4" w:rsidP="003066A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Finalmente, en cuanto a la ejecución de las condenas, informa que el 13 de noviembre de 2013 el STF decidió la inmediata ejecución de la sentencia condenatoria con respecto a los temas que no fueron impugnados por recursos de casación reglamentarios. En cuanto al Sr. Vinicius Samarane, el STF reconoció que la defensa interpuso </w:t>
      </w:r>
      <w:r w:rsidR="0020258E" w:rsidRPr="005B0995">
        <w:rPr>
          <w:rFonts w:asciiTheme="majorHAnsi" w:hAnsiTheme="majorHAnsi"/>
          <w:sz w:val="20"/>
          <w:szCs w:val="20"/>
          <w:lang w:val="es-ES"/>
        </w:rPr>
        <w:t xml:space="preserve">este </w:t>
      </w:r>
      <w:r w:rsidRPr="005B0995">
        <w:rPr>
          <w:rFonts w:asciiTheme="majorHAnsi" w:hAnsiTheme="majorHAnsi"/>
          <w:sz w:val="20"/>
          <w:szCs w:val="20"/>
          <w:lang w:val="es-ES"/>
        </w:rPr>
        <w:t xml:space="preserve">recurso; sin embargo, aclaró que su recurso de casación reglamentario no cumplía con el requisito básico de que su condena hubiera sido adoptada por medio de decisión del tribunal con divergencia de al menos cuatro magistrados constitucionales. Debido a ello, el STF consideró que la condena se encontraba firme y, en consecuencia, resultaba viable su encarcelamiento. Con respecto a la Sra. Katia Rabello y el Sr. José Roberto Salgado, el STF también dispuso su encarcelamiento, al entender que su condena era final e inapelable respecto de los delitos de lavado de activos, gestión fraudulenta de entidad financiera y evasión de divisas, con la salvedad de que se admitieran sus recursos colegiados para absolverlos de la imputación de formación de pandilla (concierto para delinquir). </w:t>
      </w:r>
    </w:p>
    <w:p w14:paraId="32E43738" w14:textId="5E497A3C" w:rsidR="003066A4" w:rsidRPr="005B0995" w:rsidRDefault="003066A4" w:rsidP="003066A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Por las razones expuestas, el Estado solicita que la petición sea declarada inadmisible por carecer de argumentos que demuestren, </w:t>
      </w:r>
      <w:r w:rsidRPr="005B0995">
        <w:rPr>
          <w:rFonts w:asciiTheme="majorHAnsi" w:hAnsiTheme="majorHAnsi"/>
          <w:i/>
          <w:iCs/>
          <w:sz w:val="20"/>
          <w:szCs w:val="20"/>
          <w:lang w:val="es-ES"/>
        </w:rPr>
        <w:t>prima facie</w:t>
      </w:r>
      <w:r w:rsidRPr="005B0995">
        <w:rPr>
          <w:rFonts w:asciiTheme="majorHAnsi" w:hAnsiTheme="majorHAnsi"/>
          <w:sz w:val="20"/>
          <w:szCs w:val="20"/>
          <w:lang w:val="es-ES"/>
        </w:rPr>
        <w:t>, una afectación de derechos.</w:t>
      </w:r>
    </w:p>
    <w:p w14:paraId="6B466593" w14:textId="4105C562" w:rsidR="00B83158" w:rsidRPr="005B0995" w:rsidRDefault="00B83158" w:rsidP="0013047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UY"/>
        </w:rPr>
      </w:pPr>
      <w:r w:rsidRPr="005B0995">
        <w:rPr>
          <w:rFonts w:asciiTheme="majorHAnsi" w:hAnsiTheme="majorHAnsi"/>
          <w:b/>
          <w:sz w:val="20"/>
          <w:szCs w:val="20"/>
          <w:lang w:val="es-UY"/>
        </w:rPr>
        <w:t xml:space="preserve">VI. </w:t>
      </w:r>
      <w:r w:rsidRPr="005B0995">
        <w:rPr>
          <w:rFonts w:asciiTheme="majorHAnsi" w:hAnsiTheme="majorHAnsi"/>
          <w:b/>
          <w:sz w:val="20"/>
          <w:szCs w:val="20"/>
          <w:lang w:val="es-UY"/>
        </w:rPr>
        <w:tab/>
      </w:r>
      <w:r w:rsidRPr="005B0995">
        <w:rPr>
          <w:rFonts w:asciiTheme="majorHAnsi" w:hAnsiTheme="majorHAnsi"/>
          <w:b/>
          <w:bCs/>
          <w:sz w:val="20"/>
          <w:szCs w:val="20"/>
          <w:lang w:val="es-ES_tradnl"/>
        </w:rPr>
        <w:t xml:space="preserve">ANÁLISIS DE </w:t>
      </w:r>
      <w:r w:rsidRPr="005B0995">
        <w:rPr>
          <w:rFonts w:asciiTheme="majorHAnsi" w:hAnsiTheme="majorHAnsi"/>
          <w:b/>
          <w:sz w:val="20"/>
          <w:szCs w:val="20"/>
          <w:lang w:val="es-ES"/>
        </w:rPr>
        <w:t>AGOTAMIENTO DE LOS RECURSOS INTERNOS Y PLAZO DE PRESENTACIÓN</w:t>
      </w:r>
      <w:r w:rsidRPr="005B0995">
        <w:rPr>
          <w:rFonts w:asciiTheme="majorHAnsi" w:hAnsiTheme="majorHAnsi"/>
          <w:b/>
          <w:bCs/>
          <w:sz w:val="20"/>
          <w:szCs w:val="20"/>
          <w:lang w:val="es-ES"/>
        </w:rPr>
        <w:t xml:space="preserve"> </w:t>
      </w:r>
    </w:p>
    <w:p w14:paraId="780E2FCE" w14:textId="32A836F0" w:rsidR="002423D3" w:rsidRPr="005B0995" w:rsidRDefault="00AC4D03" w:rsidP="002C799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La petición tiene como objeto principal la condena criminal de José Roberto Salgado, Kátia Rabello y Vinicius Samarane por medio de un proceso que </w:t>
      </w:r>
      <w:r w:rsidR="00062B3E" w:rsidRPr="005B0995">
        <w:rPr>
          <w:rFonts w:asciiTheme="majorHAnsi" w:hAnsiTheme="majorHAnsi"/>
          <w:sz w:val="20"/>
          <w:szCs w:val="20"/>
          <w:lang w:val="es-ES"/>
        </w:rPr>
        <w:t>se</w:t>
      </w:r>
      <w:r w:rsidRPr="005B0995">
        <w:rPr>
          <w:rFonts w:asciiTheme="majorHAnsi" w:hAnsiTheme="majorHAnsi"/>
          <w:sz w:val="20"/>
          <w:szCs w:val="20"/>
          <w:lang w:val="es-ES"/>
        </w:rPr>
        <w:t xml:space="preserve"> tramit</w:t>
      </w:r>
      <w:r w:rsidR="00062B3E" w:rsidRPr="005B0995">
        <w:rPr>
          <w:rFonts w:asciiTheme="majorHAnsi" w:hAnsiTheme="majorHAnsi"/>
          <w:sz w:val="20"/>
          <w:szCs w:val="20"/>
          <w:lang w:val="es-ES"/>
        </w:rPr>
        <w:t>ó</w:t>
      </w:r>
      <w:r w:rsidRPr="005B0995">
        <w:rPr>
          <w:rFonts w:asciiTheme="majorHAnsi" w:hAnsiTheme="majorHAnsi"/>
          <w:sz w:val="20"/>
          <w:szCs w:val="20"/>
          <w:lang w:val="es-ES"/>
        </w:rPr>
        <w:t xml:space="preserve"> en la misma instancia, el Supremo Tribunal Federal.</w:t>
      </w:r>
      <w:r w:rsidR="009F7D57" w:rsidRPr="005B0995">
        <w:rPr>
          <w:rFonts w:asciiTheme="majorHAnsi" w:hAnsiTheme="majorHAnsi"/>
          <w:sz w:val="20"/>
          <w:szCs w:val="20"/>
          <w:lang w:val="es-ES"/>
        </w:rPr>
        <w:t xml:space="preserve"> </w:t>
      </w:r>
      <w:r w:rsidR="008C7E6F" w:rsidRPr="005B0995">
        <w:rPr>
          <w:rFonts w:asciiTheme="majorHAnsi" w:hAnsiTheme="majorHAnsi"/>
          <w:sz w:val="20"/>
          <w:szCs w:val="20"/>
          <w:lang w:val="es-ES"/>
        </w:rPr>
        <w:t xml:space="preserve">Para la parte peticionaria, el agotamiento se produjo tras la última decisión referente a las presuntas víctimas en el marco del proceso penal, en abril de 2014, porque el tema de la necesidad de doble grado de jurisdicción </w:t>
      </w:r>
      <w:r w:rsidR="009024BF" w:rsidRPr="005B0995">
        <w:rPr>
          <w:rFonts w:asciiTheme="majorHAnsi" w:hAnsiTheme="majorHAnsi"/>
          <w:sz w:val="20"/>
          <w:szCs w:val="20"/>
          <w:lang w:val="es-ES"/>
        </w:rPr>
        <w:t>es</w:t>
      </w:r>
      <w:r w:rsidR="008C7E6F" w:rsidRPr="005B0995">
        <w:rPr>
          <w:rFonts w:asciiTheme="majorHAnsi" w:hAnsiTheme="majorHAnsi"/>
          <w:sz w:val="20"/>
          <w:szCs w:val="20"/>
          <w:lang w:val="es-ES"/>
        </w:rPr>
        <w:t>, a nivel interno, una cuestión de orden público que, por esta razón, podría ser evaluada durante cualquier etapa procesal.</w:t>
      </w:r>
      <w:r w:rsidR="009F7D57" w:rsidRPr="005B0995">
        <w:rPr>
          <w:rFonts w:asciiTheme="majorHAnsi" w:hAnsiTheme="majorHAnsi"/>
          <w:sz w:val="20"/>
          <w:szCs w:val="20"/>
          <w:lang w:val="es-ES"/>
        </w:rPr>
        <w:t xml:space="preserve"> </w:t>
      </w:r>
    </w:p>
    <w:p w14:paraId="5F25945A" w14:textId="12D91C79" w:rsidR="009F7D57" w:rsidRPr="005B0995" w:rsidRDefault="008C7E6F" w:rsidP="00650611">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Para </w:t>
      </w:r>
      <w:r w:rsidR="00490E46" w:rsidRPr="005B0995">
        <w:rPr>
          <w:rFonts w:asciiTheme="majorHAnsi" w:hAnsiTheme="majorHAnsi"/>
          <w:sz w:val="20"/>
          <w:szCs w:val="20"/>
          <w:lang w:val="es-ES"/>
        </w:rPr>
        <w:t xml:space="preserve">el Estado, los recursos se agotaron cuando el STF decidió, el 6 de diciembre de 2006, mantener </w:t>
      </w:r>
      <w:r w:rsidR="008F4D06" w:rsidRPr="005B0995">
        <w:rPr>
          <w:rFonts w:asciiTheme="majorHAnsi" w:hAnsiTheme="majorHAnsi"/>
          <w:sz w:val="20"/>
          <w:szCs w:val="20"/>
          <w:lang w:val="es-ES"/>
        </w:rPr>
        <w:t>a todos los imputados</w:t>
      </w:r>
      <w:r w:rsidR="00490E46" w:rsidRPr="005B0995">
        <w:rPr>
          <w:rFonts w:asciiTheme="majorHAnsi" w:hAnsiTheme="majorHAnsi"/>
          <w:sz w:val="20"/>
          <w:szCs w:val="20"/>
          <w:lang w:val="es-ES"/>
        </w:rPr>
        <w:t xml:space="preserve"> bajo el mismo proceso de competencia originaria del mismo STF. Así, como la parte peticionaria presentó la denuncia ante la CIDH el 11 de abril de 2014, la petición sería inadmisible por incumplir el plazo de presentación del artículo 46.1.b</w:t>
      </w:r>
      <w:r w:rsidR="0060312E" w:rsidRPr="005B0995">
        <w:rPr>
          <w:rFonts w:asciiTheme="majorHAnsi" w:hAnsiTheme="majorHAnsi"/>
          <w:sz w:val="20"/>
          <w:szCs w:val="20"/>
          <w:lang w:val="es-ES"/>
        </w:rPr>
        <w:t>)</w:t>
      </w:r>
      <w:r w:rsidR="00490E46" w:rsidRPr="005B0995">
        <w:rPr>
          <w:rFonts w:asciiTheme="majorHAnsi" w:hAnsiTheme="majorHAnsi"/>
          <w:sz w:val="20"/>
          <w:szCs w:val="20"/>
          <w:lang w:val="es-ES"/>
        </w:rPr>
        <w:t xml:space="preserve"> de la Convención Americana.</w:t>
      </w:r>
      <w:r w:rsidRPr="005B0995">
        <w:rPr>
          <w:rFonts w:asciiTheme="majorHAnsi" w:hAnsiTheme="majorHAnsi"/>
          <w:sz w:val="20"/>
          <w:szCs w:val="20"/>
          <w:lang w:val="es-ES"/>
        </w:rPr>
        <w:t xml:space="preserve"> </w:t>
      </w:r>
      <w:r w:rsidR="009F7D57" w:rsidRPr="005B0995">
        <w:rPr>
          <w:rFonts w:asciiTheme="majorHAnsi" w:hAnsiTheme="majorHAnsi"/>
          <w:i/>
          <w:iCs/>
          <w:sz w:val="20"/>
          <w:szCs w:val="20"/>
          <w:lang w:val="es-ES"/>
        </w:rPr>
        <w:t>Ad argumentandum</w:t>
      </w:r>
      <w:r w:rsidRPr="005B0995">
        <w:rPr>
          <w:rFonts w:asciiTheme="majorHAnsi" w:hAnsiTheme="majorHAnsi"/>
          <w:sz w:val="20"/>
          <w:szCs w:val="20"/>
          <w:lang w:val="es-ES"/>
        </w:rPr>
        <w:t xml:space="preserve">, </w:t>
      </w:r>
      <w:r w:rsidR="009F7D57" w:rsidRPr="005B0995">
        <w:rPr>
          <w:rFonts w:asciiTheme="majorHAnsi" w:hAnsiTheme="majorHAnsi"/>
          <w:sz w:val="20"/>
          <w:szCs w:val="20"/>
          <w:lang w:val="es-ES"/>
        </w:rPr>
        <w:t xml:space="preserve">el Estado indica que el 2 de agosto de 2012 el STF rechazó una solicitud de </w:t>
      </w:r>
      <w:r w:rsidR="00F31705" w:rsidRPr="005B0995">
        <w:rPr>
          <w:rFonts w:asciiTheme="majorHAnsi" w:hAnsiTheme="majorHAnsi"/>
          <w:sz w:val="20"/>
          <w:szCs w:val="20"/>
          <w:lang w:val="es-ES"/>
        </w:rPr>
        <w:t>desglose</w:t>
      </w:r>
      <w:r w:rsidR="009F7D57" w:rsidRPr="005B0995">
        <w:rPr>
          <w:rFonts w:asciiTheme="majorHAnsi" w:hAnsiTheme="majorHAnsi"/>
          <w:sz w:val="20"/>
          <w:szCs w:val="20"/>
          <w:lang w:val="es-ES"/>
        </w:rPr>
        <w:t xml:space="preserve"> del proceso vis-à-vis las presuntas víctimas y demás imputados que no eran políticos; después de esta decisión, Kátia Rabello y Vinicius Samarane no presentaron nuevas solicitudes con respecto a este tema; por tanto, en cuanto a la Sra. Rabello y al Sr. Samarane los recursos internos se agotaron el 2 de agosto de 2012.</w:t>
      </w:r>
    </w:p>
    <w:p w14:paraId="4808714F" w14:textId="14621430" w:rsidR="002423D3" w:rsidRPr="005B0995" w:rsidRDefault="00490E46" w:rsidP="003D012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0" w:firstLine="720"/>
        <w:jc w:val="both"/>
        <w:rPr>
          <w:rFonts w:asciiTheme="majorHAnsi" w:hAnsiTheme="majorHAnsi"/>
          <w:sz w:val="20"/>
          <w:szCs w:val="20"/>
          <w:lang w:val="es-ES"/>
        </w:rPr>
      </w:pPr>
      <w:r w:rsidRPr="005B0995">
        <w:rPr>
          <w:rFonts w:asciiTheme="majorHAnsi" w:hAnsiTheme="majorHAnsi"/>
          <w:sz w:val="20"/>
          <w:szCs w:val="20"/>
          <w:lang w:val="es-ES"/>
        </w:rPr>
        <w:t>El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w:t>
      </w:r>
      <w:r w:rsidR="00C66080" w:rsidRPr="005B0995">
        <w:rPr>
          <w:rFonts w:asciiTheme="majorHAnsi" w:hAnsiTheme="majorHAnsi"/>
          <w:sz w:val="20"/>
          <w:szCs w:val="20"/>
          <w:lang w:val="es-ES"/>
        </w:rPr>
        <w:t xml:space="preserve"> En el presente caso, la situación que la parte peticionaria alega vulnerar los derechos convencionales de las presuntas víctimas</w:t>
      </w:r>
      <w:r w:rsidR="0036120D" w:rsidRPr="005B0995">
        <w:rPr>
          <w:rFonts w:asciiTheme="majorHAnsi" w:hAnsiTheme="majorHAnsi"/>
          <w:sz w:val="20"/>
          <w:szCs w:val="20"/>
          <w:lang w:val="es-ES"/>
        </w:rPr>
        <w:t xml:space="preserve"> es la de que</w:t>
      </w:r>
      <w:r w:rsidR="00C66080" w:rsidRPr="005B0995">
        <w:rPr>
          <w:rFonts w:asciiTheme="majorHAnsi" w:hAnsiTheme="majorHAnsi"/>
          <w:sz w:val="20"/>
          <w:szCs w:val="20"/>
          <w:lang w:val="es-ES"/>
        </w:rPr>
        <w:t xml:space="preserve"> su juzgamiento ante el STF</w:t>
      </w:r>
      <w:r w:rsidR="0036120D" w:rsidRPr="005B0995">
        <w:rPr>
          <w:rFonts w:asciiTheme="majorHAnsi" w:hAnsiTheme="majorHAnsi"/>
          <w:sz w:val="20"/>
          <w:szCs w:val="20"/>
          <w:lang w:val="es-ES"/>
        </w:rPr>
        <w:t xml:space="preserve"> se produjo</w:t>
      </w:r>
      <w:r w:rsidR="00C66080" w:rsidRPr="005B0995">
        <w:rPr>
          <w:rFonts w:asciiTheme="majorHAnsi" w:hAnsiTheme="majorHAnsi"/>
          <w:sz w:val="20"/>
          <w:szCs w:val="20"/>
          <w:lang w:val="es-ES"/>
        </w:rPr>
        <w:t xml:space="preserve"> sin la revisión </w:t>
      </w:r>
      <w:r w:rsidR="0036120D" w:rsidRPr="005B0995">
        <w:rPr>
          <w:rFonts w:asciiTheme="majorHAnsi" w:hAnsiTheme="majorHAnsi"/>
          <w:sz w:val="20"/>
          <w:szCs w:val="20"/>
          <w:lang w:val="es-ES"/>
        </w:rPr>
        <w:t xml:space="preserve">del </w:t>
      </w:r>
      <w:r w:rsidR="00C66080" w:rsidRPr="005B0995">
        <w:rPr>
          <w:rFonts w:asciiTheme="majorHAnsi" w:hAnsiTheme="majorHAnsi"/>
          <w:sz w:val="20"/>
          <w:szCs w:val="20"/>
          <w:lang w:val="es-ES"/>
        </w:rPr>
        <w:t>caso por otra instancia o tribunal interno</w:t>
      </w:r>
      <w:r w:rsidR="0036120D" w:rsidRPr="005B0995">
        <w:rPr>
          <w:rFonts w:asciiTheme="majorHAnsi" w:hAnsiTheme="majorHAnsi"/>
          <w:sz w:val="20"/>
          <w:szCs w:val="20"/>
          <w:lang w:val="es-ES"/>
        </w:rPr>
        <w:t xml:space="preserve">. </w:t>
      </w:r>
      <w:r w:rsidR="003F4205" w:rsidRPr="005B0995">
        <w:rPr>
          <w:rFonts w:asciiTheme="majorHAnsi" w:hAnsiTheme="majorHAnsi"/>
          <w:sz w:val="20"/>
          <w:szCs w:val="20"/>
          <w:lang w:val="es-ES"/>
        </w:rPr>
        <w:t xml:space="preserve">La posición del Estado de que el tema se agotó con la decisión del 6 de diciembre de 2006 </w:t>
      </w:r>
      <w:r w:rsidR="00720C06" w:rsidRPr="005B0995">
        <w:rPr>
          <w:rFonts w:asciiTheme="majorHAnsi" w:hAnsiTheme="majorHAnsi"/>
          <w:sz w:val="20"/>
          <w:szCs w:val="20"/>
          <w:lang w:val="es-ES"/>
        </w:rPr>
        <w:t>es cuestionable</w:t>
      </w:r>
      <w:r w:rsidR="003F4205" w:rsidRPr="005B0995">
        <w:rPr>
          <w:rFonts w:asciiTheme="majorHAnsi" w:hAnsiTheme="majorHAnsi"/>
          <w:sz w:val="20"/>
          <w:szCs w:val="20"/>
          <w:lang w:val="es-ES"/>
        </w:rPr>
        <w:t xml:space="preserve">; el propio Estado menciona que el STF volvió a expresarse sobre el tema, </w:t>
      </w:r>
      <w:r w:rsidR="003F4205" w:rsidRPr="005B0995">
        <w:rPr>
          <w:rFonts w:asciiTheme="majorHAnsi" w:hAnsiTheme="majorHAnsi"/>
          <w:i/>
          <w:iCs/>
          <w:sz w:val="20"/>
          <w:szCs w:val="20"/>
          <w:lang w:val="es-ES"/>
        </w:rPr>
        <w:t>e.g.</w:t>
      </w:r>
      <w:r w:rsidR="003F4205" w:rsidRPr="005B0995">
        <w:rPr>
          <w:rFonts w:asciiTheme="majorHAnsi" w:hAnsiTheme="majorHAnsi"/>
          <w:sz w:val="20"/>
          <w:szCs w:val="20"/>
          <w:lang w:val="es-ES"/>
        </w:rPr>
        <w:t xml:space="preserve">, en 2 de agosto de 2012. En realidad, el STF podría pronunciarse sobre esta situación con respecto a las presuntas víctimas, </w:t>
      </w:r>
      <w:r w:rsidR="003F4205" w:rsidRPr="005B0995">
        <w:rPr>
          <w:rFonts w:asciiTheme="majorHAnsi" w:hAnsiTheme="majorHAnsi"/>
          <w:i/>
          <w:iCs/>
          <w:sz w:val="20"/>
          <w:szCs w:val="20"/>
          <w:lang w:val="es-ES"/>
        </w:rPr>
        <w:t>ex officio</w:t>
      </w:r>
      <w:r w:rsidR="003F4205" w:rsidRPr="005B0995">
        <w:rPr>
          <w:rFonts w:asciiTheme="majorHAnsi" w:hAnsiTheme="majorHAnsi"/>
          <w:sz w:val="20"/>
          <w:szCs w:val="20"/>
          <w:lang w:val="es-ES"/>
        </w:rPr>
        <w:t xml:space="preserve">, en cualquier momento o etapa procesal. </w:t>
      </w:r>
      <w:r w:rsidR="00F87F0D" w:rsidRPr="005B0995">
        <w:rPr>
          <w:rFonts w:asciiTheme="majorHAnsi" w:hAnsiTheme="majorHAnsi"/>
          <w:sz w:val="20"/>
          <w:szCs w:val="20"/>
          <w:lang w:val="es-ES"/>
        </w:rPr>
        <w:t>Esta característica fue señalada por la parte peticionaria y, si bien el Estado ha hecho la salvedad de que la cuestión de la jurisdicción podría, "en teoría", ser alegada "en cualquier momento", el Estado no controvierte directamente que se trata de una cuestión de orden público (por lo tanto, conocible de oficio en cualquiera de las etapas procesales).</w:t>
      </w:r>
    </w:p>
    <w:p w14:paraId="0CA63050" w14:textId="29CE37FA" w:rsidR="006B19CB" w:rsidRPr="005B0995" w:rsidRDefault="002423D3" w:rsidP="00E327B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Sin embargo, la Comisión Interamericana considera que las presuntas víctimas no tuvieron la posibilidad de recurrir, ante juez o tribunal superior, el fallo del STF que determinó su propia competencia para actuar en el caso. El pleno del STF fue responsable por decidir sobre </w:t>
      </w:r>
      <w:r w:rsidR="008422DE" w:rsidRPr="005B0995">
        <w:rPr>
          <w:rFonts w:asciiTheme="majorHAnsi" w:hAnsiTheme="majorHAnsi"/>
          <w:sz w:val="20"/>
          <w:szCs w:val="20"/>
          <w:lang w:val="es-ES"/>
        </w:rPr>
        <w:t xml:space="preserve">el inicio </w:t>
      </w:r>
      <w:r w:rsidRPr="005B0995">
        <w:rPr>
          <w:rFonts w:asciiTheme="majorHAnsi" w:hAnsiTheme="majorHAnsi"/>
          <w:sz w:val="20"/>
          <w:szCs w:val="20"/>
          <w:lang w:val="es-ES"/>
        </w:rPr>
        <w:t>del proceso penal en contra de las presuntas víctimas</w:t>
      </w:r>
      <w:r w:rsidR="008422DE" w:rsidRPr="005B0995">
        <w:rPr>
          <w:rFonts w:asciiTheme="majorHAnsi" w:hAnsiTheme="majorHAnsi"/>
          <w:sz w:val="20"/>
          <w:szCs w:val="20"/>
          <w:lang w:val="es-ES"/>
        </w:rPr>
        <w:t>. Igualmente, el pleno fue responsable</w:t>
      </w:r>
      <w:r w:rsidRPr="005B0995">
        <w:rPr>
          <w:rFonts w:asciiTheme="majorHAnsi" w:hAnsiTheme="majorHAnsi"/>
          <w:sz w:val="20"/>
          <w:szCs w:val="20"/>
          <w:lang w:val="es-ES"/>
        </w:rPr>
        <w:t xml:space="preserve"> por la sentencia de primera instancia que determinó su condena penal. </w:t>
      </w:r>
      <w:r w:rsidR="00F309E3" w:rsidRPr="005B0995">
        <w:rPr>
          <w:rFonts w:asciiTheme="majorHAnsi" w:hAnsiTheme="majorHAnsi"/>
          <w:sz w:val="20"/>
          <w:szCs w:val="20"/>
          <w:lang w:val="es-ES"/>
        </w:rPr>
        <w:t>El proceso</w:t>
      </w:r>
      <w:r w:rsidR="008422DE" w:rsidRPr="005B0995">
        <w:rPr>
          <w:rFonts w:asciiTheme="majorHAnsi" w:hAnsiTheme="majorHAnsi"/>
          <w:sz w:val="20"/>
          <w:szCs w:val="20"/>
          <w:lang w:val="es-ES"/>
        </w:rPr>
        <w:t xml:space="preserve"> </w:t>
      </w:r>
      <w:r w:rsidR="00F309E3" w:rsidRPr="005B0995">
        <w:rPr>
          <w:rFonts w:asciiTheme="majorHAnsi" w:hAnsiTheme="majorHAnsi"/>
          <w:sz w:val="20"/>
          <w:szCs w:val="20"/>
          <w:lang w:val="es-ES"/>
        </w:rPr>
        <w:t>fue tramitado de tal forma que los recursos presentados por las presuntas víctimas con posterioridad a su condena penal siempre fueron examinados por jueces que habían formado parte del fallo condenatorio inicial.</w:t>
      </w:r>
      <w:r w:rsidR="008422DE" w:rsidRPr="005B0995">
        <w:rPr>
          <w:rFonts w:asciiTheme="majorHAnsi" w:hAnsiTheme="majorHAnsi"/>
          <w:sz w:val="20"/>
          <w:szCs w:val="20"/>
          <w:lang w:val="es-ES"/>
        </w:rPr>
        <w:t xml:space="preserve"> En este sentido, las presuntas víctimas no podían recurrir a otro tribunal, </w:t>
      </w:r>
      <w:r w:rsidR="008422DE" w:rsidRPr="005B0995">
        <w:rPr>
          <w:rFonts w:asciiTheme="majorHAnsi" w:hAnsiTheme="majorHAnsi"/>
          <w:sz w:val="20"/>
          <w:szCs w:val="20"/>
          <w:lang w:val="es-ES"/>
        </w:rPr>
        <w:lastRenderedPageBreak/>
        <w:t xml:space="preserve">ni a otros jueces del mismo tribunal. </w:t>
      </w:r>
      <w:r w:rsidR="00F309E3" w:rsidRPr="005B0995">
        <w:rPr>
          <w:rFonts w:asciiTheme="majorHAnsi" w:hAnsiTheme="majorHAnsi"/>
          <w:sz w:val="20"/>
          <w:szCs w:val="20"/>
          <w:lang w:val="es-ES"/>
        </w:rPr>
        <w:t>Teniendo en cuenta el expuesto y la jurisprudencia de la CIDH</w:t>
      </w:r>
      <w:r w:rsidR="001F44A9">
        <w:rPr>
          <w:rFonts w:asciiTheme="majorHAnsi" w:hAnsiTheme="majorHAnsi"/>
          <w:sz w:val="20"/>
          <w:szCs w:val="20"/>
          <w:lang w:val="es-ES"/>
        </w:rPr>
        <w:t>,</w:t>
      </w:r>
      <w:r w:rsidR="00F309E3" w:rsidRPr="005B0995">
        <w:rPr>
          <w:rFonts w:asciiTheme="majorHAnsi" w:hAnsiTheme="majorHAnsi"/>
          <w:bCs/>
          <w:sz w:val="20"/>
          <w:szCs w:val="20"/>
          <w:vertAlign w:val="superscript"/>
        </w:rPr>
        <w:footnoteReference w:id="5"/>
      </w:r>
      <w:r w:rsidR="00F309E3" w:rsidRPr="005B0995">
        <w:rPr>
          <w:rFonts w:asciiTheme="majorHAnsi" w:hAnsiTheme="majorHAnsi"/>
          <w:sz w:val="20"/>
          <w:szCs w:val="20"/>
          <w:lang w:val="es-ES"/>
        </w:rPr>
        <w:t xml:space="preserve"> la Comisión concluye ser aplicable la excepción al deber de agotamiento de los recursos domésticos plasmada en el artículo 46.2.a) de la Convención Americana. </w:t>
      </w:r>
      <w:r w:rsidR="00F87F0D" w:rsidRPr="005B0995">
        <w:rPr>
          <w:rFonts w:asciiTheme="majorHAnsi" w:hAnsiTheme="majorHAnsi"/>
          <w:sz w:val="20"/>
          <w:szCs w:val="20"/>
          <w:lang w:val="es-ES"/>
        </w:rPr>
        <w:t xml:space="preserve">Considerando que la denuncia a la CIDH fue presentada el 11 de abril de 2014, </w:t>
      </w:r>
      <w:r w:rsidR="00F309E3" w:rsidRPr="005B0995">
        <w:rPr>
          <w:rFonts w:asciiTheme="majorHAnsi" w:hAnsiTheme="majorHAnsi"/>
          <w:sz w:val="20"/>
          <w:szCs w:val="20"/>
          <w:lang w:val="es-ES"/>
        </w:rPr>
        <w:t>la Comisión considera que esta fue presentada en cumplimiento del artículo 32.2 de su Reglamento.</w:t>
      </w:r>
    </w:p>
    <w:p w14:paraId="514A0A9B" w14:textId="0A2B599C" w:rsidR="00F309E3" w:rsidRPr="005B0995" w:rsidRDefault="00F309E3" w:rsidP="00F275D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0" w:firstLine="720"/>
        <w:jc w:val="both"/>
        <w:rPr>
          <w:rFonts w:asciiTheme="majorHAnsi" w:hAnsiTheme="majorHAnsi"/>
          <w:sz w:val="20"/>
          <w:szCs w:val="20"/>
          <w:lang w:val="es-ES"/>
        </w:rPr>
      </w:pPr>
      <w:r w:rsidRPr="005B0995">
        <w:rPr>
          <w:rFonts w:asciiTheme="majorHAnsi" w:hAnsiTheme="majorHAnsi"/>
          <w:sz w:val="20"/>
          <w:szCs w:val="20"/>
          <w:lang w:val="es-ES"/>
        </w:rPr>
        <w:t>En conclusión, la CIDH aclara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Esta determinación constituye un análisis primario, que no implica prejuzgar sobre el fondo del asunto</w:t>
      </w:r>
      <w:r w:rsidR="001F44A9">
        <w:rPr>
          <w:rFonts w:asciiTheme="majorHAnsi" w:hAnsiTheme="majorHAnsi"/>
          <w:sz w:val="20"/>
          <w:szCs w:val="20"/>
          <w:lang w:val="es-ES"/>
        </w:rPr>
        <w:t>.</w:t>
      </w:r>
      <w:r w:rsidRPr="005B0995">
        <w:rPr>
          <w:rFonts w:asciiTheme="majorHAnsi" w:hAnsiTheme="majorHAnsi"/>
          <w:bCs/>
          <w:sz w:val="20"/>
          <w:szCs w:val="20"/>
          <w:vertAlign w:val="superscript"/>
        </w:rPr>
        <w:footnoteReference w:id="6"/>
      </w:r>
    </w:p>
    <w:p w14:paraId="2C613E54" w14:textId="77777777" w:rsidR="00C9124E" w:rsidRPr="005B0995" w:rsidRDefault="00C9124E" w:rsidP="00C9124E">
      <w:pPr>
        <w:pStyle w:val="ListParagraph"/>
        <w:spacing w:before="240" w:after="240"/>
        <w:ind w:left="758"/>
        <w:jc w:val="both"/>
        <w:rPr>
          <w:rFonts w:asciiTheme="majorHAnsi" w:hAnsiTheme="majorHAnsi"/>
          <w:b/>
          <w:sz w:val="20"/>
          <w:szCs w:val="20"/>
          <w:lang w:val="es-ES"/>
        </w:rPr>
      </w:pPr>
      <w:r w:rsidRPr="005B0995">
        <w:rPr>
          <w:rFonts w:asciiTheme="majorHAnsi" w:hAnsiTheme="majorHAnsi"/>
          <w:b/>
          <w:sz w:val="20"/>
          <w:szCs w:val="20"/>
          <w:lang w:val="es-UY"/>
        </w:rPr>
        <w:t xml:space="preserve">VII. </w:t>
      </w:r>
      <w:r w:rsidRPr="005B0995">
        <w:rPr>
          <w:rFonts w:asciiTheme="majorHAnsi" w:hAnsiTheme="majorHAnsi"/>
          <w:b/>
          <w:sz w:val="20"/>
          <w:szCs w:val="20"/>
          <w:lang w:val="es-UY"/>
        </w:rPr>
        <w:tab/>
      </w:r>
      <w:r w:rsidRPr="005B0995">
        <w:rPr>
          <w:rFonts w:asciiTheme="majorHAnsi" w:hAnsiTheme="majorHAnsi"/>
          <w:b/>
          <w:bCs/>
          <w:sz w:val="20"/>
          <w:szCs w:val="20"/>
          <w:lang w:val="es-ES_tradnl"/>
        </w:rPr>
        <w:t xml:space="preserve">ANÁLISIS DE </w:t>
      </w:r>
      <w:r w:rsidRPr="005B0995">
        <w:rPr>
          <w:rFonts w:asciiTheme="majorHAnsi" w:hAnsiTheme="majorHAnsi"/>
          <w:b/>
          <w:bCs/>
          <w:sz w:val="20"/>
          <w:szCs w:val="20"/>
          <w:lang w:val="es-ES"/>
        </w:rPr>
        <w:t xml:space="preserve">CARACTERIZACIÓN </w:t>
      </w:r>
      <w:r w:rsidRPr="005B0995">
        <w:rPr>
          <w:rFonts w:asciiTheme="majorHAnsi" w:hAnsiTheme="majorHAnsi"/>
          <w:b/>
          <w:bCs/>
          <w:sz w:val="20"/>
          <w:szCs w:val="20"/>
          <w:lang w:val="es-UY"/>
        </w:rPr>
        <w:t>DE LOS HECHOS ALEGADOS</w:t>
      </w:r>
    </w:p>
    <w:p w14:paraId="16BBA840" w14:textId="388A09F5" w:rsidR="008E3087" w:rsidRPr="005B0995" w:rsidRDefault="000145E5" w:rsidP="00BE1350">
      <w:pPr>
        <w:pStyle w:val="ListParagraph"/>
        <w:widowControl w:val="0"/>
        <w:numPr>
          <w:ilvl w:val="0"/>
          <w:numId w:val="59"/>
        </w:numPr>
        <w:spacing w:before="120" w:after="120"/>
        <w:ind w:left="0" w:firstLine="720"/>
        <w:jc w:val="both"/>
        <w:rPr>
          <w:rFonts w:asciiTheme="majorHAnsi" w:hAnsiTheme="majorHAnsi"/>
          <w:sz w:val="20"/>
          <w:szCs w:val="20"/>
          <w:lang w:val="es-ES"/>
        </w:rPr>
      </w:pPr>
      <w:r w:rsidRPr="005B0995">
        <w:rPr>
          <w:rFonts w:asciiTheme="majorHAnsi" w:hAnsiTheme="majorHAnsi"/>
          <w:sz w:val="20"/>
          <w:szCs w:val="20"/>
          <w:lang w:val="es-ES"/>
        </w:rPr>
        <w:t xml:space="preserve">La petición </w:t>
      </w:r>
      <w:r w:rsidR="000D6925" w:rsidRPr="005B0995">
        <w:rPr>
          <w:rFonts w:asciiTheme="majorHAnsi" w:hAnsiTheme="majorHAnsi"/>
          <w:sz w:val="20"/>
          <w:szCs w:val="20"/>
          <w:lang w:val="es-ES"/>
        </w:rPr>
        <w:t>reclama</w:t>
      </w:r>
      <w:r w:rsidRPr="005B0995">
        <w:rPr>
          <w:rFonts w:asciiTheme="majorHAnsi" w:hAnsiTheme="majorHAnsi"/>
          <w:sz w:val="20"/>
          <w:szCs w:val="20"/>
          <w:lang w:val="es-ES"/>
        </w:rPr>
        <w:t>, esencialmente, la condena criminal de las presuntas víctimas por medio de un proceso tramitado en la instancia superior</w:t>
      </w:r>
      <w:r w:rsidR="0006191E" w:rsidRPr="005B0995">
        <w:rPr>
          <w:rFonts w:asciiTheme="majorHAnsi" w:hAnsiTheme="majorHAnsi"/>
          <w:sz w:val="20"/>
          <w:szCs w:val="20"/>
          <w:lang w:val="es-ES"/>
        </w:rPr>
        <w:t xml:space="preserve">, el STF, desde su origen. Dicha tramitación se produjo como consecuencia de la aplicación, a las presuntas víctimas, por conexidad, de la norma que establece la competencia originaria del STF para juzgar delitos de agentes políticos. Si bien el Estado defiende la legitimidad de la aplicación de esta norma a las presuntas víctimas como medio de garantizar la adecuada comprensión del litigio y la buena marcha del proceso, así como de evitar la dispersión de pruebas y la producción de fallos contradictorios frente a todas las personas imputadas, la denuncia </w:t>
      </w:r>
      <w:r w:rsidR="00EB3B4F" w:rsidRPr="005B0995">
        <w:rPr>
          <w:rFonts w:asciiTheme="majorHAnsi" w:hAnsiTheme="majorHAnsi"/>
          <w:sz w:val="20"/>
          <w:szCs w:val="20"/>
          <w:lang w:val="es-ES"/>
        </w:rPr>
        <w:t>ante la CIDH</w:t>
      </w:r>
      <w:r w:rsidR="0006191E" w:rsidRPr="005B0995">
        <w:rPr>
          <w:rFonts w:asciiTheme="majorHAnsi" w:hAnsiTheme="majorHAnsi"/>
          <w:sz w:val="20"/>
          <w:szCs w:val="20"/>
          <w:lang w:val="es-ES"/>
        </w:rPr>
        <w:t xml:space="preserve"> no es manifiestamente infundada, ni exhibe evidente improcedencia. Por lo contrario: </w:t>
      </w:r>
      <w:r w:rsidR="00BE1350" w:rsidRPr="005B0995">
        <w:rPr>
          <w:rFonts w:asciiTheme="majorHAnsi" w:hAnsiTheme="majorHAnsi"/>
          <w:sz w:val="20"/>
          <w:szCs w:val="20"/>
          <w:lang w:val="es-ES"/>
        </w:rPr>
        <w:t>la propia Comisión ya se ha pronunciado sobre la posible incompatibilidad entre los juicios penales por conexidad y los derechos y garantías protegidos por la Convención Americana</w:t>
      </w:r>
      <w:r w:rsidR="001F44A9">
        <w:rPr>
          <w:rFonts w:asciiTheme="majorHAnsi" w:hAnsiTheme="majorHAnsi"/>
          <w:sz w:val="20"/>
          <w:szCs w:val="20"/>
          <w:lang w:val="es-ES"/>
        </w:rPr>
        <w:t>.</w:t>
      </w:r>
      <w:r w:rsidR="00BE1350" w:rsidRPr="005B0995">
        <w:rPr>
          <w:rStyle w:val="FootnoteReference"/>
          <w:rFonts w:asciiTheme="majorHAnsi" w:hAnsiTheme="majorHAnsi"/>
          <w:bCs/>
          <w:sz w:val="20"/>
          <w:szCs w:val="20"/>
        </w:rPr>
        <w:footnoteReference w:id="7"/>
      </w:r>
    </w:p>
    <w:p w14:paraId="1A141AF4" w14:textId="0EC2B332" w:rsidR="000E11A9" w:rsidRPr="005B0995" w:rsidRDefault="000E11A9" w:rsidP="000E11A9">
      <w:pPr>
        <w:pStyle w:val="ListParagraph"/>
        <w:widowControl w:val="0"/>
        <w:numPr>
          <w:ilvl w:val="0"/>
          <w:numId w:val="59"/>
        </w:numPr>
        <w:spacing w:before="120" w:after="120"/>
        <w:ind w:left="0" w:firstLine="720"/>
        <w:jc w:val="both"/>
        <w:rPr>
          <w:rFonts w:asciiTheme="majorHAnsi" w:hAnsiTheme="majorHAnsi"/>
          <w:sz w:val="20"/>
          <w:szCs w:val="20"/>
          <w:lang w:val="es-ES"/>
        </w:rPr>
      </w:pPr>
      <w:r w:rsidRPr="005B0995">
        <w:rPr>
          <w:rFonts w:asciiTheme="majorHAnsi" w:hAnsiTheme="majorHAnsi"/>
          <w:sz w:val="20"/>
          <w:szCs w:val="20"/>
          <w:lang w:val="es-ES"/>
        </w:rPr>
        <w:t>A la luz de estas consideraciones y luego de examinar los elementos de hecho y de derecho presentados por las partes, la Comisión considera que los alegatos del peticionario no son manifiestamente infundados y requieren un estudio de fondo, toda vez que los hechos alegados, de ser corroborados como ciertos, pueden caracterizar violaciones a los derechos protegidos por los artículos 8 (garantías judiciales) y 25 (protección judicial), todos relacionados con los artículos 1.1 (obligación de respetar los derechos) y 2 (deber de adoptar disposiciones de derecho interno) de la Convención Americana</w:t>
      </w:r>
      <w:r w:rsidR="00C1640D" w:rsidRPr="005B0995">
        <w:rPr>
          <w:rFonts w:asciiTheme="majorHAnsi" w:hAnsiTheme="majorHAnsi"/>
          <w:sz w:val="20"/>
          <w:szCs w:val="20"/>
          <w:lang w:val="es-ES"/>
        </w:rPr>
        <w:t>, en perjuicio de las tres presuntas víctimas</w:t>
      </w:r>
      <w:r w:rsidRPr="005B0995">
        <w:rPr>
          <w:rFonts w:asciiTheme="majorHAnsi" w:hAnsiTheme="majorHAnsi"/>
          <w:sz w:val="20"/>
          <w:szCs w:val="20"/>
          <w:lang w:val="es-ES"/>
        </w:rPr>
        <w:t>.</w:t>
      </w:r>
    </w:p>
    <w:p w14:paraId="40DABB4D" w14:textId="4EA69279" w:rsidR="006E3BAD" w:rsidRPr="005B0995" w:rsidRDefault="006E3BAD" w:rsidP="001276F0">
      <w:pPr>
        <w:pStyle w:val="ListParagraph"/>
        <w:widowControl w:val="0"/>
        <w:spacing w:before="240" w:after="240"/>
        <w:ind w:left="709"/>
        <w:jc w:val="both"/>
        <w:rPr>
          <w:rFonts w:asciiTheme="majorHAnsi" w:hAnsiTheme="majorHAnsi"/>
          <w:b/>
          <w:sz w:val="20"/>
          <w:szCs w:val="20"/>
          <w:lang w:val="es-ES"/>
        </w:rPr>
      </w:pPr>
      <w:r w:rsidRPr="005B0995">
        <w:rPr>
          <w:rFonts w:asciiTheme="majorHAnsi" w:hAnsiTheme="majorHAnsi"/>
          <w:b/>
          <w:sz w:val="20"/>
          <w:szCs w:val="20"/>
          <w:lang w:val="es-UY"/>
        </w:rPr>
        <w:t xml:space="preserve">VIII. </w:t>
      </w:r>
      <w:r w:rsidRPr="005B0995">
        <w:rPr>
          <w:rFonts w:asciiTheme="majorHAnsi" w:hAnsiTheme="majorHAnsi"/>
          <w:b/>
          <w:sz w:val="20"/>
          <w:szCs w:val="20"/>
          <w:lang w:val="es-UY"/>
        </w:rPr>
        <w:tab/>
      </w:r>
      <w:r w:rsidRPr="005B0995">
        <w:rPr>
          <w:rFonts w:asciiTheme="majorHAnsi" w:hAnsiTheme="majorHAnsi"/>
          <w:b/>
          <w:bCs/>
          <w:sz w:val="20"/>
          <w:szCs w:val="20"/>
          <w:lang w:val="es-ES_tradnl"/>
        </w:rPr>
        <w:t>DECISIÓN</w:t>
      </w:r>
    </w:p>
    <w:p w14:paraId="2CD54096" w14:textId="56CFCFEE" w:rsidR="000F3E4D" w:rsidRDefault="000F3E4D" w:rsidP="006E3BA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rFonts w:asciiTheme="majorHAnsi" w:hAnsiTheme="majorHAnsi"/>
          <w:sz w:val="20"/>
          <w:szCs w:val="20"/>
          <w:lang w:val="es-ES"/>
        </w:rPr>
      </w:pPr>
      <w:r w:rsidRPr="005B0995">
        <w:rPr>
          <w:rFonts w:asciiTheme="majorHAnsi" w:hAnsiTheme="majorHAnsi"/>
          <w:sz w:val="20"/>
          <w:szCs w:val="20"/>
          <w:lang w:val="es-ES"/>
        </w:rPr>
        <w:t xml:space="preserve">Declarar admisible la presente petición en relación con los artículos 8 y 25 de la Convención Americana, en </w:t>
      </w:r>
      <w:r w:rsidR="004768E2" w:rsidRPr="005B0995">
        <w:rPr>
          <w:rFonts w:asciiTheme="majorHAnsi" w:hAnsiTheme="majorHAnsi"/>
          <w:sz w:val="20"/>
          <w:szCs w:val="20"/>
          <w:lang w:val="es-ES"/>
        </w:rPr>
        <w:t>concordancia</w:t>
      </w:r>
      <w:r w:rsidRPr="005B0995">
        <w:rPr>
          <w:rFonts w:asciiTheme="majorHAnsi" w:hAnsiTheme="majorHAnsi"/>
          <w:sz w:val="20"/>
          <w:szCs w:val="20"/>
          <w:lang w:val="es-ES"/>
        </w:rPr>
        <w:t xml:space="preserve"> con </w:t>
      </w:r>
      <w:r w:rsidR="004768E2" w:rsidRPr="005B0995">
        <w:rPr>
          <w:rFonts w:asciiTheme="majorHAnsi" w:hAnsiTheme="majorHAnsi"/>
          <w:sz w:val="20"/>
          <w:szCs w:val="20"/>
          <w:lang w:val="es-ES"/>
        </w:rPr>
        <w:t>sus</w:t>
      </w:r>
      <w:r w:rsidR="003872D0" w:rsidRPr="005B0995">
        <w:rPr>
          <w:rFonts w:asciiTheme="majorHAnsi" w:hAnsiTheme="majorHAnsi"/>
          <w:sz w:val="20"/>
          <w:szCs w:val="20"/>
          <w:lang w:val="es-ES"/>
        </w:rPr>
        <w:t xml:space="preserve"> artículos 1</w:t>
      </w:r>
      <w:r w:rsidR="004768E2" w:rsidRPr="005B0995">
        <w:rPr>
          <w:rFonts w:asciiTheme="majorHAnsi" w:hAnsiTheme="majorHAnsi"/>
          <w:sz w:val="20"/>
          <w:szCs w:val="20"/>
          <w:lang w:val="es-ES"/>
        </w:rPr>
        <w:t>.1</w:t>
      </w:r>
      <w:r w:rsidR="003872D0" w:rsidRPr="005B0995">
        <w:rPr>
          <w:rFonts w:asciiTheme="majorHAnsi" w:hAnsiTheme="majorHAnsi"/>
          <w:sz w:val="20"/>
          <w:szCs w:val="20"/>
          <w:lang w:val="es-ES"/>
        </w:rPr>
        <w:t xml:space="preserve"> y 2</w:t>
      </w:r>
      <w:r w:rsidRPr="005B0995">
        <w:rPr>
          <w:rFonts w:asciiTheme="majorHAnsi" w:hAnsiTheme="majorHAnsi"/>
          <w:sz w:val="20"/>
          <w:szCs w:val="20"/>
          <w:lang w:val="es-ES"/>
        </w:rPr>
        <w:t>; y</w:t>
      </w:r>
    </w:p>
    <w:p w14:paraId="53B1D0CB" w14:textId="77777777" w:rsidR="004F688E" w:rsidRPr="005B0995" w:rsidRDefault="004F688E" w:rsidP="004F688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709"/>
        <w:jc w:val="both"/>
        <w:rPr>
          <w:rFonts w:asciiTheme="majorHAnsi" w:hAnsiTheme="majorHAnsi"/>
          <w:sz w:val="20"/>
          <w:szCs w:val="20"/>
          <w:lang w:val="es-ES"/>
        </w:rPr>
      </w:pPr>
    </w:p>
    <w:p w14:paraId="245C05A6" w14:textId="71B7A22B" w:rsidR="006E3BAD" w:rsidRDefault="006E3BAD" w:rsidP="006E3BA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rFonts w:asciiTheme="majorHAnsi" w:hAnsiTheme="majorHAnsi"/>
          <w:sz w:val="20"/>
          <w:szCs w:val="20"/>
          <w:lang w:val="es-ES"/>
        </w:rPr>
      </w:pPr>
      <w:r w:rsidRPr="005B099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82CA025" w14:textId="7FDC265F" w:rsidR="00254C70" w:rsidRPr="00407104" w:rsidRDefault="00254C70" w:rsidP="00254C7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F30882">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junio de 2023.  (Firmado): Esmeralda Arosemena de Troitiño, Primer</w:t>
      </w:r>
      <w:r w:rsidR="00F30882">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F30882">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Joel Hernández García, Julissa Mantilla Falcón y Stuardo Ralón Orellana, </w:t>
      </w:r>
      <w:r w:rsidR="00F3088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30899BC" w14:textId="77777777" w:rsidR="00254C70" w:rsidRPr="00407104" w:rsidRDefault="00254C70" w:rsidP="00254C70">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p w14:paraId="34783694" w14:textId="77777777" w:rsidR="00254C70" w:rsidRPr="005B0995" w:rsidRDefault="00254C70" w:rsidP="00254C7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709"/>
        <w:jc w:val="both"/>
        <w:rPr>
          <w:rFonts w:asciiTheme="majorHAnsi" w:hAnsiTheme="majorHAnsi"/>
          <w:sz w:val="20"/>
          <w:szCs w:val="20"/>
          <w:lang w:val="es-ES"/>
        </w:rPr>
      </w:pPr>
    </w:p>
    <w:sectPr w:rsidR="00254C70" w:rsidRPr="005B099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59E5" w14:textId="77777777" w:rsidR="000D578B" w:rsidRDefault="000D578B">
      <w:r>
        <w:separator/>
      </w:r>
    </w:p>
  </w:endnote>
  <w:endnote w:type="continuationSeparator" w:id="0">
    <w:p w14:paraId="1A9B7C5C" w14:textId="77777777" w:rsidR="000D578B" w:rsidRDefault="000D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A4FB" w14:textId="77777777" w:rsidR="000D578B" w:rsidRPr="000F35ED" w:rsidRDefault="000D578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3046D4" w14:textId="77777777" w:rsidR="000D578B" w:rsidRPr="000F35ED" w:rsidRDefault="000D578B" w:rsidP="000F35ED">
      <w:pPr>
        <w:rPr>
          <w:rFonts w:asciiTheme="majorHAnsi" w:hAnsiTheme="majorHAnsi"/>
          <w:sz w:val="16"/>
          <w:szCs w:val="16"/>
        </w:rPr>
      </w:pPr>
      <w:r w:rsidRPr="000F35ED">
        <w:rPr>
          <w:rFonts w:asciiTheme="majorHAnsi" w:hAnsiTheme="majorHAnsi"/>
          <w:sz w:val="16"/>
          <w:szCs w:val="16"/>
        </w:rPr>
        <w:separator/>
      </w:r>
    </w:p>
    <w:p w14:paraId="651A2D39" w14:textId="77777777" w:rsidR="000D578B" w:rsidRPr="000F35ED" w:rsidRDefault="000D578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7FE0496" w14:textId="77777777" w:rsidR="000D578B" w:rsidRPr="000F35ED" w:rsidRDefault="000D578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1628D8" w14:textId="26A1C12C" w:rsidR="00FC14F6" w:rsidRPr="00FC14F6" w:rsidRDefault="00FC14F6" w:rsidP="00FC14F6">
      <w:pPr>
        <w:pStyle w:val="FootnoteText"/>
        <w:ind w:firstLine="709"/>
        <w:jc w:val="both"/>
        <w:rPr>
          <w:rFonts w:asciiTheme="majorHAnsi" w:hAnsiTheme="majorHAnsi"/>
          <w:sz w:val="16"/>
          <w:szCs w:val="16"/>
          <w:lang w:val="es-ES"/>
        </w:rPr>
      </w:pPr>
      <w:r w:rsidRPr="00FC14F6">
        <w:rPr>
          <w:rStyle w:val="FootnoteReference"/>
          <w:rFonts w:asciiTheme="majorHAnsi" w:hAnsiTheme="majorHAnsi"/>
          <w:sz w:val="16"/>
          <w:szCs w:val="16"/>
        </w:rPr>
        <w:footnoteRef/>
      </w:r>
      <w:r w:rsidRPr="00FC14F6">
        <w:rPr>
          <w:rFonts w:asciiTheme="majorHAnsi" w:hAnsiTheme="majorHAnsi"/>
          <w:sz w:val="16"/>
          <w:szCs w:val="16"/>
          <w:lang w:val="es-ES"/>
        </w:rPr>
        <w:t xml:space="preserve"> “Convención Americana”. </w:t>
      </w:r>
    </w:p>
  </w:footnote>
  <w:footnote w:id="3">
    <w:p w14:paraId="1AFEF3B0" w14:textId="5C9B76B7" w:rsidR="008E3BFE" w:rsidRPr="00FC14F6" w:rsidRDefault="008E3BFE" w:rsidP="00FC14F6">
      <w:pPr>
        <w:pStyle w:val="FootnoteText"/>
        <w:ind w:firstLine="709"/>
        <w:jc w:val="both"/>
        <w:rPr>
          <w:rFonts w:asciiTheme="majorHAnsi" w:hAnsiTheme="majorHAnsi"/>
          <w:sz w:val="16"/>
          <w:szCs w:val="16"/>
          <w:lang w:val="es-ES"/>
        </w:rPr>
      </w:pPr>
      <w:r w:rsidRPr="00FC14F6">
        <w:rPr>
          <w:rStyle w:val="FootnoteReference"/>
          <w:rFonts w:asciiTheme="majorHAnsi" w:hAnsiTheme="majorHAnsi"/>
          <w:sz w:val="16"/>
          <w:szCs w:val="16"/>
        </w:rPr>
        <w:footnoteRef/>
      </w:r>
      <w:r w:rsidRPr="00FC14F6">
        <w:rPr>
          <w:rFonts w:asciiTheme="majorHAnsi" w:hAnsiTheme="majorHAnsi"/>
          <w:sz w:val="16"/>
          <w:szCs w:val="16"/>
          <w:lang w:val="es-ES"/>
        </w:rPr>
        <w:t xml:space="preserve"> </w:t>
      </w:r>
      <w:r w:rsidR="009838C1" w:rsidRPr="00FC14F6">
        <w:rPr>
          <w:rFonts w:asciiTheme="majorHAnsi" w:hAnsiTheme="majorHAnsi"/>
          <w:sz w:val="16"/>
          <w:szCs w:val="16"/>
          <w:lang w:val="es-ES"/>
        </w:rPr>
        <w:t xml:space="preserve">Las observaciones de cada parte fueron debidamente trasladadas a la </w:t>
      </w:r>
      <w:r w:rsidR="001F1BFE" w:rsidRPr="00FC14F6">
        <w:rPr>
          <w:rFonts w:asciiTheme="majorHAnsi" w:hAnsiTheme="majorHAnsi"/>
          <w:sz w:val="16"/>
          <w:szCs w:val="16"/>
          <w:lang w:val="es-ES"/>
        </w:rPr>
        <w:t>parte contraria.</w:t>
      </w:r>
      <w:r w:rsidR="00F7289E" w:rsidRPr="00FC14F6">
        <w:rPr>
          <w:rFonts w:asciiTheme="majorHAnsi" w:hAnsiTheme="majorHAnsi"/>
          <w:sz w:val="16"/>
          <w:szCs w:val="16"/>
          <w:lang w:val="es-ES"/>
        </w:rPr>
        <w:t xml:space="preserve"> </w:t>
      </w:r>
    </w:p>
  </w:footnote>
  <w:footnote w:id="4">
    <w:p w14:paraId="7E2A4CD9" w14:textId="77777777" w:rsidR="008E41A8" w:rsidRPr="00FC14F6" w:rsidRDefault="008E41A8" w:rsidP="008E41A8">
      <w:pPr>
        <w:pStyle w:val="FootnoteText"/>
        <w:ind w:firstLine="709"/>
        <w:jc w:val="both"/>
        <w:rPr>
          <w:rFonts w:asciiTheme="majorHAnsi" w:hAnsiTheme="majorHAnsi"/>
          <w:sz w:val="16"/>
          <w:szCs w:val="16"/>
          <w:lang w:val="es-ES"/>
        </w:rPr>
      </w:pPr>
      <w:r w:rsidRPr="00FC14F6">
        <w:rPr>
          <w:rStyle w:val="FootnoteReference"/>
          <w:rFonts w:asciiTheme="majorHAnsi" w:hAnsiTheme="majorHAnsi"/>
          <w:sz w:val="16"/>
          <w:szCs w:val="16"/>
        </w:rPr>
        <w:footnoteRef/>
      </w:r>
      <w:r w:rsidRPr="00FC14F6">
        <w:rPr>
          <w:rFonts w:asciiTheme="majorHAnsi" w:hAnsiTheme="majorHAnsi"/>
          <w:sz w:val="16"/>
          <w:szCs w:val="16"/>
          <w:lang w:val="es-ES"/>
        </w:rPr>
        <w:t xml:space="preserve"> “</w:t>
      </w:r>
      <w:r w:rsidRPr="0006191E">
        <w:rPr>
          <w:rFonts w:asciiTheme="majorHAnsi" w:hAnsiTheme="majorHAnsi"/>
          <w:sz w:val="16"/>
          <w:szCs w:val="16"/>
          <w:lang w:val="es-ES"/>
        </w:rPr>
        <w:t>Art</w:t>
      </w:r>
      <w:r>
        <w:rPr>
          <w:rFonts w:asciiTheme="majorHAnsi" w:hAnsiTheme="majorHAnsi"/>
          <w:sz w:val="16"/>
          <w:szCs w:val="16"/>
          <w:lang w:val="es-ES"/>
        </w:rPr>
        <w:t>ículo</w:t>
      </w:r>
      <w:r w:rsidRPr="0006191E">
        <w:rPr>
          <w:rFonts w:asciiTheme="majorHAnsi" w:hAnsiTheme="majorHAnsi"/>
          <w:sz w:val="16"/>
          <w:szCs w:val="16"/>
          <w:lang w:val="es-ES"/>
        </w:rPr>
        <w:t xml:space="preserve"> 102. Corresponde al Supremo Tribunal Federal, en primer lugar, salvaguardar la Constitución, siendo responsable de:</w:t>
      </w:r>
      <w:r>
        <w:rPr>
          <w:rFonts w:asciiTheme="majorHAnsi" w:hAnsiTheme="majorHAnsi"/>
          <w:sz w:val="16"/>
          <w:szCs w:val="16"/>
          <w:lang w:val="es-ES"/>
        </w:rPr>
        <w:t xml:space="preserve"> I - </w:t>
      </w:r>
      <w:r w:rsidRPr="0006191E">
        <w:rPr>
          <w:rFonts w:asciiTheme="majorHAnsi" w:hAnsiTheme="majorHAnsi"/>
          <w:sz w:val="16"/>
          <w:szCs w:val="16"/>
          <w:lang w:val="es-ES"/>
        </w:rPr>
        <w:t>demandar y juzgar, originalmente:</w:t>
      </w:r>
      <w:r>
        <w:rPr>
          <w:rFonts w:asciiTheme="majorHAnsi" w:hAnsiTheme="majorHAnsi"/>
          <w:sz w:val="16"/>
          <w:szCs w:val="16"/>
          <w:lang w:val="es-ES"/>
        </w:rPr>
        <w:t xml:space="preserve"> (…) </w:t>
      </w:r>
      <w:r w:rsidRPr="0006191E">
        <w:rPr>
          <w:rFonts w:asciiTheme="majorHAnsi" w:hAnsiTheme="majorHAnsi"/>
          <w:sz w:val="16"/>
          <w:szCs w:val="16"/>
          <w:lang w:val="es-ES"/>
        </w:rPr>
        <w:t>b) en los delitos comunes, el Presidente de la República, el Vicepresidente, los miembros del Congreso Nacional, sus propios Ministros y el Procurador General de la República;</w:t>
      </w:r>
      <w:r>
        <w:rPr>
          <w:rFonts w:asciiTheme="majorHAnsi" w:hAnsiTheme="majorHAnsi"/>
          <w:sz w:val="16"/>
          <w:szCs w:val="16"/>
          <w:lang w:val="es-ES"/>
        </w:rPr>
        <w:t>”.</w:t>
      </w:r>
    </w:p>
  </w:footnote>
  <w:footnote w:id="5">
    <w:p w14:paraId="4D07DE87" w14:textId="085C9EBE" w:rsidR="00F309E3" w:rsidRPr="00FC14F6" w:rsidRDefault="00F309E3" w:rsidP="00F309E3">
      <w:pPr>
        <w:pStyle w:val="FootnoteText"/>
        <w:ind w:firstLine="709"/>
        <w:jc w:val="both"/>
        <w:rPr>
          <w:rFonts w:asciiTheme="majorHAnsi" w:hAnsiTheme="majorHAnsi"/>
          <w:sz w:val="16"/>
          <w:szCs w:val="16"/>
          <w:lang w:val="es-ES"/>
        </w:rPr>
      </w:pPr>
      <w:r w:rsidRPr="00FC14F6">
        <w:rPr>
          <w:rStyle w:val="FootnoteReference"/>
          <w:rFonts w:asciiTheme="majorHAnsi" w:hAnsiTheme="majorHAnsi"/>
          <w:sz w:val="16"/>
          <w:szCs w:val="16"/>
        </w:rPr>
        <w:footnoteRef/>
      </w:r>
      <w:r w:rsidRPr="00FC14F6">
        <w:rPr>
          <w:rFonts w:asciiTheme="majorHAnsi" w:hAnsiTheme="majorHAnsi"/>
          <w:sz w:val="16"/>
          <w:szCs w:val="16"/>
          <w:lang w:val="es-ES"/>
        </w:rPr>
        <w:t xml:space="preserve"> </w:t>
      </w:r>
      <w:r w:rsidRPr="00F309E3">
        <w:rPr>
          <w:rFonts w:asciiTheme="majorHAnsi" w:hAnsiTheme="majorHAnsi"/>
          <w:sz w:val="16"/>
          <w:szCs w:val="16"/>
          <w:lang w:val="es-ES"/>
        </w:rPr>
        <w:t xml:space="preserve">CIDH, Informe No. 45/23. Petición 1237-11. Admisibilidad. Luis Humberto Gómez Gallo. Colombia. 16 de marzo de 2023, párr. </w:t>
      </w:r>
      <w:r>
        <w:rPr>
          <w:rFonts w:asciiTheme="majorHAnsi" w:hAnsiTheme="majorHAnsi"/>
          <w:sz w:val="16"/>
          <w:szCs w:val="16"/>
          <w:lang w:val="es-ES"/>
        </w:rPr>
        <w:t xml:space="preserve">21; </w:t>
      </w:r>
      <w:r w:rsidRPr="00F309E3">
        <w:rPr>
          <w:rFonts w:asciiTheme="majorHAnsi" w:hAnsiTheme="majorHAnsi"/>
          <w:sz w:val="16"/>
          <w:szCs w:val="16"/>
          <w:lang w:val="es-ES"/>
        </w:rPr>
        <w:t xml:space="preserve">CIDH, Informe No. 9/23. Petición 367-13. Admisibilidad. José Gerardo Piamba Castro y familia. Colombia. 24 de febrero de 2023, párr. </w:t>
      </w:r>
      <w:r>
        <w:rPr>
          <w:rFonts w:asciiTheme="majorHAnsi" w:hAnsiTheme="majorHAnsi"/>
          <w:sz w:val="16"/>
          <w:szCs w:val="16"/>
          <w:lang w:val="es-ES"/>
        </w:rPr>
        <w:t>18.</w:t>
      </w:r>
    </w:p>
  </w:footnote>
  <w:footnote w:id="6">
    <w:p w14:paraId="4C1B2A0D" w14:textId="67D6BB5E" w:rsidR="00F309E3" w:rsidRPr="00FC14F6" w:rsidRDefault="00F309E3" w:rsidP="00F309E3">
      <w:pPr>
        <w:pStyle w:val="FootnoteText"/>
        <w:ind w:firstLine="709"/>
        <w:jc w:val="both"/>
        <w:rPr>
          <w:rFonts w:asciiTheme="majorHAnsi" w:hAnsiTheme="majorHAnsi"/>
          <w:sz w:val="16"/>
          <w:szCs w:val="16"/>
          <w:lang w:val="es-ES"/>
        </w:rPr>
      </w:pPr>
      <w:r w:rsidRPr="00FC14F6">
        <w:rPr>
          <w:rStyle w:val="FootnoteReference"/>
          <w:rFonts w:asciiTheme="majorHAnsi" w:hAnsiTheme="majorHAnsi"/>
          <w:sz w:val="16"/>
          <w:szCs w:val="16"/>
        </w:rPr>
        <w:footnoteRef/>
      </w:r>
      <w:r w:rsidRPr="00FC14F6">
        <w:rPr>
          <w:rFonts w:asciiTheme="majorHAnsi" w:hAnsiTheme="majorHAnsi"/>
          <w:sz w:val="16"/>
          <w:szCs w:val="16"/>
          <w:lang w:val="es-ES"/>
        </w:rPr>
        <w:t xml:space="preserve"> </w:t>
      </w:r>
      <w:r w:rsidRPr="00F309E3">
        <w:rPr>
          <w:rFonts w:asciiTheme="majorHAnsi" w:hAnsiTheme="majorHAnsi"/>
          <w:sz w:val="16"/>
          <w:szCs w:val="16"/>
          <w:lang w:val="es-ES"/>
        </w:rPr>
        <w:t xml:space="preserve">CIDH, Informe No. 45/23. Petición 1237-11. Admisibilidad. Luis Humberto Gómez Gallo. Colombia. 16 de marzo de 2023, párr. </w:t>
      </w:r>
      <w:r>
        <w:rPr>
          <w:rFonts w:asciiTheme="majorHAnsi" w:hAnsiTheme="majorHAnsi"/>
          <w:sz w:val="16"/>
          <w:szCs w:val="16"/>
          <w:lang w:val="es-ES"/>
        </w:rPr>
        <w:t xml:space="preserve">22; </w:t>
      </w:r>
      <w:r w:rsidRPr="00F309E3">
        <w:rPr>
          <w:rFonts w:asciiTheme="majorHAnsi" w:hAnsiTheme="majorHAnsi"/>
          <w:sz w:val="16"/>
          <w:szCs w:val="16"/>
          <w:lang w:val="es-ES"/>
        </w:rPr>
        <w:t xml:space="preserve">CIDH, Informe No. 9/23. Petición 367-13. Admisibilidad. José Gerardo Piamba Castro y familia. Colombia. 24 de febrero de 2023, párr. </w:t>
      </w:r>
      <w:r>
        <w:rPr>
          <w:rFonts w:asciiTheme="majorHAnsi" w:hAnsiTheme="majorHAnsi"/>
          <w:sz w:val="16"/>
          <w:szCs w:val="16"/>
          <w:lang w:val="es-ES"/>
        </w:rPr>
        <w:t>20.</w:t>
      </w:r>
    </w:p>
  </w:footnote>
  <w:footnote w:id="7">
    <w:p w14:paraId="06EBA11D" w14:textId="6FF9BC44" w:rsidR="00BE1350" w:rsidRPr="00FC14F6" w:rsidRDefault="00BE1350" w:rsidP="00BE1350">
      <w:pPr>
        <w:pStyle w:val="FootnoteText"/>
        <w:ind w:firstLine="709"/>
        <w:jc w:val="both"/>
        <w:rPr>
          <w:rFonts w:asciiTheme="majorHAnsi" w:hAnsiTheme="majorHAnsi"/>
          <w:sz w:val="16"/>
          <w:szCs w:val="16"/>
          <w:lang w:val="es-ES"/>
        </w:rPr>
      </w:pPr>
      <w:r w:rsidRPr="00FC14F6">
        <w:rPr>
          <w:rStyle w:val="FootnoteReference"/>
          <w:rFonts w:asciiTheme="majorHAnsi" w:hAnsiTheme="majorHAnsi"/>
          <w:sz w:val="16"/>
          <w:szCs w:val="16"/>
        </w:rPr>
        <w:footnoteRef/>
      </w:r>
      <w:r w:rsidRPr="00FC14F6">
        <w:rPr>
          <w:rFonts w:asciiTheme="majorHAnsi" w:hAnsiTheme="majorHAnsi"/>
          <w:sz w:val="16"/>
          <w:szCs w:val="16"/>
          <w:lang w:val="es-ES"/>
        </w:rPr>
        <w:t xml:space="preserve"> </w:t>
      </w:r>
      <w:r w:rsidR="00EB3B4F" w:rsidRPr="00EB3B4F">
        <w:rPr>
          <w:rFonts w:asciiTheme="majorHAnsi" w:hAnsiTheme="majorHAnsi"/>
          <w:sz w:val="16"/>
          <w:szCs w:val="16"/>
          <w:lang w:val="es-ES"/>
        </w:rPr>
        <w:t xml:space="preserve">En este sentido, </w:t>
      </w:r>
      <w:r w:rsidR="00EB3B4F" w:rsidRPr="00EB3B4F">
        <w:rPr>
          <w:rFonts w:asciiTheme="majorHAnsi" w:hAnsiTheme="majorHAnsi"/>
          <w:i/>
          <w:iCs/>
          <w:sz w:val="16"/>
          <w:szCs w:val="16"/>
          <w:lang w:val="es-ES"/>
        </w:rPr>
        <w:t>v.g.</w:t>
      </w:r>
      <w:r w:rsidR="00EB3B4F" w:rsidRPr="00EB3B4F">
        <w:rPr>
          <w:rFonts w:asciiTheme="majorHAnsi" w:hAnsiTheme="majorHAnsi"/>
          <w:sz w:val="16"/>
          <w:szCs w:val="16"/>
          <w:lang w:val="es-ES"/>
        </w:rPr>
        <w:t xml:space="preserve">, la Comisión ha considerado que los derechos a las garantías judiciales y a la protección judicial pueden vulnerarse como resultado, </w:t>
      </w:r>
      <w:r w:rsidR="00EB3B4F" w:rsidRPr="00EB3B4F">
        <w:rPr>
          <w:rFonts w:asciiTheme="majorHAnsi" w:hAnsiTheme="majorHAnsi"/>
          <w:i/>
          <w:iCs/>
          <w:sz w:val="16"/>
          <w:szCs w:val="16"/>
          <w:lang w:val="es-ES"/>
        </w:rPr>
        <w:t>inter alia</w:t>
      </w:r>
      <w:r w:rsidR="00EB3B4F" w:rsidRPr="00EB3B4F">
        <w:rPr>
          <w:rFonts w:asciiTheme="majorHAnsi" w:hAnsiTheme="majorHAnsi"/>
          <w:sz w:val="16"/>
          <w:szCs w:val="16"/>
          <w:lang w:val="es-ES"/>
        </w:rPr>
        <w:t>, del enjuiciamiento criminal, por conexidad, de una persona ante la Corte Suprema de Justicia de Venezuela, como resultado de la aplicación extensiva de normas de competencia destinadas a agentes políticos, de modo que el mismo tribunal haya sido la única instancia a conocer y sentenciar el caso de la presunta víctima</w:t>
      </w:r>
      <w:r w:rsidR="00EB3B4F">
        <w:rPr>
          <w:rFonts w:asciiTheme="majorHAnsi" w:hAnsiTheme="majorHAnsi"/>
          <w:sz w:val="16"/>
          <w:szCs w:val="16"/>
          <w:lang w:val="es-ES"/>
        </w:rPr>
        <w:t xml:space="preserve">. </w:t>
      </w:r>
      <w:r>
        <w:rPr>
          <w:rFonts w:asciiTheme="majorHAnsi" w:hAnsiTheme="majorHAnsi"/>
          <w:sz w:val="16"/>
          <w:szCs w:val="16"/>
          <w:lang w:val="es-ES"/>
        </w:rPr>
        <w:t xml:space="preserve">Véase: </w:t>
      </w:r>
      <w:r w:rsidRPr="00BE1350">
        <w:rPr>
          <w:rFonts w:asciiTheme="majorHAnsi" w:hAnsiTheme="majorHAnsi"/>
          <w:sz w:val="16"/>
          <w:szCs w:val="16"/>
          <w:lang w:val="es-ES"/>
        </w:rPr>
        <w:t xml:space="preserve">CIDH, </w:t>
      </w:r>
      <w:hyperlink r:id="rId1" w:history="1">
        <w:r w:rsidRPr="00BE1350">
          <w:rPr>
            <w:rStyle w:val="Hyperlink"/>
            <w:rFonts w:asciiTheme="majorHAnsi" w:hAnsiTheme="majorHAnsi"/>
            <w:sz w:val="16"/>
            <w:szCs w:val="16"/>
            <w:u w:val="none"/>
            <w:lang w:val="es-ES"/>
          </w:rPr>
          <w:t>Demanda ante la Corte Interamericana de Derechos Humanos en el caso de Oscar Barreto Leiva (Caso Nº 11.663) contra la República Bolivariana de Venezuela</w:t>
        </w:r>
      </w:hyperlink>
      <w:r w:rsidRPr="00BE1350">
        <w:rPr>
          <w:rFonts w:asciiTheme="majorHAnsi" w:hAnsiTheme="majorHAnsi"/>
          <w:sz w:val="16"/>
          <w:szCs w:val="16"/>
          <w:lang w:val="es-ES"/>
        </w:rPr>
        <w:t xml:space="preserve">. </w:t>
      </w:r>
      <w:r w:rsidRPr="006B19CB">
        <w:rPr>
          <w:rFonts w:asciiTheme="majorHAnsi" w:hAnsiTheme="majorHAnsi"/>
          <w:sz w:val="16"/>
          <w:szCs w:val="16"/>
          <w:lang w:val="pt-BR"/>
        </w:rPr>
        <w:t xml:space="preserve">31 de octubre de 2008, párrafos 98-124; Corte IDH. Caso Barreto Leiva Vs. </w:t>
      </w:r>
      <w:r>
        <w:rPr>
          <w:rFonts w:asciiTheme="majorHAnsi" w:hAnsiTheme="majorHAnsi"/>
          <w:sz w:val="16"/>
          <w:szCs w:val="16"/>
          <w:lang w:val="es-ES"/>
        </w:rPr>
        <w:t>Venezuela</w:t>
      </w:r>
      <w:r w:rsidRPr="00FC14F6">
        <w:rPr>
          <w:rFonts w:asciiTheme="majorHAnsi" w:hAnsiTheme="majorHAnsi"/>
          <w:sz w:val="16"/>
          <w:szCs w:val="16"/>
          <w:lang w:val="es-ES"/>
        </w:rPr>
        <w:t xml:space="preserve">. Sentencia de </w:t>
      </w:r>
      <w:r>
        <w:rPr>
          <w:rFonts w:asciiTheme="majorHAnsi" w:hAnsiTheme="majorHAnsi"/>
          <w:sz w:val="16"/>
          <w:szCs w:val="16"/>
          <w:lang w:val="es-ES"/>
        </w:rPr>
        <w:t>17 de noviembre</w:t>
      </w:r>
      <w:r w:rsidRPr="00FC14F6">
        <w:rPr>
          <w:rFonts w:asciiTheme="majorHAnsi" w:hAnsiTheme="majorHAnsi"/>
          <w:sz w:val="16"/>
          <w:szCs w:val="16"/>
          <w:lang w:val="es-ES"/>
        </w:rPr>
        <w:t xml:space="preserve"> de 2019 (Fondo, Reparaciones y Costas), párrafo </w:t>
      </w:r>
      <w:r>
        <w:rPr>
          <w:rFonts w:asciiTheme="majorHAnsi" w:hAnsiTheme="majorHAnsi"/>
          <w:sz w:val="16"/>
          <w:szCs w:val="16"/>
          <w:lang w:val="es-ES"/>
        </w:rPr>
        <w:t>2 (“</w:t>
      </w:r>
      <w:r w:rsidRPr="00BE1350">
        <w:rPr>
          <w:rFonts w:asciiTheme="majorHAnsi" w:hAnsiTheme="majorHAnsi"/>
          <w:sz w:val="16"/>
          <w:szCs w:val="16"/>
          <w:lang w:val="es-ES"/>
        </w:rPr>
        <w:t>según la Comisión, el hecho de que la Corte Suprema de Justicia haya sido el tribunal que conoció y sentenció en única instancia el caso de la presunta víctima constituiría una violación de su derecho a ser juzgada por un tribunal competente, en razón de que no contaba con un fuero penal especial, así como una violación de su derecho a recurrir la sentencia condenatoria.</w:t>
      </w:r>
      <w:r>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5455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FB7CF4"/>
    <w:multiLevelType w:val="hybridMultilevel"/>
    <w:tmpl w:val="E6EC9B4C"/>
    <w:lvl w:ilvl="0" w:tplc="8D149E9A">
      <w:start w:val="5"/>
      <w:numFmt w:val="bullet"/>
      <w:lvlText w:val="-"/>
      <w:lvlJc w:val="left"/>
      <w:pPr>
        <w:ind w:left="1080" w:hanging="360"/>
      </w:pPr>
      <w:rPr>
        <w:rFonts w:ascii="Cambria" w:eastAsia="Cambria" w:hAnsi="Cambria" w:cs="Cambri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59BCDF6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7"/>
  </w:num>
  <w:num w:numId="3" w16cid:durableId="1663389590">
    <w:abstractNumId w:val="58"/>
  </w:num>
  <w:num w:numId="4" w16cid:durableId="82342866">
    <w:abstractNumId w:val="22"/>
  </w:num>
  <w:num w:numId="5" w16cid:durableId="1599026591">
    <w:abstractNumId w:val="51"/>
  </w:num>
  <w:num w:numId="6" w16cid:durableId="1795514418">
    <w:abstractNumId w:val="29"/>
  </w:num>
  <w:num w:numId="7" w16cid:durableId="396254">
    <w:abstractNumId w:val="8"/>
  </w:num>
  <w:num w:numId="8" w16cid:durableId="1302268258">
    <w:abstractNumId w:val="18"/>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2"/>
  </w:num>
  <w:num w:numId="60" w16cid:durableId="712732366">
    <w:abstractNumId w:val="35"/>
  </w:num>
  <w:num w:numId="61" w16cid:durableId="1097671741">
    <w:abstractNumId w:val="47"/>
  </w:num>
  <w:num w:numId="62" w16cid:durableId="1840730130">
    <w:abstractNumId w:val="53"/>
  </w:num>
  <w:num w:numId="63" w16cid:durableId="369187513">
    <w:abstractNumId w:val="4"/>
  </w:num>
  <w:num w:numId="64" w16cid:durableId="984119965">
    <w:abstractNumId w:val="6"/>
  </w:num>
  <w:num w:numId="65" w16cid:durableId="54740724">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9E"/>
    <w:rsid w:val="00000CDA"/>
    <w:rsid w:val="00006E1F"/>
    <w:rsid w:val="000070D7"/>
    <w:rsid w:val="000077B5"/>
    <w:rsid w:val="00007E23"/>
    <w:rsid w:val="000145E5"/>
    <w:rsid w:val="0001788C"/>
    <w:rsid w:val="00017A2A"/>
    <w:rsid w:val="000237BB"/>
    <w:rsid w:val="00024023"/>
    <w:rsid w:val="000337EF"/>
    <w:rsid w:val="000342AB"/>
    <w:rsid w:val="00040C3A"/>
    <w:rsid w:val="000419AD"/>
    <w:rsid w:val="000433C9"/>
    <w:rsid w:val="000444E7"/>
    <w:rsid w:val="0005720B"/>
    <w:rsid w:val="000603A1"/>
    <w:rsid w:val="0006191E"/>
    <w:rsid w:val="00062B3E"/>
    <w:rsid w:val="00071174"/>
    <w:rsid w:val="000716C5"/>
    <w:rsid w:val="00075E23"/>
    <w:rsid w:val="000822C2"/>
    <w:rsid w:val="0009344A"/>
    <w:rsid w:val="0009365B"/>
    <w:rsid w:val="000970F4"/>
    <w:rsid w:val="000A392E"/>
    <w:rsid w:val="000A3AB0"/>
    <w:rsid w:val="000A575F"/>
    <w:rsid w:val="000B3C79"/>
    <w:rsid w:val="000B66F4"/>
    <w:rsid w:val="000B7730"/>
    <w:rsid w:val="000B7F16"/>
    <w:rsid w:val="000C09E6"/>
    <w:rsid w:val="000D05CB"/>
    <w:rsid w:val="000D10DB"/>
    <w:rsid w:val="000D3A6C"/>
    <w:rsid w:val="000D578B"/>
    <w:rsid w:val="000D5FE1"/>
    <w:rsid w:val="000D6925"/>
    <w:rsid w:val="000E11A9"/>
    <w:rsid w:val="000E5EB5"/>
    <w:rsid w:val="000F18F5"/>
    <w:rsid w:val="000F35ED"/>
    <w:rsid w:val="000F3E4D"/>
    <w:rsid w:val="0010550C"/>
    <w:rsid w:val="00105871"/>
    <w:rsid w:val="00107131"/>
    <w:rsid w:val="0010736F"/>
    <w:rsid w:val="00113F73"/>
    <w:rsid w:val="001157A0"/>
    <w:rsid w:val="00121CC2"/>
    <w:rsid w:val="001276F0"/>
    <w:rsid w:val="00130478"/>
    <w:rsid w:val="00131425"/>
    <w:rsid w:val="00133EE5"/>
    <w:rsid w:val="00165562"/>
    <w:rsid w:val="00167A34"/>
    <w:rsid w:val="00184A32"/>
    <w:rsid w:val="001913A0"/>
    <w:rsid w:val="00193418"/>
    <w:rsid w:val="001A137B"/>
    <w:rsid w:val="001A520D"/>
    <w:rsid w:val="001A7870"/>
    <w:rsid w:val="001A7D7B"/>
    <w:rsid w:val="001B3A00"/>
    <w:rsid w:val="001C1B41"/>
    <w:rsid w:val="001D21C7"/>
    <w:rsid w:val="001D65EF"/>
    <w:rsid w:val="001E15E7"/>
    <w:rsid w:val="001E308A"/>
    <w:rsid w:val="001E49E7"/>
    <w:rsid w:val="001F0DF1"/>
    <w:rsid w:val="001F1BFE"/>
    <w:rsid w:val="001F44A9"/>
    <w:rsid w:val="001F7201"/>
    <w:rsid w:val="001F75A8"/>
    <w:rsid w:val="00201077"/>
    <w:rsid w:val="0020258E"/>
    <w:rsid w:val="00223A29"/>
    <w:rsid w:val="002250A3"/>
    <w:rsid w:val="00227BFE"/>
    <w:rsid w:val="00234F71"/>
    <w:rsid w:val="00235217"/>
    <w:rsid w:val="00237C68"/>
    <w:rsid w:val="002423D3"/>
    <w:rsid w:val="00246D1F"/>
    <w:rsid w:val="00247403"/>
    <w:rsid w:val="00247542"/>
    <w:rsid w:val="002500B3"/>
    <w:rsid w:val="0025385F"/>
    <w:rsid w:val="00254C70"/>
    <w:rsid w:val="0026135C"/>
    <w:rsid w:val="002639E9"/>
    <w:rsid w:val="00266B61"/>
    <w:rsid w:val="0026712A"/>
    <w:rsid w:val="002704DB"/>
    <w:rsid w:val="0027087A"/>
    <w:rsid w:val="00275A32"/>
    <w:rsid w:val="00280B37"/>
    <w:rsid w:val="00281F63"/>
    <w:rsid w:val="0028279E"/>
    <w:rsid w:val="0028747A"/>
    <w:rsid w:val="00291488"/>
    <w:rsid w:val="00291A2F"/>
    <w:rsid w:val="002A0AAE"/>
    <w:rsid w:val="002A5820"/>
    <w:rsid w:val="002B13B6"/>
    <w:rsid w:val="002B1533"/>
    <w:rsid w:val="002B3758"/>
    <w:rsid w:val="002B3B77"/>
    <w:rsid w:val="002C7998"/>
    <w:rsid w:val="002D05F6"/>
    <w:rsid w:val="002D2B26"/>
    <w:rsid w:val="002D7EA2"/>
    <w:rsid w:val="002E187C"/>
    <w:rsid w:val="002F0E25"/>
    <w:rsid w:val="002F1E53"/>
    <w:rsid w:val="002F3F8C"/>
    <w:rsid w:val="00302733"/>
    <w:rsid w:val="00305835"/>
    <w:rsid w:val="003066A4"/>
    <w:rsid w:val="00306F33"/>
    <w:rsid w:val="00314078"/>
    <w:rsid w:val="0031535D"/>
    <w:rsid w:val="0032109E"/>
    <w:rsid w:val="003239B8"/>
    <w:rsid w:val="0033169F"/>
    <w:rsid w:val="00344977"/>
    <w:rsid w:val="003459D0"/>
    <w:rsid w:val="00346C95"/>
    <w:rsid w:val="00346EC3"/>
    <w:rsid w:val="00350978"/>
    <w:rsid w:val="00356185"/>
    <w:rsid w:val="00360380"/>
    <w:rsid w:val="0036120D"/>
    <w:rsid w:val="00364614"/>
    <w:rsid w:val="00366584"/>
    <w:rsid w:val="0037519E"/>
    <w:rsid w:val="00380295"/>
    <w:rsid w:val="00386CF0"/>
    <w:rsid w:val="003872D0"/>
    <w:rsid w:val="003B6684"/>
    <w:rsid w:val="003B70FB"/>
    <w:rsid w:val="003C43F7"/>
    <w:rsid w:val="003C676B"/>
    <w:rsid w:val="003D02A8"/>
    <w:rsid w:val="003D3BC2"/>
    <w:rsid w:val="003D67A9"/>
    <w:rsid w:val="003E1523"/>
    <w:rsid w:val="003E51E9"/>
    <w:rsid w:val="003E6CA1"/>
    <w:rsid w:val="003F4205"/>
    <w:rsid w:val="003F5154"/>
    <w:rsid w:val="003F5AFC"/>
    <w:rsid w:val="003F5D75"/>
    <w:rsid w:val="00405F9C"/>
    <w:rsid w:val="004065A8"/>
    <w:rsid w:val="004165C2"/>
    <w:rsid w:val="00416CAB"/>
    <w:rsid w:val="004205D0"/>
    <w:rsid w:val="004241A0"/>
    <w:rsid w:val="00426EB8"/>
    <w:rsid w:val="00427B38"/>
    <w:rsid w:val="00441ECB"/>
    <w:rsid w:val="00445193"/>
    <w:rsid w:val="00447769"/>
    <w:rsid w:val="004615C5"/>
    <w:rsid w:val="00462C1B"/>
    <w:rsid w:val="00467B7E"/>
    <w:rsid w:val="00473BB4"/>
    <w:rsid w:val="004768E2"/>
    <w:rsid w:val="00477592"/>
    <w:rsid w:val="00483ACE"/>
    <w:rsid w:val="00486F1C"/>
    <w:rsid w:val="00487009"/>
    <w:rsid w:val="00487090"/>
    <w:rsid w:val="00490E46"/>
    <w:rsid w:val="00491AEF"/>
    <w:rsid w:val="0049419D"/>
    <w:rsid w:val="0049473B"/>
    <w:rsid w:val="004A057B"/>
    <w:rsid w:val="004A10F8"/>
    <w:rsid w:val="004A6A54"/>
    <w:rsid w:val="004B421C"/>
    <w:rsid w:val="004C20D2"/>
    <w:rsid w:val="004C2312"/>
    <w:rsid w:val="004C24EC"/>
    <w:rsid w:val="004C4B62"/>
    <w:rsid w:val="004C54C9"/>
    <w:rsid w:val="004D2A22"/>
    <w:rsid w:val="004D4ABA"/>
    <w:rsid w:val="004D6025"/>
    <w:rsid w:val="004E013A"/>
    <w:rsid w:val="004E2649"/>
    <w:rsid w:val="004F1840"/>
    <w:rsid w:val="004F1B17"/>
    <w:rsid w:val="004F626F"/>
    <w:rsid w:val="004F688E"/>
    <w:rsid w:val="00501399"/>
    <w:rsid w:val="005047ED"/>
    <w:rsid w:val="0050633D"/>
    <w:rsid w:val="005079DA"/>
    <w:rsid w:val="00507BC4"/>
    <w:rsid w:val="005128E4"/>
    <w:rsid w:val="005133DB"/>
    <w:rsid w:val="00514504"/>
    <w:rsid w:val="00521E1F"/>
    <w:rsid w:val="00525560"/>
    <w:rsid w:val="00544C49"/>
    <w:rsid w:val="005516A1"/>
    <w:rsid w:val="00552088"/>
    <w:rsid w:val="005559EF"/>
    <w:rsid w:val="00556A5A"/>
    <w:rsid w:val="005627DD"/>
    <w:rsid w:val="00563557"/>
    <w:rsid w:val="0056768B"/>
    <w:rsid w:val="0057402A"/>
    <w:rsid w:val="005771D0"/>
    <w:rsid w:val="0059191A"/>
    <w:rsid w:val="005921FF"/>
    <w:rsid w:val="005A0136"/>
    <w:rsid w:val="005A24ED"/>
    <w:rsid w:val="005A6D0E"/>
    <w:rsid w:val="005B039F"/>
    <w:rsid w:val="005B0995"/>
    <w:rsid w:val="005B4931"/>
    <w:rsid w:val="005B4A41"/>
    <w:rsid w:val="005B52B0"/>
    <w:rsid w:val="005B6806"/>
    <w:rsid w:val="005C0BD2"/>
    <w:rsid w:val="005C4225"/>
    <w:rsid w:val="005D0648"/>
    <w:rsid w:val="005D3EFD"/>
    <w:rsid w:val="005D66BE"/>
    <w:rsid w:val="005F0791"/>
    <w:rsid w:val="005F0DAD"/>
    <w:rsid w:val="005F0F33"/>
    <w:rsid w:val="005F5221"/>
    <w:rsid w:val="005F5811"/>
    <w:rsid w:val="005F79FA"/>
    <w:rsid w:val="00600DEB"/>
    <w:rsid w:val="0060312E"/>
    <w:rsid w:val="00627562"/>
    <w:rsid w:val="00627C9F"/>
    <w:rsid w:val="006311E9"/>
    <w:rsid w:val="00632354"/>
    <w:rsid w:val="00635421"/>
    <w:rsid w:val="00635B94"/>
    <w:rsid w:val="00637368"/>
    <w:rsid w:val="00642810"/>
    <w:rsid w:val="00652333"/>
    <w:rsid w:val="006769F3"/>
    <w:rsid w:val="00677ED3"/>
    <w:rsid w:val="0068009E"/>
    <w:rsid w:val="00681F9F"/>
    <w:rsid w:val="006900A2"/>
    <w:rsid w:val="00692219"/>
    <w:rsid w:val="00693EB9"/>
    <w:rsid w:val="006A17D2"/>
    <w:rsid w:val="006A73E6"/>
    <w:rsid w:val="006B19CB"/>
    <w:rsid w:val="006B2D5C"/>
    <w:rsid w:val="006B3E22"/>
    <w:rsid w:val="006B4ACA"/>
    <w:rsid w:val="006C0ECF"/>
    <w:rsid w:val="006C3A93"/>
    <w:rsid w:val="006C4EB1"/>
    <w:rsid w:val="006C5108"/>
    <w:rsid w:val="006D4B4F"/>
    <w:rsid w:val="006D6BB6"/>
    <w:rsid w:val="006E0166"/>
    <w:rsid w:val="006E2FFB"/>
    <w:rsid w:val="006E3BAD"/>
    <w:rsid w:val="006E3F40"/>
    <w:rsid w:val="006E7B34"/>
    <w:rsid w:val="006F0092"/>
    <w:rsid w:val="006F4C2C"/>
    <w:rsid w:val="00700F50"/>
    <w:rsid w:val="0070697F"/>
    <w:rsid w:val="007103C4"/>
    <w:rsid w:val="00720C06"/>
    <w:rsid w:val="00721826"/>
    <w:rsid w:val="0072199C"/>
    <w:rsid w:val="00722C9F"/>
    <w:rsid w:val="00723817"/>
    <w:rsid w:val="00723823"/>
    <w:rsid w:val="007246CD"/>
    <w:rsid w:val="00725347"/>
    <w:rsid w:val="007253B8"/>
    <w:rsid w:val="0073392A"/>
    <w:rsid w:val="0073741F"/>
    <w:rsid w:val="007465DF"/>
    <w:rsid w:val="00751EB7"/>
    <w:rsid w:val="0075547F"/>
    <w:rsid w:val="0076643F"/>
    <w:rsid w:val="00771587"/>
    <w:rsid w:val="00777F63"/>
    <w:rsid w:val="0078658C"/>
    <w:rsid w:val="00793F1C"/>
    <w:rsid w:val="007A0DC6"/>
    <w:rsid w:val="007A2986"/>
    <w:rsid w:val="007A43DD"/>
    <w:rsid w:val="007A5817"/>
    <w:rsid w:val="007A639D"/>
    <w:rsid w:val="007B05C4"/>
    <w:rsid w:val="007B60E9"/>
    <w:rsid w:val="007B6595"/>
    <w:rsid w:val="007B6CC3"/>
    <w:rsid w:val="007B76D3"/>
    <w:rsid w:val="007C18F9"/>
    <w:rsid w:val="007C3334"/>
    <w:rsid w:val="007C73A3"/>
    <w:rsid w:val="007D2B98"/>
    <w:rsid w:val="007D47A3"/>
    <w:rsid w:val="007D4918"/>
    <w:rsid w:val="007E1EE8"/>
    <w:rsid w:val="007E21BC"/>
    <w:rsid w:val="007E62F2"/>
    <w:rsid w:val="007E6888"/>
    <w:rsid w:val="007E7C82"/>
    <w:rsid w:val="007F2AA1"/>
    <w:rsid w:val="007F2D7C"/>
    <w:rsid w:val="007F588D"/>
    <w:rsid w:val="00801E92"/>
    <w:rsid w:val="00803F1C"/>
    <w:rsid w:val="0080600E"/>
    <w:rsid w:val="0081055A"/>
    <w:rsid w:val="00814688"/>
    <w:rsid w:val="00815AAF"/>
    <w:rsid w:val="00817612"/>
    <w:rsid w:val="008205F3"/>
    <w:rsid w:val="008262CB"/>
    <w:rsid w:val="008338A4"/>
    <w:rsid w:val="00834D49"/>
    <w:rsid w:val="00837C45"/>
    <w:rsid w:val="00841CD0"/>
    <w:rsid w:val="008422DE"/>
    <w:rsid w:val="00844730"/>
    <w:rsid w:val="008457C2"/>
    <w:rsid w:val="00846060"/>
    <w:rsid w:val="008542A0"/>
    <w:rsid w:val="00856620"/>
    <w:rsid w:val="00857A82"/>
    <w:rsid w:val="00872CBE"/>
    <w:rsid w:val="00873836"/>
    <w:rsid w:val="00885737"/>
    <w:rsid w:val="00890650"/>
    <w:rsid w:val="00893184"/>
    <w:rsid w:val="008936D5"/>
    <w:rsid w:val="008944DC"/>
    <w:rsid w:val="00895F48"/>
    <w:rsid w:val="00897E12"/>
    <w:rsid w:val="008A7E0F"/>
    <w:rsid w:val="008B12F5"/>
    <w:rsid w:val="008B7355"/>
    <w:rsid w:val="008C5E2D"/>
    <w:rsid w:val="008C7768"/>
    <w:rsid w:val="008C7E6F"/>
    <w:rsid w:val="008D367F"/>
    <w:rsid w:val="008D768D"/>
    <w:rsid w:val="008E2546"/>
    <w:rsid w:val="008E3087"/>
    <w:rsid w:val="008E3759"/>
    <w:rsid w:val="008E3BFE"/>
    <w:rsid w:val="008E41A8"/>
    <w:rsid w:val="008F1912"/>
    <w:rsid w:val="008F4D06"/>
    <w:rsid w:val="009024BF"/>
    <w:rsid w:val="0090270B"/>
    <w:rsid w:val="009041DC"/>
    <w:rsid w:val="00906651"/>
    <w:rsid w:val="00917B5A"/>
    <w:rsid w:val="00920A58"/>
    <w:rsid w:val="00920A8C"/>
    <w:rsid w:val="00934A2C"/>
    <w:rsid w:val="0093579C"/>
    <w:rsid w:val="00937452"/>
    <w:rsid w:val="009445F4"/>
    <w:rsid w:val="00957C0E"/>
    <w:rsid w:val="0096706E"/>
    <w:rsid w:val="00971C97"/>
    <w:rsid w:val="00974312"/>
    <w:rsid w:val="00974491"/>
    <w:rsid w:val="00975C4E"/>
    <w:rsid w:val="00981FBA"/>
    <w:rsid w:val="00982364"/>
    <w:rsid w:val="009838C1"/>
    <w:rsid w:val="00997BC5"/>
    <w:rsid w:val="009A0EAC"/>
    <w:rsid w:val="009A3700"/>
    <w:rsid w:val="009A431F"/>
    <w:rsid w:val="009A4486"/>
    <w:rsid w:val="009A4F41"/>
    <w:rsid w:val="009B381B"/>
    <w:rsid w:val="009B7673"/>
    <w:rsid w:val="009D1753"/>
    <w:rsid w:val="009D2D7C"/>
    <w:rsid w:val="009D7611"/>
    <w:rsid w:val="009E0B61"/>
    <w:rsid w:val="009E12C9"/>
    <w:rsid w:val="009E53DE"/>
    <w:rsid w:val="009E7F46"/>
    <w:rsid w:val="009F7D57"/>
    <w:rsid w:val="00A004BB"/>
    <w:rsid w:val="00A11212"/>
    <w:rsid w:val="00A11E44"/>
    <w:rsid w:val="00A30100"/>
    <w:rsid w:val="00A328B3"/>
    <w:rsid w:val="00A34797"/>
    <w:rsid w:val="00A348E6"/>
    <w:rsid w:val="00A42DE9"/>
    <w:rsid w:val="00A50FCF"/>
    <w:rsid w:val="00A528D1"/>
    <w:rsid w:val="00A610CD"/>
    <w:rsid w:val="00A65CA2"/>
    <w:rsid w:val="00A71AF5"/>
    <w:rsid w:val="00A758AA"/>
    <w:rsid w:val="00A95179"/>
    <w:rsid w:val="00AA09A2"/>
    <w:rsid w:val="00AA2A25"/>
    <w:rsid w:val="00AA5191"/>
    <w:rsid w:val="00AA7996"/>
    <w:rsid w:val="00AB3141"/>
    <w:rsid w:val="00AB5C3E"/>
    <w:rsid w:val="00AC19CB"/>
    <w:rsid w:val="00AC1ECD"/>
    <w:rsid w:val="00AC4D03"/>
    <w:rsid w:val="00AC58CB"/>
    <w:rsid w:val="00AE263F"/>
    <w:rsid w:val="00AE5488"/>
    <w:rsid w:val="00AE6F91"/>
    <w:rsid w:val="00AF1AF9"/>
    <w:rsid w:val="00AF1EA1"/>
    <w:rsid w:val="00AF5571"/>
    <w:rsid w:val="00B0247A"/>
    <w:rsid w:val="00B07341"/>
    <w:rsid w:val="00B11718"/>
    <w:rsid w:val="00B249AB"/>
    <w:rsid w:val="00B30539"/>
    <w:rsid w:val="00B314DB"/>
    <w:rsid w:val="00B361F2"/>
    <w:rsid w:val="00B3718B"/>
    <w:rsid w:val="00B3745F"/>
    <w:rsid w:val="00B4632A"/>
    <w:rsid w:val="00B47178"/>
    <w:rsid w:val="00B530F1"/>
    <w:rsid w:val="00B7068C"/>
    <w:rsid w:val="00B82801"/>
    <w:rsid w:val="00B83158"/>
    <w:rsid w:val="00B93D7F"/>
    <w:rsid w:val="00BA2401"/>
    <w:rsid w:val="00BA276C"/>
    <w:rsid w:val="00BA27E4"/>
    <w:rsid w:val="00BA6CEF"/>
    <w:rsid w:val="00BB019D"/>
    <w:rsid w:val="00BB306F"/>
    <w:rsid w:val="00BB6B26"/>
    <w:rsid w:val="00BC00E5"/>
    <w:rsid w:val="00BC6B3B"/>
    <w:rsid w:val="00BD0FF5"/>
    <w:rsid w:val="00BD4443"/>
    <w:rsid w:val="00BD4B89"/>
    <w:rsid w:val="00BD5922"/>
    <w:rsid w:val="00BE1350"/>
    <w:rsid w:val="00BF02CB"/>
    <w:rsid w:val="00BF2534"/>
    <w:rsid w:val="00BF6FD8"/>
    <w:rsid w:val="00BF703D"/>
    <w:rsid w:val="00C03680"/>
    <w:rsid w:val="00C054DF"/>
    <w:rsid w:val="00C13055"/>
    <w:rsid w:val="00C1640D"/>
    <w:rsid w:val="00C20BC2"/>
    <w:rsid w:val="00C21762"/>
    <w:rsid w:val="00C21FEF"/>
    <w:rsid w:val="00C23BA4"/>
    <w:rsid w:val="00C24543"/>
    <w:rsid w:val="00C256A2"/>
    <w:rsid w:val="00C25ADB"/>
    <w:rsid w:val="00C3331F"/>
    <w:rsid w:val="00C51515"/>
    <w:rsid w:val="00C544BB"/>
    <w:rsid w:val="00C5660B"/>
    <w:rsid w:val="00C56831"/>
    <w:rsid w:val="00C66080"/>
    <w:rsid w:val="00C66B72"/>
    <w:rsid w:val="00C721DB"/>
    <w:rsid w:val="00C72913"/>
    <w:rsid w:val="00C87AC4"/>
    <w:rsid w:val="00C9124E"/>
    <w:rsid w:val="00C9567A"/>
    <w:rsid w:val="00CB0178"/>
    <w:rsid w:val="00CB212D"/>
    <w:rsid w:val="00CB2660"/>
    <w:rsid w:val="00CB58A6"/>
    <w:rsid w:val="00CC543D"/>
    <w:rsid w:val="00CC5E90"/>
    <w:rsid w:val="00CC6B23"/>
    <w:rsid w:val="00CC7884"/>
    <w:rsid w:val="00CD046C"/>
    <w:rsid w:val="00CD1060"/>
    <w:rsid w:val="00CD1D3B"/>
    <w:rsid w:val="00CD7DDD"/>
    <w:rsid w:val="00CE076C"/>
    <w:rsid w:val="00CE3595"/>
    <w:rsid w:val="00CE37C4"/>
    <w:rsid w:val="00CE5199"/>
    <w:rsid w:val="00CE66D5"/>
    <w:rsid w:val="00CF637A"/>
    <w:rsid w:val="00CF68CF"/>
    <w:rsid w:val="00D01312"/>
    <w:rsid w:val="00D059DE"/>
    <w:rsid w:val="00D05ABD"/>
    <w:rsid w:val="00D13FCE"/>
    <w:rsid w:val="00D14FB4"/>
    <w:rsid w:val="00D306D1"/>
    <w:rsid w:val="00D30800"/>
    <w:rsid w:val="00D34786"/>
    <w:rsid w:val="00D37BFC"/>
    <w:rsid w:val="00D471A2"/>
    <w:rsid w:val="00D47A8E"/>
    <w:rsid w:val="00D52D14"/>
    <w:rsid w:val="00D63A6B"/>
    <w:rsid w:val="00D712D3"/>
    <w:rsid w:val="00D71422"/>
    <w:rsid w:val="00D72DC6"/>
    <w:rsid w:val="00D7558D"/>
    <w:rsid w:val="00D75B49"/>
    <w:rsid w:val="00D771F4"/>
    <w:rsid w:val="00D80A66"/>
    <w:rsid w:val="00D81D92"/>
    <w:rsid w:val="00D86145"/>
    <w:rsid w:val="00D876F9"/>
    <w:rsid w:val="00D92F63"/>
    <w:rsid w:val="00DA7B5F"/>
    <w:rsid w:val="00DB2E40"/>
    <w:rsid w:val="00DB45DA"/>
    <w:rsid w:val="00DC11E7"/>
    <w:rsid w:val="00DC1B4C"/>
    <w:rsid w:val="00DC24E3"/>
    <w:rsid w:val="00DC4E8A"/>
    <w:rsid w:val="00DC7023"/>
    <w:rsid w:val="00DC769A"/>
    <w:rsid w:val="00DD3D86"/>
    <w:rsid w:val="00DD4AD2"/>
    <w:rsid w:val="00DD515C"/>
    <w:rsid w:val="00DE0A58"/>
    <w:rsid w:val="00DE2862"/>
    <w:rsid w:val="00DF1EC4"/>
    <w:rsid w:val="00DF6B57"/>
    <w:rsid w:val="00E0340B"/>
    <w:rsid w:val="00E04A90"/>
    <w:rsid w:val="00E0551F"/>
    <w:rsid w:val="00E2060E"/>
    <w:rsid w:val="00E219C7"/>
    <w:rsid w:val="00E2321A"/>
    <w:rsid w:val="00E265B7"/>
    <w:rsid w:val="00E323B2"/>
    <w:rsid w:val="00E35FF1"/>
    <w:rsid w:val="00E40E47"/>
    <w:rsid w:val="00E4118C"/>
    <w:rsid w:val="00E43157"/>
    <w:rsid w:val="00E461CE"/>
    <w:rsid w:val="00E519CB"/>
    <w:rsid w:val="00E573E4"/>
    <w:rsid w:val="00E60D76"/>
    <w:rsid w:val="00E64C3D"/>
    <w:rsid w:val="00E6535D"/>
    <w:rsid w:val="00E66AFF"/>
    <w:rsid w:val="00E720CA"/>
    <w:rsid w:val="00E7793B"/>
    <w:rsid w:val="00E81194"/>
    <w:rsid w:val="00E84EB5"/>
    <w:rsid w:val="00E85662"/>
    <w:rsid w:val="00E8789F"/>
    <w:rsid w:val="00E95F8D"/>
    <w:rsid w:val="00E97B71"/>
    <w:rsid w:val="00EA3D34"/>
    <w:rsid w:val="00EA4479"/>
    <w:rsid w:val="00EB3B4F"/>
    <w:rsid w:val="00EB454D"/>
    <w:rsid w:val="00EB47CD"/>
    <w:rsid w:val="00EB77C7"/>
    <w:rsid w:val="00EC2D3C"/>
    <w:rsid w:val="00EC5941"/>
    <w:rsid w:val="00ED2B3F"/>
    <w:rsid w:val="00ED549D"/>
    <w:rsid w:val="00ED5E10"/>
    <w:rsid w:val="00ED76BE"/>
    <w:rsid w:val="00EE00E9"/>
    <w:rsid w:val="00EE36C0"/>
    <w:rsid w:val="00EF1AAA"/>
    <w:rsid w:val="00EF619B"/>
    <w:rsid w:val="00F00B55"/>
    <w:rsid w:val="00F02AD1"/>
    <w:rsid w:val="00F17870"/>
    <w:rsid w:val="00F253CC"/>
    <w:rsid w:val="00F30882"/>
    <w:rsid w:val="00F309E3"/>
    <w:rsid w:val="00F31705"/>
    <w:rsid w:val="00F37106"/>
    <w:rsid w:val="00F44E25"/>
    <w:rsid w:val="00F519CF"/>
    <w:rsid w:val="00F54555"/>
    <w:rsid w:val="00F56BA5"/>
    <w:rsid w:val="00F60C89"/>
    <w:rsid w:val="00F60E22"/>
    <w:rsid w:val="00F7289E"/>
    <w:rsid w:val="00F80D59"/>
    <w:rsid w:val="00F81395"/>
    <w:rsid w:val="00F81BB8"/>
    <w:rsid w:val="00F8227D"/>
    <w:rsid w:val="00F841D5"/>
    <w:rsid w:val="00F8436B"/>
    <w:rsid w:val="00F87F0D"/>
    <w:rsid w:val="00F90C50"/>
    <w:rsid w:val="00F90C64"/>
    <w:rsid w:val="00F917D1"/>
    <w:rsid w:val="00F9653B"/>
    <w:rsid w:val="00FA01FC"/>
    <w:rsid w:val="00FA17EA"/>
    <w:rsid w:val="00FB62CF"/>
    <w:rsid w:val="00FB66EE"/>
    <w:rsid w:val="00FC14F6"/>
    <w:rsid w:val="00FC6219"/>
    <w:rsid w:val="00FD3C3B"/>
    <w:rsid w:val="00FD4E08"/>
    <w:rsid w:val="00FD5701"/>
    <w:rsid w:val="00FD667B"/>
    <w:rsid w:val="00FD715C"/>
    <w:rsid w:val="00FE07DD"/>
    <w:rsid w:val="00FE382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1">
    <w:name w:val="1"/>
    <w:basedOn w:val="Normal"/>
    <w:link w:val="FootnoteReference"/>
    <w:rsid w:val="008205F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7465DF"/>
    <w:rPr>
      <w:sz w:val="16"/>
      <w:szCs w:val="16"/>
    </w:rPr>
  </w:style>
  <w:style w:type="paragraph" w:styleId="CommentText">
    <w:name w:val="annotation text"/>
    <w:basedOn w:val="Normal"/>
    <w:link w:val="CommentTextChar"/>
    <w:uiPriority w:val="99"/>
    <w:semiHidden/>
    <w:unhideWhenUsed/>
    <w:rsid w:val="007465DF"/>
    <w:rPr>
      <w:sz w:val="20"/>
      <w:szCs w:val="20"/>
    </w:rPr>
  </w:style>
  <w:style w:type="character" w:customStyle="1" w:styleId="CommentTextChar">
    <w:name w:val="Comment Text Char"/>
    <w:basedOn w:val="DefaultParagraphFont"/>
    <w:link w:val="CommentText"/>
    <w:uiPriority w:val="99"/>
    <w:semiHidden/>
    <w:rsid w:val="007465DF"/>
    <w:rPr>
      <w:lang w:val="en-US" w:eastAsia="en-US"/>
    </w:rPr>
  </w:style>
  <w:style w:type="paragraph" w:styleId="CommentSubject">
    <w:name w:val="annotation subject"/>
    <w:basedOn w:val="CommentText"/>
    <w:next w:val="CommentText"/>
    <w:link w:val="CommentSubjectChar"/>
    <w:uiPriority w:val="99"/>
    <w:semiHidden/>
    <w:unhideWhenUsed/>
    <w:rsid w:val="007465DF"/>
    <w:rPr>
      <w:b/>
      <w:bCs/>
    </w:rPr>
  </w:style>
  <w:style w:type="character" w:customStyle="1" w:styleId="CommentSubjectChar">
    <w:name w:val="Comment Subject Char"/>
    <w:basedOn w:val="CommentTextChar"/>
    <w:link w:val="CommentSubject"/>
    <w:uiPriority w:val="99"/>
    <w:semiHidden/>
    <w:rsid w:val="007465DF"/>
    <w:rPr>
      <w:b/>
      <w:bCs/>
      <w:lang w:val="en-US" w:eastAsia="en-US"/>
    </w:rPr>
  </w:style>
  <w:style w:type="character" w:styleId="FollowedHyperlink">
    <w:name w:val="FollowedHyperlink"/>
    <w:basedOn w:val="DefaultParagraphFont"/>
    <w:uiPriority w:val="99"/>
    <w:semiHidden/>
    <w:unhideWhenUsed/>
    <w:rsid w:val="009024BF"/>
    <w:rPr>
      <w:color w:val="800080" w:themeColor="followedHyperlink"/>
      <w:u w:val="single"/>
    </w:rPr>
  </w:style>
  <w:style w:type="paragraph" w:customStyle="1" w:styleId="paragraph">
    <w:name w:val="paragraph"/>
    <w:basedOn w:val="Normal"/>
    <w:rsid w:val="00254C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54C70"/>
  </w:style>
  <w:style w:type="character" w:customStyle="1" w:styleId="eop">
    <w:name w:val="eop"/>
    <w:basedOn w:val="DefaultParagraphFont"/>
    <w:rsid w:val="0025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83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5028286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idh.org/demandas/11.663%20oscar%20barreto%20leiva%20venezuela%2031oct0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3598"/>
    <w:rsid w:val="0008633E"/>
    <w:rsid w:val="00096433"/>
    <w:rsid w:val="001440D3"/>
    <w:rsid w:val="001F1E7D"/>
    <w:rsid w:val="00200821"/>
    <w:rsid w:val="0025245B"/>
    <w:rsid w:val="002A25D8"/>
    <w:rsid w:val="002A3923"/>
    <w:rsid w:val="00394049"/>
    <w:rsid w:val="003B0C71"/>
    <w:rsid w:val="004B5BBB"/>
    <w:rsid w:val="004F2DF8"/>
    <w:rsid w:val="00517E2A"/>
    <w:rsid w:val="006255DD"/>
    <w:rsid w:val="0064752C"/>
    <w:rsid w:val="006D12AA"/>
    <w:rsid w:val="006F24A1"/>
    <w:rsid w:val="007016BF"/>
    <w:rsid w:val="00721CB5"/>
    <w:rsid w:val="00757302"/>
    <w:rsid w:val="00792118"/>
    <w:rsid w:val="00875B8A"/>
    <w:rsid w:val="008F55D1"/>
    <w:rsid w:val="00966015"/>
    <w:rsid w:val="009A261B"/>
    <w:rsid w:val="00AA2E17"/>
    <w:rsid w:val="00AC15A4"/>
    <w:rsid w:val="00AE2D3C"/>
    <w:rsid w:val="00B0336C"/>
    <w:rsid w:val="00C94B94"/>
    <w:rsid w:val="00D241E9"/>
    <w:rsid w:val="00D7750D"/>
    <w:rsid w:val="00DB331C"/>
    <w:rsid w:val="00E32779"/>
    <w:rsid w:val="00E50A3C"/>
    <w:rsid w:val="00E60074"/>
    <w:rsid w:val="00EA1EE6"/>
    <w:rsid w:val="00EB2B0D"/>
    <w:rsid w:val="00F00D2F"/>
    <w:rsid w:val="00F0576E"/>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B312-EDE0-47D9-80A1-9D582E0D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3551</Words>
  <Characters>20242</Characters>
  <Application>Microsoft Office Word</Application>
  <DocSecurity>0</DocSecurity>
  <Lines>168</Lines>
  <Paragraphs>47</Paragraphs>
  <ScaleCrop>false</ScaleCrop>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2023-07-31T17:05:00Z</dcterms:created>
  <dcterms:modified xsi:type="dcterms:W3CDTF">2023-07-31T17:05:00Z</dcterms:modified>
</cp:coreProperties>
</file>