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32361" w:rsidRDefault="00D306D1" w:rsidP="00627C9F">
      <w:pPr>
        <w:jc w:val="both"/>
        <w:rPr>
          <w:rFonts w:asciiTheme="majorHAnsi" w:hAnsiTheme="majorHAnsi" w:cs="Univers"/>
          <w:b/>
          <w:bCs/>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C16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32361">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32361">
        <w:rPr>
          <w:rFonts w:asciiTheme="majorHAnsi" w:hAnsiTheme="majorHAnsi" w:cs="Univers"/>
          <w:b/>
          <w:bCs/>
          <w:sz w:val="22"/>
          <w:szCs w:val="22"/>
          <w:lang w:val="es-419"/>
        </w:rPr>
        <w:t xml:space="preserve"> </w:t>
      </w:r>
    </w:p>
    <w:p w14:paraId="751BC92D"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832361" w:rsidRDefault="005128E4" w:rsidP="00040C3A">
      <w:pPr>
        <w:tabs>
          <w:tab w:val="center" w:pos="5400"/>
        </w:tabs>
        <w:suppressAutoHyphens/>
        <w:rPr>
          <w:rFonts w:asciiTheme="majorHAnsi" w:hAnsiTheme="majorHAnsi"/>
          <w:sz w:val="22"/>
          <w:szCs w:val="22"/>
          <w:lang w:val="es-419"/>
        </w:rPr>
      </w:pPr>
    </w:p>
    <w:p w14:paraId="7F51F08B" w14:textId="77777777" w:rsidR="005128E4" w:rsidRPr="00832361" w:rsidRDefault="005128E4" w:rsidP="00040C3A">
      <w:pPr>
        <w:tabs>
          <w:tab w:val="center" w:pos="5400"/>
        </w:tabs>
        <w:suppressAutoHyphens/>
        <w:rPr>
          <w:rFonts w:asciiTheme="majorHAnsi" w:hAnsiTheme="majorHAnsi"/>
          <w:sz w:val="22"/>
          <w:szCs w:val="22"/>
          <w:lang w:val="es-419"/>
        </w:rPr>
      </w:pPr>
    </w:p>
    <w:p w14:paraId="058606A7" w14:textId="77777777" w:rsidR="005128E4" w:rsidRPr="00832361" w:rsidRDefault="005128E4" w:rsidP="00040C3A">
      <w:pPr>
        <w:tabs>
          <w:tab w:val="center" w:pos="5400"/>
        </w:tabs>
        <w:suppressAutoHyphens/>
        <w:rPr>
          <w:rFonts w:asciiTheme="majorHAnsi" w:hAnsiTheme="majorHAnsi"/>
          <w:sz w:val="22"/>
          <w:szCs w:val="22"/>
          <w:lang w:val="es-419"/>
        </w:rPr>
      </w:pPr>
    </w:p>
    <w:p w14:paraId="01B9D56A"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832361" w:rsidRDefault="003D3BC2" w:rsidP="00040C3A">
      <w:pPr>
        <w:tabs>
          <w:tab w:val="center" w:pos="5400"/>
        </w:tabs>
        <w:suppressAutoHyphens/>
        <w:jc w:val="center"/>
        <w:rPr>
          <w:rFonts w:asciiTheme="majorHAnsi" w:hAnsiTheme="majorHAnsi"/>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DA2B8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7592">
                              <w:rPr>
                                <w:rFonts w:asciiTheme="majorHAnsi" w:hAnsiTheme="majorHAnsi" w:cs="Arial"/>
                                <w:b/>
                                <w:bCs/>
                                <w:color w:val="0D0D0D" w:themeColor="text1" w:themeTint="F2"/>
                                <w:sz w:val="36"/>
                                <w:szCs w:val="22"/>
                                <w:lang w:val="es-ES_tradnl"/>
                              </w:rPr>
                              <w:t>279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5AA2C62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0F48">
                              <w:rPr>
                                <w:rFonts w:asciiTheme="majorHAnsi" w:hAnsiTheme="majorHAnsi" w:cs="Arial"/>
                                <w:b/>
                                <w:color w:val="0D0D0D" w:themeColor="text1" w:themeTint="F2"/>
                                <w:sz w:val="36"/>
                                <w:szCs w:val="22"/>
                                <w:lang w:val="es-ES_tradnl"/>
                              </w:rPr>
                              <w:t>8</w:t>
                            </w:r>
                            <w:r w:rsidR="005C606E">
                              <w:rPr>
                                <w:rFonts w:asciiTheme="majorHAnsi" w:hAnsiTheme="majorHAnsi" w:cs="Arial"/>
                                <w:b/>
                                <w:color w:val="0D0D0D" w:themeColor="text1" w:themeTint="F2"/>
                                <w:sz w:val="36"/>
                                <w:szCs w:val="22"/>
                                <w:lang w:val="es-ES_tradnl"/>
                              </w:rPr>
                              <w:t>25</w:t>
                            </w:r>
                            <w:r w:rsidR="00540616">
                              <w:rPr>
                                <w:rFonts w:asciiTheme="majorHAnsi" w:hAnsiTheme="majorHAnsi" w:cs="Arial"/>
                                <w:b/>
                                <w:color w:val="0D0D0D" w:themeColor="text1" w:themeTint="F2"/>
                                <w:sz w:val="36"/>
                                <w:szCs w:val="22"/>
                                <w:lang w:val="es-ES_tradnl"/>
                              </w:rPr>
                              <w:t>-1</w:t>
                            </w:r>
                            <w:r w:rsidR="00F62635">
                              <w:rPr>
                                <w:rFonts w:asciiTheme="majorHAnsi" w:hAnsiTheme="majorHAnsi" w:cs="Arial"/>
                                <w:b/>
                                <w:color w:val="0D0D0D" w:themeColor="text1" w:themeTint="F2"/>
                                <w:sz w:val="36"/>
                                <w:szCs w:val="22"/>
                                <w:lang w:val="es-ES_tradnl"/>
                              </w:rPr>
                              <w:t>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1FFF063" w14:textId="07B2C15A" w:rsidR="005C606E" w:rsidRPr="005C606E" w:rsidRDefault="00C50F48" w:rsidP="005C606E">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CRISTIAN GÓES</w:t>
                            </w:r>
                          </w:p>
                          <w:p w14:paraId="0B9F7D22" w14:textId="2347C9B3" w:rsidR="005B52B0" w:rsidRPr="00F62635" w:rsidRDefault="005C606E" w:rsidP="005C606E">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DA2B8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7592">
                        <w:rPr>
                          <w:rFonts w:asciiTheme="majorHAnsi" w:hAnsiTheme="majorHAnsi" w:cs="Arial"/>
                          <w:b/>
                          <w:bCs/>
                          <w:color w:val="0D0D0D" w:themeColor="text1" w:themeTint="F2"/>
                          <w:sz w:val="36"/>
                          <w:szCs w:val="22"/>
                          <w:lang w:val="es-ES_tradnl"/>
                        </w:rPr>
                        <w:t>279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5AA2C62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0F48">
                        <w:rPr>
                          <w:rFonts w:asciiTheme="majorHAnsi" w:hAnsiTheme="majorHAnsi" w:cs="Arial"/>
                          <w:b/>
                          <w:color w:val="0D0D0D" w:themeColor="text1" w:themeTint="F2"/>
                          <w:sz w:val="36"/>
                          <w:szCs w:val="22"/>
                          <w:lang w:val="es-ES_tradnl"/>
                        </w:rPr>
                        <w:t>8</w:t>
                      </w:r>
                      <w:r w:rsidR="005C606E">
                        <w:rPr>
                          <w:rFonts w:asciiTheme="majorHAnsi" w:hAnsiTheme="majorHAnsi" w:cs="Arial"/>
                          <w:b/>
                          <w:color w:val="0D0D0D" w:themeColor="text1" w:themeTint="F2"/>
                          <w:sz w:val="36"/>
                          <w:szCs w:val="22"/>
                          <w:lang w:val="es-ES_tradnl"/>
                        </w:rPr>
                        <w:t>25</w:t>
                      </w:r>
                      <w:r w:rsidR="00540616">
                        <w:rPr>
                          <w:rFonts w:asciiTheme="majorHAnsi" w:hAnsiTheme="majorHAnsi" w:cs="Arial"/>
                          <w:b/>
                          <w:color w:val="0D0D0D" w:themeColor="text1" w:themeTint="F2"/>
                          <w:sz w:val="36"/>
                          <w:szCs w:val="22"/>
                          <w:lang w:val="es-ES_tradnl"/>
                        </w:rPr>
                        <w:t>-1</w:t>
                      </w:r>
                      <w:r w:rsidR="00F62635">
                        <w:rPr>
                          <w:rFonts w:asciiTheme="majorHAnsi" w:hAnsiTheme="majorHAnsi" w:cs="Arial"/>
                          <w:b/>
                          <w:color w:val="0D0D0D" w:themeColor="text1" w:themeTint="F2"/>
                          <w:sz w:val="36"/>
                          <w:szCs w:val="22"/>
                          <w:lang w:val="es-ES_tradnl"/>
                        </w:rPr>
                        <w:t>5</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1FFF063" w14:textId="07B2C15A" w:rsidR="005C606E" w:rsidRPr="005C606E" w:rsidRDefault="00C50F48" w:rsidP="005C606E">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CRISTIAN GÓES</w:t>
                      </w:r>
                    </w:p>
                    <w:p w14:paraId="0B9F7D22" w14:textId="2347C9B3" w:rsidR="005B52B0" w:rsidRPr="00F62635" w:rsidRDefault="005C606E" w:rsidP="005C606E">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v:textbox>
              </v:shape>
            </w:pict>
          </mc:Fallback>
        </mc:AlternateContent>
      </w:r>
      <w:r w:rsidR="004E2649" w:rsidRPr="00832361">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D92C414" w:rsidR="00627C9F" w:rsidRPr="0067078B" w:rsidRDefault="00834D49" w:rsidP="007A5817">
                            <w:pPr>
                              <w:spacing w:line="276" w:lineRule="auto"/>
                              <w:jc w:val="right"/>
                              <w:rPr>
                                <w:rFonts w:asciiTheme="minorHAnsi" w:hAnsiTheme="minorHAnsi"/>
                                <w:color w:val="FFFFFF" w:themeColor="background1"/>
                                <w:sz w:val="22"/>
                                <w:lang w:val="es-AR"/>
                              </w:rPr>
                            </w:pPr>
                            <w:r w:rsidRPr="0067078B">
                              <w:rPr>
                                <w:rFonts w:asciiTheme="minorHAnsi" w:hAnsiTheme="minorHAnsi"/>
                                <w:color w:val="FFFFFF" w:themeColor="background1"/>
                                <w:sz w:val="22"/>
                                <w:lang w:val="es-AR"/>
                              </w:rPr>
                              <w:t>OEA/Ser.L/V/II</w:t>
                            </w:r>
                          </w:p>
                          <w:p w14:paraId="71D2D5D2" w14:textId="37A68C3F" w:rsidR="00627C9F" w:rsidRPr="0067078B" w:rsidRDefault="00627C9F" w:rsidP="007A5817">
                            <w:pPr>
                              <w:spacing w:line="276" w:lineRule="auto"/>
                              <w:jc w:val="right"/>
                              <w:rPr>
                                <w:rFonts w:asciiTheme="minorHAnsi" w:hAnsiTheme="minorHAnsi"/>
                                <w:color w:val="FFFFFF" w:themeColor="background1"/>
                                <w:sz w:val="22"/>
                                <w:lang w:val="es-AR"/>
                              </w:rPr>
                            </w:pPr>
                            <w:r w:rsidRPr="0067078B">
                              <w:rPr>
                                <w:rFonts w:asciiTheme="minorHAnsi" w:hAnsiTheme="minorHAnsi"/>
                                <w:color w:val="FFFFFF" w:themeColor="background1"/>
                                <w:sz w:val="22"/>
                                <w:lang w:val="es-AR"/>
                              </w:rPr>
                              <w:t xml:space="preserve">Doc. </w:t>
                            </w:r>
                            <w:r w:rsidR="00337592" w:rsidRPr="0067078B">
                              <w:rPr>
                                <w:rFonts w:asciiTheme="minorHAnsi" w:hAnsiTheme="minorHAnsi"/>
                                <w:color w:val="FFFFFF" w:themeColor="background1"/>
                                <w:sz w:val="22"/>
                                <w:lang w:val="es-AR"/>
                              </w:rPr>
                              <w:t>299</w:t>
                            </w:r>
                          </w:p>
                          <w:p w14:paraId="4061DBBD" w14:textId="0557D3D1" w:rsidR="00627C9F" w:rsidRPr="00C25ADB" w:rsidRDefault="0033759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D92C414" w:rsidR="00627C9F" w:rsidRPr="0067078B" w:rsidRDefault="00834D49" w:rsidP="007A5817">
                      <w:pPr>
                        <w:spacing w:line="276" w:lineRule="auto"/>
                        <w:jc w:val="right"/>
                        <w:rPr>
                          <w:rFonts w:asciiTheme="minorHAnsi" w:hAnsiTheme="minorHAnsi"/>
                          <w:color w:val="FFFFFF" w:themeColor="background1"/>
                          <w:sz w:val="22"/>
                          <w:lang w:val="es-AR"/>
                        </w:rPr>
                      </w:pPr>
                      <w:r w:rsidRPr="0067078B">
                        <w:rPr>
                          <w:rFonts w:asciiTheme="minorHAnsi" w:hAnsiTheme="minorHAnsi"/>
                          <w:color w:val="FFFFFF" w:themeColor="background1"/>
                          <w:sz w:val="22"/>
                          <w:lang w:val="es-AR"/>
                        </w:rPr>
                        <w:t>OEA/Ser.L/V/II</w:t>
                      </w:r>
                    </w:p>
                    <w:p w14:paraId="71D2D5D2" w14:textId="37A68C3F" w:rsidR="00627C9F" w:rsidRPr="0067078B" w:rsidRDefault="00627C9F" w:rsidP="007A5817">
                      <w:pPr>
                        <w:spacing w:line="276" w:lineRule="auto"/>
                        <w:jc w:val="right"/>
                        <w:rPr>
                          <w:rFonts w:asciiTheme="minorHAnsi" w:hAnsiTheme="minorHAnsi"/>
                          <w:color w:val="FFFFFF" w:themeColor="background1"/>
                          <w:sz w:val="22"/>
                          <w:lang w:val="es-AR"/>
                        </w:rPr>
                      </w:pPr>
                      <w:r w:rsidRPr="0067078B">
                        <w:rPr>
                          <w:rFonts w:asciiTheme="minorHAnsi" w:hAnsiTheme="minorHAnsi"/>
                          <w:color w:val="FFFFFF" w:themeColor="background1"/>
                          <w:sz w:val="22"/>
                          <w:lang w:val="es-AR"/>
                        </w:rPr>
                        <w:t xml:space="preserve">Doc. </w:t>
                      </w:r>
                      <w:r w:rsidR="00337592" w:rsidRPr="0067078B">
                        <w:rPr>
                          <w:rFonts w:asciiTheme="minorHAnsi" w:hAnsiTheme="minorHAnsi"/>
                          <w:color w:val="FFFFFF" w:themeColor="background1"/>
                          <w:sz w:val="22"/>
                          <w:lang w:val="es-AR"/>
                        </w:rPr>
                        <w:t>299</w:t>
                      </w:r>
                    </w:p>
                    <w:p w14:paraId="4061DBBD" w14:textId="0557D3D1" w:rsidR="00627C9F" w:rsidRPr="00C25ADB" w:rsidRDefault="0033759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832361"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35AD23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74D7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074D7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r w:rsidR="00074D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35AD23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74D7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074D7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r w:rsidR="00074D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292A8" w14:textId="77777777" w:rsidR="00D94D0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4D7C" w:rsidRPr="00074D7C">
                              <w:rPr>
                                <w:rFonts w:asciiTheme="majorHAnsi" w:hAnsiTheme="majorHAnsi"/>
                                <w:color w:val="595959" w:themeColor="text1" w:themeTint="A6"/>
                                <w:sz w:val="18"/>
                                <w:szCs w:val="18"/>
                                <w:lang w:val="pt-BR"/>
                              </w:rPr>
                              <w:t>279</w:t>
                            </w:r>
                            <w:r w:rsidR="007B05C4" w:rsidRPr="00074D7C">
                              <w:rPr>
                                <w:rFonts w:asciiTheme="majorHAnsi" w:hAnsiTheme="majorHAnsi"/>
                                <w:color w:val="595959" w:themeColor="text1" w:themeTint="A6"/>
                                <w:sz w:val="18"/>
                                <w:szCs w:val="18"/>
                                <w:lang w:val="pt-BR"/>
                              </w:rPr>
                              <w:t>/</w:t>
                            </w:r>
                            <w:r w:rsidR="00074D7C" w:rsidRPr="00074D7C">
                              <w:rPr>
                                <w:rFonts w:asciiTheme="majorHAnsi" w:hAnsiTheme="majorHAnsi"/>
                                <w:color w:val="595959" w:themeColor="text1" w:themeTint="A6"/>
                                <w:sz w:val="18"/>
                                <w:szCs w:val="18"/>
                                <w:lang w:val="pt-BR"/>
                              </w:rPr>
                              <w:t>23</w:t>
                            </w:r>
                            <w:r w:rsidRPr="00074D7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50F48">
                              <w:rPr>
                                <w:rFonts w:asciiTheme="majorHAnsi" w:hAnsiTheme="majorHAnsi"/>
                                <w:color w:val="595959" w:themeColor="text1" w:themeTint="A6"/>
                                <w:sz w:val="18"/>
                                <w:szCs w:val="18"/>
                                <w:lang w:val="es-ES"/>
                              </w:rPr>
                              <w:t>8</w:t>
                            </w:r>
                            <w:r w:rsidR="005C606E">
                              <w:rPr>
                                <w:rFonts w:asciiTheme="majorHAnsi" w:hAnsiTheme="majorHAnsi"/>
                                <w:color w:val="595959" w:themeColor="text1" w:themeTint="A6"/>
                                <w:sz w:val="18"/>
                                <w:szCs w:val="18"/>
                                <w:lang w:val="es-ES"/>
                              </w:rPr>
                              <w:t>25</w:t>
                            </w:r>
                            <w:r w:rsidR="00F6263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542DC47B" w:rsidR="00113F73" w:rsidRPr="007B05C4" w:rsidRDefault="00C50F4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Cristian Góes</w:t>
                            </w:r>
                            <w:r w:rsidR="00113F73" w:rsidRPr="00890650">
                              <w:rPr>
                                <w:rFonts w:asciiTheme="majorHAnsi" w:hAnsiTheme="majorHAnsi"/>
                                <w:color w:val="595959" w:themeColor="text1" w:themeTint="A6"/>
                                <w:sz w:val="18"/>
                                <w:szCs w:val="18"/>
                                <w:lang w:val="es-ES_tradnl"/>
                              </w:rPr>
                              <w:t>.</w:t>
                            </w:r>
                            <w:r w:rsidR="00D94D0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00113F73" w:rsidRPr="00890650">
                              <w:rPr>
                                <w:rFonts w:asciiTheme="majorHAnsi" w:hAnsiTheme="majorHAnsi"/>
                                <w:color w:val="595959" w:themeColor="text1" w:themeTint="A6"/>
                                <w:sz w:val="18"/>
                                <w:szCs w:val="18"/>
                                <w:lang w:val="es-ES_tradnl"/>
                              </w:rPr>
                              <w:t xml:space="preserve">. </w:t>
                            </w:r>
                            <w:r w:rsidR="00F86156">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BF292A8" w14:textId="77777777" w:rsidR="00D94D0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4D7C" w:rsidRPr="00074D7C">
                        <w:rPr>
                          <w:rFonts w:asciiTheme="majorHAnsi" w:hAnsiTheme="majorHAnsi"/>
                          <w:color w:val="595959" w:themeColor="text1" w:themeTint="A6"/>
                          <w:sz w:val="18"/>
                          <w:szCs w:val="18"/>
                          <w:lang w:val="pt-BR"/>
                        </w:rPr>
                        <w:t>279</w:t>
                      </w:r>
                      <w:r w:rsidR="007B05C4" w:rsidRPr="00074D7C">
                        <w:rPr>
                          <w:rFonts w:asciiTheme="majorHAnsi" w:hAnsiTheme="majorHAnsi"/>
                          <w:color w:val="595959" w:themeColor="text1" w:themeTint="A6"/>
                          <w:sz w:val="18"/>
                          <w:szCs w:val="18"/>
                          <w:lang w:val="pt-BR"/>
                        </w:rPr>
                        <w:t>/</w:t>
                      </w:r>
                      <w:r w:rsidR="00074D7C" w:rsidRPr="00074D7C">
                        <w:rPr>
                          <w:rFonts w:asciiTheme="majorHAnsi" w:hAnsiTheme="majorHAnsi"/>
                          <w:color w:val="595959" w:themeColor="text1" w:themeTint="A6"/>
                          <w:sz w:val="18"/>
                          <w:szCs w:val="18"/>
                          <w:lang w:val="pt-BR"/>
                        </w:rPr>
                        <w:t>23</w:t>
                      </w:r>
                      <w:r w:rsidRPr="00074D7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50F48">
                        <w:rPr>
                          <w:rFonts w:asciiTheme="majorHAnsi" w:hAnsiTheme="majorHAnsi"/>
                          <w:color w:val="595959" w:themeColor="text1" w:themeTint="A6"/>
                          <w:sz w:val="18"/>
                          <w:szCs w:val="18"/>
                          <w:lang w:val="es-ES"/>
                        </w:rPr>
                        <w:t>8</w:t>
                      </w:r>
                      <w:r w:rsidR="005C606E">
                        <w:rPr>
                          <w:rFonts w:asciiTheme="majorHAnsi" w:hAnsiTheme="majorHAnsi"/>
                          <w:color w:val="595959" w:themeColor="text1" w:themeTint="A6"/>
                          <w:sz w:val="18"/>
                          <w:szCs w:val="18"/>
                          <w:lang w:val="es-ES"/>
                        </w:rPr>
                        <w:t>25</w:t>
                      </w:r>
                      <w:r w:rsidR="00F6263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542DC47B" w:rsidR="00113F73" w:rsidRPr="007B05C4" w:rsidRDefault="00C50F4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Cristian Góes</w:t>
                      </w:r>
                      <w:r w:rsidR="00113F73" w:rsidRPr="00890650">
                        <w:rPr>
                          <w:rFonts w:asciiTheme="majorHAnsi" w:hAnsiTheme="majorHAnsi"/>
                          <w:color w:val="595959" w:themeColor="text1" w:themeTint="A6"/>
                          <w:sz w:val="18"/>
                          <w:szCs w:val="18"/>
                          <w:lang w:val="es-ES_tradnl"/>
                        </w:rPr>
                        <w:t>.</w:t>
                      </w:r>
                      <w:r w:rsidR="00D94D0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00113F73" w:rsidRPr="00890650">
                        <w:rPr>
                          <w:rFonts w:asciiTheme="majorHAnsi" w:hAnsiTheme="majorHAnsi"/>
                          <w:color w:val="595959" w:themeColor="text1" w:themeTint="A6"/>
                          <w:sz w:val="18"/>
                          <w:szCs w:val="18"/>
                          <w:lang w:val="es-ES_tradnl"/>
                        </w:rPr>
                        <w:t xml:space="preserve">. </w:t>
                      </w:r>
                      <w:r w:rsidR="00F86156">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832361" w:rsidRDefault="00D306D1" w:rsidP="005516A1">
      <w:pPr>
        <w:tabs>
          <w:tab w:val="center" w:pos="5400"/>
        </w:tabs>
        <w:suppressAutoHyphens/>
        <w:jc w:val="center"/>
        <w:rPr>
          <w:rFonts w:asciiTheme="majorHAnsi" w:hAnsiTheme="majorHAnsi"/>
          <w:b/>
          <w:sz w:val="20"/>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2123814" w:rsidR="00D72DC6" w:rsidRPr="00D72DC6" w:rsidRDefault="00B878E8" w:rsidP="00F02AD1">
                            <w:pPr>
                              <w:rPr>
                                <w:color w:val="FFFFFF" w:themeColor="background1"/>
                                <w14:textFill>
                                  <w14:noFill/>
                                </w14:textFill>
                              </w:rPr>
                            </w:pPr>
                            <w:r>
                              <w:rPr>
                                <w:noProof/>
                                <w:color w:val="FFFFFF" w:themeColor="background1"/>
                              </w:rPr>
                              <w:drawing>
                                <wp:inline distT="0" distB="0" distL="0" distR="0" wp14:anchorId="1FFE31A2" wp14:editId="75C2C99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52123814" w:rsidR="00D72DC6" w:rsidRPr="00D72DC6" w:rsidRDefault="00B878E8" w:rsidP="00F02AD1">
                      <w:pPr>
                        <w:rPr>
                          <w:color w:val="FFFFFF" w:themeColor="background1"/>
                          <w14:textFill>
                            <w14:noFill/>
                          </w14:textFill>
                        </w:rPr>
                      </w:pPr>
                      <w:r>
                        <w:rPr>
                          <w:noProof/>
                          <w:color w:val="FFFFFF" w:themeColor="background1"/>
                        </w:rPr>
                        <w:drawing>
                          <wp:inline distT="0" distB="0" distL="0" distR="0" wp14:anchorId="1FFE31A2" wp14:editId="75C2C99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32361">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32361" w:rsidRDefault="004A6A54" w:rsidP="005516A1">
      <w:pPr>
        <w:tabs>
          <w:tab w:val="center" w:pos="5400"/>
        </w:tabs>
        <w:suppressAutoHyphens/>
        <w:jc w:val="center"/>
        <w:rPr>
          <w:rFonts w:asciiTheme="majorHAnsi" w:hAnsiTheme="majorHAnsi"/>
          <w:b/>
          <w:sz w:val="20"/>
          <w:lang w:val="es-419"/>
        </w:rPr>
        <w:sectPr w:rsidR="0070697F" w:rsidRPr="0083236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32361">
        <w:rPr>
          <w:rFonts w:asciiTheme="majorHAnsi" w:hAnsiTheme="majorHAnsi"/>
          <w:b/>
          <w:sz w:val="20"/>
          <w:lang w:val="es-419"/>
        </w:rPr>
        <w:tab/>
      </w:r>
    </w:p>
    <w:p w14:paraId="2786EE58" w14:textId="77777777" w:rsidR="003239B8" w:rsidRPr="00832361" w:rsidRDefault="003239B8" w:rsidP="004A6A54">
      <w:pPr>
        <w:spacing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lastRenderedPageBreak/>
        <w:t>I.</w:t>
      </w:r>
      <w:r w:rsidRPr="00832361">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7078B"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Parte peticionaria:</w:t>
            </w:r>
          </w:p>
        </w:tc>
        <w:tc>
          <w:tcPr>
            <w:tcW w:w="5760" w:type="dxa"/>
            <w:vAlign w:val="center"/>
          </w:tcPr>
          <w:p w14:paraId="07DAAE2E" w14:textId="00613123" w:rsidR="003239B8" w:rsidRPr="002301DC" w:rsidRDefault="00C50F48" w:rsidP="008D2290">
            <w:pPr>
              <w:jc w:val="both"/>
              <w:rPr>
                <w:rFonts w:ascii="Cambria" w:hAnsi="Cambria"/>
                <w:bCs/>
                <w:sz w:val="20"/>
                <w:szCs w:val="20"/>
                <w:lang w:val="pt-BR"/>
              </w:rPr>
            </w:pPr>
            <w:r w:rsidRPr="005B4B43">
              <w:rPr>
                <w:rFonts w:ascii="Cambria" w:hAnsi="Cambria"/>
                <w:bCs/>
                <w:color w:val="000000" w:themeColor="text1"/>
                <w:sz w:val="20"/>
                <w:szCs w:val="20"/>
                <w:lang w:val="pt-BR"/>
              </w:rPr>
              <w:t xml:space="preserve">Intervozes Coletivo Brasil de Comunicação Social </w:t>
            </w:r>
            <w:r w:rsidR="00960BAA">
              <w:rPr>
                <w:rFonts w:ascii="Cambria" w:hAnsi="Cambria"/>
                <w:bCs/>
                <w:color w:val="000000" w:themeColor="text1"/>
                <w:sz w:val="20"/>
                <w:szCs w:val="20"/>
                <w:lang w:val="pt-BR"/>
              </w:rPr>
              <w:t xml:space="preserve">y </w:t>
            </w:r>
            <w:r w:rsidRPr="005B4B43">
              <w:rPr>
                <w:rFonts w:ascii="Cambria" w:hAnsi="Cambria"/>
                <w:bCs/>
                <w:color w:val="000000" w:themeColor="text1"/>
                <w:sz w:val="20"/>
                <w:szCs w:val="20"/>
                <w:lang w:val="pt-BR"/>
              </w:rPr>
              <w:t>Artigo 19</w:t>
            </w:r>
          </w:p>
        </w:tc>
      </w:tr>
      <w:tr w:rsidR="003239B8" w:rsidRPr="00C50F4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832361" w:rsidRDefault="009C5E2B"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832361">
                  <w:rPr>
                    <w:rFonts w:ascii="Cambria" w:hAnsi="Cambria"/>
                    <w:b/>
                    <w:bCs/>
                    <w:color w:val="FFFFFF" w:themeColor="background1"/>
                    <w:sz w:val="20"/>
                    <w:szCs w:val="20"/>
                    <w:lang w:val="es-419"/>
                  </w:rPr>
                  <w:t>Presunta víctima</w:t>
                </w:r>
              </w:sdtContent>
            </w:sdt>
            <w:r w:rsidR="003239B8" w:rsidRPr="00832361">
              <w:rPr>
                <w:rFonts w:ascii="Cambria" w:hAnsi="Cambria"/>
                <w:b/>
                <w:bCs/>
                <w:color w:val="FFFFFF" w:themeColor="background1"/>
                <w:sz w:val="20"/>
                <w:szCs w:val="20"/>
                <w:lang w:val="es-419"/>
              </w:rPr>
              <w:t>:</w:t>
            </w:r>
          </w:p>
        </w:tc>
        <w:tc>
          <w:tcPr>
            <w:tcW w:w="5760" w:type="dxa"/>
            <w:vAlign w:val="center"/>
          </w:tcPr>
          <w:p w14:paraId="143D44A8" w14:textId="1A60A078" w:rsidR="001D21C7" w:rsidRPr="002301DC" w:rsidRDefault="00C50F48" w:rsidP="00FC6219">
            <w:pPr>
              <w:jc w:val="both"/>
              <w:rPr>
                <w:rFonts w:ascii="Cambria" w:hAnsi="Cambria"/>
                <w:bCs/>
                <w:sz w:val="20"/>
                <w:szCs w:val="20"/>
                <w:lang w:val="pt-BR"/>
              </w:rPr>
            </w:pPr>
            <w:r>
              <w:rPr>
                <w:rFonts w:ascii="Cambria" w:hAnsi="Cambria"/>
                <w:sz w:val="20"/>
                <w:szCs w:val="20"/>
                <w:lang w:val="pt-BR"/>
              </w:rPr>
              <w:t>José Cristian Góes</w:t>
            </w:r>
          </w:p>
        </w:tc>
      </w:tr>
      <w:tr w:rsidR="003239B8" w:rsidRPr="00832361"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Estado denunciado:</w:t>
            </w:r>
          </w:p>
        </w:tc>
        <w:tc>
          <w:tcPr>
            <w:tcW w:w="5760" w:type="dxa"/>
            <w:vAlign w:val="center"/>
          </w:tcPr>
          <w:p w14:paraId="5D0EC05D" w14:textId="06708879" w:rsidR="003239B8" w:rsidRPr="00832361" w:rsidRDefault="00857949" w:rsidP="008D2290">
            <w:pPr>
              <w:jc w:val="both"/>
              <w:rPr>
                <w:rFonts w:ascii="Cambria" w:hAnsi="Cambria"/>
                <w:bCs/>
                <w:sz w:val="20"/>
                <w:szCs w:val="20"/>
                <w:lang w:val="es-419"/>
              </w:rPr>
            </w:pPr>
            <w:r w:rsidRPr="00832361">
              <w:rPr>
                <w:rFonts w:ascii="Cambria" w:hAnsi="Cambria"/>
                <w:bCs/>
                <w:sz w:val="20"/>
                <w:szCs w:val="20"/>
                <w:lang w:val="es-419"/>
              </w:rPr>
              <w:t>Brasil</w:t>
            </w:r>
          </w:p>
        </w:tc>
      </w:tr>
      <w:tr w:rsidR="00FE117F" w:rsidRPr="0067078B"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FE117F" w:rsidRPr="00832361" w:rsidRDefault="00FE117F" w:rsidP="00FE117F">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Derechos invocados:</w:t>
            </w:r>
          </w:p>
        </w:tc>
        <w:tc>
          <w:tcPr>
            <w:tcW w:w="5760" w:type="dxa"/>
            <w:vAlign w:val="center"/>
          </w:tcPr>
          <w:p w14:paraId="52B28392" w14:textId="1C5076C9" w:rsidR="00FE117F" w:rsidRPr="00832361" w:rsidRDefault="00C50F48" w:rsidP="00FE117F">
            <w:pPr>
              <w:jc w:val="both"/>
              <w:rPr>
                <w:rFonts w:ascii="Cambria" w:hAnsi="Cambria"/>
                <w:bCs/>
                <w:sz w:val="20"/>
                <w:szCs w:val="20"/>
                <w:lang w:val="es-419"/>
              </w:rPr>
            </w:pPr>
            <w:r w:rsidRPr="00C50F48">
              <w:rPr>
                <w:rFonts w:ascii="Cambria" w:hAnsi="Cambria"/>
                <w:bCs/>
                <w:sz w:val="20"/>
                <w:szCs w:val="20"/>
                <w:lang w:val="es-419" w:bidi="es-ES"/>
              </w:rPr>
              <w:t>Artículos 8 (garantías judiciales), 9 (legalidad y retroactividad), 13 (libertad de expresión) de la Convención Americana, en relación con los artículos 1.1 (obligación de respetar los derechos) y 2 (deber de adoptar disposiciones de derecho interno)</w:t>
            </w:r>
          </w:p>
        </w:tc>
      </w:tr>
    </w:tbl>
    <w:p w14:paraId="176FB213"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II.</w:t>
      </w:r>
      <w:r w:rsidRPr="00832361">
        <w:rPr>
          <w:rFonts w:asciiTheme="majorHAnsi" w:hAnsiTheme="majorHAnsi"/>
          <w:b/>
          <w:bCs/>
          <w:sz w:val="20"/>
          <w:szCs w:val="20"/>
          <w:lang w:val="es-419"/>
        </w:rPr>
        <w:tab/>
        <w:t>TRÁMITE ANTE LA CIDH</w:t>
      </w:r>
      <w:r w:rsidR="008E3BFE" w:rsidRPr="00832361">
        <w:rPr>
          <w:rStyle w:val="FootnoteReference"/>
          <w:rFonts w:ascii="Cambria" w:hAnsi="Cambria"/>
          <w:b/>
          <w:sz w:val="20"/>
          <w:szCs w:val="20"/>
          <w:lang w:val="es-419"/>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50F48" w:rsidRPr="00832361" w14:paraId="1D831514" w14:textId="77777777" w:rsidTr="00E74C6F">
        <w:tc>
          <w:tcPr>
            <w:tcW w:w="3600" w:type="dxa"/>
            <w:tcBorders>
              <w:top w:val="single" w:sz="6" w:space="0" w:color="auto"/>
              <w:bottom w:val="single" w:sz="6" w:space="0" w:color="auto"/>
            </w:tcBorders>
            <w:shd w:val="clear" w:color="auto" w:fill="386294"/>
            <w:vAlign w:val="center"/>
          </w:tcPr>
          <w:p w14:paraId="330F2ED0" w14:textId="77777777"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 la petición:</w:t>
            </w:r>
          </w:p>
        </w:tc>
        <w:tc>
          <w:tcPr>
            <w:tcW w:w="5760" w:type="dxa"/>
          </w:tcPr>
          <w:p w14:paraId="6883A5F8" w14:textId="7DB61D64" w:rsidR="00C50F48" w:rsidRPr="00C50F48" w:rsidRDefault="00C50F48" w:rsidP="00C50F48">
            <w:pPr>
              <w:jc w:val="both"/>
              <w:rPr>
                <w:rFonts w:ascii="Cambria" w:hAnsi="Cambria"/>
                <w:bCs/>
                <w:sz w:val="20"/>
                <w:szCs w:val="20"/>
                <w:lang w:val="es-419"/>
              </w:rPr>
            </w:pPr>
            <w:r w:rsidRPr="00C50F48">
              <w:rPr>
                <w:rFonts w:ascii="Cambria" w:hAnsi="Cambria"/>
                <w:sz w:val="20"/>
                <w:szCs w:val="20"/>
              </w:rPr>
              <w:t>9 de abril de 2015</w:t>
            </w:r>
          </w:p>
        </w:tc>
      </w:tr>
      <w:tr w:rsidR="00C50F48" w:rsidRPr="00C50F48" w14:paraId="226C48CC" w14:textId="77777777" w:rsidTr="00E74C6F">
        <w:tc>
          <w:tcPr>
            <w:tcW w:w="3600" w:type="dxa"/>
            <w:tcBorders>
              <w:top w:val="single" w:sz="6" w:space="0" w:color="auto"/>
              <w:bottom w:val="single" w:sz="6" w:space="0" w:color="auto"/>
            </w:tcBorders>
            <w:shd w:val="clear" w:color="auto" w:fill="386294"/>
            <w:vAlign w:val="center"/>
          </w:tcPr>
          <w:p w14:paraId="12FB83DE" w14:textId="47D31DF0"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Información adicional durante la etapa de estudio:</w:t>
            </w:r>
          </w:p>
        </w:tc>
        <w:tc>
          <w:tcPr>
            <w:tcW w:w="5760" w:type="dxa"/>
          </w:tcPr>
          <w:p w14:paraId="55FE9378" w14:textId="4E9274D2" w:rsidR="00C50F48" w:rsidRPr="00C50F48" w:rsidRDefault="00C50F48" w:rsidP="00C50F48">
            <w:pPr>
              <w:jc w:val="both"/>
              <w:rPr>
                <w:rFonts w:ascii="Cambria" w:hAnsi="Cambria"/>
                <w:bCs/>
                <w:sz w:val="20"/>
                <w:szCs w:val="20"/>
                <w:lang w:val="es-ES_tradnl"/>
              </w:rPr>
            </w:pPr>
            <w:r w:rsidRPr="00C50F48">
              <w:rPr>
                <w:rFonts w:ascii="Cambria" w:hAnsi="Cambria"/>
                <w:sz w:val="20"/>
                <w:szCs w:val="20"/>
              </w:rPr>
              <w:t>10 de agosto de 2018</w:t>
            </w:r>
          </w:p>
        </w:tc>
      </w:tr>
      <w:tr w:rsidR="00C50F48" w:rsidRPr="00832361" w14:paraId="6A9025D9" w14:textId="77777777" w:rsidTr="00E74C6F">
        <w:tc>
          <w:tcPr>
            <w:tcW w:w="3600" w:type="dxa"/>
            <w:tcBorders>
              <w:top w:val="single" w:sz="6" w:space="0" w:color="auto"/>
              <w:bottom w:val="single" w:sz="6" w:space="0" w:color="auto"/>
            </w:tcBorders>
            <w:shd w:val="clear" w:color="auto" w:fill="386294"/>
            <w:vAlign w:val="center"/>
          </w:tcPr>
          <w:p w14:paraId="01B3581F" w14:textId="5060866F"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Notificación de la petición al Estado:</w:t>
            </w:r>
          </w:p>
        </w:tc>
        <w:tc>
          <w:tcPr>
            <w:tcW w:w="5760" w:type="dxa"/>
          </w:tcPr>
          <w:p w14:paraId="58485921" w14:textId="639880EA" w:rsidR="00C50F48" w:rsidRPr="00C50F48" w:rsidRDefault="00C50F48" w:rsidP="00C50F48">
            <w:pPr>
              <w:jc w:val="both"/>
              <w:rPr>
                <w:rFonts w:ascii="Cambria" w:hAnsi="Cambria"/>
                <w:bCs/>
                <w:sz w:val="20"/>
                <w:szCs w:val="20"/>
                <w:lang w:val="es-419"/>
              </w:rPr>
            </w:pPr>
            <w:r w:rsidRPr="00C50F48">
              <w:rPr>
                <w:rFonts w:ascii="Cambria" w:hAnsi="Cambria"/>
                <w:sz w:val="20"/>
                <w:szCs w:val="20"/>
              </w:rPr>
              <w:t>8 de abril de 2019</w:t>
            </w:r>
          </w:p>
        </w:tc>
      </w:tr>
      <w:tr w:rsidR="00C50F48" w:rsidRPr="00832361" w14:paraId="552F5BDD" w14:textId="77777777" w:rsidTr="00E74C6F">
        <w:tc>
          <w:tcPr>
            <w:tcW w:w="3600" w:type="dxa"/>
            <w:tcBorders>
              <w:top w:val="single" w:sz="6" w:space="0" w:color="auto"/>
              <w:bottom w:val="single" w:sz="6" w:space="0" w:color="auto"/>
            </w:tcBorders>
            <w:shd w:val="clear" w:color="auto" w:fill="386294"/>
            <w:vAlign w:val="center"/>
          </w:tcPr>
          <w:p w14:paraId="3AB5219E" w14:textId="0CA2F73A" w:rsidR="00C50F48" w:rsidRPr="00832361" w:rsidRDefault="00C50F48" w:rsidP="00C50F48">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tcPr>
          <w:p w14:paraId="51D78C54" w14:textId="2F5AF4C2" w:rsidR="00C50F48" w:rsidRPr="00C50F48" w:rsidRDefault="00C50F48" w:rsidP="00C50F48">
            <w:pPr>
              <w:jc w:val="both"/>
              <w:rPr>
                <w:rFonts w:ascii="Cambria" w:hAnsi="Cambria"/>
                <w:bCs/>
                <w:sz w:val="20"/>
                <w:szCs w:val="20"/>
                <w:lang w:val="es-419"/>
              </w:rPr>
            </w:pPr>
            <w:r w:rsidRPr="00C50F48">
              <w:rPr>
                <w:rFonts w:ascii="Cambria" w:hAnsi="Cambria"/>
                <w:sz w:val="20"/>
                <w:szCs w:val="20"/>
              </w:rPr>
              <w:t>30 de jul</w:t>
            </w:r>
            <w:r>
              <w:rPr>
                <w:rFonts w:ascii="Cambria" w:hAnsi="Cambria"/>
                <w:sz w:val="20"/>
                <w:szCs w:val="20"/>
              </w:rPr>
              <w:t>i</w:t>
            </w:r>
            <w:r w:rsidRPr="00C50F48">
              <w:rPr>
                <w:rFonts w:ascii="Cambria" w:hAnsi="Cambria"/>
                <w:sz w:val="20"/>
                <w:szCs w:val="20"/>
              </w:rPr>
              <w:t>o de 2019</w:t>
            </w:r>
          </w:p>
        </w:tc>
      </w:tr>
      <w:tr w:rsidR="00C50F48" w:rsidRPr="00832361" w14:paraId="1EC979C3" w14:textId="77777777" w:rsidTr="00E74C6F">
        <w:tc>
          <w:tcPr>
            <w:tcW w:w="3600" w:type="dxa"/>
            <w:tcBorders>
              <w:top w:val="single" w:sz="6" w:space="0" w:color="auto"/>
              <w:bottom w:val="single" w:sz="6" w:space="0" w:color="auto"/>
            </w:tcBorders>
            <w:shd w:val="clear" w:color="auto" w:fill="386294"/>
            <w:vAlign w:val="center"/>
          </w:tcPr>
          <w:p w14:paraId="3708E507" w14:textId="65D6B69E"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Primera respuesta del Estado:</w:t>
            </w:r>
          </w:p>
        </w:tc>
        <w:tc>
          <w:tcPr>
            <w:tcW w:w="5760" w:type="dxa"/>
          </w:tcPr>
          <w:p w14:paraId="6B47064C" w14:textId="5F2B3AF3" w:rsidR="00C50F48" w:rsidRPr="00C50F48" w:rsidRDefault="00C50F48" w:rsidP="00C50F48">
            <w:pPr>
              <w:jc w:val="both"/>
              <w:rPr>
                <w:rFonts w:ascii="Cambria" w:hAnsi="Cambria"/>
                <w:bCs/>
                <w:sz w:val="20"/>
                <w:szCs w:val="20"/>
                <w:lang w:val="es-419"/>
              </w:rPr>
            </w:pPr>
            <w:r w:rsidRPr="00C50F48">
              <w:rPr>
                <w:rFonts w:ascii="Cambria" w:hAnsi="Cambria"/>
                <w:sz w:val="20"/>
                <w:szCs w:val="20"/>
              </w:rPr>
              <w:t>19 de nov</w:t>
            </w:r>
            <w:r>
              <w:rPr>
                <w:rFonts w:ascii="Cambria" w:hAnsi="Cambria"/>
                <w:sz w:val="20"/>
                <w:szCs w:val="20"/>
              </w:rPr>
              <w:t>i</w:t>
            </w:r>
            <w:r w:rsidRPr="00C50F48">
              <w:rPr>
                <w:rFonts w:ascii="Cambria" w:hAnsi="Cambria"/>
                <w:sz w:val="20"/>
                <w:szCs w:val="20"/>
              </w:rPr>
              <w:t>embr</w:t>
            </w:r>
            <w:r>
              <w:rPr>
                <w:rFonts w:ascii="Cambria" w:hAnsi="Cambria"/>
                <w:sz w:val="20"/>
                <w:szCs w:val="20"/>
              </w:rPr>
              <w:t>e</w:t>
            </w:r>
            <w:r w:rsidRPr="00C50F48">
              <w:rPr>
                <w:rFonts w:ascii="Cambria" w:hAnsi="Cambria"/>
                <w:sz w:val="20"/>
                <w:szCs w:val="20"/>
              </w:rPr>
              <w:t xml:space="preserve"> de 2019</w:t>
            </w:r>
          </w:p>
        </w:tc>
      </w:tr>
    </w:tbl>
    <w:p w14:paraId="0FC6E9E8"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III. </w:t>
      </w:r>
      <w:r w:rsidRPr="00832361">
        <w:rPr>
          <w:rFonts w:asciiTheme="majorHAnsi" w:hAnsiTheme="majorHAnsi"/>
          <w:b/>
          <w:bCs/>
          <w:sz w:val="20"/>
          <w:szCs w:val="20"/>
          <w:lang w:val="es-419"/>
        </w:rPr>
        <w:tab/>
        <w:t>COMPETENCIA</w:t>
      </w:r>
      <w:r w:rsidR="00EE00E9" w:rsidRPr="00832361">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32361" w14:paraId="7D299FC7" w14:textId="77777777" w:rsidTr="00804FF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54503A4F" w14:textId="77777777" w:rsidTr="00804FF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loci</w:t>
            </w:r>
            <w:r w:rsidRPr="00832361">
              <w:rPr>
                <w:rFonts w:ascii="Cambria" w:hAnsi="Cambria"/>
                <w:b/>
                <w:bCs/>
                <w:color w:val="FFFFFF" w:themeColor="background1"/>
                <w:sz w:val="20"/>
                <w:szCs w:val="20"/>
                <w:lang w:val="es-419"/>
              </w:rPr>
              <w:t>:</w:t>
            </w:r>
          </w:p>
        </w:tc>
        <w:tc>
          <w:tcPr>
            <w:tcW w:w="5776" w:type="dxa"/>
            <w:vAlign w:val="center"/>
          </w:tcPr>
          <w:p w14:paraId="77C8256A" w14:textId="5E819D9D"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6618D96A" w14:textId="77777777" w:rsidTr="00804FF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temporis</w:t>
            </w:r>
            <w:r w:rsidRPr="00832361">
              <w:rPr>
                <w:rFonts w:ascii="Cambria" w:hAnsi="Cambria"/>
                <w:b/>
                <w:bCs/>
                <w:color w:val="FFFFFF" w:themeColor="background1"/>
                <w:sz w:val="20"/>
                <w:szCs w:val="20"/>
                <w:lang w:val="es-419"/>
              </w:rPr>
              <w:t>:</w:t>
            </w:r>
          </w:p>
        </w:tc>
        <w:tc>
          <w:tcPr>
            <w:tcW w:w="5776" w:type="dxa"/>
            <w:vAlign w:val="center"/>
          </w:tcPr>
          <w:p w14:paraId="523F6BD6" w14:textId="69B6757A"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67078B" w14:paraId="34C2A0A9" w14:textId="77777777" w:rsidTr="00804FF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materia</w:t>
            </w:r>
            <w:r w:rsidR="00EE00E9" w:rsidRPr="00832361">
              <w:rPr>
                <w:rFonts w:ascii="Cambria" w:hAnsi="Cambria"/>
                <w:b/>
                <w:bCs/>
                <w:i/>
                <w:color w:val="FFFFFF" w:themeColor="background1"/>
                <w:sz w:val="20"/>
                <w:szCs w:val="20"/>
                <w:lang w:val="es-419"/>
              </w:rPr>
              <w:t>e</w:t>
            </w:r>
            <w:r w:rsidRPr="00832361">
              <w:rPr>
                <w:rFonts w:ascii="Cambria" w:hAnsi="Cambria"/>
                <w:b/>
                <w:bCs/>
                <w:color w:val="FFFFFF" w:themeColor="background1"/>
                <w:sz w:val="20"/>
                <w:szCs w:val="20"/>
                <w:lang w:val="es-419"/>
              </w:rPr>
              <w:t>:</w:t>
            </w:r>
          </w:p>
        </w:tc>
        <w:tc>
          <w:tcPr>
            <w:tcW w:w="5776" w:type="dxa"/>
            <w:vAlign w:val="center"/>
          </w:tcPr>
          <w:p w14:paraId="257C8337" w14:textId="089AD4D2" w:rsidR="003239B8" w:rsidRPr="00832361" w:rsidRDefault="00A004BB" w:rsidP="008D2290">
            <w:pPr>
              <w:jc w:val="both"/>
              <w:rPr>
                <w:rFonts w:ascii="Cambria" w:hAnsi="Cambria"/>
                <w:bCs/>
                <w:sz w:val="20"/>
                <w:szCs w:val="20"/>
                <w:lang w:val="es-419"/>
              </w:rPr>
            </w:pPr>
            <w:r w:rsidRPr="00832361">
              <w:rPr>
                <w:rFonts w:ascii="Cambria" w:hAnsi="Cambria"/>
                <w:bCs/>
                <w:sz w:val="20"/>
                <w:szCs w:val="20"/>
                <w:lang w:val="es-419" w:bidi="es-ES"/>
              </w:rPr>
              <w:t>Sí, Convención Americana</w:t>
            </w:r>
            <w:r w:rsidR="000C0810" w:rsidRPr="00832361">
              <w:rPr>
                <w:rFonts w:ascii="Cambria" w:hAnsi="Cambria"/>
                <w:bCs/>
                <w:sz w:val="20"/>
                <w:szCs w:val="20"/>
                <w:lang w:val="es-419" w:bidi="es-ES"/>
              </w:rPr>
              <w:t xml:space="preserve"> sobre Derechos Humanos</w:t>
            </w:r>
            <w:r w:rsidR="000C0810" w:rsidRPr="00832361">
              <w:rPr>
                <w:rStyle w:val="FootnoteReference"/>
                <w:rFonts w:ascii="Cambria" w:hAnsi="Cambria"/>
                <w:bCs/>
                <w:sz w:val="20"/>
                <w:szCs w:val="20"/>
                <w:lang w:val="es-419" w:bidi="es-ES"/>
              </w:rPr>
              <w:footnoteReference w:id="3"/>
            </w:r>
            <w:r w:rsidRPr="00832361">
              <w:rPr>
                <w:rFonts w:ascii="Cambria" w:hAnsi="Cambria"/>
                <w:bCs/>
                <w:sz w:val="20"/>
                <w:szCs w:val="20"/>
                <w:lang w:val="es-419" w:bidi="es-ES"/>
              </w:rPr>
              <w:t xml:space="preserve"> (depósito de instrumento realizado el </w:t>
            </w:r>
            <w:r w:rsidR="00A2139A" w:rsidRPr="00832361">
              <w:rPr>
                <w:rFonts w:ascii="Cambria" w:hAnsi="Cambria"/>
                <w:bCs/>
                <w:sz w:val="20"/>
                <w:szCs w:val="20"/>
                <w:lang w:val="es-419" w:bidi="es-ES"/>
              </w:rPr>
              <w:t>25 de septiembre de 1992</w:t>
            </w:r>
            <w:r w:rsidRPr="00832361">
              <w:rPr>
                <w:rFonts w:ascii="Cambria" w:hAnsi="Cambria"/>
                <w:bCs/>
                <w:sz w:val="20"/>
                <w:szCs w:val="20"/>
                <w:lang w:val="es-419" w:bidi="es-ES"/>
              </w:rPr>
              <w:t>)</w:t>
            </w:r>
          </w:p>
        </w:tc>
      </w:tr>
    </w:tbl>
    <w:p w14:paraId="299A3868" w14:textId="763E2446"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IV. </w:t>
      </w:r>
      <w:r w:rsidRPr="00832361">
        <w:rPr>
          <w:rFonts w:asciiTheme="majorHAnsi" w:hAnsiTheme="majorHAnsi"/>
          <w:b/>
          <w:bCs/>
          <w:sz w:val="20"/>
          <w:szCs w:val="20"/>
          <w:lang w:val="es-419"/>
        </w:rPr>
        <w:tab/>
      </w:r>
      <w:r w:rsidR="00EE00E9" w:rsidRPr="00832361">
        <w:rPr>
          <w:rFonts w:asciiTheme="majorHAnsi" w:hAnsiTheme="majorHAnsi"/>
          <w:b/>
          <w:bCs/>
          <w:sz w:val="20"/>
          <w:szCs w:val="20"/>
          <w:lang w:val="es-419"/>
        </w:rPr>
        <w:t>DUPLICACIÓN</w:t>
      </w:r>
      <w:r w:rsidR="00EE00E9" w:rsidRPr="00832361">
        <w:rPr>
          <w:rFonts w:asciiTheme="majorHAnsi" w:hAnsiTheme="majorHAnsi"/>
          <w:b/>
          <w:bCs/>
          <w:color w:val="FFFFFF" w:themeColor="background1"/>
          <w:sz w:val="20"/>
          <w:szCs w:val="20"/>
          <w:lang w:val="es-419"/>
        </w:rPr>
        <w:t xml:space="preserve"> </w:t>
      </w:r>
      <w:r w:rsidR="00EE00E9" w:rsidRPr="00832361">
        <w:rPr>
          <w:rFonts w:asciiTheme="majorHAnsi" w:hAnsiTheme="majorHAnsi"/>
          <w:b/>
          <w:bCs/>
          <w:sz w:val="20"/>
          <w:szCs w:val="20"/>
          <w:lang w:val="es-419"/>
        </w:rPr>
        <w:t>DE PROCEDIMIENTOS Y COSA JUZGADA</w:t>
      </w:r>
      <w:r w:rsidR="00EE00E9" w:rsidRPr="00832361">
        <w:rPr>
          <w:rFonts w:asciiTheme="majorHAnsi" w:hAnsiTheme="majorHAnsi"/>
          <w:b/>
          <w:bCs/>
          <w:i/>
          <w:sz w:val="20"/>
          <w:szCs w:val="20"/>
          <w:lang w:val="es-419"/>
        </w:rPr>
        <w:t xml:space="preserve"> </w:t>
      </w:r>
      <w:r w:rsidR="00EE00E9" w:rsidRPr="00832361">
        <w:rPr>
          <w:rFonts w:asciiTheme="majorHAnsi" w:hAnsiTheme="majorHAnsi"/>
          <w:b/>
          <w:bCs/>
          <w:sz w:val="20"/>
          <w:szCs w:val="20"/>
          <w:lang w:val="es-419"/>
        </w:rPr>
        <w:t xml:space="preserve">INTERNACIONAL, </w:t>
      </w:r>
      <w:r w:rsidRPr="00832361">
        <w:rPr>
          <w:rFonts w:asciiTheme="majorHAnsi" w:hAnsiTheme="majorHAnsi"/>
          <w:b/>
          <w:bCs/>
          <w:sz w:val="20"/>
          <w:szCs w:val="20"/>
          <w:lang w:val="es-419"/>
        </w:rPr>
        <w:t xml:space="preserve">CARACTERIZACIÓN, </w:t>
      </w:r>
      <w:r w:rsidRPr="00832361">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32361" w14:paraId="161C8568" w14:textId="77777777" w:rsidTr="00804FF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832361" w:rsidRDefault="00EE00E9"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832361" w:rsidRDefault="00A004BB" w:rsidP="008D2290">
            <w:pPr>
              <w:jc w:val="both"/>
              <w:rPr>
                <w:rFonts w:ascii="Cambria" w:hAnsi="Cambria"/>
                <w:bCs/>
                <w:sz w:val="20"/>
                <w:szCs w:val="20"/>
                <w:lang w:val="es-419"/>
              </w:rPr>
            </w:pPr>
            <w:r w:rsidRPr="00832361">
              <w:rPr>
                <w:rFonts w:ascii="Cambria" w:hAnsi="Cambria"/>
                <w:bCs/>
                <w:sz w:val="20"/>
                <w:szCs w:val="20"/>
                <w:lang w:val="es-419"/>
              </w:rPr>
              <w:t>No</w:t>
            </w:r>
          </w:p>
        </w:tc>
      </w:tr>
      <w:tr w:rsidR="003239B8" w:rsidRPr="0067078B" w14:paraId="3ED57BF3" w14:textId="77777777" w:rsidTr="00804FF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Derechos declarados admisibles</w:t>
            </w:r>
            <w:r w:rsidRPr="00832361">
              <w:rPr>
                <w:rFonts w:ascii="Cambria" w:hAnsi="Cambria"/>
                <w:b/>
                <w:bCs/>
                <w:i/>
                <w:color w:val="FFFFFF" w:themeColor="background1"/>
                <w:sz w:val="20"/>
                <w:szCs w:val="20"/>
                <w:lang w:val="es-419"/>
              </w:rPr>
              <w:t>:</w:t>
            </w:r>
          </w:p>
        </w:tc>
        <w:tc>
          <w:tcPr>
            <w:tcW w:w="5773" w:type="dxa"/>
            <w:vAlign w:val="center"/>
          </w:tcPr>
          <w:p w14:paraId="4DAE9D4D" w14:textId="3E880970" w:rsidR="003239B8" w:rsidRPr="00832361" w:rsidRDefault="00841EBC" w:rsidP="008D2290">
            <w:pPr>
              <w:jc w:val="both"/>
              <w:rPr>
                <w:rFonts w:ascii="Cambria" w:hAnsi="Cambria"/>
                <w:bCs/>
                <w:sz w:val="20"/>
                <w:szCs w:val="20"/>
                <w:lang w:val="es-419"/>
              </w:rPr>
            </w:pPr>
            <w:r w:rsidRPr="00C50F48">
              <w:rPr>
                <w:rFonts w:ascii="Cambria" w:hAnsi="Cambria"/>
                <w:bCs/>
                <w:sz w:val="20"/>
                <w:szCs w:val="20"/>
                <w:lang w:val="es-419" w:bidi="es-ES"/>
              </w:rPr>
              <w:t xml:space="preserve">Artículos 8 (garantías judiciales), </w:t>
            </w:r>
            <w:r w:rsidR="00B46A8A">
              <w:rPr>
                <w:rFonts w:ascii="Cambria" w:hAnsi="Cambria"/>
                <w:bCs/>
                <w:sz w:val="20"/>
                <w:szCs w:val="20"/>
                <w:lang w:val="es-419" w:bidi="es-ES"/>
              </w:rPr>
              <w:t xml:space="preserve">9 (principio de legalidad y no retroactividad), </w:t>
            </w:r>
            <w:r w:rsidRPr="00C50F48">
              <w:rPr>
                <w:rFonts w:ascii="Cambria" w:hAnsi="Cambria"/>
                <w:bCs/>
                <w:sz w:val="20"/>
                <w:szCs w:val="20"/>
                <w:lang w:val="es-419" w:bidi="es-ES"/>
              </w:rPr>
              <w:t>13 (libertad de expresión)</w:t>
            </w:r>
            <w:r>
              <w:rPr>
                <w:rFonts w:ascii="Cambria" w:hAnsi="Cambria"/>
                <w:bCs/>
                <w:sz w:val="20"/>
                <w:szCs w:val="20"/>
                <w:lang w:val="es-419" w:bidi="es-ES"/>
              </w:rPr>
              <w:t xml:space="preserve"> y 25 (protección judicial)</w:t>
            </w:r>
            <w:r w:rsidRPr="00C50F48">
              <w:rPr>
                <w:rFonts w:ascii="Cambria" w:hAnsi="Cambria"/>
                <w:bCs/>
                <w:sz w:val="20"/>
                <w:szCs w:val="20"/>
                <w:lang w:val="es-419" w:bidi="es-ES"/>
              </w:rPr>
              <w:t xml:space="preserve"> de la Convención Americana, en relación con los artículos 1.1 (obligación de respetar los derechos) y 2 (deber de adoptar disposiciones de derecho interno)</w:t>
            </w:r>
          </w:p>
        </w:tc>
      </w:tr>
      <w:tr w:rsidR="003239B8" w:rsidRPr="0067078B" w14:paraId="5702249F" w14:textId="77777777" w:rsidTr="00804FF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Agotamiento de recursos internos</w:t>
            </w:r>
            <w:r w:rsidR="00EE00E9" w:rsidRPr="00832361">
              <w:rPr>
                <w:rFonts w:ascii="Cambria" w:hAnsi="Cambria"/>
                <w:b/>
                <w:bCs/>
                <w:color w:val="FFFFFF" w:themeColor="background1"/>
                <w:sz w:val="20"/>
                <w:szCs w:val="20"/>
                <w:lang w:val="es-419"/>
              </w:rPr>
              <w:t xml:space="preserve"> o procedencia de una excepción</w:t>
            </w:r>
            <w:r w:rsidRPr="00832361">
              <w:rPr>
                <w:rFonts w:ascii="Cambria" w:hAnsi="Cambria"/>
                <w:b/>
                <w:bCs/>
                <w:color w:val="FFFFFF" w:themeColor="background1"/>
                <w:sz w:val="20"/>
                <w:szCs w:val="20"/>
                <w:lang w:val="es-419"/>
              </w:rPr>
              <w:t>:</w:t>
            </w:r>
          </w:p>
        </w:tc>
        <w:tc>
          <w:tcPr>
            <w:tcW w:w="5773" w:type="dxa"/>
            <w:vAlign w:val="center"/>
          </w:tcPr>
          <w:p w14:paraId="7F7C1A19" w14:textId="3159BEC9" w:rsidR="003239B8" w:rsidRPr="00832361" w:rsidRDefault="00A004BB" w:rsidP="008D2290">
            <w:pPr>
              <w:rPr>
                <w:rFonts w:ascii="Cambria" w:hAnsi="Cambria"/>
                <w:bCs/>
                <w:sz w:val="20"/>
                <w:szCs w:val="20"/>
                <w:lang w:val="es-419"/>
              </w:rPr>
            </w:pPr>
            <w:r w:rsidRPr="00832361">
              <w:rPr>
                <w:rFonts w:ascii="Cambria" w:hAnsi="Cambria"/>
                <w:bCs/>
                <w:sz w:val="20"/>
                <w:szCs w:val="20"/>
                <w:lang w:val="es-419" w:bidi="es-ES"/>
              </w:rPr>
              <w:t>Sí</w:t>
            </w:r>
            <w:r w:rsidR="00982CB3" w:rsidRPr="00832361">
              <w:rPr>
                <w:rFonts w:ascii="Cambria" w:hAnsi="Cambria"/>
                <w:bCs/>
                <w:sz w:val="20"/>
                <w:szCs w:val="20"/>
                <w:lang w:val="es-419" w:bidi="es-ES"/>
              </w:rPr>
              <w:t xml:space="preserve">, </w:t>
            </w:r>
            <w:r w:rsidR="00841EBC">
              <w:rPr>
                <w:rFonts w:ascii="Cambria" w:hAnsi="Cambria"/>
                <w:bCs/>
                <w:sz w:val="20"/>
                <w:szCs w:val="20"/>
                <w:lang w:val="es-419" w:bidi="es-ES"/>
              </w:rPr>
              <w:t>el 11 de abril de 2018, en los términos de la Sección VI</w:t>
            </w:r>
          </w:p>
        </w:tc>
      </w:tr>
      <w:tr w:rsidR="003239B8" w:rsidRPr="0067078B" w14:paraId="7A101B89" w14:textId="77777777" w:rsidTr="00804FF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dentro de plazo:</w:t>
            </w:r>
          </w:p>
        </w:tc>
        <w:tc>
          <w:tcPr>
            <w:tcW w:w="5773" w:type="dxa"/>
            <w:vAlign w:val="center"/>
          </w:tcPr>
          <w:p w14:paraId="2AF0FC69" w14:textId="4B9512B4" w:rsidR="003239B8" w:rsidRPr="00832361" w:rsidRDefault="00A004BB" w:rsidP="008D2290">
            <w:pPr>
              <w:rPr>
                <w:rFonts w:ascii="Cambria" w:hAnsi="Cambria"/>
                <w:bCs/>
                <w:sz w:val="20"/>
                <w:szCs w:val="20"/>
                <w:lang w:val="es-419"/>
              </w:rPr>
            </w:pPr>
            <w:r w:rsidRPr="00832361">
              <w:rPr>
                <w:rFonts w:ascii="Cambria" w:hAnsi="Cambria"/>
                <w:bCs/>
                <w:sz w:val="20"/>
                <w:szCs w:val="20"/>
                <w:lang w:val="es-419" w:bidi="es-ES"/>
              </w:rPr>
              <w:t>Sí</w:t>
            </w:r>
            <w:r w:rsidR="009E763B" w:rsidRPr="00832361">
              <w:rPr>
                <w:rFonts w:ascii="Cambria" w:hAnsi="Cambria"/>
                <w:bCs/>
                <w:sz w:val="20"/>
                <w:szCs w:val="20"/>
                <w:lang w:val="es-419" w:bidi="es-ES"/>
              </w:rPr>
              <w:t>, en los términos de la Sección VI</w:t>
            </w:r>
          </w:p>
        </w:tc>
      </w:tr>
    </w:tbl>
    <w:p w14:paraId="56FD5D57" w14:textId="13CE5165" w:rsidR="003239B8" w:rsidRPr="002B3074" w:rsidRDefault="00223A29" w:rsidP="002B3074">
      <w:pPr>
        <w:spacing w:before="240" w:after="240"/>
        <w:ind w:firstLine="720"/>
        <w:jc w:val="both"/>
        <w:rPr>
          <w:rFonts w:asciiTheme="majorHAnsi" w:hAnsiTheme="majorHAnsi"/>
          <w:b/>
          <w:sz w:val="20"/>
          <w:szCs w:val="20"/>
          <w:lang w:val="es-419"/>
        </w:rPr>
      </w:pPr>
      <w:r w:rsidRPr="00832361">
        <w:rPr>
          <w:rFonts w:asciiTheme="majorHAnsi" w:hAnsiTheme="majorHAnsi"/>
          <w:b/>
          <w:sz w:val="20"/>
          <w:szCs w:val="20"/>
          <w:lang w:val="es-419"/>
        </w:rPr>
        <w:t xml:space="preserve">V. </w:t>
      </w:r>
      <w:r w:rsidRPr="00832361">
        <w:rPr>
          <w:rFonts w:asciiTheme="majorHAnsi" w:hAnsiTheme="majorHAnsi"/>
          <w:b/>
          <w:sz w:val="20"/>
          <w:szCs w:val="20"/>
          <w:lang w:val="es-419"/>
        </w:rPr>
        <w:tab/>
      </w:r>
      <w:r w:rsidR="002B3074" w:rsidRPr="002B3074">
        <w:rPr>
          <w:rFonts w:asciiTheme="majorHAnsi" w:hAnsiTheme="majorHAnsi"/>
          <w:b/>
          <w:bCs/>
          <w:sz w:val="20"/>
          <w:szCs w:val="20"/>
          <w:lang w:val="es-419"/>
        </w:rPr>
        <w:t>POSICIÓN DE LAS PARTES</w:t>
      </w:r>
    </w:p>
    <w:p w14:paraId="7D26CA37" w14:textId="6E848E2C" w:rsidR="000E6E0D" w:rsidRPr="002B3074" w:rsidRDefault="000E6E0D" w:rsidP="002B3074">
      <w:pPr>
        <w:pStyle w:val="ListParagraph"/>
        <w:spacing w:before="240" w:after="240"/>
        <w:ind w:left="709"/>
        <w:jc w:val="both"/>
        <w:rPr>
          <w:rFonts w:asciiTheme="majorHAnsi" w:hAnsiTheme="majorHAnsi"/>
          <w:i/>
          <w:iCs/>
          <w:sz w:val="20"/>
          <w:szCs w:val="20"/>
          <w:lang w:val="es-419"/>
        </w:rPr>
      </w:pPr>
      <w:r w:rsidRPr="002B3074">
        <w:rPr>
          <w:rFonts w:asciiTheme="majorHAnsi" w:hAnsiTheme="majorHAnsi"/>
          <w:i/>
          <w:iCs/>
          <w:sz w:val="20"/>
          <w:szCs w:val="20"/>
          <w:lang w:val="es-419"/>
        </w:rPr>
        <w:t xml:space="preserve">Posición de la parte </w:t>
      </w:r>
      <w:r w:rsidR="006F3648" w:rsidRPr="002B3074">
        <w:rPr>
          <w:rFonts w:asciiTheme="majorHAnsi" w:hAnsiTheme="majorHAnsi"/>
          <w:i/>
          <w:iCs/>
          <w:sz w:val="20"/>
          <w:szCs w:val="20"/>
          <w:lang w:val="es-419"/>
        </w:rPr>
        <w:t>peticionaria</w:t>
      </w:r>
    </w:p>
    <w:p w14:paraId="279B5EA1" w14:textId="10B6ACD1" w:rsidR="00841EBC" w:rsidRPr="002B3074" w:rsidRDefault="00841EBC"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La parte peticionaria alega que el periodista José Cristian Góes fue indebidamente condenado por el delito de injuria y por causar daño moral en virtud de un texto periodístico </w:t>
      </w:r>
      <w:r w:rsidR="006F3648" w:rsidRPr="002B3074">
        <w:rPr>
          <w:rFonts w:asciiTheme="majorHAnsi" w:hAnsiTheme="majorHAnsi"/>
          <w:sz w:val="20"/>
          <w:szCs w:val="20"/>
          <w:lang w:val="es-419"/>
        </w:rPr>
        <w:t>que habr</w:t>
      </w:r>
      <w:r w:rsidR="006F3648" w:rsidRPr="002B3074">
        <w:rPr>
          <w:rFonts w:asciiTheme="majorHAnsi" w:hAnsiTheme="majorHAnsi"/>
          <w:sz w:val="20"/>
          <w:szCs w:val="20"/>
          <w:lang w:val="es-SV"/>
        </w:rPr>
        <w:t xml:space="preserve">ía </w:t>
      </w:r>
      <w:r w:rsidR="002B3074" w:rsidRPr="002B3074">
        <w:rPr>
          <w:rFonts w:asciiTheme="majorHAnsi" w:hAnsiTheme="majorHAnsi"/>
          <w:sz w:val="20"/>
          <w:szCs w:val="20"/>
          <w:lang w:val="es-SV"/>
        </w:rPr>
        <w:t xml:space="preserve">sido </w:t>
      </w:r>
      <w:r w:rsidR="002B3074" w:rsidRPr="002B3074">
        <w:rPr>
          <w:rFonts w:asciiTheme="majorHAnsi" w:hAnsiTheme="majorHAnsi"/>
          <w:sz w:val="20"/>
          <w:szCs w:val="20"/>
          <w:lang w:val="es-419"/>
        </w:rPr>
        <w:t>publicado</w:t>
      </w:r>
      <w:r w:rsidRPr="002B3074">
        <w:rPr>
          <w:rFonts w:asciiTheme="majorHAnsi" w:hAnsiTheme="majorHAnsi"/>
          <w:sz w:val="20"/>
          <w:szCs w:val="20"/>
          <w:lang w:val="es-419"/>
        </w:rPr>
        <w:t xml:space="preserve"> en su blog. El texto hacía críticas genéricas, sin dar nombres. Estas críticas fueron tomadas como ofensas al honor </w:t>
      </w:r>
      <w:r w:rsidRPr="002B3074">
        <w:rPr>
          <w:rFonts w:asciiTheme="majorHAnsi" w:hAnsiTheme="majorHAnsi"/>
          <w:sz w:val="20"/>
          <w:szCs w:val="20"/>
          <w:lang w:val="es-419"/>
        </w:rPr>
        <w:lastRenderedPageBreak/>
        <w:t>de un magistrado. Las condenas, según la parte peticionaria, atentan contra la libertad de expresión de Góes, además de ser</w:t>
      </w:r>
      <w:r w:rsidR="00300E8A" w:rsidRPr="002B3074">
        <w:rPr>
          <w:rFonts w:asciiTheme="majorHAnsi" w:hAnsiTheme="majorHAnsi"/>
          <w:sz w:val="20"/>
          <w:szCs w:val="20"/>
          <w:lang w:val="es-419"/>
        </w:rPr>
        <w:t>, alegadamente,</w:t>
      </w:r>
      <w:r w:rsidRPr="002B3074">
        <w:rPr>
          <w:rFonts w:asciiTheme="majorHAnsi" w:hAnsiTheme="majorHAnsi"/>
          <w:sz w:val="20"/>
          <w:szCs w:val="20"/>
          <w:lang w:val="es-419"/>
        </w:rPr>
        <w:t xml:space="preserve"> resultado de procesos </w:t>
      </w:r>
      <w:r w:rsidR="006F3648" w:rsidRPr="002B3074">
        <w:rPr>
          <w:rFonts w:asciiTheme="majorHAnsi" w:hAnsiTheme="majorHAnsi"/>
          <w:sz w:val="20"/>
          <w:szCs w:val="20"/>
          <w:lang w:val="es-419"/>
        </w:rPr>
        <w:t xml:space="preserve">judiciales </w:t>
      </w:r>
      <w:r w:rsidRPr="002B3074">
        <w:rPr>
          <w:rFonts w:asciiTheme="majorHAnsi" w:hAnsiTheme="majorHAnsi"/>
          <w:sz w:val="20"/>
          <w:szCs w:val="20"/>
          <w:lang w:val="es-419"/>
        </w:rPr>
        <w:t>irregulares.</w:t>
      </w:r>
    </w:p>
    <w:p w14:paraId="0E8A0282" w14:textId="45DD6905" w:rsidR="00841EBC" w:rsidRPr="002B3074" w:rsidRDefault="004D65F1"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Los peticionarios narran que</w:t>
      </w:r>
      <w:r w:rsidR="00841EBC" w:rsidRPr="002B3074">
        <w:rPr>
          <w:rFonts w:asciiTheme="majorHAnsi" w:hAnsiTheme="majorHAnsi"/>
          <w:sz w:val="20"/>
          <w:szCs w:val="20"/>
          <w:lang w:val="es-419"/>
        </w:rPr>
        <w:t xml:space="preserve"> el 29 de mayo de 2012 el periodista José Cristian Góes, del estado de Sergipe, Brasil, publicó en su blog una crónica ficcional titulada “Eu, o coronel em mim”. La crónica literaria no menciona nombres, fechas, cargos o localidades, y hace una crítica general al “coronelismo”, entendido como una compleja red de relaciones de dominación entre el poder político local y la población que aún estaría </w:t>
      </w:r>
      <w:r w:rsidR="00131018" w:rsidRPr="002B3074">
        <w:rPr>
          <w:rFonts w:asciiTheme="majorHAnsi" w:hAnsiTheme="majorHAnsi"/>
          <w:sz w:val="20"/>
          <w:szCs w:val="20"/>
          <w:lang w:val="es-419"/>
        </w:rPr>
        <w:t>vigente</w:t>
      </w:r>
      <w:r w:rsidR="00841EBC" w:rsidRPr="002B3074">
        <w:rPr>
          <w:rFonts w:asciiTheme="majorHAnsi" w:hAnsiTheme="majorHAnsi"/>
          <w:sz w:val="20"/>
          <w:szCs w:val="20"/>
          <w:lang w:val="es-419"/>
        </w:rPr>
        <w:t xml:space="preserve">, principalmente en el Nordeste de Brasil. Si bien el texto no mencionaba el nombre del entonces </w:t>
      </w:r>
      <w:r w:rsidR="00A144E3" w:rsidRPr="002B3074">
        <w:rPr>
          <w:rFonts w:asciiTheme="majorHAnsi" w:hAnsiTheme="majorHAnsi"/>
          <w:sz w:val="20"/>
          <w:szCs w:val="20"/>
          <w:lang w:val="es-419"/>
        </w:rPr>
        <w:t>vicepresidente</w:t>
      </w:r>
      <w:r w:rsidR="00841EBC" w:rsidRPr="002B3074">
        <w:rPr>
          <w:rFonts w:asciiTheme="majorHAnsi" w:hAnsiTheme="majorHAnsi"/>
          <w:sz w:val="20"/>
          <w:szCs w:val="20"/>
          <w:lang w:val="es-419"/>
        </w:rPr>
        <w:t xml:space="preserve"> del Tribunal de Justicia del Estado de Sergipe, </w:t>
      </w:r>
      <w:r w:rsidR="00F40B4A" w:rsidRPr="002B3074">
        <w:rPr>
          <w:rFonts w:asciiTheme="majorHAnsi" w:hAnsiTheme="majorHAnsi"/>
          <w:sz w:val="20"/>
          <w:szCs w:val="20"/>
          <w:lang w:val="es-419"/>
        </w:rPr>
        <w:t>E.U.M</w:t>
      </w:r>
      <w:r w:rsidR="00A23E33" w:rsidRPr="002B3074">
        <w:rPr>
          <w:rFonts w:asciiTheme="majorHAnsi" w:hAnsiTheme="majorHAnsi"/>
          <w:sz w:val="20"/>
          <w:szCs w:val="20"/>
          <w:lang w:val="es-419"/>
        </w:rPr>
        <w:t xml:space="preserve">. </w:t>
      </w:r>
      <w:r w:rsidR="00841EBC" w:rsidRPr="002B3074">
        <w:rPr>
          <w:rFonts w:asciiTheme="majorHAnsi" w:hAnsiTheme="majorHAnsi"/>
          <w:sz w:val="20"/>
          <w:szCs w:val="20"/>
          <w:lang w:val="es-419"/>
        </w:rPr>
        <w:t xml:space="preserve">ni hizo referencias indirectas a su persona, </w:t>
      </w:r>
      <w:r w:rsidR="006F3648" w:rsidRPr="002B3074">
        <w:rPr>
          <w:rFonts w:asciiTheme="majorHAnsi" w:hAnsiTheme="majorHAnsi"/>
          <w:sz w:val="20"/>
          <w:szCs w:val="20"/>
          <w:lang w:val="es-419"/>
        </w:rPr>
        <w:t xml:space="preserve">el </w:t>
      </w:r>
      <w:r w:rsidR="00841EBC" w:rsidRPr="002B3074">
        <w:rPr>
          <w:rFonts w:asciiTheme="majorHAnsi" w:hAnsiTheme="majorHAnsi"/>
          <w:sz w:val="20"/>
          <w:szCs w:val="20"/>
          <w:lang w:val="es-419"/>
        </w:rPr>
        <w:t xml:space="preserve">Sr. </w:t>
      </w:r>
      <w:r w:rsidR="00A23E33" w:rsidRPr="002B3074">
        <w:rPr>
          <w:rFonts w:asciiTheme="majorHAnsi" w:hAnsiTheme="majorHAnsi"/>
          <w:sz w:val="20"/>
          <w:szCs w:val="20"/>
          <w:lang w:val="es-419"/>
        </w:rPr>
        <w:t>E.U.M.</w:t>
      </w:r>
      <w:r w:rsidR="00841EBC" w:rsidRPr="002B3074">
        <w:rPr>
          <w:rFonts w:asciiTheme="majorHAnsi" w:hAnsiTheme="majorHAnsi"/>
          <w:sz w:val="20"/>
          <w:szCs w:val="20"/>
          <w:lang w:val="es-419"/>
        </w:rPr>
        <w:t xml:space="preserve"> consideró que el uso del término “secuaz de las leyes” [</w:t>
      </w:r>
      <w:r w:rsidR="00841EBC" w:rsidRPr="002B3074">
        <w:rPr>
          <w:rFonts w:asciiTheme="majorHAnsi" w:hAnsiTheme="majorHAnsi"/>
          <w:i/>
          <w:iCs/>
          <w:sz w:val="20"/>
          <w:szCs w:val="20"/>
          <w:lang w:val="es-ES"/>
        </w:rPr>
        <w:t>jagunço das leis</w:t>
      </w:r>
      <w:r w:rsidR="00841EBC" w:rsidRPr="002B3074">
        <w:rPr>
          <w:rFonts w:asciiTheme="majorHAnsi" w:hAnsiTheme="majorHAnsi"/>
          <w:sz w:val="20"/>
          <w:szCs w:val="20"/>
          <w:lang w:val="es-419"/>
        </w:rPr>
        <w:t xml:space="preserve">] en el texto era una referencia a él. </w:t>
      </w:r>
      <w:r w:rsidR="009921CD" w:rsidRPr="002B3074">
        <w:rPr>
          <w:rFonts w:asciiTheme="majorHAnsi" w:hAnsiTheme="majorHAnsi"/>
          <w:sz w:val="20"/>
          <w:szCs w:val="20"/>
          <w:lang w:val="es-419"/>
        </w:rPr>
        <w:t>Por lo que</w:t>
      </w:r>
      <w:r w:rsidR="00841EBC" w:rsidRPr="002B3074">
        <w:rPr>
          <w:rFonts w:asciiTheme="majorHAnsi" w:hAnsiTheme="majorHAnsi"/>
          <w:sz w:val="20"/>
          <w:szCs w:val="20"/>
          <w:lang w:val="es-419"/>
        </w:rPr>
        <w:t xml:space="preserve"> decidió acusar a Góes de haber cometido el delito de injuria contra un funcionario público, además de procesarlo en el ámbito civil.</w:t>
      </w:r>
    </w:p>
    <w:p w14:paraId="512945E3" w14:textId="629AD37D" w:rsidR="007E16DB" w:rsidRPr="002B3074" w:rsidRDefault="00841EBC"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proceso penal (Proceso No. 201245102580) fue iniciado el 14 de noviembre de 2012. El 4 de julio de 2013, Góes fue condenado a una pena de </w:t>
      </w:r>
      <w:r w:rsidR="00BC157C" w:rsidRPr="002B3074">
        <w:rPr>
          <w:rFonts w:asciiTheme="majorHAnsi" w:hAnsiTheme="majorHAnsi"/>
          <w:sz w:val="20"/>
          <w:szCs w:val="20"/>
          <w:lang w:val="es-419"/>
        </w:rPr>
        <w:t>siete</w:t>
      </w:r>
      <w:r w:rsidRPr="002B3074">
        <w:rPr>
          <w:rFonts w:asciiTheme="majorHAnsi" w:hAnsiTheme="majorHAnsi"/>
          <w:sz w:val="20"/>
          <w:szCs w:val="20"/>
          <w:lang w:val="es-419"/>
        </w:rPr>
        <w:t xml:space="preserve"> meses y </w:t>
      </w:r>
      <w:r w:rsidR="00BC157C" w:rsidRPr="002B3074">
        <w:rPr>
          <w:rFonts w:asciiTheme="majorHAnsi" w:hAnsiTheme="majorHAnsi"/>
          <w:sz w:val="20"/>
          <w:szCs w:val="20"/>
          <w:lang w:val="es-419"/>
        </w:rPr>
        <w:t>dieciséis</w:t>
      </w:r>
      <w:r w:rsidRPr="002B3074">
        <w:rPr>
          <w:rFonts w:asciiTheme="majorHAnsi" w:hAnsiTheme="majorHAnsi"/>
          <w:sz w:val="20"/>
          <w:szCs w:val="20"/>
          <w:lang w:val="es-419"/>
        </w:rPr>
        <w:t xml:space="preserve"> días de prisión</w:t>
      </w:r>
      <w:r w:rsidR="007E16DB" w:rsidRPr="002B3074">
        <w:rPr>
          <w:rFonts w:asciiTheme="majorHAnsi" w:hAnsiTheme="majorHAnsi"/>
          <w:sz w:val="20"/>
          <w:szCs w:val="20"/>
          <w:lang w:val="es-419"/>
        </w:rPr>
        <w:t xml:space="preserve"> por el </w:t>
      </w:r>
      <w:r w:rsidR="00A144E3" w:rsidRPr="002B3074">
        <w:rPr>
          <w:rFonts w:asciiTheme="majorHAnsi" w:hAnsiTheme="majorHAnsi"/>
          <w:sz w:val="20"/>
          <w:szCs w:val="20"/>
          <w:lang w:val="es-419"/>
        </w:rPr>
        <w:t>delito</w:t>
      </w:r>
      <w:r w:rsidR="007E16DB" w:rsidRPr="002B3074">
        <w:rPr>
          <w:rFonts w:asciiTheme="majorHAnsi" w:hAnsiTheme="majorHAnsi"/>
          <w:sz w:val="20"/>
          <w:szCs w:val="20"/>
          <w:lang w:val="es-419"/>
        </w:rPr>
        <w:t xml:space="preserve"> de injuria agravada por la víctima</w:t>
      </w:r>
      <w:r w:rsidRPr="002B3074">
        <w:rPr>
          <w:rFonts w:asciiTheme="majorHAnsi" w:hAnsiTheme="majorHAnsi"/>
          <w:sz w:val="20"/>
          <w:szCs w:val="20"/>
          <w:lang w:val="es-419"/>
        </w:rPr>
        <w:t xml:space="preserve"> </w:t>
      </w:r>
      <w:r w:rsidR="007E16DB" w:rsidRPr="002B3074">
        <w:rPr>
          <w:rFonts w:asciiTheme="majorHAnsi" w:hAnsiTheme="majorHAnsi"/>
          <w:sz w:val="20"/>
          <w:szCs w:val="20"/>
          <w:lang w:val="es-419"/>
        </w:rPr>
        <w:t>ser</w:t>
      </w:r>
      <w:r w:rsidRPr="002B3074">
        <w:rPr>
          <w:rFonts w:asciiTheme="majorHAnsi" w:hAnsiTheme="majorHAnsi"/>
          <w:sz w:val="20"/>
          <w:szCs w:val="20"/>
          <w:lang w:val="es-419"/>
        </w:rPr>
        <w:t xml:space="preserve"> un </w:t>
      </w:r>
      <w:r w:rsidR="007E16DB" w:rsidRPr="002B3074">
        <w:rPr>
          <w:rFonts w:asciiTheme="majorHAnsi" w:hAnsiTheme="majorHAnsi"/>
          <w:sz w:val="20"/>
          <w:szCs w:val="20"/>
          <w:lang w:val="es-419"/>
        </w:rPr>
        <w:t>funcionario</w:t>
      </w:r>
      <w:r w:rsidRPr="002B3074">
        <w:rPr>
          <w:rFonts w:asciiTheme="majorHAnsi" w:hAnsiTheme="majorHAnsi"/>
          <w:sz w:val="20"/>
          <w:szCs w:val="20"/>
          <w:lang w:val="es-419"/>
        </w:rPr>
        <w:t xml:space="preserve"> público</w:t>
      </w:r>
      <w:r w:rsidR="001D4711" w:rsidRPr="002B3074">
        <w:rPr>
          <w:rFonts w:asciiTheme="majorHAnsi" w:hAnsiTheme="majorHAnsi"/>
          <w:sz w:val="20"/>
          <w:szCs w:val="20"/>
          <w:lang w:val="es-419"/>
        </w:rPr>
        <w:t xml:space="preserve"> –no se observa información</w:t>
      </w:r>
      <w:r w:rsidR="001D4711" w:rsidRPr="002B3074">
        <w:rPr>
          <w:rFonts w:asciiTheme="majorHAnsi" w:hAnsiTheme="majorHAnsi"/>
          <w:sz w:val="20"/>
          <w:szCs w:val="20"/>
          <w:lang w:val="es-ES"/>
        </w:rPr>
        <w:t xml:space="preserve"> en el expediente de que haya estado efectivamente privado de libertad</w:t>
      </w:r>
      <w:r w:rsidR="001D4711" w:rsidRPr="002B3074">
        <w:rPr>
          <w:rFonts w:asciiTheme="majorHAnsi" w:hAnsiTheme="majorHAnsi"/>
          <w:sz w:val="20"/>
          <w:szCs w:val="20"/>
          <w:lang w:val="es-419"/>
        </w:rPr>
        <w:t>–</w:t>
      </w:r>
      <w:r w:rsidRPr="002B3074">
        <w:rPr>
          <w:rFonts w:asciiTheme="majorHAnsi" w:hAnsiTheme="majorHAnsi"/>
          <w:sz w:val="20"/>
          <w:szCs w:val="20"/>
          <w:lang w:val="es-419"/>
        </w:rPr>
        <w:t>. La condena se basó en el supuesto de que, al escribir el término “</w:t>
      </w:r>
      <w:r w:rsidR="007E16DB" w:rsidRPr="002B3074">
        <w:rPr>
          <w:rFonts w:asciiTheme="majorHAnsi" w:hAnsiTheme="majorHAnsi"/>
          <w:sz w:val="20"/>
          <w:szCs w:val="20"/>
          <w:lang w:val="es-419"/>
        </w:rPr>
        <w:t>secuaz de las leyes</w:t>
      </w:r>
      <w:r w:rsidRPr="002B3074">
        <w:rPr>
          <w:rFonts w:asciiTheme="majorHAnsi" w:hAnsiTheme="majorHAnsi"/>
          <w:sz w:val="20"/>
          <w:szCs w:val="20"/>
          <w:lang w:val="es-419"/>
        </w:rPr>
        <w:t xml:space="preserve">”, el periodista se refería al magistrado </w:t>
      </w:r>
      <w:r w:rsidR="00BC157C" w:rsidRPr="002B3074">
        <w:rPr>
          <w:rFonts w:asciiTheme="majorHAnsi" w:hAnsiTheme="majorHAnsi"/>
          <w:sz w:val="20"/>
          <w:szCs w:val="20"/>
          <w:lang w:val="es-419"/>
        </w:rPr>
        <w:t>E.U.M</w:t>
      </w:r>
      <w:r w:rsidRPr="002B3074">
        <w:rPr>
          <w:rFonts w:asciiTheme="majorHAnsi" w:hAnsiTheme="majorHAnsi"/>
          <w:sz w:val="20"/>
          <w:szCs w:val="20"/>
          <w:lang w:val="es-419"/>
        </w:rPr>
        <w:t xml:space="preserve">. </w:t>
      </w:r>
    </w:p>
    <w:p w14:paraId="5F8EFBA8" w14:textId="508B3CEA" w:rsidR="00841EBC" w:rsidRPr="002B3074" w:rsidRDefault="007E16DB"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La parte peticionaria</w:t>
      </w:r>
      <w:r w:rsidR="00841EBC" w:rsidRPr="002B3074">
        <w:rPr>
          <w:rFonts w:asciiTheme="majorHAnsi" w:hAnsiTheme="majorHAnsi"/>
          <w:sz w:val="20"/>
          <w:szCs w:val="20"/>
          <w:lang w:val="es-419"/>
        </w:rPr>
        <w:t xml:space="preserve"> considera que la decisión fue el resultado de un proceso irregular, ya que: i) </w:t>
      </w:r>
      <w:r w:rsidRPr="002B3074">
        <w:rPr>
          <w:rFonts w:asciiTheme="majorHAnsi" w:hAnsiTheme="majorHAnsi"/>
          <w:sz w:val="20"/>
          <w:szCs w:val="20"/>
          <w:lang w:val="es-419"/>
        </w:rPr>
        <w:t>la</w:t>
      </w:r>
      <w:r w:rsidR="00841EBC" w:rsidRPr="002B3074">
        <w:rPr>
          <w:rFonts w:asciiTheme="majorHAnsi" w:hAnsiTheme="majorHAnsi"/>
          <w:sz w:val="20"/>
          <w:szCs w:val="20"/>
          <w:lang w:val="es-419"/>
        </w:rPr>
        <w:t xml:space="preserve"> juez</w:t>
      </w:r>
      <w:r w:rsidRPr="002B3074">
        <w:rPr>
          <w:rFonts w:asciiTheme="majorHAnsi" w:hAnsiTheme="majorHAnsi"/>
          <w:sz w:val="20"/>
          <w:szCs w:val="20"/>
          <w:lang w:val="es-419"/>
        </w:rPr>
        <w:t>a</w:t>
      </w:r>
      <w:r w:rsidR="00841EBC" w:rsidRPr="002B3074">
        <w:rPr>
          <w:rFonts w:asciiTheme="majorHAnsi" w:hAnsiTheme="majorHAnsi"/>
          <w:sz w:val="20"/>
          <w:szCs w:val="20"/>
          <w:lang w:val="es-419"/>
        </w:rPr>
        <w:t xml:space="preserve"> titular fue removid</w:t>
      </w:r>
      <w:r w:rsidRPr="002B3074">
        <w:rPr>
          <w:rFonts w:asciiTheme="majorHAnsi" w:hAnsiTheme="majorHAnsi"/>
          <w:sz w:val="20"/>
          <w:szCs w:val="20"/>
          <w:lang w:val="es-419"/>
        </w:rPr>
        <w:t>a</w:t>
      </w:r>
      <w:r w:rsidR="00841EBC" w:rsidRPr="002B3074">
        <w:rPr>
          <w:rFonts w:asciiTheme="majorHAnsi" w:hAnsiTheme="majorHAnsi"/>
          <w:sz w:val="20"/>
          <w:szCs w:val="20"/>
          <w:lang w:val="es-419"/>
        </w:rPr>
        <w:t xml:space="preserve"> temporalmente y el juez suplente fue designado para actuar únicamente durante el mes de julio de 2013; ii) el único caso sin sentencia antes de la llegada del juez suplente era el caso Góes; iii) el juez suplente designado no era el sustituto automático del juez titular. El peticionario considera que el juez suplente que condenó a Góes fue designado de manera sesgada por </w:t>
      </w:r>
      <w:r w:rsidRPr="002B3074">
        <w:rPr>
          <w:rFonts w:asciiTheme="majorHAnsi" w:hAnsiTheme="majorHAnsi"/>
          <w:sz w:val="20"/>
          <w:szCs w:val="20"/>
          <w:lang w:val="es-419"/>
        </w:rPr>
        <w:t>el Tribunal de Justicia.</w:t>
      </w:r>
    </w:p>
    <w:p w14:paraId="0B595259" w14:textId="14599BE1" w:rsidR="00841EBC" w:rsidRPr="002B3074" w:rsidRDefault="00841EBC"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Luego de un recurso</w:t>
      </w:r>
      <w:r w:rsidR="007E16DB" w:rsidRPr="002B3074">
        <w:rPr>
          <w:rFonts w:asciiTheme="majorHAnsi" w:hAnsiTheme="majorHAnsi"/>
          <w:sz w:val="20"/>
          <w:szCs w:val="20"/>
          <w:lang w:val="es-419"/>
        </w:rPr>
        <w:t xml:space="preserve"> </w:t>
      </w:r>
      <w:r w:rsidR="006F3648" w:rsidRPr="002B3074">
        <w:rPr>
          <w:rFonts w:asciiTheme="majorHAnsi" w:hAnsiTheme="majorHAnsi"/>
          <w:sz w:val="20"/>
          <w:szCs w:val="20"/>
          <w:lang w:val="es-419"/>
        </w:rPr>
        <w:t>de</w:t>
      </w:r>
      <w:r w:rsidR="007E16DB" w:rsidRPr="002B3074">
        <w:rPr>
          <w:rFonts w:asciiTheme="majorHAnsi" w:hAnsiTheme="majorHAnsi"/>
          <w:sz w:val="20"/>
          <w:szCs w:val="20"/>
          <w:lang w:val="es-419"/>
        </w:rPr>
        <w:t xml:space="preserve"> segunda instancia</w:t>
      </w:r>
      <w:r w:rsidRPr="002B3074">
        <w:rPr>
          <w:rFonts w:asciiTheme="majorHAnsi" w:hAnsiTheme="majorHAnsi"/>
          <w:sz w:val="20"/>
          <w:szCs w:val="20"/>
          <w:lang w:val="es-419"/>
        </w:rPr>
        <w:t xml:space="preserve"> interpuesto por la defensa de Góes, el 22 de octubre de 2013 el Tribunal de Justicia de Sergipe decidió </w:t>
      </w:r>
      <w:r w:rsidR="006F3648" w:rsidRPr="002B3074">
        <w:rPr>
          <w:rFonts w:asciiTheme="majorHAnsi" w:hAnsiTheme="majorHAnsi"/>
          <w:sz w:val="20"/>
          <w:szCs w:val="20"/>
          <w:lang w:val="es-419"/>
        </w:rPr>
        <w:t xml:space="preserve">confirmar </w:t>
      </w:r>
      <w:r w:rsidRPr="002B3074">
        <w:rPr>
          <w:rFonts w:asciiTheme="majorHAnsi" w:hAnsiTheme="majorHAnsi"/>
          <w:sz w:val="20"/>
          <w:szCs w:val="20"/>
          <w:lang w:val="es-419"/>
        </w:rPr>
        <w:t>la condena. El magistrado</w:t>
      </w:r>
      <w:r w:rsidR="007E16DB" w:rsidRPr="002B3074">
        <w:rPr>
          <w:rFonts w:asciiTheme="majorHAnsi" w:hAnsiTheme="majorHAnsi"/>
          <w:sz w:val="20"/>
          <w:szCs w:val="20"/>
          <w:lang w:val="es-419"/>
        </w:rPr>
        <w:t xml:space="preserve"> inicialmente</w:t>
      </w:r>
      <w:r w:rsidRPr="002B3074">
        <w:rPr>
          <w:rFonts w:asciiTheme="majorHAnsi" w:hAnsiTheme="majorHAnsi"/>
          <w:sz w:val="20"/>
          <w:szCs w:val="20"/>
          <w:lang w:val="es-419"/>
        </w:rPr>
        <w:t xml:space="preserve"> designado para ser ponente de la sentencia, Sr. </w:t>
      </w:r>
      <w:r w:rsidR="00CA0E1A" w:rsidRPr="002B3074">
        <w:rPr>
          <w:rFonts w:asciiTheme="majorHAnsi" w:hAnsiTheme="majorHAnsi"/>
          <w:sz w:val="20"/>
          <w:szCs w:val="20"/>
          <w:lang w:val="es-419"/>
        </w:rPr>
        <w:t>Helio</w:t>
      </w:r>
      <w:r w:rsidRPr="002B3074">
        <w:rPr>
          <w:rFonts w:asciiTheme="majorHAnsi" w:hAnsiTheme="majorHAnsi"/>
          <w:sz w:val="20"/>
          <w:szCs w:val="20"/>
          <w:lang w:val="es-419"/>
        </w:rPr>
        <w:t xml:space="preserve"> Neto, afirmó en su voto que el proceso penal contra Góes fue irregular e ilegítimo.</w:t>
      </w:r>
      <w:r w:rsidR="007E16DB" w:rsidRPr="002B3074">
        <w:rPr>
          <w:rFonts w:asciiTheme="majorHAnsi" w:hAnsiTheme="majorHAnsi"/>
          <w:sz w:val="20"/>
          <w:szCs w:val="20"/>
          <w:lang w:val="es-419"/>
        </w:rPr>
        <w:t xml:space="preserve"> Sin embargo,</w:t>
      </w:r>
      <w:r w:rsidRPr="002B3074">
        <w:rPr>
          <w:rFonts w:asciiTheme="majorHAnsi" w:hAnsiTheme="majorHAnsi"/>
          <w:sz w:val="20"/>
          <w:szCs w:val="20"/>
          <w:lang w:val="es-419"/>
        </w:rPr>
        <w:t xml:space="preserve"> </w:t>
      </w:r>
      <w:r w:rsidR="007E16DB" w:rsidRPr="002B3074">
        <w:rPr>
          <w:rFonts w:asciiTheme="majorHAnsi" w:hAnsiTheme="majorHAnsi"/>
          <w:sz w:val="20"/>
          <w:szCs w:val="20"/>
          <w:lang w:val="es-419"/>
        </w:rPr>
        <w:t>l</w:t>
      </w:r>
      <w:r w:rsidRPr="002B3074">
        <w:rPr>
          <w:rFonts w:asciiTheme="majorHAnsi" w:hAnsiTheme="majorHAnsi"/>
          <w:sz w:val="20"/>
          <w:szCs w:val="20"/>
          <w:lang w:val="es-419"/>
        </w:rPr>
        <w:t>os otros dos jueces de segunda instancia que participaron en la decisión no coincidieron con el relator y decidieron mantener la condena.</w:t>
      </w:r>
    </w:p>
    <w:p w14:paraId="7CB8CC89" w14:textId="203C7CAE" w:rsidR="00841EBC" w:rsidRPr="002B3074" w:rsidRDefault="00841EBC"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El 26 de noviembre de 2013, la defensa de Góes interpuso un recurso extraordinario ante el Supremo Tribunal Federal (STF)</w:t>
      </w:r>
      <w:r w:rsidR="00131018" w:rsidRPr="002B3074">
        <w:rPr>
          <w:rFonts w:asciiTheme="majorHAnsi" w:hAnsiTheme="majorHAnsi"/>
          <w:sz w:val="20"/>
          <w:szCs w:val="20"/>
          <w:lang w:val="es-419"/>
        </w:rPr>
        <w:t xml:space="preserve"> cuya admisibilidad es </w:t>
      </w:r>
      <w:r w:rsidRPr="002B3074">
        <w:rPr>
          <w:rFonts w:asciiTheme="majorHAnsi" w:hAnsiTheme="majorHAnsi"/>
          <w:sz w:val="20"/>
          <w:szCs w:val="20"/>
          <w:lang w:val="es-419"/>
        </w:rPr>
        <w:t xml:space="preserve">examinada en primer lugar por el Tribunal de Segunda Instancia. </w:t>
      </w:r>
      <w:r w:rsidR="00131018" w:rsidRPr="002B3074">
        <w:rPr>
          <w:rFonts w:asciiTheme="majorHAnsi" w:hAnsiTheme="majorHAnsi"/>
          <w:sz w:val="20"/>
          <w:szCs w:val="20"/>
          <w:lang w:val="es-419"/>
        </w:rPr>
        <w:t xml:space="preserve">El 29 de marzo de 2014 </w:t>
      </w:r>
      <w:r w:rsidRPr="002B3074">
        <w:rPr>
          <w:rFonts w:asciiTheme="majorHAnsi" w:hAnsiTheme="majorHAnsi"/>
          <w:sz w:val="20"/>
          <w:szCs w:val="20"/>
          <w:lang w:val="es-419"/>
        </w:rPr>
        <w:t>el Tribunal rechazó el recurso</w:t>
      </w:r>
      <w:r w:rsidR="00131018" w:rsidRPr="002B3074">
        <w:rPr>
          <w:rFonts w:asciiTheme="majorHAnsi" w:hAnsiTheme="majorHAnsi"/>
          <w:sz w:val="20"/>
          <w:szCs w:val="20"/>
          <w:lang w:val="es-419"/>
        </w:rPr>
        <w:t>,</w:t>
      </w:r>
      <w:r w:rsidRPr="002B3074">
        <w:rPr>
          <w:rFonts w:asciiTheme="majorHAnsi" w:hAnsiTheme="majorHAnsi"/>
          <w:sz w:val="20"/>
          <w:szCs w:val="20"/>
          <w:lang w:val="es-419"/>
        </w:rPr>
        <w:t xml:space="preserve"> lo que llevó a la defensa a interponer </w:t>
      </w:r>
      <w:r w:rsidR="006B2EBE" w:rsidRPr="002B3074">
        <w:rPr>
          <w:rFonts w:asciiTheme="majorHAnsi" w:hAnsiTheme="majorHAnsi"/>
          <w:sz w:val="20"/>
          <w:szCs w:val="20"/>
          <w:lang w:val="es-419"/>
        </w:rPr>
        <w:t xml:space="preserve">un </w:t>
      </w:r>
      <w:r w:rsidRPr="002B3074">
        <w:rPr>
          <w:rFonts w:asciiTheme="majorHAnsi" w:hAnsiTheme="majorHAnsi"/>
          <w:sz w:val="20"/>
          <w:szCs w:val="20"/>
          <w:lang w:val="es-419"/>
        </w:rPr>
        <w:t xml:space="preserve">recurso de apelación el 7 de abril de 2014. La </w:t>
      </w:r>
      <w:r w:rsidR="00131018" w:rsidRPr="002B3074">
        <w:rPr>
          <w:rFonts w:asciiTheme="majorHAnsi" w:hAnsiTheme="majorHAnsi"/>
          <w:sz w:val="20"/>
          <w:szCs w:val="20"/>
          <w:lang w:val="es-419"/>
        </w:rPr>
        <w:t xml:space="preserve">decisión del STF </w:t>
      </w:r>
      <w:r w:rsidRPr="002B3074">
        <w:rPr>
          <w:rFonts w:asciiTheme="majorHAnsi" w:hAnsiTheme="majorHAnsi"/>
          <w:sz w:val="20"/>
          <w:szCs w:val="20"/>
          <w:lang w:val="es-419"/>
        </w:rPr>
        <w:t>se publicó el 15 de agosto de 2014 y la causa penal quedó firme el 10 de noviembre de 2014.</w:t>
      </w:r>
    </w:p>
    <w:p w14:paraId="588BAA6A" w14:textId="3D47765A" w:rsidR="00841EBC" w:rsidRPr="002B3074" w:rsidRDefault="00ED44DB"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La parte peticionaria</w:t>
      </w:r>
      <w:r w:rsidR="00841EBC" w:rsidRPr="002B3074">
        <w:rPr>
          <w:rFonts w:asciiTheme="majorHAnsi" w:hAnsiTheme="majorHAnsi"/>
          <w:sz w:val="20"/>
          <w:szCs w:val="20"/>
          <w:lang w:val="es-419"/>
        </w:rPr>
        <w:t xml:space="preserve"> también informa que </w:t>
      </w:r>
      <w:r w:rsidR="007C66B1" w:rsidRPr="002B3074">
        <w:rPr>
          <w:rFonts w:asciiTheme="majorHAnsi" w:hAnsiTheme="majorHAnsi"/>
          <w:sz w:val="20"/>
          <w:szCs w:val="20"/>
          <w:lang w:val="es-419"/>
        </w:rPr>
        <w:t>E.U.M.</w:t>
      </w:r>
      <w:r w:rsidR="00841EBC" w:rsidRPr="002B3074">
        <w:rPr>
          <w:rFonts w:asciiTheme="majorHAnsi" w:hAnsiTheme="majorHAnsi"/>
          <w:sz w:val="20"/>
          <w:szCs w:val="20"/>
          <w:lang w:val="es-419"/>
        </w:rPr>
        <w:t xml:space="preserve"> inició un proceso civil en contra de Góes por las mismas razones que iniciaron el proceso penal. En el ámbito civil, Góes fue condenado</w:t>
      </w:r>
      <w:r w:rsidR="00CC55E0" w:rsidRPr="002B3074">
        <w:rPr>
          <w:rFonts w:asciiTheme="majorHAnsi" w:hAnsiTheme="majorHAnsi"/>
          <w:sz w:val="20"/>
          <w:szCs w:val="20"/>
          <w:lang w:val="es-419"/>
        </w:rPr>
        <w:t xml:space="preserve"> por el Juez del Séptimo Juzgado Civil del Distrito de Aracaju, Sergipe (Juízo de Direito da 7ª Vara Cível da Comarca de Aracaju, Sergipe)</w:t>
      </w:r>
      <w:r w:rsidR="00131018" w:rsidRPr="002B3074">
        <w:rPr>
          <w:rFonts w:asciiTheme="majorHAnsi" w:hAnsiTheme="majorHAnsi"/>
          <w:sz w:val="20"/>
          <w:szCs w:val="20"/>
          <w:lang w:val="es-419"/>
        </w:rPr>
        <w:t xml:space="preserve"> </w:t>
      </w:r>
      <w:r w:rsidR="00841EBC" w:rsidRPr="002B3074">
        <w:rPr>
          <w:rFonts w:asciiTheme="majorHAnsi" w:hAnsiTheme="majorHAnsi"/>
          <w:sz w:val="20"/>
          <w:szCs w:val="20"/>
          <w:lang w:val="es-419"/>
        </w:rPr>
        <w:t>a pagar 30.000 reales (</w:t>
      </w:r>
      <w:r w:rsidR="00E136B8" w:rsidRPr="002B3074">
        <w:rPr>
          <w:rFonts w:asciiTheme="majorHAnsi" w:hAnsiTheme="majorHAnsi"/>
          <w:sz w:val="20"/>
          <w:szCs w:val="20"/>
          <w:lang w:val="es-419"/>
        </w:rPr>
        <w:t>aproximadamente</w:t>
      </w:r>
      <w:r w:rsidR="00841EBC" w:rsidRPr="002B3074">
        <w:rPr>
          <w:rFonts w:asciiTheme="majorHAnsi" w:hAnsiTheme="majorHAnsi"/>
          <w:sz w:val="20"/>
          <w:szCs w:val="20"/>
          <w:lang w:val="es-419"/>
        </w:rPr>
        <w:t xml:space="preserve"> </w:t>
      </w:r>
      <w:r w:rsidR="00C01DCD" w:rsidRPr="002B3074">
        <w:rPr>
          <w:rFonts w:asciiTheme="majorHAnsi" w:hAnsiTheme="majorHAnsi"/>
          <w:sz w:val="20"/>
          <w:szCs w:val="20"/>
          <w:lang w:val="es-419"/>
        </w:rPr>
        <w:t xml:space="preserve">USD$. </w:t>
      </w:r>
      <w:r w:rsidR="00841EBC" w:rsidRPr="002B3074">
        <w:rPr>
          <w:rFonts w:asciiTheme="majorHAnsi" w:hAnsiTheme="majorHAnsi"/>
          <w:sz w:val="20"/>
          <w:szCs w:val="20"/>
          <w:lang w:val="es-419"/>
        </w:rPr>
        <w:t xml:space="preserve">6.000) a </w:t>
      </w:r>
      <w:r w:rsidR="00C01DCD" w:rsidRPr="002B3074">
        <w:rPr>
          <w:rFonts w:asciiTheme="majorHAnsi" w:hAnsiTheme="majorHAnsi"/>
          <w:sz w:val="20"/>
          <w:szCs w:val="20"/>
          <w:lang w:val="es-419"/>
        </w:rPr>
        <w:t>E.U.M</w:t>
      </w:r>
      <w:r w:rsidR="00841EBC" w:rsidRPr="002B3074">
        <w:rPr>
          <w:rFonts w:asciiTheme="majorHAnsi" w:hAnsiTheme="majorHAnsi"/>
          <w:sz w:val="20"/>
          <w:szCs w:val="20"/>
          <w:lang w:val="es-419"/>
        </w:rPr>
        <w:t>. La decisión que fijó este valor fue impugnada por Góes a través de un recurso de aclaración</w:t>
      </w:r>
      <w:r w:rsidR="00E136B8" w:rsidRPr="002B3074">
        <w:rPr>
          <w:rFonts w:asciiTheme="majorHAnsi" w:hAnsiTheme="majorHAnsi"/>
          <w:sz w:val="20"/>
          <w:szCs w:val="20"/>
          <w:lang w:val="es-419"/>
        </w:rPr>
        <w:t xml:space="preserve"> [</w:t>
      </w:r>
      <w:r w:rsidR="00E136B8" w:rsidRPr="002B3074">
        <w:rPr>
          <w:rFonts w:asciiTheme="majorHAnsi" w:hAnsiTheme="majorHAnsi"/>
          <w:i/>
          <w:iCs/>
          <w:sz w:val="20"/>
          <w:szCs w:val="20"/>
          <w:lang w:val="es-419"/>
        </w:rPr>
        <w:t>embargos de declaração</w:t>
      </w:r>
      <w:r w:rsidR="00E136B8" w:rsidRPr="002B3074">
        <w:rPr>
          <w:rFonts w:asciiTheme="majorHAnsi" w:hAnsiTheme="majorHAnsi"/>
          <w:sz w:val="20"/>
          <w:szCs w:val="20"/>
          <w:lang w:val="es-419"/>
        </w:rPr>
        <w:t>]</w:t>
      </w:r>
      <w:r w:rsidR="00841EBC" w:rsidRPr="002B3074">
        <w:rPr>
          <w:rFonts w:asciiTheme="majorHAnsi" w:hAnsiTheme="majorHAnsi"/>
          <w:sz w:val="20"/>
          <w:szCs w:val="20"/>
          <w:lang w:val="es-419"/>
        </w:rPr>
        <w:t xml:space="preserve">. En marzo de 2015, </w:t>
      </w:r>
      <w:r w:rsidRPr="002B3074">
        <w:rPr>
          <w:rFonts w:asciiTheme="majorHAnsi" w:hAnsiTheme="majorHAnsi"/>
          <w:sz w:val="20"/>
          <w:szCs w:val="20"/>
          <w:lang w:val="es-419"/>
        </w:rPr>
        <w:t>este recurso</w:t>
      </w:r>
      <w:r w:rsidR="00841EBC" w:rsidRPr="002B3074">
        <w:rPr>
          <w:rFonts w:asciiTheme="majorHAnsi" w:hAnsiTheme="majorHAnsi"/>
          <w:sz w:val="20"/>
          <w:szCs w:val="20"/>
          <w:lang w:val="es-419"/>
        </w:rPr>
        <w:t xml:space="preserve"> fue rechazad</w:t>
      </w:r>
      <w:r w:rsidR="00CC55E0" w:rsidRPr="002B3074">
        <w:rPr>
          <w:rFonts w:asciiTheme="majorHAnsi" w:hAnsiTheme="majorHAnsi"/>
          <w:sz w:val="20"/>
          <w:szCs w:val="20"/>
          <w:lang w:val="es-419"/>
        </w:rPr>
        <w:t>o por el mismo magistrado de primera instancia.</w:t>
      </w:r>
    </w:p>
    <w:p w14:paraId="01158E16" w14:textId="26EB12A7" w:rsidR="00841EBC" w:rsidRPr="002B3074" w:rsidRDefault="00841EBC"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Góes presentó entonces una denuncia ante el STF por considerar que las decisiones que lo condenaron son incompatibles con lo que el </w:t>
      </w:r>
      <w:r w:rsidR="00131018" w:rsidRPr="002B3074">
        <w:rPr>
          <w:rFonts w:asciiTheme="majorHAnsi" w:hAnsiTheme="majorHAnsi"/>
          <w:sz w:val="20"/>
          <w:szCs w:val="20"/>
          <w:lang w:val="es-419"/>
        </w:rPr>
        <w:t xml:space="preserve">mismo </w:t>
      </w:r>
      <w:r w:rsidRPr="002B3074">
        <w:rPr>
          <w:rFonts w:asciiTheme="majorHAnsi" w:hAnsiTheme="majorHAnsi"/>
          <w:sz w:val="20"/>
          <w:szCs w:val="20"/>
          <w:lang w:val="es-419"/>
        </w:rPr>
        <w:t xml:space="preserve">STF </w:t>
      </w:r>
      <w:r w:rsidR="00131018" w:rsidRPr="002B3074">
        <w:rPr>
          <w:rFonts w:asciiTheme="majorHAnsi" w:hAnsiTheme="majorHAnsi"/>
          <w:sz w:val="20"/>
          <w:szCs w:val="20"/>
          <w:lang w:val="es-419"/>
        </w:rPr>
        <w:t xml:space="preserve">habría </w:t>
      </w:r>
      <w:r w:rsidRPr="002B3074">
        <w:rPr>
          <w:rFonts w:asciiTheme="majorHAnsi" w:hAnsiTheme="majorHAnsi"/>
          <w:sz w:val="20"/>
          <w:szCs w:val="20"/>
          <w:lang w:val="es-419"/>
        </w:rPr>
        <w:t>decidi</w:t>
      </w:r>
      <w:r w:rsidR="00131018" w:rsidRPr="002B3074">
        <w:rPr>
          <w:rFonts w:asciiTheme="majorHAnsi" w:hAnsiTheme="majorHAnsi"/>
          <w:sz w:val="20"/>
          <w:szCs w:val="20"/>
          <w:lang w:val="es-419"/>
        </w:rPr>
        <w:t>do</w:t>
      </w:r>
      <w:r w:rsidRPr="002B3074">
        <w:rPr>
          <w:rFonts w:asciiTheme="majorHAnsi" w:hAnsiTheme="majorHAnsi"/>
          <w:sz w:val="20"/>
          <w:szCs w:val="20"/>
          <w:lang w:val="es-419"/>
        </w:rPr>
        <w:t xml:space="preserve"> sobre libertad de expresión al juzgar </w:t>
      </w:r>
      <w:r w:rsidR="00CA0E1A" w:rsidRPr="002B3074">
        <w:rPr>
          <w:rFonts w:asciiTheme="majorHAnsi" w:hAnsiTheme="majorHAnsi"/>
          <w:sz w:val="20"/>
          <w:szCs w:val="20"/>
          <w:lang w:val="es-419"/>
        </w:rPr>
        <w:t>otro asunto</w:t>
      </w:r>
      <w:r w:rsidR="00131018" w:rsidRPr="002B3074">
        <w:rPr>
          <w:rFonts w:asciiTheme="majorHAnsi" w:hAnsiTheme="majorHAnsi"/>
          <w:sz w:val="20"/>
          <w:szCs w:val="20"/>
          <w:lang w:val="es-419"/>
        </w:rPr>
        <w:t xml:space="preserve"> </w:t>
      </w:r>
      <w:r w:rsidRPr="002B3074">
        <w:rPr>
          <w:rFonts w:asciiTheme="majorHAnsi" w:hAnsiTheme="majorHAnsi"/>
          <w:sz w:val="20"/>
          <w:szCs w:val="20"/>
          <w:lang w:val="es-419"/>
        </w:rPr>
        <w:t xml:space="preserve">, </w:t>
      </w:r>
      <w:r w:rsidR="00ED44DB" w:rsidRPr="002B3074">
        <w:rPr>
          <w:rFonts w:asciiTheme="majorHAnsi" w:hAnsiTheme="majorHAnsi"/>
          <w:sz w:val="20"/>
          <w:szCs w:val="20"/>
          <w:lang w:val="es-419"/>
        </w:rPr>
        <w:t xml:space="preserve">la </w:t>
      </w:r>
      <w:r w:rsidRPr="002B3074">
        <w:rPr>
          <w:rFonts w:asciiTheme="majorHAnsi" w:hAnsiTheme="majorHAnsi"/>
          <w:sz w:val="20"/>
          <w:szCs w:val="20"/>
          <w:lang w:val="es-419"/>
        </w:rPr>
        <w:t xml:space="preserve">Demanda por Incumplimiento de </w:t>
      </w:r>
      <w:r w:rsidR="00ED44DB" w:rsidRPr="002B3074">
        <w:rPr>
          <w:rFonts w:asciiTheme="majorHAnsi" w:hAnsiTheme="majorHAnsi"/>
          <w:sz w:val="20"/>
          <w:szCs w:val="20"/>
          <w:lang w:val="es-419"/>
        </w:rPr>
        <w:t>Precepto Fundamental</w:t>
      </w:r>
      <w:r w:rsidRPr="002B3074">
        <w:rPr>
          <w:rFonts w:asciiTheme="majorHAnsi" w:hAnsiTheme="majorHAnsi"/>
          <w:sz w:val="20"/>
          <w:szCs w:val="20"/>
          <w:lang w:val="es-419"/>
        </w:rPr>
        <w:t xml:space="preserve"> </w:t>
      </w:r>
      <w:r w:rsidR="00ED44DB" w:rsidRPr="002B3074">
        <w:rPr>
          <w:rFonts w:asciiTheme="majorHAnsi" w:hAnsiTheme="majorHAnsi"/>
          <w:sz w:val="20"/>
          <w:szCs w:val="20"/>
          <w:lang w:val="es-419"/>
        </w:rPr>
        <w:t>[</w:t>
      </w:r>
      <w:r w:rsidR="00ED44DB" w:rsidRPr="002B3074">
        <w:rPr>
          <w:rFonts w:asciiTheme="majorHAnsi" w:hAnsiTheme="majorHAnsi"/>
          <w:i/>
          <w:iCs/>
          <w:sz w:val="20"/>
          <w:szCs w:val="20"/>
          <w:lang w:val="es-ES"/>
        </w:rPr>
        <w:t>Arguição de Descumprimento de Preceito Fundamental</w:t>
      </w:r>
      <w:r w:rsidR="00ED44DB" w:rsidRPr="002B3074">
        <w:rPr>
          <w:rFonts w:asciiTheme="majorHAnsi" w:hAnsiTheme="majorHAnsi"/>
          <w:sz w:val="20"/>
          <w:szCs w:val="20"/>
          <w:lang w:val="es-ES"/>
        </w:rPr>
        <w:t xml:space="preserve">] </w:t>
      </w:r>
      <w:r w:rsidRPr="002B3074">
        <w:rPr>
          <w:rFonts w:asciiTheme="majorHAnsi" w:hAnsiTheme="majorHAnsi"/>
          <w:sz w:val="20"/>
          <w:szCs w:val="20"/>
          <w:lang w:val="es-419"/>
        </w:rPr>
        <w:t>(ADPF) 130.</w:t>
      </w:r>
    </w:p>
    <w:p w14:paraId="32F892D9" w14:textId="19F2386E" w:rsidR="00841EBC" w:rsidRPr="002B3074" w:rsidRDefault="00A144E3"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La parte peticionaria</w:t>
      </w:r>
      <w:r w:rsidR="00841EBC" w:rsidRPr="002B3074">
        <w:rPr>
          <w:rFonts w:asciiTheme="majorHAnsi" w:hAnsiTheme="majorHAnsi"/>
          <w:sz w:val="20"/>
          <w:szCs w:val="20"/>
          <w:lang w:val="es-419"/>
        </w:rPr>
        <w:t xml:space="preserve"> </w:t>
      </w:r>
      <w:r w:rsidR="00930044" w:rsidRPr="002B3074">
        <w:rPr>
          <w:rFonts w:asciiTheme="majorHAnsi" w:hAnsiTheme="majorHAnsi"/>
          <w:sz w:val="20"/>
          <w:szCs w:val="20"/>
          <w:lang w:val="es-419"/>
        </w:rPr>
        <w:t xml:space="preserve">alega </w:t>
      </w:r>
      <w:r w:rsidR="00841EBC" w:rsidRPr="002B3074">
        <w:rPr>
          <w:rFonts w:asciiTheme="majorHAnsi" w:hAnsiTheme="majorHAnsi"/>
          <w:sz w:val="20"/>
          <w:szCs w:val="20"/>
          <w:lang w:val="es-419"/>
        </w:rPr>
        <w:t xml:space="preserve">que los procesos y condenas representaron una restricción ilegítima y desproporcionada a la libertad de expresión de Góes, además de no observar el debido proceso legal. </w:t>
      </w:r>
      <w:r w:rsidRPr="002B3074">
        <w:rPr>
          <w:rFonts w:asciiTheme="majorHAnsi" w:hAnsiTheme="majorHAnsi"/>
          <w:sz w:val="20"/>
          <w:szCs w:val="20"/>
          <w:lang w:val="es-419"/>
        </w:rPr>
        <w:t>Asimismo,</w:t>
      </w:r>
      <w:r w:rsidR="00841EBC" w:rsidRPr="002B3074">
        <w:rPr>
          <w:rFonts w:asciiTheme="majorHAnsi" w:hAnsiTheme="majorHAnsi"/>
          <w:sz w:val="20"/>
          <w:szCs w:val="20"/>
          <w:lang w:val="es-419"/>
        </w:rPr>
        <w:t xml:space="preserve"> considera que la legislación brasileña es inadecuada en relación con los estándares interamericanos para la protección proporcional del derecho a la reputación, en especial las normas penales sobre difamación, injuria, injuria y desacato.</w:t>
      </w:r>
    </w:p>
    <w:p w14:paraId="05443C2C" w14:textId="72EB8501" w:rsidR="000E6E0D" w:rsidRPr="002B3074" w:rsidRDefault="000E6E0D" w:rsidP="002B3074">
      <w:pPr>
        <w:pStyle w:val="ListParagraph"/>
        <w:spacing w:before="240" w:after="240"/>
        <w:ind w:left="709"/>
        <w:jc w:val="both"/>
        <w:rPr>
          <w:rFonts w:asciiTheme="majorHAnsi" w:hAnsiTheme="majorHAnsi"/>
          <w:i/>
          <w:iCs/>
          <w:sz w:val="20"/>
          <w:szCs w:val="20"/>
          <w:lang w:val="es-ES"/>
        </w:rPr>
      </w:pPr>
      <w:r w:rsidRPr="002B3074">
        <w:rPr>
          <w:rFonts w:asciiTheme="majorHAnsi" w:hAnsiTheme="majorHAnsi"/>
          <w:i/>
          <w:iCs/>
          <w:sz w:val="20"/>
          <w:szCs w:val="20"/>
          <w:lang w:val="es-419"/>
        </w:rPr>
        <w:lastRenderedPageBreak/>
        <w:t>Posición del Estado</w:t>
      </w:r>
      <w:r w:rsidR="00930044" w:rsidRPr="002B3074">
        <w:rPr>
          <w:rFonts w:asciiTheme="majorHAnsi" w:hAnsiTheme="majorHAnsi"/>
          <w:i/>
          <w:iCs/>
          <w:sz w:val="20"/>
          <w:szCs w:val="20"/>
          <w:lang w:val="es-419"/>
        </w:rPr>
        <w:t xml:space="preserve"> brasile</w:t>
      </w:r>
      <w:r w:rsidR="00930044" w:rsidRPr="002B3074">
        <w:rPr>
          <w:rFonts w:asciiTheme="majorHAnsi" w:hAnsiTheme="majorHAnsi"/>
          <w:i/>
          <w:iCs/>
          <w:sz w:val="20"/>
          <w:szCs w:val="20"/>
          <w:lang w:val="es-ES"/>
        </w:rPr>
        <w:t>ño</w:t>
      </w:r>
    </w:p>
    <w:p w14:paraId="7D333596" w14:textId="227EB073" w:rsidR="00FB011E" w:rsidRPr="002B3074" w:rsidRDefault="00841EBC"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En cuanto al proceso penal, </w:t>
      </w:r>
      <w:r w:rsidR="00E52F48" w:rsidRPr="002B3074">
        <w:rPr>
          <w:rFonts w:asciiTheme="majorHAnsi" w:hAnsiTheme="majorHAnsi"/>
          <w:sz w:val="20"/>
          <w:szCs w:val="20"/>
          <w:lang w:val="es-419"/>
        </w:rPr>
        <w:t xml:space="preserve">el Estado señala que </w:t>
      </w:r>
      <w:r w:rsidRPr="002B3074">
        <w:rPr>
          <w:rFonts w:asciiTheme="majorHAnsi" w:hAnsiTheme="majorHAnsi"/>
          <w:sz w:val="20"/>
          <w:szCs w:val="20"/>
          <w:lang w:val="es-419"/>
        </w:rPr>
        <w:t xml:space="preserve">en septiembre de 2012, </w:t>
      </w:r>
      <w:r w:rsidR="00AD66C3" w:rsidRPr="002B3074">
        <w:rPr>
          <w:rFonts w:asciiTheme="majorHAnsi" w:hAnsiTheme="majorHAnsi"/>
          <w:sz w:val="20"/>
          <w:szCs w:val="20"/>
          <w:lang w:val="es-419"/>
        </w:rPr>
        <w:t>E.U.M.</w:t>
      </w:r>
      <w:r w:rsidRPr="002B3074">
        <w:rPr>
          <w:rFonts w:asciiTheme="majorHAnsi" w:hAnsiTheme="majorHAnsi"/>
          <w:sz w:val="20"/>
          <w:szCs w:val="20"/>
          <w:lang w:val="es-419"/>
        </w:rPr>
        <w:t xml:space="preserve"> </w:t>
      </w:r>
      <w:r w:rsidR="009F28A4" w:rsidRPr="002B3074">
        <w:rPr>
          <w:rFonts w:asciiTheme="majorHAnsi" w:hAnsiTheme="majorHAnsi"/>
          <w:sz w:val="20"/>
          <w:szCs w:val="20"/>
          <w:lang w:val="es-419"/>
        </w:rPr>
        <w:t>denunció</w:t>
      </w:r>
      <w:r w:rsidRPr="002B3074">
        <w:rPr>
          <w:rFonts w:asciiTheme="majorHAnsi" w:hAnsiTheme="majorHAnsi"/>
          <w:sz w:val="20"/>
          <w:szCs w:val="20"/>
          <w:lang w:val="es-419"/>
        </w:rPr>
        <w:t xml:space="preserve"> penalmente a José Cristian Góes, acusándolo de cometer los delitos de difamación e injuria.</w:t>
      </w:r>
      <w:r w:rsidR="00FB011E" w:rsidRPr="002B3074">
        <w:rPr>
          <w:rFonts w:asciiTheme="majorHAnsi" w:hAnsiTheme="majorHAnsi"/>
          <w:sz w:val="20"/>
          <w:szCs w:val="20"/>
          <w:lang w:val="es-419"/>
        </w:rPr>
        <w:t xml:space="preserve"> El 15 de octubre de 2012 el Juzgado 3° Penal del Distrito Judicial de Aracaju fue declarado incompetente, y los autos fueron remitidos al Juzgado Penal Especial del mismo Distrito Judicial. </w:t>
      </w:r>
    </w:p>
    <w:p w14:paraId="7ED873E6" w14:textId="5EDF1215"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23 de enero de 2013 el Ministerio Público del Estado de Sergipe interpuso denuncia contra el imputado, por el delito de injuria contra funcionario público. Tras la celebración de la audiencia preliminar el 23 de enero de 2013, el intento de conciliación resultó fallido. </w:t>
      </w:r>
      <w:r w:rsidR="00A93EEE" w:rsidRPr="002B3074">
        <w:rPr>
          <w:rFonts w:asciiTheme="majorHAnsi" w:hAnsiTheme="majorHAnsi"/>
          <w:sz w:val="20"/>
          <w:szCs w:val="20"/>
          <w:lang w:val="es-419"/>
        </w:rPr>
        <w:t>Posteriormente</w:t>
      </w:r>
      <w:r w:rsidRPr="002B3074">
        <w:rPr>
          <w:rFonts w:asciiTheme="majorHAnsi" w:hAnsiTheme="majorHAnsi"/>
          <w:sz w:val="20"/>
          <w:szCs w:val="20"/>
          <w:lang w:val="es-419"/>
        </w:rPr>
        <w:t xml:space="preserve">, el Ministerio Público </w:t>
      </w:r>
      <w:r w:rsidR="001E5F1E" w:rsidRPr="002B3074">
        <w:rPr>
          <w:rFonts w:asciiTheme="majorHAnsi" w:hAnsiTheme="majorHAnsi"/>
          <w:sz w:val="20"/>
          <w:szCs w:val="20"/>
          <w:lang w:val="es-419"/>
        </w:rPr>
        <w:t>presentó la acusación</w:t>
      </w:r>
      <w:r w:rsidRPr="002B3074">
        <w:rPr>
          <w:rFonts w:asciiTheme="majorHAnsi" w:hAnsiTheme="majorHAnsi"/>
          <w:sz w:val="20"/>
          <w:szCs w:val="20"/>
          <w:lang w:val="es-419"/>
        </w:rPr>
        <w:t>.</w:t>
      </w:r>
    </w:p>
    <w:p w14:paraId="384A7177" w14:textId="672E8CE3"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imputado presentó </w:t>
      </w:r>
      <w:r w:rsidR="001E5F1E" w:rsidRPr="002B3074">
        <w:rPr>
          <w:rFonts w:asciiTheme="majorHAnsi" w:hAnsiTheme="majorHAnsi"/>
          <w:sz w:val="20"/>
          <w:szCs w:val="20"/>
          <w:lang w:val="es-419"/>
        </w:rPr>
        <w:t xml:space="preserve">su </w:t>
      </w:r>
      <w:r w:rsidRPr="002B3074">
        <w:rPr>
          <w:rFonts w:asciiTheme="majorHAnsi" w:hAnsiTheme="majorHAnsi"/>
          <w:sz w:val="20"/>
          <w:szCs w:val="20"/>
          <w:lang w:val="es-419"/>
        </w:rPr>
        <w:t xml:space="preserve">defensa preliminar en audiencia el 22 de marzo de 2013. En esa oportunidad se </w:t>
      </w:r>
      <w:r w:rsidR="00395B9D" w:rsidRPr="002B3074">
        <w:rPr>
          <w:rFonts w:asciiTheme="majorHAnsi" w:hAnsiTheme="majorHAnsi"/>
          <w:sz w:val="20"/>
          <w:szCs w:val="20"/>
          <w:lang w:val="es-419"/>
        </w:rPr>
        <w:t>aceptó la acusación</w:t>
      </w:r>
      <w:r w:rsidRPr="002B3074">
        <w:rPr>
          <w:rFonts w:asciiTheme="majorHAnsi" w:hAnsiTheme="majorHAnsi"/>
          <w:sz w:val="20"/>
          <w:szCs w:val="20"/>
          <w:lang w:val="es-419"/>
        </w:rPr>
        <w:t xml:space="preserve"> y se pasó a etapa de producción de prueba [</w:t>
      </w:r>
      <w:r w:rsidRPr="002B3074">
        <w:rPr>
          <w:rFonts w:asciiTheme="majorHAnsi" w:hAnsiTheme="majorHAnsi"/>
          <w:i/>
          <w:iCs/>
          <w:sz w:val="20"/>
          <w:szCs w:val="20"/>
          <w:lang w:val="es-419"/>
        </w:rPr>
        <w:t>instrução do feito</w:t>
      </w:r>
      <w:r w:rsidRPr="002B3074">
        <w:rPr>
          <w:rFonts w:asciiTheme="majorHAnsi" w:hAnsiTheme="majorHAnsi"/>
          <w:sz w:val="20"/>
          <w:szCs w:val="20"/>
          <w:lang w:val="es-419"/>
        </w:rPr>
        <w:t>], siendo oídos la víctima y dos testigos. El 19 de abril de 2013 se rindió audiencia a tres testigos más y al imputado. Concedido un plazo a las partes, éstas presentaron sus alegatos finales.</w:t>
      </w:r>
    </w:p>
    <w:p w14:paraId="1AEFC331" w14:textId="64B15BCE"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4 de julio de 2013 el magistrado de primera instancia dictó sentencia condenando al imputado por el delito de injuria con pena agravada por ser el ofendido funcionario público, y haber sido cometido el delito en presencia de varias personas, o por medio de facilitando la revelación de la lesión. El imputado fue condenado a </w:t>
      </w:r>
      <w:r w:rsidR="004C7219" w:rsidRPr="002B3074">
        <w:rPr>
          <w:rFonts w:asciiTheme="majorHAnsi" w:hAnsiTheme="majorHAnsi"/>
          <w:sz w:val="20"/>
          <w:szCs w:val="20"/>
          <w:lang w:val="es-419"/>
        </w:rPr>
        <w:t>siete</w:t>
      </w:r>
      <w:r w:rsidRPr="002B3074">
        <w:rPr>
          <w:rFonts w:asciiTheme="majorHAnsi" w:hAnsiTheme="majorHAnsi"/>
          <w:sz w:val="20"/>
          <w:szCs w:val="20"/>
          <w:lang w:val="es-419"/>
        </w:rPr>
        <w:t xml:space="preserve"> meses y </w:t>
      </w:r>
      <w:r w:rsidR="004C7219" w:rsidRPr="002B3074">
        <w:rPr>
          <w:rFonts w:asciiTheme="majorHAnsi" w:hAnsiTheme="majorHAnsi"/>
          <w:sz w:val="20"/>
          <w:szCs w:val="20"/>
          <w:lang w:val="es-419"/>
        </w:rPr>
        <w:t>dieciséis</w:t>
      </w:r>
      <w:r w:rsidRPr="002B3074">
        <w:rPr>
          <w:rFonts w:asciiTheme="majorHAnsi" w:hAnsiTheme="majorHAnsi"/>
          <w:sz w:val="20"/>
          <w:szCs w:val="20"/>
          <w:lang w:val="es-419"/>
        </w:rPr>
        <w:t xml:space="preserve"> días de prisión preventiva, sustituida por la prestación de servicios en una entidad asistencial.</w:t>
      </w:r>
    </w:p>
    <w:p w14:paraId="7B1FE3EC" w14:textId="294BD663"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La defensa interpuso recurso de apelación. El 22 de octubre de 2013, la apelación fue juzgada y la Sala de Apelaciones del Estado de Sergipe resolvió mantener la condena. La decisión, destaca el Estado, rechazó los argumentos de la defensa de Góes de que la condena penal habría violado los principios del juez natural y la identidad física del juez, y el argumento de la defensa de que el proceso sería nulo por prejuzgamiento. Luego, la defensa presentó recurso de aclaración [</w:t>
      </w:r>
      <w:r w:rsidRPr="002B3074">
        <w:rPr>
          <w:rFonts w:asciiTheme="majorHAnsi" w:hAnsiTheme="majorHAnsi"/>
          <w:i/>
          <w:iCs/>
          <w:sz w:val="20"/>
          <w:szCs w:val="20"/>
          <w:lang w:val="es-419"/>
        </w:rPr>
        <w:t>embargos de declaração</w:t>
      </w:r>
      <w:r w:rsidRPr="002B3074">
        <w:rPr>
          <w:rFonts w:asciiTheme="majorHAnsi" w:hAnsiTheme="majorHAnsi"/>
          <w:sz w:val="20"/>
          <w:szCs w:val="20"/>
          <w:lang w:val="es-419"/>
        </w:rPr>
        <w:t>]. Este recurso fue rechazado por la Sala de Apelaciones el 7 de noviembre de 2013.</w:t>
      </w:r>
    </w:p>
    <w:p w14:paraId="1177CC9F" w14:textId="2D5FE0D0"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Posteriormente, la defensa interpuso </w:t>
      </w:r>
      <w:r w:rsidR="000F4CC5" w:rsidRPr="002B3074">
        <w:rPr>
          <w:rFonts w:asciiTheme="majorHAnsi" w:hAnsiTheme="majorHAnsi"/>
          <w:sz w:val="20"/>
          <w:szCs w:val="20"/>
          <w:lang w:val="es-419"/>
        </w:rPr>
        <w:t xml:space="preserve">un </w:t>
      </w:r>
      <w:r w:rsidRPr="002B3074">
        <w:rPr>
          <w:rFonts w:asciiTheme="majorHAnsi" w:hAnsiTheme="majorHAnsi"/>
          <w:sz w:val="20"/>
          <w:szCs w:val="20"/>
          <w:lang w:val="es-419"/>
        </w:rPr>
        <w:t>recurso extraordinario, el cual fue denegado el 12 de marzo de 2014, lo que llevó a la defensa a interponer recurso interlocutorio [</w:t>
      </w:r>
      <w:r w:rsidRPr="002B3074">
        <w:rPr>
          <w:rFonts w:asciiTheme="majorHAnsi" w:hAnsiTheme="majorHAnsi"/>
          <w:i/>
          <w:iCs/>
          <w:sz w:val="20"/>
          <w:szCs w:val="20"/>
          <w:lang w:val="es-419"/>
        </w:rPr>
        <w:t>Agravo</w:t>
      </w:r>
      <w:r w:rsidRPr="002B3074">
        <w:rPr>
          <w:rFonts w:asciiTheme="majorHAnsi" w:hAnsiTheme="majorHAnsi"/>
          <w:sz w:val="20"/>
          <w:szCs w:val="20"/>
          <w:lang w:val="es-419"/>
        </w:rPr>
        <w:t>] en recurso extraordinario. Dicho recurso fue rechazado, lo que motivó la interposición de un Recurso Colegiado</w:t>
      </w:r>
      <w:r w:rsidR="0009546C" w:rsidRPr="002B3074">
        <w:rPr>
          <w:rFonts w:asciiTheme="majorHAnsi" w:hAnsiTheme="majorHAnsi"/>
          <w:sz w:val="20"/>
          <w:szCs w:val="20"/>
          <w:lang w:val="es-419"/>
        </w:rPr>
        <w:t xml:space="preserve"> Reglamentario</w:t>
      </w:r>
      <w:r w:rsidRPr="002B3074">
        <w:rPr>
          <w:rFonts w:asciiTheme="majorHAnsi" w:hAnsiTheme="majorHAnsi"/>
          <w:sz w:val="20"/>
          <w:szCs w:val="20"/>
          <w:lang w:val="es-419"/>
        </w:rPr>
        <w:t xml:space="preserve"> [</w:t>
      </w:r>
      <w:r w:rsidRPr="002B3074">
        <w:rPr>
          <w:rFonts w:asciiTheme="majorHAnsi" w:hAnsiTheme="majorHAnsi"/>
          <w:i/>
          <w:iCs/>
          <w:sz w:val="20"/>
          <w:szCs w:val="20"/>
          <w:lang w:val="es-419"/>
        </w:rPr>
        <w:t>Agravo Regimental</w:t>
      </w:r>
      <w:r w:rsidRPr="002B3074">
        <w:rPr>
          <w:rFonts w:asciiTheme="majorHAnsi" w:hAnsiTheme="majorHAnsi"/>
          <w:sz w:val="20"/>
          <w:szCs w:val="20"/>
          <w:lang w:val="es-419"/>
        </w:rPr>
        <w:t>] por parte de la presunta víctima. Este último fue juzgado y rechazado por la Sala Segunda del STF el 5 de agosto de 2014. Esta decisión quedó firme el 8 de septiembre de 2014. Posteriormente, la causa fue remitida a la Vara de Ejecución de Medidas Alternativas y Penas, donde recibió el número 201421101953 El 19 de febrero de 2016 se declaró cumplida la sentencia y se dio por terminada la ejecución.</w:t>
      </w:r>
    </w:p>
    <w:p w14:paraId="3BF1BB37" w14:textId="2F49397D"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En cuanto a la acción civil (Proceso No. 201210701342), el Estado informa que el 28 de noviembre de 2014 la acción fue juzgada en primera instancia</w:t>
      </w:r>
      <w:r w:rsidR="00562B9D" w:rsidRPr="002B3074">
        <w:rPr>
          <w:rFonts w:asciiTheme="majorHAnsi" w:hAnsiTheme="majorHAnsi"/>
          <w:sz w:val="20"/>
          <w:szCs w:val="20"/>
          <w:lang w:val="es-419"/>
        </w:rPr>
        <w:t xml:space="preserve"> por el Séptimo Juzgado Civil del Distrito de Aracaju, Sergipe (</w:t>
      </w:r>
      <w:r w:rsidR="00562B9D" w:rsidRPr="002B3074">
        <w:rPr>
          <w:rFonts w:asciiTheme="majorHAnsi" w:hAnsiTheme="majorHAnsi"/>
          <w:i/>
          <w:iCs/>
          <w:sz w:val="20"/>
          <w:szCs w:val="20"/>
          <w:lang w:val="es-419"/>
        </w:rPr>
        <w:t>Juízo de Direito da 7ª Vara Cível da Comarca de Aracaju</w:t>
      </w:r>
      <w:r w:rsidR="00562B9D" w:rsidRPr="002B3074">
        <w:rPr>
          <w:rFonts w:asciiTheme="majorHAnsi" w:hAnsiTheme="majorHAnsi"/>
          <w:sz w:val="20"/>
          <w:szCs w:val="20"/>
          <w:lang w:val="es-419"/>
        </w:rPr>
        <w:t xml:space="preserve">) </w:t>
      </w:r>
      <w:r w:rsidRPr="002B3074">
        <w:rPr>
          <w:rFonts w:asciiTheme="majorHAnsi" w:hAnsiTheme="majorHAnsi"/>
          <w:sz w:val="20"/>
          <w:szCs w:val="20"/>
          <w:lang w:val="es-419"/>
        </w:rPr>
        <w:t>de manera favorable al demandante. Góes presentó un recurso de aclaración [</w:t>
      </w:r>
      <w:r w:rsidRPr="002B3074">
        <w:rPr>
          <w:rFonts w:asciiTheme="majorHAnsi" w:hAnsiTheme="majorHAnsi"/>
          <w:i/>
          <w:iCs/>
          <w:sz w:val="20"/>
          <w:szCs w:val="20"/>
          <w:lang w:val="es-419"/>
        </w:rPr>
        <w:t>embargos de declaração</w:t>
      </w:r>
      <w:r w:rsidRPr="002B3074">
        <w:rPr>
          <w:rFonts w:asciiTheme="majorHAnsi" w:hAnsiTheme="majorHAnsi"/>
          <w:sz w:val="20"/>
          <w:szCs w:val="20"/>
          <w:lang w:val="es-419"/>
        </w:rPr>
        <w:t>], alegando que hubo una omisión en la sentencia. El recurso fue rechazado por el magistrado de primera instancia en sentencia dictada el 3 de marzo de 2015.</w:t>
      </w:r>
    </w:p>
    <w:p w14:paraId="43A80373" w14:textId="292BB149"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23 de marzo de 2015 </w:t>
      </w:r>
      <w:r w:rsidR="00CD0593" w:rsidRPr="002B3074">
        <w:rPr>
          <w:rFonts w:asciiTheme="majorHAnsi" w:hAnsiTheme="majorHAnsi"/>
          <w:sz w:val="20"/>
          <w:szCs w:val="20"/>
          <w:lang w:val="es-419"/>
        </w:rPr>
        <w:t>la presunta víctima</w:t>
      </w:r>
      <w:r w:rsidRPr="002B3074">
        <w:rPr>
          <w:rFonts w:asciiTheme="majorHAnsi" w:hAnsiTheme="majorHAnsi"/>
          <w:sz w:val="20"/>
          <w:szCs w:val="20"/>
          <w:lang w:val="es-419"/>
        </w:rPr>
        <w:t xml:space="preserve"> interpuso </w:t>
      </w:r>
      <w:r w:rsidR="0080359D" w:rsidRPr="002B3074">
        <w:rPr>
          <w:rFonts w:asciiTheme="majorHAnsi" w:hAnsiTheme="majorHAnsi"/>
          <w:sz w:val="20"/>
          <w:szCs w:val="20"/>
          <w:lang w:val="es-419"/>
        </w:rPr>
        <w:t xml:space="preserve">un </w:t>
      </w:r>
      <w:r w:rsidRPr="002B3074">
        <w:rPr>
          <w:rFonts w:asciiTheme="majorHAnsi" w:hAnsiTheme="majorHAnsi"/>
          <w:sz w:val="20"/>
          <w:szCs w:val="20"/>
          <w:lang w:val="es-419"/>
        </w:rPr>
        <w:t xml:space="preserve">recurso de apelación. El 16 de abril de 2015 </w:t>
      </w:r>
      <w:r w:rsidR="00CD0593" w:rsidRPr="002B3074">
        <w:rPr>
          <w:rFonts w:asciiTheme="majorHAnsi" w:hAnsiTheme="majorHAnsi"/>
          <w:sz w:val="20"/>
          <w:szCs w:val="20"/>
          <w:lang w:val="es-419"/>
        </w:rPr>
        <w:t>la segunda instancia</w:t>
      </w:r>
      <w:r w:rsidR="00CC55E0" w:rsidRPr="002B3074">
        <w:rPr>
          <w:rFonts w:asciiTheme="majorHAnsi" w:hAnsiTheme="majorHAnsi"/>
          <w:sz w:val="20"/>
          <w:szCs w:val="20"/>
          <w:lang w:val="es-419"/>
        </w:rPr>
        <w:t>, el Tribunal de Justicia de Sergipe,</w:t>
      </w:r>
      <w:r w:rsidRPr="002B3074">
        <w:rPr>
          <w:rFonts w:asciiTheme="majorHAnsi" w:hAnsiTheme="majorHAnsi"/>
          <w:sz w:val="20"/>
          <w:szCs w:val="20"/>
          <w:lang w:val="es-419"/>
        </w:rPr>
        <w:t xml:space="preserve"> recibió el recurso y citó a la parte recurrida para que presentara su contestación dentro de</w:t>
      </w:r>
      <w:r w:rsidR="00CD0593" w:rsidRPr="002B3074">
        <w:rPr>
          <w:rFonts w:asciiTheme="majorHAnsi" w:hAnsiTheme="majorHAnsi"/>
          <w:sz w:val="20"/>
          <w:szCs w:val="20"/>
          <w:lang w:val="es-419"/>
        </w:rPr>
        <w:t>l plazo de</w:t>
      </w:r>
      <w:r w:rsidRPr="002B3074">
        <w:rPr>
          <w:rFonts w:asciiTheme="majorHAnsi" w:hAnsiTheme="majorHAnsi"/>
          <w:sz w:val="20"/>
          <w:szCs w:val="20"/>
          <w:lang w:val="es-419"/>
        </w:rPr>
        <w:t xml:space="preserve"> quince días. El 4 de abril de 2016, miembros del Grupo II de la 1ª Sala Civil del Tribunal de Justicia de Sergipe juzgaron el recurso de apelación. En resumen, los jueces consideraron que hubo ofensa al honor y daño moral, pues Góes habría </w:t>
      </w:r>
      <w:r w:rsidR="00137976" w:rsidRPr="002B3074">
        <w:rPr>
          <w:rFonts w:asciiTheme="majorHAnsi" w:hAnsiTheme="majorHAnsi"/>
          <w:sz w:val="20"/>
          <w:szCs w:val="20"/>
          <w:lang w:val="es-419"/>
        </w:rPr>
        <w:t>atribuido</w:t>
      </w:r>
      <w:r w:rsidRPr="002B3074">
        <w:rPr>
          <w:rFonts w:asciiTheme="majorHAnsi" w:hAnsiTheme="majorHAnsi"/>
          <w:sz w:val="20"/>
          <w:szCs w:val="20"/>
          <w:lang w:val="es-419"/>
        </w:rPr>
        <w:t xml:space="preserve"> a </w:t>
      </w:r>
      <w:r w:rsidR="00367A04" w:rsidRPr="002B3074">
        <w:rPr>
          <w:rFonts w:asciiTheme="majorHAnsi" w:hAnsiTheme="majorHAnsi"/>
          <w:sz w:val="20"/>
          <w:szCs w:val="20"/>
          <w:lang w:val="es-419"/>
        </w:rPr>
        <w:t>E.U.M.</w:t>
      </w:r>
      <w:r w:rsidRPr="002B3074">
        <w:rPr>
          <w:rFonts w:asciiTheme="majorHAnsi" w:hAnsiTheme="majorHAnsi"/>
          <w:sz w:val="20"/>
          <w:szCs w:val="20"/>
          <w:lang w:val="es-419"/>
        </w:rPr>
        <w:t xml:space="preserve"> la etiqueta de “</w:t>
      </w:r>
      <w:r w:rsidR="00CD0593" w:rsidRPr="002B3074">
        <w:rPr>
          <w:rFonts w:asciiTheme="majorHAnsi" w:hAnsiTheme="majorHAnsi"/>
          <w:sz w:val="20"/>
          <w:szCs w:val="20"/>
          <w:lang w:val="es-419"/>
        </w:rPr>
        <w:t>secuaz</w:t>
      </w:r>
      <w:r w:rsidRPr="002B3074">
        <w:rPr>
          <w:rFonts w:asciiTheme="majorHAnsi" w:hAnsiTheme="majorHAnsi"/>
          <w:sz w:val="20"/>
          <w:szCs w:val="20"/>
          <w:lang w:val="es-419"/>
        </w:rPr>
        <w:t xml:space="preserve"> de las leyes”, algo que iría más allá de los límites de la libertad de expresión. La decisión fue publicada el 8 de abril de 2016.</w:t>
      </w:r>
    </w:p>
    <w:p w14:paraId="1F991DC8" w14:textId="0DDFA24D" w:rsidR="00FB011E"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Tras la decisión, Góes interpuso sucesivos recursos, todos los cuales fueron rechazados: recurso de aclaración</w:t>
      </w:r>
      <w:r w:rsidR="00CD0593" w:rsidRPr="002B3074">
        <w:rPr>
          <w:rFonts w:asciiTheme="majorHAnsi" w:hAnsiTheme="majorHAnsi"/>
          <w:sz w:val="20"/>
          <w:szCs w:val="20"/>
          <w:lang w:val="es-419"/>
        </w:rPr>
        <w:t>;</w:t>
      </w:r>
      <w:r w:rsidRPr="002B3074">
        <w:rPr>
          <w:rFonts w:asciiTheme="majorHAnsi" w:hAnsiTheme="majorHAnsi"/>
          <w:sz w:val="20"/>
          <w:szCs w:val="20"/>
          <w:lang w:val="es-419"/>
        </w:rPr>
        <w:t xml:space="preserve"> recurso </w:t>
      </w:r>
      <w:r w:rsidR="00CD0593" w:rsidRPr="002B3074">
        <w:rPr>
          <w:rFonts w:asciiTheme="majorHAnsi" w:hAnsiTheme="majorHAnsi"/>
          <w:sz w:val="20"/>
          <w:szCs w:val="20"/>
          <w:lang w:val="es-419"/>
        </w:rPr>
        <w:t>especial</w:t>
      </w:r>
      <w:r w:rsidRPr="002B3074">
        <w:rPr>
          <w:rFonts w:asciiTheme="majorHAnsi" w:hAnsiTheme="majorHAnsi"/>
          <w:sz w:val="20"/>
          <w:szCs w:val="20"/>
          <w:lang w:val="es-419"/>
        </w:rPr>
        <w:t xml:space="preserve"> ante el Superior Tribunal de Justicia</w:t>
      </w:r>
      <w:r w:rsidR="00CD0593" w:rsidRPr="002B3074">
        <w:rPr>
          <w:rFonts w:asciiTheme="majorHAnsi" w:hAnsiTheme="majorHAnsi"/>
          <w:sz w:val="20"/>
          <w:szCs w:val="20"/>
          <w:lang w:val="es-419"/>
        </w:rPr>
        <w:t>;</w:t>
      </w:r>
      <w:r w:rsidRPr="002B3074">
        <w:rPr>
          <w:rFonts w:asciiTheme="majorHAnsi" w:hAnsiTheme="majorHAnsi"/>
          <w:sz w:val="20"/>
          <w:szCs w:val="20"/>
          <w:lang w:val="es-419"/>
        </w:rPr>
        <w:t xml:space="preserve"> recurso extraordinario ante el STF. </w:t>
      </w:r>
      <w:r w:rsidRPr="002B3074">
        <w:rPr>
          <w:rFonts w:asciiTheme="majorHAnsi" w:hAnsiTheme="majorHAnsi"/>
          <w:sz w:val="20"/>
          <w:szCs w:val="20"/>
          <w:lang w:val="es-419"/>
        </w:rPr>
        <w:lastRenderedPageBreak/>
        <w:t>La decisión sobre la admisibilidad de los recursos especial y extraordinario corresponde al Presidente de</w:t>
      </w:r>
      <w:r w:rsidR="00CD0593" w:rsidRPr="002B3074">
        <w:rPr>
          <w:rFonts w:asciiTheme="majorHAnsi" w:hAnsiTheme="majorHAnsi"/>
          <w:sz w:val="20"/>
          <w:szCs w:val="20"/>
          <w:lang w:val="es-419"/>
        </w:rPr>
        <w:t>l Tribunal de Justicia (segunda instancia)</w:t>
      </w:r>
      <w:r w:rsidRPr="002B3074">
        <w:rPr>
          <w:rFonts w:asciiTheme="majorHAnsi" w:hAnsiTheme="majorHAnsi"/>
          <w:sz w:val="20"/>
          <w:szCs w:val="20"/>
          <w:lang w:val="es-419"/>
        </w:rPr>
        <w:t>, quien los rechazó el 21 de octubre de 2016. Ante ello, Góes interpuso el recurso de apelación especial</w:t>
      </w:r>
      <w:r w:rsidR="00CD0593" w:rsidRPr="002B3074">
        <w:rPr>
          <w:rFonts w:asciiTheme="majorHAnsi" w:hAnsiTheme="majorHAnsi"/>
          <w:sz w:val="20"/>
          <w:szCs w:val="20"/>
          <w:lang w:val="es-419"/>
        </w:rPr>
        <w:t xml:space="preserve"> [</w:t>
      </w:r>
      <w:r w:rsidR="00CD0593" w:rsidRPr="002B3074">
        <w:rPr>
          <w:rFonts w:asciiTheme="majorHAnsi" w:hAnsiTheme="majorHAnsi"/>
          <w:i/>
          <w:iCs/>
          <w:sz w:val="20"/>
          <w:szCs w:val="20"/>
          <w:lang w:val="es-419"/>
        </w:rPr>
        <w:t>Agravo em Recurso Especial</w:t>
      </w:r>
      <w:r w:rsidR="00CD0593" w:rsidRPr="002B3074">
        <w:rPr>
          <w:rFonts w:asciiTheme="majorHAnsi" w:hAnsiTheme="majorHAnsi"/>
          <w:sz w:val="20"/>
          <w:szCs w:val="20"/>
          <w:lang w:val="es-419"/>
        </w:rPr>
        <w:t>]</w:t>
      </w:r>
      <w:r w:rsidRPr="002B3074">
        <w:rPr>
          <w:rFonts w:asciiTheme="majorHAnsi" w:hAnsiTheme="majorHAnsi"/>
          <w:sz w:val="20"/>
          <w:szCs w:val="20"/>
          <w:lang w:val="es-419"/>
        </w:rPr>
        <w:t xml:space="preserve"> ante el </w:t>
      </w:r>
      <w:r w:rsidR="00283168" w:rsidRPr="002B3074">
        <w:rPr>
          <w:rFonts w:asciiTheme="majorHAnsi" w:hAnsiTheme="majorHAnsi"/>
          <w:sz w:val="20"/>
          <w:szCs w:val="20"/>
          <w:lang w:val="es-419"/>
        </w:rPr>
        <w:t>Supremo Tribunal de Justicia</w:t>
      </w:r>
      <w:r w:rsidRPr="002B3074">
        <w:rPr>
          <w:rFonts w:asciiTheme="majorHAnsi" w:hAnsiTheme="majorHAnsi"/>
          <w:sz w:val="20"/>
          <w:szCs w:val="20"/>
          <w:lang w:val="es-419"/>
        </w:rPr>
        <w:t xml:space="preserve">, y el recurso </w:t>
      </w:r>
      <w:r w:rsidR="00CD0593" w:rsidRPr="002B3074">
        <w:rPr>
          <w:rFonts w:asciiTheme="majorHAnsi" w:hAnsiTheme="majorHAnsi"/>
          <w:sz w:val="20"/>
          <w:szCs w:val="20"/>
          <w:lang w:val="es-419"/>
        </w:rPr>
        <w:t xml:space="preserve">de apelación </w:t>
      </w:r>
      <w:r w:rsidRPr="002B3074">
        <w:rPr>
          <w:rFonts w:asciiTheme="majorHAnsi" w:hAnsiTheme="majorHAnsi"/>
          <w:sz w:val="20"/>
          <w:szCs w:val="20"/>
          <w:lang w:val="es-419"/>
        </w:rPr>
        <w:t>extraordinari</w:t>
      </w:r>
      <w:r w:rsidR="00CD0593" w:rsidRPr="002B3074">
        <w:rPr>
          <w:rFonts w:asciiTheme="majorHAnsi" w:hAnsiTheme="majorHAnsi"/>
          <w:sz w:val="20"/>
          <w:szCs w:val="20"/>
          <w:lang w:val="es-419"/>
        </w:rPr>
        <w:t>a [</w:t>
      </w:r>
      <w:r w:rsidR="00CD0593" w:rsidRPr="002B3074">
        <w:rPr>
          <w:rFonts w:asciiTheme="majorHAnsi" w:hAnsiTheme="majorHAnsi"/>
          <w:i/>
          <w:iCs/>
          <w:sz w:val="20"/>
          <w:szCs w:val="20"/>
          <w:lang w:val="es-419"/>
        </w:rPr>
        <w:t>Agravo em Recurso Extraordinário</w:t>
      </w:r>
      <w:r w:rsidR="00CD0593" w:rsidRPr="002B3074">
        <w:rPr>
          <w:rFonts w:asciiTheme="majorHAnsi" w:hAnsiTheme="majorHAnsi"/>
          <w:sz w:val="20"/>
          <w:szCs w:val="20"/>
          <w:lang w:val="es-419"/>
        </w:rPr>
        <w:t>]</w:t>
      </w:r>
      <w:r w:rsidRPr="002B3074">
        <w:rPr>
          <w:rFonts w:asciiTheme="majorHAnsi" w:hAnsiTheme="majorHAnsi"/>
          <w:sz w:val="20"/>
          <w:szCs w:val="20"/>
          <w:lang w:val="es-419"/>
        </w:rPr>
        <w:t xml:space="preserve"> ante el STF.</w:t>
      </w:r>
    </w:p>
    <w:p w14:paraId="40BEFC81" w14:textId="64C46268" w:rsidR="00BA1502" w:rsidRPr="002B3074" w:rsidRDefault="00FB011E"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w:t>
      </w:r>
      <w:r w:rsidR="00996122" w:rsidRPr="002B3074">
        <w:rPr>
          <w:rFonts w:asciiTheme="majorHAnsi" w:hAnsiTheme="majorHAnsi"/>
          <w:sz w:val="20"/>
          <w:szCs w:val="20"/>
          <w:lang w:val="es-419"/>
        </w:rPr>
        <w:t xml:space="preserve">recurso de apelación extraordinaria </w:t>
      </w:r>
      <w:r w:rsidRPr="002B3074">
        <w:rPr>
          <w:rFonts w:asciiTheme="majorHAnsi" w:hAnsiTheme="majorHAnsi"/>
          <w:sz w:val="20"/>
          <w:szCs w:val="20"/>
          <w:lang w:val="es-419"/>
        </w:rPr>
        <w:t>fue rechazado por el STF. Góes luego presentó una apelación de regimiento. El 23 de febrero de 2018, este último recurso fue juzgado y rechazado. El STF consideró, en síntesis, que Góes ya había sido condenado penalmente</w:t>
      </w:r>
      <w:r w:rsidR="00B4365A" w:rsidRPr="002B3074">
        <w:rPr>
          <w:rFonts w:asciiTheme="majorHAnsi" w:hAnsiTheme="majorHAnsi"/>
          <w:sz w:val="20"/>
          <w:szCs w:val="20"/>
          <w:lang w:val="es-419"/>
        </w:rPr>
        <w:t>, y que</w:t>
      </w:r>
      <w:r w:rsidRPr="002B3074">
        <w:rPr>
          <w:rFonts w:asciiTheme="majorHAnsi" w:hAnsiTheme="majorHAnsi"/>
          <w:sz w:val="20"/>
          <w:szCs w:val="20"/>
          <w:lang w:val="es-419"/>
        </w:rPr>
        <w:t xml:space="preserve"> analizar el recurso significaría reexaminar la prueba, lo que es</w:t>
      </w:r>
      <w:r w:rsidR="00B4365A" w:rsidRPr="002B3074">
        <w:rPr>
          <w:rFonts w:asciiTheme="majorHAnsi" w:hAnsiTheme="majorHAnsi"/>
          <w:sz w:val="20"/>
          <w:szCs w:val="20"/>
          <w:lang w:val="es-419"/>
        </w:rPr>
        <w:t xml:space="preserve"> </w:t>
      </w:r>
      <w:r w:rsidRPr="002B3074">
        <w:rPr>
          <w:rFonts w:asciiTheme="majorHAnsi" w:hAnsiTheme="majorHAnsi"/>
          <w:sz w:val="20"/>
          <w:szCs w:val="20"/>
          <w:lang w:val="es-419"/>
        </w:rPr>
        <w:t>prohibido en instancias superiores como el STF. Esta decisión del STF se convirtió en definitiva el 11 de abril de 2018.</w:t>
      </w:r>
    </w:p>
    <w:p w14:paraId="312008B1" w14:textId="45FEDA7A" w:rsidR="00B4365A" w:rsidRPr="002B3074" w:rsidRDefault="00B4365A"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El Estado también se refiere a la Reclamación interpuesta por el Sr. Góes ante el STF el 5 de marzo de 2015 (Reclamación No. 19775). Según la información proporcionada por el Estado, esta Reclamación se basó en la supuesta contradicción entre la condena de Góes y lo decidido sobre libertad de expresión, por el STF, en la sentencia de la ADPF 130. Luego de que la Reclamación fuera rechazada por el STF, la presunta víctima interpuso un recurso de aclaración, el cual también fue rechazado; y un Recurso Colegiado</w:t>
      </w:r>
      <w:r w:rsidR="0009546C" w:rsidRPr="002B3074">
        <w:rPr>
          <w:rFonts w:asciiTheme="majorHAnsi" w:hAnsiTheme="majorHAnsi"/>
          <w:sz w:val="20"/>
          <w:szCs w:val="20"/>
          <w:lang w:val="es-419"/>
        </w:rPr>
        <w:t xml:space="preserve"> Reglamentario</w:t>
      </w:r>
      <w:r w:rsidRPr="002B3074">
        <w:rPr>
          <w:rFonts w:asciiTheme="majorHAnsi" w:hAnsiTheme="majorHAnsi"/>
          <w:sz w:val="20"/>
          <w:szCs w:val="20"/>
          <w:lang w:val="es-419"/>
        </w:rPr>
        <w:t xml:space="preserve"> [</w:t>
      </w:r>
      <w:r w:rsidRPr="002B3074">
        <w:rPr>
          <w:rFonts w:asciiTheme="majorHAnsi" w:hAnsiTheme="majorHAnsi"/>
          <w:i/>
          <w:iCs/>
          <w:sz w:val="20"/>
          <w:szCs w:val="20"/>
          <w:lang w:val="es-419"/>
        </w:rPr>
        <w:t>Agravo Regimental</w:t>
      </w:r>
      <w:r w:rsidRPr="002B3074">
        <w:rPr>
          <w:rFonts w:asciiTheme="majorHAnsi" w:hAnsiTheme="majorHAnsi"/>
          <w:sz w:val="20"/>
          <w:szCs w:val="20"/>
          <w:lang w:val="es-419"/>
        </w:rPr>
        <w:t xml:space="preserve">] que también fue rechazado por los siguientes fundamentos: i) la decisión del STF en la ADPF 130 habría sido sobre la libertad de prensa como refuerzo de la libertad de expresión de pensamiento, información y expresión en forma genérica, lo que difiere de la situación de Góes, cuya condena civil se produjo en el curso de una “acción civil </w:t>
      </w:r>
      <w:r w:rsidRPr="002B3074">
        <w:rPr>
          <w:rFonts w:asciiTheme="majorHAnsi" w:hAnsiTheme="majorHAnsi"/>
          <w:i/>
          <w:iCs/>
          <w:sz w:val="20"/>
          <w:szCs w:val="20"/>
          <w:lang w:val="es-419"/>
        </w:rPr>
        <w:t>ex deli</w:t>
      </w:r>
      <w:r w:rsidR="00562B9D" w:rsidRPr="002B3074">
        <w:rPr>
          <w:rFonts w:asciiTheme="majorHAnsi" w:hAnsiTheme="majorHAnsi"/>
          <w:i/>
          <w:iCs/>
          <w:sz w:val="20"/>
          <w:szCs w:val="20"/>
          <w:lang w:val="es-419"/>
        </w:rPr>
        <w:t>c</w:t>
      </w:r>
      <w:r w:rsidRPr="002B3074">
        <w:rPr>
          <w:rFonts w:asciiTheme="majorHAnsi" w:hAnsiTheme="majorHAnsi"/>
          <w:i/>
          <w:iCs/>
          <w:sz w:val="20"/>
          <w:szCs w:val="20"/>
          <w:lang w:val="es-419"/>
        </w:rPr>
        <w:t>to</w:t>
      </w:r>
      <w:r w:rsidRPr="002B3074">
        <w:rPr>
          <w:rFonts w:asciiTheme="majorHAnsi" w:hAnsiTheme="majorHAnsi"/>
          <w:sz w:val="20"/>
          <w:szCs w:val="20"/>
          <w:lang w:val="es-419"/>
        </w:rPr>
        <w:t xml:space="preserve"> resultante de una condena penal ya firme e inapelable” que se limitaba “a fijar la cuantía de la indemnización por la ocurrencia del hecho delincuente”; ii) la Reclamación no se califica como recurso o instrumento capaz de posibilitar el reexamen del contenido del acto reclamado (en el caso, el acto reclamado era, como ya mencionado, la condena del Sr. Góes).</w:t>
      </w:r>
      <w:r w:rsidR="00562B9D" w:rsidRPr="002B3074">
        <w:rPr>
          <w:rFonts w:asciiTheme="majorHAnsi" w:hAnsiTheme="majorHAnsi"/>
          <w:sz w:val="20"/>
          <w:szCs w:val="20"/>
          <w:lang w:val="es-419"/>
        </w:rPr>
        <w:t xml:space="preserve"> La Comisión Interamericana toma nota de que el Estado adjuntó la sentencia que condenó Góes civilmente y ella concretamente se refiere a la demanda como una “acción civil ex delicto</w:t>
      </w:r>
      <w:r w:rsidR="00CC55E0" w:rsidRPr="002B3074">
        <w:rPr>
          <w:rFonts w:asciiTheme="majorHAnsi" w:hAnsiTheme="majorHAnsi"/>
          <w:sz w:val="20"/>
          <w:szCs w:val="20"/>
          <w:lang w:val="es-419"/>
        </w:rPr>
        <w:t xml:space="preserve"> (…) respaldada por una sentencia penal definitiva e inapelable”</w:t>
      </w:r>
      <w:r w:rsidR="00562B9D" w:rsidRPr="002B3074">
        <w:rPr>
          <w:rFonts w:asciiTheme="majorHAnsi" w:hAnsiTheme="majorHAnsi"/>
          <w:sz w:val="20"/>
          <w:szCs w:val="20"/>
          <w:lang w:val="es-419"/>
        </w:rPr>
        <w:t>.</w:t>
      </w:r>
    </w:p>
    <w:p w14:paraId="6B466593" w14:textId="06388BF3" w:rsidR="00B83158" w:rsidRPr="002B3074" w:rsidRDefault="00206D43" w:rsidP="002B3074">
      <w:pPr>
        <w:pStyle w:val="ListParagraph"/>
        <w:spacing w:before="240" w:after="240"/>
        <w:ind w:left="758"/>
        <w:jc w:val="both"/>
        <w:rPr>
          <w:rFonts w:asciiTheme="majorHAnsi" w:hAnsiTheme="majorHAnsi"/>
          <w:sz w:val="20"/>
          <w:szCs w:val="20"/>
          <w:lang w:val="es-419"/>
        </w:rPr>
      </w:pPr>
      <w:r w:rsidRPr="002B3074">
        <w:rPr>
          <w:rFonts w:asciiTheme="majorHAnsi" w:hAnsiTheme="majorHAnsi"/>
          <w:b/>
          <w:sz w:val="20"/>
          <w:szCs w:val="20"/>
          <w:lang w:val="es-419"/>
        </w:rPr>
        <w:t xml:space="preserve">VI. </w:t>
      </w:r>
      <w:r w:rsidRPr="002B3074">
        <w:rPr>
          <w:rFonts w:asciiTheme="majorHAnsi" w:hAnsiTheme="majorHAnsi"/>
          <w:b/>
          <w:sz w:val="20"/>
          <w:szCs w:val="20"/>
          <w:lang w:val="es-419"/>
        </w:rPr>
        <w:tab/>
      </w:r>
      <w:r w:rsidR="00B83158" w:rsidRPr="002B3074">
        <w:rPr>
          <w:rFonts w:asciiTheme="majorHAnsi" w:hAnsiTheme="majorHAnsi"/>
          <w:b/>
          <w:bCs/>
          <w:sz w:val="20"/>
          <w:szCs w:val="20"/>
          <w:lang w:val="es-419"/>
        </w:rPr>
        <w:t xml:space="preserve">ANÁLISIS DE </w:t>
      </w:r>
      <w:r w:rsidR="00B83158" w:rsidRPr="002B3074">
        <w:rPr>
          <w:rFonts w:asciiTheme="majorHAnsi" w:hAnsiTheme="majorHAnsi"/>
          <w:b/>
          <w:sz w:val="20"/>
          <w:szCs w:val="20"/>
          <w:lang w:val="es-419"/>
        </w:rPr>
        <w:t>AGOTAMIENTO DE LOS RECURSOS INTERNOS Y PLAZO DE PRESENTACIÓN</w:t>
      </w:r>
      <w:r w:rsidR="00B83158" w:rsidRPr="002B3074">
        <w:rPr>
          <w:rFonts w:asciiTheme="majorHAnsi" w:hAnsiTheme="majorHAnsi"/>
          <w:b/>
          <w:bCs/>
          <w:sz w:val="20"/>
          <w:szCs w:val="20"/>
          <w:lang w:val="es-419"/>
        </w:rPr>
        <w:t xml:space="preserve"> </w:t>
      </w:r>
    </w:p>
    <w:p w14:paraId="1C9CA05E" w14:textId="1EAB5381" w:rsidR="007C13A0"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La parte peticionaria alega que los recursos internos se agotaron con la decisión del </w:t>
      </w:r>
      <w:r w:rsidR="0009546C" w:rsidRPr="002B3074">
        <w:rPr>
          <w:rFonts w:asciiTheme="majorHAnsi" w:hAnsiTheme="majorHAnsi"/>
          <w:sz w:val="20"/>
          <w:szCs w:val="20"/>
          <w:lang w:val="es-419"/>
        </w:rPr>
        <w:t>ministro</w:t>
      </w:r>
      <w:r w:rsidR="0009546C" w:rsidRPr="002B3074">
        <w:rPr>
          <w:rStyle w:val="FootnoteReference"/>
          <w:rFonts w:asciiTheme="majorHAnsi" w:hAnsiTheme="majorHAnsi"/>
          <w:sz w:val="20"/>
          <w:szCs w:val="20"/>
          <w:lang w:val="es-419"/>
        </w:rPr>
        <w:footnoteReference w:id="4"/>
      </w:r>
      <w:r w:rsidRPr="002B3074">
        <w:rPr>
          <w:rFonts w:asciiTheme="majorHAnsi" w:hAnsiTheme="majorHAnsi"/>
          <w:sz w:val="20"/>
          <w:szCs w:val="20"/>
          <w:lang w:val="es-419"/>
        </w:rPr>
        <w:t xml:space="preserve"> Luiz Fux quien rechazó el Recurso Colegiado</w:t>
      </w:r>
      <w:r w:rsidR="0009546C" w:rsidRPr="002B3074">
        <w:rPr>
          <w:rFonts w:asciiTheme="majorHAnsi" w:hAnsiTheme="majorHAnsi"/>
          <w:sz w:val="20"/>
          <w:szCs w:val="20"/>
          <w:lang w:val="es-419"/>
        </w:rPr>
        <w:t xml:space="preserve"> Reglamentario</w:t>
      </w:r>
      <w:r w:rsidRPr="002B3074">
        <w:rPr>
          <w:rFonts w:asciiTheme="majorHAnsi" w:hAnsiTheme="majorHAnsi"/>
          <w:sz w:val="20"/>
          <w:szCs w:val="20"/>
          <w:lang w:val="es-419"/>
        </w:rPr>
        <w:t xml:space="preserve"> [</w:t>
      </w:r>
      <w:r w:rsidRPr="002B3074">
        <w:rPr>
          <w:rFonts w:asciiTheme="majorHAnsi" w:hAnsiTheme="majorHAnsi"/>
          <w:i/>
          <w:iCs/>
          <w:sz w:val="20"/>
          <w:szCs w:val="20"/>
          <w:lang w:val="es-419"/>
        </w:rPr>
        <w:t>Agravo Regimental</w:t>
      </w:r>
      <w:r w:rsidRPr="002B3074">
        <w:rPr>
          <w:rFonts w:asciiTheme="majorHAnsi" w:hAnsiTheme="majorHAnsi"/>
          <w:sz w:val="20"/>
          <w:szCs w:val="20"/>
          <w:lang w:val="es-419"/>
        </w:rPr>
        <w:t>] en agosto de 2014.</w:t>
      </w:r>
    </w:p>
    <w:p w14:paraId="3FC0E55B" w14:textId="1F7EEFA8" w:rsidR="007C13A0"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El Estado alega que </w:t>
      </w:r>
      <w:r w:rsidR="0009546C" w:rsidRPr="002B3074">
        <w:rPr>
          <w:rFonts w:asciiTheme="majorHAnsi" w:hAnsiTheme="majorHAnsi"/>
          <w:sz w:val="20"/>
          <w:szCs w:val="20"/>
          <w:lang w:val="es-419"/>
        </w:rPr>
        <w:t>la parte peticionaria</w:t>
      </w:r>
      <w:r w:rsidRPr="002B3074">
        <w:rPr>
          <w:rFonts w:asciiTheme="majorHAnsi" w:hAnsiTheme="majorHAnsi"/>
          <w:sz w:val="20"/>
          <w:szCs w:val="20"/>
          <w:lang w:val="es-419"/>
        </w:rPr>
        <w:t xml:space="preserve"> no agotó debidamente los recursos internos relacionados con el proceso penal, ya que interpuso un recurso extraordinario que fue denegado por no cumplir con los requisitos </w:t>
      </w:r>
      <w:r w:rsidR="0009546C" w:rsidRPr="002B3074">
        <w:rPr>
          <w:rFonts w:asciiTheme="majorHAnsi" w:hAnsiTheme="majorHAnsi"/>
          <w:sz w:val="20"/>
          <w:szCs w:val="20"/>
          <w:lang w:val="es-419"/>
        </w:rPr>
        <w:t>procesales</w:t>
      </w:r>
      <w:r w:rsidRPr="002B3074">
        <w:rPr>
          <w:rFonts w:asciiTheme="majorHAnsi" w:hAnsiTheme="majorHAnsi"/>
          <w:sz w:val="20"/>
          <w:szCs w:val="20"/>
          <w:lang w:val="es-419"/>
        </w:rPr>
        <w:t xml:space="preserve">. El Estado sostiene que </w:t>
      </w:r>
      <w:r w:rsidR="0009546C" w:rsidRPr="002B3074">
        <w:rPr>
          <w:rFonts w:asciiTheme="majorHAnsi" w:hAnsiTheme="majorHAnsi"/>
          <w:sz w:val="20"/>
          <w:szCs w:val="20"/>
          <w:lang w:val="es-419"/>
        </w:rPr>
        <w:t xml:space="preserve">la petición es inadmisible en virtud de </w:t>
      </w:r>
      <w:r w:rsidRPr="002B3074">
        <w:rPr>
          <w:rFonts w:asciiTheme="majorHAnsi" w:hAnsiTheme="majorHAnsi"/>
          <w:sz w:val="20"/>
          <w:szCs w:val="20"/>
          <w:lang w:val="es-419"/>
        </w:rPr>
        <w:t>este agotamiento indebido, como ya lo ha resuelto la CIDH en el Informe de Inadmisibilidad No. 106/13.</w:t>
      </w:r>
    </w:p>
    <w:p w14:paraId="662B982B" w14:textId="716F3367" w:rsidR="007C13A0"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El Estado también alega que</w:t>
      </w:r>
      <w:r w:rsidR="0009546C" w:rsidRPr="002B3074">
        <w:rPr>
          <w:rFonts w:asciiTheme="majorHAnsi" w:hAnsiTheme="majorHAnsi"/>
          <w:sz w:val="20"/>
          <w:szCs w:val="20"/>
          <w:lang w:val="es-419"/>
        </w:rPr>
        <w:t xml:space="preserve"> la parte peticionaria no ha agotado todos los recursos disponibles</w:t>
      </w:r>
      <w:r w:rsidR="003640DD" w:rsidRPr="002B3074">
        <w:rPr>
          <w:rFonts w:asciiTheme="majorHAnsi" w:hAnsiTheme="majorHAnsi"/>
          <w:sz w:val="20"/>
          <w:szCs w:val="20"/>
          <w:lang w:val="es-419"/>
        </w:rPr>
        <w:t>,</w:t>
      </w:r>
      <w:r w:rsidR="00836EA6" w:rsidRPr="002B3074">
        <w:rPr>
          <w:rFonts w:asciiTheme="majorHAnsi" w:hAnsiTheme="majorHAnsi"/>
          <w:sz w:val="20"/>
          <w:szCs w:val="20"/>
          <w:lang w:val="es-419"/>
        </w:rPr>
        <w:t xml:space="preserve"> </w:t>
      </w:r>
      <w:r w:rsidR="003640DD" w:rsidRPr="002B3074">
        <w:rPr>
          <w:rFonts w:asciiTheme="majorHAnsi" w:hAnsiTheme="majorHAnsi"/>
          <w:sz w:val="20"/>
          <w:szCs w:val="20"/>
          <w:lang w:val="es-419"/>
        </w:rPr>
        <w:t>pues</w:t>
      </w:r>
      <w:r w:rsidRPr="002B3074">
        <w:rPr>
          <w:rFonts w:asciiTheme="majorHAnsi" w:hAnsiTheme="majorHAnsi"/>
          <w:sz w:val="20"/>
          <w:szCs w:val="20"/>
          <w:lang w:val="es-419"/>
        </w:rPr>
        <w:t xml:space="preserve"> hasta 2016, la jurisprudencia del </w:t>
      </w:r>
      <w:r w:rsidR="001C0B64" w:rsidRPr="002B3074">
        <w:rPr>
          <w:rFonts w:asciiTheme="majorHAnsi" w:hAnsiTheme="majorHAnsi"/>
          <w:sz w:val="20"/>
          <w:szCs w:val="20"/>
          <w:lang w:val="es-419"/>
        </w:rPr>
        <w:t>Supremo Tribunal de Justicia</w:t>
      </w:r>
      <w:r w:rsidRPr="002B3074">
        <w:rPr>
          <w:rFonts w:asciiTheme="majorHAnsi" w:hAnsiTheme="majorHAnsi"/>
          <w:sz w:val="20"/>
          <w:szCs w:val="20"/>
          <w:lang w:val="es-419"/>
        </w:rPr>
        <w:t xml:space="preserve"> admitía la posibilidad de una </w:t>
      </w:r>
      <w:r w:rsidR="0009546C" w:rsidRPr="002B3074">
        <w:rPr>
          <w:rFonts w:asciiTheme="majorHAnsi" w:hAnsiTheme="majorHAnsi"/>
          <w:sz w:val="20"/>
          <w:szCs w:val="20"/>
          <w:lang w:val="es-419"/>
        </w:rPr>
        <w:t>Reclamación,</w:t>
      </w:r>
      <w:r w:rsidRPr="002B3074">
        <w:rPr>
          <w:rFonts w:asciiTheme="majorHAnsi" w:hAnsiTheme="majorHAnsi"/>
          <w:sz w:val="20"/>
          <w:szCs w:val="20"/>
          <w:lang w:val="es-419"/>
        </w:rPr>
        <w:t xml:space="preserve"> como recurso interno</w:t>
      </w:r>
      <w:r w:rsidR="0009546C" w:rsidRPr="002B3074">
        <w:rPr>
          <w:rFonts w:asciiTheme="majorHAnsi" w:hAnsiTheme="majorHAnsi"/>
          <w:sz w:val="20"/>
          <w:szCs w:val="20"/>
          <w:lang w:val="es-419"/>
        </w:rPr>
        <w:t>,</w:t>
      </w:r>
      <w:r w:rsidRPr="002B3074">
        <w:rPr>
          <w:rFonts w:asciiTheme="majorHAnsi" w:hAnsiTheme="majorHAnsi"/>
          <w:sz w:val="20"/>
          <w:szCs w:val="20"/>
          <w:lang w:val="es-419"/>
        </w:rPr>
        <w:t xml:space="preserve"> contra la decisión que confirmó la condena de Góes</w:t>
      </w:r>
      <w:r w:rsidR="0009546C" w:rsidRPr="002B3074">
        <w:rPr>
          <w:rFonts w:asciiTheme="majorHAnsi" w:hAnsiTheme="majorHAnsi"/>
          <w:sz w:val="20"/>
          <w:szCs w:val="20"/>
          <w:lang w:val="es-419"/>
        </w:rPr>
        <w:t>.</w:t>
      </w:r>
      <w:r w:rsidRPr="002B3074">
        <w:rPr>
          <w:rFonts w:asciiTheme="majorHAnsi" w:hAnsiTheme="majorHAnsi"/>
          <w:sz w:val="20"/>
          <w:szCs w:val="20"/>
          <w:lang w:val="es-419"/>
        </w:rPr>
        <w:t xml:space="preserve"> </w:t>
      </w:r>
      <w:r w:rsidR="0009546C" w:rsidRPr="002B3074">
        <w:rPr>
          <w:rFonts w:asciiTheme="majorHAnsi" w:hAnsiTheme="majorHAnsi"/>
          <w:sz w:val="20"/>
          <w:szCs w:val="20"/>
          <w:lang w:val="es-419"/>
        </w:rPr>
        <w:t>La parte peticionaria</w:t>
      </w:r>
      <w:r w:rsidRPr="002B3074">
        <w:rPr>
          <w:rFonts w:asciiTheme="majorHAnsi" w:hAnsiTheme="majorHAnsi"/>
          <w:sz w:val="20"/>
          <w:szCs w:val="20"/>
          <w:lang w:val="es-419"/>
        </w:rPr>
        <w:t>, sin embargo, no</w:t>
      </w:r>
      <w:r w:rsidR="0009546C" w:rsidRPr="002B3074">
        <w:rPr>
          <w:rFonts w:asciiTheme="majorHAnsi" w:hAnsiTheme="majorHAnsi"/>
          <w:sz w:val="20"/>
          <w:szCs w:val="20"/>
          <w:lang w:val="es-419"/>
        </w:rPr>
        <w:t xml:space="preserve"> la interpuso.</w:t>
      </w:r>
    </w:p>
    <w:p w14:paraId="317987BB" w14:textId="1C959320" w:rsidR="007C13A0"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Adicionalmente, el Estado alega que, al momento de la presentación de la denuncia ante la CIDH, existían recursos internos pendientes de agotamiento en el ámbito del proceso civil, ya que: i) </w:t>
      </w:r>
      <w:r w:rsidR="0032599F" w:rsidRPr="002B3074">
        <w:rPr>
          <w:rFonts w:asciiTheme="majorHAnsi" w:hAnsiTheme="majorHAnsi"/>
          <w:sz w:val="20"/>
          <w:szCs w:val="20"/>
          <w:lang w:val="es-419"/>
        </w:rPr>
        <w:t>el</w:t>
      </w:r>
      <w:r w:rsidRPr="002B3074">
        <w:rPr>
          <w:rFonts w:asciiTheme="majorHAnsi" w:hAnsiTheme="majorHAnsi"/>
          <w:sz w:val="20"/>
          <w:szCs w:val="20"/>
          <w:lang w:val="es-419"/>
        </w:rPr>
        <w:t xml:space="preserve"> </w:t>
      </w:r>
      <w:r w:rsidR="00263EC8" w:rsidRPr="002B3074">
        <w:rPr>
          <w:rFonts w:asciiTheme="majorHAnsi" w:hAnsiTheme="majorHAnsi"/>
          <w:sz w:val="20"/>
          <w:szCs w:val="20"/>
          <w:lang w:val="es-419"/>
        </w:rPr>
        <w:t xml:space="preserve">recurso de apelación especial </w:t>
      </w:r>
      <w:r w:rsidRPr="002B3074">
        <w:rPr>
          <w:rFonts w:asciiTheme="majorHAnsi" w:hAnsiTheme="majorHAnsi"/>
          <w:sz w:val="20"/>
          <w:szCs w:val="20"/>
          <w:lang w:val="es-419"/>
        </w:rPr>
        <w:t>interpuesta por la presunta víctima fue juzgada recién el 23 de febrero de 2018, final e inapelable el 11 de abril de 2018;</w:t>
      </w:r>
      <w:r w:rsidR="00BC51DB" w:rsidRPr="002B3074">
        <w:rPr>
          <w:rFonts w:asciiTheme="majorHAnsi" w:hAnsiTheme="majorHAnsi"/>
          <w:sz w:val="20"/>
          <w:szCs w:val="20"/>
          <w:lang w:val="es-419"/>
        </w:rPr>
        <w:t xml:space="preserve"> y</w:t>
      </w:r>
      <w:r w:rsidRPr="002B3074">
        <w:rPr>
          <w:rFonts w:asciiTheme="majorHAnsi" w:hAnsiTheme="majorHAnsi"/>
          <w:sz w:val="20"/>
          <w:szCs w:val="20"/>
          <w:lang w:val="es-419"/>
        </w:rPr>
        <w:t xml:space="preserve"> ii) </w:t>
      </w:r>
      <w:r w:rsidR="0009546C" w:rsidRPr="002B3074">
        <w:rPr>
          <w:rFonts w:asciiTheme="majorHAnsi" w:hAnsiTheme="majorHAnsi"/>
          <w:sz w:val="20"/>
          <w:szCs w:val="20"/>
          <w:lang w:val="es-419"/>
        </w:rPr>
        <w:t xml:space="preserve">la Reclamación </w:t>
      </w:r>
      <w:r w:rsidRPr="002B3074">
        <w:rPr>
          <w:rFonts w:asciiTheme="majorHAnsi" w:hAnsiTheme="majorHAnsi"/>
          <w:sz w:val="20"/>
          <w:szCs w:val="20"/>
          <w:lang w:val="es-419"/>
        </w:rPr>
        <w:t xml:space="preserve">No. 19775 </w:t>
      </w:r>
      <w:r w:rsidR="0009546C" w:rsidRPr="002B3074">
        <w:rPr>
          <w:rFonts w:asciiTheme="majorHAnsi" w:hAnsiTheme="majorHAnsi"/>
          <w:sz w:val="20"/>
          <w:szCs w:val="20"/>
          <w:lang w:val="es-419"/>
        </w:rPr>
        <w:t xml:space="preserve">ante el STF </w:t>
      </w:r>
      <w:r w:rsidRPr="002B3074">
        <w:rPr>
          <w:rFonts w:asciiTheme="majorHAnsi" w:hAnsiTheme="majorHAnsi"/>
          <w:sz w:val="20"/>
          <w:szCs w:val="20"/>
          <w:lang w:val="es-419"/>
        </w:rPr>
        <w:t>todavía estaba en curso.</w:t>
      </w:r>
    </w:p>
    <w:p w14:paraId="1E58F02B" w14:textId="4947FE59" w:rsidR="007C13A0"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El Estado también alega que si la Comisión decide que se han agotado los recursos internos con la decisión sobre el</w:t>
      </w:r>
      <w:r w:rsidR="0009546C" w:rsidRPr="002B3074">
        <w:rPr>
          <w:rFonts w:asciiTheme="majorHAnsi" w:hAnsiTheme="majorHAnsi"/>
          <w:sz w:val="20"/>
          <w:szCs w:val="20"/>
          <w:lang w:val="es-419"/>
        </w:rPr>
        <w:t xml:space="preserve"> Recurso Colegiado Reglamentario</w:t>
      </w:r>
      <w:r w:rsidRPr="002B3074">
        <w:rPr>
          <w:rFonts w:asciiTheme="majorHAnsi" w:hAnsiTheme="majorHAnsi"/>
          <w:sz w:val="20"/>
          <w:szCs w:val="20"/>
          <w:lang w:val="es-419"/>
        </w:rPr>
        <w:t xml:space="preserve"> en el proceso penal, la petición aún debe ser rechazada por no cumplir con el plazo de seis meses, toda vez que dicha decisión </w:t>
      </w:r>
      <w:r w:rsidR="0009546C" w:rsidRPr="002B3074">
        <w:rPr>
          <w:rFonts w:asciiTheme="majorHAnsi" w:hAnsiTheme="majorHAnsi"/>
          <w:sz w:val="20"/>
          <w:szCs w:val="20"/>
          <w:lang w:val="es-419"/>
        </w:rPr>
        <w:t>quedó firme</w:t>
      </w:r>
      <w:r w:rsidRPr="002B3074">
        <w:rPr>
          <w:rFonts w:asciiTheme="majorHAnsi" w:hAnsiTheme="majorHAnsi"/>
          <w:sz w:val="20"/>
          <w:szCs w:val="20"/>
          <w:lang w:val="es-419"/>
        </w:rPr>
        <w:t xml:space="preserve"> el 8 de septiembre de 2014</w:t>
      </w:r>
      <w:r w:rsidR="0009546C" w:rsidRPr="002B3074">
        <w:rPr>
          <w:rFonts w:asciiTheme="majorHAnsi" w:hAnsiTheme="majorHAnsi"/>
          <w:sz w:val="20"/>
          <w:szCs w:val="20"/>
          <w:lang w:val="es-419"/>
        </w:rPr>
        <w:t>,</w:t>
      </w:r>
      <w:r w:rsidRPr="002B3074">
        <w:rPr>
          <w:rFonts w:asciiTheme="majorHAnsi" w:hAnsiTheme="majorHAnsi"/>
          <w:sz w:val="20"/>
          <w:szCs w:val="20"/>
          <w:lang w:val="es-419"/>
        </w:rPr>
        <w:t xml:space="preserve"> y la denuncia</w:t>
      </w:r>
      <w:r w:rsidR="0009546C" w:rsidRPr="002B3074">
        <w:rPr>
          <w:rFonts w:asciiTheme="majorHAnsi" w:hAnsiTheme="majorHAnsi"/>
          <w:sz w:val="20"/>
          <w:szCs w:val="20"/>
          <w:lang w:val="es-419"/>
        </w:rPr>
        <w:t xml:space="preserve"> ante la CIDH</w:t>
      </w:r>
      <w:r w:rsidRPr="002B3074">
        <w:rPr>
          <w:rFonts w:asciiTheme="majorHAnsi" w:hAnsiTheme="majorHAnsi"/>
          <w:sz w:val="20"/>
          <w:szCs w:val="20"/>
          <w:lang w:val="es-419"/>
        </w:rPr>
        <w:t xml:space="preserve"> fue presentada el 9 de abril de 2015. Finalmente, el Estado considera que </w:t>
      </w:r>
      <w:r w:rsidRPr="002B3074">
        <w:rPr>
          <w:rFonts w:asciiTheme="majorHAnsi" w:hAnsiTheme="majorHAnsi"/>
          <w:sz w:val="20"/>
          <w:szCs w:val="20"/>
          <w:lang w:val="es-419"/>
        </w:rPr>
        <w:lastRenderedPageBreak/>
        <w:t>la petición no debe ser examinada por la Comisión para que el sistema interamericano no se convierta en una especie de cuarta instancia en cuanto a los recursos internos.</w:t>
      </w:r>
    </w:p>
    <w:p w14:paraId="548147AA" w14:textId="5F28769E" w:rsidR="00F8035D"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El requisito del previo agotamiento de los recursos internos tiene por objeto permitir a las autoridades nacionales tomar conocimiento de la presunta violación de uno o más derechos protegidos y, en su caso, resolver la situación antes de que sea conocida por un órgano internacional. La presente petición se refiere fundamentalmente a posibles violaciones a los derechos de un periodista luego de que fuera juzgado y condenado en dos procesos</w:t>
      </w:r>
      <w:r w:rsidR="00F8035D" w:rsidRPr="002B3074">
        <w:rPr>
          <w:rFonts w:asciiTheme="majorHAnsi" w:hAnsiTheme="majorHAnsi"/>
          <w:sz w:val="20"/>
          <w:szCs w:val="20"/>
          <w:lang w:val="es-419"/>
        </w:rPr>
        <w:t xml:space="preserve"> de naturaleza penal y civil, respectivamente. Estos procesos fueron</w:t>
      </w:r>
      <w:r w:rsidRPr="002B3074">
        <w:rPr>
          <w:rFonts w:asciiTheme="majorHAnsi" w:hAnsiTheme="majorHAnsi"/>
          <w:sz w:val="20"/>
          <w:szCs w:val="20"/>
          <w:lang w:val="es-419"/>
        </w:rPr>
        <w:t xml:space="preserve"> i</w:t>
      </w:r>
      <w:r w:rsidR="00F8035D" w:rsidRPr="002B3074">
        <w:rPr>
          <w:rFonts w:asciiTheme="majorHAnsi" w:hAnsiTheme="majorHAnsi"/>
          <w:sz w:val="20"/>
          <w:szCs w:val="20"/>
          <w:lang w:val="es-419"/>
        </w:rPr>
        <w:t>mpulsado</w:t>
      </w:r>
      <w:r w:rsidRPr="002B3074">
        <w:rPr>
          <w:rFonts w:asciiTheme="majorHAnsi" w:hAnsiTheme="majorHAnsi"/>
          <w:sz w:val="20"/>
          <w:szCs w:val="20"/>
          <w:lang w:val="es-419"/>
        </w:rPr>
        <w:t>s por una autoridad estatal que se sintió ofendida por un texto publicado por el periodista en su blog. La petición incluye denuncias de violaciones a la libertad de expresión y al debido proceso</w:t>
      </w:r>
      <w:r w:rsidR="00F8035D" w:rsidRPr="002B3074">
        <w:rPr>
          <w:rFonts w:asciiTheme="majorHAnsi" w:hAnsiTheme="majorHAnsi"/>
          <w:sz w:val="20"/>
          <w:szCs w:val="20"/>
          <w:lang w:val="es-419"/>
        </w:rPr>
        <w:t xml:space="preserve"> derivadas de estas circunstancias</w:t>
      </w:r>
      <w:r w:rsidRPr="002B3074">
        <w:rPr>
          <w:rFonts w:asciiTheme="majorHAnsi" w:hAnsiTheme="majorHAnsi"/>
          <w:sz w:val="20"/>
          <w:szCs w:val="20"/>
          <w:lang w:val="es-419"/>
        </w:rPr>
        <w:t>.</w:t>
      </w:r>
      <w:r w:rsidR="00F8035D" w:rsidRPr="002B3074">
        <w:rPr>
          <w:rFonts w:asciiTheme="majorHAnsi" w:hAnsiTheme="majorHAnsi"/>
          <w:sz w:val="20"/>
          <w:szCs w:val="20"/>
          <w:lang w:val="es-419"/>
        </w:rPr>
        <w:t xml:space="preserve"> </w:t>
      </w:r>
      <w:r w:rsidRPr="002B3074">
        <w:rPr>
          <w:rFonts w:asciiTheme="majorHAnsi" w:hAnsiTheme="majorHAnsi"/>
          <w:sz w:val="20"/>
          <w:szCs w:val="20"/>
          <w:lang w:val="es-419"/>
        </w:rPr>
        <w:t xml:space="preserve">El Estado pudo conocer </w:t>
      </w:r>
      <w:r w:rsidR="00F8035D" w:rsidRPr="002B3074">
        <w:rPr>
          <w:rFonts w:asciiTheme="majorHAnsi" w:hAnsiTheme="majorHAnsi"/>
          <w:sz w:val="20"/>
          <w:szCs w:val="20"/>
          <w:lang w:val="es-419"/>
        </w:rPr>
        <w:t>l</w:t>
      </w:r>
      <w:r w:rsidRPr="002B3074">
        <w:rPr>
          <w:rFonts w:asciiTheme="majorHAnsi" w:hAnsiTheme="majorHAnsi"/>
          <w:sz w:val="20"/>
          <w:szCs w:val="20"/>
          <w:lang w:val="es-419"/>
        </w:rPr>
        <w:t>as situaciones, internamente, a través de los procesos 201245102580 (</w:t>
      </w:r>
      <w:r w:rsidR="00F8035D" w:rsidRPr="002B3074">
        <w:rPr>
          <w:rFonts w:asciiTheme="majorHAnsi" w:hAnsiTheme="majorHAnsi"/>
          <w:sz w:val="20"/>
          <w:szCs w:val="20"/>
          <w:lang w:val="es-419"/>
        </w:rPr>
        <w:t>penal</w:t>
      </w:r>
      <w:r w:rsidRPr="002B3074">
        <w:rPr>
          <w:rFonts w:asciiTheme="majorHAnsi" w:hAnsiTheme="majorHAnsi"/>
          <w:sz w:val="20"/>
          <w:szCs w:val="20"/>
          <w:lang w:val="es-419"/>
        </w:rPr>
        <w:t xml:space="preserve">) y 201210701342 (civil). </w:t>
      </w:r>
    </w:p>
    <w:p w14:paraId="5A80D876" w14:textId="0A575C6C" w:rsidR="007C13A0"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Según la información proporcionada por las partes, el proceso penal fue concluido luego de la decisión del STF del 5 de agosto de 2014, que rechazó el agravio regimental. Según información del Estado, esta decisión quedó firme el 8 de septiembre de 2014. El proceso civil, por su parte, quedó firme el 11 de abril de 2018, luego de que el STF rechazara el recurso reglamentario interpuesto por la posible víctima.</w:t>
      </w:r>
    </w:p>
    <w:p w14:paraId="260DCC0C" w14:textId="4E48FC0D" w:rsidR="00CE5773" w:rsidRPr="002B3074" w:rsidRDefault="007C13A0" w:rsidP="002B3074">
      <w:pPr>
        <w:pStyle w:val="ListParagraph"/>
        <w:numPr>
          <w:ilvl w:val="0"/>
          <w:numId w:val="59"/>
        </w:numPr>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 xml:space="preserve">Además de los procesos antes señalados, y como se menciona en la Sección anterior, la </w:t>
      </w:r>
      <w:r w:rsidR="006C2C98" w:rsidRPr="002B3074">
        <w:rPr>
          <w:rFonts w:asciiTheme="majorHAnsi" w:hAnsiTheme="majorHAnsi"/>
          <w:sz w:val="20"/>
          <w:szCs w:val="20"/>
          <w:lang w:val="es-419"/>
        </w:rPr>
        <w:t>presunta</w:t>
      </w:r>
      <w:r w:rsidRPr="002B3074">
        <w:rPr>
          <w:rFonts w:asciiTheme="majorHAnsi" w:hAnsiTheme="majorHAnsi"/>
          <w:sz w:val="20"/>
          <w:szCs w:val="20"/>
          <w:lang w:val="es-419"/>
        </w:rPr>
        <w:t xml:space="preserve"> víctima también presentó una </w:t>
      </w:r>
      <w:r w:rsidR="00F8035D" w:rsidRPr="002B3074">
        <w:rPr>
          <w:rFonts w:asciiTheme="majorHAnsi" w:hAnsiTheme="majorHAnsi"/>
          <w:sz w:val="20"/>
          <w:szCs w:val="20"/>
          <w:lang w:val="es-419"/>
        </w:rPr>
        <w:t>Reclamación</w:t>
      </w:r>
      <w:r w:rsidRPr="002B3074">
        <w:rPr>
          <w:rFonts w:asciiTheme="majorHAnsi" w:hAnsiTheme="majorHAnsi"/>
          <w:sz w:val="20"/>
          <w:szCs w:val="20"/>
          <w:lang w:val="es-419"/>
        </w:rPr>
        <w:t xml:space="preserve"> ante el STF,</w:t>
      </w:r>
      <w:r w:rsidR="00F8035D" w:rsidRPr="002B3074">
        <w:rPr>
          <w:rFonts w:asciiTheme="majorHAnsi" w:hAnsiTheme="majorHAnsi"/>
          <w:sz w:val="20"/>
          <w:szCs w:val="20"/>
          <w:lang w:val="es-419"/>
        </w:rPr>
        <w:t xml:space="preserve"> la</w:t>
      </w:r>
      <w:r w:rsidRPr="002B3074">
        <w:rPr>
          <w:rFonts w:asciiTheme="majorHAnsi" w:hAnsiTheme="majorHAnsi"/>
          <w:sz w:val="20"/>
          <w:szCs w:val="20"/>
          <w:lang w:val="es-419"/>
        </w:rPr>
        <w:t xml:space="preserve"> </w:t>
      </w:r>
      <w:r w:rsidR="00F8035D" w:rsidRPr="002B3074">
        <w:rPr>
          <w:rFonts w:asciiTheme="majorHAnsi" w:hAnsiTheme="majorHAnsi"/>
          <w:sz w:val="20"/>
          <w:szCs w:val="20"/>
          <w:lang w:val="es-419"/>
        </w:rPr>
        <w:t>Reclamación</w:t>
      </w:r>
      <w:r w:rsidRPr="002B3074">
        <w:rPr>
          <w:rFonts w:asciiTheme="majorHAnsi" w:hAnsiTheme="majorHAnsi"/>
          <w:sz w:val="20"/>
          <w:szCs w:val="20"/>
          <w:lang w:val="es-419"/>
        </w:rPr>
        <w:t xml:space="preserve"> No. 19775. Según información de público conocimiento en el sitio web del STF (</w:t>
      </w:r>
      <w:hyperlink r:id="rId14" w:history="1">
        <w:r w:rsidR="0009546C" w:rsidRPr="002B3074">
          <w:rPr>
            <w:rStyle w:val="Hyperlink"/>
            <w:rFonts w:asciiTheme="majorHAnsi" w:hAnsiTheme="majorHAnsi"/>
            <w:sz w:val="20"/>
            <w:szCs w:val="20"/>
            <w:lang w:val="es-419"/>
          </w:rPr>
          <w:t>https://portal.stf.jus.br/processos/</w:t>
        </w:r>
      </w:hyperlink>
      <w:r w:rsidRPr="002B3074">
        <w:rPr>
          <w:rFonts w:asciiTheme="majorHAnsi" w:hAnsiTheme="majorHAnsi"/>
          <w:sz w:val="20"/>
          <w:szCs w:val="20"/>
          <w:lang w:val="es-419"/>
        </w:rPr>
        <w:t xml:space="preserve">; consultado el 3 de febrero de 2023), la </w:t>
      </w:r>
      <w:r w:rsidR="00F8035D" w:rsidRPr="002B3074">
        <w:rPr>
          <w:rFonts w:asciiTheme="majorHAnsi" w:hAnsiTheme="majorHAnsi"/>
          <w:sz w:val="20"/>
          <w:szCs w:val="20"/>
          <w:lang w:val="es-419"/>
        </w:rPr>
        <w:t>Reclamación</w:t>
      </w:r>
      <w:r w:rsidRPr="002B3074">
        <w:rPr>
          <w:rFonts w:asciiTheme="majorHAnsi" w:hAnsiTheme="majorHAnsi"/>
          <w:sz w:val="20"/>
          <w:szCs w:val="20"/>
          <w:lang w:val="es-419"/>
        </w:rPr>
        <w:t xml:space="preserve"> No. 19775 fue presentad</w:t>
      </w:r>
      <w:r w:rsidR="00F8035D" w:rsidRPr="002B3074">
        <w:rPr>
          <w:rFonts w:asciiTheme="majorHAnsi" w:hAnsiTheme="majorHAnsi"/>
          <w:sz w:val="20"/>
          <w:szCs w:val="20"/>
          <w:lang w:val="es-419"/>
        </w:rPr>
        <w:t>a por el Sr. Góes</w:t>
      </w:r>
      <w:r w:rsidRPr="002B3074">
        <w:rPr>
          <w:rFonts w:asciiTheme="majorHAnsi" w:hAnsiTheme="majorHAnsi"/>
          <w:sz w:val="20"/>
          <w:szCs w:val="20"/>
          <w:lang w:val="es-419"/>
        </w:rPr>
        <w:t xml:space="preserve"> ante el STF el 5 de marzo de 2015 </w:t>
      </w:r>
      <w:r w:rsidR="00F8035D" w:rsidRPr="002B3074">
        <w:rPr>
          <w:rFonts w:asciiTheme="majorHAnsi" w:hAnsiTheme="majorHAnsi"/>
          <w:sz w:val="20"/>
          <w:szCs w:val="20"/>
          <w:lang w:val="es-419"/>
        </w:rPr>
        <w:t xml:space="preserve">bajo el supuesto de que la condena en su contra sería incompatible con la decisión adoptada por el STF en el caso ADPF 130. </w:t>
      </w:r>
      <w:r w:rsidRPr="002B3074">
        <w:rPr>
          <w:rFonts w:asciiTheme="majorHAnsi" w:hAnsiTheme="majorHAnsi"/>
          <w:sz w:val="20"/>
          <w:szCs w:val="20"/>
          <w:lang w:val="es-419"/>
        </w:rPr>
        <w:t xml:space="preserve">El 5 de agosto de 2016, el Relator, Ministro Luiz Fux, decidió rechazar la </w:t>
      </w:r>
      <w:r w:rsidR="00F8035D" w:rsidRPr="002B3074">
        <w:rPr>
          <w:rFonts w:asciiTheme="majorHAnsi" w:hAnsiTheme="majorHAnsi"/>
          <w:sz w:val="20"/>
          <w:szCs w:val="20"/>
          <w:lang w:val="es-419"/>
        </w:rPr>
        <w:t>Reclamación</w:t>
      </w:r>
      <w:r w:rsidRPr="002B3074">
        <w:rPr>
          <w:rFonts w:asciiTheme="majorHAnsi" w:hAnsiTheme="majorHAnsi"/>
          <w:sz w:val="20"/>
          <w:szCs w:val="20"/>
          <w:lang w:val="es-419"/>
        </w:rPr>
        <w:t xml:space="preserve"> por considerar que no habría suficiente identidad material entre la condena civil del Sr. Góes y la decisión de la ADPF 130. La p</w:t>
      </w:r>
      <w:r w:rsidR="00F8035D" w:rsidRPr="002B3074">
        <w:rPr>
          <w:rFonts w:asciiTheme="majorHAnsi" w:hAnsiTheme="majorHAnsi"/>
          <w:sz w:val="20"/>
          <w:szCs w:val="20"/>
          <w:lang w:val="es-419"/>
        </w:rPr>
        <w:t>resunta</w:t>
      </w:r>
      <w:r w:rsidRPr="002B3074">
        <w:rPr>
          <w:rFonts w:asciiTheme="majorHAnsi" w:hAnsiTheme="majorHAnsi"/>
          <w:sz w:val="20"/>
          <w:szCs w:val="20"/>
          <w:lang w:val="es-419"/>
        </w:rPr>
        <w:t xml:space="preserve"> víctima interpuso un recurso de aclaración el 16 de agosto de 2016. </w:t>
      </w:r>
      <w:r w:rsidR="00F8035D" w:rsidRPr="002B3074">
        <w:rPr>
          <w:rFonts w:asciiTheme="majorHAnsi" w:hAnsiTheme="majorHAnsi"/>
          <w:sz w:val="20"/>
          <w:szCs w:val="20"/>
          <w:lang w:val="es-419"/>
        </w:rPr>
        <w:t>Este recurso</w:t>
      </w:r>
      <w:r w:rsidRPr="002B3074">
        <w:rPr>
          <w:rFonts w:asciiTheme="majorHAnsi" w:hAnsiTheme="majorHAnsi"/>
          <w:sz w:val="20"/>
          <w:szCs w:val="20"/>
          <w:lang w:val="es-419"/>
        </w:rPr>
        <w:t xml:space="preserve"> fue rechazado el 20 de octubre de 2016. El 3 de noviembre de 2016 Góes interpuso un </w:t>
      </w:r>
      <w:r w:rsidR="00F8035D" w:rsidRPr="002B3074">
        <w:rPr>
          <w:rFonts w:asciiTheme="majorHAnsi" w:hAnsiTheme="majorHAnsi"/>
          <w:sz w:val="20"/>
          <w:szCs w:val="20"/>
          <w:lang w:val="es-419"/>
        </w:rPr>
        <w:t>R</w:t>
      </w:r>
      <w:r w:rsidRPr="002B3074">
        <w:rPr>
          <w:rFonts w:asciiTheme="majorHAnsi" w:hAnsiTheme="majorHAnsi"/>
          <w:sz w:val="20"/>
          <w:szCs w:val="20"/>
          <w:lang w:val="es-419"/>
        </w:rPr>
        <w:t xml:space="preserve">ecurso </w:t>
      </w:r>
      <w:r w:rsidR="00F8035D" w:rsidRPr="002B3074">
        <w:rPr>
          <w:rFonts w:asciiTheme="majorHAnsi" w:hAnsiTheme="majorHAnsi"/>
          <w:sz w:val="20"/>
          <w:szCs w:val="20"/>
          <w:lang w:val="es-419"/>
        </w:rPr>
        <w:t>Colegiado R</w:t>
      </w:r>
      <w:r w:rsidRPr="002B3074">
        <w:rPr>
          <w:rFonts w:asciiTheme="majorHAnsi" w:hAnsiTheme="majorHAnsi"/>
          <w:sz w:val="20"/>
          <w:szCs w:val="20"/>
          <w:lang w:val="es-419"/>
        </w:rPr>
        <w:t xml:space="preserve">eglamentario. El recurso fue rechazado por la Sala Primera del STF el 7 de abril de 2017 por las causales mencionadas en la información del Estado a la CIDH, </w:t>
      </w:r>
      <w:r w:rsidR="00F8035D" w:rsidRPr="002B3074">
        <w:rPr>
          <w:rFonts w:asciiTheme="majorHAnsi" w:hAnsiTheme="majorHAnsi"/>
          <w:sz w:val="20"/>
          <w:szCs w:val="20"/>
          <w:lang w:val="es-419"/>
        </w:rPr>
        <w:t>i.e.,</w:t>
      </w:r>
      <w:r w:rsidRPr="002B3074">
        <w:rPr>
          <w:rFonts w:asciiTheme="majorHAnsi" w:hAnsiTheme="majorHAnsi"/>
          <w:sz w:val="20"/>
          <w:szCs w:val="20"/>
          <w:lang w:val="es-419"/>
        </w:rPr>
        <w:t xml:space="preserve"> </w:t>
      </w:r>
      <w:r w:rsidR="00F8035D" w:rsidRPr="002B3074">
        <w:rPr>
          <w:rFonts w:asciiTheme="majorHAnsi" w:hAnsiTheme="majorHAnsi"/>
          <w:sz w:val="20"/>
          <w:szCs w:val="20"/>
          <w:lang w:val="es-419"/>
        </w:rPr>
        <w:t xml:space="preserve">i) </w:t>
      </w:r>
      <w:r w:rsidRPr="002B3074">
        <w:rPr>
          <w:rFonts w:asciiTheme="majorHAnsi" w:hAnsiTheme="majorHAnsi"/>
          <w:sz w:val="20"/>
          <w:szCs w:val="20"/>
          <w:lang w:val="es-419"/>
        </w:rPr>
        <w:t xml:space="preserve">la decisión del STF en la ADPF 130 </w:t>
      </w:r>
      <w:r w:rsidR="00F8035D" w:rsidRPr="002B3074">
        <w:rPr>
          <w:rFonts w:asciiTheme="majorHAnsi" w:hAnsiTheme="majorHAnsi"/>
          <w:sz w:val="20"/>
          <w:szCs w:val="20"/>
          <w:lang w:val="es-419"/>
        </w:rPr>
        <w:t>habría sido sobre la libertad de prensa como un reforzamiento de la libertad de expresión en sentido genérico, mientras que Góes habría sido condenado a pagar una indemnización como consecuencia civil de su condena penal por injuria; ii) la Reclamación no se calificaría como recurso o instrumento para posibilitar la reexaminación de condenas</w:t>
      </w:r>
      <w:r w:rsidRPr="002B3074">
        <w:rPr>
          <w:rFonts w:asciiTheme="majorHAnsi" w:hAnsiTheme="majorHAnsi"/>
          <w:sz w:val="20"/>
          <w:szCs w:val="20"/>
          <w:lang w:val="es-419"/>
        </w:rPr>
        <w:t>.</w:t>
      </w:r>
    </w:p>
    <w:p w14:paraId="77ECDBCF" w14:textId="6ED8087E" w:rsidR="001C6501" w:rsidRPr="002B3074" w:rsidRDefault="00F8035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El análisis del requisito del previo agotamiento de los recursos internos debe hacerse caso por caso. La Comisión Interamericana considera que, en el caso concreto, la utilización de la vía penal para presuntamente restringir a</w:t>
      </w:r>
      <w:r w:rsidR="001C6501" w:rsidRPr="002B3074">
        <w:rPr>
          <w:rFonts w:asciiTheme="majorHAnsi" w:hAnsiTheme="majorHAnsi"/>
          <w:sz w:val="20"/>
          <w:szCs w:val="20"/>
          <w:lang w:val="es-419"/>
        </w:rPr>
        <w:t xml:space="preserve"> </w:t>
      </w:r>
      <w:r w:rsidRPr="002B3074">
        <w:rPr>
          <w:rFonts w:asciiTheme="majorHAnsi" w:hAnsiTheme="majorHAnsi"/>
          <w:sz w:val="20"/>
          <w:szCs w:val="20"/>
          <w:lang w:val="es-419"/>
        </w:rPr>
        <w:t>l</w:t>
      </w:r>
      <w:r w:rsidR="001C6501" w:rsidRPr="002B3074">
        <w:rPr>
          <w:rFonts w:asciiTheme="majorHAnsi" w:hAnsiTheme="majorHAnsi"/>
          <w:sz w:val="20"/>
          <w:szCs w:val="20"/>
          <w:lang w:val="es-419"/>
        </w:rPr>
        <w:t>a libertad de expresión del</w:t>
      </w:r>
      <w:r w:rsidRPr="002B3074">
        <w:rPr>
          <w:rFonts w:asciiTheme="majorHAnsi" w:hAnsiTheme="majorHAnsi"/>
          <w:sz w:val="20"/>
          <w:szCs w:val="20"/>
          <w:lang w:val="es-419"/>
        </w:rPr>
        <w:t xml:space="preserve"> Sr. Góes, así como la </w:t>
      </w:r>
      <w:r w:rsidR="001C6501" w:rsidRPr="002B3074">
        <w:rPr>
          <w:rFonts w:asciiTheme="majorHAnsi" w:hAnsiTheme="majorHAnsi"/>
          <w:sz w:val="20"/>
          <w:szCs w:val="20"/>
          <w:lang w:val="es-419"/>
        </w:rPr>
        <w:t>resultante</w:t>
      </w:r>
      <w:r w:rsidRPr="002B3074">
        <w:rPr>
          <w:rFonts w:asciiTheme="majorHAnsi" w:hAnsiTheme="majorHAnsi"/>
          <w:sz w:val="20"/>
          <w:szCs w:val="20"/>
          <w:lang w:val="es-419"/>
        </w:rPr>
        <w:t xml:space="preserve"> condena penal, son aspectos de un mismo </w:t>
      </w:r>
      <w:r w:rsidR="003A591E" w:rsidRPr="002B3074">
        <w:rPr>
          <w:rFonts w:asciiTheme="majorHAnsi" w:hAnsiTheme="majorHAnsi"/>
          <w:sz w:val="20"/>
          <w:szCs w:val="20"/>
          <w:lang w:val="es-419"/>
        </w:rPr>
        <w:t>objeto</w:t>
      </w:r>
      <w:r w:rsidRPr="002B3074">
        <w:rPr>
          <w:rFonts w:asciiTheme="majorHAnsi" w:hAnsiTheme="majorHAnsi"/>
          <w:sz w:val="20"/>
          <w:szCs w:val="20"/>
          <w:lang w:val="es-419"/>
        </w:rPr>
        <w:t xml:space="preserve"> que se prolonga hasta la </w:t>
      </w:r>
      <w:r w:rsidR="00094201" w:rsidRPr="002B3074">
        <w:rPr>
          <w:rFonts w:asciiTheme="majorHAnsi" w:hAnsiTheme="majorHAnsi"/>
          <w:sz w:val="20"/>
          <w:szCs w:val="20"/>
          <w:lang w:val="es-419"/>
        </w:rPr>
        <w:t>conclusión</w:t>
      </w:r>
      <w:r w:rsidRPr="002B3074">
        <w:rPr>
          <w:rFonts w:asciiTheme="majorHAnsi" w:hAnsiTheme="majorHAnsi"/>
          <w:sz w:val="20"/>
          <w:szCs w:val="20"/>
          <w:lang w:val="es-419"/>
        </w:rPr>
        <w:t xml:space="preserve"> del proceso civil. Tal como lo señalaron los propios órganos internos del Estado (</w:t>
      </w:r>
      <w:r w:rsidRPr="002B3074">
        <w:rPr>
          <w:rFonts w:asciiTheme="majorHAnsi" w:hAnsiTheme="majorHAnsi"/>
          <w:i/>
          <w:iCs/>
          <w:sz w:val="20"/>
          <w:szCs w:val="20"/>
          <w:lang w:val="es-419"/>
        </w:rPr>
        <w:t>v.g.</w:t>
      </w:r>
      <w:r w:rsidRPr="002B3074">
        <w:rPr>
          <w:rFonts w:asciiTheme="majorHAnsi" w:hAnsiTheme="majorHAnsi"/>
          <w:sz w:val="20"/>
          <w:szCs w:val="20"/>
          <w:lang w:val="es-419"/>
        </w:rPr>
        <w:t xml:space="preserve"> la última decisión del STF en la </w:t>
      </w:r>
      <w:r w:rsidR="001C6501" w:rsidRPr="002B3074">
        <w:rPr>
          <w:rFonts w:asciiTheme="majorHAnsi" w:hAnsiTheme="majorHAnsi"/>
          <w:sz w:val="20"/>
          <w:szCs w:val="20"/>
          <w:lang w:val="es-419"/>
        </w:rPr>
        <w:t>Reclamación</w:t>
      </w:r>
      <w:r w:rsidRPr="002B3074">
        <w:rPr>
          <w:rFonts w:asciiTheme="majorHAnsi" w:hAnsiTheme="majorHAnsi"/>
          <w:sz w:val="20"/>
          <w:szCs w:val="20"/>
          <w:lang w:val="es-419"/>
        </w:rPr>
        <w:t xml:space="preserve"> No. 19775 mencionada por</w:t>
      </w:r>
      <w:r w:rsidR="001C6501" w:rsidRPr="002B3074">
        <w:rPr>
          <w:rFonts w:asciiTheme="majorHAnsi" w:hAnsiTheme="majorHAnsi"/>
          <w:sz w:val="20"/>
          <w:szCs w:val="20"/>
          <w:lang w:val="es-419"/>
        </w:rPr>
        <w:t xml:space="preserve"> la Procuraduría del Estado de Sergipe</w:t>
      </w:r>
      <w:r w:rsidRPr="002B3074">
        <w:rPr>
          <w:rFonts w:asciiTheme="majorHAnsi" w:hAnsiTheme="majorHAnsi"/>
          <w:sz w:val="20"/>
          <w:szCs w:val="20"/>
          <w:lang w:val="es-419"/>
        </w:rPr>
        <w:t xml:space="preserve"> </w:t>
      </w:r>
      <w:r w:rsidR="001C6501" w:rsidRPr="002B3074">
        <w:rPr>
          <w:rFonts w:asciiTheme="majorHAnsi" w:hAnsiTheme="majorHAnsi"/>
          <w:sz w:val="20"/>
          <w:szCs w:val="20"/>
          <w:lang w:val="es-419"/>
        </w:rPr>
        <w:t xml:space="preserve">en un documento adjuntado por </w:t>
      </w:r>
      <w:r w:rsidRPr="002B3074">
        <w:rPr>
          <w:rFonts w:asciiTheme="majorHAnsi" w:hAnsiTheme="majorHAnsi"/>
          <w:sz w:val="20"/>
          <w:szCs w:val="20"/>
          <w:lang w:val="es-419"/>
        </w:rPr>
        <w:t>el Estado</w:t>
      </w:r>
      <w:r w:rsidR="001C6501" w:rsidRPr="002B3074">
        <w:rPr>
          <w:rFonts w:asciiTheme="majorHAnsi" w:hAnsiTheme="majorHAnsi"/>
          <w:sz w:val="20"/>
          <w:szCs w:val="20"/>
          <w:lang w:val="es-419"/>
        </w:rPr>
        <w:t xml:space="preserve"> ante la CIDH</w:t>
      </w:r>
      <w:r w:rsidRPr="002B3074">
        <w:rPr>
          <w:rFonts w:asciiTheme="majorHAnsi" w:hAnsiTheme="majorHAnsi"/>
          <w:sz w:val="20"/>
          <w:szCs w:val="20"/>
          <w:lang w:val="es-419"/>
        </w:rPr>
        <w:t xml:space="preserve">), el proceso civil funcionó como una “acción civil </w:t>
      </w:r>
      <w:r w:rsidRPr="002B3074">
        <w:rPr>
          <w:rFonts w:asciiTheme="majorHAnsi" w:hAnsiTheme="majorHAnsi"/>
          <w:i/>
          <w:iCs/>
          <w:sz w:val="20"/>
          <w:szCs w:val="20"/>
          <w:lang w:val="es-419"/>
        </w:rPr>
        <w:t xml:space="preserve">ex </w:t>
      </w:r>
      <w:r w:rsidR="00A93EEE" w:rsidRPr="002B3074">
        <w:rPr>
          <w:rFonts w:asciiTheme="majorHAnsi" w:hAnsiTheme="majorHAnsi"/>
          <w:i/>
          <w:iCs/>
          <w:sz w:val="20"/>
          <w:szCs w:val="20"/>
          <w:lang w:val="es-419"/>
        </w:rPr>
        <w:t>delito</w:t>
      </w:r>
      <w:r w:rsidRPr="002B3074">
        <w:rPr>
          <w:rFonts w:asciiTheme="majorHAnsi" w:hAnsiTheme="majorHAnsi"/>
          <w:sz w:val="20"/>
          <w:szCs w:val="20"/>
          <w:lang w:val="es-419"/>
        </w:rPr>
        <w:t xml:space="preserve"> derivada de una condena penal firme e inapelable” y </w:t>
      </w:r>
      <w:r w:rsidR="001C6501" w:rsidRPr="002B3074">
        <w:rPr>
          <w:rFonts w:asciiTheme="majorHAnsi" w:hAnsiTheme="majorHAnsi"/>
          <w:sz w:val="20"/>
          <w:szCs w:val="20"/>
          <w:lang w:val="es-419"/>
        </w:rPr>
        <w:t>funcionó como medio</w:t>
      </w:r>
      <w:r w:rsidRPr="002B3074">
        <w:rPr>
          <w:rFonts w:asciiTheme="majorHAnsi" w:hAnsiTheme="majorHAnsi"/>
          <w:sz w:val="20"/>
          <w:szCs w:val="20"/>
          <w:lang w:val="es-419"/>
        </w:rPr>
        <w:t xml:space="preserve"> “para determinar la cuantía de la indemnización por la ocurrencia del hecho delictivo”. </w:t>
      </w:r>
    </w:p>
    <w:p w14:paraId="2029F1F7" w14:textId="52F25115" w:rsidR="00CE5773" w:rsidRPr="002B3074" w:rsidRDefault="00F8035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 xml:space="preserve">En vista de lo anterior, la Comisión considera que se agotaron los recursos internos con la decisión que rechazó el recurso </w:t>
      </w:r>
      <w:r w:rsidR="001C6501" w:rsidRPr="002B3074">
        <w:rPr>
          <w:rFonts w:asciiTheme="majorHAnsi" w:hAnsiTheme="majorHAnsi"/>
          <w:sz w:val="20"/>
          <w:szCs w:val="20"/>
          <w:lang w:val="es-419"/>
        </w:rPr>
        <w:t xml:space="preserve">colegiado </w:t>
      </w:r>
      <w:r w:rsidRPr="002B3074">
        <w:rPr>
          <w:rFonts w:asciiTheme="majorHAnsi" w:hAnsiTheme="majorHAnsi"/>
          <w:sz w:val="20"/>
          <w:szCs w:val="20"/>
          <w:lang w:val="es-419"/>
        </w:rPr>
        <w:t>reglamentario el 23 de febrero de 2018, y que quedó firme el 11 de abril de 2018</w:t>
      </w:r>
      <w:r w:rsidR="001C6501" w:rsidRPr="002B3074">
        <w:rPr>
          <w:rFonts w:asciiTheme="majorHAnsi" w:hAnsiTheme="majorHAnsi"/>
          <w:sz w:val="20"/>
          <w:szCs w:val="20"/>
          <w:lang w:val="es-419"/>
        </w:rPr>
        <w:t>.</w:t>
      </w:r>
      <w:r w:rsidR="001C6501" w:rsidRPr="002B3074">
        <w:rPr>
          <w:rFonts w:asciiTheme="majorHAnsi" w:hAnsiTheme="majorHAnsi"/>
          <w:sz w:val="20"/>
          <w:szCs w:val="20"/>
          <w:lang w:val="es-ES"/>
        </w:rPr>
        <w:t xml:space="preserve"> </w:t>
      </w:r>
      <w:r w:rsidR="001C6501" w:rsidRPr="002B3074">
        <w:rPr>
          <w:rFonts w:asciiTheme="majorHAnsi" w:hAnsiTheme="majorHAnsi"/>
          <w:sz w:val="20"/>
          <w:szCs w:val="20"/>
          <w:lang w:val="es-419"/>
        </w:rPr>
        <w:t>Si bien los procesos internos pueden terminar antes (por ejemplo, en una decisión inapelable en segunda instancia, o en decisiones que rechazan o desestiman los recursos ante tribunales superiores), el recurso colegiado reglamentario representó, en este caso específico, el último intento de la presunta víctima de oponerse la consideración de que su texto periodístico habría sido ilegal</w:t>
      </w:r>
      <w:r w:rsidR="001C6501" w:rsidRPr="002B3074">
        <w:rPr>
          <w:rFonts w:asciiTheme="majorHAnsi" w:hAnsiTheme="majorHAnsi"/>
          <w:bCs/>
          <w:color w:val="000000" w:themeColor="text1"/>
          <w:sz w:val="20"/>
          <w:szCs w:val="20"/>
          <w:vertAlign w:val="superscript"/>
          <w:lang w:val="pt-BR"/>
        </w:rPr>
        <w:footnoteReference w:id="5"/>
      </w:r>
      <w:r w:rsidR="001C6501" w:rsidRPr="002B3074">
        <w:rPr>
          <w:rFonts w:asciiTheme="majorHAnsi" w:hAnsiTheme="majorHAnsi"/>
          <w:sz w:val="20"/>
          <w:szCs w:val="20"/>
          <w:lang w:val="es-419"/>
        </w:rPr>
        <w:t>.</w:t>
      </w:r>
    </w:p>
    <w:p w14:paraId="351D7C5B" w14:textId="49861F03" w:rsidR="001C6501" w:rsidRPr="002B3074" w:rsidRDefault="0054169C"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lastRenderedPageBreak/>
        <w:t xml:space="preserve">La Comisión considera importante aclarar las razones que la llevan a considerar los procesos penal y civil, y no la Reclamación 19775, en su análisis sobre el agotamiento de los recursos internos. </w:t>
      </w:r>
      <w:r w:rsidR="001C6501" w:rsidRPr="002B3074">
        <w:rPr>
          <w:rFonts w:asciiTheme="majorHAnsi" w:hAnsiTheme="majorHAnsi"/>
          <w:sz w:val="20"/>
          <w:szCs w:val="20"/>
          <w:lang w:val="es-419"/>
        </w:rPr>
        <w:t xml:space="preserve">Reclamaciones de incumplimiento de una decisión judicial, como la Reclamación presentada por la presunta víctima ante el STF, pueden, en teoría, representar un último y legítimo intento de resolver la situación a nivel interno. Sin embargo, en el presente caso, la Comisión Interamericana no considera que dicha Reclamación haya actuado como recurso interno que debía agotarse. En la ADPF 130, el STF consideró que la llamada Ley de Prensa era inconstitucional, por su incompatibilidad con la libertad de expresión. No queda claro, al menos de acuerdo con la información y alegatos puestos a disposición de la CIDH, si la supuesta restricción a la libertad de expresión del Sr. Góes se justificó, en </w:t>
      </w:r>
      <w:r w:rsidRPr="002B3074">
        <w:rPr>
          <w:rFonts w:asciiTheme="majorHAnsi" w:hAnsiTheme="majorHAnsi"/>
          <w:sz w:val="20"/>
          <w:szCs w:val="20"/>
          <w:lang w:val="es-419"/>
        </w:rPr>
        <w:t>los fallos penal y civil en su contra</w:t>
      </w:r>
      <w:r w:rsidR="001C6501" w:rsidRPr="002B3074">
        <w:rPr>
          <w:rFonts w:asciiTheme="majorHAnsi" w:hAnsiTheme="majorHAnsi"/>
          <w:sz w:val="20"/>
          <w:szCs w:val="20"/>
          <w:lang w:val="es-419"/>
        </w:rPr>
        <w:t>, en la Ley de Prensa.</w:t>
      </w:r>
    </w:p>
    <w:p w14:paraId="39608C09" w14:textId="34A1C060" w:rsidR="0054169C" w:rsidRPr="002B3074" w:rsidRDefault="0054169C"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En cuanto al alegato del Estado de que, al momento de interponer la denuncia ante la CIDH, el proceso civil y la Reclamación No. 19775 aún no se habían agotado, la Comisión recuerda que el análisis de los requisitos previstos en los artículos 46 y 47 de la Convención debe realizarse a la luz de la situación actual en el momento en que la Comisión tome una decisión sobre la admisibilidad de la petición. Esto garantiza al Estado la máxima oportunidad de resolver la situación a nivel interno. Es común que se produzcan cambios en el estado de agotamiento de los recursos internos durante el trámite de una denuncia ante la CIDH, y el sistema de peticiones y casos garantiza a las partes la oportunidad de presentar información y argumentos al respecto.</w:t>
      </w:r>
    </w:p>
    <w:p w14:paraId="251B0952" w14:textId="2522EA3C" w:rsidR="0054169C" w:rsidRPr="002B3074" w:rsidRDefault="0054169C"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En cuanto al alegato del Estado de que el agotamiento de los recursos internos en el proceso penal habría sido indebido, la Comisión aclara que la presente petición no puede equipararse al caso citado por el Estado, que dio lugar al Informe de Inadmisibilidad No. 106/13. Este último se refería a recursos internos interpuestos de manera extemporánea, sin justificación legítima por el incumplimiento de los plazos legales</w:t>
      </w:r>
      <w:r w:rsidRPr="002B3074">
        <w:rPr>
          <w:rFonts w:asciiTheme="majorHAnsi" w:hAnsiTheme="majorHAnsi"/>
          <w:bCs/>
          <w:color w:val="000000" w:themeColor="text1"/>
          <w:sz w:val="20"/>
          <w:szCs w:val="20"/>
          <w:vertAlign w:val="superscript"/>
          <w:lang w:val="pt-BR"/>
        </w:rPr>
        <w:footnoteReference w:id="6"/>
      </w:r>
      <w:r w:rsidRPr="002B3074">
        <w:rPr>
          <w:rFonts w:asciiTheme="majorHAnsi" w:hAnsiTheme="majorHAnsi"/>
          <w:sz w:val="20"/>
          <w:szCs w:val="20"/>
          <w:lang w:val="es-419"/>
        </w:rPr>
        <w:t>. En el caso del Sr. Góes, sin embargo, el recurso extraordinario fue interpuesto dentro del plazo. El rechazo del recurso se basó en otro tipo de requisito, el llamado “precuestionamiento”, que se refiere a si la cuestión de inconstitucionalidad planteada ante el STF fue suficientemente planteada y analizada por el tribunal apelado</w:t>
      </w:r>
      <w:r w:rsidR="002146CA" w:rsidRPr="002B3074">
        <w:rPr>
          <w:rFonts w:asciiTheme="majorHAnsi" w:hAnsiTheme="majorHAnsi"/>
          <w:bCs/>
          <w:color w:val="000000" w:themeColor="text1"/>
          <w:sz w:val="20"/>
          <w:szCs w:val="20"/>
          <w:vertAlign w:val="superscript"/>
          <w:lang w:val="pt-BR"/>
        </w:rPr>
        <w:footnoteReference w:id="7"/>
      </w:r>
      <w:r w:rsidRPr="002B3074">
        <w:rPr>
          <w:rFonts w:asciiTheme="majorHAnsi" w:hAnsiTheme="majorHAnsi"/>
          <w:sz w:val="20"/>
          <w:szCs w:val="20"/>
          <w:lang w:val="es-419"/>
        </w:rPr>
        <w:t xml:space="preserve">. Conceptos </w:t>
      </w:r>
      <w:r w:rsidR="002146CA" w:rsidRPr="002B3074">
        <w:rPr>
          <w:rFonts w:asciiTheme="majorHAnsi" w:hAnsiTheme="majorHAnsi"/>
          <w:sz w:val="20"/>
          <w:szCs w:val="20"/>
          <w:lang w:val="es-419"/>
        </w:rPr>
        <w:t>jurídicos</w:t>
      </w:r>
      <w:r w:rsidRPr="002B3074">
        <w:rPr>
          <w:rFonts w:asciiTheme="majorHAnsi" w:hAnsiTheme="majorHAnsi"/>
          <w:sz w:val="20"/>
          <w:szCs w:val="20"/>
          <w:lang w:val="es-419"/>
        </w:rPr>
        <w:t xml:space="preserve"> como </w:t>
      </w:r>
      <w:r w:rsidR="002146CA" w:rsidRPr="002B3074">
        <w:rPr>
          <w:rFonts w:asciiTheme="majorHAnsi" w:hAnsiTheme="majorHAnsi"/>
          <w:sz w:val="20"/>
          <w:szCs w:val="20"/>
          <w:lang w:val="es-419"/>
        </w:rPr>
        <w:t xml:space="preserve">el de </w:t>
      </w:r>
      <w:r w:rsidRPr="002B3074">
        <w:rPr>
          <w:rFonts w:asciiTheme="majorHAnsi" w:hAnsiTheme="majorHAnsi"/>
          <w:i/>
          <w:iCs/>
          <w:sz w:val="20"/>
          <w:szCs w:val="20"/>
          <w:lang w:val="es-419"/>
        </w:rPr>
        <w:t>precuestionamiento</w:t>
      </w:r>
      <w:r w:rsidRPr="002B3074">
        <w:rPr>
          <w:rFonts w:asciiTheme="majorHAnsi" w:hAnsiTheme="majorHAnsi"/>
          <w:sz w:val="20"/>
          <w:szCs w:val="20"/>
          <w:lang w:val="es-419"/>
        </w:rPr>
        <w:t xml:space="preserve"> son mucho menos determinados que una regla que establece un plazo procesal</w:t>
      </w:r>
      <w:r w:rsidR="008C2068" w:rsidRPr="002B3074">
        <w:rPr>
          <w:rFonts w:asciiTheme="majorHAnsi" w:hAnsiTheme="majorHAnsi"/>
          <w:bCs/>
          <w:color w:val="000000" w:themeColor="text1"/>
          <w:sz w:val="20"/>
          <w:szCs w:val="20"/>
          <w:vertAlign w:val="superscript"/>
          <w:lang w:val="pt-BR"/>
        </w:rPr>
        <w:footnoteReference w:id="8"/>
      </w:r>
      <w:r w:rsidRPr="002B3074">
        <w:rPr>
          <w:rFonts w:asciiTheme="majorHAnsi" w:hAnsiTheme="majorHAnsi"/>
          <w:sz w:val="20"/>
          <w:szCs w:val="20"/>
          <w:lang w:val="es-419"/>
        </w:rPr>
        <w:t>. Por lo tanto, es necesario distinguir la situación de la presunta víctima de aquella en la que la parte simplemente incumple, sin justificación aceptable, el plazo para interponer el recurso. El precedente de la CIDH citado por el Estado se refiere a una situación muy distinta a la que se encuentra Góes.</w:t>
      </w:r>
    </w:p>
    <w:p w14:paraId="278864A2" w14:textId="2813D7F4" w:rsidR="0054169C" w:rsidRPr="002B3074" w:rsidRDefault="0054169C" w:rsidP="002B3074">
      <w:pPr>
        <w:pStyle w:val="ListParagraph"/>
        <w:numPr>
          <w:ilvl w:val="0"/>
          <w:numId w:val="59"/>
        </w:numPr>
        <w:spacing w:before="240" w:after="240"/>
        <w:ind w:left="0" w:firstLine="720"/>
        <w:jc w:val="both"/>
        <w:rPr>
          <w:rFonts w:asciiTheme="majorHAnsi" w:hAnsiTheme="majorHAnsi"/>
          <w:sz w:val="20"/>
          <w:szCs w:val="20"/>
          <w:lang w:val="es-ES"/>
        </w:rPr>
      </w:pPr>
      <w:r w:rsidRPr="002B3074">
        <w:rPr>
          <w:rFonts w:asciiTheme="majorHAnsi" w:hAnsiTheme="majorHAnsi"/>
          <w:sz w:val="20"/>
          <w:szCs w:val="20"/>
          <w:lang w:val="es-ES"/>
        </w:rPr>
        <w:t xml:space="preserve">En cuanto al alegato del Estado de que el Sr. Góes no agotó el recurso interno de Reclamación contra la decisión que confirmó su condena penal, la Comisión Interamericana advierte que, de acuerdo con lo alegado por el Estado, dicho recurso sería, en teoría, aplicable según el entendimiento jurisprudencial del </w:t>
      </w:r>
      <w:r w:rsidR="00DB5930" w:rsidRPr="002B3074">
        <w:rPr>
          <w:rFonts w:asciiTheme="majorHAnsi" w:hAnsiTheme="majorHAnsi"/>
          <w:sz w:val="20"/>
          <w:szCs w:val="20"/>
          <w:lang w:val="es-ES"/>
        </w:rPr>
        <w:t>Supremo Tribunal de Justicia</w:t>
      </w:r>
      <w:r w:rsidRPr="002B3074">
        <w:rPr>
          <w:rFonts w:asciiTheme="majorHAnsi" w:hAnsiTheme="majorHAnsi"/>
          <w:sz w:val="20"/>
          <w:szCs w:val="20"/>
          <w:lang w:val="es-ES"/>
        </w:rPr>
        <w:t xml:space="preserve"> hasta 2016, antes de cambios en la jurisprudencia. La Comisión recuerda que los recursos internos que requieren previo agotamiento deben ser suficientemente seguros desde el punto de vista formal y material. Este no es el caso de un recurso cuya procedencia ha sufrido cambios jurisprudenciales como los señalados por el Estado.</w:t>
      </w:r>
    </w:p>
    <w:p w14:paraId="42CD62DC" w14:textId="4B15A4AF" w:rsidR="00004B14" w:rsidRPr="002B3074" w:rsidRDefault="00004B14" w:rsidP="002B3074">
      <w:pPr>
        <w:pStyle w:val="ListParagraph"/>
        <w:numPr>
          <w:ilvl w:val="0"/>
          <w:numId w:val="59"/>
        </w:numPr>
        <w:spacing w:before="240" w:after="240"/>
        <w:ind w:left="0" w:firstLine="720"/>
        <w:jc w:val="both"/>
        <w:rPr>
          <w:rFonts w:asciiTheme="majorHAnsi" w:hAnsiTheme="majorHAnsi"/>
          <w:sz w:val="20"/>
          <w:szCs w:val="20"/>
          <w:lang w:val="es-ES"/>
        </w:rPr>
      </w:pPr>
      <w:r w:rsidRPr="002B3074">
        <w:rPr>
          <w:rFonts w:asciiTheme="majorHAnsi" w:hAnsiTheme="majorHAnsi"/>
          <w:sz w:val="20"/>
          <w:szCs w:val="20"/>
          <w:lang w:val="es-ES"/>
        </w:rPr>
        <w:t>Hechas estas aclaraciones, la Comisión Interamericana procede a evaluar el cumplimiento del plazo de seis meses previsto en el artículo 46.1.b</w:t>
      </w:r>
      <w:r w:rsidR="001F15DF" w:rsidRPr="002B3074">
        <w:rPr>
          <w:rFonts w:asciiTheme="majorHAnsi" w:hAnsiTheme="majorHAnsi"/>
          <w:sz w:val="20"/>
          <w:szCs w:val="20"/>
          <w:lang w:val="es-ES"/>
        </w:rPr>
        <w:t>)</w:t>
      </w:r>
      <w:r w:rsidRPr="002B3074">
        <w:rPr>
          <w:rFonts w:asciiTheme="majorHAnsi" w:hAnsiTheme="majorHAnsi"/>
          <w:sz w:val="20"/>
          <w:szCs w:val="20"/>
          <w:lang w:val="es-ES"/>
        </w:rPr>
        <w:t xml:space="preserve"> de la Convención Americana.</w:t>
      </w:r>
    </w:p>
    <w:p w14:paraId="0083F358" w14:textId="2A68D155" w:rsidR="00004B14" w:rsidRPr="002B3074" w:rsidRDefault="00004B14" w:rsidP="002B3074">
      <w:pPr>
        <w:pStyle w:val="ListParagraph"/>
        <w:numPr>
          <w:ilvl w:val="0"/>
          <w:numId w:val="59"/>
        </w:numPr>
        <w:spacing w:before="240" w:after="240"/>
        <w:ind w:left="0" w:firstLine="720"/>
        <w:jc w:val="both"/>
        <w:rPr>
          <w:rFonts w:asciiTheme="majorHAnsi" w:hAnsiTheme="majorHAnsi"/>
          <w:sz w:val="20"/>
          <w:szCs w:val="20"/>
          <w:lang w:val="es-ES"/>
        </w:rPr>
      </w:pPr>
      <w:r w:rsidRPr="002B3074">
        <w:rPr>
          <w:rFonts w:asciiTheme="majorHAnsi" w:hAnsiTheme="majorHAnsi"/>
          <w:sz w:val="20"/>
          <w:szCs w:val="20"/>
          <w:lang w:val="es-ES"/>
        </w:rPr>
        <w:t xml:space="preserve">Como ya se mencionó, el uso del procedimiento penal para supuestamente restringir a la libertad de expresión del Sr. Góes, así como la resultante condena penal, son aspectos de un mismo tema que se prolonga hasta la </w:t>
      </w:r>
      <w:r w:rsidR="00367D92" w:rsidRPr="002B3074">
        <w:rPr>
          <w:rFonts w:asciiTheme="majorHAnsi" w:hAnsiTheme="majorHAnsi"/>
          <w:sz w:val="20"/>
          <w:szCs w:val="20"/>
          <w:lang w:val="es-ES"/>
        </w:rPr>
        <w:t>conclusión</w:t>
      </w:r>
      <w:r w:rsidRPr="002B3074">
        <w:rPr>
          <w:rFonts w:asciiTheme="majorHAnsi" w:hAnsiTheme="majorHAnsi"/>
          <w:sz w:val="20"/>
          <w:szCs w:val="20"/>
          <w:lang w:val="es-ES"/>
        </w:rPr>
        <w:t xml:space="preserve"> del proceso civil. Esto se debe a que la acción civil tuvo como finalidad la definición de la cuantía de la indemnización resultante del delito por el cual Góes fue condenado. Así, el tema, en todos sus aspectos, se agotó el 11 de abril de 2018. Dado que la denuncia ante la CIDH fue presentada el 9 </w:t>
      </w:r>
      <w:r w:rsidRPr="002B3074">
        <w:rPr>
          <w:rFonts w:asciiTheme="majorHAnsi" w:hAnsiTheme="majorHAnsi"/>
          <w:sz w:val="20"/>
          <w:szCs w:val="20"/>
          <w:lang w:val="es-ES"/>
        </w:rPr>
        <w:lastRenderedPageBreak/>
        <w:t>de abril de 2015, la petición cumple con el plazo de seis meses previsto en el artículo 46.1.b</w:t>
      </w:r>
      <w:r w:rsidR="00CB360B" w:rsidRPr="002B3074">
        <w:rPr>
          <w:rFonts w:asciiTheme="majorHAnsi" w:hAnsiTheme="majorHAnsi"/>
          <w:sz w:val="20"/>
          <w:szCs w:val="20"/>
          <w:lang w:val="es-ES"/>
        </w:rPr>
        <w:t>)</w:t>
      </w:r>
      <w:r w:rsidRPr="002B3074">
        <w:rPr>
          <w:rFonts w:asciiTheme="majorHAnsi" w:hAnsiTheme="majorHAnsi"/>
          <w:sz w:val="20"/>
          <w:szCs w:val="20"/>
          <w:lang w:val="es-ES"/>
        </w:rPr>
        <w:t xml:space="preserve"> de la Convención Americana. Convención.</w:t>
      </w:r>
    </w:p>
    <w:p w14:paraId="3FF95CB6" w14:textId="77777777" w:rsidR="00982CB3" w:rsidRPr="002B3074" w:rsidRDefault="00982CB3" w:rsidP="002B3074">
      <w:pPr>
        <w:pStyle w:val="ListParagraph"/>
        <w:spacing w:before="240" w:after="240"/>
        <w:ind w:left="758"/>
        <w:jc w:val="both"/>
        <w:rPr>
          <w:rFonts w:asciiTheme="majorHAnsi" w:hAnsiTheme="majorHAnsi"/>
          <w:b/>
          <w:sz w:val="20"/>
          <w:szCs w:val="20"/>
          <w:lang w:val="es-419"/>
        </w:rPr>
      </w:pPr>
      <w:r w:rsidRPr="002B3074">
        <w:rPr>
          <w:rFonts w:asciiTheme="majorHAnsi" w:hAnsiTheme="majorHAnsi"/>
          <w:b/>
          <w:sz w:val="20"/>
          <w:szCs w:val="20"/>
          <w:lang w:val="es-419"/>
        </w:rPr>
        <w:t xml:space="preserve">VII. </w:t>
      </w:r>
      <w:r w:rsidRPr="002B3074">
        <w:rPr>
          <w:rFonts w:asciiTheme="majorHAnsi" w:hAnsiTheme="majorHAnsi"/>
          <w:b/>
          <w:sz w:val="20"/>
          <w:szCs w:val="20"/>
          <w:lang w:val="es-419"/>
        </w:rPr>
        <w:tab/>
      </w:r>
      <w:r w:rsidRPr="002B3074">
        <w:rPr>
          <w:rFonts w:asciiTheme="majorHAnsi" w:hAnsiTheme="majorHAnsi"/>
          <w:b/>
          <w:bCs/>
          <w:sz w:val="20"/>
          <w:szCs w:val="20"/>
          <w:lang w:val="es-419"/>
        </w:rPr>
        <w:t>ANÁLISIS DE CARACTERIZACIÓN DE LOS HECHOS ALEGADOS</w:t>
      </w:r>
    </w:p>
    <w:p w14:paraId="2D49D65D" w14:textId="08D41F04" w:rsidR="00CE5773" w:rsidRPr="002B3074" w:rsidRDefault="00A61F34"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 xml:space="preserve">Para efectos de la admisibilidad, la Comisión debe decidir si los hechos alegados pueden caracterizar una violación de derechos, en los términos del artículo 47(b) de la Convención Americana, o si la petición es manifiestamente infundada o improcedente, de conformidad con el inciso (c) de dicho artículo. Los criterios para evaluar estos requisitos difieren de los utilizados para juzgar </w:t>
      </w:r>
      <w:r w:rsidR="006C3497" w:rsidRPr="002B3074">
        <w:rPr>
          <w:rFonts w:asciiTheme="majorHAnsi" w:hAnsiTheme="majorHAnsi"/>
          <w:sz w:val="20"/>
          <w:szCs w:val="20"/>
          <w:lang w:val="es-419"/>
        </w:rPr>
        <w:t>el fondo</w:t>
      </w:r>
      <w:r w:rsidRPr="002B3074">
        <w:rPr>
          <w:rFonts w:asciiTheme="majorHAnsi" w:hAnsiTheme="majorHAnsi"/>
          <w:sz w:val="20"/>
          <w:szCs w:val="20"/>
          <w:lang w:val="es-419"/>
        </w:rPr>
        <w:t xml:space="preserve"> de una petición. En </w:t>
      </w:r>
      <w:r w:rsidR="006C3497" w:rsidRPr="002B3074">
        <w:rPr>
          <w:rFonts w:asciiTheme="majorHAnsi" w:hAnsiTheme="majorHAnsi"/>
          <w:sz w:val="20"/>
          <w:szCs w:val="20"/>
          <w:lang w:val="es-419"/>
        </w:rPr>
        <w:t>la presente etapa</w:t>
      </w:r>
      <w:r w:rsidRPr="002B3074">
        <w:rPr>
          <w:rFonts w:asciiTheme="majorHAnsi" w:hAnsiTheme="majorHAnsi"/>
          <w:sz w:val="20"/>
          <w:szCs w:val="20"/>
          <w:lang w:val="es-419"/>
        </w:rPr>
        <w:t xml:space="preserve">, la Comisión sólo realiza una evaluación </w:t>
      </w:r>
      <w:r w:rsidRPr="002B3074">
        <w:rPr>
          <w:rFonts w:asciiTheme="majorHAnsi" w:hAnsiTheme="majorHAnsi"/>
          <w:i/>
          <w:iCs/>
          <w:sz w:val="20"/>
          <w:szCs w:val="20"/>
          <w:lang w:val="es-419"/>
        </w:rPr>
        <w:t>prima facie</w:t>
      </w:r>
      <w:r w:rsidRPr="002B3074">
        <w:rPr>
          <w:rFonts w:asciiTheme="majorHAnsi" w:hAnsiTheme="majorHAnsi"/>
          <w:sz w:val="20"/>
          <w:szCs w:val="20"/>
          <w:lang w:val="es-419"/>
        </w:rPr>
        <w:t xml:space="preserve"> para determinar si la petición fundamenta una posible o potencial violación de un derecho garantizado por la Convención. Esta evaluación no establece la existencia de una violación de derechos</w:t>
      </w:r>
      <w:r w:rsidR="006C3497" w:rsidRPr="002B3074">
        <w:rPr>
          <w:rFonts w:asciiTheme="majorHAnsi" w:hAnsiTheme="majorHAnsi"/>
          <w:sz w:val="20"/>
          <w:szCs w:val="20"/>
          <w:lang w:val="es-419"/>
        </w:rPr>
        <w:t xml:space="preserve"> </w:t>
      </w:r>
      <w:r w:rsidRPr="002B3074">
        <w:rPr>
          <w:rFonts w:asciiTheme="majorHAnsi" w:hAnsiTheme="majorHAnsi"/>
          <w:sz w:val="20"/>
          <w:szCs w:val="20"/>
          <w:lang w:val="es-419"/>
        </w:rPr>
        <w:t>y no implica un juicio previo sobre el fondo del asunto</w:t>
      </w:r>
      <w:r w:rsidR="006C3497" w:rsidRPr="002B3074">
        <w:rPr>
          <w:rFonts w:asciiTheme="majorHAnsi" w:hAnsiTheme="majorHAnsi"/>
          <w:bCs/>
          <w:sz w:val="20"/>
          <w:szCs w:val="20"/>
          <w:vertAlign w:val="superscript"/>
          <w:lang w:val="pt-BR"/>
        </w:rPr>
        <w:footnoteReference w:id="9"/>
      </w:r>
      <w:r w:rsidRPr="002B3074">
        <w:rPr>
          <w:rFonts w:asciiTheme="majorHAnsi" w:hAnsiTheme="majorHAnsi"/>
          <w:sz w:val="20"/>
          <w:szCs w:val="20"/>
          <w:lang w:val="es-419"/>
        </w:rPr>
        <w:t>.</w:t>
      </w:r>
    </w:p>
    <w:p w14:paraId="04ED3727" w14:textId="77777777" w:rsidR="000E6E0D" w:rsidRPr="002B3074" w:rsidRDefault="00BA6F4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La petición se refiere esencialmente a la condena penal y civil de un periodista por un texto que escribió y publicó en su blog, luego de que una autoridad estatal considerara que el texto ofendía su honor. Al respecto, la Comisión Interamericana recuerda que, en una sociedad democrática, el ejercicio de la libertad de expresión para criticar la actuación de los servidores públicos goza de especial protección. La imposición de una sanción penal como consecuencia de un ejercicio de la libertad de expresión, así como la exigencia del pago de reparaciones civiles por el mismo motivo, pueden constituir una limitación desproporcionada e ilegítima a este derecho. Además, pueden tener un efecto inhibidor de esa libertad, con el resultado evidente e incapacitante de la autocensura como forma de evitar sanciones que comprometan la vida personal y familiar de quien denuncia a un funcionario público</w:t>
      </w:r>
      <w:r w:rsidRPr="002B3074">
        <w:rPr>
          <w:rFonts w:asciiTheme="majorHAnsi" w:hAnsiTheme="majorHAnsi"/>
          <w:bCs/>
          <w:sz w:val="20"/>
          <w:szCs w:val="20"/>
          <w:vertAlign w:val="superscript"/>
          <w:lang w:val="pt-BR"/>
        </w:rPr>
        <w:footnoteReference w:id="10"/>
      </w:r>
      <w:r w:rsidRPr="002B3074">
        <w:rPr>
          <w:rFonts w:asciiTheme="majorHAnsi" w:hAnsiTheme="majorHAnsi"/>
          <w:sz w:val="20"/>
          <w:szCs w:val="20"/>
          <w:lang w:val="es-419"/>
        </w:rPr>
        <w:t>.</w:t>
      </w:r>
    </w:p>
    <w:p w14:paraId="441ECBC6" w14:textId="5E06E77F" w:rsidR="000E6E0D" w:rsidRPr="002B3074" w:rsidRDefault="000E6E0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 xml:space="preserve">La Comisión también nota que el periodista José Cristian Góes fue condenado a una pena de prisión de </w:t>
      </w:r>
      <w:r w:rsidR="005C50F0" w:rsidRPr="002B3074">
        <w:rPr>
          <w:rFonts w:asciiTheme="majorHAnsi" w:hAnsiTheme="majorHAnsi"/>
          <w:sz w:val="20"/>
          <w:szCs w:val="20"/>
          <w:lang w:val="es-419"/>
        </w:rPr>
        <w:t>siete</w:t>
      </w:r>
      <w:r w:rsidRPr="002B3074">
        <w:rPr>
          <w:rFonts w:asciiTheme="majorHAnsi" w:hAnsiTheme="majorHAnsi"/>
          <w:sz w:val="20"/>
          <w:szCs w:val="20"/>
          <w:lang w:val="es-419"/>
        </w:rPr>
        <w:t xml:space="preserve"> meses y </w:t>
      </w:r>
      <w:r w:rsidR="005C50F0" w:rsidRPr="002B3074">
        <w:rPr>
          <w:rFonts w:asciiTheme="majorHAnsi" w:hAnsiTheme="majorHAnsi"/>
          <w:sz w:val="20"/>
          <w:szCs w:val="20"/>
          <w:lang w:val="es-419"/>
        </w:rPr>
        <w:t>dieciséis</w:t>
      </w:r>
      <w:r w:rsidRPr="002B3074">
        <w:rPr>
          <w:rFonts w:asciiTheme="majorHAnsi" w:hAnsiTheme="majorHAnsi"/>
          <w:sz w:val="20"/>
          <w:szCs w:val="20"/>
          <w:lang w:val="es-419"/>
        </w:rPr>
        <w:t xml:space="preserve"> días, sustituida por la prestación de servicios en una entidad asistencial; y el pago de una indemnización de 30 mil reales. En marzo de 2015, fecha en que se habría fijado ese valor, el salario mínimo brasileño era de 788 reales</w:t>
      </w:r>
      <w:r w:rsidRPr="002B3074">
        <w:rPr>
          <w:rFonts w:asciiTheme="majorHAnsi" w:hAnsiTheme="majorHAnsi"/>
          <w:bCs/>
          <w:sz w:val="20"/>
          <w:szCs w:val="20"/>
          <w:vertAlign w:val="superscript"/>
          <w:lang w:val="pt-BR"/>
        </w:rPr>
        <w:footnoteReference w:id="11"/>
      </w:r>
      <w:r w:rsidRPr="002B3074">
        <w:rPr>
          <w:rFonts w:asciiTheme="majorHAnsi" w:hAnsiTheme="majorHAnsi"/>
          <w:sz w:val="20"/>
          <w:szCs w:val="20"/>
          <w:lang w:val="es-419"/>
        </w:rPr>
        <w:t>. Así, el monto fijado equivalía a aproximadamente 38 salarios mínimos.</w:t>
      </w:r>
    </w:p>
    <w:p w14:paraId="0B824C70" w14:textId="77777777" w:rsidR="000E6E0D" w:rsidRPr="002B3074" w:rsidRDefault="000E6E0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La Comisión también observa que la condena del Sr. Góes se basó en la legislación interna relativa a los delitos contra el honor, lo que hace que la adecuación del derecho interno a las normas interamericanas también sea un aspecto relevante de esta petición.</w:t>
      </w:r>
    </w:p>
    <w:p w14:paraId="360A8CFA" w14:textId="0E3DB8E0" w:rsidR="000E6E0D" w:rsidRPr="002B3074" w:rsidRDefault="000E6E0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Así, considerando todo lo anterior y su jurisprudencia</w:t>
      </w:r>
      <w:r w:rsidRPr="002B3074">
        <w:rPr>
          <w:rFonts w:asciiTheme="majorHAnsi" w:hAnsiTheme="majorHAnsi"/>
          <w:sz w:val="20"/>
          <w:szCs w:val="20"/>
          <w:vertAlign w:val="superscript"/>
          <w:lang w:val="pt-BR"/>
        </w:rPr>
        <w:footnoteReference w:id="12"/>
      </w:r>
      <w:r w:rsidRPr="002B3074">
        <w:rPr>
          <w:rFonts w:asciiTheme="majorHAnsi" w:hAnsiTheme="majorHAnsi"/>
          <w:sz w:val="20"/>
          <w:szCs w:val="20"/>
          <w:lang w:val="es-419"/>
        </w:rPr>
        <w:t>,</w:t>
      </w:r>
      <w:r w:rsidRPr="002B3074">
        <w:rPr>
          <w:rFonts w:asciiTheme="majorHAnsi" w:hAnsiTheme="majorHAnsi"/>
          <w:sz w:val="20"/>
          <w:szCs w:val="20"/>
          <w:lang w:val="es-ES"/>
        </w:rPr>
        <w:t xml:space="preserve"> </w:t>
      </w:r>
      <w:r w:rsidRPr="002B3074">
        <w:rPr>
          <w:rFonts w:asciiTheme="majorHAnsi" w:hAnsiTheme="majorHAnsi"/>
          <w:sz w:val="20"/>
          <w:szCs w:val="20"/>
          <w:lang w:val="es-419"/>
        </w:rPr>
        <w:t xml:space="preserve">la Comisión considera que, de probarse, los hechos narrados pueden caracterizar violaciones de los artículos 8 (garantías judiciales), </w:t>
      </w:r>
      <w:r w:rsidR="004D5767" w:rsidRPr="002B3074">
        <w:rPr>
          <w:rFonts w:asciiTheme="majorHAnsi" w:hAnsiTheme="majorHAnsi"/>
          <w:sz w:val="20"/>
          <w:szCs w:val="20"/>
          <w:lang w:val="es-419"/>
        </w:rPr>
        <w:t xml:space="preserve">9 (principio de legalidad y no retroactividad), </w:t>
      </w:r>
      <w:r w:rsidRPr="002B3074">
        <w:rPr>
          <w:rFonts w:asciiTheme="majorHAnsi" w:hAnsiTheme="majorHAnsi"/>
          <w:sz w:val="20"/>
          <w:szCs w:val="20"/>
          <w:lang w:val="es-419"/>
        </w:rPr>
        <w:t>13 (libertad de pensamiento y expresión)</w:t>
      </w:r>
      <w:r w:rsidR="00773989" w:rsidRPr="002B3074">
        <w:rPr>
          <w:rFonts w:asciiTheme="majorHAnsi" w:hAnsiTheme="majorHAnsi"/>
          <w:sz w:val="20"/>
          <w:szCs w:val="20"/>
          <w:lang w:val="es-419"/>
        </w:rPr>
        <w:t xml:space="preserve"> </w:t>
      </w:r>
      <w:r w:rsidRPr="002B3074">
        <w:rPr>
          <w:rFonts w:asciiTheme="majorHAnsi" w:hAnsiTheme="majorHAnsi"/>
          <w:sz w:val="20"/>
          <w:szCs w:val="20"/>
          <w:lang w:val="es-419"/>
        </w:rPr>
        <w:t>y 25 (protección judicial) de la Convención Americana, todos relacionados con sus artículos 1.1 (obligación de respetar los derechos) y 2 (deber de adoptar disposiciones de derecho interno).</w:t>
      </w:r>
    </w:p>
    <w:p w14:paraId="477D93B1" w14:textId="69E33460" w:rsidR="000E6E0D" w:rsidRPr="002B3074" w:rsidRDefault="000E6E0D" w:rsidP="002B3074">
      <w:pPr>
        <w:pStyle w:val="ListParagraph"/>
        <w:numPr>
          <w:ilvl w:val="0"/>
          <w:numId w:val="59"/>
        </w:numPr>
        <w:spacing w:before="240" w:after="240"/>
        <w:ind w:left="0" w:firstLine="720"/>
        <w:jc w:val="both"/>
        <w:rPr>
          <w:rFonts w:asciiTheme="majorHAnsi" w:hAnsiTheme="majorHAnsi"/>
          <w:sz w:val="20"/>
          <w:szCs w:val="20"/>
          <w:lang w:val="es-419"/>
        </w:rPr>
      </w:pPr>
      <w:r w:rsidRPr="002B3074">
        <w:rPr>
          <w:rFonts w:asciiTheme="majorHAnsi" w:hAnsiTheme="majorHAnsi"/>
          <w:sz w:val="20"/>
          <w:szCs w:val="20"/>
          <w:lang w:val="es-419"/>
        </w:rPr>
        <w:t>En cuanto al alegato de la parte peticionaria sobre una posible violación del artículo 9 (legalidad y retroactividad) de la Convención Americana, la Comisión aclara que no encontró elementos suficientes para establecer tal posibilidad, ya que el Sr. Góes se basó en un tipo penal cuya legislación precedió a los hechos relevantes.</w:t>
      </w:r>
    </w:p>
    <w:p w14:paraId="40DABB4D" w14:textId="7F69AE0C" w:rsidR="006E3BAD" w:rsidRPr="002B3074" w:rsidRDefault="006E3BAD" w:rsidP="002B3074">
      <w:pPr>
        <w:pStyle w:val="ListParagraph"/>
        <w:spacing w:before="240" w:after="240"/>
        <w:ind w:left="0" w:firstLine="709"/>
        <w:jc w:val="both"/>
        <w:rPr>
          <w:rFonts w:asciiTheme="majorHAnsi" w:hAnsiTheme="majorHAnsi"/>
          <w:b/>
          <w:sz w:val="20"/>
          <w:szCs w:val="20"/>
          <w:lang w:val="es-419"/>
        </w:rPr>
      </w:pPr>
      <w:r w:rsidRPr="002B3074">
        <w:rPr>
          <w:rFonts w:asciiTheme="majorHAnsi" w:hAnsiTheme="majorHAnsi"/>
          <w:b/>
          <w:sz w:val="20"/>
          <w:szCs w:val="20"/>
          <w:lang w:val="es-419"/>
        </w:rPr>
        <w:t xml:space="preserve">VIII. </w:t>
      </w:r>
      <w:r w:rsidRPr="002B3074">
        <w:rPr>
          <w:rFonts w:asciiTheme="majorHAnsi" w:hAnsiTheme="majorHAnsi"/>
          <w:b/>
          <w:sz w:val="20"/>
          <w:szCs w:val="20"/>
          <w:lang w:val="es-419"/>
        </w:rPr>
        <w:tab/>
      </w:r>
      <w:r w:rsidRPr="002B3074">
        <w:rPr>
          <w:rFonts w:asciiTheme="majorHAnsi" w:hAnsiTheme="majorHAnsi"/>
          <w:b/>
          <w:bCs/>
          <w:sz w:val="20"/>
          <w:szCs w:val="20"/>
          <w:lang w:val="es-419"/>
        </w:rPr>
        <w:t>DECISIÓN</w:t>
      </w:r>
    </w:p>
    <w:p w14:paraId="070CBD69" w14:textId="4BC731F0" w:rsidR="00BE620F" w:rsidRPr="002B3074" w:rsidRDefault="00BE620F" w:rsidP="002B307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419"/>
        </w:rPr>
      </w:pPr>
      <w:r w:rsidRPr="002B3074">
        <w:rPr>
          <w:rFonts w:asciiTheme="majorHAnsi" w:hAnsiTheme="majorHAnsi"/>
          <w:sz w:val="20"/>
          <w:szCs w:val="20"/>
          <w:lang w:val="es-419"/>
        </w:rPr>
        <w:t>Declarar admitida la presente petición en relación con los artículos 8,</w:t>
      </w:r>
      <w:r w:rsidR="005E2D52" w:rsidRPr="002B3074">
        <w:rPr>
          <w:rFonts w:asciiTheme="majorHAnsi" w:hAnsiTheme="majorHAnsi"/>
          <w:sz w:val="20"/>
          <w:szCs w:val="20"/>
          <w:lang w:val="es-419"/>
        </w:rPr>
        <w:t xml:space="preserve"> 9,</w:t>
      </w:r>
      <w:r w:rsidRPr="002B3074">
        <w:rPr>
          <w:rFonts w:asciiTheme="majorHAnsi" w:hAnsiTheme="majorHAnsi"/>
          <w:sz w:val="20"/>
          <w:szCs w:val="20"/>
          <w:lang w:val="es-419"/>
        </w:rPr>
        <w:t>1</w:t>
      </w:r>
      <w:r w:rsidR="000E6E0D" w:rsidRPr="002B3074">
        <w:rPr>
          <w:rFonts w:asciiTheme="majorHAnsi" w:hAnsiTheme="majorHAnsi"/>
          <w:sz w:val="20"/>
          <w:szCs w:val="20"/>
          <w:lang w:val="es-419"/>
        </w:rPr>
        <w:t>3</w:t>
      </w:r>
      <w:r w:rsidR="002F0322" w:rsidRPr="002B3074">
        <w:rPr>
          <w:rFonts w:asciiTheme="majorHAnsi" w:hAnsiTheme="majorHAnsi"/>
          <w:sz w:val="20"/>
          <w:szCs w:val="20"/>
          <w:lang w:val="es-419"/>
        </w:rPr>
        <w:t xml:space="preserve"> </w:t>
      </w:r>
      <w:r w:rsidR="000E6E0D" w:rsidRPr="002B3074">
        <w:rPr>
          <w:rFonts w:asciiTheme="majorHAnsi" w:hAnsiTheme="majorHAnsi"/>
          <w:sz w:val="20"/>
          <w:szCs w:val="20"/>
          <w:lang w:val="es-419"/>
        </w:rPr>
        <w:t>y</w:t>
      </w:r>
      <w:r w:rsidRPr="002B3074">
        <w:rPr>
          <w:rFonts w:asciiTheme="majorHAnsi" w:hAnsiTheme="majorHAnsi"/>
          <w:sz w:val="20"/>
          <w:szCs w:val="20"/>
          <w:lang w:val="es-419"/>
        </w:rPr>
        <w:t xml:space="preserve"> 25 de la Convención Americana, en relación con los artículos 1.1 y 2;</w:t>
      </w:r>
      <w:r w:rsidR="00760BC1">
        <w:rPr>
          <w:rFonts w:asciiTheme="majorHAnsi" w:hAnsiTheme="majorHAnsi"/>
          <w:sz w:val="20"/>
          <w:szCs w:val="20"/>
          <w:lang w:val="es-419"/>
        </w:rPr>
        <w:t xml:space="preserve"> y</w:t>
      </w:r>
    </w:p>
    <w:p w14:paraId="245C05A6" w14:textId="6D8A8D73" w:rsidR="006E3BAD" w:rsidRDefault="00BE620F" w:rsidP="002B307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2B3074">
        <w:rPr>
          <w:rFonts w:asciiTheme="majorHAnsi" w:hAnsiTheme="majorHAnsi"/>
          <w:sz w:val="20"/>
          <w:szCs w:val="20"/>
          <w:lang w:val="es-419"/>
        </w:rPr>
        <w:t xml:space="preserve">Notificar a las partes esta decisión, continuar con el análisis de fondo del asunto, publicar la </w:t>
      </w:r>
      <w:r w:rsidRPr="002B3074">
        <w:rPr>
          <w:rFonts w:asciiTheme="majorHAnsi" w:hAnsiTheme="majorHAnsi"/>
          <w:sz w:val="20"/>
          <w:szCs w:val="20"/>
          <w:lang w:val="es-419"/>
        </w:rPr>
        <w:lastRenderedPageBreak/>
        <w:t>decisión e incluirla en su Inf</w:t>
      </w:r>
      <w:r w:rsidRPr="002B3074">
        <w:rPr>
          <w:sz w:val="20"/>
          <w:szCs w:val="20"/>
          <w:lang w:val="es-419"/>
        </w:rPr>
        <w:t>orme Anu</w:t>
      </w:r>
      <w:r w:rsidRPr="00643E7F">
        <w:rPr>
          <w:sz w:val="20"/>
          <w:szCs w:val="20"/>
          <w:lang w:val="es-419"/>
        </w:rPr>
        <w:t>al a la Asamblea General de la Organización de los Estados Americanos.</w:t>
      </w:r>
    </w:p>
    <w:p w14:paraId="60BC72DD" w14:textId="4ABA54AA" w:rsidR="00124825" w:rsidRPr="0083566F" w:rsidRDefault="00124825" w:rsidP="0012482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Pr>
          <w:rStyle w:val="normaltextrun"/>
          <w:rFonts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y </w:t>
      </w:r>
      <w:r w:rsidRPr="005D270A">
        <w:rPr>
          <w:rStyle w:val="normaltextrun"/>
          <w:rFonts w:cs="Segoe UI"/>
          <w:sz w:val="20"/>
          <w:szCs w:val="20"/>
          <w:lang w:val="es-CL"/>
        </w:rPr>
        <w:t>José Luis Caballero Ochoa</w:t>
      </w:r>
      <w:r>
        <w:rPr>
          <w:rStyle w:val="normaltextrun"/>
          <w:rFonts w:cs="Segoe UI"/>
          <w:sz w:val="20"/>
          <w:szCs w:val="20"/>
          <w:lang w:val="es-CL"/>
        </w:rPr>
        <w:t xml:space="preserve">, </w:t>
      </w:r>
      <w:r w:rsidR="0067078B">
        <w:rPr>
          <w:rStyle w:val="normaltextrun"/>
          <w:rFonts w:cs="Segoe UI"/>
          <w:sz w:val="20"/>
          <w:szCs w:val="20"/>
          <w:lang w:val="es-CL"/>
        </w:rPr>
        <w:t>m</w:t>
      </w:r>
      <w:r>
        <w:rPr>
          <w:rStyle w:val="normaltextrun"/>
          <w:rFonts w:cs="Segoe UI"/>
          <w:sz w:val="20"/>
          <w:szCs w:val="20"/>
          <w:lang w:val="es-CL"/>
        </w:rPr>
        <w:t>iembros de la Comisión.</w:t>
      </w:r>
    </w:p>
    <w:p w14:paraId="57934D86" w14:textId="77777777" w:rsidR="00760BC1" w:rsidRPr="00124825" w:rsidRDefault="00760BC1" w:rsidP="00760BC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sz w:val="20"/>
          <w:szCs w:val="20"/>
          <w:lang w:val="es-ES_tradnl"/>
        </w:rPr>
      </w:pPr>
    </w:p>
    <w:sectPr w:rsidR="00760BC1" w:rsidRPr="001248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66A6" w14:textId="77777777" w:rsidR="006D0E7A" w:rsidRDefault="006D0E7A">
      <w:r>
        <w:separator/>
      </w:r>
    </w:p>
  </w:endnote>
  <w:endnote w:type="continuationSeparator" w:id="0">
    <w:p w14:paraId="4AB92867" w14:textId="77777777" w:rsidR="006D0E7A" w:rsidRDefault="006D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3DDD" w14:textId="77777777" w:rsidR="006D0E7A" w:rsidRPr="000F35ED" w:rsidRDefault="006D0E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C3B61E" w14:textId="77777777" w:rsidR="006D0E7A" w:rsidRPr="000F35ED" w:rsidRDefault="006D0E7A" w:rsidP="000F35ED">
      <w:pPr>
        <w:rPr>
          <w:rFonts w:asciiTheme="majorHAnsi" w:hAnsiTheme="majorHAnsi"/>
          <w:sz w:val="16"/>
          <w:szCs w:val="16"/>
        </w:rPr>
      </w:pPr>
      <w:r w:rsidRPr="000F35ED">
        <w:rPr>
          <w:rFonts w:asciiTheme="majorHAnsi" w:hAnsiTheme="majorHAnsi"/>
          <w:sz w:val="16"/>
          <w:szCs w:val="16"/>
        </w:rPr>
        <w:separator/>
      </w:r>
    </w:p>
    <w:p w14:paraId="082E80A2" w14:textId="77777777" w:rsidR="006D0E7A" w:rsidRPr="000F35ED" w:rsidRDefault="006D0E7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4DC9B5" w14:textId="77777777" w:rsidR="006D0E7A" w:rsidRPr="000F35ED" w:rsidRDefault="006D0E7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17BE4316" w:rsidR="008E3BFE" w:rsidRPr="00515CD6" w:rsidRDefault="008E3BFE" w:rsidP="00515CD6">
      <w:pPr>
        <w:pStyle w:val="FootnoteText"/>
        <w:ind w:firstLine="720"/>
        <w:jc w:val="both"/>
        <w:rPr>
          <w:rFonts w:asciiTheme="majorHAnsi" w:hAnsiTheme="majorHAnsi"/>
          <w:sz w:val="16"/>
          <w:szCs w:val="16"/>
          <w:lang w:val="es-ES"/>
        </w:rPr>
      </w:pPr>
      <w:r w:rsidRPr="00515CD6">
        <w:rPr>
          <w:rStyle w:val="FootnoteReference"/>
          <w:rFonts w:asciiTheme="majorHAnsi" w:hAnsiTheme="majorHAnsi"/>
          <w:sz w:val="16"/>
          <w:szCs w:val="16"/>
        </w:rPr>
        <w:footnoteRef/>
      </w:r>
      <w:r w:rsidRPr="00515CD6">
        <w:rPr>
          <w:rFonts w:asciiTheme="majorHAnsi" w:hAnsiTheme="majorHAnsi"/>
          <w:sz w:val="16"/>
          <w:szCs w:val="16"/>
          <w:lang w:val="es-ES"/>
        </w:rPr>
        <w:t xml:space="preserve"> Las observaciones de cada parte fueron debidamente trasladadas a la parte contraria.</w:t>
      </w:r>
      <w:r w:rsidR="00C50F48" w:rsidRPr="00515CD6">
        <w:rPr>
          <w:rFonts w:asciiTheme="majorHAnsi" w:hAnsiTheme="majorHAnsi"/>
          <w:sz w:val="16"/>
          <w:szCs w:val="16"/>
          <w:lang w:val="es-ES"/>
        </w:rPr>
        <w:t xml:space="preserve"> La parte peticionaria expresó nuevamente su interés en continuar con el escrito de fecha 9 de agosto de 2021, mediante una solicitud para que la CIDH actualizara sus datos de contacto.</w:t>
      </w:r>
    </w:p>
  </w:footnote>
  <w:footnote w:id="3">
    <w:p w14:paraId="1D08F92F" w14:textId="1691568E" w:rsidR="000C0810" w:rsidRPr="00515CD6" w:rsidRDefault="000C0810" w:rsidP="00515CD6">
      <w:pPr>
        <w:pStyle w:val="FootnoteText"/>
        <w:ind w:firstLine="720"/>
        <w:jc w:val="both"/>
        <w:rPr>
          <w:rFonts w:asciiTheme="majorHAnsi" w:hAnsiTheme="majorHAnsi"/>
          <w:sz w:val="16"/>
          <w:szCs w:val="16"/>
          <w:lang w:val="es-US"/>
        </w:rPr>
      </w:pPr>
      <w:r w:rsidRPr="00515CD6">
        <w:rPr>
          <w:rStyle w:val="FootnoteReference"/>
          <w:rFonts w:asciiTheme="majorHAnsi" w:hAnsiTheme="majorHAnsi"/>
          <w:sz w:val="16"/>
          <w:szCs w:val="16"/>
        </w:rPr>
        <w:footnoteRef/>
      </w:r>
      <w:r w:rsidRPr="00515CD6">
        <w:rPr>
          <w:rFonts w:asciiTheme="majorHAnsi" w:hAnsiTheme="majorHAnsi"/>
          <w:sz w:val="16"/>
          <w:szCs w:val="16"/>
          <w:lang w:val="es-US"/>
        </w:rPr>
        <w:t xml:space="preserve"> En Adelante “la Convención Americana” o “la Convención”. </w:t>
      </w:r>
    </w:p>
  </w:footnote>
  <w:footnote w:id="4">
    <w:p w14:paraId="2DAF3C4E" w14:textId="4DA1239E" w:rsidR="0009546C" w:rsidRPr="00515CD6" w:rsidRDefault="0009546C" w:rsidP="00515CD6">
      <w:pPr>
        <w:pStyle w:val="FootnoteText"/>
        <w:ind w:firstLine="720"/>
        <w:jc w:val="both"/>
        <w:rPr>
          <w:rFonts w:asciiTheme="majorHAnsi" w:hAnsiTheme="majorHAnsi"/>
          <w:sz w:val="16"/>
          <w:szCs w:val="16"/>
          <w:lang w:val="es-ES"/>
        </w:rPr>
      </w:pPr>
      <w:r w:rsidRPr="00515CD6">
        <w:rPr>
          <w:rStyle w:val="FootnoteReference"/>
          <w:rFonts w:asciiTheme="majorHAnsi" w:hAnsiTheme="majorHAnsi"/>
          <w:sz w:val="16"/>
          <w:szCs w:val="16"/>
        </w:rPr>
        <w:footnoteRef/>
      </w:r>
      <w:r w:rsidRPr="00515CD6">
        <w:rPr>
          <w:rFonts w:asciiTheme="majorHAnsi" w:hAnsiTheme="majorHAnsi"/>
          <w:sz w:val="16"/>
          <w:szCs w:val="16"/>
          <w:lang w:val="es-ES"/>
        </w:rPr>
        <w:t xml:space="preserve"> En el derecho brasileño, los jueces de los tribunales superiores son llamados de “ministros”.</w:t>
      </w:r>
    </w:p>
  </w:footnote>
  <w:footnote w:id="5">
    <w:p w14:paraId="57FB4956" w14:textId="6209938D" w:rsidR="001C6501" w:rsidRPr="00515CD6" w:rsidRDefault="001C6501" w:rsidP="00515CD6">
      <w:pPr>
        <w:tabs>
          <w:tab w:val="left" w:pos="0"/>
        </w:tabs>
        <w:ind w:firstLine="709"/>
        <w:jc w:val="both"/>
        <w:rPr>
          <w:rFonts w:asciiTheme="majorHAnsi" w:hAnsiTheme="majorHAnsi"/>
          <w:sz w:val="16"/>
          <w:szCs w:val="16"/>
          <w:lang w:val="es-ES"/>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es-ES"/>
        </w:rPr>
        <w:t xml:space="preserve"> Véase también: CIDH, Informe No. 19/4. Petición 673-11. Admisibilidad. Fernando Alcântara de Figueiredo y Laci Marinho de Araújo. Brasil. 3 de enero de 2019, párrafo 20 (resolución de la CIDH que consideró agotados los recursos internos tras la decisión final e inapelable del STF que denegó el Recurso Colegiado Reglamentario); CIDH, Informe No. 78/16, Petición 1170-09. Admisibilidad. Almir Mu</w:t>
      </w:r>
      <w:r w:rsidR="006C3497" w:rsidRPr="00515CD6">
        <w:rPr>
          <w:rFonts w:asciiTheme="majorHAnsi" w:hAnsiTheme="majorHAnsi"/>
          <w:sz w:val="16"/>
          <w:szCs w:val="16"/>
          <w:lang w:val="es-ES"/>
        </w:rPr>
        <w:t>n</w:t>
      </w:r>
      <w:r w:rsidRPr="00515CD6">
        <w:rPr>
          <w:rFonts w:asciiTheme="majorHAnsi" w:hAnsiTheme="majorHAnsi"/>
          <w:sz w:val="16"/>
          <w:szCs w:val="16"/>
          <w:lang w:val="es-ES"/>
        </w:rPr>
        <w:t xml:space="preserve">iz da Silva. Brasil. 30 de diciembre de 2016, párrafo 30 (alegato del Estado, en otro caso ante la CIDH, en el que el mismo Estado defiende el Recurso Colegiado Reglamentario como forma de agotamiento de los recursos internos); CIDH, Informe No. 128/19. Petición 1174-09 Admisibilidad. José Rafael Brezer y otros. Brasil. 16 de agosto de 2019, párrafo 10 (otro caso ante la CIDH en el que el </w:t>
      </w:r>
      <w:r w:rsidR="006C3497" w:rsidRPr="00515CD6">
        <w:rPr>
          <w:rFonts w:asciiTheme="majorHAnsi" w:hAnsiTheme="majorHAnsi"/>
          <w:sz w:val="16"/>
          <w:szCs w:val="16"/>
          <w:lang w:val="es-ES"/>
        </w:rPr>
        <w:t xml:space="preserve">propio </w:t>
      </w:r>
      <w:r w:rsidRPr="00515CD6">
        <w:rPr>
          <w:rFonts w:asciiTheme="majorHAnsi" w:hAnsiTheme="majorHAnsi"/>
          <w:sz w:val="16"/>
          <w:szCs w:val="16"/>
          <w:lang w:val="es-ES"/>
        </w:rPr>
        <w:t>Estado defendió el Recurso Colegiado Reglamentario como medio de agotamiento de los recursos internos).</w:t>
      </w:r>
    </w:p>
  </w:footnote>
  <w:footnote w:id="6">
    <w:p w14:paraId="78352FD8" w14:textId="340D6945" w:rsidR="0054169C" w:rsidRPr="00515CD6" w:rsidRDefault="0054169C" w:rsidP="00515CD6">
      <w:pPr>
        <w:tabs>
          <w:tab w:val="left" w:pos="0"/>
        </w:tabs>
        <w:ind w:firstLine="709"/>
        <w:jc w:val="both"/>
        <w:rPr>
          <w:rFonts w:asciiTheme="majorHAnsi" w:hAnsiTheme="majorHAnsi"/>
          <w:sz w:val="16"/>
          <w:szCs w:val="16"/>
          <w:lang w:val="pt-BR"/>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es-ES"/>
        </w:rPr>
        <w:t xml:space="preserve"> CIDH, Informe No. 106/13. Petición 951-</w:t>
      </w:r>
      <w:r w:rsidR="006C3497" w:rsidRPr="00515CD6">
        <w:rPr>
          <w:rFonts w:asciiTheme="majorHAnsi" w:hAnsiTheme="majorHAnsi"/>
          <w:sz w:val="16"/>
          <w:szCs w:val="16"/>
          <w:lang w:val="es-ES"/>
        </w:rPr>
        <w:t>0</w:t>
      </w:r>
      <w:r w:rsidRPr="00515CD6">
        <w:rPr>
          <w:rFonts w:asciiTheme="majorHAnsi" w:hAnsiTheme="majorHAnsi"/>
          <w:sz w:val="16"/>
          <w:szCs w:val="16"/>
          <w:lang w:val="es-ES"/>
        </w:rPr>
        <w:t xml:space="preserve">1. Inadmisibilidad. </w:t>
      </w:r>
      <w:r w:rsidRPr="00515CD6">
        <w:rPr>
          <w:rFonts w:asciiTheme="majorHAnsi" w:hAnsiTheme="majorHAnsi"/>
          <w:sz w:val="16"/>
          <w:szCs w:val="16"/>
          <w:lang w:val="pt-BR"/>
        </w:rPr>
        <w:t xml:space="preserve">Francisco José Magí. </w:t>
      </w:r>
      <w:r w:rsidR="006C3497" w:rsidRPr="00515CD6">
        <w:rPr>
          <w:rFonts w:asciiTheme="majorHAnsi" w:hAnsiTheme="majorHAnsi"/>
          <w:sz w:val="16"/>
          <w:szCs w:val="16"/>
          <w:lang w:val="pt-BR"/>
        </w:rPr>
        <w:t>A</w:t>
      </w:r>
      <w:r w:rsidRPr="00515CD6">
        <w:rPr>
          <w:rFonts w:asciiTheme="majorHAnsi" w:hAnsiTheme="majorHAnsi"/>
          <w:sz w:val="16"/>
          <w:szCs w:val="16"/>
          <w:lang w:val="pt-BR"/>
        </w:rPr>
        <w:t>rgentin</w:t>
      </w:r>
      <w:r w:rsidR="006C3497" w:rsidRPr="00515CD6">
        <w:rPr>
          <w:rFonts w:asciiTheme="majorHAnsi" w:hAnsiTheme="majorHAnsi"/>
          <w:sz w:val="16"/>
          <w:szCs w:val="16"/>
          <w:lang w:val="pt-BR"/>
        </w:rPr>
        <w:t>a.</w:t>
      </w:r>
      <w:r w:rsidRPr="00515CD6">
        <w:rPr>
          <w:rFonts w:asciiTheme="majorHAnsi" w:hAnsiTheme="majorHAnsi"/>
          <w:sz w:val="16"/>
          <w:szCs w:val="16"/>
          <w:lang w:val="pt-BR"/>
        </w:rPr>
        <w:t xml:space="preserve"> 5 de noviembre de 2013, párrafos 21-23, 31-35.</w:t>
      </w:r>
    </w:p>
  </w:footnote>
  <w:footnote w:id="7">
    <w:p w14:paraId="1C939724" w14:textId="6AE14BE7" w:rsidR="008C2068" w:rsidRPr="00515CD6" w:rsidRDefault="002146CA" w:rsidP="00515CD6">
      <w:pPr>
        <w:tabs>
          <w:tab w:val="left" w:pos="0"/>
        </w:tabs>
        <w:ind w:firstLine="709"/>
        <w:jc w:val="both"/>
        <w:rPr>
          <w:rFonts w:asciiTheme="majorHAnsi" w:hAnsiTheme="majorHAnsi"/>
          <w:sz w:val="16"/>
          <w:szCs w:val="16"/>
          <w:lang w:val="es-ES"/>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pt-BR"/>
        </w:rPr>
        <w:t xml:space="preserve"> </w:t>
      </w:r>
      <w:r w:rsidR="008C2068" w:rsidRPr="00515CD6">
        <w:rPr>
          <w:rFonts w:asciiTheme="majorHAnsi" w:hAnsiTheme="majorHAnsi"/>
          <w:sz w:val="16"/>
          <w:szCs w:val="16"/>
          <w:lang w:val="pt-BR"/>
        </w:rPr>
        <w:t xml:space="preserve">Véase, </w:t>
      </w:r>
      <w:r w:rsidR="008C2068" w:rsidRPr="00515CD6">
        <w:rPr>
          <w:rFonts w:asciiTheme="majorHAnsi" w:hAnsiTheme="majorHAnsi"/>
          <w:i/>
          <w:iCs/>
          <w:sz w:val="16"/>
          <w:szCs w:val="16"/>
          <w:lang w:val="pt-BR"/>
        </w:rPr>
        <w:t>e.g.</w:t>
      </w:r>
      <w:r w:rsidR="008C2068" w:rsidRPr="00515CD6">
        <w:rPr>
          <w:rFonts w:asciiTheme="majorHAnsi" w:hAnsiTheme="majorHAnsi"/>
          <w:sz w:val="16"/>
          <w:szCs w:val="16"/>
          <w:lang w:val="pt-BR"/>
        </w:rPr>
        <w:t xml:space="preserve">, Pedro Miranda de Oliveira, “Prequestionamento”, Enciclopédia Jurídica da PUCSP, 2018. </w:t>
      </w:r>
      <w:r w:rsidR="008C2068" w:rsidRPr="00515CD6">
        <w:rPr>
          <w:rFonts w:asciiTheme="majorHAnsi" w:hAnsiTheme="majorHAnsi"/>
          <w:sz w:val="16"/>
          <w:szCs w:val="16"/>
          <w:lang w:val="es-ES"/>
        </w:rPr>
        <w:t xml:space="preserve">No hay, en el Código de Proceso Civil (principal ley sobre procedimientos y recursos), una definición legal de </w:t>
      </w:r>
      <w:r w:rsidR="008C2068" w:rsidRPr="00515CD6">
        <w:rPr>
          <w:rFonts w:asciiTheme="majorHAnsi" w:hAnsiTheme="majorHAnsi"/>
          <w:i/>
          <w:iCs/>
          <w:sz w:val="16"/>
          <w:szCs w:val="16"/>
          <w:lang w:val="es-ES"/>
        </w:rPr>
        <w:t>precuestionamiento</w:t>
      </w:r>
      <w:r w:rsidR="008C2068" w:rsidRPr="00515CD6">
        <w:rPr>
          <w:rFonts w:asciiTheme="majorHAnsi" w:hAnsiTheme="majorHAnsi"/>
          <w:sz w:val="16"/>
          <w:szCs w:val="16"/>
          <w:lang w:val="es-ES"/>
        </w:rPr>
        <w:t xml:space="preserve">. </w:t>
      </w:r>
    </w:p>
  </w:footnote>
  <w:footnote w:id="8">
    <w:p w14:paraId="4780D8A9" w14:textId="36F833A0" w:rsidR="008C2068" w:rsidRPr="00515CD6" w:rsidRDefault="008C2068" w:rsidP="00515CD6">
      <w:pPr>
        <w:tabs>
          <w:tab w:val="left" w:pos="0"/>
        </w:tabs>
        <w:ind w:firstLine="709"/>
        <w:jc w:val="both"/>
        <w:rPr>
          <w:rFonts w:asciiTheme="majorHAnsi" w:hAnsiTheme="majorHAnsi"/>
          <w:sz w:val="16"/>
          <w:szCs w:val="16"/>
          <w:lang w:val="es-ES"/>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es-ES"/>
        </w:rPr>
        <w:t xml:space="preserve"> Pedro Miranda de Oliveira, “Prequestionamento”, Enciclopédia Jurídica da PUCSP, 2018 (caracteriza el </w:t>
      </w:r>
      <w:r w:rsidRPr="004E6353">
        <w:rPr>
          <w:rFonts w:asciiTheme="majorHAnsi" w:hAnsiTheme="majorHAnsi"/>
          <w:i/>
          <w:iCs/>
          <w:sz w:val="16"/>
          <w:szCs w:val="16"/>
          <w:lang w:val="es-ES"/>
        </w:rPr>
        <w:t>precuestionamiento</w:t>
      </w:r>
      <w:r w:rsidRPr="00515CD6">
        <w:rPr>
          <w:rFonts w:asciiTheme="majorHAnsi" w:hAnsiTheme="majorHAnsi"/>
          <w:sz w:val="16"/>
          <w:szCs w:val="16"/>
          <w:lang w:val="es-ES"/>
        </w:rPr>
        <w:t xml:space="preserve"> como “el requisito de admisibilidad más polémico”).</w:t>
      </w:r>
    </w:p>
  </w:footnote>
  <w:footnote w:id="9">
    <w:p w14:paraId="4CB683F1" w14:textId="77777777" w:rsidR="006C3497" w:rsidRPr="00515CD6" w:rsidRDefault="006C3497" w:rsidP="00515CD6">
      <w:pPr>
        <w:tabs>
          <w:tab w:val="left" w:pos="0"/>
        </w:tabs>
        <w:ind w:firstLine="709"/>
        <w:jc w:val="both"/>
        <w:rPr>
          <w:rFonts w:asciiTheme="majorHAnsi" w:hAnsiTheme="majorHAnsi"/>
          <w:sz w:val="16"/>
          <w:szCs w:val="16"/>
          <w:lang w:val="pt-BR"/>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es-ES"/>
        </w:rPr>
        <w:t xml:space="preserve"> Similarmente: CIDH, Relatório No. 341/21. </w:t>
      </w:r>
      <w:r w:rsidRPr="00515CD6">
        <w:rPr>
          <w:rFonts w:asciiTheme="majorHAnsi" w:hAnsiTheme="majorHAnsi"/>
          <w:sz w:val="16"/>
          <w:szCs w:val="16"/>
          <w:lang w:val="pt-BR"/>
        </w:rPr>
        <w:t>Petição 441-10. Admissibilidade. Pessoas privadas de liberdade em cadeias públicas de Minas Gerais. Brasil. 22 de novembro de 2021, parágrafo 10.</w:t>
      </w:r>
    </w:p>
  </w:footnote>
  <w:footnote w:id="10">
    <w:p w14:paraId="36B7C6DC" w14:textId="6D541FCA" w:rsidR="00BA6F4D" w:rsidRPr="00515CD6" w:rsidRDefault="00BA6F4D" w:rsidP="00515CD6">
      <w:pPr>
        <w:tabs>
          <w:tab w:val="left" w:pos="0"/>
        </w:tabs>
        <w:ind w:firstLine="709"/>
        <w:jc w:val="both"/>
        <w:rPr>
          <w:rFonts w:asciiTheme="majorHAnsi" w:hAnsiTheme="majorHAnsi"/>
          <w:sz w:val="16"/>
          <w:szCs w:val="16"/>
          <w:lang w:val="pt-BR"/>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pt-BR"/>
        </w:rPr>
        <w:t xml:space="preserve"> CIDH, Informe No. 18/7. Admisibilidad. Rogelio Miguel Ortíz Romero. Ecuador. 24 de febrero de 2018, párrafo 12.</w:t>
      </w:r>
    </w:p>
  </w:footnote>
  <w:footnote w:id="11">
    <w:p w14:paraId="6015152C" w14:textId="07F2DD22" w:rsidR="000E6E0D" w:rsidRPr="00515CD6" w:rsidRDefault="000E6E0D" w:rsidP="00515CD6">
      <w:pPr>
        <w:tabs>
          <w:tab w:val="left" w:pos="0"/>
        </w:tabs>
        <w:ind w:firstLine="709"/>
        <w:jc w:val="both"/>
        <w:rPr>
          <w:rFonts w:asciiTheme="majorHAnsi" w:hAnsiTheme="majorHAnsi"/>
          <w:sz w:val="16"/>
          <w:szCs w:val="16"/>
          <w:lang w:val="pt-BR"/>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pt-BR"/>
        </w:rPr>
        <w:t xml:space="preserve"> V. DIEESE, Salário Mínimo 2015, &lt;</w:t>
      </w:r>
      <w:hyperlink r:id="rId1" w:history="1">
        <w:r w:rsidRPr="00515CD6">
          <w:rPr>
            <w:rStyle w:val="Hyperlink"/>
            <w:rFonts w:asciiTheme="majorHAnsi" w:hAnsiTheme="majorHAnsi"/>
            <w:sz w:val="16"/>
            <w:szCs w:val="16"/>
            <w:lang w:val="pt-BR"/>
          </w:rPr>
          <w:t>https://www.dieese.org.br/analisecestabasica/salarioMinimo.html#2015</w:t>
        </w:r>
      </w:hyperlink>
      <w:r w:rsidRPr="00515CD6">
        <w:rPr>
          <w:rFonts w:asciiTheme="majorHAnsi" w:hAnsiTheme="majorHAnsi"/>
          <w:sz w:val="16"/>
          <w:szCs w:val="16"/>
          <w:lang w:val="pt-BR"/>
        </w:rPr>
        <w:t xml:space="preserve">&gt;. </w:t>
      </w:r>
    </w:p>
  </w:footnote>
  <w:footnote w:id="12">
    <w:p w14:paraId="51455A85" w14:textId="6B4B87E0" w:rsidR="000E6E0D" w:rsidRPr="00515CD6" w:rsidRDefault="000E6E0D" w:rsidP="00515CD6">
      <w:pPr>
        <w:tabs>
          <w:tab w:val="left" w:pos="0"/>
        </w:tabs>
        <w:ind w:firstLine="709"/>
        <w:jc w:val="both"/>
        <w:rPr>
          <w:rFonts w:asciiTheme="majorHAnsi" w:hAnsiTheme="majorHAnsi"/>
          <w:sz w:val="16"/>
          <w:szCs w:val="16"/>
          <w:lang w:val="pt-BR"/>
        </w:rPr>
      </w:pPr>
      <w:r w:rsidRPr="00515CD6">
        <w:rPr>
          <w:rStyle w:val="FootnoteReference"/>
          <w:rFonts w:asciiTheme="majorHAnsi" w:hAnsiTheme="majorHAnsi"/>
          <w:sz w:val="16"/>
          <w:szCs w:val="16"/>
          <w:lang w:val="pt-BR"/>
        </w:rPr>
        <w:footnoteRef/>
      </w:r>
      <w:r w:rsidRPr="00515CD6">
        <w:rPr>
          <w:rFonts w:asciiTheme="majorHAnsi" w:hAnsiTheme="majorHAnsi"/>
          <w:sz w:val="16"/>
          <w:szCs w:val="16"/>
          <w:lang w:val="pt-BR"/>
        </w:rPr>
        <w:t xml:space="preserve"> </w:t>
      </w:r>
      <w:r w:rsidRPr="00515CD6">
        <w:rPr>
          <w:rFonts w:asciiTheme="majorHAnsi" w:hAnsiTheme="majorHAnsi"/>
          <w:i/>
          <w:iCs/>
          <w:sz w:val="16"/>
          <w:szCs w:val="16"/>
          <w:lang w:val="pt-BR"/>
        </w:rPr>
        <w:t>V.g.</w:t>
      </w:r>
      <w:r w:rsidRPr="00515CD6">
        <w:rPr>
          <w:rFonts w:asciiTheme="majorHAnsi" w:hAnsiTheme="majorHAnsi"/>
          <w:sz w:val="16"/>
          <w:szCs w:val="16"/>
          <w:lang w:val="pt-BR"/>
        </w:rPr>
        <w:t>, CIDH, Informe No. 18/7. Admisibilidad. Rogelio Miguel Ortíz Romero. Ecuador. 24 de febrero de 2018, párrafo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C5E2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8"/>
  </w:num>
  <w:num w:numId="3" w16cid:durableId="1663389590">
    <w:abstractNumId w:val="61"/>
  </w:num>
  <w:num w:numId="4" w16cid:durableId="82342866">
    <w:abstractNumId w:val="23"/>
  </w:num>
  <w:num w:numId="5" w16cid:durableId="1599026591">
    <w:abstractNumId w:val="53"/>
  </w:num>
  <w:num w:numId="6" w16cid:durableId="1795514418">
    <w:abstractNumId w:val="31"/>
  </w:num>
  <w:num w:numId="7" w16cid:durableId="396254">
    <w:abstractNumId w:val="9"/>
  </w:num>
  <w:num w:numId="8" w16cid:durableId="1302268258">
    <w:abstractNumId w:val="19"/>
  </w:num>
  <w:num w:numId="9" w16cid:durableId="669480169">
    <w:abstractNumId w:val="47"/>
  </w:num>
  <w:num w:numId="10" w16cid:durableId="275260533">
    <w:abstractNumId w:val="2"/>
  </w:num>
  <w:num w:numId="11" w16cid:durableId="866258526">
    <w:abstractNumId w:val="42"/>
  </w:num>
  <w:num w:numId="12" w16cid:durableId="171335598">
    <w:abstractNumId w:val="43"/>
  </w:num>
  <w:num w:numId="13" w16cid:durableId="752550714">
    <w:abstractNumId w:val="50"/>
  </w:num>
  <w:num w:numId="14" w16cid:durableId="728965123">
    <w:abstractNumId w:val="3"/>
  </w:num>
  <w:num w:numId="15" w16cid:durableId="1621453753">
    <w:abstractNumId w:val="4"/>
  </w:num>
  <w:num w:numId="16" w16cid:durableId="83038602">
    <w:abstractNumId w:val="10"/>
  </w:num>
  <w:num w:numId="17" w16cid:durableId="1303999826">
    <w:abstractNumId w:val="11"/>
  </w:num>
  <w:num w:numId="18" w16cid:durableId="821040696">
    <w:abstractNumId w:val="12"/>
  </w:num>
  <w:num w:numId="19" w16cid:durableId="1169177920">
    <w:abstractNumId w:val="13"/>
  </w:num>
  <w:num w:numId="20" w16cid:durableId="1324315618">
    <w:abstractNumId w:val="14"/>
  </w:num>
  <w:num w:numId="21" w16cid:durableId="91245775">
    <w:abstractNumId w:val="15"/>
  </w:num>
  <w:num w:numId="22" w16cid:durableId="25645375">
    <w:abstractNumId w:val="16"/>
  </w:num>
  <w:num w:numId="23" w16cid:durableId="247152260">
    <w:abstractNumId w:val="17"/>
  </w:num>
  <w:num w:numId="24" w16cid:durableId="1871214995">
    <w:abstractNumId w:val="18"/>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7"/>
  </w:num>
  <w:num w:numId="58" w16cid:durableId="55784951">
    <w:abstractNumId w:val="41"/>
  </w:num>
  <w:num w:numId="59" w16cid:durableId="665792024">
    <w:abstractNumId w:val="65"/>
  </w:num>
  <w:num w:numId="60" w16cid:durableId="712732366">
    <w:abstractNumId w:val="37"/>
  </w:num>
  <w:num w:numId="61" w16cid:durableId="1097671741">
    <w:abstractNumId w:val="49"/>
  </w:num>
  <w:num w:numId="62" w16cid:durableId="1840730130">
    <w:abstractNumId w:val="55"/>
  </w:num>
  <w:num w:numId="63" w16cid:durableId="369187513">
    <w:abstractNumId w:val="5"/>
  </w:num>
  <w:num w:numId="64" w16cid:durableId="1129082726">
    <w:abstractNumId w:val="59"/>
  </w:num>
  <w:num w:numId="65" w16cid:durableId="1375806805">
    <w:abstractNumId w:val="0"/>
  </w:num>
  <w:num w:numId="66" w16cid:durableId="1638342112">
    <w:abstractNumId w:val="1"/>
  </w:num>
  <w:num w:numId="67" w16cid:durableId="691346643">
    <w:abstractNumId w:val="28"/>
  </w:num>
  <w:num w:numId="68" w16cid:durableId="1190148446">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B14"/>
    <w:rsid w:val="00006E1F"/>
    <w:rsid w:val="000070D7"/>
    <w:rsid w:val="00007E23"/>
    <w:rsid w:val="00016427"/>
    <w:rsid w:val="0001788C"/>
    <w:rsid w:val="000337EF"/>
    <w:rsid w:val="00040C3A"/>
    <w:rsid w:val="000419AD"/>
    <w:rsid w:val="000433C9"/>
    <w:rsid w:val="000444E7"/>
    <w:rsid w:val="000473B3"/>
    <w:rsid w:val="00053479"/>
    <w:rsid w:val="00071174"/>
    <w:rsid w:val="000716C5"/>
    <w:rsid w:val="00074D7C"/>
    <w:rsid w:val="00075E23"/>
    <w:rsid w:val="00082AB6"/>
    <w:rsid w:val="0008324F"/>
    <w:rsid w:val="00084EFC"/>
    <w:rsid w:val="000858C1"/>
    <w:rsid w:val="0008777B"/>
    <w:rsid w:val="0009344A"/>
    <w:rsid w:val="00094201"/>
    <w:rsid w:val="0009546C"/>
    <w:rsid w:val="000970F4"/>
    <w:rsid w:val="00097D06"/>
    <w:rsid w:val="000A1783"/>
    <w:rsid w:val="000A392E"/>
    <w:rsid w:val="000A575F"/>
    <w:rsid w:val="000B0800"/>
    <w:rsid w:val="000B66F4"/>
    <w:rsid w:val="000B7730"/>
    <w:rsid w:val="000C07F5"/>
    <w:rsid w:val="000C0810"/>
    <w:rsid w:val="000D05CB"/>
    <w:rsid w:val="000D10DB"/>
    <w:rsid w:val="000E4191"/>
    <w:rsid w:val="000E5EB5"/>
    <w:rsid w:val="000E6E0D"/>
    <w:rsid w:val="000F35ED"/>
    <w:rsid w:val="000F4CC5"/>
    <w:rsid w:val="000F5E60"/>
    <w:rsid w:val="000F7327"/>
    <w:rsid w:val="0010550C"/>
    <w:rsid w:val="00107131"/>
    <w:rsid w:val="0010736F"/>
    <w:rsid w:val="00113F73"/>
    <w:rsid w:val="00117739"/>
    <w:rsid w:val="00120FB0"/>
    <w:rsid w:val="00121CC2"/>
    <w:rsid w:val="00124156"/>
    <w:rsid w:val="00124825"/>
    <w:rsid w:val="001253BC"/>
    <w:rsid w:val="00131018"/>
    <w:rsid w:val="00131425"/>
    <w:rsid w:val="00133246"/>
    <w:rsid w:val="00133EE5"/>
    <w:rsid w:val="0013676D"/>
    <w:rsid w:val="00137976"/>
    <w:rsid w:val="001468E4"/>
    <w:rsid w:val="0015103D"/>
    <w:rsid w:val="00153C45"/>
    <w:rsid w:val="00163853"/>
    <w:rsid w:val="00163F99"/>
    <w:rsid w:val="00165562"/>
    <w:rsid w:val="00167A34"/>
    <w:rsid w:val="00171C9F"/>
    <w:rsid w:val="00174FF1"/>
    <w:rsid w:val="001818BA"/>
    <w:rsid w:val="001A520D"/>
    <w:rsid w:val="001A7870"/>
    <w:rsid w:val="001A7D7B"/>
    <w:rsid w:val="001B2369"/>
    <w:rsid w:val="001B3A00"/>
    <w:rsid w:val="001C0B64"/>
    <w:rsid w:val="001C1B41"/>
    <w:rsid w:val="001C6501"/>
    <w:rsid w:val="001C689E"/>
    <w:rsid w:val="001D21C7"/>
    <w:rsid w:val="001D4711"/>
    <w:rsid w:val="001D65EF"/>
    <w:rsid w:val="001E142D"/>
    <w:rsid w:val="001E15E7"/>
    <w:rsid w:val="001E49E7"/>
    <w:rsid w:val="001E5F1E"/>
    <w:rsid w:val="001F15DF"/>
    <w:rsid w:val="001F2A9E"/>
    <w:rsid w:val="001F7201"/>
    <w:rsid w:val="0020080E"/>
    <w:rsid w:val="00200B4B"/>
    <w:rsid w:val="002032AE"/>
    <w:rsid w:val="00206D43"/>
    <w:rsid w:val="002146CA"/>
    <w:rsid w:val="0022145A"/>
    <w:rsid w:val="00223A29"/>
    <w:rsid w:val="002243AA"/>
    <w:rsid w:val="002250A3"/>
    <w:rsid w:val="002301DC"/>
    <w:rsid w:val="00234F71"/>
    <w:rsid w:val="00235217"/>
    <w:rsid w:val="002362D0"/>
    <w:rsid w:val="00237C68"/>
    <w:rsid w:val="00246D1F"/>
    <w:rsid w:val="00246E6B"/>
    <w:rsid w:val="00247403"/>
    <w:rsid w:val="00247542"/>
    <w:rsid w:val="00263EC8"/>
    <w:rsid w:val="00266B61"/>
    <w:rsid w:val="0026712A"/>
    <w:rsid w:val="002704DB"/>
    <w:rsid w:val="00280896"/>
    <w:rsid w:val="00280B37"/>
    <w:rsid w:val="00281862"/>
    <w:rsid w:val="00283168"/>
    <w:rsid w:val="002840C1"/>
    <w:rsid w:val="00286C08"/>
    <w:rsid w:val="002A0AAE"/>
    <w:rsid w:val="002A5820"/>
    <w:rsid w:val="002B1533"/>
    <w:rsid w:val="002B3074"/>
    <w:rsid w:val="002B7433"/>
    <w:rsid w:val="002D2B26"/>
    <w:rsid w:val="002D7EA2"/>
    <w:rsid w:val="002E187C"/>
    <w:rsid w:val="002F0322"/>
    <w:rsid w:val="002F3F8C"/>
    <w:rsid w:val="003009E4"/>
    <w:rsid w:val="00300E8A"/>
    <w:rsid w:val="00302733"/>
    <w:rsid w:val="00305835"/>
    <w:rsid w:val="00306F33"/>
    <w:rsid w:val="00314078"/>
    <w:rsid w:val="0031535D"/>
    <w:rsid w:val="003239B8"/>
    <w:rsid w:val="0032599F"/>
    <w:rsid w:val="0033169F"/>
    <w:rsid w:val="00337592"/>
    <w:rsid w:val="003447F5"/>
    <w:rsid w:val="00344977"/>
    <w:rsid w:val="003459D0"/>
    <w:rsid w:val="00346C95"/>
    <w:rsid w:val="00347F0D"/>
    <w:rsid w:val="00356185"/>
    <w:rsid w:val="00360214"/>
    <w:rsid w:val="00360380"/>
    <w:rsid w:val="003640DD"/>
    <w:rsid w:val="003645BE"/>
    <w:rsid w:val="00364723"/>
    <w:rsid w:val="003656F1"/>
    <w:rsid w:val="00367A04"/>
    <w:rsid w:val="00367D92"/>
    <w:rsid w:val="003723D4"/>
    <w:rsid w:val="0037519E"/>
    <w:rsid w:val="00380295"/>
    <w:rsid w:val="00380AC4"/>
    <w:rsid w:val="00386CF0"/>
    <w:rsid w:val="0039576A"/>
    <w:rsid w:val="00395B9D"/>
    <w:rsid w:val="003A0679"/>
    <w:rsid w:val="003A591E"/>
    <w:rsid w:val="003A67B8"/>
    <w:rsid w:val="003B0958"/>
    <w:rsid w:val="003B3B36"/>
    <w:rsid w:val="003B5A95"/>
    <w:rsid w:val="003B70FB"/>
    <w:rsid w:val="003C3E20"/>
    <w:rsid w:val="003C676B"/>
    <w:rsid w:val="003D3BC2"/>
    <w:rsid w:val="003D67A9"/>
    <w:rsid w:val="003E51E9"/>
    <w:rsid w:val="003E6CA1"/>
    <w:rsid w:val="003F03E5"/>
    <w:rsid w:val="003F5154"/>
    <w:rsid w:val="003F6767"/>
    <w:rsid w:val="00405184"/>
    <w:rsid w:val="00405F9C"/>
    <w:rsid w:val="004065A8"/>
    <w:rsid w:val="0041180A"/>
    <w:rsid w:val="004165C2"/>
    <w:rsid w:val="004205D0"/>
    <w:rsid w:val="004241A0"/>
    <w:rsid w:val="00424FB5"/>
    <w:rsid w:val="004261A5"/>
    <w:rsid w:val="00427B38"/>
    <w:rsid w:val="00441ECB"/>
    <w:rsid w:val="00445193"/>
    <w:rsid w:val="0045112C"/>
    <w:rsid w:val="004528E6"/>
    <w:rsid w:val="00454A25"/>
    <w:rsid w:val="0046139B"/>
    <w:rsid w:val="00462C1B"/>
    <w:rsid w:val="004653E0"/>
    <w:rsid w:val="00467B7E"/>
    <w:rsid w:val="00473BB4"/>
    <w:rsid w:val="00473DE9"/>
    <w:rsid w:val="00477592"/>
    <w:rsid w:val="00484EAC"/>
    <w:rsid w:val="00486F1C"/>
    <w:rsid w:val="0049419D"/>
    <w:rsid w:val="004A057B"/>
    <w:rsid w:val="004A3986"/>
    <w:rsid w:val="004A6895"/>
    <w:rsid w:val="004A6A54"/>
    <w:rsid w:val="004B421C"/>
    <w:rsid w:val="004C20D2"/>
    <w:rsid w:val="004C2312"/>
    <w:rsid w:val="004C4B62"/>
    <w:rsid w:val="004C54C9"/>
    <w:rsid w:val="004C7219"/>
    <w:rsid w:val="004D109B"/>
    <w:rsid w:val="004D4ABA"/>
    <w:rsid w:val="004D5767"/>
    <w:rsid w:val="004D6025"/>
    <w:rsid w:val="004D65F1"/>
    <w:rsid w:val="004E013A"/>
    <w:rsid w:val="004E2649"/>
    <w:rsid w:val="004E3A90"/>
    <w:rsid w:val="004E6353"/>
    <w:rsid w:val="004F1840"/>
    <w:rsid w:val="004F1B17"/>
    <w:rsid w:val="004F4750"/>
    <w:rsid w:val="004F626F"/>
    <w:rsid w:val="00501399"/>
    <w:rsid w:val="00501F92"/>
    <w:rsid w:val="005047ED"/>
    <w:rsid w:val="0050633D"/>
    <w:rsid w:val="0050662A"/>
    <w:rsid w:val="0050782E"/>
    <w:rsid w:val="00507BC4"/>
    <w:rsid w:val="005128E4"/>
    <w:rsid w:val="005133DB"/>
    <w:rsid w:val="00514504"/>
    <w:rsid w:val="00515CD6"/>
    <w:rsid w:val="00521E1F"/>
    <w:rsid w:val="00522E0C"/>
    <w:rsid w:val="00525560"/>
    <w:rsid w:val="00540616"/>
    <w:rsid w:val="00540BCC"/>
    <w:rsid w:val="0054169C"/>
    <w:rsid w:val="00544C49"/>
    <w:rsid w:val="005516A1"/>
    <w:rsid w:val="005559EF"/>
    <w:rsid w:val="005627DD"/>
    <w:rsid w:val="00562B9D"/>
    <w:rsid w:val="00563557"/>
    <w:rsid w:val="005638E8"/>
    <w:rsid w:val="00567071"/>
    <w:rsid w:val="00571271"/>
    <w:rsid w:val="0057402A"/>
    <w:rsid w:val="005771D0"/>
    <w:rsid w:val="00584653"/>
    <w:rsid w:val="00587C5F"/>
    <w:rsid w:val="0059191A"/>
    <w:rsid w:val="005921FF"/>
    <w:rsid w:val="005964A7"/>
    <w:rsid w:val="00596CB5"/>
    <w:rsid w:val="005A2472"/>
    <w:rsid w:val="005A24ED"/>
    <w:rsid w:val="005A6D0E"/>
    <w:rsid w:val="005B039F"/>
    <w:rsid w:val="005B3279"/>
    <w:rsid w:val="005B52B0"/>
    <w:rsid w:val="005B6806"/>
    <w:rsid w:val="005C1A27"/>
    <w:rsid w:val="005C4225"/>
    <w:rsid w:val="005C50F0"/>
    <w:rsid w:val="005C5C59"/>
    <w:rsid w:val="005C606E"/>
    <w:rsid w:val="005D45B4"/>
    <w:rsid w:val="005E2D52"/>
    <w:rsid w:val="005E7173"/>
    <w:rsid w:val="005F0DAD"/>
    <w:rsid w:val="005F0F33"/>
    <w:rsid w:val="00600DEB"/>
    <w:rsid w:val="006021DC"/>
    <w:rsid w:val="00614A9D"/>
    <w:rsid w:val="00614FD6"/>
    <w:rsid w:val="00615731"/>
    <w:rsid w:val="00621CA4"/>
    <w:rsid w:val="00625E2F"/>
    <w:rsid w:val="00627562"/>
    <w:rsid w:val="00627C9F"/>
    <w:rsid w:val="006311E9"/>
    <w:rsid w:val="00632354"/>
    <w:rsid w:val="00635421"/>
    <w:rsid w:val="00635B94"/>
    <w:rsid w:val="00642810"/>
    <w:rsid w:val="00642F92"/>
    <w:rsid w:val="00643E7F"/>
    <w:rsid w:val="00652333"/>
    <w:rsid w:val="00663CC3"/>
    <w:rsid w:val="0067078B"/>
    <w:rsid w:val="00674552"/>
    <w:rsid w:val="006746F8"/>
    <w:rsid w:val="00677ED5"/>
    <w:rsid w:val="0068009E"/>
    <w:rsid w:val="00692219"/>
    <w:rsid w:val="00693CD3"/>
    <w:rsid w:val="00693EB9"/>
    <w:rsid w:val="006A17D2"/>
    <w:rsid w:val="006A73E6"/>
    <w:rsid w:val="006B2D5C"/>
    <w:rsid w:val="006B2EBE"/>
    <w:rsid w:val="006B3235"/>
    <w:rsid w:val="006B3F64"/>
    <w:rsid w:val="006C0ECF"/>
    <w:rsid w:val="006C2C64"/>
    <w:rsid w:val="006C2C98"/>
    <w:rsid w:val="006C2E24"/>
    <w:rsid w:val="006C3497"/>
    <w:rsid w:val="006C4EB1"/>
    <w:rsid w:val="006D0E7A"/>
    <w:rsid w:val="006D2037"/>
    <w:rsid w:val="006D6DEB"/>
    <w:rsid w:val="006E0166"/>
    <w:rsid w:val="006E2FFB"/>
    <w:rsid w:val="006E3BAD"/>
    <w:rsid w:val="006E7B34"/>
    <w:rsid w:val="006F3648"/>
    <w:rsid w:val="00704306"/>
    <w:rsid w:val="0070697F"/>
    <w:rsid w:val="007101DB"/>
    <w:rsid w:val="007103C4"/>
    <w:rsid w:val="007175C3"/>
    <w:rsid w:val="0072199C"/>
    <w:rsid w:val="00722C9F"/>
    <w:rsid w:val="00723817"/>
    <w:rsid w:val="007253B8"/>
    <w:rsid w:val="00733B31"/>
    <w:rsid w:val="0073741F"/>
    <w:rsid w:val="00744DED"/>
    <w:rsid w:val="00750B16"/>
    <w:rsid w:val="00751E29"/>
    <w:rsid w:val="00753436"/>
    <w:rsid w:val="00760BC1"/>
    <w:rsid w:val="007658AE"/>
    <w:rsid w:val="0076643F"/>
    <w:rsid w:val="00773989"/>
    <w:rsid w:val="00777F63"/>
    <w:rsid w:val="00784185"/>
    <w:rsid w:val="0078452A"/>
    <w:rsid w:val="00786CBF"/>
    <w:rsid w:val="00793F1C"/>
    <w:rsid w:val="00794F46"/>
    <w:rsid w:val="007A5417"/>
    <w:rsid w:val="007A5817"/>
    <w:rsid w:val="007B05C4"/>
    <w:rsid w:val="007B1823"/>
    <w:rsid w:val="007B60E9"/>
    <w:rsid w:val="007B6595"/>
    <w:rsid w:val="007B6CC3"/>
    <w:rsid w:val="007B76D3"/>
    <w:rsid w:val="007C13A0"/>
    <w:rsid w:val="007C282B"/>
    <w:rsid w:val="007C3334"/>
    <w:rsid w:val="007C66B1"/>
    <w:rsid w:val="007D2B98"/>
    <w:rsid w:val="007D450A"/>
    <w:rsid w:val="007E16DB"/>
    <w:rsid w:val="007E16EE"/>
    <w:rsid w:val="007E195B"/>
    <w:rsid w:val="007E21BC"/>
    <w:rsid w:val="007E5C97"/>
    <w:rsid w:val="007E6888"/>
    <w:rsid w:val="007E7C82"/>
    <w:rsid w:val="007F2AA1"/>
    <w:rsid w:val="007F588D"/>
    <w:rsid w:val="007F5E29"/>
    <w:rsid w:val="0080359D"/>
    <w:rsid w:val="00803F1C"/>
    <w:rsid w:val="00804FF9"/>
    <w:rsid w:val="00805D5C"/>
    <w:rsid w:val="0080600E"/>
    <w:rsid w:val="0080671D"/>
    <w:rsid w:val="00810822"/>
    <w:rsid w:val="00814688"/>
    <w:rsid w:val="00817612"/>
    <w:rsid w:val="00832361"/>
    <w:rsid w:val="008338A4"/>
    <w:rsid w:val="00834D49"/>
    <w:rsid w:val="00836EA6"/>
    <w:rsid w:val="00837C45"/>
    <w:rsid w:val="00841CD0"/>
    <w:rsid w:val="00841EBC"/>
    <w:rsid w:val="00844730"/>
    <w:rsid w:val="008452B2"/>
    <w:rsid w:val="008457C2"/>
    <w:rsid w:val="00854AFD"/>
    <w:rsid w:val="00857949"/>
    <w:rsid w:val="00857A82"/>
    <w:rsid w:val="00862981"/>
    <w:rsid w:val="00863ACA"/>
    <w:rsid w:val="008672ED"/>
    <w:rsid w:val="00872CBE"/>
    <w:rsid w:val="00873836"/>
    <w:rsid w:val="0088221E"/>
    <w:rsid w:val="00885737"/>
    <w:rsid w:val="00890650"/>
    <w:rsid w:val="008944DC"/>
    <w:rsid w:val="00895F48"/>
    <w:rsid w:val="00897E12"/>
    <w:rsid w:val="008A7E0F"/>
    <w:rsid w:val="008B12F5"/>
    <w:rsid w:val="008B271D"/>
    <w:rsid w:val="008B2C3B"/>
    <w:rsid w:val="008B4094"/>
    <w:rsid w:val="008C002D"/>
    <w:rsid w:val="008C2068"/>
    <w:rsid w:val="008C520D"/>
    <w:rsid w:val="008C538C"/>
    <w:rsid w:val="008C5E2D"/>
    <w:rsid w:val="008D087B"/>
    <w:rsid w:val="008D768D"/>
    <w:rsid w:val="008E2546"/>
    <w:rsid w:val="008E3759"/>
    <w:rsid w:val="008E3BFE"/>
    <w:rsid w:val="008F1912"/>
    <w:rsid w:val="008F288F"/>
    <w:rsid w:val="0090135C"/>
    <w:rsid w:val="0090270B"/>
    <w:rsid w:val="009041DC"/>
    <w:rsid w:val="0091191E"/>
    <w:rsid w:val="00917B5A"/>
    <w:rsid w:val="00920A58"/>
    <w:rsid w:val="00920A8C"/>
    <w:rsid w:val="00927786"/>
    <w:rsid w:val="00930044"/>
    <w:rsid w:val="00934A2C"/>
    <w:rsid w:val="00940D1F"/>
    <w:rsid w:val="00944B9D"/>
    <w:rsid w:val="00944C3A"/>
    <w:rsid w:val="00952C03"/>
    <w:rsid w:val="00955339"/>
    <w:rsid w:val="00957C0E"/>
    <w:rsid w:val="00960BAA"/>
    <w:rsid w:val="0096706E"/>
    <w:rsid w:val="00974312"/>
    <w:rsid w:val="00974491"/>
    <w:rsid w:val="00975AD7"/>
    <w:rsid w:val="00975C4E"/>
    <w:rsid w:val="00981FBA"/>
    <w:rsid w:val="00982364"/>
    <w:rsid w:val="00982CB3"/>
    <w:rsid w:val="00987B7B"/>
    <w:rsid w:val="009921CD"/>
    <w:rsid w:val="00996122"/>
    <w:rsid w:val="00997BC5"/>
    <w:rsid w:val="009A3825"/>
    <w:rsid w:val="009A4F41"/>
    <w:rsid w:val="009B03E1"/>
    <w:rsid w:val="009B1678"/>
    <w:rsid w:val="009B381B"/>
    <w:rsid w:val="009B5220"/>
    <w:rsid w:val="009C5E2B"/>
    <w:rsid w:val="009C7649"/>
    <w:rsid w:val="009D1753"/>
    <w:rsid w:val="009D2D7C"/>
    <w:rsid w:val="009D7611"/>
    <w:rsid w:val="009E0B61"/>
    <w:rsid w:val="009E390D"/>
    <w:rsid w:val="009E481A"/>
    <w:rsid w:val="009E53DE"/>
    <w:rsid w:val="009E763B"/>
    <w:rsid w:val="009E7F46"/>
    <w:rsid w:val="009F28A4"/>
    <w:rsid w:val="00A004BB"/>
    <w:rsid w:val="00A05B01"/>
    <w:rsid w:val="00A11212"/>
    <w:rsid w:val="00A1127B"/>
    <w:rsid w:val="00A11E44"/>
    <w:rsid w:val="00A144E3"/>
    <w:rsid w:val="00A2139A"/>
    <w:rsid w:val="00A23E33"/>
    <w:rsid w:val="00A2438F"/>
    <w:rsid w:val="00A24F3B"/>
    <w:rsid w:val="00A279CA"/>
    <w:rsid w:val="00A30100"/>
    <w:rsid w:val="00A307D5"/>
    <w:rsid w:val="00A328B3"/>
    <w:rsid w:val="00A342E3"/>
    <w:rsid w:val="00A34797"/>
    <w:rsid w:val="00A44CD2"/>
    <w:rsid w:val="00A47319"/>
    <w:rsid w:val="00A50FCF"/>
    <w:rsid w:val="00A528D1"/>
    <w:rsid w:val="00A577E7"/>
    <w:rsid w:val="00A610CD"/>
    <w:rsid w:val="00A61F34"/>
    <w:rsid w:val="00A63CFD"/>
    <w:rsid w:val="00A678DC"/>
    <w:rsid w:val="00A72E93"/>
    <w:rsid w:val="00A758AA"/>
    <w:rsid w:val="00A879E9"/>
    <w:rsid w:val="00A934E3"/>
    <w:rsid w:val="00A93EEE"/>
    <w:rsid w:val="00AA09A2"/>
    <w:rsid w:val="00AA2D5C"/>
    <w:rsid w:val="00AA7996"/>
    <w:rsid w:val="00AB3141"/>
    <w:rsid w:val="00AC19CB"/>
    <w:rsid w:val="00AC432D"/>
    <w:rsid w:val="00AC4711"/>
    <w:rsid w:val="00AD2609"/>
    <w:rsid w:val="00AD66C3"/>
    <w:rsid w:val="00AE174C"/>
    <w:rsid w:val="00AE4B75"/>
    <w:rsid w:val="00AE5488"/>
    <w:rsid w:val="00AE628B"/>
    <w:rsid w:val="00AE6F91"/>
    <w:rsid w:val="00AF1AF9"/>
    <w:rsid w:val="00AF224B"/>
    <w:rsid w:val="00AF5571"/>
    <w:rsid w:val="00AF649D"/>
    <w:rsid w:val="00AF69EB"/>
    <w:rsid w:val="00B0247A"/>
    <w:rsid w:val="00B07341"/>
    <w:rsid w:val="00B079D3"/>
    <w:rsid w:val="00B12136"/>
    <w:rsid w:val="00B14A8B"/>
    <w:rsid w:val="00B21119"/>
    <w:rsid w:val="00B2734D"/>
    <w:rsid w:val="00B27766"/>
    <w:rsid w:val="00B30539"/>
    <w:rsid w:val="00B314DB"/>
    <w:rsid w:val="00B32801"/>
    <w:rsid w:val="00B35BFA"/>
    <w:rsid w:val="00B361F2"/>
    <w:rsid w:val="00B3718B"/>
    <w:rsid w:val="00B3745F"/>
    <w:rsid w:val="00B40527"/>
    <w:rsid w:val="00B4365A"/>
    <w:rsid w:val="00B4632A"/>
    <w:rsid w:val="00B46A8A"/>
    <w:rsid w:val="00B530F1"/>
    <w:rsid w:val="00B53EAF"/>
    <w:rsid w:val="00B55A6C"/>
    <w:rsid w:val="00B653DB"/>
    <w:rsid w:val="00B70730"/>
    <w:rsid w:val="00B7711D"/>
    <w:rsid w:val="00B83158"/>
    <w:rsid w:val="00B878E8"/>
    <w:rsid w:val="00B90063"/>
    <w:rsid w:val="00B9113D"/>
    <w:rsid w:val="00B93D7F"/>
    <w:rsid w:val="00BA1502"/>
    <w:rsid w:val="00BA2401"/>
    <w:rsid w:val="00BA276C"/>
    <w:rsid w:val="00BA27E4"/>
    <w:rsid w:val="00BA6F4D"/>
    <w:rsid w:val="00BB019D"/>
    <w:rsid w:val="00BB0902"/>
    <w:rsid w:val="00BB306F"/>
    <w:rsid w:val="00BB395B"/>
    <w:rsid w:val="00BB6B26"/>
    <w:rsid w:val="00BB79F8"/>
    <w:rsid w:val="00BC157C"/>
    <w:rsid w:val="00BC51DB"/>
    <w:rsid w:val="00BD0FF5"/>
    <w:rsid w:val="00BD4B89"/>
    <w:rsid w:val="00BD57CA"/>
    <w:rsid w:val="00BD5922"/>
    <w:rsid w:val="00BE1571"/>
    <w:rsid w:val="00BE33F2"/>
    <w:rsid w:val="00BE620F"/>
    <w:rsid w:val="00BE790C"/>
    <w:rsid w:val="00BF02CB"/>
    <w:rsid w:val="00BF367E"/>
    <w:rsid w:val="00BF6FD8"/>
    <w:rsid w:val="00C018C3"/>
    <w:rsid w:val="00C01DCD"/>
    <w:rsid w:val="00C03680"/>
    <w:rsid w:val="00C03BF5"/>
    <w:rsid w:val="00C054DF"/>
    <w:rsid w:val="00C05F45"/>
    <w:rsid w:val="00C131C0"/>
    <w:rsid w:val="00C21762"/>
    <w:rsid w:val="00C21FEF"/>
    <w:rsid w:val="00C23BA4"/>
    <w:rsid w:val="00C24543"/>
    <w:rsid w:val="00C256A2"/>
    <w:rsid w:val="00C25ADB"/>
    <w:rsid w:val="00C4173B"/>
    <w:rsid w:val="00C50F48"/>
    <w:rsid w:val="00C51515"/>
    <w:rsid w:val="00C5660B"/>
    <w:rsid w:val="00C56831"/>
    <w:rsid w:val="00C64E07"/>
    <w:rsid w:val="00C66B72"/>
    <w:rsid w:val="00C721DB"/>
    <w:rsid w:val="00C8360D"/>
    <w:rsid w:val="00C87AC4"/>
    <w:rsid w:val="00C9124E"/>
    <w:rsid w:val="00C91668"/>
    <w:rsid w:val="00C92A2D"/>
    <w:rsid w:val="00C9316C"/>
    <w:rsid w:val="00C93731"/>
    <w:rsid w:val="00C9567A"/>
    <w:rsid w:val="00C96F72"/>
    <w:rsid w:val="00CA0E1A"/>
    <w:rsid w:val="00CA43D7"/>
    <w:rsid w:val="00CA5205"/>
    <w:rsid w:val="00CA5848"/>
    <w:rsid w:val="00CB212D"/>
    <w:rsid w:val="00CB2660"/>
    <w:rsid w:val="00CB360B"/>
    <w:rsid w:val="00CC55E0"/>
    <w:rsid w:val="00CC5E90"/>
    <w:rsid w:val="00CC7AE4"/>
    <w:rsid w:val="00CD046C"/>
    <w:rsid w:val="00CD0593"/>
    <w:rsid w:val="00CD3896"/>
    <w:rsid w:val="00CE076C"/>
    <w:rsid w:val="00CE5199"/>
    <w:rsid w:val="00CE5773"/>
    <w:rsid w:val="00CE66D5"/>
    <w:rsid w:val="00CE6CA9"/>
    <w:rsid w:val="00CF28F3"/>
    <w:rsid w:val="00CF637A"/>
    <w:rsid w:val="00D059DE"/>
    <w:rsid w:val="00D05ABD"/>
    <w:rsid w:val="00D1064A"/>
    <w:rsid w:val="00D10D79"/>
    <w:rsid w:val="00D13FCE"/>
    <w:rsid w:val="00D2719D"/>
    <w:rsid w:val="00D306D1"/>
    <w:rsid w:val="00D30800"/>
    <w:rsid w:val="00D30C33"/>
    <w:rsid w:val="00D3200B"/>
    <w:rsid w:val="00D34786"/>
    <w:rsid w:val="00D37BFC"/>
    <w:rsid w:val="00D471A2"/>
    <w:rsid w:val="00D47A8E"/>
    <w:rsid w:val="00D52D14"/>
    <w:rsid w:val="00D62460"/>
    <w:rsid w:val="00D712D3"/>
    <w:rsid w:val="00D71422"/>
    <w:rsid w:val="00D71AB0"/>
    <w:rsid w:val="00D72DC6"/>
    <w:rsid w:val="00D75503"/>
    <w:rsid w:val="00D7558D"/>
    <w:rsid w:val="00D76B53"/>
    <w:rsid w:val="00D81D92"/>
    <w:rsid w:val="00D876F9"/>
    <w:rsid w:val="00D92F63"/>
    <w:rsid w:val="00D94D00"/>
    <w:rsid w:val="00DA7598"/>
    <w:rsid w:val="00DA7B5F"/>
    <w:rsid w:val="00DB0D3E"/>
    <w:rsid w:val="00DB5930"/>
    <w:rsid w:val="00DC11E7"/>
    <w:rsid w:val="00DC24E3"/>
    <w:rsid w:val="00DC312E"/>
    <w:rsid w:val="00DC6BA7"/>
    <w:rsid w:val="00DC7023"/>
    <w:rsid w:val="00DC769A"/>
    <w:rsid w:val="00DD0312"/>
    <w:rsid w:val="00DD3D86"/>
    <w:rsid w:val="00DD4440"/>
    <w:rsid w:val="00DD4AD2"/>
    <w:rsid w:val="00DE0A58"/>
    <w:rsid w:val="00DE0AEC"/>
    <w:rsid w:val="00DE2862"/>
    <w:rsid w:val="00DF1EC4"/>
    <w:rsid w:val="00E0340B"/>
    <w:rsid w:val="00E04A90"/>
    <w:rsid w:val="00E0551F"/>
    <w:rsid w:val="00E062D0"/>
    <w:rsid w:val="00E12F4A"/>
    <w:rsid w:val="00E133F4"/>
    <w:rsid w:val="00E136B8"/>
    <w:rsid w:val="00E219C7"/>
    <w:rsid w:val="00E221D9"/>
    <w:rsid w:val="00E2321A"/>
    <w:rsid w:val="00E40E47"/>
    <w:rsid w:val="00E4118C"/>
    <w:rsid w:val="00E43157"/>
    <w:rsid w:val="00E461CE"/>
    <w:rsid w:val="00E46B7B"/>
    <w:rsid w:val="00E52F48"/>
    <w:rsid w:val="00E573E4"/>
    <w:rsid w:val="00E64C3D"/>
    <w:rsid w:val="00E66134"/>
    <w:rsid w:val="00E720CA"/>
    <w:rsid w:val="00E84EB5"/>
    <w:rsid w:val="00E85662"/>
    <w:rsid w:val="00E8789F"/>
    <w:rsid w:val="00E90B6A"/>
    <w:rsid w:val="00E97B71"/>
    <w:rsid w:val="00EA3D34"/>
    <w:rsid w:val="00EA7275"/>
    <w:rsid w:val="00EB454D"/>
    <w:rsid w:val="00EB4C17"/>
    <w:rsid w:val="00EB77C7"/>
    <w:rsid w:val="00EC0975"/>
    <w:rsid w:val="00EC0B52"/>
    <w:rsid w:val="00ED44DB"/>
    <w:rsid w:val="00ED549D"/>
    <w:rsid w:val="00ED5E10"/>
    <w:rsid w:val="00ED76BE"/>
    <w:rsid w:val="00EE00E9"/>
    <w:rsid w:val="00EE36C0"/>
    <w:rsid w:val="00EF1AAA"/>
    <w:rsid w:val="00EF619B"/>
    <w:rsid w:val="00F00B55"/>
    <w:rsid w:val="00F02AD1"/>
    <w:rsid w:val="00F054AB"/>
    <w:rsid w:val="00F07886"/>
    <w:rsid w:val="00F101AA"/>
    <w:rsid w:val="00F17870"/>
    <w:rsid w:val="00F2157A"/>
    <w:rsid w:val="00F253CC"/>
    <w:rsid w:val="00F30D78"/>
    <w:rsid w:val="00F37106"/>
    <w:rsid w:val="00F40B35"/>
    <w:rsid w:val="00F40B4A"/>
    <w:rsid w:val="00F4261A"/>
    <w:rsid w:val="00F44E25"/>
    <w:rsid w:val="00F47F3A"/>
    <w:rsid w:val="00F519CF"/>
    <w:rsid w:val="00F53EC5"/>
    <w:rsid w:val="00F553A4"/>
    <w:rsid w:val="00F56BA5"/>
    <w:rsid w:val="00F60C89"/>
    <w:rsid w:val="00F60E22"/>
    <w:rsid w:val="00F62635"/>
    <w:rsid w:val="00F671DB"/>
    <w:rsid w:val="00F67E3B"/>
    <w:rsid w:val="00F73D6F"/>
    <w:rsid w:val="00F7531D"/>
    <w:rsid w:val="00F8035D"/>
    <w:rsid w:val="00F80D59"/>
    <w:rsid w:val="00F81395"/>
    <w:rsid w:val="00F81BB8"/>
    <w:rsid w:val="00F8227D"/>
    <w:rsid w:val="00F85EAD"/>
    <w:rsid w:val="00F86156"/>
    <w:rsid w:val="00F90C64"/>
    <w:rsid w:val="00F917D1"/>
    <w:rsid w:val="00F93837"/>
    <w:rsid w:val="00F9653B"/>
    <w:rsid w:val="00FA3973"/>
    <w:rsid w:val="00FB011E"/>
    <w:rsid w:val="00FB62CF"/>
    <w:rsid w:val="00FC6219"/>
    <w:rsid w:val="00FC67EE"/>
    <w:rsid w:val="00FD16B0"/>
    <w:rsid w:val="00FD187A"/>
    <w:rsid w:val="00FD3C3B"/>
    <w:rsid w:val="00FE07DD"/>
    <w:rsid w:val="00FE117F"/>
    <w:rsid w:val="00FE6B45"/>
    <w:rsid w:val="00FF55F3"/>
    <w:rsid w:val="00FF5851"/>
    <w:rsid w:val="00FF7B79"/>
    <w:rsid w:val="014B84E1"/>
    <w:rsid w:val="0D504139"/>
    <w:rsid w:val="0F4C5AFA"/>
    <w:rsid w:val="10E29CB0"/>
    <w:rsid w:val="25BE288C"/>
    <w:rsid w:val="2B31EC68"/>
    <w:rsid w:val="2F63773B"/>
    <w:rsid w:val="315CF6AE"/>
    <w:rsid w:val="361DD5D1"/>
    <w:rsid w:val="3D6C9F81"/>
    <w:rsid w:val="56435FCA"/>
    <w:rsid w:val="602AB010"/>
    <w:rsid w:val="69BE21D8"/>
    <w:rsid w:val="7A3C872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unhideWhenUsed/>
    <w:rsid w:val="00540BCC"/>
    <w:rPr>
      <w:sz w:val="20"/>
      <w:szCs w:val="20"/>
    </w:rPr>
  </w:style>
  <w:style w:type="character" w:customStyle="1" w:styleId="CommentTextChar">
    <w:name w:val="Comment Text Char"/>
    <w:basedOn w:val="DefaultParagraphFont"/>
    <w:link w:val="CommentText"/>
    <w:uiPriority w:val="99"/>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6F36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12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stf.jus.br/process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eese.org.br/analisecestabasica/salarioMinimo.html%23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524F5"/>
    <w:rsid w:val="0008633E"/>
    <w:rsid w:val="00105E4D"/>
    <w:rsid w:val="0013512B"/>
    <w:rsid w:val="001C614B"/>
    <w:rsid w:val="00200821"/>
    <w:rsid w:val="0024346A"/>
    <w:rsid w:val="0025245B"/>
    <w:rsid w:val="002A3923"/>
    <w:rsid w:val="002A4C6B"/>
    <w:rsid w:val="00345AEA"/>
    <w:rsid w:val="00394049"/>
    <w:rsid w:val="003B0C71"/>
    <w:rsid w:val="0040007E"/>
    <w:rsid w:val="004B5BBB"/>
    <w:rsid w:val="004D1DE7"/>
    <w:rsid w:val="004F2DF8"/>
    <w:rsid w:val="00517E2A"/>
    <w:rsid w:val="005E5F29"/>
    <w:rsid w:val="00647F05"/>
    <w:rsid w:val="0065791A"/>
    <w:rsid w:val="006D12AA"/>
    <w:rsid w:val="006F24A1"/>
    <w:rsid w:val="007E3D7F"/>
    <w:rsid w:val="00875B8A"/>
    <w:rsid w:val="008C4DF0"/>
    <w:rsid w:val="0097224F"/>
    <w:rsid w:val="00977C12"/>
    <w:rsid w:val="009A261B"/>
    <w:rsid w:val="00AA2E17"/>
    <w:rsid w:val="00AC15A4"/>
    <w:rsid w:val="00B0336C"/>
    <w:rsid w:val="00BB38BA"/>
    <w:rsid w:val="00BC041E"/>
    <w:rsid w:val="00D241E9"/>
    <w:rsid w:val="00D7750D"/>
    <w:rsid w:val="00E047D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4148</Words>
  <Characters>23646</Characters>
  <Application>Microsoft Office Word</Application>
  <DocSecurity>0</DocSecurity>
  <Lines>197</Lines>
  <Paragraphs>55</Paragraphs>
  <ScaleCrop>false</ScaleCrop>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2024-01-18T15:35:00Z</dcterms:created>
  <dcterms:modified xsi:type="dcterms:W3CDTF">2024-01-18T15:35:00Z</dcterms:modified>
</cp:coreProperties>
</file>