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6A21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24DDF3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062B3">
                              <w:rPr>
                                <w:rFonts w:asciiTheme="majorHAnsi" w:hAnsiTheme="majorHAnsi" w:cs="Arial"/>
                                <w:b/>
                                <w:bCs/>
                                <w:color w:val="0D0D0D" w:themeColor="text1" w:themeTint="F2"/>
                                <w:sz w:val="36"/>
                                <w:szCs w:val="22"/>
                                <w:lang w:val="es-ES_tradnl"/>
                              </w:rPr>
                              <w:t>242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C17796">
                              <w:rPr>
                                <w:rFonts w:asciiTheme="majorHAnsi" w:hAnsiTheme="majorHAnsi" w:cs="Arial"/>
                                <w:b/>
                                <w:bCs/>
                                <w:color w:val="0D0D0D" w:themeColor="text1" w:themeTint="F2"/>
                                <w:sz w:val="36"/>
                                <w:szCs w:val="22"/>
                                <w:lang w:val="es-ES_tradnl"/>
                              </w:rPr>
                              <w:t>3</w:t>
                            </w:r>
                          </w:p>
                          <w:p w14:paraId="45F30ECA" w14:textId="1C5A45C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671BB" w:rsidRPr="006671BB">
                              <w:rPr>
                                <w:rFonts w:asciiTheme="majorHAnsi" w:hAnsiTheme="majorHAnsi" w:cs="Arial"/>
                                <w:b/>
                                <w:color w:val="0D0D0D" w:themeColor="text1" w:themeTint="F2"/>
                                <w:sz w:val="36"/>
                                <w:szCs w:val="22"/>
                                <w:lang w:val="es-ES_tradnl"/>
                              </w:rPr>
                              <w:t>1459-12</w:t>
                            </w:r>
                          </w:p>
                          <w:p w14:paraId="188B4303" w14:textId="30FED2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F6E7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70C64540" w:rsidR="005B52B0" w:rsidRDefault="006671BB" w:rsidP="007A5817">
                            <w:pPr>
                              <w:rPr>
                                <w:rFonts w:asciiTheme="majorHAnsi" w:hAnsiTheme="majorHAnsi" w:cs="Arial"/>
                                <w:color w:val="0D0D0D" w:themeColor="text1" w:themeTint="F2"/>
                                <w:szCs w:val="22"/>
                              </w:rPr>
                            </w:pPr>
                            <w:r w:rsidRPr="006671BB">
                              <w:rPr>
                                <w:rFonts w:asciiTheme="majorHAnsi" w:hAnsiTheme="majorHAnsi" w:cs="Arial"/>
                                <w:color w:val="0D0D0D" w:themeColor="text1" w:themeTint="F2"/>
                                <w:szCs w:val="22"/>
                              </w:rPr>
                              <w:t>WOLF GRUENBERG</w:t>
                            </w:r>
                            <w:r w:rsidR="00116812">
                              <w:rPr>
                                <w:rFonts w:asciiTheme="majorHAnsi" w:hAnsiTheme="majorHAnsi" w:cs="Arial"/>
                                <w:color w:val="0D0D0D" w:themeColor="text1" w:themeTint="F2"/>
                                <w:szCs w:val="22"/>
                              </w:rPr>
                              <w:t xml:space="preserve"> Y</w:t>
                            </w:r>
                            <w:r w:rsidRPr="006671BB">
                              <w:rPr>
                                <w:rFonts w:asciiTheme="majorHAnsi" w:hAnsiTheme="majorHAnsi" w:cs="Arial"/>
                                <w:color w:val="0D0D0D" w:themeColor="text1" w:themeTint="F2"/>
                                <w:szCs w:val="22"/>
                              </w:rPr>
                              <w:t xml:space="preserve"> BETTY GUENDLER GRUENBERG </w:t>
                            </w:r>
                          </w:p>
                          <w:p w14:paraId="7F6EC113" w14:textId="124B60F3" w:rsidR="006671BB" w:rsidRPr="006671BB" w:rsidRDefault="006671BB" w:rsidP="007A5817">
                            <w:pPr>
                              <w:rPr>
                                <w:color w:val="0D0D0D" w:themeColor="text1" w:themeTint="F2"/>
                              </w:rPr>
                            </w:pPr>
                            <w:r>
                              <w:rPr>
                                <w:rFonts w:asciiTheme="majorHAnsi" w:hAnsiTheme="majorHAnsi" w:cs="Arial"/>
                                <w:color w:val="0D0D0D" w:themeColor="text1" w:themeTint="F2"/>
                                <w:szCs w:val="22"/>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24DDF3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062B3">
                        <w:rPr>
                          <w:rFonts w:asciiTheme="majorHAnsi" w:hAnsiTheme="majorHAnsi" w:cs="Arial"/>
                          <w:b/>
                          <w:bCs/>
                          <w:color w:val="0D0D0D" w:themeColor="text1" w:themeTint="F2"/>
                          <w:sz w:val="36"/>
                          <w:szCs w:val="22"/>
                          <w:lang w:val="es-ES_tradnl"/>
                        </w:rPr>
                        <w:t>242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C17796">
                        <w:rPr>
                          <w:rFonts w:asciiTheme="majorHAnsi" w:hAnsiTheme="majorHAnsi" w:cs="Arial"/>
                          <w:b/>
                          <w:bCs/>
                          <w:color w:val="0D0D0D" w:themeColor="text1" w:themeTint="F2"/>
                          <w:sz w:val="36"/>
                          <w:szCs w:val="22"/>
                          <w:lang w:val="es-ES_tradnl"/>
                        </w:rPr>
                        <w:t>3</w:t>
                      </w:r>
                    </w:p>
                    <w:p w14:paraId="45F30ECA" w14:textId="1C5A45C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671BB" w:rsidRPr="006671BB">
                        <w:rPr>
                          <w:rFonts w:asciiTheme="majorHAnsi" w:hAnsiTheme="majorHAnsi" w:cs="Arial"/>
                          <w:b/>
                          <w:color w:val="0D0D0D" w:themeColor="text1" w:themeTint="F2"/>
                          <w:sz w:val="36"/>
                          <w:szCs w:val="22"/>
                          <w:lang w:val="es-ES_tradnl"/>
                        </w:rPr>
                        <w:t>1459-12</w:t>
                      </w:r>
                    </w:p>
                    <w:p w14:paraId="188B4303" w14:textId="30FED2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F6E7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70C64540" w:rsidR="005B52B0" w:rsidRDefault="006671BB" w:rsidP="007A5817">
                      <w:pPr>
                        <w:rPr>
                          <w:rFonts w:asciiTheme="majorHAnsi" w:hAnsiTheme="majorHAnsi" w:cs="Arial"/>
                          <w:color w:val="0D0D0D" w:themeColor="text1" w:themeTint="F2"/>
                          <w:szCs w:val="22"/>
                        </w:rPr>
                      </w:pPr>
                      <w:r w:rsidRPr="006671BB">
                        <w:rPr>
                          <w:rFonts w:asciiTheme="majorHAnsi" w:hAnsiTheme="majorHAnsi" w:cs="Arial"/>
                          <w:color w:val="0D0D0D" w:themeColor="text1" w:themeTint="F2"/>
                          <w:szCs w:val="22"/>
                        </w:rPr>
                        <w:t>WOLF GRUENBERG</w:t>
                      </w:r>
                      <w:r w:rsidR="00116812">
                        <w:rPr>
                          <w:rFonts w:asciiTheme="majorHAnsi" w:hAnsiTheme="majorHAnsi" w:cs="Arial"/>
                          <w:color w:val="0D0D0D" w:themeColor="text1" w:themeTint="F2"/>
                          <w:szCs w:val="22"/>
                        </w:rPr>
                        <w:t xml:space="preserve"> Y</w:t>
                      </w:r>
                      <w:r w:rsidRPr="006671BB">
                        <w:rPr>
                          <w:rFonts w:asciiTheme="majorHAnsi" w:hAnsiTheme="majorHAnsi" w:cs="Arial"/>
                          <w:color w:val="0D0D0D" w:themeColor="text1" w:themeTint="F2"/>
                          <w:szCs w:val="22"/>
                        </w:rPr>
                        <w:t xml:space="preserve"> BETTY GUENDLER GRUENBERG </w:t>
                      </w:r>
                    </w:p>
                    <w:p w14:paraId="7F6EC113" w14:textId="124B60F3" w:rsidR="006671BB" w:rsidRPr="006671BB" w:rsidRDefault="006671BB" w:rsidP="007A5817">
                      <w:pPr>
                        <w:rPr>
                          <w:color w:val="0D0D0D" w:themeColor="text1" w:themeTint="F2"/>
                        </w:rPr>
                      </w:pPr>
                      <w:r>
                        <w:rPr>
                          <w:rFonts w:asciiTheme="majorHAnsi" w:hAnsiTheme="majorHAnsi" w:cs="Arial"/>
                          <w:color w:val="0D0D0D" w:themeColor="text1" w:themeTint="F2"/>
                          <w:szCs w:val="22"/>
                        </w:rPr>
                        <w:t>BRASIL</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ACD2F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47F1992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062B3">
                              <w:rPr>
                                <w:rFonts w:asciiTheme="minorHAnsi" w:hAnsiTheme="minorHAnsi"/>
                                <w:color w:val="FFFFFF" w:themeColor="background1"/>
                                <w:sz w:val="22"/>
                                <w:lang w:val="pt-BR"/>
                              </w:rPr>
                              <w:t>261</w:t>
                            </w:r>
                          </w:p>
                          <w:p w14:paraId="4061DBBD" w14:textId="480345A0" w:rsidR="00627C9F" w:rsidRPr="00C25ADB" w:rsidRDefault="005062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w:t>
                            </w:r>
                            <w:r w:rsidR="00627C9F" w:rsidRPr="00C25ADB">
                              <w:rPr>
                                <w:rFonts w:asciiTheme="minorHAnsi" w:hAnsiTheme="minorHAnsi"/>
                                <w:color w:val="FFFFFF" w:themeColor="background1"/>
                                <w:sz w:val="22"/>
                                <w:lang w:val="es-PA"/>
                              </w:rPr>
                              <w:t xml:space="preserve"> </w:t>
                            </w:r>
                            <w:r w:rsidR="007B05C4" w:rsidRPr="00C25ADB">
                              <w:rPr>
                                <w:rFonts w:asciiTheme="minorHAnsi" w:hAnsiTheme="minorHAnsi"/>
                                <w:color w:val="FFFFFF" w:themeColor="background1"/>
                                <w:sz w:val="22"/>
                                <w:lang w:val="es-PA"/>
                              </w:rPr>
                              <w:t>s</w:t>
                            </w:r>
                            <w:r>
                              <w:rPr>
                                <w:rFonts w:asciiTheme="minorHAnsi" w:hAnsiTheme="minorHAnsi"/>
                                <w:color w:val="FFFFFF" w:themeColor="background1"/>
                                <w:sz w:val="22"/>
                                <w:lang w:val="es-PA"/>
                              </w:rPr>
                              <w:t>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17796">
                              <w:rPr>
                                <w:rFonts w:asciiTheme="minorHAnsi" w:hAnsiTheme="minorHAnsi"/>
                                <w:color w:val="FFFFFF" w:themeColor="background1"/>
                                <w:sz w:val="22"/>
                                <w:lang w:val="es-PA"/>
                              </w:rPr>
                              <w:t>3</w:t>
                            </w:r>
                          </w:p>
                          <w:p w14:paraId="0537C4A5" w14:textId="58DE3BAB"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974B1B">
                              <w:rPr>
                                <w:rFonts w:asciiTheme="minorHAnsi" w:hAnsiTheme="minorHAnsi"/>
                                <w:color w:val="FFFFFF" w:themeColor="background1"/>
                                <w:sz w:val="22"/>
                                <w:lang w:val="es-PA"/>
                              </w:rPr>
                              <w:t>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ACD2F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47F1992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062B3">
                        <w:rPr>
                          <w:rFonts w:asciiTheme="minorHAnsi" w:hAnsiTheme="minorHAnsi"/>
                          <w:color w:val="FFFFFF" w:themeColor="background1"/>
                          <w:sz w:val="22"/>
                          <w:lang w:val="pt-BR"/>
                        </w:rPr>
                        <w:t>261</w:t>
                      </w:r>
                    </w:p>
                    <w:p w14:paraId="4061DBBD" w14:textId="480345A0" w:rsidR="00627C9F" w:rsidRPr="00C25ADB" w:rsidRDefault="005062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w:t>
                      </w:r>
                      <w:r w:rsidR="00627C9F" w:rsidRPr="00C25ADB">
                        <w:rPr>
                          <w:rFonts w:asciiTheme="minorHAnsi" w:hAnsiTheme="minorHAnsi"/>
                          <w:color w:val="FFFFFF" w:themeColor="background1"/>
                          <w:sz w:val="22"/>
                          <w:lang w:val="es-PA"/>
                        </w:rPr>
                        <w:t xml:space="preserve"> </w:t>
                      </w:r>
                      <w:r w:rsidR="007B05C4" w:rsidRPr="00C25ADB">
                        <w:rPr>
                          <w:rFonts w:asciiTheme="minorHAnsi" w:hAnsiTheme="minorHAnsi"/>
                          <w:color w:val="FFFFFF" w:themeColor="background1"/>
                          <w:sz w:val="22"/>
                          <w:lang w:val="es-PA"/>
                        </w:rPr>
                        <w:t>s</w:t>
                      </w:r>
                      <w:r>
                        <w:rPr>
                          <w:rFonts w:asciiTheme="minorHAnsi" w:hAnsiTheme="minorHAnsi"/>
                          <w:color w:val="FFFFFF" w:themeColor="background1"/>
                          <w:sz w:val="22"/>
                          <w:lang w:val="es-PA"/>
                        </w:rPr>
                        <w:t>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17796">
                        <w:rPr>
                          <w:rFonts w:asciiTheme="minorHAnsi" w:hAnsiTheme="minorHAnsi"/>
                          <w:color w:val="FFFFFF" w:themeColor="background1"/>
                          <w:sz w:val="22"/>
                          <w:lang w:val="es-PA"/>
                        </w:rPr>
                        <w:t>3</w:t>
                      </w:r>
                    </w:p>
                    <w:p w14:paraId="0537C4A5" w14:textId="58DE3BAB"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974B1B">
                        <w:rPr>
                          <w:rFonts w:asciiTheme="minorHAnsi" w:hAnsiTheme="minorHAnsi"/>
                          <w:color w:val="FFFFFF" w:themeColor="background1"/>
                          <w:sz w:val="22"/>
                          <w:lang w:val="es-PA"/>
                        </w:rPr>
                        <w:t>portugués</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A714C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062B3">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5062B3">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17796">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A714C9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062B3">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5062B3">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17796">
                        <w:rPr>
                          <w:rFonts w:asciiTheme="majorHAnsi" w:hAnsiTheme="majorHAnsi"/>
                          <w:color w:val="0D0D0D" w:themeColor="text1" w:themeTint="F2"/>
                          <w:sz w:val="18"/>
                          <w:szCs w:val="22"/>
                          <w:lang w:val="es-ES"/>
                        </w:rPr>
                        <w:t>3</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EAB7D9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062B3" w:rsidRPr="005062B3">
                              <w:rPr>
                                <w:rFonts w:asciiTheme="majorHAnsi" w:hAnsiTheme="majorHAnsi"/>
                                <w:color w:val="595959" w:themeColor="text1" w:themeTint="A6"/>
                                <w:sz w:val="18"/>
                                <w:szCs w:val="18"/>
                                <w:lang w:val="pt-BR"/>
                              </w:rPr>
                              <w:t>242</w:t>
                            </w:r>
                            <w:r w:rsidR="007B05C4" w:rsidRPr="005062B3">
                              <w:rPr>
                                <w:rFonts w:asciiTheme="majorHAnsi" w:hAnsiTheme="majorHAnsi"/>
                                <w:color w:val="595959" w:themeColor="text1" w:themeTint="A6"/>
                                <w:sz w:val="18"/>
                                <w:szCs w:val="18"/>
                                <w:lang w:val="pt-BR"/>
                              </w:rPr>
                              <w:t>/</w:t>
                            </w:r>
                            <w:r w:rsidR="005062B3" w:rsidRPr="005062B3">
                              <w:rPr>
                                <w:rFonts w:asciiTheme="majorHAnsi" w:hAnsiTheme="majorHAnsi"/>
                                <w:color w:val="595959" w:themeColor="text1" w:themeTint="A6"/>
                                <w:sz w:val="18"/>
                                <w:szCs w:val="18"/>
                                <w:lang w:val="pt-BR"/>
                              </w:rPr>
                              <w:t>23</w:t>
                            </w:r>
                            <w:r w:rsidRPr="005062B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671BB" w:rsidRPr="006671BB">
                              <w:rPr>
                                <w:rFonts w:asciiTheme="majorHAnsi" w:hAnsiTheme="majorHAnsi"/>
                                <w:color w:val="595959" w:themeColor="text1" w:themeTint="A6"/>
                                <w:sz w:val="18"/>
                                <w:szCs w:val="18"/>
                                <w:lang w:val="es-ES"/>
                              </w:rPr>
                              <w:t>1459-12</w:t>
                            </w:r>
                            <w:r w:rsidR="000433C9">
                              <w:rPr>
                                <w:rFonts w:asciiTheme="majorHAnsi" w:hAnsiTheme="majorHAnsi"/>
                                <w:color w:val="595959" w:themeColor="text1" w:themeTint="A6"/>
                                <w:sz w:val="18"/>
                                <w:szCs w:val="18"/>
                                <w:lang w:val="es-ES"/>
                              </w:rPr>
                              <w:t xml:space="preserve">. </w:t>
                            </w:r>
                            <w:r w:rsidR="00BF6E78">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6671BB" w:rsidRPr="006671BB">
                              <w:rPr>
                                <w:rFonts w:asciiTheme="majorHAnsi" w:hAnsiTheme="majorHAnsi"/>
                                <w:color w:val="595959" w:themeColor="text1" w:themeTint="A6"/>
                                <w:sz w:val="18"/>
                                <w:szCs w:val="18"/>
                                <w:lang w:val="es-ES_tradnl"/>
                              </w:rPr>
                              <w:t xml:space="preserve">Wolf Gruenberg </w:t>
                            </w:r>
                            <w:r w:rsidR="00116812">
                              <w:rPr>
                                <w:rFonts w:asciiTheme="majorHAnsi" w:hAnsiTheme="majorHAnsi"/>
                                <w:color w:val="595959" w:themeColor="text1" w:themeTint="A6"/>
                                <w:sz w:val="18"/>
                                <w:szCs w:val="18"/>
                                <w:lang w:val="es-ES_tradnl"/>
                              </w:rPr>
                              <w:t>y</w:t>
                            </w:r>
                            <w:r w:rsidR="006671BB" w:rsidRPr="006671BB">
                              <w:rPr>
                                <w:rFonts w:asciiTheme="majorHAnsi" w:hAnsiTheme="majorHAnsi"/>
                                <w:color w:val="595959" w:themeColor="text1" w:themeTint="A6"/>
                                <w:sz w:val="18"/>
                                <w:szCs w:val="18"/>
                                <w:lang w:val="es-ES_tradnl"/>
                              </w:rPr>
                              <w:t xml:space="preserve"> Betty Guendler Gruenberg</w:t>
                            </w:r>
                            <w:r w:rsidRPr="00890650">
                              <w:rPr>
                                <w:rFonts w:asciiTheme="majorHAnsi" w:hAnsiTheme="majorHAnsi"/>
                                <w:color w:val="595959" w:themeColor="text1" w:themeTint="A6"/>
                                <w:sz w:val="18"/>
                                <w:szCs w:val="18"/>
                                <w:lang w:val="es-ES_tradnl"/>
                              </w:rPr>
                              <w:t>.</w:t>
                            </w:r>
                            <w:r w:rsidR="006671BB">
                              <w:rPr>
                                <w:rFonts w:asciiTheme="majorHAnsi" w:hAnsiTheme="majorHAnsi"/>
                                <w:color w:val="595959" w:themeColor="text1" w:themeTint="A6"/>
                                <w:sz w:val="18"/>
                                <w:szCs w:val="18"/>
                                <w:lang w:val="es-ES_tradnl"/>
                              </w:rPr>
                              <w:t xml:space="preserve"> Brasil</w:t>
                            </w:r>
                            <w:r w:rsidRPr="00890650">
                              <w:rPr>
                                <w:rFonts w:asciiTheme="majorHAnsi" w:hAnsiTheme="majorHAnsi"/>
                                <w:color w:val="595959" w:themeColor="text1" w:themeTint="A6"/>
                                <w:sz w:val="18"/>
                                <w:szCs w:val="18"/>
                                <w:lang w:val="es-ES_tradnl"/>
                              </w:rPr>
                              <w:t xml:space="preserve">. </w:t>
                            </w:r>
                            <w:r w:rsidR="005062B3">
                              <w:rPr>
                                <w:rFonts w:asciiTheme="majorHAnsi" w:hAnsiTheme="majorHAnsi"/>
                                <w:color w:val="595959" w:themeColor="text1" w:themeTint="A6"/>
                                <w:sz w:val="18"/>
                                <w:szCs w:val="18"/>
                                <w:lang w:val="es-ES"/>
                              </w:rPr>
                              <w:t>23 de septiembre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EAB7D9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062B3" w:rsidRPr="005062B3">
                        <w:rPr>
                          <w:rFonts w:asciiTheme="majorHAnsi" w:hAnsiTheme="majorHAnsi"/>
                          <w:color w:val="595959" w:themeColor="text1" w:themeTint="A6"/>
                          <w:sz w:val="18"/>
                          <w:szCs w:val="18"/>
                          <w:lang w:val="pt-BR"/>
                        </w:rPr>
                        <w:t>242</w:t>
                      </w:r>
                      <w:r w:rsidR="007B05C4" w:rsidRPr="005062B3">
                        <w:rPr>
                          <w:rFonts w:asciiTheme="majorHAnsi" w:hAnsiTheme="majorHAnsi"/>
                          <w:color w:val="595959" w:themeColor="text1" w:themeTint="A6"/>
                          <w:sz w:val="18"/>
                          <w:szCs w:val="18"/>
                          <w:lang w:val="pt-BR"/>
                        </w:rPr>
                        <w:t>/</w:t>
                      </w:r>
                      <w:r w:rsidR="005062B3" w:rsidRPr="005062B3">
                        <w:rPr>
                          <w:rFonts w:asciiTheme="majorHAnsi" w:hAnsiTheme="majorHAnsi"/>
                          <w:color w:val="595959" w:themeColor="text1" w:themeTint="A6"/>
                          <w:sz w:val="18"/>
                          <w:szCs w:val="18"/>
                          <w:lang w:val="pt-BR"/>
                        </w:rPr>
                        <w:t>23</w:t>
                      </w:r>
                      <w:r w:rsidRPr="005062B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671BB" w:rsidRPr="006671BB">
                        <w:rPr>
                          <w:rFonts w:asciiTheme="majorHAnsi" w:hAnsiTheme="majorHAnsi"/>
                          <w:color w:val="595959" w:themeColor="text1" w:themeTint="A6"/>
                          <w:sz w:val="18"/>
                          <w:szCs w:val="18"/>
                          <w:lang w:val="es-ES"/>
                        </w:rPr>
                        <w:t>1459-12</w:t>
                      </w:r>
                      <w:r w:rsidR="000433C9">
                        <w:rPr>
                          <w:rFonts w:asciiTheme="majorHAnsi" w:hAnsiTheme="majorHAnsi"/>
                          <w:color w:val="595959" w:themeColor="text1" w:themeTint="A6"/>
                          <w:sz w:val="18"/>
                          <w:szCs w:val="18"/>
                          <w:lang w:val="es-ES"/>
                        </w:rPr>
                        <w:t xml:space="preserve">. </w:t>
                      </w:r>
                      <w:r w:rsidR="00BF6E78">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6671BB" w:rsidRPr="006671BB">
                        <w:rPr>
                          <w:rFonts w:asciiTheme="majorHAnsi" w:hAnsiTheme="majorHAnsi"/>
                          <w:color w:val="595959" w:themeColor="text1" w:themeTint="A6"/>
                          <w:sz w:val="18"/>
                          <w:szCs w:val="18"/>
                          <w:lang w:val="es-ES_tradnl"/>
                        </w:rPr>
                        <w:t xml:space="preserve">Wolf Gruenberg </w:t>
                      </w:r>
                      <w:r w:rsidR="00116812">
                        <w:rPr>
                          <w:rFonts w:asciiTheme="majorHAnsi" w:hAnsiTheme="majorHAnsi"/>
                          <w:color w:val="595959" w:themeColor="text1" w:themeTint="A6"/>
                          <w:sz w:val="18"/>
                          <w:szCs w:val="18"/>
                          <w:lang w:val="es-ES_tradnl"/>
                        </w:rPr>
                        <w:t>y</w:t>
                      </w:r>
                      <w:r w:rsidR="006671BB" w:rsidRPr="006671BB">
                        <w:rPr>
                          <w:rFonts w:asciiTheme="majorHAnsi" w:hAnsiTheme="majorHAnsi"/>
                          <w:color w:val="595959" w:themeColor="text1" w:themeTint="A6"/>
                          <w:sz w:val="18"/>
                          <w:szCs w:val="18"/>
                          <w:lang w:val="es-ES_tradnl"/>
                        </w:rPr>
                        <w:t xml:space="preserve"> Betty Guendler Gruenberg</w:t>
                      </w:r>
                      <w:r w:rsidRPr="00890650">
                        <w:rPr>
                          <w:rFonts w:asciiTheme="majorHAnsi" w:hAnsiTheme="majorHAnsi"/>
                          <w:color w:val="595959" w:themeColor="text1" w:themeTint="A6"/>
                          <w:sz w:val="18"/>
                          <w:szCs w:val="18"/>
                          <w:lang w:val="es-ES_tradnl"/>
                        </w:rPr>
                        <w:t>.</w:t>
                      </w:r>
                      <w:r w:rsidR="006671BB">
                        <w:rPr>
                          <w:rFonts w:asciiTheme="majorHAnsi" w:hAnsiTheme="majorHAnsi"/>
                          <w:color w:val="595959" w:themeColor="text1" w:themeTint="A6"/>
                          <w:sz w:val="18"/>
                          <w:szCs w:val="18"/>
                          <w:lang w:val="es-ES_tradnl"/>
                        </w:rPr>
                        <w:t xml:space="preserve"> Brasil</w:t>
                      </w:r>
                      <w:r w:rsidRPr="00890650">
                        <w:rPr>
                          <w:rFonts w:asciiTheme="majorHAnsi" w:hAnsiTheme="majorHAnsi"/>
                          <w:color w:val="595959" w:themeColor="text1" w:themeTint="A6"/>
                          <w:sz w:val="18"/>
                          <w:szCs w:val="18"/>
                          <w:lang w:val="es-ES_tradnl"/>
                        </w:rPr>
                        <w:t xml:space="preserve">. </w:t>
                      </w:r>
                      <w:r w:rsidR="005062B3">
                        <w:rPr>
                          <w:rFonts w:asciiTheme="majorHAnsi" w:hAnsiTheme="majorHAnsi"/>
                          <w:color w:val="595959" w:themeColor="text1" w:themeTint="A6"/>
                          <w:sz w:val="18"/>
                          <w:szCs w:val="18"/>
                          <w:lang w:val="es-ES"/>
                        </w:rPr>
                        <w:t>23 de septiembre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062B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422FA" w:rsidRDefault="003239B8" w:rsidP="008D2290">
            <w:pPr>
              <w:jc w:val="center"/>
              <w:rPr>
                <w:rFonts w:ascii="Cambria" w:hAnsi="Cambria"/>
                <w:b/>
                <w:bCs/>
                <w:color w:val="FFFFFF" w:themeColor="background1"/>
                <w:sz w:val="20"/>
                <w:szCs w:val="20"/>
              </w:rPr>
            </w:pPr>
            <w:r w:rsidRPr="001422FA">
              <w:rPr>
                <w:rFonts w:ascii="Cambria" w:hAnsi="Cambria"/>
                <w:b/>
                <w:bCs/>
                <w:color w:val="FFFFFF" w:themeColor="background1"/>
                <w:sz w:val="20"/>
                <w:szCs w:val="20"/>
              </w:rPr>
              <w:t>Parte peticionaria:</w:t>
            </w:r>
          </w:p>
        </w:tc>
        <w:tc>
          <w:tcPr>
            <w:tcW w:w="5760" w:type="dxa"/>
            <w:vAlign w:val="center"/>
          </w:tcPr>
          <w:p w14:paraId="07DAAE2E" w14:textId="4E741EF1" w:rsidR="003239B8" w:rsidRPr="001422FA" w:rsidRDefault="006671BB" w:rsidP="008D2290">
            <w:pPr>
              <w:jc w:val="both"/>
              <w:rPr>
                <w:rFonts w:ascii="Cambria" w:hAnsi="Cambria"/>
                <w:bCs/>
                <w:sz w:val="20"/>
                <w:szCs w:val="20"/>
                <w:lang w:val="pt-BR"/>
              </w:rPr>
            </w:pPr>
            <w:r w:rsidRPr="001422FA">
              <w:rPr>
                <w:rFonts w:ascii="Cambria" w:hAnsi="Cambria"/>
                <w:bCs/>
                <w:sz w:val="20"/>
                <w:szCs w:val="20"/>
                <w:lang w:val="pt-BR"/>
              </w:rPr>
              <w:t>Comissão de Direitos Humanos da Ordem dos Advogados do Brasil – Seção São Paulo</w:t>
            </w:r>
            <w:r w:rsidR="00E34E6B" w:rsidRPr="001422FA">
              <w:rPr>
                <w:rStyle w:val="FootnoteReference"/>
                <w:rFonts w:ascii="Cambria" w:hAnsi="Cambria"/>
                <w:bCs/>
                <w:sz w:val="20"/>
                <w:szCs w:val="20"/>
                <w:lang w:val="pt-BR"/>
              </w:rPr>
              <w:footnoteReference w:id="2"/>
            </w:r>
            <w:r w:rsidRPr="001422FA">
              <w:rPr>
                <w:rFonts w:ascii="Cambria" w:hAnsi="Cambria"/>
                <w:bCs/>
                <w:sz w:val="20"/>
                <w:szCs w:val="20"/>
                <w:lang w:val="pt-BR"/>
              </w:rPr>
              <w:t>, Wolf Gruenberg, Betty Guendler Grunberg, Martim Almeida Sampaio</w:t>
            </w:r>
          </w:p>
        </w:tc>
      </w:tr>
      <w:tr w:rsidR="003239B8" w:rsidRPr="001D21C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422FA" w:rsidRDefault="006034E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422FA">
                  <w:rPr>
                    <w:rFonts w:ascii="Cambria" w:hAnsi="Cambria"/>
                    <w:b/>
                    <w:bCs/>
                    <w:color w:val="FFFFFF" w:themeColor="background1"/>
                    <w:sz w:val="20"/>
                    <w:szCs w:val="20"/>
                  </w:rPr>
                  <w:t>Presuntas víctimas</w:t>
                </w:r>
              </w:sdtContent>
            </w:sdt>
            <w:r w:rsidR="003239B8" w:rsidRPr="001422FA">
              <w:rPr>
                <w:rFonts w:ascii="Cambria" w:hAnsi="Cambria"/>
                <w:b/>
                <w:bCs/>
                <w:color w:val="FFFFFF" w:themeColor="background1"/>
                <w:sz w:val="20"/>
                <w:szCs w:val="20"/>
              </w:rPr>
              <w:t>:</w:t>
            </w:r>
          </w:p>
        </w:tc>
        <w:tc>
          <w:tcPr>
            <w:tcW w:w="5760" w:type="dxa"/>
            <w:vAlign w:val="center"/>
          </w:tcPr>
          <w:p w14:paraId="143D44A8" w14:textId="30AB664F" w:rsidR="001D21C7" w:rsidRPr="001422FA" w:rsidRDefault="00E34E6B" w:rsidP="00FC6219">
            <w:pPr>
              <w:jc w:val="both"/>
              <w:rPr>
                <w:rFonts w:ascii="Cambria" w:hAnsi="Cambria"/>
                <w:bCs/>
                <w:sz w:val="20"/>
                <w:szCs w:val="20"/>
              </w:rPr>
            </w:pPr>
            <w:r w:rsidRPr="001422FA">
              <w:rPr>
                <w:rFonts w:ascii="Cambria" w:hAnsi="Cambria"/>
                <w:bCs/>
                <w:sz w:val="20"/>
                <w:szCs w:val="20"/>
              </w:rPr>
              <w:t xml:space="preserve">Wolf Gruenberg </w:t>
            </w:r>
            <w:r w:rsidR="00116812" w:rsidRPr="001422FA">
              <w:rPr>
                <w:rFonts w:ascii="Cambria" w:hAnsi="Cambria"/>
                <w:bCs/>
                <w:sz w:val="20"/>
                <w:szCs w:val="20"/>
              </w:rPr>
              <w:t>y</w:t>
            </w:r>
            <w:r w:rsidRPr="001422FA">
              <w:rPr>
                <w:rFonts w:ascii="Cambria" w:hAnsi="Cambria"/>
                <w:bCs/>
                <w:sz w:val="20"/>
                <w:szCs w:val="20"/>
              </w:rPr>
              <w:t xml:space="preserve"> Betty Guendler Gruenberg</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422FA" w:rsidRDefault="003239B8" w:rsidP="008D2290">
            <w:pPr>
              <w:jc w:val="center"/>
              <w:rPr>
                <w:rFonts w:ascii="Cambria" w:hAnsi="Cambria"/>
                <w:b/>
                <w:bCs/>
                <w:color w:val="FFFFFF" w:themeColor="background1"/>
                <w:sz w:val="20"/>
                <w:szCs w:val="20"/>
              </w:rPr>
            </w:pPr>
            <w:r w:rsidRPr="001422FA">
              <w:rPr>
                <w:rFonts w:ascii="Cambria" w:hAnsi="Cambria"/>
                <w:b/>
                <w:bCs/>
                <w:color w:val="FFFFFF" w:themeColor="background1"/>
                <w:sz w:val="20"/>
                <w:szCs w:val="20"/>
              </w:rPr>
              <w:t>Estado denunciado:</w:t>
            </w:r>
          </w:p>
        </w:tc>
        <w:tc>
          <w:tcPr>
            <w:tcW w:w="5760" w:type="dxa"/>
            <w:vAlign w:val="center"/>
          </w:tcPr>
          <w:p w14:paraId="5D0EC05D" w14:textId="40960447" w:rsidR="003239B8" w:rsidRPr="001422FA" w:rsidRDefault="00E34E6B" w:rsidP="008D2290">
            <w:pPr>
              <w:jc w:val="both"/>
              <w:rPr>
                <w:rFonts w:ascii="Cambria" w:hAnsi="Cambria"/>
                <w:bCs/>
                <w:sz w:val="20"/>
                <w:szCs w:val="20"/>
              </w:rPr>
            </w:pPr>
            <w:r w:rsidRPr="001422FA">
              <w:rPr>
                <w:rFonts w:ascii="Cambria" w:hAnsi="Cambria"/>
                <w:bCs/>
                <w:sz w:val="20"/>
                <w:szCs w:val="20"/>
              </w:rPr>
              <w:t>Brasil</w:t>
            </w:r>
          </w:p>
        </w:tc>
      </w:tr>
      <w:tr w:rsidR="00223A29" w:rsidRPr="005062B3"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422FA" w:rsidRDefault="001B3A00" w:rsidP="00E4118C">
            <w:pPr>
              <w:jc w:val="center"/>
              <w:rPr>
                <w:rFonts w:ascii="Cambria" w:hAnsi="Cambria"/>
                <w:b/>
                <w:bCs/>
                <w:color w:val="FFFFFF" w:themeColor="background1"/>
                <w:sz w:val="20"/>
                <w:szCs w:val="20"/>
              </w:rPr>
            </w:pPr>
            <w:r w:rsidRPr="001422FA">
              <w:rPr>
                <w:rFonts w:ascii="Cambria" w:hAnsi="Cambria"/>
                <w:b/>
                <w:bCs/>
                <w:color w:val="FFFFFF" w:themeColor="background1"/>
                <w:sz w:val="20"/>
                <w:szCs w:val="20"/>
              </w:rPr>
              <w:t xml:space="preserve">Derechos </w:t>
            </w:r>
            <w:r w:rsidR="00E4118C" w:rsidRPr="001422FA">
              <w:rPr>
                <w:rFonts w:ascii="Cambria" w:hAnsi="Cambria"/>
                <w:b/>
                <w:bCs/>
                <w:color w:val="FFFFFF" w:themeColor="background1"/>
                <w:sz w:val="20"/>
                <w:szCs w:val="20"/>
              </w:rPr>
              <w:t>invocados</w:t>
            </w:r>
            <w:r w:rsidRPr="001422FA">
              <w:rPr>
                <w:rFonts w:ascii="Cambria" w:hAnsi="Cambria"/>
                <w:b/>
                <w:bCs/>
                <w:color w:val="FFFFFF" w:themeColor="background1"/>
                <w:sz w:val="20"/>
                <w:szCs w:val="20"/>
              </w:rPr>
              <w:t>:</w:t>
            </w:r>
          </w:p>
        </w:tc>
        <w:tc>
          <w:tcPr>
            <w:tcW w:w="5760" w:type="dxa"/>
            <w:vAlign w:val="center"/>
          </w:tcPr>
          <w:p w14:paraId="52B28392" w14:textId="77079684" w:rsidR="00223A29" w:rsidRPr="001422FA" w:rsidRDefault="00E34E6B" w:rsidP="008D2290">
            <w:pPr>
              <w:jc w:val="both"/>
              <w:rPr>
                <w:rFonts w:ascii="Cambria" w:hAnsi="Cambria"/>
                <w:bCs/>
                <w:sz w:val="20"/>
                <w:szCs w:val="20"/>
                <w:lang w:val="es-ES"/>
              </w:rPr>
            </w:pPr>
            <w:r w:rsidRPr="001422FA">
              <w:rPr>
                <w:rFonts w:ascii="Cambria" w:hAnsi="Cambria"/>
                <w:bCs/>
                <w:sz w:val="20"/>
                <w:szCs w:val="20"/>
                <w:lang w:val="es-ES" w:bidi="es-ES"/>
              </w:rPr>
              <w:t>Artículos 5 (integridad personal), 7 (libertad personal), 8 (garantías judiciales), 10 (indemnización), 11 (protección del honor y de la dignidad), 14 (rectificación o réplica), 21 (propiedad privada), 24 (igualdad ante la ley), 25 (protección judicial) de la Convención Americana sobre Derechos Humanos</w:t>
            </w:r>
            <w:r w:rsidR="00123203" w:rsidRPr="001422FA">
              <w:rPr>
                <w:rStyle w:val="FootnoteReference"/>
                <w:rFonts w:ascii="Cambria" w:hAnsi="Cambria"/>
                <w:bCs/>
                <w:sz w:val="20"/>
                <w:szCs w:val="20"/>
                <w:lang w:val="es-ES" w:bidi="es-ES"/>
              </w:rPr>
              <w:footnoteReference w:id="3"/>
            </w:r>
            <w:r w:rsidRPr="001422FA">
              <w:rPr>
                <w:rFonts w:ascii="Cambria" w:hAnsi="Cambria"/>
                <w:bCs/>
                <w:sz w:val="20"/>
                <w:szCs w:val="20"/>
                <w:lang w:val="es-ES" w:bidi="es-ES"/>
              </w:rPr>
              <w:t xml:space="preserve"> en relación con </w:t>
            </w:r>
            <w:r w:rsidR="001D4AB9">
              <w:rPr>
                <w:rFonts w:ascii="Cambria" w:hAnsi="Cambria"/>
                <w:bCs/>
                <w:sz w:val="20"/>
                <w:szCs w:val="20"/>
                <w:lang w:val="es-ES" w:bidi="es-ES"/>
              </w:rPr>
              <w:t>sus</w:t>
            </w:r>
            <w:r w:rsidRPr="001422FA">
              <w:rPr>
                <w:rFonts w:ascii="Cambria" w:hAnsi="Cambria"/>
                <w:bCs/>
                <w:sz w:val="20"/>
                <w:szCs w:val="20"/>
                <w:lang w:val="es-ES" w:bidi="es-ES"/>
              </w:rPr>
              <w:t xml:space="preserve"> artículos 1 (obligación de respetar los derechos) y 2 (deber de adoptar disposiciones de derecho interno)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1422FA" w:rsidRDefault="004A6A54" w:rsidP="004A6A54">
            <w:pPr>
              <w:jc w:val="center"/>
              <w:rPr>
                <w:rFonts w:ascii="Cambria" w:hAnsi="Cambria"/>
                <w:b/>
                <w:bCs/>
                <w:color w:val="FFFFFF" w:themeColor="background1"/>
                <w:sz w:val="20"/>
                <w:szCs w:val="20"/>
                <w:lang w:val="es-ES"/>
              </w:rPr>
            </w:pPr>
            <w:r w:rsidRPr="001422FA">
              <w:rPr>
                <w:rFonts w:ascii="Cambria" w:hAnsi="Cambria"/>
                <w:b/>
                <w:bCs/>
                <w:color w:val="FFFFFF" w:themeColor="background1"/>
                <w:sz w:val="20"/>
                <w:szCs w:val="20"/>
                <w:lang w:val="es-ES"/>
              </w:rPr>
              <w:t>P</w:t>
            </w:r>
            <w:r w:rsidR="004C2312" w:rsidRPr="001422FA">
              <w:rPr>
                <w:rFonts w:ascii="Cambria" w:hAnsi="Cambria"/>
                <w:b/>
                <w:bCs/>
                <w:color w:val="FFFFFF" w:themeColor="background1"/>
                <w:sz w:val="20"/>
                <w:szCs w:val="20"/>
                <w:lang w:val="es-ES"/>
              </w:rPr>
              <w:t>resentación de la petición:</w:t>
            </w:r>
          </w:p>
        </w:tc>
        <w:tc>
          <w:tcPr>
            <w:tcW w:w="5760" w:type="dxa"/>
            <w:vAlign w:val="center"/>
          </w:tcPr>
          <w:p w14:paraId="6883A5F8" w14:textId="0ABDEEF5" w:rsidR="004C2312" w:rsidRPr="001422FA" w:rsidRDefault="00E34E6B" w:rsidP="002625EA">
            <w:pPr>
              <w:jc w:val="both"/>
              <w:rPr>
                <w:rFonts w:ascii="Cambria" w:hAnsi="Cambria"/>
                <w:bCs/>
                <w:sz w:val="20"/>
                <w:szCs w:val="20"/>
                <w:lang w:val="es-ES"/>
              </w:rPr>
            </w:pPr>
            <w:r w:rsidRPr="001422FA">
              <w:rPr>
                <w:rFonts w:ascii="Cambria" w:hAnsi="Cambria"/>
                <w:bCs/>
                <w:sz w:val="20"/>
                <w:szCs w:val="20"/>
                <w:lang w:val="es-ES"/>
              </w:rPr>
              <w:t>6</w:t>
            </w:r>
            <w:r w:rsidR="001D21C7" w:rsidRPr="001422FA">
              <w:rPr>
                <w:rFonts w:ascii="Cambria" w:hAnsi="Cambria"/>
                <w:bCs/>
                <w:sz w:val="20"/>
                <w:szCs w:val="20"/>
                <w:lang w:val="es-ES"/>
              </w:rPr>
              <w:t xml:space="preserve"> de</w:t>
            </w:r>
            <w:r w:rsidRPr="001422FA">
              <w:rPr>
                <w:rFonts w:ascii="Cambria" w:hAnsi="Cambria"/>
                <w:bCs/>
                <w:sz w:val="20"/>
                <w:szCs w:val="20"/>
                <w:lang w:val="es-ES"/>
              </w:rPr>
              <w:t xml:space="preserve"> agosto</w:t>
            </w:r>
            <w:r w:rsidR="001D21C7" w:rsidRPr="001422FA">
              <w:rPr>
                <w:rFonts w:ascii="Cambria" w:hAnsi="Cambria"/>
                <w:bCs/>
                <w:sz w:val="20"/>
                <w:szCs w:val="20"/>
                <w:lang w:val="es-ES"/>
              </w:rPr>
              <w:t xml:space="preserve"> de 2012</w:t>
            </w:r>
          </w:p>
        </w:tc>
      </w:tr>
      <w:tr w:rsidR="001D21C7" w:rsidRPr="005062B3"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1D21C7" w:rsidRPr="001422FA" w:rsidRDefault="001D21C7" w:rsidP="001D21C7">
            <w:pPr>
              <w:jc w:val="center"/>
              <w:rPr>
                <w:rFonts w:ascii="Cambria" w:hAnsi="Cambria"/>
                <w:b/>
                <w:bCs/>
                <w:color w:val="FFFFFF" w:themeColor="background1"/>
                <w:sz w:val="20"/>
                <w:szCs w:val="20"/>
                <w:lang w:val="es-ES"/>
              </w:rPr>
            </w:pPr>
            <w:r w:rsidRPr="001422FA">
              <w:rPr>
                <w:rFonts w:ascii="Cambria" w:hAnsi="Cambria"/>
                <w:b/>
                <w:bCs/>
                <w:color w:val="FFFFFF" w:themeColor="background1"/>
                <w:sz w:val="20"/>
                <w:szCs w:val="20"/>
                <w:lang w:val="es-ES"/>
              </w:rPr>
              <w:t>Información adicional recibida durante la etapa de estudio:</w:t>
            </w:r>
          </w:p>
        </w:tc>
        <w:tc>
          <w:tcPr>
            <w:tcW w:w="5760" w:type="dxa"/>
            <w:vAlign w:val="center"/>
          </w:tcPr>
          <w:p w14:paraId="65CBC29E" w14:textId="7231CAB0" w:rsidR="001D21C7" w:rsidRPr="001422FA" w:rsidRDefault="00E34E6B" w:rsidP="001D21C7">
            <w:pPr>
              <w:jc w:val="both"/>
              <w:rPr>
                <w:rFonts w:ascii="Cambria" w:hAnsi="Cambria"/>
                <w:bCs/>
                <w:sz w:val="20"/>
                <w:szCs w:val="20"/>
                <w:lang w:val="es-MX"/>
              </w:rPr>
            </w:pPr>
            <w:r w:rsidRPr="001422FA">
              <w:rPr>
                <w:rFonts w:ascii="Cambria" w:hAnsi="Cambria"/>
                <w:bCs/>
                <w:sz w:val="20"/>
                <w:szCs w:val="20"/>
                <w:lang w:val="es-MX"/>
              </w:rPr>
              <w:t>22 de enero de 2013, 4 de mayo de 2013</w:t>
            </w:r>
          </w:p>
        </w:tc>
      </w:tr>
      <w:tr w:rsidR="001D21C7" w:rsidRPr="001D21C7"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1422FA" w:rsidRDefault="00974312" w:rsidP="001D21C7">
            <w:pPr>
              <w:jc w:val="center"/>
              <w:rPr>
                <w:rFonts w:ascii="Cambria" w:hAnsi="Cambria"/>
                <w:b/>
                <w:bCs/>
                <w:color w:val="FFFFFF" w:themeColor="background1"/>
                <w:sz w:val="20"/>
                <w:szCs w:val="20"/>
                <w:lang w:val="es-ES"/>
              </w:rPr>
            </w:pPr>
            <w:r w:rsidRPr="001422FA">
              <w:rPr>
                <w:rFonts w:ascii="Cambria" w:hAnsi="Cambria"/>
                <w:b/>
                <w:color w:val="FFFFFF" w:themeColor="background1"/>
                <w:sz w:val="20"/>
                <w:szCs w:val="20"/>
                <w:lang w:val="es-ES"/>
              </w:rPr>
              <w:t>N</w:t>
            </w:r>
            <w:r w:rsidR="001D21C7" w:rsidRPr="001422FA">
              <w:rPr>
                <w:rFonts w:ascii="Cambria" w:hAnsi="Cambria"/>
                <w:b/>
                <w:color w:val="FFFFFF" w:themeColor="background1"/>
                <w:sz w:val="20"/>
                <w:szCs w:val="20"/>
                <w:lang w:val="es-ES"/>
              </w:rPr>
              <w:t>otificación de la petición al Estado:</w:t>
            </w:r>
          </w:p>
        </w:tc>
        <w:tc>
          <w:tcPr>
            <w:tcW w:w="5760" w:type="dxa"/>
            <w:vAlign w:val="center"/>
          </w:tcPr>
          <w:p w14:paraId="58485921" w14:textId="5ACFF6C4" w:rsidR="001D21C7" w:rsidRPr="001422FA" w:rsidRDefault="009616C9" w:rsidP="001D21C7">
            <w:pPr>
              <w:jc w:val="both"/>
              <w:rPr>
                <w:rFonts w:ascii="Cambria" w:hAnsi="Cambria"/>
                <w:bCs/>
                <w:sz w:val="20"/>
                <w:szCs w:val="20"/>
                <w:lang w:val="es-ES"/>
              </w:rPr>
            </w:pPr>
            <w:r w:rsidRPr="001422FA">
              <w:rPr>
                <w:rFonts w:ascii="Cambria" w:hAnsi="Cambria"/>
                <w:bCs/>
                <w:sz w:val="20"/>
                <w:szCs w:val="20"/>
                <w:lang w:val="es-ES"/>
              </w:rPr>
              <w:t>9 de abril de 2015</w:t>
            </w:r>
          </w:p>
        </w:tc>
      </w:tr>
      <w:tr w:rsidR="001D21C7"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4041DF57" w:rsidR="001D21C7" w:rsidRPr="001422FA" w:rsidRDefault="009616C9" w:rsidP="001D21C7">
            <w:pPr>
              <w:jc w:val="center"/>
              <w:rPr>
                <w:rFonts w:ascii="Cambria" w:hAnsi="Cambria"/>
                <w:b/>
                <w:bCs/>
                <w:color w:val="FFFFFF" w:themeColor="background1"/>
                <w:sz w:val="20"/>
                <w:szCs w:val="20"/>
                <w:lang w:val="es-ES"/>
              </w:rPr>
            </w:pPr>
            <w:r w:rsidRPr="001422FA">
              <w:rPr>
                <w:rFonts w:ascii="Cambria" w:hAnsi="Cambria"/>
                <w:b/>
                <w:color w:val="FFFFFF" w:themeColor="background1"/>
                <w:sz w:val="20"/>
                <w:szCs w:val="20"/>
                <w:lang w:val="es-ES"/>
              </w:rPr>
              <w:t>Solicitación de prórroga:</w:t>
            </w:r>
          </w:p>
        </w:tc>
        <w:tc>
          <w:tcPr>
            <w:tcW w:w="5760" w:type="dxa"/>
            <w:vAlign w:val="center"/>
          </w:tcPr>
          <w:p w14:paraId="6B47064C" w14:textId="4A295FAA" w:rsidR="001D21C7" w:rsidRPr="001422FA" w:rsidRDefault="009616C9" w:rsidP="001D21C7">
            <w:pPr>
              <w:jc w:val="both"/>
              <w:rPr>
                <w:rFonts w:ascii="Cambria" w:hAnsi="Cambria"/>
                <w:bCs/>
                <w:sz w:val="20"/>
                <w:szCs w:val="20"/>
                <w:lang w:val="es-ES"/>
              </w:rPr>
            </w:pPr>
            <w:r w:rsidRPr="001422FA">
              <w:rPr>
                <w:rFonts w:ascii="Cambria" w:hAnsi="Cambria"/>
                <w:bCs/>
                <w:sz w:val="20"/>
                <w:szCs w:val="20"/>
                <w:lang w:val="es-ES"/>
              </w:rPr>
              <w:t>1 de julio de 2015</w:t>
            </w:r>
          </w:p>
        </w:tc>
      </w:tr>
      <w:tr w:rsidR="00974312" w:rsidRPr="001D21C7"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71D4020C" w:rsidR="00974312" w:rsidRPr="001422FA" w:rsidRDefault="009616C9" w:rsidP="001D21C7">
            <w:pPr>
              <w:jc w:val="center"/>
              <w:rPr>
                <w:rFonts w:ascii="Cambria" w:hAnsi="Cambria"/>
                <w:b/>
                <w:color w:val="FFFFFF" w:themeColor="background1"/>
                <w:sz w:val="20"/>
                <w:szCs w:val="20"/>
                <w:lang w:val="es-ES"/>
              </w:rPr>
            </w:pPr>
            <w:r w:rsidRPr="001422FA">
              <w:rPr>
                <w:rFonts w:ascii="Cambria" w:hAnsi="Cambria"/>
                <w:b/>
                <w:color w:val="FFFFFF" w:themeColor="background1"/>
                <w:sz w:val="20"/>
                <w:szCs w:val="20"/>
                <w:lang w:val="es-ES"/>
              </w:rPr>
              <w:t>Concesión de prórroga:</w:t>
            </w:r>
          </w:p>
        </w:tc>
        <w:tc>
          <w:tcPr>
            <w:tcW w:w="5760" w:type="dxa"/>
            <w:vAlign w:val="center"/>
          </w:tcPr>
          <w:p w14:paraId="2A5185E2" w14:textId="3998D968" w:rsidR="00974312" w:rsidRPr="001422FA" w:rsidRDefault="009616C9" w:rsidP="001D21C7">
            <w:pPr>
              <w:jc w:val="both"/>
              <w:rPr>
                <w:rFonts w:ascii="Cambria" w:hAnsi="Cambria"/>
                <w:bCs/>
                <w:sz w:val="20"/>
                <w:szCs w:val="20"/>
                <w:lang w:val="es-ES"/>
              </w:rPr>
            </w:pPr>
            <w:r w:rsidRPr="001422FA">
              <w:rPr>
                <w:rFonts w:ascii="Cambria" w:hAnsi="Cambria"/>
                <w:bCs/>
                <w:sz w:val="20"/>
                <w:szCs w:val="20"/>
                <w:lang w:val="es-ES"/>
              </w:rPr>
              <w:t>28 de julio de 2015</w:t>
            </w:r>
          </w:p>
        </w:tc>
      </w:tr>
      <w:tr w:rsidR="001D21C7" w:rsidRPr="001D21C7" w14:paraId="0E6DF2CB" w14:textId="77777777" w:rsidTr="004A6A54">
        <w:tc>
          <w:tcPr>
            <w:tcW w:w="3600" w:type="dxa"/>
            <w:tcBorders>
              <w:top w:val="single" w:sz="6" w:space="0" w:color="auto"/>
              <w:bottom w:val="single" w:sz="6" w:space="0" w:color="auto"/>
            </w:tcBorders>
            <w:shd w:val="clear" w:color="auto" w:fill="386294"/>
            <w:vAlign w:val="center"/>
          </w:tcPr>
          <w:p w14:paraId="5B37A8CF" w14:textId="39756BF2" w:rsidR="001D21C7" w:rsidRPr="001422FA" w:rsidRDefault="009616C9" w:rsidP="001D21C7">
            <w:pPr>
              <w:jc w:val="center"/>
              <w:rPr>
                <w:rFonts w:ascii="Cambria" w:hAnsi="Cambria"/>
                <w:b/>
                <w:color w:val="FFFFFF" w:themeColor="background1"/>
                <w:sz w:val="20"/>
                <w:szCs w:val="20"/>
                <w:lang w:val="es-ES"/>
              </w:rPr>
            </w:pPr>
            <w:r w:rsidRPr="001422FA">
              <w:rPr>
                <w:rFonts w:ascii="Cambria" w:hAnsi="Cambria"/>
                <w:b/>
                <w:color w:val="FFFFFF" w:themeColor="background1"/>
                <w:sz w:val="20"/>
                <w:szCs w:val="20"/>
                <w:lang w:val="es-ES"/>
              </w:rPr>
              <w:t>Primera respuesta del Estado</w:t>
            </w:r>
            <w:r w:rsidR="00974312" w:rsidRPr="001422FA">
              <w:rPr>
                <w:rFonts w:ascii="Cambria" w:hAnsi="Cambria"/>
                <w:b/>
                <w:color w:val="FFFFFF" w:themeColor="background1"/>
                <w:sz w:val="20"/>
                <w:szCs w:val="20"/>
                <w:lang w:val="es-ES"/>
              </w:rPr>
              <w:t>:</w:t>
            </w:r>
          </w:p>
        </w:tc>
        <w:tc>
          <w:tcPr>
            <w:tcW w:w="5760" w:type="dxa"/>
            <w:vAlign w:val="center"/>
          </w:tcPr>
          <w:p w14:paraId="0153FF18" w14:textId="59B093F6" w:rsidR="001D21C7" w:rsidRPr="001422FA" w:rsidRDefault="00AF0434" w:rsidP="001D21C7">
            <w:pPr>
              <w:jc w:val="both"/>
              <w:rPr>
                <w:rFonts w:ascii="Cambria" w:hAnsi="Cambria"/>
                <w:bCs/>
                <w:sz w:val="20"/>
                <w:szCs w:val="20"/>
                <w:lang w:val="es-ES"/>
              </w:rPr>
            </w:pPr>
            <w:r w:rsidRPr="001422FA">
              <w:rPr>
                <w:rFonts w:ascii="Cambria" w:hAnsi="Cambria"/>
                <w:bCs/>
                <w:sz w:val="20"/>
                <w:szCs w:val="20"/>
                <w:lang w:val="es-ES"/>
              </w:rPr>
              <w:t xml:space="preserve">2 </w:t>
            </w:r>
            <w:r w:rsidR="009616C9" w:rsidRPr="001422FA">
              <w:rPr>
                <w:rFonts w:ascii="Cambria" w:hAnsi="Cambria"/>
                <w:bCs/>
                <w:sz w:val="20"/>
                <w:szCs w:val="20"/>
                <w:lang w:val="es-ES"/>
              </w:rPr>
              <w:t>de octubre de 2015</w:t>
            </w:r>
          </w:p>
        </w:tc>
      </w:tr>
      <w:tr w:rsidR="009616C9" w:rsidRPr="005062B3" w14:paraId="1792B26F" w14:textId="77777777" w:rsidTr="004A6A54">
        <w:tc>
          <w:tcPr>
            <w:tcW w:w="3600" w:type="dxa"/>
            <w:tcBorders>
              <w:top w:val="single" w:sz="6" w:space="0" w:color="auto"/>
              <w:bottom w:val="single" w:sz="6" w:space="0" w:color="auto"/>
            </w:tcBorders>
            <w:shd w:val="clear" w:color="auto" w:fill="386294"/>
            <w:vAlign w:val="center"/>
          </w:tcPr>
          <w:p w14:paraId="2FDBE290" w14:textId="791D007B" w:rsidR="009616C9" w:rsidRPr="001422FA" w:rsidRDefault="009616C9" w:rsidP="001D21C7">
            <w:pPr>
              <w:jc w:val="center"/>
              <w:rPr>
                <w:rFonts w:ascii="Cambria" w:hAnsi="Cambria"/>
                <w:b/>
                <w:color w:val="FFFFFF" w:themeColor="background1"/>
                <w:sz w:val="20"/>
                <w:szCs w:val="20"/>
                <w:lang w:val="es-ES"/>
              </w:rPr>
            </w:pPr>
            <w:r w:rsidRPr="001422FA">
              <w:rPr>
                <w:rFonts w:ascii="Cambria" w:hAnsi="Cambria"/>
                <w:b/>
                <w:color w:val="FFFFFF" w:themeColor="background1"/>
                <w:sz w:val="20"/>
                <w:szCs w:val="20"/>
                <w:lang w:val="es-ES"/>
              </w:rPr>
              <w:t xml:space="preserve">Observaciones adicionales de la parte peticionaria </w:t>
            </w:r>
          </w:p>
        </w:tc>
        <w:tc>
          <w:tcPr>
            <w:tcW w:w="5760" w:type="dxa"/>
            <w:vAlign w:val="center"/>
          </w:tcPr>
          <w:p w14:paraId="218F7546" w14:textId="1365976E" w:rsidR="009616C9" w:rsidRPr="001D4AB9" w:rsidRDefault="00AF0434" w:rsidP="001D21C7">
            <w:pPr>
              <w:jc w:val="both"/>
              <w:rPr>
                <w:rFonts w:ascii="Cambria" w:hAnsi="Cambria"/>
                <w:bCs/>
                <w:sz w:val="20"/>
                <w:szCs w:val="20"/>
                <w:lang w:val="es-ES"/>
              </w:rPr>
            </w:pPr>
            <w:r w:rsidRPr="001D4AB9">
              <w:rPr>
                <w:rFonts w:ascii="Cambria" w:hAnsi="Cambria"/>
                <w:bCs/>
                <w:sz w:val="20"/>
                <w:szCs w:val="20"/>
                <w:lang w:val="es-ES"/>
              </w:rPr>
              <w:t>22 de marzo de 2017</w:t>
            </w:r>
            <w:r w:rsidR="001422FA" w:rsidRPr="001D4AB9">
              <w:rPr>
                <w:rFonts w:ascii="Cambria" w:hAnsi="Cambria"/>
                <w:bCs/>
                <w:sz w:val="20"/>
                <w:szCs w:val="20"/>
                <w:lang w:val="es-ES"/>
              </w:rPr>
              <w:t>,</w:t>
            </w:r>
            <w:r w:rsidRPr="001D4AB9">
              <w:rPr>
                <w:rFonts w:ascii="Cambria" w:hAnsi="Cambria"/>
                <w:bCs/>
                <w:sz w:val="20"/>
                <w:szCs w:val="20"/>
                <w:lang w:val="es-ES"/>
              </w:rPr>
              <w:t xml:space="preserve"> 21 de agosto de 2017</w:t>
            </w:r>
            <w:r w:rsidR="001427FE">
              <w:rPr>
                <w:rFonts w:ascii="Cambria" w:hAnsi="Cambria"/>
                <w:bCs/>
                <w:sz w:val="20"/>
                <w:szCs w:val="20"/>
                <w:lang w:val="es-ES"/>
              </w:rPr>
              <w:t xml:space="preserve"> y</w:t>
            </w:r>
            <w:r w:rsidR="002D5CFE" w:rsidRPr="001D4AB9">
              <w:rPr>
                <w:rFonts w:ascii="Cambria" w:hAnsi="Cambria"/>
                <w:bCs/>
                <w:sz w:val="20"/>
                <w:szCs w:val="20"/>
                <w:lang w:val="es-ES"/>
              </w:rPr>
              <w:t xml:space="preserve"> 18 de abril de 2023</w:t>
            </w:r>
          </w:p>
        </w:tc>
      </w:tr>
      <w:tr w:rsidR="00AF0434" w:rsidRPr="00AF0434" w14:paraId="0DACA278" w14:textId="77777777" w:rsidTr="004A6A54">
        <w:tc>
          <w:tcPr>
            <w:tcW w:w="3600" w:type="dxa"/>
            <w:tcBorders>
              <w:top w:val="single" w:sz="6" w:space="0" w:color="auto"/>
              <w:bottom w:val="single" w:sz="6" w:space="0" w:color="auto"/>
            </w:tcBorders>
            <w:shd w:val="clear" w:color="auto" w:fill="386294"/>
            <w:vAlign w:val="center"/>
          </w:tcPr>
          <w:p w14:paraId="257BC661" w14:textId="38821BF8" w:rsidR="00AF0434" w:rsidRPr="001422FA" w:rsidRDefault="00AF0434" w:rsidP="001D21C7">
            <w:pPr>
              <w:jc w:val="center"/>
              <w:rPr>
                <w:rFonts w:ascii="Cambria" w:hAnsi="Cambria"/>
                <w:b/>
                <w:color w:val="FFFFFF" w:themeColor="background1"/>
                <w:sz w:val="20"/>
                <w:szCs w:val="20"/>
                <w:lang w:val="es-ES"/>
              </w:rPr>
            </w:pPr>
            <w:r w:rsidRPr="001422FA">
              <w:rPr>
                <w:rFonts w:ascii="Cambria" w:hAnsi="Cambria"/>
                <w:b/>
                <w:color w:val="FFFFFF" w:themeColor="background1"/>
                <w:sz w:val="20"/>
                <w:szCs w:val="20"/>
                <w:lang w:val="es-ES"/>
              </w:rPr>
              <w:t>Observaciones adicionales del Estado</w:t>
            </w:r>
          </w:p>
        </w:tc>
        <w:tc>
          <w:tcPr>
            <w:tcW w:w="5760" w:type="dxa"/>
            <w:vAlign w:val="center"/>
          </w:tcPr>
          <w:p w14:paraId="18764E75" w14:textId="7998426F" w:rsidR="00AF0434" w:rsidRPr="001422FA" w:rsidRDefault="00AF0434" w:rsidP="001D21C7">
            <w:pPr>
              <w:jc w:val="both"/>
              <w:rPr>
                <w:rFonts w:ascii="Cambria" w:hAnsi="Cambria"/>
                <w:bCs/>
                <w:sz w:val="20"/>
                <w:szCs w:val="20"/>
                <w:lang w:val="pt-BR"/>
              </w:rPr>
            </w:pPr>
            <w:r w:rsidRPr="001422FA">
              <w:rPr>
                <w:rFonts w:ascii="Cambria" w:hAnsi="Cambria"/>
                <w:bCs/>
                <w:sz w:val="20"/>
                <w:szCs w:val="20"/>
                <w:lang w:val="pt-BR"/>
              </w:rPr>
              <w:t>13 de julio de 2017</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062B3" w14:paraId="7D299FC7" w14:textId="77777777" w:rsidTr="00380267">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422FA" w:rsidRDefault="003239B8" w:rsidP="008D2290">
            <w:pPr>
              <w:jc w:val="center"/>
              <w:rPr>
                <w:rFonts w:ascii="Cambria" w:hAnsi="Cambria"/>
                <w:b/>
                <w:bCs/>
                <w:i/>
                <w:color w:val="FFFFFF" w:themeColor="background1"/>
                <w:sz w:val="20"/>
                <w:szCs w:val="20"/>
              </w:rPr>
            </w:pPr>
            <w:r w:rsidRPr="001422FA">
              <w:rPr>
                <w:rFonts w:ascii="Cambria" w:hAnsi="Cambria"/>
                <w:b/>
                <w:bCs/>
                <w:color w:val="FFFFFF" w:themeColor="background1"/>
                <w:sz w:val="20"/>
                <w:szCs w:val="20"/>
              </w:rPr>
              <w:t>Competencia</w:t>
            </w:r>
            <w:r w:rsidRPr="001422FA">
              <w:rPr>
                <w:rFonts w:ascii="Cambria" w:hAnsi="Cambria"/>
                <w:b/>
                <w:bCs/>
                <w:i/>
                <w:color w:val="FFFFFF" w:themeColor="background1"/>
                <w:sz w:val="20"/>
                <w:szCs w:val="20"/>
              </w:rPr>
              <w:t xml:space="preserve"> Ratione personae:</w:t>
            </w:r>
          </w:p>
        </w:tc>
        <w:tc>
          <w:tcPr>
            <w:tcW w:w="5776" w:type="dxa"/>
            <w:vAlign w:val="center"/>
          </w:tcPr>
          <w:p w14:paraId="1E494D5D" w14:textId="511825B1" w:rsidR="003239B8" w:rsidRPr="00907E48" w:rsidRDefault="00907E48" w:rsidP="008D2290">
            <w:pPr>
              <w:rPr>
                <w:rFonts w:ascii="Cambria" w:hAnsi="Cambria"/>
                <w:bCs/>
                <w:sz w:val="20"/>
                <w:szCs w:val="20"/>
                <w:lang w:val="es-ES"/>
              </w:rPr>
            </w:pPr>
            <w:r w:rsidRPr="001422FA">
              <w:rPr>
                <w:rFonts w:ascii="Cambria" w:hAnsi="Cambria"/>
                <w:bCs/>
                <w:sz w:val="20"/>
                <w:szCs w:val="20"/>
                <w:lang w:val="es-ES" w:bidi="es-ES"/>
              </w:rPr>
              <w:t>Sí</w:t>
            </w:r>
            <w:r w:rsidRPr="001422FA">
              <w:rPr>
                <w:rFonts w:ascii="Cambria" w:hAnsi="Cambria"/>
                <w:bCs/>
                <w:sz w:val="20"/>
                <w:szCs w:val="20"/>
                <w:lang w:val="es-419" w:bidi="es-ES"/>
              </w:rPr>
              <w:t xml:space="preserve">, </w:t>
            </w:r>
            <w:r>
              <w:rPr>
                <w:rFonts w:ascii="Cambria" w:hAnsi="Cambria"/>
                <w:bCs/>
                <w:sz w:val="20"/>
                <w:szCs w:val="20"/>
                <w:lang w:val="es-419" w:bidi="es-ES"/>
              </w:rPr>
              <w:t xml:space="preserve">parcialmente, </w:t>
            </w:r>
            <w:r w:rsidRPr="001422FA">
              <w:rPr>
                <w:rFonts w:ascii="Cambria" w:hAnsi="Cambria"/>
                <w:bCs/>
                <w:sz w:val="20"/>
                <w:szCs w:val="20"/>
                <w:lang w:val="es-419" w:bidi="es-ES"/>
              </w:rPr>
              <w:t>en los términos de la sección VI</w:t>
            </w:r>
            <w:r>
              <w:rPr>
                <w:rFonts w:ascii="Cambria" w:hAnsi="Cambria"/>
                <w:bCs/>
                <w:sz w:val="20"/>
                <w:szCs w:val="20"/>
                <w:lang w:val="es-419" w:bidi="es-ES"/>
              </w:rPr>
              <w:t>I</w:t>
            </w:r>
          </w:p>
        </w:tc>
      </w:tr>
      <w:tr w:rsidR="003239B8" w:rsidRPr="00540F17" w14:paraId="54503A4F" w14:textId="77777777" w:rsidTr="00380267">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422FA" w:rsidRDefault="003239B8" w:rsidP="008D2290">
            <w:pPr>
              <w:jc w:val="center"/>
              <w:rPr>
                <w:rFonts w:ascii="Cambria" w:hAnsi="Cambria"/>
                <w:b/>
                <w:bCs/>
                <w:color w:val="FFFFFF" w:themeColor="background1"/>
                <w:sz w:val="20"/>
                <w:szCs w:val="20"/>
              </w:rPr>
            </w:pPr>
            <w:r w:rsidRPr="001422FA">
              <w:rPr>
                <w:rFonts w:ascii="Cambria" w:hAnsi="Cambria"/>
                <w:b/>
                <w:bCs/>
                <w:color w:val="FFFFFF" w:themeColor="background1"/>
                <w:sz w:val="20"/>
                <w:szCs w:val="20"/>
              </w:rPr>
              <w:t>Competencia</w:t>
            </w:r>
            <w:r w:rsidRPr="001422FA">
              <w:rPr>
                <w:rFonts w:ascii="Cambria" w:hAnsi="Cambria"/>
                <w:b/>
                <w:bCs/>
                <w:i/>
                <w:color w:val="FFFFFF" w:themeColor="background1"/>
                <w:sz w:val="20"/>
                <w:szCs w:val="20"/>
              </w:rPr>
              <w:t xml:space="preserve"> Ratione loci</w:t>
            </w:r>
            <w:r w:rsidRPr="001422FA">
              <w:rPr>
                <w:rFonts w:ascii="Cambria" w:hAnsi="Cambria"/>
                <w:b/>
                <w:bCs/>
                <w:color w:val="FFFFFF" w:themeColor="background1"/>
                <w:sz w:val="20"/>
                <w:szCs w:val="20"/>
              </w:rPr>
              <w:t>:</w:t>
            </w:r>
          </w:p>
        </w:tc>
        <w:tc>
          <w:tcPr>
            <w:tcW w:w="5776" w:type="dxa"/>
            <w:vAlign w:val="center"/>
          </w:tcPr>
          <w:p w14:paraId="77C8256A" w14:textId="5E819D9D" w:rsidR="003239B8" w:rsidRPr="001422FA" w:rsidRDefault="00A004BB" w:rsidP="008D2290">
            <w:pPr>
              <w:rPr>
                <w:rFonts w:ascii="Cambria" w:hAnsi="Cambria"/>
                <w:bCs/>
                <w:sz w:val="20"/>
                <w:szCs w:val="20"/>
              </w:rPr>
            </w:pPr>
            <w:r w:rsidRPr="001422FA">
              <w:rPr>
                <w:rFonts w:ascii="Cambria" w:hAnsi="Cambria"/>
                <w:bCs/>
                <w:sz w:val="20"/>
                <w:szCs w:val="20"/>
              </w:rPr>
              <w:t>Sí</w:t>
            </w:r>
          </w:p>
        </w:tc>
      </w:tr>
      <w:tr w:rsidR="003239B8" w:rsidRPr="00540F17" w14:paraId="6618D96A" w14:textId="77777777" w:rsidTr="00380267">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422FA" w:rsidRDefault="003239B8" w:rsidP="008D2290">
            <w:pPr>
              <w:jc w:val="center"/>
              <w:rPr>
                <w:rFonts w:ascii="Cambria" w:hAnsi="Cambria"/>
                <w:b/>
                <w:bCs/>
                <w:color w:val="FFFFFF" w:themeColor="background1"/>
                <w:sz w:val="20"/>
                <w:szCs w:val="20"/>
              </w:rPr>
            </w:pPr>
            <w:r w:rsidRPr="001422FA">
              <w:rPr>
                <w:rFonts w:ascii="Cambria" w:hAnsi="Cambria"/>
                <w:b/>
                <w:bCs/>
                <w:color w:val="FFFFFF" w:themeColor="background1"/>
                <w:sz w:val="20"/>
                <w:szCs w:val="20"/>
              </w:rPr>
              <w:t>Competencia</w:t>
            </w:r>
            <w:r w:rsidRPr="001422FA">
              <w:rPr>
                <w:rFonts w:ascii="Cambria" w:hAnsi="Cambria"/>
                <w:b/>
                <w:bCs/>
                <w:i/>
                <w:color w:val="FFFFFF" w:themeColor="background1"/>
                <w:sz w:val="20"/>
                <w:szCs w:val="20"/>
              </w:rPr>
              <w:t xml:space="preserve"> Ratione temporis</w:t>
            </w:r>
            <w:r w:rsidRPr="001422FA">
              <w:rPr>
                <w:rFonts w:ascii="Cambria" w:hAnsi="Cambria"/>
                <w:b/>
                <w:bCs/>
                <w:color w:val="FFFFFF" w:themeColor="background1"/>
                <w:sz w:val="20"/>
                <w:szCs w:val="20"/>
              </w:rPr>
              <w:t>:</w:t>
            </w:r>
          </w:p>
        </w:tc>
        <w:tc>
          <w:tcPr>
            <w:tcW w:w="5776" w:type="dxa"/>
            <w:vAlign w:val="center"/>
          </w:tcPr>
          <w:p w14:paraId="523F6BD6" w14:textId="69B6757A" w:rsidR="003239B8" w:rsidRPr="001422FA" w:rsidRDefault="00A004BB" w:rsidP="008D2290">
            <w:pPr>
              <w:rPr>
                <w:rFonts w:ascii="Cambria" w:hAnsi="Cambria"/>
                <w:bCs/>
                <w:sz w:val="20"/>
                <w:szCs w:val="20"/>
              </w:rPr>
            </w:pPr>
            <w:r w:rsidRPr="001422FA">
              <w:rPr>
                <w:rFonts w:ascii="Cambria" w:hAnsi="Cambria"/>
                <w:bCs/>
                <w:sz w:val="20"/>
                <w:szCs w:val="20"/>
              </w:rPr>
              <w:t>Sí</w:t>
            </w:r>
          </w:p>
        </w:tc>
      </w:tr>
      <w:tr w:rsidR="003239B8" w:rsidRPr="005062B3" w14:paraId="34C2A0A9" w14:textId="77777777" w:rsidTr="00380267">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422FA" w:rsidRDefault="003239B8" w:rsidP="008D2290">
            <w:pPr>
              <w:jc w:val="center"/>
              <w:rPr>
                <w:rFonts w:ascii="Cambria" w:hAnsi="Cambria"/>
                <w:b/>
                <w:bCs/>
                <w:color w:val="FFFFFF" w:themeColor="background1"/>
                <w:sz w:val="20"/>
                <w:szCs w:val="20"/>
              </w:rPr>
            </w:pPr>
            <w:r w:rsidRPr="001422FA">
              <w:rPr>
                <w:rFonts w:ascii="Cambria" w:hAnsi="Cambria"/>
                <w:b/>
                <w:bCs/>
                <w:color w:val="FFFFFF" w:themeColor="background1"/>
                <w:sz w:val="20"/>
                <w:szCs w:val="20"/>
              </w:rPr>
              <w:t>Competencia</w:t>
            </w:r>
            <w:r w:rsidRPr="001422FA">
              <w:rPr>
                <w:rFonts w:ascii="Cambria" w:hAnsi="Cambria"/>
                <w:b/>
                <w:bCs/>
                <w:i/>
                <w:color w:val="FFFFFF" w:themeColor="background1"/>
                <w:sz w:val="20"/>
                <w:szCs w:val="20"/>
              </w:rPr>
              <w:t xml:space="preserve"> Ratione materia</w:t>
            </w:r>
            <w:r w:rsidR="00EE00E9" w:rsidRPr="001422FA">
              <w:rPr>
                <w:rFonts w:ascii="Cambria" w:hAnsi="Cambria"/>
                <w:b/>
                <w:bCs/>
                <w:i/>
                <w:color w:val="FFFFFF" w:themeColor="background1"/>
                <w:sz w:val="20"/>
                <w:szCs w:val="20"/>
              </w:rPr>
              <w:t>e</w:t>
            </w:r>
            <w:r w:rsidRPr="001422FA">
              <w:rPr>
                <w:rFonts w:ascii="Cambria" w:hAnsi="Cambria"/>
                <w:b/>
                <w:bCs/>
                <w:color w:val="FFFFFF" w:themeColor="background1"/>
                <w:sz w:val="20"/>
                <w:szCs w:val="20"/>
              </w:rPr>
              <w:t>:</w:t>
            </w:r>
          </w:p>
        </w:tc>
        <w:tc>
          <w:tcPr>
            <w:tcW w:w="5776" w:type="dxa"/>
            <w:vAlign w:val="center"/>
          </w:tcPr>
          <w:p w14:paraId="257C8337" w14:textId="3DA2C60E" w:rsidR="003239B8" w:rsidRPr="001422FA" w:rsidRDefault="00A004BB" w:rsidP="008D2290">
            <w:pPr>
              <w:jc w:val="both"/>
              <w:rPr>
                <w:rFonts w:ascii="Cambria" w:hAnsi="Cambria"/>
                <w:bCs/>
                <w:sz w:val="20"/>
                <w:szCs w:val="20"/>
                <w:lang w:val="es-ES"/>
              </w:rPr>
            </w:pPr>
            <w:r w:rsidRPr="001422FA">
              <w:rPr>
                <w:rFonts w:ascii="Cambria" w:hAnsi="Cambria"/>
                <w:bCs/>
                <w:sz w:val="20"/>
                <w:szCs w:val="20"/>
                <w:lang w:val="es-ES" w:bidi="es-ES"/>
              </w:rPr>
              <w:t>Sí, Convención Americana (depósito de instrumento realizado el</w:t>
            </w:r>
            <w:r w:rsidR="00AF0434" w:rsidRPr="001422FA">
              <w:rPr>
                <w:rFonts w:ascii="Cambria" w:hAnsi="Cambria"/>
                <w:bCs/>
                <w:sz w:val="20"/>
                <w:szCs w:val="20"/>
                <w:lang w:val="es-ES" w:bidi="es-ES"/>
              </w:rPr>
              <w:t xml:space="preserve"> 25 de septiembre de 1992</w:t>
            </w:r>
            <w:r w:rsidRPr="001422FA">
              <w:rPr>
                <w:rFonts w:ascii="Cambria" w:hAnsi="Cambria"/>
                <w:bCs/>
                <w:sz w:val="20"/>
                <w:szCs w:val="20"/>
                <w:lang w:val="es-ES" w:bidi="es-ES"/>
              </w:rPr>
              <w:t>)</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3E51E9" w14:paraId="161C8568" w14:textId="77777777" w:rsidTr="00380267">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1422FA" w:rsidRDefault="00EE00E9" w:rsidP="008D2290">
            <w:pPr>
              <w:jc w:val="center"/>
              <w:rPr>
                <w:rFonts w:ascii="Cambria" w:hAnsi="Cambria"/>
                <w:b/>
                <w:bCs/>
                <w:color w:val="FFFFFF" w:themeColor="background1"/>
                <w:sz w:val="20"/>
                <w:szCs w:val="20"/>
                <w:lang w:val="es-ES"/>
              </w:rPr>
            </w:pPr>
            <w:r w:rsidRPr="001422FA">
              <w:rPr>
                <w:rFonts w:ascii="Cambria" w:hAnsi="Cambria"/>
                <w:b/>
                <w:bCs/>
                <w:color w:val="FFFFFF" w:themeColor="background1"/>
                <w:sz w:val="20"/>
                <w:szCs w:val="20"/>
                <w:lang w:val="es-ES"/>
              </w:rPr>
              <w:t>Duplicación de procedimientos y cosa juzgada internacional:</w:t>
            </w:r>
          </w:p>
        </w:tc>
        <w:tc>
          <w:tcPr>
            <w:tcW w:w="5772" w:type="dxa"/>
            <w:vAlign w:val="center"/>
          </w:tcPr>
          <w:p w14:paraId="764D7F60" w14:textId="003B40D1" w:rsidR="00EE00E9" w:rsidRPr="001422FA" w:rsidRDefault="00A004BB" w:rsidP="008D2290">
            <w:pPr>
              <w:jc w:val="both"/>
              <w:rPr>
                <w:rFonts w:ascii="Cambria" w:hAnsi="Cambria"/>
                <w:bCs/>
                <w:sz w:val="20"/>
                <w:szCs w:val="20"/>
                <w:lang w:val="es-ES"/>
              </w:rPr>
            </w:pPr>
            <w:r w:rsidRPr="001422FA">
              <w:rPr>
                <w:rFonts w:ascii="Cambria" w:hAnsi="Cambria"/>
                <w:bCs/>
                <w:sz w:val="20"/>
                <w:szCs w:val="20"/>
                <w:lang w:val="es-ES"/>
              </w:rPr>
              <w:t>No</w:t>
            </w:r>
          </w:p>
        </w:tc>
      </w:tr>
      <w:tr w:rsidR="003239B8" w:rsidRPr="00406825" w14:paraId="3ED57BF3" w14:textId="77777777" w:rsidTr="00380267">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1422FA" w:rsidRDefault="003239B8" w:rsidP="008D2290">
            <w:pPr>
              <w:jc w:val="center"/>
              <w:rPr>
                <w:rFonts w:ascii="Cambria" w:hAnsi="Cambria"/>
                <w:b/>
                <w:bCs/>
                <w:i/>
                <w:color w:val="FFFFFF" w:themeColor="background1"/>
                <w:sz w:val="20"/>
                <w:szCs w:val="20"/>
              </w:rPr>
            </w:pPr>
            <w:r w:rsidRPr="001422FA">
              <w:rPr>
                <w:rFonts w:ascii="Cambria" w:hAnsi="Cambria"/>
                <w:b/>
                <w:bCs/>
                <w:color w:val="FFFFFF" w:themeColor="background1"/>
                <w:sz w:val="20"/>
                <w:szCs w:val="20"/>
              </w:rPr>
              <w:t>Derechos declarados admisibles</w:t>
            </w:r>
            <w:r w:rsidRPr="001422FA">
              <w:rPr>
                <w:rFonts w:ascii="Cambria" w:hAnsi="Cambria"/>
                <w:b/>
                <w:bCs/>
                <w:i/>
                <w:color w:val="FFFFFF" w:themeColor="background1"/>
                <w:sz w:val="20"/>
                <w:szCs w:val="20"/>
              </w:rPr>
              <w:t>:</w:t>
            </w:r>
          </w:p>
        </w:tc>
        <w:tc>
          <w:tcPr>
            <w:tcW w:w="5772" w:type="dxa"/>
            <w:vAlign w:val="center"/>
          </w:tcPr>
          <w:p w14:paraId="4DAE9D4D" w14:textId="5068EBC2" w:rsidR="003239B8" w:rsidRPr="001422FA" w:rsidRDefault="00A651B9" w:rsidP="008D2290">
            <w:pPr>
              <w:jc w:val="both"/>
              <w:rPr>
                <w:rFonts w:ascii="Cambria" w:hAnsi="Cambria"/>
                <w:bCs/>
                <w:sz w:val="20"/>
                <w:szCs w:val="20"/>
                <w:lang w:val="es-ES"/>
              </w:rPr>
            </w:pPr>
            <w:r>
              <w:rPr>
                <w:rFonts w:ascii="Cambria" w:hAnsi="Cambria"/>
                <w:bCs/>
                <w:sz w:val="20"/>
                <w:szCs w:val="20"/>
                <w:lang w:val="es-ES" w:bidi="es-ES"/>
              </w:rPr>
              <w:t>N/A</w:t>
            </w:r>
          </w:p>
        </w:tc>
      </w:tr>
      <w:tr w:rsidR="003239B8" w:rsidRPr="001427FE" w14:paraId="5702249F" w14:textId="77777777" w:rsidTr="00380267">
        <w:trPr>
          <w:cantSplit/>
        </w:trPr>
        <w:tc>
          <w:tcPr>
            <w:tcW w:w="3565" w:type="dxa"/>
            <w:tcBorders>
              <w:top w:val="single" w:sz="6" w:space="0" w:color="auto"/>
              <w:bottom w:val="single" w:sz="6" w:space="0" w:color="auto"/>
            </w:tcBorders>
            <w:shd w:val="clear" w:color="auto" w:fill="386294"/>
            <w:vAlign w:val="center"/>
          </w:tcPr>
          <w:p w14:paraId="1F00DF1D" w14:textId="77777777" w:rsidR="003239B8" w:rsidRPr="001422FA" w:rsidRDefault="003239B8" w:rsidP="008D2290">
            <w:pPr>
              <w:jc w:val="center"/>
              <w:rPr>
                <w:rFonts w:ascii="Cambria" w:hAnsi="Cambria"/>
                <w:b/>
                <w:bCs/>
                <w:color w:val="FFFFFF" w:themeColor="background1"/>
                <w:sz w:val="20"/>
                <w:szCs w:val="20"/>
                <w:lang w:val="es-ES"/>
              </w:rPr>
            </w:pPr>
            <w:r w:rsidRPr="001422FA">
              <w:rPr>
                <w:rFonts w:ascii="Cambria" w:hAnsi="Cambria"/>
                <w:b/>
                <w:bCs/>
                <w:color w:val="FFFFFF" w:themeColor="background1"/>
                <w:sz w:val="20"/>
                <w:szCs w:val="20"/>
                <w:lang w:val="es-ES"/>
              </w:rPr>
              <w:t>Agotamiento de recursos internos</w:t>
            </w:r>
            <w:r w:rsidR="00EE00E9" w:rsidRPr="001422FA">
              <w:rPr>
                <w:rFonts w:ascii="Cambria" w:hAnsi="Cambria"/>
                <w:b/>
                <w:bCs/>
                <w:color w:val="FFFFFF" w:themeColor="background1"/>
                <w:sz w:val="20"/>
                <w:szCs w:val="20"/>
                <w:lang w:val="es-ES"/>
              </w:rPr>
              <w:t xml:space="preserve"> o procedencia de una excepción</w:t>
            </w:r>
            <w:r w:rsidRPr="001422FA">
              <w:rPr>
                <w:rFonts w:ascii="Cambria" w:hAnsi="Cambria"/>
                <w:b/>
                <w:bCs/>
                <w:color w:val="FFFFFF" w:themeColor="background1"/>
                <w:sz w:val="20"/>
                <w:szCs w:val="20"/>
                <w:lang w:val="es-ES"/>
              </w:rPr>
              <w:t>:</w:t>
            </w:r>
          </w:p>
        </w:tc>
        <w:tc>
          <w:tcPr>
            <w:tcW w:w="5772" w:type="dxa"/>
            <w:vAlign w:val="center"/>
          </w:tcPr>
          <w:p w14:paraId="7F7C1A19" w14:textId="2E1F11AA" w:rsidR="003239B8" w:rsidRPr="001422FA" w:rsidRDefault="00CE0487" w:rsidP="008D2290">
            <w:pPr>
              <w:rPr>
                <w:rFonts w:ascii="Cambria" w:hAnsi="Cambria"/>
                <w:bCs/>
                <w:sz w:val="20"/>
                <w:szCs w:val="20"/>
                <w:lang w:val="es-ES"/>
              </w:rPr>
            </w:pPr>
            <w:r>
              <w:rPr>
                <w:rFonts w:ascii="Cambria" w:hAnsi="Cambria"/>
                <w:bCs/>
                <w:sz w:val="20"/>
                <w:szCs w:val="20"/>
                <w:lang w:val="es-ES" w:bidi="es-ES"/>
              </w:rPr>
              <w:t>No</w:t>
            </w:r>
          </w:p>
        </w:tc>
      </w:tr>
      <w:tr w:rsidR="003239B8" w:rsidRPr="001427FE" w14:paraId="7A101B89" w14:textId="77777777" w:rsidTr="00380267">
        <w:trPr>
          <w:cantSplit/>
        </w:trPr>
        <w:tc>
          <w:tcPr>
            <w:tcW w:w="3565" w:type="dxa"/>
            <w:tcBorders>
              <w:top w:val="single" w:sz="6" w:space="0" w:color="auto"/>
              <w:bottom w:val="single" w:sz="6" w:space="0" w:color="auto"/>
            </w:tcBorders>
            <w:shd w:val="clear" w:color="auto" w:fill="386294"/>
            <w:vAlign w:val="center"/>
          </w:tcPr>
          <w:p w14:paraId="0843C533" w14:textId="77777777" w:rsidR="003239B8" w:rsidRPr="001422FA" w:rsidRDefault="003239B8" w:rsidP="008D2290">
            <w:pPr>
              <w:jc w:val="center"/>
              <w:rPr>
                <w:rFonts w:ascii="Cambria" w:hAnsi="Cambria"/>
                <w:b/>
                <w:bCs/>
                <w:color w:val="FFFFFF" w:themeColor="background1"/>
                <w:sz w:val="20"/>
                <w:szCs w:val="20"/>
              </w:rPr>
            </w:pPr>
            <w:r w:rsidRPr="001422FA">
              <w:rPr>
                <w:rFonts w:ascii="Cambria" w:hAnsi="Cambria"/>
                <w:b/>
                <w:bCs/>
                <w:color w:val="FFFFFF" w:themeColor="background1"/>
                <w:sz w:val="20"/>
                <w:szCs w:val="20"/>
              </w:rPr>
              <w:t>Presentación dentro de plazo:</w:t>
            </w:r>
          </w:p>
        </w:tc>
        <w:tc>
          <w:tcPr>
            <w:tcW w:w="5772" w:type="dxa"/>
            <w:vAlign w:val="center"/>
          </w:tcPr>
          <w:p w14:paraId="2AF0FC69" w14:textId="0A8D5A2B" w:rsidR="003239B8" w:rsidRPr="001422FA" w:rsidRDefault="00CE0487" w:rsidP="008D2290">
            <w:pPr>
              <w:rPr>
                <w:rFonts w:ascii="Cambria" w:hAnsi="Cambria"/>
                <w:bCs/>
                <w:sz w:val="20"/>
                <w:szCs w:val="20"/>
                <w:lang w:val="es-ES"/>
              </w:rPr>
            </w:pPr>
            <w:r>
              <w:rPr>
                <w:rFonts w:ascii="Cambria" w:hAnsi="Cambria"/>
                <w:bCs/>
                <w:sz w:val="20"/>
                <w:szCs w:val="20"/>
                <w:lang w:val="es-ES" w:bidi="es-ES"/>
              </w:rPr>
              <w:t>N</w:t>
            </w:r>
            <w:r w:rsidR="001427FE">
              <w:rPr>
                <w:rFonts w:ascii="Cambria" w:hAnsi="Cambria"/>
                <w:bCs/>
                <w:sz w:val="20"/>
                <w:szCs w:val="20"/>
                <w:lang w:val="es-ES" w:bidi="es-ES"/>
              </w:rPr>
              <w:t>/A</w:t>
            </w:r>
          </w:p>
        </w:tc>
      </w:tr>
    </w:tbl>
    <w:p w14:paraId="73156F4D" w14:textId="77777777" w:rsidR="00CE0487" w:rsidRDefault="00CE0487" w:rsidP="003239B8">
      <w:pPr>
        <w:spacing w:before="240" w:after="240"/>
        <w:ind w:firstLine="720"/>
        <w:jc w:val="both"/>
        <w:rPr>
          <w:rFonts w:asciiTheme="majorHAnsi" w:hAnsiTheme="majorHAnsi"/>
          <w:b/>
          <w:sz w:val="20"/>
          <w:szCs w:val="20"/>
          <w:lang w:val="es-UY"/>
        </w:rPr>
      </w:pPr>
    </w:p>
    <w:p w14:paraId="56FD5D57" w14:textId="2894E4AC"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6157CE">
        <w:rPr>
          <w:rFonts w:asciiTheme="majorHAnsi" w:hAnsiTheme="majorHAnsi"/>
          <w:b/>
          <w:sz w:val="20"/>
          <w:szCs w:val="20"/>
          <w:lang w:val="es-UY"/>
        </w:rPr>
        <w:t xml:space="preserve">POSICIÓN </w:t>
      </w:r>
      <w:r w:rsidR="004241A0">
        <w:rPr>
          <w:rFonts w:asciiTheme="majorHAnsi" w:hAnsiTheme="majorHAnsi"/>
          <w:b/>
          <w:sz w:val="20"/>
          <w:szCs w:val="20"/>
          <w:lang w:val="es-UY"/>
        </w:rPr>
        <w:t>DE LAS PARTES</w:t>
      </w:r>
      <w:r w:rsidR="003239B8">
        <w:rPr>
          <w:rFonts w:asciiTheme="majorHAnsi" w:hAnsiTheme="majorHAnsi"/>
          <w:b/>
          <w:sz w:val="20"/>
          <w:szCs w:val="20"/>
          <w:lang w:val="es-UY"/>
        </w:rPr>
        <w:t xml:space="preserve"> </w:t>
      </w:r>
    </w:p>
    <w:p w14:paraId="7E75E8AF" w14:textId="77777777" w:rsidR="003E76BF" w:rsidRPr="003E76BF" w:rsidRDefault="003E76BF" w:rsidP="003E76B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419"/>
        </w:rPr>
      </w:pPr>
      <w:r w:rsidRPr="003E76BF">
        <w:rPr>
          <w:i/>
          <w:iCs/>
          <w:sz w:val="20"/>
          <w:szCs w:val="20"/>
          <w:lang w:val="es-419"/>
        </w:rPr>
        <w:t>Posición de la parte peticionaria</w:t>
      </w:r>
    </w:p>
    <w:p w14:paraId="0B0769AF" w14:textId="5BB61418" w:rsidR="003440AF" w:rsidRDefault="00A21C0E" w:rsidP="00EE038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419"/>
        </w:rPr>
        <w:t xml:space="preserve">La parte </w:t>
      </w:r>
      <w:r w:rsidR="003440AF" w:rsidRPr="003440AF">
        <w:rPr>
          <w:sz w:val="20"/>
          <w:szCs w:val="20"/>
          <w:lang w:val="es-419"/>
        </w:rPr>
        <w:t>peticionari</w:t>
      </w:r>
      <w:r>
        <w:rPr>
          <w:sz w:val="20"/>
          <w:szCs w:val="20"/>
          <w:lang w:val="es-419"/>
        </w:rPr>
        <w:t>a</w:t>
      </w:r>
      <w:r w:rsidR="003440AF" w:rsidRPr="003440AF">
        <w:rPr>
          <w:sz w:val="20"/>
          <w:szCs w:val="20"/>
          <w:lang w:val="es-419"/>
        </w:rPr>
        <w:t xml:space="preserve"> </w:t>
      </w:r>
      <w:r w:rsidR="00643428">
        <w:rPr>
          <w:sz w:val="20"/>
          <w:szCs w:val="20"/>
          <w:lang w:val="es-419"/>
        </w:rPr>
        <w:t>alega</w:t>
      </w:r>
      <w:r w:rsidR="00EE0381">
        <w:rPr>
          <w:sz w:val="20"/>
          <w:szCs w:val="20"/>
          <w:lang w:val="es-419"/>
        </w:rPr>
        <w:t xml:space="preserve"> la falta de pago de títulos ejecutivos judiciales de deudas estatales (los llamados </w:t>
      </w:r>
      <w:r w:rsidR="00EE0381" w:rsidRPr="00E12EC4">
        <w:rPr>
          <w:i/>
          <w:iCs/>
          <w:sz w:val="20"/>
          <w:szCs w:val="20"/>
          <w:lang w:val="es-419"/>
        </w:rPr>
        <w:t>precatórios</w:t>
      </w:r>
      <w:r w:rsidR="00EE0381">
        <w:rPr>
          <w:rStyle w:val="FootnoteReference"/>
          <w:sz w:val="20"/>
          <w:szCs w:val="20"/>
          <w:lang w:val="es-ES"/>
        </w:rPr>
        <w:footnoteReference w:id="5"/>
      </w:r>
      <w:r w:rsidR="00EE0381">
        <w:rPr>
          <w:sz w:val="20"/>
          <w:szCs w:val="20"/>
          <w:lang w:val="es-419"/>
        </w:rPr>
        <w:t>), así como por presuntas violaciones relacionadas con los procesos penales en contra de las presuntas víctimas. Dichas violaciones inclu</w:t>
      </w:r>
      <w:r w:rsidR="00643428">
        <w:rPr>
          <w:sz w:val="20"/>
          <w:szCs w:val="20"/>
          <w:lang w:val="es-419"/>
        </w:rPr>
        <w:t>irían</w:t>
      </w:r>
      <w:r w:rsidR="00EE0381">
        <w:rPr>
          <w:sz w:val="20"/>
          <w:szCs w:val="20"/>
          <w:lang w:val="es-419"/>
        </w:rPr>
        <w:t xml:space="preserve"> e</w:t>
      </w:r>
      <w:r w:rsidR="003440AF" w:rsidRPr="003440AF">
        <w:rPr>
          <w:sz w:val="20"/>
          <w:szCs w:val="20"/>
          <w:lang w:val="es-419"/>
        </w:rPr>
        <w:t>l decomiso de activos</w:t>
      </w:r>
      <w:r w:rsidR="00EE0381">
        <w:rPr>
          <w:sz w:val="20"/>
          <w:szCs w:val="20"/>
          <w:lang w:val="es-419"/>
        </w:rPr>
        <w:t>,</w:t>
      </w:r>
      <w:r w:rsidR="003440AF" w:rsidRPr="003440AF">
        <w:rPr>
          <w:sz w:val="20"/>
          <w:szCs w:val="20"/>
          <w:lang w:val="es-419"/>
        </w:rPr>
        <w:t xml:space="preserve"> detenciones arbitrarias</w:t>
      </w:r>
      <w:r w:rsidR="00EE0381">
        <w:rPr>
          <w:sz w:val="20"/>
          <w:szCs w:val="20"/>
          <w:lang w:val="es-419"/>
        </w:rPr>
        <w:t>,</w:t>
      </w:r>
      <w:r w:rsidR="003440AF" w:rsidRPr="003440AF">
        <w:rPr>
          <w:sz w:val="20"/>
          <w:szCs w:val="20"/>
          <w:lang w:val="es-419"/>
        </w:rPr>
        <w:t xml:space="preserve"> condiciones penitenciarias degradantes,</w:t>
      </w:r>
      <w:r w:rsidR="00EE0381">
        <w:rPr>
          <w:sz w:val="20"/>
          <w:szCs w:val="20"/>
          <w:lang w:val="es-419"/>
        </w:rPr>
        <w:t xml:space="preserve"> </w:t>
      </w:r>
      <w:r w:rsidR="003440AF" w:rsidRPr="003440AF">
        <w:rPr>
          <w:sz w:val="20"/>
          <w:szCs w:val="20"/>
          <w:lang w:val="es-419"/>
        </w:rPr>
        <w:t>incomunic</w:t>
      </w:r>
      <w:r w:rsidR="00173185">
        <w:rPr>
          <w:sz w:val="20"/>
          <w:szCs w:val="20"/>
          <w:lang w:val="es-419"/>
        </w:rPr>
        <w:t>ación</w:t>
      </w:r>
      <w:r w:rsidR="003440AF" w:rsidRPr="003440AF">
        <w:rPr>
          <w:sz w:val="20"/>
          <w:szCs w:val="20"/>
          <w:lang w:val="es-419"/>
        </w:rPr>
        <w:t xml:space="preserve"> y separación familiar</w:t>
      </w:r>
      <w:r w:rsidR="00EE0381">
        <w:rPr>
          <w:sz w:val="20"/>
          <w:szCs w:val="20"/>
          <w:lang w:val="es-419"/>
        </w:rPr>
        <w:t xml:space="preserve"> derivadas de las detenciones, así como alegados daños </w:t>
      </w:r>
      <w:r w:rsidR="003440AF" w:rsidRPr="003440AF">
        <w:rPr>
          <w:sz w:val="20"/>
          <w:szCs w:val="20"/>
          <w:lang w:val="es-419"/>
        </w:rPr>
        <w:t>al honor y</w:t>
      </w:r>
      <w:r w:rsidR="000177A9">
        <w:rPr>
          <w:sz w:val="20"/>
          <w:szCs w:val="20"/>
          <w:lang w:val="es-419"/>
        </w:rPr>
        <w:t xml:space="preserve"> </w:t>
      </w:r>
      <w:r w:rsidR="003440AF" w:rsidRPr="003440AF">
        <w:rPr>
          <w:sz w:val="20"/>
          <w:szCs w:val="20"/>
          <w:lang w:val="es-419"/>
        </w:rPr>
        <w:t>a la imagen derivados de su</w:t>
      </w:r>
      <w:r w:rsidR="00CC775F">
        <w:rPr>
          <w:sz w:val="20"/>
          <w:szCs w:val="20"/>
          <w:lang w:val="es-419"/>
        </w:rPr>
        <w:t xml:space="preserve"> alegada</w:t>
      </w:r>
      <w:r w:rsidR="003440AF" w:rsidRPr="003440AF">
        <w:rPr>
          <w:sz w:val="20"/>
          <w:szCs w:val="20"/>
          <w:lang w:val="es-419"/>
        </w:rPr>
        <w:t xml:space="preserve"> </w:t>
      </w:r>
      <w:r>
        <w:rPr>
          <w:sz w:val="20"/>
          <w:szCs w:val="20"/>
          <w:lang w:val="es-419"/>
        </w:rPr>
        <w:t>criminalización</w:t>
      </w:r>
      <w:r w:rsidR="003440AF" w:rsidRPr="003440AF">
        <w:rPr>
          <w:sz w:val="20"/>
          <w:szCs w:val="20"/>
          <w:lang w:val="es-419"/>
        </w:rPr>
        <w:t>.</w:t>
      </w:r>
    </w:p>
    <w:p w14:paraId="427DD78C" w14:textId="3FA3F0E0" w:rsidR="000177A9" w:rsidRDefault="000177A9"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0177A9">
        <w:rPr>
          <w:sz w:val="20"/>
          <w:szCs w:val="20"/>
          <w:lang w:val="es-419"/>
        </w:rPr>
        <w:t xml:space="preserve">Según </w:t>
      </w:r>
      <w:r>
        <w:rPr>
          <w:sz w:val="20"/>
          <w:szCs w:val="20"/>
          <w:lang w:val="es-419"/>
        </w:rPr>
        <w:t xml:space="preserve">la parte </w:t>
      </w:r>
      <w:r w:rsidRPr="000177A9">
        <w:rPr>
          <w:sz w:val="20"/>
          <w:szCs w:val="20"/>
          <w:lang w:val="es-419"/>
        </w:rPr>
        <w:t>peticionari</w:t>
      </w:r>
      <w:r>
        <w:rPr>
          <w:sz w:val="20"/>
          <w:szCs w:val="20"/>
          <w:lang w:val="es-419"/>
        </w:rPr>
        <w:t>a</w:t>
      </w:r>
      <w:r w:rsidRPr="000177A9">
        <w:rPr>
          <w:sz w:val="20"/>
          <w:szCs w:val="20"/>
          <w:lang w:val="es-419"/>
        </w:rPr>
        <w:t>, las presuntas víctimas fueron sometidas a un proceso penal derivado de un operativo liderado por la Policía Federal Brasileña denominado</w:t>
      </w:r>
      <w:r w:rsidR="00EE0381">
        <w:rPr>
          <w:sz w:val="20"/>
          <w:szCs w:val="20"/>
          <w:lang w:val="es-419"/>
        </w:rPr>
        <w:t xml:space="preserve"> “Manos Dadas” (</w:t>
      </w:r>
      <w:r w:rsidRPr="00D335F4">
        <w:rPr>
          <w:i/>
          <w:iCs/>
          <w:sz w:val="20"/>
          <w:szCs w:val="20"/>
          <w:lang w:val="es-419"/>
        </w:rPr>
        <w:t>Mãos Dadas</w:t>
      </w:r>
      <w:r w:rsidR="00EE0381">
        <w:rPr>
          <w:sz w:val="20"/>
          <w:szCs w:val="20"/>
          <w:lang w:val="es-419"/>
        </w:rPr>
        <w:t>)</w:t>
      </w:r>
      <w:r w:rsidRPr="000177A9">
        <w:rPr>
          <w:sz w:val="20"/>
          <w:szCs w:val="20"/>
          <w:lang w:val="es-419"/>
        </w:rPr>
        <w:t>.</w:t>
      </w:r>
      <w:r w:rsidR="00EC7FB3">
        <w:rPr>
          <w:sz w:val="20"/>
          <w:szCs w:val="20"/>
          <w:lang w:val="es-419"/>
        </w:rPr>
        <w:t xml:space="preserve"> El operativo pretendía enfrentar un presunto esquema criminal para obtener </w:t>
      </w:r>
      <w:r w:rsidR="00EC7FB3" w:rsidRPr="00E12EC4">
        <w:rPr>
          <w:i/>
          <w:iCs/>
          <w:sz w:val="20"/>
          <w:szCs w:val="20"/>
          <w:lang w:val="es-419"/>
        </w:rPr>
        <w:t>precatórios</w:t>
      </w:r>
      <w:r w:rsidR="00EC7FB3">
        <w:rPr>
          <w:sz w:val="20"/>
          <w:szCs w:val="20"/>
          <w:lang w:val="es-419"/>
        </w:rPr>
        <w:t xml:space="preserve"> de manera indebida.</w:t>
      </w:r>
      <w:r w:rsidRPr="000177A9">
        <w:rPr>
          <w:sz w:val="20"/>
          <w:szCs w:val="20"/>
          <w:lang w:val="es-419"/>
        </w:rPr>
        <w:t xml:space="preserve"> El proceso penal habría sido iniciado como forma de represalia contra las presuntas víctimas, ya que tienen un crédito impago </w:t>
      </w:r>
      <w:r w:rsidR="004120E7">
        <w:rPr>
          <w:sz w:val="20"/>
          <w:szCs w:val="20"/>
          <w:lang w:val="es-419"/>
        </w:rPr>
        <w:t>de</w:t>
      </w:r>
      <w:r w:rsidRPr="000177A9">
        <w:rPr>
          <w:sz w:val="20"/>
          <w:szCs w:val="20"/>
          <w:lang w:val="es-419"/>
        </w:rPr>
        <w:t xml:space="preserve"> monto superior a R$ 754.298.981,34</w:t>
      </w:r>
      <w:r w:rsidR="00F470FB">
        <w:rPr>
          <w:rStyle w:val="FootnoteReference"/>
          <w:sz w:val="20"/>
          <w:szCs w:val="20"/>
          <w:lang w:val="es-ES"/>
        </w:rPr>
        <w:footnoteReference w:id="6"/>
      </w:r>
      <w:r w:rsidRPr="000177A9">
        <w:rPr>
          <w:sz w:val="20"/>
          <w:szCs w:val="20"/>
          <w:lang w:val="es-419"/>
        </w:rPr>
        <w:t xml:space="preserve"> del cual el Estado brasileño est</w:t>
      </w:r>
      <w:r w:rsidR="001C7583">
        <w:rPr>
          <w:sz w:val="20"/>
          <w:szCs w:val="20"/>
          <w:lang w:val="es-419"/>
        </w:rPr>
        <w:t>aría</w:t>
      </w:r>
      <w:r w:rsidRPr="000177A9">
        <w:rPr>
          <w:sz w:val="20"/>
          <w:szCs w:val="20"/>
          <w:lang w:val="es-419"/>
        </w:rPr>
        <w:t xml:space="preserve"> en deuda. Así, la petición bajo examen abarca dos procesos judiciales: uno que exige el pago de un</w:t>
      </w:r>
      <w:r w:rsidR="00715051">
        <w:rPr>
          <w:sz w:val="20"/>
          <w:szCs w:val="20"/>
          <w:lang w:val="es-419"/>
        </w:rPr>
        <w:t xml:space="preserve"> título ejecutivo judicial debido por el Estado</w:t>
      </w:r>
      <w:r w:rsidR="00EC1A95">
        <w:rPr>
          <w:sz w:val="20"/>
          <w:szCs w:val="20"/>
          <w:lang w:val="es-419"/>
        </w:rPr>
        <w:t>;</w:t>
      </w:r>
      <w:r w:rsidR="00715051">
        <w:rPr>
          <w:sz w:val="20"/>
          <w:szCs w:val="20"/>
          <w:lang w:val="es-419"/>
        </w:rPr>
        <w:t xml:space="preserve"> </w:t>
      </w:r>
      <w:r w:rsidRPr="000177A9">
        <w:rPr>
          <w:sz w:val="20"/>
          <w:szCs w:val="20"/>
          <w:lang w:val="es-419"/>
        </w:rPr>
        <w:t xml:space="preserve">y otro que se refiere al proceso penal </w:t>
      </w:r>
      <w:r w:rsidR="004120E7">
        <w:rPr>
          <w:sz w:val="20"/>
          <w:szCs w:val="20"/>
          <w:lang w:val="es-419"/>
        </w:rPr>
        <w:t>conducido en</w:t>
      </w:r>
      <w:r w:rsidRPr="000177A9">
        <w:rPr>
          <w:sz w:val="20"/>
          <w:szCs w:val="20"/>
          <w:lang w:val="es-419"/>
        </w:rPr>
        <w:t xml:space="preserve"> contra</w:t>
      </w:r>
      <w:r w:rsidR="004120E7">
        <w:rPr>
          <w:sz w:val="20"/>
          <w:szCs w:val="20"/>
          <w:lang w:val="es-419"/>
        </w:rPr>
        <w:t xml:space="preserve"> de</w:t>
      </w:r>
      <w:r w:rsidRPr="000177A9">
        <w:rPr>
          <w:sz w:val="20"/>
          <w:szCs w:val="20"/>
          <w:lang w:val="es-419"/>
        </w:rPr>
        <w:t xml:space="preserve"> las presuntas víctimas. Según los peticionarios, en ambos casos se violaron los derechos de los Gruenberg.</w:t>
      </w:r>
    </w:p>
    <w:p w14:paraId="424A2398" w14:textId="2C6E5BC5" w:rsidR="00EC7FB3" w:rsidRPr="00EC7FB3" w:rsidRDefault="001A76C6" w:rsidP="00EC7FB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419"/>
        </w:rPr>
      </w:pPr>
      <w:r>
        <w:rPr>
          <w:sz w:val="20"/>
          <w:szCs w:val="20"/>
          <w:u w:val="single"/>
          <w:lang w:val="es-419"/>
        </w:rPr>
        <w:t>L</w:t>
      </w:r>
      <w:r w:rsidR="00EC7FB3" w:rsidRPr="00EC7FB3">
        <w:rPr>
          <w:sz w:val="20"/>
          <w:szCs w:val="20"/>
          <w:u w:val="single"/>
          <w:lang w:val="es-419"/>
        </w:rPr>
        <w:t>os precatórios</w:t>
      </w:r>
    </w:p>
    <w:p w14:paraId="7ED97211" w14:textId="0D39DD76" w:rsidR="004120E7" w:rsidRDefault="00B924C4"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419"/>
        </w:rPr>
        <w:t>L</w:t>
      </w:r>
      <w:r w:rsidR="004120E7" w:rsidRPr="004120E7">
        <w:rPr>
          <w:sz w:val="20"/>
          <w:szCs w:val="20"/>
          <w:lang w:val="es-419"/>
        </w:rPr>
        <w:t xml:space="preserve">os peticionarios sostienen que Wolf Gruenberg es acreedor de dos </w:t>
      </w:r>
      <w:r w:rsidR="00715051">
        <w:rPr>
          <w:sz w:val="20"/>
          <w:szCs w:val="20"/>
          <w:lang w:val="es-419"/>
        </w:rPr>
        <w:t>título</w:t>
      </w:r>
      <w:r w:rsidR="00A21C0E">
        <w:rPr>
          <w:sz w:val="20"/>
          <w:szCs w:val="20"/>
          <w:lang w:val="es-419"/>
        </w:rPr>
        <w:t>s</w:t>
      </w:r>
      <w:r w:rsidR="00715051">
        <w:rPr>
          <w:sz w:val="20"/>
          <w:szCs w:val="20"/>
          <w:lang w:val="es-419"/>
        </w:rPr>
        <w:t xml:space="preserve"> ejecutivos judiciales </w:t>
      </w:r>
      <w:r w:rsidR="004120E7" w:rsidRPr="004120E7">
        <w:rPr>
          <w:sz w:val="20"/>
          <w:szCs w:val="20"/>
          <w:lang w:val="es-419"/>
        </w:rPr>
        <w:t>de la Unión Federal, los cuales se originaron en 1991</w:t>
      </w:r>
      <w:r w:rsidR="002E6120">
        <w:rPr>
          <w:sz w:val="20"/>
          <w:szCs w:val="20"/>
          <w:lang w:val="es-419"/>
        </w:rPr>
        <w:t>,</w:t>
      </w:r>
      <w:r w:rsidR="004120E7" w:rsidRPr="004120E7">
        <w:rPr>
          <w:sz w:val="20"/>
          <w:szCs w:val="20"/>
          <w:lang w:val="es-419"/>
        </w:rPr>
        <w:t xml:space="preserve"> y</w:t>
      </w:r>
      <w:r w:rsidR="00F968DE">
        <w:rPr>
          <w:sz w:val="20"/>
          <w:szCs w:val="20"/>
          <w:lang w:val="es-419"/>
        </w:rPr>
        <w:t xml:space="preserve"> </w:t>
      </w:r>
      <w:r w:rsidR="002E6120">
        <w:rPr>
          <w:sz w:val="20"/>
          <w:szCs w:val="20"/>
          <w:lang w:val="es-419"/>
        </w:rPr>
        <w:t xml:space="preserve">que </w:t>
      </w:r>
      <w:r w:rsidR="004120E7" w:rsidRPr="004120E7">
        <w:rPr>
          <w:sz w:val="20"/>
          <w:szCs w:val="20"/>
          <w:lang w:val="es-419"/>
        </w:rPr>
        <w:t>a la fech</w:t>
      </w:r>
      <w:r w:rsidR="00F968DE">
        <w:rPr>
          <w:sz w:val="20"/>
          <w:szCs w:val="20"/>
          <w:lang w:val="es-419"/>
        </w:rPr>
        <w:t>a</w:t>
      </w:r>
      <w:r w:rsidR="004120E7" w:rsidRPr="004120E7">
        <w:rPr>
          <w:sz w:val="20"/>
          <w:szCs w:val="20"/>
          <w:lang w:val="es-419"/>
        </w:rPr>
        <w:t xml:space="preserve"> no han sido pagados. L</w:t>
      </w:r>
      <w:r w:rsidR="00715051">
        <w:rPr>
          <w:sz w:val="20"/>
          <w:szCs w:val="20"/>
          <w:lang w:val="es-419"/>
        </w:rPr>
        <w:t xml:space="preserve">as deudas </w:t>
      </w:r>
      <w:r w:rsidR="004120E7" w:rsidRPr="004120E7">
        <w:rPr>
          <w:sz w:val="20"/>
          <w:szCs w:val="20"/>
          <w:lang w:val="es-419"/>
        </w:rPr>
        <w:t xml:space="preserve">tuvieron su origen en una venta realizada por la empresa </w:t>
      </w:r>
      <w:r w:rsidR="004120E7" w:rsidRPr="00E12EC4">
        <w:rPr>
          <w:i/>
          <w:iCs/>
          <w:sz w:val="20"/>
          <w:szCs w:val="20"/>
          <w:lang w:val="es-419"/>
        </w:rPr>
        <w:t>AC Indústria e Comércio, Importação e Exportação</w:t>
      </w:r>
      <w:r w:rsidR="004120E7" w:rsidRPr="004120E7">
        <w:rPr>
          <w:sz w:val="20"/>
          <w:szCs w:val="20"/>
          <w:lang w:val="es-419"/>
        </w:rPr>
        <w:t xml:space="preserve">, de la cual el </w:t>
      </w:r>
      <w:bookmarkStart w:id="2" w:name="_Hlk144041432"/>
      <w:r w:rsidR="004120E7" w:rsidRPr="004120E7">
        <w:rPr>
          <w:sz w:val="20"/>
          <w:szCs w:val="20"/>
          <w:lang w:val="es-419"/>
        </w:rPr>
        <w:t xml:space="preserve">Sr. Gruenberg </w:t>
      </w:r>
      <w:bookmarkEnd w:id="2"/>
      <w:r w:rsidR="004120E7" w:rsidRPr="004120E7">
        <w:rPr>
          <w:sz w:val="20"/>
          <w:szCs w:val="20"/>
          <w:lang w:val="es-419"/>
        </w:rPr>
        <w:t>era socio</w:t>
      </w:r>
      <w:r w:rsidR="00520DE4">
        <w:rPr>
          <w:sz w:val="20"/>
          <w:szCs w:val="20"/>
          <w:lang w:val="es-419"/>
        </w:rPr>
        <w:t>, a</w:t>
      </w:r>
      <w:r w:rsidR="004120E7" w:rsidRPr="004120E7">
        <w:rPr>
          <w:sz w:val="20"/>
          <w:szCs w:val="20"/>
          <w:lang w:val="es-419"/>
        </w:rPr>
        <w:t xml:space="preserve"> la </w:t>
      </w:r>
      <w:r w:rsidR="004120E7" w:rsidRPr="00346ED7">
        <w:rPr>
          <w:i/>
          <w:iCs/>
          <w:sz w:val="20"/>
          <w:szCs w:val="20"/>
          <w:lang w:val="es-419"/>
        </w:rPr>
        <w:t>Companhia Brasileira de Entrepostos e Comércio</w:t>
      </w:r>
      <w:r w:rsidR="004120E7" w:rsidRPr="004120E7">
        <w:rPr>
          <w:sz w:val="20"/>
          <w:szCs w:val="20"/>
          <w:lang w:val="es-419"/>
        </w:rPr>
        <w:t xml:space="preserve">, </w:t>
      </w:r>
      <w:r w:rsidR="00520DE4">
        <w:rPr>
          <w:sz w:val="20"/>
          <w:szCs w:val="20"/>
          <w:lang w:val="es-419"/>
        </w:rPr>
        <w:t>cuyo débito</w:t>
      </w:r>
      <w:r w:rsidR="004120E7" w:rsidRPr="004120E7">
        <w:rPr>
          <w:sz w:val="20"/>
          <w:szCs w:val="20"/>
          <w:lang w:val="es-419"/>
        </w:rPr>
        <w:t xml:space="preserve"> no </w:t>
      </w:r>
      <w:r w:rsidR="008616BE">
        <w:rPr>
          <w:sz w:val="20"/>
          <w:szCs w:val="20"/>
          <w:lang w:val="es-419"/>
        </w:rPr>
        <w:t>habría sido</w:t>
      </w:r>
      <w:r w:rsidR="004120E7" w:rsidRPr="004120E7">
        <w:rPr>
          <w:sz w:val="20"/>
          <w:szCs w:val="20"/>
          <w:lang w:val="es-419"/>
        </w:rPr>
        <w:t xml:space="preserve"> pagado, lo que dio lugar a una acción de cobro y una acción de daños y perjuicios juzgada</w:t>
      </w:r>
      <w:r w:rsidR="00520DE4">
        <w:rPr>
          <w:sz w:val="20"/>
          <w:szCs w:val="20"/>
          <w:lang w:val="es-419"/>
        </w:rPr>
        <w:t>s</w:t>
      </w:r>
      <w:r w:rsidR="004120E7" w:rsidRPr="004120E7">
        <w:rPr>
          <w:sz w:val="20"/>
          <w:szCs w:val="20"/>
          <w:lang w:val="es-419"/>
        </w:rPr>
        <w:t xml:space="preserve"> procedente</w:t>
      </w:r>
      <w:r w:rsidR="00520DE4">
        <w:rPr>
          <w:sz w:val="20"/>
          <w:szCs w:val="20"/>
          <w:lang w:val="es-419"/>
        </w:rPr>
        <w:t>s</w:t>
      </w:r>
      <w:r w:rsidR="004120E7" w:rsidRPr="004120E7">
        <w:rPr>
          <w:sz w:val="20"/>
          <w:szCs w:val="20"/>
          <w:lang w:val="es-419"/>
        </w:rPr>
        <w:t>. Sostienen que s</w:t>
      </w:r>
      <w:r w:rsidR="00A21C0E">
        <w:rPr>
          <w:sz w:val="20"/>
          <w:szCs w:val="20"/>
          <w:lang w:val="es-419"/>
        </w:rPr>
        <w:t>o</w:t>
      </w:r>
      <w:r w:rsidR="004120E7" w:rsidRPr="004120E7">
        <w:rPr>
          <w:sz w:val="20"/>
          <w:szCs w:val="20"/>
          <w:lang w:val="es-419"/>
        </w:rPr>
        <w:t xml:space="preserve">lo se pagó el 10% de la acción de cobro, mientras que la acción de daños y perjuicios no fue liquidada, razón por la cual la presunta víctima interpuso una acción de daños y perjuicios en 1988, </w:t>
      </w:r>
      <w:r w:rsidR="00520DE4">
        <w:rPr>
          <w:sz w:val="20"/>
          <w:szCs w:val="20"/>
          <w:lang w:val="es-419"/>
        </w:rPr>
        <w:t xml:space="preserve">que fue juzgada procedente, </w:t>
      </w:r>
      <w:r w:rsidR="00E07189">
        <w:rPr>
          <w:sz w:val="20"/>
          <w:szCs w:val="20"/>
          <w:lang w:val="es-419"/>
        </w:rPr>
        <w:t>con la confirmación y determinación d</w:t>
      </w:r>
      <w:r w:rsidR="004120E7" w:rsidRPr="004120E7">
        <w:rPr>
          <w:sz w:val="20"/>
          <w:szCs w:val="20"/>
          <w:lang w:val="es-419"/>
        </w:rPr>
        <w:t xml:space="preserve">el pago del crédito. El recurso de apelación y el Recurso Especial interpuesto por el Estado fueron denegados, </w:t>
      </w:r>
      <w:r w:rsidR="00E07189">
        <w:rPr>
          <w:sz w:val="20"/>
          <w:szCs w:val="20"/>
          <w:lang w:val="es-419"/>
        </w:rPr>
        <w:t xml:space="preserve">y la </w:t>
      </w:r>
      <w:r w:rsidR="004120E7" w:rsidRPr="004120E7">
        <w:rPr>
          <w:sz w:val="20"/>
          <w:szCs w:val="20"/>
          <w:lang w:val="es-419"/>
        </w:rPr>
        <w:t xml:space="preserve">acción </w:t>
      </w:r>
      <w:r w:rsidR="00E07189">
        <w:rPr>
          <w:sz w:val="20"/>
          <w:szCs w:val="20"/>
          <w:lang w:val="es-419"/>
        </w:rPr>
        <w:t xml:space="preserve">hizo cosa juzgada </w:t>
      </w:r>
      <w:r w:rsidR="004120E7" w:rsidRPr="004120E7">
        <w:rPr>
          <w:sz w:val="20"/>
          <w:szCs w:val="20"/>
          <w:lang w:val="es-419"/>
        </w:rPr>
        <w:t>el 31 de octubre de 1991</w:t>
      </w:r>
      <w:r w:rsidR="00E07189">
        <w:rPr>
          <w:sz w:val="20"/>
          <w:szCs w:val="20"/>
          <w:lang w:val="es-419"/>
        </w:rPr>
        <w:t xml:space="preserve">, </w:t>
      </w:r>
      <w:r w:rsidR="004120E7" w:rsidRPr="004120E7">
        <w:rPr>
          <w:sz w:val="20"/>
          <w:szCs w:val="20"/>
          <w:lang w:val="es-419"/>
        </w:rPr>
        <w:t xml:space="preserve">ordenándose el pago de US$ 41.044.823,67 </w:t>
      </w:r>
      <w:r w:rsidR="007F27FA">
        <w:rPr>
          <w:sz w:val="20"/>
          <w:szCs w:val="20"/>
          <w:lang w:val="es-419"/>
        </w:rPr>
        <w:t xml:space="preserve">al </w:t>
      </w:r>
      <w:r w:rsidR="007F27FA" w:rsidRPr="007F27FA">
        <w:rPr>
          <w:sz w:val="20"/>
          <w:szCs w:val="20"/>
          <w:lang w:val="es-419"/>
        </w:rPr>
        <w:t>Sr. Gruenberg</w:t>
      </w:r>
      <w:r w:rsidR="002A21E7">
        <w:rPr>
          <w:sz w:val="20"/>
          <w:szCs w:val="20"/>
          <w:lang w:val="es-419"/>
        </w:rPr>
        <w:t>.</w:t>
      </w:r>
    </w:p>
    <w:p w14:paraId="5AE8FC53" w14:textId="3DDC5E64" w:rsidR="00427B38" w:rsidRDefault="002A21E7"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419"/>
        </w:rPr>
        <w:t>En</w:t>
      </w:r>
      <w:r w:rsidRPr="002A21E7">
        <w:rPr>
          <w:sz w:val="20"/>
          <w:szCs w:val="20"/>
          <w:lang w:val="es-419"/>
        </w:rPr>
        <w:t xml:space="preserve"> 1999 el proceso fue transferido del Tribunal Estadual al Tribunal Federal de São Paulo, ya que </w:t>
      </w:r>
      <w:r w:rsidR="007B23C5">
        <w:rPr>
          <w:sz w:val="20"/>
          <w:szCs w:val="20"/>
          <w:lang w:val="es-419"/>
        </w:rPr>
        <w:t xml:space="preserve">la Unión </w:t>
      </w:r>
      <w:r w:rsidRPr="002A21E7">
        <w:rPr>
          <w:sz w:val="20"/>
          <w:szCs w:val="20"/>
          <w:lang w:val="es-419"/>
        </w:rPr>
        <w:t xml:space="preserve">Federal pasó a ser </w:t>
      </w:r>
      <w:r w:rsidR="007B23C5">
        <w:rPr>
          <w:sz w:val="20"/>
          <w:szCs w:val="20"/>
          <w:lang w:val="es-419"/>
        </w:rPr>
        <w:t>la sucesora</w:t>
      </w:r>
      <w:r w:rsidRPr="002A21E7">
        <w:rPr>
          <w:sz w:val="20"/>
          <w:szCs w:val="20"/>
          <w:lang w:val="es-419"/>
        </w:rPr>
        <w:t xml:space="preserve"> de la deuda. El caso, a pedido de la empresa de la presunta víctima, fue remitido a la Justicia Federal de Porto Alegre. Según los peticionarios, se otorgó un nuevo plazo para que el Estado se manifestara en el proceso, a pesar de</w:t>
      </w:r>
      <w:r w:rsidR="00715051">
        <w:rPr>
          <w:sz w:val="20"/>
          <w:szCs w:val="20"/>
          <w:lang w:val="es-419"/>
        </w:rPr>
        <w:t xml:space="preserve"> la preclusión</w:t>
      </w:r>
      <w:r w:rsidRPr="002A21E7">
        <w:rPr>
          <w:sz w:val="20"/>
          <w:szCs w:val="20"/>
          <w:lang w:val="es-419"/>
        </w:rPr>
        <w:t xml:space="preserve">. A partir de entonces, los miembros de la </w:t>
      </w:r>
      <w:r w:rsidR="00D76D5F">
        <w:rPr>
          <w:sz w:val="20"/>
          <w:szCs w:val="20"/>
          <w:lang w:val="es-419"/>
        </w:rPr>
        <w:t>Abogacía</w:t>
      </w:r>
      <w:r w:rsidRPr="002A21E7">
        <w:rPr>
          <w:sz w:val="20"/>
          <w:szCs w:val="20"/>
          <w:lang w:val="es-419"/>
        </w:rPr>
        <w:t xml:space="preserve"> General </w:t>
      </w:r>
      <w:r w:rsidR="00D76D5F">
        <w:rPr>
          <w:sz w:val="20"/>
          <w:szCs w:val="20"/>
          <w:lang w:val="es-419"/>
        </w:rPr>
        <w:t xml:space="preserve">de la Unión </w:t>
      </w:r>
      <w:r w:rsidRPr="002A21E7">
        <w:rPr>
          <w:sz w:val="20"/>
          <w:szCs w:val="20"/>
          <w:lang w:val="es-419"/>
        </w:rPr>
        <w:t xml:space="preserve">(AGU) comenzaron a postergar el caso y </w:t>
      </w:r>
      <w:r w:rsidR="00E07189">
        <w:rPr>
          <w:sz w:val="20"/>
          <w:szCs w:val="20"/>
          <w:lang w:val="es-419"/>
        </w:rPr>
        <w:t>a volver a discutir</w:t>
      </w:r>
      <w:r w:rsidRPr="002A21E7">
        <w:rPr>
          <w:sz w:val="20"/>
          <w:szCs w:val="20"/>
          <w:lang w:val="es-419"/>
        </w:rPr>
        <w:t xml:space="preserve"> el fondo, a pesar </w:t>
      </w:r>
      <w:r w:rsidR="00A21C0E">
        <w:rPr>
          <w:sz w:val="20"/>
          <w:szCs w:val="20"/>
          <w:lang w:val="es-419"/>
        </w:rPr>
        <w:t xml:space="preserve">de ya haber </w:t>
      </w:r>
      <w:r w:rsidR="00D76D5F">
        <w:rPr>
          <w:sz w:val="20"/>
          <w:szCs w:val="20"/>
          <w:lang w:val="es-419"/>
        </w:rPr>
        <w:t>cosa juzgada</w:t>
      </w:r>
      <w:r w:rsidRPr="002A21E7">
        <w:rPr>
          <w:sz w:val="20"/>
          <w:szCs w:val="20"/>
          <w:lang w:val="es-419"/>
        </w:rPr>
        <w:t xml:space="preserve">. En el año 2000, la AGU interpuso recurso interlocutorio ante el Tribunal Regional Federal de la 4ª Región </w:t>
      </w:r>
      <w:r w:rsidR="00E07189">
        <w:rPr>
          <w:sz w:val="20"/>
          <w:szCs w:val="20"/>
          <w:lang w:val="es-419"/>
        </w:rPr>
        <w:t>por la</w:t>
      </w:r>
      <w:r w:rsidRPr="002A21E7">
        <w:rPr>
          <w:sz w:val="20"/>
          <w:szCs w:val="20"/>
          <w:lang w:val="es-419"/>
        </w:rPr>
        <w:t xml:space="preserve"> desestimación de la nulidad procesal por parte del juez de primera instancia. El recurso fue desestimado y, por lo tanto, la AGU presentó </w:t>
      </w:r>
      <w:r w:rsidR="003511D9">
        <w:rPr>
          <w:sz w:val="20"/>
          <w:szCs w:val="20"/>
          <w:lang w:val="es-419"/>
        </w:rPr>
        <w:t>un nuevo recurso especial</w:t>
      </w:r>
      <w:r w:rsidRPr="002A21E7">
        <w:rPr>
          <w:sz w:val="20"/>
          <w:szCs w:val="20"/>
          <w:lang w:val="es-419"/>
        </w:rPr>
        <w:t xml:space="preserve"> ante el Superior Tribunal de Justicia, que tardó cuatro años en ser </w:t>
      </w:r>
      <w:r w:rsidR="00D76D5F" w:rsidRPr="002A21E7">
        <w:rPr>
          <w:sz w:val="20"/>
          <w:szCs w:val="20"/>
          <w:lang w:val="es-419"/>
        </w:rPr>
        <w:t>analizada.</w:t>
      </w:r>
    </w:p>
    <w:p w14:paraId="2073367A" w14:textId="0563FA3E" w:rsidR="00D76D5F" w:rsidRDefault="00D76D5F"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D76D5F">
        <w:rPr>
          <w:sz w:val="20"/>
          <w:szCs w:val="20"/>
          <w:lang w:val="es-419"/>
        </w:rPr>
        <w:t>A</w:t>
      </w:r>
      <w:r>
        <w:rPr>
          <w:sz w:val="20"/>
          <w:szCs w:val="20"/>
          <w:lang w:val="es-419"/>
        </w:rPr>
        <w:t>ñaden</w:t>
      </w:r>
      <w:r w:rsidRPr="00D76D5F">
        <w:rPr>
          <w:sz w:val="20"/>
          <w:szCs w:val="20"/>
          <w:lang w:val="es-419"/>
        </w:rPr>
        <w:t xml:space="preserve"> los peticionarios que, debido a</w:t>
      </w:r>
      <w:r>
        <w:rPr>
          <w:sz w:val="20"/>
          <w:szCs w:val="20"/>
          <w:lang w:val="es-419"/>
        </w:rPr>
        <w:t xml:space="preserve"> un</w:t>
      </w:r>
      <w:r w:rsidRPr="00D76D5F">
        <w:rPr>
          <w:sz w:val="20"/>
          <w:szCs w:val="20"/>
          <w:lang w:val="es-419"/>
        </w:rPr>
        <w:t xml:space="preserve"> cambio legislativo realizado en el año 2000, la sentencia de liquidación estableció nuevos indicadores a ser aplicados a la deuda</w:t>
      </w:r>
      <w:r w:rsidR="002E1DE3">
        <w:rPr>
          <w:sz w:val="20"/>
          <w:szCs w:val="20"/>
          <w:lang w:val="es-419"/>
        </w:rPr>
        <w:t>,</w:t>
      </w:r>
      <w:r w:rsidRPr="00D76D5F">
        <w:rPr>
          <w:sz w:val="20"/>
          <w:szCs w:val="20"/>
          <w:lang w:val="es-419"/>
        </w:rPr>
        <w:t xml:space="preserve"> y que dicha decisión </w:t>
      </w:r>
      <w:r w:rsidR="002E1DE3">
        <w:rPr>
          <w:sz w:val="20"/>
          <w:szCs w:val="20"/>
          <w:lang w:val="es-419"/>
        </w:rPr>
        <w:t>hizo cosa juzgada</w:t>
      </w:r>
      <w:r w:rsidRPr="00D76D5F">
        <w:rPr>
          <w:sz w:val="20"/>
          <w:szCs w:val="20"/>
          <w:lang w:val="es-419"/>
        </w:rPr>
        <w:t xml:space="preserve"> el 28 de febrero de 2005, determinando que el monto total de la deuda en </w:t>
      </w:r>
      <w:r w:rsidR="006644D8">
        <w:rPr>
          <w:sz w:val="20"/>
          <w:szCs w:val="20"/>
          <w:lang w:val="es-419"/>
        </w:rPr>
        <w:t xml:space="preserve">aquel </w:t>
      </w:r>
      <w:r w:rsidRPr="00D76D5F">
        <w:rPr>
          <w:sz w:val="20"/>
          <w:szCs w:val="20"/>
          <w:lang w:val="es-419"/>
        </w:rPr>
        <w:t xml:space="preserve">momento era R$ 754.298.981,34; y que esta cantidad se dividiría en diez </w:t>
      </w:r>
      <w:r w:rsidR="002E1DE3">
        <w:rPr>
          <w:sz w:val="20"/>
          <w:szCs w:val="20"/>
          <w:lang w:val="es-419"/>
        </w:rPr>
        <w:t xml:space="preserve">parcelas </w:t>
      </w:r>
      <w:r w:rsidR="006644D8">
        <w:rPr>
          <w:sz w:val="20"/>
          <w:szCs w:val="20"/>
          <w:lang w:val="es-419"/>
        </w:rPr>
        <w:t xml:space="preserve">para </w:t>
      </w:r>
      <w:r w:rsidR="00EE0381">
        <w:rPr>
          <w:sz w:val="20"/>
          <w:szCs w:val="20"/>
          <w:lang w:val="es-419"/>
        </w:rPr>
        <w:t xml:space="preserve">el pago. </w:t>
      </w:r>
      <w:r w:rsidRPr="00D76D5F">
        <w:rPr>
          <w:sz w:val="20"/>
          <w:szCs w:val="20"/>
          <w:lang w:val="es-419"/>
        </w:rPr>
        <w:t>Sin embargo, como la Unión cuestion</w:t>
      </w:r>
      <w:r w:rsidR="006644D8">
        <w:rPr>
          <w:sz w:val="20"/>
          <w:szCs w:val="20"/>
          <w:lang w:val="es-419"/>
        </w:rPr>
        <w:t>aba</w:t>
      </w:r>
      <w:r w:rsidRPr="00D76D5F">
        <w:rPr>
          <w:sz w:val="20"/>
          <w:szCs w:val="20"/>
          <w:lang w:val="es-419"/>
        </w:rPr>
        <w:t xml:space="preserve"> el valor, </w:t>
      </w:r>
      <w:r w:rsidR="00EE0381">
        <w:rPr>
          <w:sz w:val="20"/>
          <w:szCs w:val="20"/>
          <w:lang w:val="es-419"/>
        </w:rPr>
        <w:t>la autoridad judicial estableció</w:t>
      </w:r>
      <w:r w:rsidRPr="00D76D5F">
        <w:rPr>
          <w:sz w:val="20"/>
          <w:szCs w:val="20"/>
          <w:lang w:val="es-419"/>
        </w:rPr>
        <w:t xml:space="preserve"> un</w:t>
      </w:r>
      <w:r w:rsidR="002E1DE3">
        <w:rPr>
          <w:sz w:val="20"/>
          <w:szCs w:val="20"/>
          <w:lang w:val="es-419"/>
        </w:rPr>
        <w:t xml:space="preserve"> título ejecutivo </w:t>
      </w:r>
      <w:r w:rsidRPr="00D76D5F">
        <w:rPr>
          <w:sz w:val="20"/>
          <w:szCs w:val="20"/>
          <w:lang w:val="es-419"/>
        </w:rPr>
        <w:t>de R$ 47.654.042,04</w:t>
      </w:r>
      <w:r w:rsidR="00406825">
        <w:rPr>
          <w:sz w:val="20"/>
          <w:szCs w:val="20"/>
          <w:lang w:val="es-419"/>
        </w:rPr>
        <w:t xml:space="preserve"> (aproximadamente </w:t>
      </w:r>
      <w:r w:rsidR="00406825">
        <w:rPr>
          <w:sz w:val="20"/>
          <w:szCs w:val="20"/>
          <w:lang w:val="es-419"/>
        </w:rPr>
        <w:lastRenderedPageBreak/>
        <w:t>10 millones de dólares)</w:t>
      </w:r>
      <w:r w:rsidR="007E1139">
        <w:rPr>
          <w:rStyle w:val="FootnoteReference"/>
          <w:sz w:val="20"/>
          <w:szCs w:val="20"/>
          <w:lang w:val="es-ES"/>
        </w:rPr>
        <w:footnoteReference w:id="7"/>
      </w:r>
      <w:r w:rsidR="002E1DE3">
        <w:rPr>
          <w:sz w:val="20"/>
          <w:szCs w:val="20"/>
          <w:lang w:val="es-419"/>
        </w:rPr>
        <w:t xml:space="preserve">, del cual </w:t>
      </w:r>
      <w:r w:rsidRPr="00D76D5F">
        <w:rPr>
          <w:sz w:val="20"/>
          <w:szCs w:val="20"/>
          <w:lang w:val="es-419"/>
        </w:rPr>
        <w:t>s</w:t>
      </w:r>
      <w:r w:rsidR="00A21C0E">
        <w:rPr>
          <w:sz w:val="20"/>
          <w:szCs w:val="20"/>
          <w:lang w:val="es-419"/>
        </w:rPr>
        <w:t>o</w:t>
      </w:r>
      <w:r w:rsidRPr="00D76D5F">
        <w:rPr>
          <w:sz w:val="20"/>
          <w:szCs w:val="20"/>
          <w:lang w:val="es-419"/>
        </w:rPr>
        <w:t xml:space="preserve">lo se pagaron dos cuotas. El monto pagado fue retirado por la presunta víctima y transferido a una cuenta en Uruguay. A partir de la tercera </w:t>
      </w:r>
      <w:r w:rsidR="007A0BAB">
        <w:rPr>
          <w:sz w:val="20"/>
          <w:szCs w:val="20"/>
          <w:lang w:val="es-419"/>
        </w:rPr>
        <w:t>cuota de la deuda</w:t>
      </w:r>
      <w:r w:rsidRPr="00D76D5F">
        <w:rPr>
          <w:sz w:val="20"/>
          <w:szCs w:val="20"/>
          <w:lang w:val="es-419"/>
        </w:rPr>
        <w:t>, el nuevo juez de la causa</w:t>
      </w:r>
      <w:r w:rsidR="00315CB8">
        <w:rPr>
          <w:sz w:val="20"/>
          <w:szCs w:val="20"/>
          <w:lang w:val="es-419"/>
        </w:rPr>
        <w:t xml:space="preserve"> </w:t>
      </w:r>
      <w:r w:rsidRPr="00D76D5F">
        <w:rPr>
          <w:sz w:val="20"/>
          <w:szCs w:val="20"/>
          <w:lang w:val="es-419"/>
        </w:rPr>
        <w:t>comenzó a rechazar las solicitudes de retiro, imposibilitando el pago de la totalidad de</w:t>
      </w:r>
      <w:r w:rsidR="006644D8">
        <w:rPr>
          <w:sz w:val="20"/>
          <w:szCs w:val="20"/>
          <w:lang w:val="es-419"/>
        </w:rPr>
        <w:t>l</w:t>
      </w:r>
      <w:r w:rsidRPr="00D76D5F">
        <w:rPr>
          <w:sz w:val="20"/>
          <w:szCs w:val="20"/>
          <w:lang w:val="es-419"/>
        </w:rPr>
        <w:t xml:space="preserve"> </w:t>
      </w:r>
      <w:r w:rsidR="002E1DE3">
        <w:rPr>
          <w:sz w:val="20"/>
          <w:szCs w:val="20"/>
          <w:lang w:val="es-419"/>
        </w:rPr>
        <w:t>t</w:t>
      </w:r>
      <w:r w:rsidR="00A21C0E">
        <w:rPr>
          <w:sz w:val="20"/>
          <w:szCs w:val="20"/>
          <w:lang w:val="es-419"/>
        </w:rPr>
        <w:t>í</w:t>
      </w:r>
      <w:r w:rsidR="002E1DE3">
        <w:rPr>
          <w:sz w:val="20"/>
          <w:szCs w:val="20"/>
          <w:lang w:val="es-419"/>
        </w:rPr>
        <w:t xml:space="preserve">tulo ejecutivo </w:t>
      </w:r>
      <w:r w:rsidRPr="00D76D5F">
        <w:rPr>
          <w:sz w:val="20"/>
          <w:szCs w:val="20"/>
          <w:lang w:val="es-419"/>
        </w:rPr>
        <w:t>y de la deuda. En 2005, las presuntas víctimas y su hijo, Michel Gruenberg, se radicaron en la ciudad de Punta del Este, Uruguay.</w:t>
      </w:r>
    </w:p>
    <w:p w14:paraId="0148A052" w14:textId="6890987B" w:rsidR="00324DFF" w:rsidRPr="00EC7FB3" w:rsidRDefault="00324DFF" w:rsidP="00324DF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58"/>
        <w:jc w:val="both"/>
        <w:rPr>
          <w:sz w:val="20"/>
          <w:szCs w:val="20"/>
          <w:u w:val="single"/>
          <w:lang w:val="es-419"/>
        </w:rPr>
      </w:pPr>
      <w:r w:rsidRPr="00CB137C">
        <w:rPr>
          <w:color w:val="auto"/>
          <w:sz w:val="20"/>
          <w:szCs w:val="20"/>
          <w:u w:val="single"/>
          <w:lang w:val="es-419"/>
        </w:rPr>
        <w:t xml:space="preserve">Las </w:t>
      </w:r>
      <w:r>
        <w:rPr>
          <w:sz w:val="20"/>
          <w:szCs w:val="20"/>
          <w:u w:val="single"/>
          <w:lang w:val="es-419"/>
        </w:rPr>
        <w:t>investigaciones, el arresto y las condiciones carcelarias</w:t>
      </w:r>
    </w:p>
    <w:p w14:paraId="7E9C772B" w14:textId="33142474" w:rsidR="008F507D" w:rsidRDefault="0034239A"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419"/>
        </w:rPr>
        <w:t>L</w:t>
      </w:r>
      <w:r w:rsidR="002E1DE3" w:rsidRPr="002E1DE3">
        <w:rPr>
          <w:sz w:val="20"/>
          <w:szCs w:val="20"/>
          <w:lang w:val="es-419"/>
        </w:rPr>
        <w:t xml:space="preserve">os peticionarios alegan que </w:t>
      </w:r>
      <w:r w:rsidR="00C7545D">
        <w:rPr>
          <w:sz w:val="20"/>
          <w:szCs w:val="20"/>
          <w:lang w:val="es-419"/>
        </w:rPr>
        <w:t>el operativo “Manos Dadas”,</w:t>
      </w:r>
      <w:r w:rsidR="002E1DE3" w:rsidRPr="002E1DE3">
        <w:rPr>
          <w:sz w:val="20"/>
          <w:szCs w:val="20"/>
          <w:lang w:val="es-419"/>
        </w:rPr>
        <w:t xml:space="preserve"> realizad</w:t>
      </w:r>
      <w:r w:rsidR="00C7545D">
        <w:rPr>
          <w:sz w:val="20"/>
          <w:szCs w:val="20"/>
          <w:lang w:val="es-419"/>
        </w:rPr>
        <w:t>o</w:t>
      </w:r>
      <w:r w:rsidR="002E1DE3" w:rsidRPr="002E1DE3">
        <w:rPr>
          <w:sz w:val="20"/>
          <w:szCs w:val="20"/>
          <w:lang w:val="es-419"/>
        </w:rPr>
        <w:t xml:space="preserve"> por la Superintendencia de la Policía Federal de Rio Grande do Sul, por el Ministerio Público </w:t>
      </w:r>
      <w:r w:rsidR="006644D8">
        <w:rPr>
          <w:sz w:val="20"/>
          <w:szCs w:val="20"/>
          <w:lang w:val="es-419"/>
        </w:rPr>
        <w:t>Federal</w:t>
      </w:r>
      <w:r w:rsidR="002E1DE3" w:rsidRPr="002E1DE3">
        <w:rPr>
          <w:sz w:val="20"/>
          <w:szCs w:val="20"/>
          <w:lang w:val="es-419"/>
        </w:rPr>
        <w:t xml:space="preserve"> (MPF) y por el Poder Judicial</w:t>
      </w:r>
      <w:r w:rsidR="00C7545D">
        <w:rPr>
          <w:sz w:val="20"/>
          <w:szCs w:val="20"/>
          <w:lang w:val="es-419"/>
        </w:rPr>
        <w:t>,</w:t>
      </w:r>
      <w:r w:rsidR="006644D8">
        <w:rPr>
          <w:sz w:val="20"/>
          <w:szCs w:val="20"/>
          <w:lang w:val="es-419"/>
        </w:rPr>
        <w:t xml:space="preserve"> </w:t>
      </w:r>
      <w:r w:rsidR="002E1DE3" w:rsidRPr="002E1DE3">
        <w:rPr>
          <w:sz w:val="20"/>
          <w:szCs w:val="20"/>
          <w:lang w:val="es-419"/>
        </w:rPr>
        <w:t>someti</w:t>
      </w:r>
      <w:r w:rsidR="00C7545D">
        <w:rPr>
          <w:sz w:val="20"/>
          <w:szCs w:val="20"/>
          <w:lang w:val="es-419"/>
        </w:rPr>
        <w:t>ó</w:t>
      </w:r>
      <w:r w:rsidR="002E1DE3" w:rsidRPr="006644D8">
        <w:rPr>
          <w:sz w:val="20"/>
          <w:szCs w:val="20"/>
          <w:lang w:val="es-419"/>
        </w:rPr>
        <w:t xml:space="preserve"> las presuntas víctimas a tratos inhumanos y degradantes </w:t>
      </w:r>
      <w:r w:rsidR="00383C6E" w:rsidRPr="006644D8">
        <w:rPr>
          <w:sz w:val="20"/>
          <w:szCs w:val="20"/>
          <w:lang w:val="es-419"/>
        </w:rPr>
        <w:t>debido a</w:t>
      </w:r>
      <w:r w:rsidR="002E1DE3" w:rsidRPr="006644D8">
        <w:rPr>
          <w:sz w:val="20"/>
          <w:szCs w:val="20"/>
          <w:lang w:val="es-419"/>
        </w:rPr>
        <w:t xml:space="preserve"> sus condiciones de salud</w:t>
      </w:r>
      <w:r w:rsidR="00565484">
        <w:rPr>
          <w:sz w:val="20"/>
          <w:szCs w:val="20"/>
          <w:lang w:val="es-419"/>
        </w:rPr>
        <w:t>;</w:t>
      </w:r>
      <w:r w:rsidR="001864B1">
        <w:rPr>
          <w:sz w:val="20"/>
          <w:szCs w:val="20"/>
          <w:lang w:val="es-419"/>
        </w:rPr>
        <w:t xml:space="preserve"> como se detalla a continuación. </w:t>
      </w:r>
      <w:r w:rsidR="00C7545D">
        <w:rPr>
          <w:sz w:val="20"/>
          <w:szCs w:val="20"/>
          <w:lang w:val="es-419"/>
        </w:rPr>
        <w:t xml:space="preserve">Asimismo, que </w:t>
      </w:r>
      <w:r w:rsidR="00C7545D" w:rsidRPr="002E1DE3">
        <w:rPr>
          <w:sz w:val="20"/>
          <w:szCs w:val="20"/>
          <w:lang w:val="es-419"/>
        </w:rPr>
        <w:t>uno de los delegados responsables</w:t>
      </w:r>
      <w:r w:rsidR="00C7545D">
        <w:rPr>
          <w:sz w:val="20"/>
          <w:szCs w:val="20"/>
          <w:lang w:val="es-419"/>
        </w:rPr>
        <w:t xml:space="preserve"> es</w:t>
      </w:r>
      <w:r w:rsidR="00C7545D" w:rsidRPr="002E1DE3">
        <w:rPr>
          <w:sz w:val="20"/>
          <w:szCs w:val="20"/>
          <w:lang w:val="es-419"/>
        </w:rPr>
        <w:t xml:space="preserve"> hermano de</w:t>
      </w:r>
      <w:r w:rsidR="00C7545D">
        <w:rPr>
          <w:sz w:val="20"/>
          <w:szCs w:val="20"/>
          <w:lang w:val="es-419"/>
        </w:rPr>
        <w:t xml:space="preserve">l ya mencionado juez </w:t>
      </w:r>
      <w:r w:rsidR="00A45A96">
        <w:rPr>
          <w:sz w:val="20"/>
          <w:szCs w:val="20"/>
          <w:lang w:val="es-419"/>
        </w:rPr>
        <w:t>de la causa (supra párr. 5)</w:t>
      </w:r>
      <w:r w:rsidR="00C7545D">
        <w:rPr>
          <w:sz w:val="20"/>
          <w:szCs w:val="20"/>
          <w:lang w:val="es-419"/>
        </w:rPr>
        <w:t>.</w:t>
      </w:r>
    </w:p>
    <w:p w14:paraId="588C479A" w14:textId="53779B33" w:rsidR="00383C6E" w:rsidRPr="008F507D" w:rsidRDefault="00383C6E"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8F507D">
        <w:rPr>
          <w:sz w:val="20"/>
          <w:szCs w:val="20"/>
          <w:lang w:val="es-419"/>
        </w:rPr>
        <w:t>El 2 de mayo de 2007 el Sr. Wolf Gruenberg se sometió a una cirugía cardiovascular. Unos días después, le diagnosticaron cáncer sublingual. En consecuencia, inició</w:t>
      </w:r>
      <w:r w:rsidR="006644D8" w:rsidRPr="008F507D">
        <w:rPr>
          <w:sz w:val="20"/>
          <w:szCs w:val="20"/>
          <w:lang w:val="es-419"/>
        </w:rPr>
        <w:t>, el 18 de junio de 2007,</w:t>
      </w:r>
      <w:r w:rsidRPr="008F507D">
        <w:rPr>
          <w:sz w:val="20"/>
          <w:szCs w:val="20"/>
          <w:lang w:val="es-419"/>
        </w:rPr>
        <w:t xml:space="preserve"> un tratamiento disponible s</w:t>
      </w:r>
      <w:r w:rsidR="00A21C0E" w:rsidRPr="008F507D">
        <w:rPr>
          <w:sz w:val="20"/>
          <w:szCs w:val="20"/>
          <w:lang w:val="es-419"/>
        </w:rPr>
        <w:t>o</w:t>
      </w:r>
      <w:r w:rsidRPr="008F507D">
        <w:rPr>
          <w:sz w:val="20"/>
          <w:szCs w:val="20"/>
          <w:lang w:val="es-419"/>
        </w:rPr>
        <w:t xml:space="preserve">lo en el Hospital Sírio Libanês de São Paulo, </w:t>
      </w:r>
      <w:r w:rsidR="006644D8" w:rsidRPr="008F507D">
        <w:rPr>
          <w:sz w:val="20"/>
          <w:szCs w:val="20"/>
          <w:lang w:val="es-419"/>
        </w:rPr>
        <w:t>lo cual</w:t>
      </w:r>
      <w:r w:rsidRPr="008F507D">
        <w:rPr>
          <w:sz w:val="20"/>
          <w:szCs w:val="20"/>
          <w:lang w:val="es-419"/>
        </w:rPr>
        <w:t xml:space="preserve"> incluía medicación, quimioterapia y </w:t>
      </w:r>
      <w:r w:rsidR="00652DC1">
        <w:rPr>
          <w:sz w:val="20"/>
          <w:szCs w:val="20"/>
          <w:lang w:val="es-419"/>
        </w:rPr>
        <w:t>cincuenta y cuatro</w:t>
      </w:r>
      <w:r w:rsidRPr="008F507D">
        <w:rPr>
          <w:sz w:val="20"/>
          <w:szCs w:val="20"/>
          <w:lang w:val="es-419"/>
        </w:rPr>
        <w:t xml:space="preserve"> sesiones de radioterapia. </w:t>
      </w:r>
      <w:r w:rsidR="008F507D" w:rsidRPr="008F507D">
        <w:rPr>
          <w:sz w:val="20"/>
          <w:szCs w:val="20"/>
          <w:lang w:val="es-419"/>
        </w:rPr>
        <w:t>A su vez, la Sra. Betty Gruenberg se sometió, el 12 de noviembre de 2007, a una operación de reducción y corrección de senos.</w:t>
      </w:r>
    </w:p>
    <w:p w14:paraId="1FC695CC" w14:textId="70E04B61" w:rsidR="00513340" w:rsidRDefault="00383C6E"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383C6E">
        <w:rPr>
          <w:sz w:val="20"/>
          <w:szCs w:val="20"/>
          <w:lang w:val="es-419"/>
        </w:rPr>
        <w:t>Una vez finalizada la primera fase de</w:t>
      </w:r>
      <w:r>
        <w:rPr>
          <w:sz w:val="20"/>
          <w:szCs w:val="20"/>
          <w:lang w:val="es-419"/>
        </w:rPr>
        <w:t>l tratamiento del</w:t>
      </w:r>
      <w:r w:rsidRPr="00383C6E">
        <w:rPr>
          <w:sz w:val="20"/>
          <w:szCs w:val="20"/>
          <w:lang w:val="es-419"/>
        </w:rPr>
        <w:t xml:space="preserve"> </w:t>
      </w:r>
      <w:r w:rsidR="00E80E53">
        <w:rPr>
          <w:sz w:val="20"/>
          <w:szCs w:val="20"/>
          <w:lang w:val="es-419"/>
        </w:rPr>
        <w:t>S</w:t>
      </w:r>
      <w:r w:rsidRPr="00383C6E">
        <w:rPr>
          <w:sz w:val="20"/>
          <w:szCs w:val="20"/>
          <w:lang w:val="es-419"/>
        </w:rPr>
        <w:t>r. Wolf, las presuntas víctimas viajaron a Uruguay</w:t>
      </w:r>
      <w:r w:rsidR="000213C6">
        <w:rPr>
          <w:sz w:val="20"/>
          <w:szCs w:val="20"/>
          <w:lang w:val="es-419"/>
        </w:rPr>
        <w:t>,</w:t>
      </w:r>
      <w:r w:rsidRPr="00383C6E">
        <w:rPr>
          <w:sz w:val="20"/>
          <w:szCs w:val="20"/>
          <w:lang w:val="es-419"/>
        </w:rPr>
        <w:t xml:space="preserve"> y </w:t>
      </w:r>
      <w:r w:rsidR="000213C6">
        <w:rPr>
          <w:sz w:val="20"/>
          <w:szCs w:val="20"/>
          <w:lang w:val="es-419"/>
        </w:rPr>
        <w:t xml:space="preserve">luego </w:t>
      </w:r>
      <w:r w:rsidRPr="00383C6E">
        <w:rPr>
          <w:sz w:val="20"/>
          <w:szCs w:val="20"/>
          <w:lang w:val="es-419"/>
        </w:rPr>
        <w:t>regresaron a Brasil el 20 de noviembre de 2007 para la segunda fase del tratamiento, cuando fueron sorprendidas por un ostensible operativo de allanamiento e incautación</w:t>
      </w:r>
      <w:r>
        <w:rPr>
          <w:sz w:val="20"/>
          <w:szCs w:val="20"/>
          <w:lang w:val="es-419"/>
        </w:rPr>
        <w:t xml:space="preserve"> </w:t>
      </w:r>
      <w:r w:rsidRPr="00383C6E">
        <w:rPr>
          <w:sz w:val="20"/>
          <w:szCs w:val="20"/>
          <w:lang w:val="es-419"/>
        </w:rPr>
        <w:t>que resultó en</w:t>
      </w:r>
      <w:r w:rsidR="00CC7F32">
        <w:rPr>
          <w:sz w:val="20"/>
          <w:szCs w:val="20"/>
          <w:lang w:val="es-419"/>
        </w:rPr>
        <w:t xml:space="preserve"> sus</w:t>
      </w:r>
      <w:r w:rsidRPr="00383C6E">
        <w:rPr>
          <w:sz w:val="20"/>
          <w:szCs w:val="20"/>
          <w:lang w:val="es-419"/>
        </w:rPr>
        <w:t xml:space="preserve"> detenciones. Según los peticionarios, las presuntas víctimas y su hijo fueron privados de su libertad el 20 de noviembre de 2007</w:t>
      </w:r>
      <w:r>
        <w:rPr>
          <w:sz w:val="20"/>
          <w:szCs w:val="20"/>
          <w:lang w:val="es-419"/>
        </w:rPr>
        <w:t>,</w:t>
      </w:r>
      <w:r w:rsidRPr="00383C6E">
        <w:rPr>
          <w:sz w:val="20"/>
          <w:szCs w:val="20"/>
          <w:lang w:val="es-419"/>
        </w:rPr>
        <w:t xml:space="preserve"> al desembarcar en Brasil, permaneciendo detenidos por más de tres horas. Además, les incautaron sus computadoras y teléfonos celulares y fueron sometidos a una serie de apremios: se llamó a la autoridad de la Agencia Nacional de Vigilancia Sanitaria para analizar el medicamento de Wolf, y se llamó a un representante del Ministerio de Agricultura para que analizara un </w:t>
      </w:r>
      <w:r w:rsidR="00513340">
        <w:rPr>
          <w:sz w:val="20"/>
          <w:szCs w:val="20"/>
          <w:lang w:val="es-419"/>
        </w:rPr>
        <w:t xml:space="preserve">tarro de </w:t>
      </w:r>
      <w:r w:rsidRPr="00383C6E">
        <w:rPr>
          <w:sz w:val="20"/>
          <w:szCs w:val="20"/>
          <w:lang w:val="es-419"/>
        </w:rPr>
        <w:t xml:space="preserve">miel que usaría para la </w:t>
      </w:r>
      <w:r w:rsidR="00513340">
        <w:rPr>
          <w:sz w:val="20"/>
          <w:szCs w:val="20"/>
          <w:lang w:val="es-419"/>
        </w:rPr>
        <w:t xml:space="preserve">cicatrización </w:t>
      </w:r>
      <w:r w:rsidRPr="00383C6E">
        <w:rPr>
          <w:sz w:val="20"/>
          <w:szCs w:val="20"/>
          <w:lang w:val="es-419"/>
        </w:rPr>
        <w:t>de las llagas en la garganta</w:t>
      </w:r>
      <w:r w:rsidR="00513340">
        <w:rPr>
          <w:sz w:val="20"/>
          <w:szCs w:val="20"/>
          <w:lang w:val="es-419"/>
        </w:rPr>
        <w:t xml:space="preserve"> causadas</w:t>
      </w:r>
      <w:r w:rsidRPr="00383C6E">
        <w:rPr>
          <w:sz w:val="20"/>
          <w:szCs w:val="20"/>
          <w:lang w:val="es-419"/>
        </w:rPr>
        <w:t xml:space="preserve"> por la radioterapia.</w:t>
      </w:r>
    </w:p>
    <w:p w14:paraId="76A59ED0" w14:textId="419B7C96" w:rsidR="00513340" w:rsidRDefault="00513340"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513340">
        <w:rPr>
          <w:sz w:val="20"/>
          <w:szCs w:val="20"/>
          <w:lang w:val="es-419"/>
        </w:rPr>
        <w:t xml:space="preserve">Los peticionarios informan que </w:t>
      </w:r>
      <w:r w:rsidR="00324DFF">
        <w:rPr>
          <w:sz w:val="20"/>
          <w:szCs w:val="20"/>
          <w:lang w:val="es-419"/>
        </w:rPr>
        <w:t>el</w:t>
      </w:r>
      <w:r w:rsidRPr="00513340">
        <w:rPr>
          <w:sz w:val="20"/>
          <w:szCs w:val="20"/>
          <w:lang w:val="es-419"/>
        </w:rPr>
        <w:t xml:space="preserve"> allanamiento </w:t>
      </w:r>
      <w:r>
        <w:rPr>
          <w:sz w:val="20"/>
          <w:szCs w:val="20"/>
          <w:lang w:val="es-419"/>
        </w:rPr>
        <w:t>e incautación</w:t>
      </w:r>
      <w:r w:rsidRPr="00513340">
        <w:rPr>
          <w:sz w:val="20"/>
          <w:szCs w:val="20"/>
          <w:lang w:val="es-419"/>
        </w:rPr>
        <w:t xml:space="preserve"> </w:t>
      </w:r>
      <w:r>
        <w:rPr>
          <w:sz w:val="20"/>
          <w:szCs w:val="20"/>
          <w:lang w:val="es-419"/>
        </w:rPr>
        <w:t>fue producto de</w:t>
      </w:r>
      <w:r w:rsidRPr="00513340">
        <w:rPr>
          <w:sz w:val="20"/>
          <w:szCs w:val="20"/>
          <w:lang w:val="es-419"/>
        </w:rPr>
        <w:t xml:space="preserve"> escuchas telefónicas y violación del secreto bancario por parte de agentes de la </w:t>
      </w:r>
      <w:r w:rsidR="003511D9">
        <w:rPr>
          <w:sz w:val="20"/>
          <w:szCs w:val="20"/>
          <w:lang w:val="es-419"/>
        </w:rPr>
        <w:t>Policía Federal</w:t>
      </w:r>
      <w:r w:rsidRPr="00513340">
        <w:rPr>
          <w:sz w:val="20"/>
          <w:szCs w:val="20"/>
          <w:lang w:val="es-419"/>
        </w:rPr>
        <w:t>, sin que</w:t>
      </w:r>
      <w:r w:rsidR="004E5879">
        <w:rPr>
          <w:sz w:val="20"/>
          <w:szCs w:val="20"/>
          <w:lang w:val="es-419"/>
        </w:rPr>
        <w:t xml:space="preserve"> </w:t>
      </w:r>
      <w:r w:rsidRPr="00513340">
        <w:rPr>
          <w:sz w:val="20"/>
          <w:szCs w:val="20"/>
          <w:lang w:val="es-419"/>
        </w:rPr>
        <w:t>se h</w:t>
      </w:r>
      <w:r w:rsidR="008D5FD1">
        <w:rPr>
          <w:sz w:val="20"/>
          <w:szCs w:val="20"/>
          <w:lang w:val="es-419"/>
        </w:rPr>
        <w:t>ubie</w:t>
      </w:r>
      <w:r w:rsidR="004E5879">
        <w:rPr>
          <w:sz w:val="20"/>
          <w:szCs w:val="20"/>
          <w:lang w:val="es-419"/>
        </w:rPr>
        <w:t>se</w:t>
      </w:r>
      <w:r w:rsidRPr="00513340">
        <w:rPr>
          <w:sz w:val="20"/>
          <w:szCs w:val="20"/>
          <w:lang w:val="es-419"/>
        </w:rPr>
        <w:t xml:space="preserve"> iniciado una investigación policial en contra de las presuntas víctimas. </w:t>
      </w:r>
      <w:r w:rsidR="00DE1C84">
        <w:rPr>
          <w:sz w:val="20"/>
          <w:szCs w:val="20"/>
          <w:lang w:val="es-419"/>
        </w:rPr>
        <w:t>Por esto, l</w:t>
      </w:r>
      <w:r w:rsidRPr="00513340">
        <w:rPr>
          <w:sz w:val="20"/>
          <w:szCs w:val="20"/>
          <w:lang w:val="es-419"/>
        </w:rPr>
        <w:t>as presuntas víctimas presentaron siete solicitudes para conocer el objeto de la investigación</w:t>
      </w:r>
      <w:r w:rsidR="008D5FD1">
        <w:rPr>
          <w:sz w:val="20"/>
          <w:szCs w:val="20"/>
          <w:lang w:val="es-419"/>
        </w:rPr>
        <w:t xml:space="preserve">, pero simplemente </w:t>
      </w:r>
      <w:r w:rsidRPr="00513340">
        <w:rPr>
          <w:sz w:val="20"/>
          <w:szCs w:val="20"/>
          <w:lang w:val="es-419"/>
        </w:rPr>
        <w:t xml:space="preserve">les dijeron que no había ninguna investigación en curso o que no podía ser revelada. </w:t>
      </w:r>
      <w:r w:rsidR="00DE1C84">
        <w:rPr>
          <w:sz w:val="20"/>
          <w:szCs w:val="20"/>
          <w:lang w:val="es-419"/>
        </w:rPr>
        <w:t>Luego</w:t>
      </w:r>
      <w:r w:rsidRPr="00513340">
        <w:rPr>
          <w:sz w:val="20"/>
          <w:szCs w:val="20"/>
          <w:lang w:val="es-419"/>
        </w:rPr>
        <w:t xml:space="preserve">, apelaron al </w:t>
      </w:r>
      <w:r w:rsidR="003511D9" w:rsidRPr="002A21E7">
        <w:rPr>
          <w:sz w:val="20"/>
          <w:szCs w:val="20"/>
          <w:lang w:val="es-419"/>
        </w:rPr>
        <w:t>Tribunal Regional Federal de la 4ª Región</w:t>
      </w:r>
      <w:r w:rsidRPr="00513340">
        <w:rPr>
          <w:sz w:val="20"/>
          <w:szCs w:val="20"/>
          <w:lang w:val="es-419"/>
        </w:rPr>
        <w:t xml:space="preserve">, que determinó que se les </w:t>
      </w:r>
      <w:r w:rsidR="008D5FD1">
        <w:rPr>
          <w:sz w:val="20"/>
          <w:szCs w:val="20"/>
          <w:lang w:val="es-419"/>
        </w:rPr>
        <w:t xml:space="preserve">revelara </w:t>
      </w:r>
      <w:r w:rsidRPr="00513340">
        <w:rPr>
          <w:sz w:val="20"/>
          <w:szCs w:val="20"/>
          <w:lang w:val="es-419"/>
        </w:rPr>
        <w:t xml:space="preserve">el contenido de las investigaciones. </w:t>
      </w:r>
      <w:r w:rsidR="008D5FD1">
        <w:rPr>
          <w:sz w:val="20"/>
          <w:szCs w:val="20"/>
          <w:lang w:val="es-419"/>
        </w:rPr>
        <w:t>No obstante</w:t>
      </w:r>
      <w:r w:rsidRPr="00513340">
        <w:rPr>
          <w:sz w:val="20"/>
          <w:szCs w:val="20"/>
          <w:lang w:val="es-419"/>
        </w:rPr>
        <w:t>, el juez de primera instancia desestimó la decisión y ordenó la prisión preventiva de las presuntas víctimas.</w:t>
      </w:r>
    </w:p>
    <w:p w14:paraId="793E6383" w14:textId="1A22F122" w:rsidR="00513340" w:rsidRPr="00513340" w:rsidRDefault="008D5FD1"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8D5FD1">
        <w:rPr>
          <w:sz w:val="20"/>
          <w:szCs w:val="20"/>
          <w:lang w:val="es-419"/>
        </w:rPr>
        <w:t xml:space="preserve">Los peticionarios </w:t>
      </w:r>
      <w:r>
        <w:rPr>
          <w:sz w:val="20"/>
          <w:szCs w:val="20"/>
          <w:lang w:val="es-419"/>
        </w:rPr>
        <w:t>cuentan que</w:t>
      </w:r>
      <w:r w:rsidR="0034239A">
        <w:rPr>
          <w:sz w:val="20"/>
          <w:szCs w:val="20"/>
          <w:lang w:val="es-419"/>
        </w:rPr>
        <w:t>,</w:t>
      </w:r>
      <w:r w:rsidRPr="008D5FD1">
        <w:rPr>
          <w:sz w:val="20"/>
          <w:szCs w:val="20"/>
          <w:lang w:val="es-419"/>
        </w:rPr>
        <w:t xml:space="preserve"> al ser detenida</w:t>
      </w:r>
      <w:r w:rsidR="007576DB">
        <w:rPr>
          <w:sz w:val="20"/>
          <w:szCs w:val="20"/>
          <w:lang w:val="es-419"/>
        </w:rPr>
        <w:t>,</w:t>
      </w:r>
      <w:r w:rsidRPr="008D5FD1">
        <w:rPr>
          <w:sz w:val="20"/>
          <w:szCs w:val="20"/>
          <w:lang w:val="es-419"/>
        </w:rPr>
        <w:t xml:space="preserve"> la Sra. Gruenberg fue coaccionada y obligada a renunciar al examen </w:t>
      </w:r>
      <w:r w:rsidR="009A28AD">
        <w:rPr>
          <w:sz w:val="20"/>
          <w:szCs w:val="20"/>
          <w:lang w:val="es-419"/>
        </w:rPr>
        <w:t>corporal procesal</w:t>
      </w:r>
      <w:r w:rsidRPr="008D5FD1">
        <w:rPr>
          <w:sz w:val="20"/>
          <w:szCs w:val="20"/>
          <w:lang w:val="es-419"/>
        </w:rPr>
        <w:t xml:space="preserve">, a pesar de </w:t>
      </w:r>
      <w:r w:rsidR="009A28AD">
        <w:rPr>
          <w:sz w:val="20"/>
          <w:szCs w:val="20"/>
          <w:lang w:val="es-419"/>
        </w:rPr>
        <w:t xml:space="preserve">tener </w:t>
      </w:r>
      <w:r w:rsidRPr="008D5FD1">
        <w:rPr>
          <w:sz w:val="20"/>
          <w:szCs w:val="20"/>
          <w:lang w:val="es-419"/>
        </w:rPr>
        <w:t>más de cien puntos en los senos, y fue enviada a la Penitenciaría de Mujeres Madre Pelletier. Debido a la insalubridad y las pésimas condiciones de la prisión, después de seis días contrajo una infección que la obligó a ser trasladada al Hospital Mo</w:t>
      </w:r>
      <w:r>
        <w:rPr>
          <w:sz w:val="20"/>
          <w:szCs w:val="20"/>
          <w:lang w:val="es-419"/>
        </w:rPr>
        <w:t>in</w:t>
      </w:r>
      <w:r w:rsidRPr="008D5FD1">
        <w:rPr>
          <w:sz w:val="20"/>
          <w:szCs w:val="20"/>
          <w:lang w:val="es-419"/>
        </w:rPr>
        <w:t>hos de Vento, donde se constató que tenía septicemia. Los peticionarios señalan que el traslado de</w:t>
      </w:r>
      <w:r w:rsidR="000D69FD">
        <w:rPr>
          <w:sz w:val="20"/>
          <w:szCs w:val="20"/>
          <w:lang w:val="es-419"/>
        </w:rPr>
        <w:t xml:space="preserve"> la Sra.</w:t>
      </w:r>
      <w:r w:rsidRPr="008D5FD1">
        <w:rPr>
          <w:sz w:val="20"/>
          <w:szCs w:val="20"/>
          <w:lang w:val="es-419"/>
        </w:rPr>
        <w:t xml:space="preserve"> Betty </w:t>
      </w:r>
      <w:r w:rsidR="000D69FD" w:rsidRPr="008D5FD1">
        <w:rPr>
          <w:sz w:val="20"/>
          <w:szCs w:val="20"/>
          <w:lang w:val="es-419"/>
        </w:rPr>
        <w:t xml:space="preserve">Gruenberg </w:t>
      </w:r>
      <w:r w:rsidRPr="008D5FD1">
        <w:rPr>
          <w:sz w:val="20"/>
          <w:szCs w:val="20"/>
          <w:lang w:val="es-419"/>
        </w:rPr>
        <w:t>al hospital fue negado por el juez a cargo</w:t>
      </w:r>
      <w:r w:rsidR="009A28AD">
        <w:rPr>
          <w:sz w:val="20"/>
          <w:szCs w:val="20"/>
          <w:lang w:val="es-419"/>
        </w:rPr>
        <w:t xml:space="preserve"> del proceso</w:t>
      </w:r>
      <w:r w:rsidRPr="008D5FD1">
        <w:rPr>
          <w:sz w:val="20"/>
          <w:szCs w:val="20"/>
          <w:lang w:val="es-419"/>
        </w:rPr>
        <w:t>,</w:t>
      </w:r>
      <w:r w:rsidR="00F77C3C">
        <w:rPr>
          <w:sz w:val="20"/>
          <w:szCs w:val="20"/>
          <w:lang w:val="es-419"/>
        </w:rPr>
        <w:t xml:space="preserve"> aunque hubiera</w:t>
      </w:r>
      <w:r w:rsidRPr="008D5FD1">
        <w:rPr>
          <w:sz w:val="20"/>
          <w:szCs w:val="20"/>
          <w:lang w:val="es-419"/>
        </w:rPr>
        <w:t xml:space="preserve"> indicación médica </w:t>
      </w:r>
      <w:r w:rsidR="009A28AD">
        <w:rPr>
          <w:sz w:val="20"/>
          <w:szCs w:val="20"/>
          <w:lang w:val="es-419"/>
        </w:rPr>
        <w:t>para hacerlo</w:t>
      </w:r>
      <w:r w:rsidRPr="008D5FD1">
        <w:rPr>
          <w:sz w:val="20"/>
          <w:szCs w:val="20"/>
          <w:lang w:val="es-419"/>
        </w:rPr>
        <w:t>; y que su viaje al hospital s</w:t>
      </w:r>
      <w:r w:rsidR="00F77C3C">
        <w:rPr>
          <w:sz w:val="20"/>
          <w:szCs w:val="20"/>
          <w:lang w:val="es-419"/>
        </w:rPr>
        <w:t>o</w:t>
      </w:r>
      <w:r w:rsidRPr="008D5FD1">
        <w:rPr>
          <w:sz w:val="20"/>
          <w:szCs w:val="20"/>
          <w:lang w:val="es-419"/>
        </w:rPr>
        <w:t xml:space="preserve">lo </w:t>
      </w:r>
      <w:r w:rsidR="00F77C3C">
        <w:rPr>
          <w:sz w:val="20"/>
          <w:szCs w:val="20"/>
          <w:lang w:val="es-419"/>
        </w:rPr>
        <w:t>fue</w:t>
      </w:r>
      <w:r w:rsidRPr="008D5FD1">
        <w:rPr>
          <w:sz w:val="20"/>
          <w:szCs w:val="20"/>
          <w:lang w:val="es-419"/>
        </w:rPr>
        <w:t xml:space="preserve"> </w:t>
      </w:r>
      <w:r w:rsidR="009A28AD" w:rsidRPr="008D5FD1">
        <w:rPr>
          <w:sz w:val="20"/>
          <w:szCs w:val="20"/>
          <w:lang w:val="es-419"/>
        </w:rPr>
        <w:t>determina</w:t>
      </w:r>
      <w:r w:rsidR="009A28AD">
        <w:rPr>
          <w:sz w:val="20"/>
          <w:szCs w:val="20"/>
          <w:lang w:val="es-419"/>
        </w:rPr>
        <w:t>do</w:t>
      </w:r>
      <w:r w:rsidRPr="008D5FD1">
        <w:rPr>
          <w:sz w:val="20"/>
          <w:szCs w:val="20"/>
          <w:lang w:val="es-419"/>
        </w:rPr>
        <w:t xml:space="preserve"> </w:t>
      </w:r>
      <w:r w:rsidR="009A28AD">
        <w:rPr>
          <w:sz w:val="20"/>
          <w:szCs w:val="20"/>
          <w:lang w:val="es-419"/>
        </w:rPr>
        <w:t xml:space="preserve">por </w:t>
      </w:r>
      <w:r w:rsidRPr="008D5FD1">
        <w:rPr>
          <w:sz w:val="20"/>
          <w:szCs w:val="20"/>
          <w:lang w:val="es-419"/>
        </w:rPr>
        <w:t xml:space="preserve">el juez de </w:t>
      </w:r>
      <w:r w:rsidR="009A28AD">
        <w:rPr>
          <w:sz w:val="20"/>
          <w:szCs w:val="20"/>
          <w:lang w:val="es-419"/>
        </w:rPr>
        <w:t>guardia.</w:t>
      </w:r>
      <w:r w:rsidRPr="008D5FD1">
        <w:rPr>
          <w:sz w:val="20"/>
          <w:szCs w:val="20"/>
          <w:lang w:val="es-419"/>
        </w:rPr>
        <w:t xml:space="preserve"> Mientras estaba en el hospital, la presunta víctima estuvo esposada durante cuarenta días, bajo la vigilancia de policías fuertemente armados y sin poder encontrar</w:t>
      </w:r>
      <w:r w:rsidR="00F77C3C">
        <w:rPr>
          <w:sz w:val="20"/>
          <w:szCs w:val="20"/>
          <w:lang w:val="es-419"/>
        </w:rPr>
        <w:t>se con</w:t>
      </w:r>
      <w:r w:rsidRPr="008D5FD1">
        <w:rPr>
          <w:sz w:val="20"/>
          <w:szCs w:val="20"/>
          <w:lang w:val="es-419"/>
        </w:rPr>
        <w:t xml:space="preserve"> su hijo. Cuando se recuperó, la trasladaron a la prisión de </w:t>
      </w:r>
      <w:r w:rsidR="003511D9">
        <w:rPr>
          <w:sz w:val="20"/>
          <w:szCs w:val="20"/>
          <w:lang w:val="es-419"/>
        </w:rPr>
        <w:t>Policía Federal</w:t>
      </w:r>
      <w:r w:rsidRPr="008D5FD1">
        <w:rPr>
          <w:sz w:val="20"/>
          <w:szCs w:val="20"/>
          <w:lang w:val="es-419"/>
        </w:rPr>
        <w:t xml:space="preserve">, donde la mantuvieron en una celda contigua ocupada por hombres, sin poder realizar </w:t>
      </w:r>
      <w:r w:rsidR="00F77C3C">
        <w:rPr>
          <w:sz w:val="20"/>
          <w:szCs w:val="20"/>
          <w:lang w:val="es-419"/>
        </w:rPr>
        <w:t>su</w:t>
      </w:r>
      <w:r w:rsidRPr="008D5FD1">
        <w:rPr>
          <w:sz w:val="20"/>
          <w:szCs w:val="20"/>
          <w:lang w:val="es-419"/>
        </w:rPr>
        <w:t xml:space="preserve"> higiene personal básica y</w:t>
      </w:r>
      <w:r w:rsidR="00F77C3C">
        <w:rPr>
          <w:sz w:val="20"/>
          <w:szCs w:val="20"/>
          <w:lang w:val="es-419"/>
        </w:rPr>
        <w:t xml:space="preserve"> </w:t>
      </w:r>
      <w:r w:rsidR="009A28AD">
        <w:rPr>
          <w:sz w:val="20"/>
          <w:szCs w:val="20"/>
          <w:lang w:val="es-419"/>
        </w:rPr>
        <w:t>siendo</w:t>
      </w:r>
      <w:r w:rsidR="00F77C3C">
        <w:rPr>
          <w:sz w:val="20"/>
          <w:szCs w:val="20"/>
          <w:lang w:val="es-419"/>
        </w:rPr>
        <w:t xml:space="preserve"> constantemente avergonzada</w:t>
      </w:r>
      <w:r w:rsidRPr="008D5FD1">
        <w:rPr>
          <w:sz w:val="20"/>
          <w:szCs w:val="20"/>
          <w:lang w:val="es-419"/>
        </w:rPr>
        <w:t>. La presunta víctima fue informada que su hijo podría ser derivado a una casa de corrección. Al hijo, además, se le prohibió visitar a sus padres durante más de treinta días.</w:t>
      </w:r>
    </w:p>
    <w:p w14:paraId="7EBC2DB5" w14:textId="47B86F13" w:rsidR="003557A0" w:rsidRPr="003557A0" w:rsidRDefault="003557A0"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Pr>
          <w:sz w:val="20"/>
          <w:szCs w:val="20"/>
          <w:lang w:val="es-MX"/>
        </w:rPr>
        <w:t>El</w:t>
      </w:r>
      <w:r w:rsidRPr="003557A0">
        <w:rPr>
          <w:sz w:val="20"/>
          <w:szCs w:val="20"/>
          <w:lang w:val="es-MX"/>
        </w:rPr>
        <w:t xml:space="preserve"> Sr. </w:t>
      </w:r>
      <w:r>
        <w:rPr>
          <w:sz w:val="20"/>
          <w:szCs w:val="20"/>
          <w:lang w:val="es-MX"/>
        </w:rPr>
        <w:t>Wolf</w:t>
      </w:r>
      <w:r w:rsidRPr="003557A0">
        <w:rPr>
          <w:sz w:val="20"/>
          <w:szCs w:val="20"/>
          <w:lang w:val="es-MX"/>
        </w:rPr>
        <w:t xml:space="preserve">, a su vez, sufrió una trombosis mientras estaba privado de libertad; fue trasladado </w:t>
      </w:r>
      <w:r w:rsidRPr="003557A0">
        <w:rPr>
          <w:sz w:val="20"/>
          <w:szCs w:val="20"/>
          <w:lang w:val="es-MX"/>
        </w:rPr>
        <w:lastRenderedPageBreak/>
        <w:t xml:space="preserve">al Hospital Moinhos de Vento, donde permaneció treinta días; y luego fue enviado al Hospital de Vila Nova, que se encontraba en precarias condiciones. Además, se le impidió continuar con su tratamiento contra el cáncer, </w:t>
      </w:r>
      <w:r>
        <w:rPr>
          <w:sz w:val="20"/>
          <w:szCs w:val="20"/>
          <w:lang w:val="es-MX"/>
        </w:rPr>
        <w:t>y no se</w:t>
      </w:r>
      <w:r w:rsidRPr="003557A0">
        <w:rPr>
          <w:sz w:val="20"/>
          <w:szCs w:val="20"/>
          <w:lang w:val="es-MX"/>
        </w:rPr>
        <w:t xml:space="preserve"> le permitió realizar el cuidado postoperatorio de su cirugía cardiovascular, con el argumento de que, como tenía doble nacionalidad, podía huir a Alemania. Sobre este último punto, los peticionarios señalan que el Sr. Wolf en realidad no tenía doble ciudadanía; nacido apátrida de padres polacos en un campo de refugiados de la Segunda Guerra Mundial, solo habría adquirido la ciudadanía brasileña. Cuando salió del hospital, señala </w:t>
      </w:r>
      <w:r w:rsidR="00134301">
        <w:rPr>
          <w:sz w:val="20"/>
          <w:szCs w:val="20"/>
          <w:lang w:val="es-MX"/>
        </w:rPr>
        <w:t>la parte</w:t>
      </w:r>
      <w:r w:rsidRPr="003557A0">
        <w:rPr>
          <w:sz w:val="20"/>
          <w:szCs w:val="20"/>
          <w:lang w:val="es-MX"/>
        </w:rPr>
        <w:t xml:space="preserve"> peticionari</w:t>
      </w:r>
      <w:r w:rsidR="00134301">
        <w:rPr>
          <w:sz w:val="20"/>
          <w:szCs w:val="20"/>
          <w:lang w:val="es-MX"/>
        </w:rPr>
        <w:t>a</w:t>
      </w:r>
      <w:r w:rsidRPr="003557A0">
        <w:rPr>
          <w:sz w:val="20"/>
          <w:szCs w:val="20"/>
          <w:lang w:val="es-MX"/>
        </w:rPr>
        <w:t xml:space="preserve">, fue recluido en la sede de la </w:t>
      </w:r>
      <w:r w:rsidR="003511D9">
        <w:rPr>
          <w:sz w:val="20"/>
          <w:szCs w:val="20"/>
          <w:lang w:val="es-419"/>
        </w:rPr>
        <w:t>Policía Federal</w:t>
      </w:r>
      <w:r w:rsidR="00C7545D">
        <w:rPr>
          <w:sz w:val="20"/>
          <w:szCs w:val="20"/>
          <w:lang w:val="es-419"/>
        </w:rPr>
        <w:t xml:space="preserve">, mientras que debería haber sido recluido de otra manera, en virtud de </w:t>
      </w:r>
      <w:r w:rsidRPr="003557A0">
        <w:rPr>
          <w:sz w:val="20"/>
          <w:szCs w:val="20"/>
          <w:lang w:val="es-MX"/>
        </w:rPr>
        <w:t xml:space="preserve">su condición de abogado. Además, se le informó que estaba completamente incomunicado. Durante su detención, también se le impidió participar en las celebraciones de su religión. En octubre de 2008, por decisión del Supremo Tribunal Federal, Wolf </w:t>
      </w:r>
      <w:r w:rsidR="001E6AFB">
        <w:rPr>
          <w:sz w:val="20"/>
          <w:szCs w:val="20"/>
          <w:lang w:val="es-MX"/>
        </w:rPr>
        <w:t>adquirió</w:t>
      </w:r>
      <w:r>
        <w:rPr>
          <w:sz w:val="20"/>
          <w:szCs w:val="20"/>
          <w:lang w:val="es-MX"/>
        </w:rPr>
        <w:t xml:space="preserve"> el</w:t>
      </w:r>
      <w:r w:rsidRPr="003557A0">
        <w:rPr>
          <w:sz w:val="20"/>
          <w:szCs w:val="20"/>
          <w:lang w:val="es-MX"/>
        </w:rPr>
        <w:t xml:space="preserve"> derecho </w:t>
      </w:r>
      <w:r>
        <w:rPr>
          <w:sz w:val="20"/>
          <w:szCs w:val="20"/>
          <w:lang w:val="es-MX"/>
        </w:rPr>
        <w:t xml:space="preserve">a </w:t>
      </w:r>
      <w:r w:rsidR="00DC753B">
        <w:rPr>
          <w:sz w:val="20"/>
          <w:szCs w:val="20"/>
          <w:lang w:val="es-MX"/>
        </w:rPr>
        <w:t xml:space="preserve">la </w:t>
      </w:r>
      <w:r>
        <w:rPr>
          <w:sz w:val="20"/>
          <w:szCs w:val="20"/>
          <w:lang w:val="es-MX"/>
        </w:rPr>
        <w:t>prisión</w:t>
      </w:r>
      <w:r w:rsidRPr="003557A0">
        <w:rPr>
          <w:sz w:val="20"/>
          <w:szCs w:val="20"/>
          <w:lang w:val="es-MX"/>
        </w:rPr>
        <w:t xml:space="preserve"> domiciliari</w:t>
      </w:r>
      <w:r>
        <w:rPr>
          <w:sz w:val="20"/>
          <w:szCs w:val="20"/>
          <w:lang w:val="es-MX"/>
        </w:rPr>
        <w:t>a</w:t>
      </w:r>
      <w:r w:rsidRPr="003557A0">
        <w:rPr>
          <w:sz w:val="20"/>
          <w:szCs w:val="20"/>
          <w:lang w:val="es-MX"/>
        </w:rPr>
        <w:t>.</w:t>
      </w:r>
    </w:p>
    <w:p w14:paraId="26019981" w14:textId="4D8B5CCA" w:rsidR="00C56831" w:rsidRDefault="00DC753B"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DC753B">
        <w:rPr>
          <w:sz w:val="20"/>
          <w:szCs w:val="20"/>
          <w:lang w:val="es-ES"/>
        </w:rPr>
        <w:t xml:space="preserve">Los peticionarios también alegan que las presuntas víctimas fueron filmadas en la habitación de un hotel el 2 de abril de 2008, por orden del juez responsable, y quedaron expuestas sus intimidades conyugales. Además, las detenciones y causas de las investigaciones contra las presuntas víctimas fueron publicitadas de manera sensacionalista. Asimismo, el 29 de abril de 2009, las presuntas víctimas vieron invadida su residencia en Uruguay por un operativo encabezado por autoridades brasileñas que </w:t>
      </w:r>
      <w:r w:rsidR="00C313E0">
        <w:rPr>
          <w:sz w:val="20"/>
          <w:szCs w:val="20"/>
          <w:lang w:val="es-ES"/>
        </w:rPr>
        <w:t xml:space="preserve">conducían </w:t>
      </w:r>
      <w:r w:rsidRPr="00DC753B">
        <w:rPr>
          <w:sz w:val="20"/>
          <w:szCs w:val="20"/>
          <w:lang w:val="es-ES"/>
        </w:rPr>
        <w:t xml:space="preserve">un vehículo de la Embajada de Brasil en Uruguay. La operación incautó documentos y bienes que estaban bajo la custodia de las autoridades brasileñas. Sostienen que la </w:t>
      </w:r>
      <w:r w:rsidR="00C313E0">
        <w:rPr>
          <w:sz w:val="20"/>
          <w:szCs w:val="20"/>
          <w:lang w:val="es-ES"/>
        </w:rPr>
        <w:t>carta</w:t>
      </w:r>
      <w:r w:rsidRPr="00DC753B">
        <w:rPr>
          <w:sz w:val="20"/>
          <w:szCs w:val="20"/>
          <w:lang w:val="es-ES"/>
        </w:rPr>
        <w:t xml:space="preserve"> rogatoria emitida fue contraria al Protocolo de São Luís; que las autoridades brasileñas no dejaron copia de la orden de allanamiento e incautación, además de intentar convencer a las autoridades uruguayas de que las presuntas víctimas eran narcotraficantes. Los peticionarios alegan que la </w:t>
      </w:r>
      <w:r w:rsidR="00C313E0">
        <w:rPr>
          <w:sz w:val="20"/>
          <w:szCs w:val="20"/>
          <w:lang w:val="es-ES"/>
        </w:rPr>
        <w:t>carta</w:t>
      </w:r>
      <w:r w:rsidRPr="00DC753B">
        <w:rPr>
          <w:sz w:val="20"/>
          <w:szCs w:val="20"/>
          <w:lang w:val="es-ES"/>
        </w:rPr>
        <w:t xml:space="preserve"> rogatoria fue emitida con anterioridad a la denuncia y menciona delitos por los cuales las presuntas víctimas ya habían sido absueltas; y que no hubo autorización para la acción de allanamiento </w:t>
      </w:r>
      <w:r w:rsidR="00C313E0">
        <w:rPr>
          <w:sz w:val="20"/>
          <w:szCs w:val="20"/>
          <w:lang w:val="es-ES"/>
        </w:rPr>
        <w:t xml:space="preserve">e incautación </w:t>
      </w:r>
      <w:r w:rsidRPr="00DC753B">
        <w:rPr>
          <w:sz w:val="20"/>
          <w:szCs w:val="20"/>
          <w:lang w:val="es-ES"/>
        </w:rPr>
        <w:t>de</w:t>
      </w:r>
      <w:r w:rsidR="00C313E0">
        <w:rPr>
          <w:sz w:val="20"/>
          <w:szCs w:val="20"/>
          <w:lang w:val="es-ES"/>
        </w:rPr>
        <w:t xml:space="preserve"> la residencia</w:t>
      </w:r>
      <w:r w:rsidRPr="00DC753B">
        <w:rPr>
          <w:sz w:val="20"/>
          <w:szCs w:val="20"/>
          <w:lang w:val="es-ES"/>
        </w:rPr>
        <w:t xml:space="preserve">. Finalmente, consideran que no es posible obtener justicia ante el Poder Judicial del Estado de Rio Grande do Sul, ya que éste, en </w:t>
      </w:r>
      <w:r w:rsidR="00C313E0">
        <w:rPr>
          <w:sz w:val="20"/>
          <w:szCs w:val="20"/>
          <w:lang w:val="es-ES"/>
        </w:rPr>
        <w:t>cooperación</w:t>
      </w:r>
      <w:r w:rsidRPr="00DC753B">
        <w:rPr>
          <w:sz w:val="20"/>
          <w:szCs w:val="20"/>
          <w:lang w:val="es-ES"/>
        </w:rPr>
        <w:t xml:space="preserve"> con los medios locales </w:t>
      </w:r>
      <w:r w:rsidR="00C313E0">
        <w:rPr>
          <w:sz w:val="20"/>
          <w:szCs w:val="20"/>
          <w:lang w:val="es-ES"/>
        </w:rPr>
        <w:t>de comunicación</w:t>
      </w:r>
      <w:r w:rsidRPr="00DC753B">
        <w:rPr>
          <w:sz w:val="20"/>
          <w:szCs w:val="20"/>
          <w:lang w:val="es-ES"/>
        </w:rPr>
        <w:t xml:space="preserve"> </w:t>
      </w:r>
      <w:r w:rsidR="00C313E0">
        <w:rPr>
          <w:sz w:val="20"/>
          <w:szCs w:val="20"/>
          <w:lang w:val="es-ES"/>
        </w:rPr>
        <w:t xml:space="preserve">que las </w:t>
      </w:r>
      <w:r w:rsidRPr="00DC753B">
        <w:rPr>
          <w:sz w:val="20"/>
          <w:szCs w:val="20"/>
          <w:lang w:val="es-ES"/>
        </w:rPr>
        <w:t>hostiga</w:t>
      </w:r>
      <w:r w:rsidR="0073352D">
        <w:rPr>
          <w:sz w:val="20"/>
          <w:szCs w:val="20"/>
          <w:lang w:val="es-ES"/>
        </w:rPr>
        <w:t>n</w:t>
      </w:r>
      <w:r w:rsidRPr="00DC753B">
        <w:rPr>
          <w:sz w:val="20"/>
          <w:szCs w:val="20"/>
          <w:lang w:val="es-ES"/>
        </w:rPr>
        <w:t xml:space="preserve">, persigue a las presuntas víctimas y sus </w:t>
      </w:r>
      <w:r w:rsidR="00C313E0" w:rsidRPr="00DC753B">
        <w:rPr>
          <w:sz w:val="20"/>
          <w:szCs w:val="20"/>
          <w:lang w:val="es-ES"/>
        </w:rPr>
        <w:t>empresas.</w:t>
      </w:r>
    </w:p>
    <w:p w14:paraId="52645E16" w14:textId="3BCD37E8" w:rsidR="001A76C6" w:rsidRPr="00EC7FB3" w:rsidRDefault="001A76C6" w:rsidP="001A76C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es-419"/>
        </w:rPr>
      </w:pPr>
      <w:r>
        <w:rPr>
          <w:sz w:val="20"/>
          <w:szCs w:val="20"/>
          <w:u w:val="single"/>
          <w:lang w:val="es-419"/>
        </w:rPr>
        <w:t>El proceso penal y las consideraciones del peticionario sobre admisibilidad</w:t>
      </w:r>
    </w:p>
    <w:p w14:paraId="6F7A4888" w14:textId="5DA98454" w:rsidR="001A76C6" w:rsidRPr="00324DFF" w:rsidRDefault="001A76C6" w:rsidP="001A76C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2E1DE3">
        <w:rPr>
          <w:sz w:val="20"/>
          <w:szCs w:val="20"/>
          <w:lang w:val="es-419"/>
        </w:rPr>
        <w:t xml:space="preserve"> </w:t>
      </w:r>
      <w:r w:rsidRPr="00324DFF">
        <w:rPr>
          <w:sz w:val="20"/>
          <w:szCs w:val="20"/>
          <w:lang w:val="es-ES"/>
        </w:rPr>
        <w:t>–La Comisión Interamericana nota que la información sobre los procesos internos no es presentada de manera clara, completa y sistemática</w:t>
      </w:r>
      <w:r>
        <w:rPr>
          <w:sz w:val="20"/>
          <w:szCs w:val="20"/>
          <w:lang w:val="es-ES"/>
        </w:rPr>
        <w:t>, y que muchos de los hechos son indicados sin su respectiva fecha</w:t>
      </w:r>
      <w:r w:rsidRPr="00324DFF">
        <w:rPr>
          <w:sz w:val="20"/>
          <w:szCs w:val="20"/>
          <w:lang w:val="es-ES"/>
        </w:rPr>
        <w:t>–</w:t>
      </w:r>
      <w:r w:rsidR="00C43094">
        <w:rPr>
          <w:sz w:val="20"/>
          <w:szCs w:val="20"/>
          <w:lang w:val="es-ES"/>
        </w:rPr>
        <w:t>.</w:t>
      </w:r>
      <w:r w:rsidRPr="00324DFF">
        <w:rPr>
          <w:sz w:val="20"/>
          <w:szCs w:val="20"/>
          <w:lang w:val="es-ES"/>
        </w:rPr>
        <w:t xml:space="preserve"> </w:t>
      </w:r>
    </w:p>
    <w:p w14:paraId="076C8CCB" w14:textId="78337901" w:rsidR="001A76C6" w:rsidRPr="001A76C6" w:rsidRDefault="001A76C6" w:rsidP="00BB745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1A76C6">
        <w:rPr>
          <w:sz w:val="20"/>
          <w:szCs w:val="20"/>
          <w:lang w:val="es-ES"/>
        </w:rPr>
        <w:t>Adicionalmente</w:t>
      </w:r>
      <w:r w:rsidR="00C43094">
        <w:rPr>
          <w:sz w:val="20"/>
          <w:szCs w:val="20"/>
          <w:lang w:val="es-ES"/>
        </w:rPr>
        <w:t xml:space="preserve">, </w:t>
      </w:r>
      <w:r w:rsidRPr="001A76C6">
        <w:rPr>
          <w:sz w:val="20"/>
          <w:szCs w:val="20"/>
          <w:lang w:val="es-ES"/>
        </w:rPr>
        <w:t xml:space="preserve">en las subsecciones anteriores, </w:t>
      </w:r>
      <w:r>
        <w:rPr>
          <w:sz w:val="20"/>
          <w:szCs w:val="20"/>
          <w:lang w:val="es-ES"/>
        </w:rPr>
        <w:t>e</w:t>
      </w:r>
      <w:r w:rsidRPr="001A76C6">
        <w:rPr>
          <w:sz w:val="20"/>
          <w:szCs w:val="20"/>
          <w:lang w:val="es-ES"/>
        </w:rPr>
        <w:t>ntre los escritos y documentos presentados por la parte peticionaria, es posible inferir que Wolf Gruenberg y Betty Gruenberg fueron investigados y procesados penalmente entre 2007 y 2021. Durante e</w:t>
      </w:r>
      <w:r w:rsidR="008317B2">
        <w:rPr>
          <w:sz w:val="20"/>
          <w:szCs w:val="20"/>
          <w:lang w:val="es-ES"/>
        </w:rPr>
        <w:t>se</w:t>
      </w:r>
      <w:r w:rsidRPr="001A76C6">
        <w:rPr>
          <w:sz w:val="20"/>
          <w:szCs w:val="20"/>
          <w:lang w:val="es-ES"/>
        </w:rPr>
        <w:t xml:space="preserve"> período, fueron acusados de los delitos de: i) “estafa judicial”, por presunto intento de engañar a la Justicia para perjudicar a la Unión en el contexto de los </w:t>
      </w:r>
      <w:r w:rsidRPr="00346ED7">
        <w:rPr>
          <w:i/>
          <w:iCs/>
          <w:sz w:val="20"/>
          <w:szCs w:val="20"/>
          <w:lang w:val="es-ES"/>
        </w:rPr>
        <w:t>precatórios</w:t>
      </w:r>
      <w:r w:rsidRPr="001A76C6">
        <w:rPr>
          <w:sz w:val="20"/>
          <w:szCs w:val="20"/>
          <w:lang w:val="es-ES"/>
        </w:rPr>
        <w:t>, pero esta acusación fue archivada; ii) lavado de dinero y evasión de divisas, por transferir parte ya recibida de la indemnización a su residencia en Uruguay, pero fueron absueltos;</w:t>
      </w:r>
      <w:r w:rsidR="008317B2">
        <w:rPr>
          <w:sz w:val="20"/>
          <w:szCs w:val="20"/>
          <w:lang w:val="es-ES"/>
        </w:rPr>
        <w:t xml:space="preserve"> y</w:t>
      </w:r>
      <w:r w:rsidRPr="001A76C6">
        <w:rPr>
          <w:sz w:val="20"/>
          <w:szCs w:val="20"/>
          <w:lang w:val="es-ES"/>
        </w:rPr>
        <w:t xml:space="preserve"> iii) organización criminal, falsedad ideológica de documento privado y denuncia calumniosa, prescritos en me</w:t>
      </w:r>
      <w:r w:rsidR="00CA6517">
        <w:rPr>
          <w:sz w:val="20"/>
          <w:szCs w:val="20"/>
          <w:lang w:val="es-ES"/>
        </w:rPr>
        <w:t>dia</w:t>
      </w:r>
      <w:r w:rsidRPr="001A76C6">
        <w:rPr>
          <w:sz w:val="20"/>
          <w:szCs w:val="20"/>
          <w:lang w:val="es-ES"/>
        </w:rPr>
        <w:t xml:space="preserve">dos de 2021. Antes de la prescripción, fueron condenados en febrero de 2012 por la Justicia Federal de Porto Alegre, y las penas fueron mayoritariamente mantenidas en segunda instancia. </w:t>
      </w:r>
    </w:p>
    <w:p w14:paraId="413D81BE" w14:textId="72642857" w:rsidR="001A76C6" w:rsidRPr="001A76C6" w:rsidRDefault="001A76C6" w:rsidP="00BB745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1A76C6">
        <w:rPr>
          <w:sz w:val="20"/>
          <w:szCs w:val="20"/>
          <w:lang w:val="es-ES"/>
        </w:rPr>
        <w:t>Uno de los anexos, una nota periodística, enumera problemas alegados durante este proceso que no habrían sido decididos por los órganos internos debido a la prescripción: las investigaciones que fundamentaron la acción penal habrían sido iniciadas a partir de una denuncia anónima, lo que violaría el principio de inadmisibilidad de pruebas ilícitas; la defensa de Wolf sostenía que había sido condenado por el delito de organización criminal sin que hubiera, a la época, tipificación de la conducta; las presuntas víctimas sufrieron violaciones a su secreto telefónico, bancario y fiscal antes de la investigación policial y, por lo tanto, el proceso penal incluyó pruebas obtenidas de manera ilegal; también habría ocurrido renovación irregular de intervenciones telefónicas y telemáticas después del cierre del plazo legal y sin la debida autorización judicial, además de un rechazo de solicitud de transcripción de los diálogos obtenidos por dichas intervenciones considerados relevantes por la acusación.</w:t>
      </w:r>
    </w:p>
    <w:p w14:paraId="26ADF263" w14:textId="5556B818" w:rsidR="000A6A74" w:rsidRPr="000A6A74" w:rsidRDefault="001A76C6" w:rsidP="000A6A74">
      <w:pPr>
        <w:pStyle w:val="ListParagraph"/>
        <w:widowControl w:val="0"/>
        <w:numPr>
          <w:ilvl w:val="0"/>
          <w:numId w:val="59"/>
        </w:numPr>
        <w:spacing w:before="240" w:after="240"/>
        <w:ind w:left="0" w:firstLine="720"/>
        <w:jc w:val="both"/>
        <w:rPr>
          <w:sz w:val="20"/>
          <w:szCs w:val="20"/>
          <w:lang w:val="es-ES"/>
        </w:rPr>
      </w:pPr>
      <w:r>
        <w:rPr>
          <w:sz w:val="20"/>
          <w:szCs w:val="20"/>
          <w:lang w:val="es-ES"/>
        </w:rPr>
        <w:t>En conclusión, l</w:t>
      </w:r>
      <w:r w:rsidR="000A6A74">
        <w:rPr>
          <w:sz w:val="20"/>
          <w:szCs w:val="20"/>
          <w:lang w:val="es-ES"/>
        </w:rPr>
        <w:t>a parte</w:t>
      </w:r>
      <w:r w:rsidR="000A6A74" w:rsidRPr="00861D65">
        <w:rPr>
          <w:sz w:val="20"/>
          <w:szCs w:val="20"/>
          <w:lang w:val="es-ES"/>
        </w:rPr>
        <w:t xml:space="preserve"> peticionari</w:t>
      </w:r>
      <w:r w:rsidR="000A6A74">
        <w:rPr>
          <w:sz w:val="20"/>
          <w:szCs w:val="20"/>
          <w:lang w:val="es-ES"/>
        </w:rPr>
        <w:t>a</w:t>
      </w:r>
      <w:r w:rsidR="000A6A74" w:rsidRPr="00861D65">
        <w:rPr>
          <w:sz w:val="20"/>
          <w:szCs w:val="20"/>
          <w:lang w:val="es-ES"/>
        </w:rPr>
        <w:t xml:space="preserve"> sostiene que </w:t>
      </w:r>
      <w:r w:rsidR="000A6A74">
        <w:rPr>
          <w:sz w:val="20"/>
          <w:szCs w:val="20"/>
          <w:lang w:val="es-ES"/>
        </w:rPr>
        <w:t>las situaciones planteadas ante la CIDH</w:t>
      </w:r>
      <w:r w:rsidR="000A6A74" w:rsidRPr="00861D65">
        <w:rPr>
          <w:sz w:val="20"/>
          <w:szCs w:val="20"/>
          <w:lang w:val="es-ES"/>
        </w:rPr>
        <w:t xml:space="preserve"> por las presuntas víctimas han sido objeto de examen por el poder judicial brasileño durante más de treinta y cinco </w:t>
      </w:r>
      <w:r w:rsidR="000A6A74" w:rsidRPr="00861D65">
        <w:rPr>
          <w:sz w:val="20"/>
          <w:szCs w:val="20"/>
          <w:lang w:val="es-ES"/>
        </w:rPr>
        <w:lastRenderedPageBreak/>
        <w:t>años, siendo este lapso injustificado e irrazonable. Asimismo,</w:t>
      </w:r>
      <w:r w:rsidR="000A6A74">
        <w:rPr>
          <w:sz w:val="20"/>
          <w:szCs w:val="20"/>
          <w:lang w:val="es-ES"/>
        </w:rPr>
        <w:t xml:space="preserve"> en sus observaciones adicionales,</w:t>
      </w:r>
      <w:r w:rsidR="000A6A74" w:rsidRPr="00861D65">
        <w:rPr>
          <w:sz w:val="20"/>
          <w:szCs w:val="20"/>
          <w:lang w:val="es-ES"/>
        </w:rPr>
        <w:t xml:space="preserve"> señala que no pudo agotar los recursos internos indicados por el Estado, ya que: i) la acción civil por daños y perjuicios no garantiza la condena del Estado brasileño por la violación de los derechos humanos; ii) la acción penal sugerida es una acción penal pública incondicional; iii) el Código Penal brasileño adopta el principio de ubicuidad y</w:t>
      </w:r>
      <w:r w:rsidR="000A6A74">
        <w:rPr>
          <w:sz w:val="20"/>
          <w:szCs w:val="20"/>
          <w:lang w:val="es-ES"/>
        </w:rPr>
        <w:t>,</w:t>
      </w:r>
      <w:r w:rsidR="000A6A74" w:rsidRPr="00861D65">
        <w:rPr>
          <w:sz w:val="20"/>
          <w:szCs w:val="20"/>
          <w:lang w:val="es-ES"/>
        </w:rPr>
        <w:t xml:space="preserve"> como la violación del domicilio tuvo lugar en territorio uruguayo, el poder judicial brasileño no tiene competencia para analizar el delito; iv) ya se han realizado intentos de responsabilizar a los agentes brasileños, sin embargo, no </w:t>
      </w:r>
      <w:r w:rsidR="000A6A74">
        <w:rPr>
          <w:sz w:val="20"/>
          <w:szCs w:val="20"/>
          <w:lang w:val="es-ES"/>
        </w:rPr>
        <w:t>hubo</w:t>
      </w:r>
      <w:r w:rsidR="000A6A74" w:rsidRPr="00861D65">
        <w:rPr>
          <w:sz w:val="20"/>
          <w:szCs w:val="20"/>
          <w:lang w:val="es-ES"/>
        </w:rPr>
        <w:t xml:space="preserve"> un resultado efectivo, ya que las autoridades gozan de “inmunidad relativa e impunidad absoluta”.</w:t>
      </w:r>
    </w:p>
    <w:p w14:paraId="388DAEB2" w14:textId="57470811" w:rsidR="003E76BF" w:rsidRPr="003E76BF" w:rsidRDefault="003E76BF" w:rsidP="003E76B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
        </w:rPr>
      </w:pPr>
      <w:r w:rsidRPr="003E76BF">
        <w:rPr>
          <w:i/>
          <w:iCs/>
          <w:sz w:val="20"/>
          <w:szCs w:val="20"/>
          <w:lang w:val="es-ES"/>
        </w:rPr>
        <w:t xml:space="preserve">Posición del Estado </w:t>
      </w:r>
      <w:r w:rsidR="00E8795E">
        <w:rPr>
          <w:i/>
          <w:iCs/>
          <w:sz w:val="20"/>
          <w:szCs w:val="20"/>
          <w:lang w:val="es-ES"/>
        </w:rPr>
        <w:t>brasileño</w:t>
      </w:r>
    </w:p>
    <w:p w14:paraId="15F5B4CE" w14:textId="5FDF812D" w:rsidR="00FB08B6" w:rsidRDefault="004503E1" w:rsidP="00FB08B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4503E1">
        <w:rPr>
          <w:sz w:val="20"/>
          <w:szCs w:val="20"/>
          <w:lang w:val="es-ES"/>
        </w:rPr>
        <w:t>El Estado</w:t>
      </w:r>
      <w:r w:rsidR="003E76BF">
        <w:rPr>
          <w:sz w:val="20"/>
          <w:szCs w:val="20"/>
          <w:lang w:val="es-ES"/>
        </w:rPr>
        <w:t xml:space="preserve"> </w:t>
      </w:r>
      <w:r w:rsidRPr="004503E1">
        <w:rPr>
          <w:sz w:val="20"/>
          <w:szCs w:val="20"/>
          <w:lang w:val="es-ES"/>
        </w:rPr>
        <w:t xml:space="preserve">alega que </w:t>
      </w:r>
      <w:r w:rsidR="00FB08B6">
        <w:rPr>
          <w:sz w:val="20"/>
          <w:szCs w:val="20"/>
          <w:lang w:val="es-ES"/>
        </w:rPr>
        <w:t>e</w:t>
      </w:r>
      <w:r w:rsidR="00FB08B6" w:rsidRPr="00FB08B6">
        <w:rPr>
          <w:sz w:val="20"/>
          <w:szCs w:val="20"/>
          <w:lang w:val="es-ES"/>
        </w:rPr>
        <w:t xml:space="preserve">l peticionario ha presentado una descripción confusa de dos situaciones que parecen no relacionadas: la demora en el pago de fallos judiciales y el trato </w:t>
      </w:r>
      <w:r w:rsidR="00453026">
        <w:rPr>
          <w:sz w:val="20"/>
          <w:szCs w:val="20"/>
          <w:lang w:val="es-ES"/>
        </w:rPr>
        <w:t>a</w:t>
      </w:r>
      <w:r w:rsidR="00FB08B6" w:rsidRPr="00FB08B6">
        <w:rPr>
          <w:sz w:val="20"/>
          <w:szCs w:val="20"/>
          <w:lang w:val="es-ES"/>
        </w:rPr>
        <w:t xml:space="preserve"> las </w:t>
      </w:r>
      <w:r w:rsidR="00453026">
        <w:rPr>
          <w:sz w:val="20"/>
          <w:szCs w:val="20"/>
          <w:lang w:val="es-ES"/>
        </w:rPr>
        <w:t xml:space="preserve">presuntas </w:t>
      </w:r>
      <w:r w:rsidR="00FB08B6" w:rsidRPr="00FB08B6">
        <w:rPr>
          <w:sz w:val="20"/>
          <w:szCs w:val="20"/>
          <w:lang w:val="es-ES"/>
        </w:rPr>
        <w:t xml:space="preserve">víctimas </w:t>
      </w:r>
      <w:r w:rsidR="00FB08B6" w:rsidRPr="004503E1">
        <w:rPr>
          <w:sz w:val="20"/>
          <w:szCs w:val="20"/>
          <w:lang w:val="es-ES"/>
        </w:rPr>
        <w:t>producto del operativo policial</w:t>
      </w:r>
      <w:r w:rsidR="00FB08B6" w:rsidRPr="00FB08B6">
        <w:rPr>
          <w:sz w:val="20"/>
          <w:szCs w:val="20"/>
          <w:lang w:val="es-ES"/>
        </w:rPr>
        <w:t>.</w:t>
      </w:r>
      <w:r w:rsidR="00FB08B6">
        <w:rPr>
          <w:sz w:val="20"/>
          <w:szCs w:val="20"/>
          <w:lang w:val="es-ES"/>
        </w:rPr>
        <w:t xml:space="preserve"> Afirma que por esta razón la petición es inepta y no contiene los requisitos mínimos para tramitación. Alternativamente, requiere a la Comisión separar la petición en dos según las dos situaciones mencionadas.</w:t>
      </w:r>
    </w:p>
    <w:p w14:paraId="73D352AB" w14:textId="5A28C66A" w:rsidR="003E76BF" w:rsidRDefault="00B51CC4" w:rsidP="0030235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Pr>
          <w:sz w:val="20"/>
          <w:szCs w:val="20"/>
          <w:lang w:val="es-ES"/>
        </w:rPr>
        <w:t>Alega</w:t>
      </w:r>
      <w:r w:rsidR="004503E1" w:rsidRPr="00307FD5">
        <w:rPr>
          <w:sz w:val="20"/>
          <w:szCs w:val="20"/>
          <w:lang w:val="es-ES"/>
        </w:rPr>
        <w:t xml:space="preserve"> que no existe competencia </w:t>
      </w:r>
      <w:r w:rsidR="004503E1" w:rsidRPr="00307FD5">
        <w:rPr>
          <w:i/>
          <w:iCs/>
          <w:sz w:val="20"/>
          <w:szCs w:val="20"/>
          <w:lang w:val="es-ES"/>
        </w:rPr>
        <w:t xml:space="preserve">ratione personae </w:t>
      </w:r>
      <w:r w:rsidR="004503E1" w:rsidRPr="00307FD5">
        <w:rPr>
          <w:sz w:val="20"/>
          <w:szCs w:val="20"/>
          <w:lang w:val="es-ES"/>
        </w:rPr>
        <w:t xml:space="preserve">respecto de las alegadas violaciones vinculadas a los títulos ejecutivos judiciales, ya que en ningún momento las presuntas víctimas comparecieron como parte en los </w:t>
      </w:r>
      <w:r w:rsidR="003214B9" w:rsidRPr="00307FD5">
        <w:rPr>
          <w:sz w:val="20"/>
          <w:szCs w:val="20"/>
          <w:lang w:val="es-ES"/>
        </w:rPr>
        <w:t>trámites</w:t>
      </w:r>
      <w:r w:rsidR="004503E1" w:rsidRPr="00307FD5">
        <w:rPr>
          <w:sz w:val="20"/>
          <w:szCs w:val="20"/>
          <w:lang w:val="es-ES"/>
        </w:rPr>
        <w:t xml:space="preserve"> judiciales internos sobre la materia, </w:t>
      </w:r>
      <w:r w:rsidR="00BD7CEF">
        <w:rPr>
          <w:sz w:val="20"/>
          <w:szCs w:val="20"/>
          <w:lang w:val="es-ES"/>
        </w:rPr>
        <w:t>que trataron</w:t>
      </w:r>
      <w:r w:rsidR="004503E1" w:rsidRPr="00307FD5">
        <w:rPr>
          <w:sz w:val="20"/>
          <w:szCs w:val="20"/>
          <w:lang w:val="es-ES"/>
        </w:rPr>
        <w:t xml:space="preserve"> de </w:t>
      </w:r>
      <w:r w:rsidR="004F11BC">
        <w:rPr>
          <w:sz w:val="20"/>
          <w:szCs w:val="20"/>
          <w:lang w:val="es-ES"/>
        </w:rPr>
        <w:t>derechos de crédito</w:t>
      </w:r>
      <w:r w:rsidR="00F02249" w:rsidRPr="00307FD5">
        <w:rPr>
          <w:sz w:val="20"/>
          <w:szCs w:val="20"/>
          <w:lang w:val="es-ES"/>
        </w:rPr>
        <w:t xml:space="preserve"> relativos</w:t>
      </w:r>
      <w:r w:rsidR="004503E1" w:rsidRPr="00307FD5">
        <w:rPr>
          <w:sz w:val="20"/>
          <w:szCs w:val="20"/>
          <w:lang w:val="es-ES"/>
        </w:rPr>
        <w:t xml:space="preserve"> exclusivamente </w:t>
      </w:r>
      <w:r w:rsidR="00F02249" w:rsidRPr="00307FD5">
        <w:rPr>
          <w:sz w:val="20"/>
          <w:szCs w:val="20"/>
          <w:lang w:val="es-ES"/>
        </w:rPr>
        <w:t>a</w:t>
      </w:r>
      <w:r w:rsidR="004503E1" w:rsidRPr="00307FD5">
        <w:rPr>
          <w:sz w:val="20"/>
          <w:szCs w:val="20"/>
          <w:lang w:val="es-ES"/>
        </w:rPr>
        <w:t xml:space="preserve"> personas jurídicas. </w:t>
      </w:r>
      <w:r w:rsidR="00A84FD3">
        <w:rPr>
          <w:sz w:val="20"/>
          <w:szCs w:val="20"/>
          <w:lang w:val="es-ES"/>
        </w:rPr>
        <w:t>Así</w:t>
      </w:r>
      <w:r w:rsidR="00307FD5" w:rsidRPr="00307FD5">
        <w:rPr>
          <w:sz w:val="20"/>
          <w:szCs w:val="20"/>
          <w:lang w:val="es-ES"/>
        </w:rPr>
        <w:t xml:space="preserve">, </w:t>
      </w:r>
      <w:r w:rsidR="00FA1C6C">
        <w:rPr>
          <w:sz w:val="20"/>
          <w:szCs w:val="20"/>
          <w:lang w:val="es-ES"/>
        </w:rPr>
        <w:t>afirma</w:t>
      </w:r>
      <w:r w:rsidR="004E2862" w:rsidRPr="00307FD5">
        <w:rPr>
          <w:sz w:val="20"/>
          <w:szCs w:val="20"/>
          <w:lang w:val="es-ES"/>
        </w:rPr>
        <w:t xml:space="preserve"> </w:t>
      </w:r>
      <w:r w:rsidR="004F11BC">
        <w:rPr>
          <w:sz w:val="20"/>
          <w:szCs w:val="20"/>
          <w:lang w:val="es-ES"/>
        </w:rPr>
        <w:t>que</w:t>
      </w:r>
      <w:r w:rsidR="004503E1" w:rsidRPr="00307FD5">
        <w:rPr>
          <w:sz w:val="20"/>
          <w:szCs w:val="20"/>
          <w:lang w:val="es-ES"/>
        </w:rPr>
        <w:t xml:space="preserve"> </w:t>
      </w:r>
      <w:r w:rsidR="00307FD5">
        <w:rPr>
          <w:sz w:val="20"/>
          <w:szCs w:val="20"/>
          <w:lang w:val="es-ES"/>
        </w:rPr>
        <w:t>la parte peticionaria no agotó a los recursos internos.</w:t>
      </w:r>
    </w:p>
    <w:p w14:paraId="125F570F" w14:textId="08AA6C71" w:rsidR="004503E1" w:rsidRDefault="00307FD5" w:rsidP="005A54C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E47B9C">
        <w:rPr>
          <w:sz w:val="20"/>
          <w:szCs w:val="20"/>
          <w:lang w:val="es-ES"/>
        </w:rPr>
        <w:t>A</w:t>
      </w:r>
      <w:r w:rsidR="00E47B9C">
        <w:rPr>
          <w:sz w:val="20"/>
          <w:szCs w:val="20"/>
          <w:lang w:val="es-ES"/>
        </w:rPr>
        <w:t>dicionalmente</w:t>
      </w:r>
      <w:r w:rsidRPr="00E47B9C">
        <w:rPr>
          <w:sz w:val="20"/>
          <w:szCs w:val="20"/>
          <w:lang w:val="es-ES"/>
        </w:rPr>
        <w:t>, a</w:t>
      </w:r>
      <w:r w:rsidR="004503E1" w:rsidRPr="00E47B9C">
        <w:rPr>
          <w:sz w:val="20"/>
          <w:szCs w:val="20"/>
          <w:lang w:val="es-ES"/>
        </w:rPr>
        <w:t xml:space="preserve">lega que </w:t>
      </w:r>
      <w:r w:rsidR="003E76BF" w:rsidRPr="00E47B9C">
        <w:rPr>
          <w:sz w:val="20"/>
          <w:szCs w:val="20"/>
          <w:lang w:val="es-ES"/>
        </w:rPr>
        <w:t>la parte peticionaria no expuso</w:t>
      </w:r>
      <w:r w:rsidR="004503E1" w:rsidRPr="00E47B9C">
        <w:rPr>
          <w:sz w:val="20"/>
          <w:szCs w:val="20"/>
          <w:lang w:val="es-ES"/>
        </w:rPr>
        <w:t xml:space="preserve"> hechos que caracteri</w:t>
      </w:r>
      <w:r w:rsidR="00EF5915">
        <w:rPr>
          <w:sz w:val="20"/>
          <w:szCs w:val="20"/>
          <w:lang w:val="es-ES"/>
        </w:rPr>
        <w:t>ce</w:t>
      </w:r>
      <w:r w:rsidR="004503E1" w:rsidRPr="00E47B9C">
        <w:rPr>
          <w:sz w:val="20"/>
          <w:szCs w:val="20"/>
          <w:lang w:val="es-ES"/>
        </w:rPr>
        <w:t>n violaciones a los derechos humanos</w:t>
      </w:r>
      <w:r w:rsidR="00EF5915">
        <w:rPr>
          <w:sz w:val="20"/>
          <w:szCs w:val="20"/>
          <w:lang w:val="es-ES"/>
        </w:rPr>
        <w:t xml:space="preserve"> de las presuntas víctimas</w:t>
      </w:r>
      <w:r w:rsidR="004F11BC" w:rsidRPr="00E47B9C">
        <w:rPr>
          <w:sz w:val="20"/>
          <w:szCs w:val="20"/>
          <w:lang w:val="es-ES"/>
        </w:rPr>
        <w:t>.</w:t>
      </w:r>
      <w:r w:rsidR="00E47B9C" w:rsidRPr="00E47B9C">
        <w:rPr>
          <w:sz w:val="20"/>
          <w:szCs w:val="20"/>
          <w:lang w:val="es-ES"/>
        </w:rPr>
        <w:t xml:space="preserve"> En este sentido, en cuanto a los alegatos de los peticionarios sobre el no pago de los </w:t>
      </w:r>
      <w:r w:rsidR="00E47B9C" w:rsidRPr="00346ED7">
        <w:rPr>
          <w:i/>
          <w:iCs/>
          <w:sz w:val="20"/>
          <w:szCs w:val="20"/>
          <w:lang w:val="es-ES"/>
        </w:rPr>
        <w:t>precatórios</w:t>
      </w:r>
      <w:r w:rsidR="00E47B9C" w:rsidRPr="00E47B9C">
        <w:rPr>
          <w:sz w:val="20"/>
          <w:szCs w:val="20"/>
          <w:lang w:val="es-ES"/>
        </w:rPr>
        <w:t xml:space="preserve">, señala que los pagos siguen un orden cronológico y criterios internos de priorización referentes a salarios y pensiones de personas físicas. En cuanto a los demás alegatos, el Estado afirma que no existen elementos en contra de la idoneidad de las autoridades policiales y judiciales involucradas en el proceso penal, o de los procedimientos seguidos. </w:t>
      </w:r>
      <w:r w:rsidR="00E47B9C">
        <w:rPr>
          <w:sz w:val="20"/>
          <w:szCs w:val="20"/>
          <w:lang w:val="es-ES"/>
        </w:rPr>
        <w:t>Asimismo,</w:t>
      </w:r>
      <w:r w:rsidR="004503E1" w:rsidRPr="00E47B9C">
        <w:rPr>
          <w:sz w:val="20"/>
          <w:szCs w:val="20"/>
          <w:lang w:val="es-ES"/>
        </w:rPr>
        <w:t xml:space="preserve"> señala que el allanamiento </w:t>
      </w:r>
      <w:r w:rsidR="00F02249" w:rsidRPr="00E47B9C">
        <w:rPr>
          <w:sz w:val="20"/>
          <w:szCs w:val="20"/>
          <w:lang w:val="es-ES"/>
        </w:rPr>
        <w:t xml:space="preserve">e incautación </w:t>
      </w:r>
      <w:r w:rsidR="004503E1" w:rsidRPr="00E47B9C">
        <w:rPr>
          <w:sz w:val="20"/>
          <w:szCs w:val="20"/>
          <w:lang w:val="es-ES"/>
        </w:rPr>
        <w:t>en Uruguay y la participación de autoridades brasileñas fueron</w:t>
      </w:r>
      <w:r w:rsidR="00F470FB" w:rsidRPr="00E47B9C">
        <w:rPr>
          <w:sz w:val="20"/>
          <w:szCs w:val="20"/>
          <w:lang w:val="es-ES"/>
        </w:rPr>
        <w:t>, ambos,</w:t>
      </w:r>
      <w:r w:rsidR="004503E1" w:rsidRPr="00E47B9C">
        <w:rPr>
          <w:sz w:val="20"/>
          <w:szCs w:val="20"/>
          <w:lang w:val="es-ES"/>
        </w:rPr>
        <w:t xml:space="preserve"> debidamente autorizados por el Poder Judicial.</w:t>
      </w:r>
    </w:p>
    <w:p w14:paraId="5512DEFE" w14:textId="6CE593BF" w:rsidR="000A6A74" w:rsidRPr="000A6A74" w:rsidRDefault="000A6A74" w:rsidP="000A6A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Pr>
          <w:sz w:val="20"/>
          <w:szCs w:val="20"/>
          <w:lang w:val="es-ES"/>
        </w:rPr>
        <w:t>En conclusión, el Estado</w:t>
      </w:r>
      <w:r w:rsidRPr="00596A5A">
        <w:rPr>
          <w:sz w:val="20"/>
          <w:szCs w:val="20"/>
          <w:lang w:val="es-ES"/>
        </w:rPr>
        <w:t xml:space="preserve"> afirma que </w:t>
      </w:r>
      <w:r>
        <w:rPr>
          <w:sz w:val="20"/>
          <w:szCs w:val="20"/>
          <w:lang w:val="es-ES"/>
        </w:rPr>
        <w:t>las presuntas víctimas no agotaron los recursos internos, como</w:t>
      </w:r>
      <w:r w:rsidR="00311BCB">
        <w:rPr>
          <w:sz w:val="20"/>
          <w:szCs w:val="20"/>
          <w:lang w:val="es-ES"/>
        </w:rPr>
        <w:t>:</w:t>
      </w:r>
      <w:r>
        <w:rPr>
          <w:sz w:val="20"/>
          <w:szCs w:val="20"/>
          <w:lang w:val="es-ES"/>
        </w:rPr>
        <w:t xml:space="preserve"> </w:t>
      </w:r>
      <w:r w:rsidRPr="00596A5A">
        <w:rPr>
          <w:sz w:val="20"/>
          <w:szCs w:val="20"/>
          <w:lang w:val="es-ES"/>
        </w:rPr>
        <w:t xml:space="preserve">i) </w:t>
      </w:r>
      <w:r>
        <w:rPr>
          <w:sz w:val="20"/>
          <w:szCs w:val="20"/>
          <w:lang w:val="es-ES"/>
        </w:rPr>
        <w:t xml:space="preserve">la </w:t>
      </w:r>
      <w:r w:rsidRPr="00596A5A">
        <w:rPr>
          <w:sz w:val="20"/>
          <w:szCs w:val="20"/>
          <w:lang w:val="es-ES"/>
        </w:rPr>
        <w:t xml:space="preserve">acción de reparación por daño moral, fundada en la responsabilidad civil del Estado; ii) </w:t>
      </w:r>
      <w:r>
        <w:rPr>
          <w:sz w:val="20"/>
          <w:szCs w:val="20"/>
          <w:lang w:val="es-ES"/>
        </w:rPr>
        <w:t xml:space="preserve">la </w:t>
      </w:r>
      <w:r w:rsidRPr="00596A5A">
        <w:rPr>
          <w:sz w:val="20"/>
          <w:szCs w:val="20"/>
          <w:lang w:val="es-ES"/>
        </w:rPr>
        <w:t xml:space="preserve">acción penal por el delito de violación de domicilio, con fundamento en el artículo 150 del Código Penal brasileño; y iii) </w:t>
      </w:r>
      <w:r>
        <w:rPr>
          <w:sz w:val="20"/>
          <w:szCs w:val="20"/>
          <w:lang w:val="es-ES"/>
        </w:rPr>
        <w:t xml:space="preserve">la </w:t>
      </w:r>
      <w:r w:rsidRPr="00596A5A">
        <w:rPr>
          <w:sz w:val="20"/>
          <w:szCs w:val="20"/>
          <w:lang w:val="es-ES"/>
        </w:rPr>
        <w:t>acción de responsabilidad disciplinaria de los servidores públicos involucrados en el supuesto allanamiento irregular de domicilio, mediante el inicio de un procedimiento administrativo sancionador. Asimismo, agrega que las presuntas víctimas pretenden convertir a la CIDH en una cuarta instancia.</w:t>
      </w:r>
      <w:r w:rsidRPr="004E013A">
        <w:rPr>
          <w:sz w:val="20"/>
          <w:szCs w:val="20"/>
          <w:lang w:val="es-ES"/>
        </w:rPr>
        <w:t xml:space="preserve"> </w:t>
      </w:r>
    </w:p>
    <w:p w14:paraId="3112378C" w14:textId="6F1699D3" w:rsidR="001C5567" w:rsidRPr="00C56831" w:rsidRDefault="001C5567" w:rsidP="003E76B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rPr>
      </w:pPr>
      <w:r w:rsidRPr="001C5567">
        <w:rPr>
          <w:b/>
          <w:bCs/>
          <w:color w:val="000000" w:themeColor="text1"/>
          <w:sz w:val="20"/>
          <w:szCs w:val="20"/>
          <w:lang w:val="es-ES"/>
        </w:rPr>
        <w:t>V</w:t>
      </w:r>
      <w:r w:rsidR="00907E48">
        <w:rPr>
          <w:b/>
          <w:bCs/>
          <w:color w:val="000000" w:themeColor="text1"/>
          <w:sz w:val="20"/>
          <w:szCs w:val="20"/>
          <w:lang w:val="es-ES"/>
        </w:rPr>
        <w:t>I</w:t>
      </w:r>
      <w:r w:rsidRPr="001C5567">
        <w:rPr>
          <w:b/>
          <w:bCs/>
          <w:color w:val="000000" w:themeColor="text1"/>
          <w:sz w:val="20"/>
          <w:szCs w:val="20"/>
          <w:lang w:val="es-ES"/>
        </w:rPr>
        <w:t>.</w:t>
      </w:r>
      <w:r w:rsidRPr="001C5567">
        <w:rPr>
          <w:b/>
          <w:bCs/>
          <w:color w:val="000000" w:themeColor="text1"/>
          <w:sz w:val="20"/>
          <w:szCs w:val="20"/>
          <w:lang w:val="es-ES"/>
        </w:rPr>
        <w:tab/>
      </w:r>
      <w:r>
        <w:rPr>
          <w:b/>
          <w:bCs/>
          <w:sz w:val="20"/>
          <w:szCs w:val="20"/>
          <w:lang w:val="es-419"/>
        </w:rPr>
        <w:t xml:space="preserve">SOLICITUD DE </w:t>
      </w:r>
      <w:r w:rsidR="003F41EF">
        <w:rPr>
          <w:b/>
          <w:bCs/>
          <w:sz w:val="20"/>
          <w:szCs w:val="20"/>
          <w:lang w:val="es-419"/>
        </w:rPr>
        <w:t>DESGLOCE</w:t>
      </w:r>
      <w:r>
        <w:rPr>
          <w:b/>
          <w:bCs/>
          <w:sz w:val="20"/>
          <w:szCs w:val="20"/>
          <w:lang w:val="es-419"/>
        </w:rPr>
        <w:t xml:space="preserve"> DEL PROCESO</w:t>
      </w:r>
    </w:p>
    <w:p w14:paraId="7DCB4BC6" w14:textId="70A7524E" w:rsidR="00C56831" w:rsidRPr="00C56831" w:rsidRDefault="00307FD5"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Pr>
          <w:sz w:val="20"/>
          <w:szCs w:val="20"/>
          <w:lang w:val="es-ES"/>
        </w:rPr>
        <w:t xml:space="preserve">El Estado, en resumen, sostiene que </w:t>
      </w:r>
      <w:r w:rsidRPr="00307FD5">
        <w:rPr>
          <w:sz w:val="20"/>
          <w:szCs w:val="20"/>
          <w:lang w:val="es-ES"/>
        </w:rPr>
        <w:t>los acontecimientos vinculados a los títulos ejecutivos judiciales no tienen conexión con los sucesos referentes a las supuestas violaciones derivadas de la operación policial, por lo que solicita a la Comisión que divida el caso en dos partes.</w:t>
      </w:r>
    </w:p>
    <w:p w14:paraId="2BA8DB23" w14:textId="5B6D9CB5" w:rsidR="004E2862" w:rsidRDefault="00307FD5" w:rsidP="003E76BF">
      <w:pPr>
        <w:pStyle w:val="ListParagraph"/>
        <w:widowControl w:val="0"/>
        <w:numPr>
          <w:ilvl w:val="0"/>
          <w:numId w:val="59"/>
        </w:numPr>
        <w:spacing w:before="240" w:after="240"/>
        <w:ind w:left="0" w:firstLine="720"/>
        <w:jc w:val="both"/>
        <w:rPr>
          <w:sz w:val="20"/>
          <w:szCs w:val="20"/>
          <w:lang w:val="es-ES"/>
        </w:rPr>
      </w:pPr>
      <w:r>
        <w:rPr>
          <w:sz w:val="20"/>
          <w:szCs w:val="20"/>
          <w:lang w:val="es-ES"/>
        </w:rPr>
        <w:t>Sobre el tema, la Comisión Interamericana aclara que e</w:t>
      </w:r>
      <w:r w:rsidR="004E2862" w:rsidRPr="004E2862">
        <w:rPr>
          <w:sz w:val="20"/>
          <w:szCs w:val="20"/>
          <w:lang w:val="es-ES"/>
        </w:rPr>
        <w:t xml:space="preserve">l artículo 29.4 de su Reglamento no exige que los hechos, víctimas y violaciones presentados en una petición </w:t>
      </w:r>
      <w:r w:rsidR="00216B97">
        <w:rPr>
          <w:sz w:val="20"/>
          <w:szCs w:val="20"/>
          <w:lang w:val="es-ES"/>
        </w:rPr>
        <w:t>coincidan</w:t>
      </w:r>
      <w:r w:rsidR="004E2862" w:rsidRPr="004E2862">
        <w:rPr>
          <w:sz w:val="20"/>
          <w:szCs w:val="20"/>
          <w:lang w:val="es-ES"/>
        </w:rPr>
        <w:t xml:space="preserve"> estrictamente en tiempo y lugar para que puedan ser procesados ​​como un solo caso. La Comisión es competente para conocer de casos individuales relacionados con presuntas víctimas que denuncian violaciones ocurridas en diferentes momentos y lugares, pero que presuntamente tuvieron el mismo origen, como la aplicación de normas jurídicas o la existencia de un mismo esquema o práctica. En el mismo sentido, la Comisión ha decidido acumular peticiones y casos que respondan a un mismo contexto normativo, institucional o fáctico; o en que exista similitud entre </w:t>
      </w:r>
      <w:r w:rsidR="004E2862" w:rsidRPr="004E2862">
        <w:rPr>
          <w:sz w:val="20"/>
          <w:szCs w:val="20"/>
          <w:lang w:val="es-ES"/>
        </w:rPr>
        <w:lastRenderedPageBreak/>
        <w:t>los hechos alegados</w:t>
      </w:r>
      <w:r w:rsidR="00216B97">
        <w:rPr>
          <w:rStyle w:val="FootnoteReference"/>
          <w:sz w:val="20"/>
          <w:szCs w:val="20"/>
          <w:lang w:val="es-ES"/>
        </w:rPr>
        <w:footnoteReference w:id="8"/>
      </w:r>
      <w:r w:rsidR="00216B97">
        <w:rPr>
          <w:sz w:val="20"/>
          <w:szCs w:val="20"/>
          <w:lang w:val="es-ES"/>
        </w:rPr>
        <w:t>.</w:t>
      </w:r>
    </w:p>
    <w:p w14:paraId="28FF6819" w14:textId="0C84876E" w:rsidR="004D7D64" w:rsidRDefault="00216B97" w:rsidP="003E76BF">
      <w:pPr>
        <w:pStyle w:val="ListParagraph"/>
        <w:widowControl w:val="0"/>
        <w:numPr>
          <w:ilvl w:val="0"/>
          <w:numId w:val="59"/>
        </w:numPr>
        <w:spacing w:before="240" w:after="240"/>
        <w:ind w:left="0" w:firstLine="720"/>
        <w:jc w:val="both"/>
        <w:rPr>
          <w:sz w:val="20"/>
          <w:szCs w:val="20"/>
          <w:lang w:val="es-ES"/>
        </w:rPr>
      </w:pPr>
      <w:r w:rsidRPr="004D7D64">
        <w:rPr>
          <w:sz w:val="20"/>
          <w:szCs w:val="20"/>
          <w:lang w:val="es-ES"/>
        </w:rPr>
        <w:t xml:space="preserve">En el presente caso, los hechos alegados por los peticionarios </w:t>
      </w:r>
      <w:r w:rsidR="00307FD5">
        <w:rPr>
          <w:sz w:val="20"/>
          <w:szCs w:val="20"/>
          <w:lang w:val="es-ES"/>
        </w:rPr>
        <w:t>tienen el</w:t>
      </w:r>
      <w:r w:rsidRPr="004D7D64">
        <w:rPr>
          <w:sz w:val="20"/>
          <w:szCs w:val="20"/>
          <w:lang w:val="es-ES"/>
        </w:rPr>
        <w:t xml:space="preserve"> mismo contexto institucional y fáctico</w:t>
      </w:r>
      <w:r w:rsidR="008E0A64">
        <w:rPr>
          <w:sz w:val="20"/>
          <w:szCs w:val="20"/>
          <w:lang w:val="es-ES"/>
        </w:rPr>
        <w:t>, además son hechos acaecidos a las mismas presuntas víctimas</w:t>
      </w:r>
      <w:r w:rsidRPr="004D7D64">
        <w:rPr>
          <w:sz w:val="20"/>
          <w:szCs w:val="20"/>
          <w:lang w:val="es-ES"/>
        </w:rPr>
        <w:t xml:space="preserve">. Según </w:t>
      </w:r>
      <w:r w:rsidR="00307FD5">
        <w:rPr>
          <w:sz w:val="20"/>
          <w:szCs w:val="20"/>
          <w:lang w:val="es-ES"/>
        </w:rPr>
        <w:t>la información proporcionada por las partes</w:t>
      </w:r>
      <w:r w:rsidRPr="004D7D64">
        <w:rPr>
          <w:sz w:val="20"/>
          <w:szCs w:val="20"/>
          <w:lang w:val="es-ES"/>
        </w:rPr>
        <w:t xml:space="preserve">, la persecución penal contra las presuntas víctimas habría partido de un presunto delito de “malversación judicial” relacionado con el proceso que resultó en el derecho </w:t>
      </w:r>
      <w:r w:rsidR="004D7D64" w:rsidRPr="004D7D64">
        <w:rPr>
          <w:sz w:val="20"/>
          <w:szCs w:val="20"/>
          <w:lang w:val="es-ES"/>
        </w:rPr>
        <w:t>al título ejecutivo judicial.</w:t>
      </w:r>
      <w:r w:rsidRPr="004D7D64">
        <w:rPr>
          <w:sz w:val="20"/>
          <w:szCs w:val="20"/>
          <w:lang w:val="es-ES"/>
        </w:rPr>
        <w:t xml:space="preserve"> Por lo tanto, la Comisión concluye que la petición no expone hechos separados, ni carece de un nexo lógico, ni se refiere a supuestas violaciones inconexas, razón por la cual </w:t>
      </w:r>
      <w:r w:rsidR="00307FD5">
        <w:rPr>
          <w:sz w:val="20"/>
          <w:szCs w:val="20"/>
          <w:lang w:val="es-ES"/>
        </w:rPr>
        <w:t xml:space="preserve">rechaza </w:t>
      </w:r>
      <w:r w:rsidRPr="004D7D64">
        <w:rPr>
          <w:sz w:val="20"/>
          <w:szCs w:val="20"/>
          <w:lang w:val="es-ES"/>
        </w:rPr>
        <w:t xml:space="preserve">la solicitud de </w:t>
      </w:r>
      <w:r w:rsidR="00763B5C">
        <w:rPr>
          <w:sz w:val="20"/>
          <w:szCs w:val="20"/>
          <w:lang w:val="es-ES"/>
        </w:rPr>
        <w:t>desglose. Por lo tanto, se trata de una misma petición con un objeto doble, extremos que serán considerados en sí mismos</w:t>
      </w:r>
      <w:r w:rsidR="00E504C6">
        <w:rPr>
          <w:sz w:val="20"/>
          <w:szCs w:val="20"/>
          <w:lang w:val="es-ES"/>
        </w:rPr>
        <w:t xml:space="preserve">. </w:t>
      </w:r>
      <w:r w:rsidR="004D7D64" w:rsidRPr="004D7D64">
        <w:rPr>
          <w:sz w:val="20"/>
          <w:szCs w:val="20"/>
          <w:lang w:val="es-ES"/>
        </w:rPr>
        <w:t xml:space="preserve"> </w:t>
      </w:r>
    </w:p>
    <w:p w14:paraId="623E75FE" w14:textId="266AE2D3" w:rsidR="004D7D64" w:rsidRPr="00907E48" w:rsidRDefault="004D7D64" w:rsidP="003E76BF">
      <w:pPr>
        <w:pStyle w:val="ListParagraph"/>
        <w:widowControl w:val="0"/>
        <w:spacing w:before="240" w:after="240"/>
        <w:jc w:val="both"/>
        <w:rPr>
          <w:sz w:val="20"/>
          <w:szCs w:val="20"/>
          <w:lang w:val="es-ES"/>
        </w:rPr>
      </w:pPr>
      <w:r w:rsidRPr="00907E48">
        <w:rPr>
          <w:b/>
          <w:bCs/>
          <w:color w:val="000000" w:themeColor="text1"/>
          <w:sz w:val="20"/>
          <w:szCs w:val="20"/>
          <w:lang w:val="es-ES"/>
        </w:rPr>
        <w:t>V</w:t>
      </w:r>
      <w:r w:rsidR="00907E48">
        <w:rPr>
          <w:b/>
          <w:bCs/>
          <w:color w:val="000000" w:themeColor="text1"/>
          <w:sz w:val="20"/>
          <w:szCs w:val="20"/>
          <w:lang w:val="es-ES"/>
        </w:rPr>
        <w:t>I</w:t>
      </w:r>
      <w:r w:rsidRPr="00907E48">
        <w:rPr>
          <w:b/>
          <w:bCs/>
          <w:color w:val="000000" w:themeColor="text1"/>
          <w:sz w:val="20"/>
          <w:szCs w:val="20"/>
          <w:lang w:val="es-ES"/>
        </w:rPr>
        <w:t>I.</w:t>
      </w:r>
      <w:r w:rsidRPr="00907E48">
        <w:rPr>
          <w:b/>
          <w:bCs/>
          <w:color w:val="000000" w:themeColor="text1"/>
          <w:sz w:val="20"/>
          <w:szCs w:val="20"/>
          <w:lang w:val="es-ES"/>
        </w:rPr>
        <w:tab/>
      </w:r>
      <w:r w:rsidR="00907E48" w:rsidRPr="00907E48">
        <w:rPr>
          <w:b/>
          <w:bCs/>
          <w:color w:val="000000" w:themeColor="text1"/>
          <w:sz w:val="20"/>
          <w:szCs w:val="20"/>
          <w:lang w:val="es-ES"/>
        </w:rPr>
        <w:t xml:space="preserve">ANÁLISIS DE LA </w:t>
      </w:r>
      <w:r w:rsidRPr="00907E48">
        <w:rPr>
          <w:b/>
          <w:bCs/>
          <w:color w:val="000000" w:themeColor="text1"/>
          <w:sz w:val="20"/>
          <w:szCs w:val="20"/>
          <w:lang w:val="es-ES"/>
        </w:rPr>
        <w:t xml:space="preserve">COMPETENCIA </w:t>
      </w:r>
      <w:r w:rsidRPr="00907E48">
        <w:rPr>
          <w:b/>
          <w:bCs/>
          <w:i/>
          <w:iCs/>
          <w:color w:val="000000" w:themeColor="text1"/>
          <w:sz w:val="20"/>
          <w:szCs w:val="20"/>
          <w:lang w:val="es-ES"/>
        </w:rPr>
        <w:t>RATIONE PERSONAE</w:t>
      </w:r>
      <w:r w:rsidR="00907E48" w:rsidRPr="00907E48">
        <w:rPr>
          <w:b/>
          <w:bCs/>
          <w:i/>
          <w:iCs/>
          <w:color w:val="000000" w:themeColor="text1"/>
          <w:sz w:val="20"/>
          <w:szCs w:val="20"/>
          <w:lang w:val="es-ES"/>
        </w:rPr>
        <w:t xml:space="preserve"> </w:t>
      </w:r>
      <w:r w:rsidR="00907E48" w:rsidRPr="00907E48">
        <w:rPr>
          <w:b/>
          <w:bCs/>
          <w:color w:val="000000" w:themeColor="text1"/>
          <w:sz w:val="20"/>
          <w:szCs w:val="20"/>
          <w:lang w:val="es-ES"/>
        </w:rPr>
        <w:t>DE LA CIDH</w:t>
      </w:r>
    </w:p>
    <w:p w14:paraId="7BC19C33" w14:textId="48EF94B8" w:rsidR="00907E48" w:rsidRDefault="00907E48" w:rsidP="00133342">
      <w:pPr>
        <w:pStyle w:val="ListParagraph"/>
        <w:numPr>
          <w:ilvl w:val="0"/>
          <w:numId w:val="59"/>
        </w:numPr>
        <w:spacing w:before="240" w:after="240"/>
        <w:ind w:left="0" w:firstLine="709"/>
        <w:jc w:val="both"/>
        <w:rPr>
          <w:sz w:val="20"/>
          <w:szCs w:val="20"/>
          <w:lang w:val="es-ES"/>
        </w:rPr>
      </w:pPr>
      <w:r w:rsidRPr="00907E48">
        <w:rPr>
          <w:sz w:val="20"/>
          <w:szCs w:val="20"/>
          <w:lang w:val="es-ES"/>
        </w:rPr>
        <w:t xml:space="preserve">Como primer paso lógico antes de entrar a considerar cualquier aspecto de admisibilidad la Comisión Interamericana debe referirse a su competencia para pronunciarse respecto del presente caso. En ese sentido, el punto de mayor controversia entre las partes es el relativo a la competencia personal de la Comisión respecto de las alegadas presuntas víctimas. Los peticionarios sostienen que las víctimas del presente caso son el Sr. Wolf Gruenberg y la Sra. Betty G. Gruenberg; y el Estado, por su parte, alega que, en realidad, los recursos internos referentes a los </w:t>
      </w:r>
      <w:r w:rsidRPr="00346ED7">
        <w:rPr>
          <w:i/>
          <w:iCs/>
          <w:sz w:val="20"/>
          <w:szCs w:val="20"/>
          <w:lang w:val="es-ES"/>
        </w:rPr>
        <w:t>precatórios</w:t>
      </w:r>
      <w:r w:rsidRPr="00907E48">
        <w:rPr>
          <w:sz w:val="20"/>
          <w:szCs w:val="20"/>
          <w:lang w:val="es-ES"/>
        </w:rPr>
        <w:t xml:space="preserve"> fueron accionados para proteger derechos de personas jurídicas de derecho mercantil, las cuales al gozar de capacidad jurídica propia reclamaron ante los tribunales internos la afectación a derechos de los cuales serían estas titulares.</w:t>
      </w:r>
    </w:p>
    <w:p w14:paraId="643A3625" w14:textId="77777777" w:rsidR="00907E48" w:rsidRDefault="00907E48" w:rsidP="00907E48">
      <w:pPr>
        <w:pStyle w:val="ListParagraph"/>
        <w:numPr>
          <w:ilvl w:val="0"/>
          <w:numId w:val="59"/>
        </w:numPr>
        <w:spacing w:before="240" w:after="240"/>
        <w:ind w:left="0" w:firstLine="709"/>
        <w:jc w:val="both"/>
        <w:rPr>
          <w:sz w:val="20"/>
          <w:szCs w:val="20"/>
          <w:lang w:val="es-ES"/>
        </w:rPr>
      </w:pPr>
      <w:r w:rsidRPr="00907E48">
        <w:rPr>
          <w:sz w:val="20"/>
          <w:szCs w:val="20"/>
          <w:lang w:val="es-ES"/>
        </w:rPr>
        <w:t>A este respecto, la Comisión Interamericana destaca que el artículo 1.2 de la Convención Americana establece claramente: “</w:t>
      </w:r>
      <w:r w:rsidRPr="00907E48">
        <w:rPr>
          <w:i/>
          <w:iCs/>
          <w:sz w:val="20"/>
          <w:szCs w:val="20"/>
          <w:lang w:val="es-ES"/>
        </w:rPr>
        <w:t>Para los efectos de esta Convención, persona es todo ser humano</w:t>
      </w:r>
      <w:r w:rsidRPr="00907E48">
        <w:rPr>
          <w:sz w:val="20"/>
          <w:szCs w:val="20"/>
          <w:lang w:val="es-ES"/>
        </w:rPr>
        <w:t>”. Esta disposición es congruente con el objeto y fin de la Convención Americana definidos expresamente en el Preámbulo de dicho tratado, el cual se refiere de manera enfática a conceptos como “</w:t>
      </w:r>
      <w:r w:rsidRPr="00907E48">
        <w:rPr>
          <w:i/>
          <w:iCs/>
          <w:sz w:val="20"/>
          <w:szCs w:val="20"/>
          <w:lang w:val="es-ES"/>
        </w:rPr>
        <w:t>los derechos esenciales del hombre</w:t>
      </w:r>
      <w:r w:rsidRPr="00907E48">
        <w:rPr>
          <w:sz w:val="20"/>
          <w:szCs w:val="20"/>
          <w:lang w:val="es-ES"/>
        </w:rPr>
        <w:t>”, “</w:t>
      </w:r>
      <w:r w:rsidRPr="00907E48">
        <w:rPr>
          <w:i/>
          <w:iCs/>
          <w:sz w:val="20"/>
          <w:szCs w:val="20"/>
          <w:lang w:val="es-ES"/>
        </w:rPr>
        <w:t>los atributos de la persona humana</w:t>
      </w:r>
      <w:r w:rsidRPr="00907E48">
        <w:rPr>
          <w:sz w:val="20"/>
          <w:szCs w:val="20"/>
          <w:lang w:val="es-ES"/>
        </w:rPr>
        <w:t>” y el “</w:t>
      </w:r>
      <w:r w:rsidRPr="00907E48">
        <w:rPr>
          <w:i/>
          <w:iCs/>
          <w:sz w:val="20"/>
          <w:szCs w:val="20"/>
          <w:lang w:val="es-ES"/>
        </w:rPr>
        <w:t>ideal del ser humano</w:t>
      </w:r>
      <w:r w:rsidRPr="00907E48">
        <w:rPr>
          <w:sz w:val="20"/>
          <w:szCs w:val="20"/>
          <w:lang w:val="es-ES"/>
        </w:rPr>
        <w:t xml:space="preserve">”. Enfoque que es consistente a lo largo de todo el tratado. </w:t>
      </w:r>
    </w:p>
    <w:p w14:paraId="1CBECB38" w14:textId="77777777" w:rsidR="00695BA2" w:rsidRDefault="00907E48" w:rsidP="00907E48">
      <w:pPr>
        <w:pStyle w:val="ListParagraph"/>
        <w:numPr>
          <w:ilvl w:val="0"/>
          <w:numId w:val="59"/>
        </w:numPr>
        <w:spacing w:before="240" w:after="240"/>
        <w:ind w:left="0" w:firstLine="709"/>
        <w:jc w:val="both"/>
        <w:rPr>
          <w:sz w:val="20"/>
          <w:szCs w:val="20"/>
          <w:lang w:val="es-ES"/>
        </w:rPr>
      </w:pPr>
      <w:r w:rsidRPr="00907E48">
        <w:rPr>
          <w:sz w:val="20"/>
          <w:szCs w:val="20"/>
          <w:lang w:val="es-ES"/>
        </w:rPr>
        <w:t>La Comisión ha establecido consistentemente desde hace más de tres décadas precedentes sobre la inadmisibilidad de peticiones interpuestas por personas jurídicas empresariales bajo la condición de víctimas directas, o donde el agotamiento de los recursos internos fue realizado por éstas y no por las personas naturales que se presentan como peticionarios ante la Comisión</w:t>
      </w:r>
      <w:r>
        <w:rPr>
          <w:rStyle w:val="FootnoteReference"/>
          <w:sz w:val="20"/>
          <w:szCs w:val="20"/>
          <w:lang w:val="es-ES"/>
        </w:rPr>
        <w:footnoteReference w:id="9"/>
      </w:r>
      <w:r w:rsidRPr="00907E48">
        <w:rPr>
          <w:sz w:val="20"/>
          <w:szCs w:val="20"/>
          <w:lang w:val="es-ES"/>
        </w:rPr>
        <w:t>. Una de las razones para la creación de personas jurídicas, es separar su patrimonio del de las personas físicas que la constituyen. Precisamente, tal como lo distinguen todas las legislaciones del hemisferio, personas jurídicas son diferentes a las personas humanas, físicas o naturales; y</w:t>
      </w:r>
      <w:r>
        <w:rPr>
          <w:sz w:val="20"/>
          <w:szCs w:val="20"/>
          <w:lang w:val="es-ES"/>
        </w:rPr>
        <w:t>,</w:t>
      </w:r>
      <w:r w:rsidRPr="00907E48">
        <w:rPr>
          <w:sz w:val="20"/>
          <w:szCs w:val="20"/>
          <w:lang w:val="es-ES"/>
        </w:rPr>
        <w:t xml:space="preserve"> por ende, el régimen jurídico al que están sujetos también es diferente</w:t>
      </w:r>
      <w:r>
        <w:rPr>
          <w:rStyle w:val="FootnoteReference"/>
          <w:sz w:val="20"/>
          <w:szCs w:val="20"/>
          <w:lang w:val="es-ES"/>
        </w:rPr>
        <w:footnoteReference w:id="10"/>
      </w:r>
      <w:r w:rsidRPr="00907E48">
        <w:rPr>
          <w:sz w:val="20"/>
          <w:szCs w:val="20"/>
          <w:lang w:val="es-ES"/>
        </w:rPr>
        <w:t>.</w:t>
      </w:r>
    </w:p>
    <w:p w14:paraId="29796F0A" w14:textId="518E6E75" w:rsidR="00695BA2" w:rsidRPr="001A76C6" w:rsidRDefault="00695BA2" w:rsidP="00FF1852">
      <w:pPr>
        <w:pStyle w:val="ListParagraph"/>
        <w:numPr>
          <w:ilvl w:val="0"/>
          <w:numId w:val="59"/>
        </w:numPr>
        <w:spacing w:before="240" w:after="240"/>
        <w:ind w:left="0" w:firstLine="709"/>
        <w:jc w:val="both"/>
        <w:rPr>
          <w:sz w:val="20"/>
          <w:szCs w:val="20"/>
          <w:lang w:val="es-ES"/>
        </w:rPr>
      </w:pPr>
      <w:r w:rsidRPr="001A76C6">
        <w:rPr>
          <w:sz w:val="20"/>
          <w:szCs w:val="20"/>
          <w:lang w:val="es-ES"/>
        </w:rPr>
        <w:t xml:space="preserve">En atención a estos criterios, y a partir de las informaciones proporcionadas por las partes, la Comisión Interamericana observa que en los hechos referentes a los </w:t>
      </w:r>
      <w:r w:rsidRPr="00B52FF9">
        <w:rPr>
          <w:i/>
          <w:iCs/>
          <w:sz w:val="20"/>
          <w:szCs w:val="20"/>
          <w:lang w:val="es-ES"/>
        </w:rPr>
        <w:t>precatórios</w:t>
      </w:r>
      <w:r w:rsidRPr="001A76C6">
        <w:rPr>
          <w:sz w:val="20"/>
          <w:szCs w:val="20"/>
          <w:lang w:val="es-ES"/>
        </w:rPr>
        <w:t xml:space="preserve"> recayeron sobre personas jurídicas, como Parque dos Alpes S/A y las demás empresas a las que ha sucedido. Así, la CIDH no observa que en los hechos los actos de las autoridades hayan recaído en los peticionarios en tanto personas naturales accionistas de sus empresas, es decir, que se hayan vulnerado sus derechos individuales en tanto accionistas. Prueba de ello es que el litigio a nivel nacional se dio por parte de las empresas, en ejercicio de su capacidad jurídica para actuar judicialmente frente al Estado, en procura de sus derechos como personas jurídicas de </w:t>
      </w:r>
      <w:r w:rsidRPr="001A76C6">
        <w:rPr>
          <w:sz w:val="20"/>
          <w:szCs w:val="20"/>
          <w:lang w:val="es-ES"/>
        </w:rPr>
        <w:lastRenderedPageBreak/>
        <w:t>carácter mercantil</w:t>
      </w:r>
      <w:r>
        <w:rPr>
          <w:rStyle w:val="FootnoteReference"/>
          <w:sz w:val="20"/>
          <w:szCs w:val="20"/>
          <w:lang w:val="es-ES"/>
        </w:rPr>
        <w:footnoteReference w:id="11"/>
      </w:r>
      <w:r w:rsidRPr="001A76C6">
        <w:rPr>
          <w:sz w:val="20"/>
          <w:szCs w:val="20"/>
          <w:lang w:val="es-ES"/>
        </w:rPr>
        <w:t>.</w:t>
      </w:r>
      <w:r w:rsidR="001A76C6">
        <w:rPr>
          <w:sz w:val="20"/>
          <w:szCs w:val="20"/>
          <w:lang w:val="es-ES"/>
        </w:rPr>
        <w:t xml:space="preserve"> </w:t>
      </w:r>
      <w:r w:rsidRPr="001A76C6">
        <w:rPr>
          <w:sz w:val="20"/>
          <w:szCs w:val="20"/>
          <w:lang w:val="es-ES"/>
        </w:rPr>
        <w:t xml:space="preserve">Por lo tanto, la Comisión Interamericana concluye que carece de competencia personal para conocer del asunto de los </w:t>
      </w:r>
      <w:r w:rsidRPr="00983F9D">
        <w:rPr>
          <w:i/>
          <w:iCs/>
          <w:sz w:val="20"/>
          <w:szCs w:val="20"/>
          <w:lang w:val="es-ES"/>
        </w:rPr>
        <w:t>precat</w:t>
      </w:r>
      <w:r w:rsidR="0090766C" w:rsidRPr="00983F9D">
        <w:rPr>
          <w:i/>
          <w:iCs/>
          <w:sz w:val="20"/>
          <w:szCs w:val="20"/>
          <w:lang w:val="es-ES"/>
        </w:rPr>
        <w:t>ó</w:t>
      </w:r>
      <w:r w:rsidRPr="00983F9D">
        <w:rPr>
          <w:i/>
          <w:iCs/>
          <w:sz w:val="20"/>
          <w:szCs w:val="20"/>
          <w:lang w:val="es-ES"/>
        </w:rPr>
        <w:t>rios</w:t>
      </w:r>
      <w:r w:rsidRPr="001A76C6">
        <w:rPr>
          <w:sz w:val="20"/>
          <w:szCs w:val="20"/>
          <w:lang w:val="es-ES"/>
        </w:rPr>
        <w:t>. Por otro lado, todos los demás alegatos se refieren a las presuntas víctimas en carácter personal y las situaciones narradas referentes al proceso penal y condiciones de detención pueden vulnerar los derechos humanos protegidos por la Convención Americana.</w:t>
      </w:r>
    </w:p>
    <w:p w14:paraId="6B466593" w14:textId="5F703CD6" w:rsidR="00B83158" w:rsidRPr="00B83158" w:rsidRDefault="00B83158" w:rsidP="003E76BF">
      <w:pPr>
        <w:spacing w:before="240" w:after="240"/>
        <w:ind w:firstLine="720"/>
        <w:jc w:val="both"/>
        <w:rPr>
          <w:rFonts w:ascii="Cambria" w:hAnsi="Cambria"/>
          <w:sz w:val="20"/>
          <w:szCs w:val="20"/>
          <w:lang w:val="es-UY"/>
        </w:rPr>
      </w:pPr>
      <w:r w:rsidRPr="00B83158">
        <w:rPr>
          <w:rFonts w:asciiTheme="majorHAnsi" w:hAnsiTheme="majorHAnsi"/>
          <w:b/>
          <w:sz w:val="20"/>
          <w:szCs w:val="20"/>
          <w:lang w:val="es-UY"/>
        </w:rPr>
        <w:t>V</w:t>
      </w:r>
      <w:r>
        <w:rPr>
          <w:rFonts w:asciiTheme="majorHAnsi" w:hAnsiTheme="majorHAnsi"/>
          <w:b/>
          <w:sz w:val="20"/>
          <w:szCs w:val="20"/>
          <w:lang w:val="es-UY"/>
        </w:rPr>
        <w:t>I</w:t>
      </w:r>
      <w:r w:rsidR="00907E48">
        <w:rPr>
          <w:rFonts w:asciiTheme="majorHAnsi" w:hAnsiTheme="majorHAnsi"/>
          <w:b/>
          <w:sz w:val="20"/>
          <w:szCs w:val="20"/>
          <w:lang w:val="es-UY"/>
        </w:rPr>
        <w:t>II</w:t>
      </w:r>
      <w:r w:rsidRPr="00B83158">
        <w:rPr>
          <w:rFonts w:asciiTheme="majorHAnsi" w:hAnsiTheme="majorHAnsi"/>
          <w:b/>
          <w:sz w:val="20"/>
          <w:szCs w:val="20"/>
          <w:lang w:val="es-UY"/>
        </w:rPr>
        <w:t xml:space="preserve">. </w:t>
      </w:r>
      <w:r w:rsidRPr="00B83158">
        <w:rPr>
          <w:rFonts w:asciiTheme="majorHAnsi" w:hAnsiTheme="majorHAnsi"/>
          <w:b/>
          <w:sz w:val="20"/>
          <w:szCs w:val="20"/>
          <w:lang w:val="es-UY"/>
        </w:rPr>
        <w:tab/>
      </w:r>
      <w:r w:rsidRPr="00E64C3D">
        <w:rPr>
          <w:rFonts w:asciiTheme="majorHAnsi" w:hAnsiTheme="majorHAnsi"/>
          <w:b/>
          <w:bCs/>
          <w:sz w:val="20"/>
          <w:szCs w:val="20"/>
          <w:lang w:val="es-ES_tradnl"/>
        </w:rPr>
        <w:t xml:space="preserve">ANÁLISIS DE </w:t>
      </w:r>
      <w:r w:rsidRPr="00E64C3D">
        <w:rPr>
          <w:rFonts w:asciiTheme="majorHAnsi" w:hAnsiTheme="majorHAnsi"/>
          <w:b/>
          <w:sz w:val="20"/>
          <w:szCs w:val="20"/>
          <w:lang w:val="es-ES"/>
        </w:rPr>
        <w:t xml:space="preserve">AGOTAMIENTO DE LOS RECURSOS INTERNOS </w:t>
      </w:r>
    </w:p>
    <w:p w14:paraId="607378CB" w14:textId="0261DDA7" w:rsidR="00BA7FF7" w:rsidRDefault="0090766C" w:rsidP="00BE35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90766C">
        <w:rPr>
          <w:sz w:val="20"/>
          <w:szCs w:val="20"/>
          <w:lang w:val="es-ES"/>
        </w:rPr>
        <w:t>El objeto de la petición inicial, respecto de la cual la Comisión Interamericana tiene competencia personal, conforme a la Sección VII anterior, comprende alegatos de detención arbitraria; falta de acceso regular a la atención médica durante la detención; malas condiciones carcelarias</w:t>
      </w:r>
      <w:r w:rsidR="00B20C80">
        <w:rPr>
          <w:sz w:val="20"/>
          <w:szCs w:val="20"/>
          <w:lang w:val="es-ES"/>
        </w:rPr>
        <w:t xml:space="preserve"> de la </w:t>
      </w:r>
      <w:r w:rsidR="00BE3574">
        <w:rPr>
          <w:sz w:val="20"/>
          <w:szCs w:val="20"/>
          <w:lang w:val="es-ES"/>
        </w:rPr>
        <w:t>Sra.</w:t>
      </w:r>
      <w:r w:rsidRPr="0090766C">
        <w:rPr>
          <w:sz w:val="20"/>
          <w:szCs w:val="20"/>
          <w:lang w:val="es-ES"/>
        </w:rPr>
        <w:t xml:space="preserve"> Gruenberg; </w:t>
      </w:r>
      <w:r w:rsidR="00BE3574">
        <w:rPr>
          <w:sz w:val="20"/>
          <w:szCs w:val="20"/>
          <w:lang w:val="es-ES"/>
        </w:rPr>
        <w:t>separación familiar</w:t>
      </w:r>
      <w:r w:rsidRPr="0090766C">
        <w:rPr>
          <w:sz w:val="20"/>
          <w:szCs w:val="20"/>
          <w:lang w:val="es-ES"/>
        </w:rPr>
        <w:t xml:space="preserve"> durante la detención; </w:t>
      </w:r>
      <w:r w:rsidR="00BE3574">
        <w:rPr>
          <w:sz w:val="20"/>
          <w:szCs w:val="20"/>
          <w:lang w:val="es-ES"/>
        </w:rPr>
        <w:t xml:space="preserve">incomunicación temporal </w:t>
      </w:r>
      <w:r w:rsidR="001A76C6">
        <w:rPr>
          <w:sz w:val="20"/>
          <w:szCs w:val="20"/>
          <w:lang w:val="es-ES"/>
        </w:rPr>
        <w:t>e</w:t>
      </w:r>
      <w:r w:rsidR="00BE3574">
        <w:rPr>
          <w:sz w:val="20"/>
          <w:szCs w:val="20"/>
          <w:lang w:val="es-ES"/>
        </w:rPr>
        <w:t xml:space="preserve"> imposibilidad de práctica religiosa en relación con el Sr. Gruenberg; </w:t>
      </w:r>
      <w:r w:rsidRPr="0090766C">
        <w:rPr>
          <w:sz w:val="20"/>
          <w:szCs w:val="20"/>
          <w:lang w:val="es-ES"/>
        </w:rPr>
        <w:t xml:space="preserve">exposición de la intimidad conyugal </w:t>
      </w:r>
      <w:r w:rsidR="00BE3574">
        <w:rPr>
          <w:sz w:val="20"/>
          <w:szCs w:val="20"/>
          <w:lang w:val="es-ES"/>
        </w:rPr>
        <w:t>en el contexto de las investigaciones judiciales</w:t>
      </w:r>
      <w:r w:rsidRPr="0090766C">
        <w:rPr>
          <w:sz w:val="20"/>
          <w:szCs w:val="20"/>
          <w:lang w:val="es-ES"/>
        </w:rPr>
        <w:t xml:space="preserve">; publicidad sensacionalista de </w:t>
      </w:r>
      <w:r w:rsidR="00BE3574">
        <w:rPr>
          <w:sz w:val="20"/>
          <w:szCs w:val="20"/>
          <w:lang w:val="es-ES"/>
        </w:rPr>
        <w:t xml:space="preserve">las </w:t>
      </w:r>
      <w:r w:rsidRPr="0090766C">
        <w:rPr>
          <w:sz w:val="20"/>
          <w:szCs w:val="20"/>
          <w:lang w:val="es-ES"/>
        </w:rPr>
        <w:t xml:space="preserve">investigaciones y </w:t>
      </w:r>
      <w:r w:rsidR="00BE3574">
        <w:rPr>
          <w:sz w:val="20"/>
          <w:szCs w:val="20"/>
          <w:lang w:val="es-ES"/>
        </w:rPr>
        <w:t>detenciones</w:t>
      </w:r>
      <w:r w:rsidRPr="0090766C">
        <w:rPr>
          <w:sz w:val="20"/>
          <w:szCs w:val="20"/>
          <w:lang w:val="es-ES"/>
        </w:rPr>
        <w:t>; y la presunta invasión del domicilio de las presuntas víctimas en Uruguay por parte de un operativo encabezado por autoridades brasileñas.</w:t>
      </w:r>
    </w:p>
    <w:p w14:paraId="409B9624" w14:textId="4C0F485B" w:rsidR="000205DF" w:rsidRDefault="000205DF" w:rsidP="000205D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MX"/>
        </w:rPr>
      </w:pPr>
      <w:r>
        <w:rPr>
          <w:sz w:val="20"/>
          <w:szCs w:val="20"/>
          <w:lang w:val="es-ES"/>
        </w:rPr>
        <w:t>L</w:t>
      </w:r>
      <w:r w:rsidRPr="000205DF">
        <w:rPr>
          <w:sz w:val="20"/>
          <w:szCs w:val="20"/>
          <w:lang w:val="es-ES"/>
        </w:rPr>
        <w:t>a Comisión Interamericana recuerda que el objetivo o fin de la regla del agotamiento previo es permitir que las autoridades nacionales conozcan sobre las supuestas violaciones de derechos humanos denunciadas por la parte peticionaria antes de que se emita un dictamen internacional sobre el asunto. E</w:t>
      </w:r>
      <w:r w:rsidR="005602E2" w:rsidRPr="00CA7538">
        <w:rPr>
          <w:sz w:val="20"/>
          <w:szCs w:val="20"/>
          <w:lang w:val="es-MX"/>
        </w:rPr>
        <w:t>n los términos de los artículos 46 de la Convención Americana y 28.8 del Reglamento de la Comisión, la parte peticionaria tiene el deber de proporcionar información sobre todas las gestiones emprendidas para agotar los recursos de la jurisdicción interna o la imposibilidad de hacerlo</w:t>
      </w:r>
      <w:r>
        <w:rPr>
          <w:rStyle w:val="FootnoteReference"/>
          <w:sz w:val="20"/>
          <w:szCs w:val="20"/>
          <w:lang w:val="es-MX"/>
        </w:rPr>
        <w:footnoteReference w:id="12"/>
      </w:r>
      <w:r w:rsidR="000A6A74" w:rsidRPr="00CA7538">
        <w:rPr>
          <w:sz w:val="20"/>
          <w:szCs w:val="20"/>
          <w:lang w:val="es-MX"/>
        </w:rPr>
        <w:t xml:space="preserve">. </w:t>
      </w:r>
    </w:p>
    <w:p w14:paraId="7C92DAC3" w14:textId="62377424" w:rsidR="00CE0487" w:rsidRDefault="000A6A74" w:rsidP="00E167F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MX"/>
        </w:rPr>
      </w:pPr>
      <w:r w:rsidRPr="00CE0487">
        <w:rPr>
          <w:sz w:val="20"/>
          <w:szCs w:val="20"/>
          <w:lang w:val="es-MX"/>
        </w:rPr>
        <w:t>En el presente caso, la parte peticionaria afirma que las situaciones denunciadas han sido objeto de examen interno durante más de treinta y cinco años, lo que caracteriza retardo injustificado.</w:t>
      </w:r>
      <w:r w:rsidR="00CA7538" w:rsidRPr="00CE0487">
        <w:rPr>
          <w:sz w:val="20"/>
          <w:szCs w:val="20"/>
          <w:lang w:val="es-MX"/>
        </w:rPr>
        <w:t xml:space="preserve"> Sin embargo, la Comisión Interamericana no encuentra elementos que justifiquen </w:t>
      </w:r>
      <w:r w:rsidR="0024026E">
        <w:rPr>
          <w:sz w:val="20"/>
          <w:szCs w:val="20"/>
          <w:lang w:val="es-MX"/>
        </w:rPr>
        <w:t>tal</w:t>
      </w:r>
      <w:r w:rsidR="00CA7538" w:rsidRPr="00CE0487">
        <w:rPr>
          <w:sz w:val="20"/>
          <w:szCs w:val="20"/>
          <w:lang w:val="es-MX"/>
        </w:rPr>
        <w:t xml:space="preserve"> afirmación. El desfase temporal de más de treinta y cinco años se refiere únicamente a los derechos de crédito discutidos en el contexto de los </w:t>
      </w:r>
      <w:r w:rsidR="00CA7538" w:rsidRPr="0024026E">
        <w:rPr>
          <w:i/>
          <w:iCs/>
          <w:sz w:val="20"/>
          <w:szCs w:val="20"/>
          <w:lang w:val="es-MX"/>
        </w:rPr>
        <w:t>precatórios</w:t>
      </w:r>
      <w:r w:rsidR="00CA7538" w:rsidRPr="00CE0487">
        <w:rPr>
          <w:sz w:val="20"/>
          <w:szCs w:val="20"/>
          <w:lang w:val="es-MX"/>
        </w:rPr>
        <w:t xml:space="preserve">. Este tema, sin embargo, se encuentra excluido de la consideración de la CIDH, de conformidad con la Sección VII de este informe. </w:t>
      </w:r>
    </w:p>
    <w:p w14:paraId="48F6DF46" w14:textId="61B601F9" w:rsidR="001A76C6" w:rsidRPr="001A76C6" w:rsidRDefault="001A76C6" w:rsidP="00071C1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MX"/>
        </w:rPr>
      </w:pPr>
      <w:r w:rsidRPr="001A76C6">
        <w:rPr>
          <w:sz w:val="20"/>
          <w:szCs w:val="20"/>
          <w:lang w:val="es-MX"/>
        </w:rPr>
        <w:t>L</w:t>
      </w:r>
      <w:r w:rsidR="00CE0487" w:rsidRPr="001A76C6">
        <w:rPr>
          <w:sz w:val="20"/>
          <w:szCs w:val="20"/>
          <w:lang w:val="es-MX"/>
        </w:rPr>
        <w:t>a Comisión observa que, e</w:t>
      </w:r>
      <w:r w:rsidR="00CA7538" w:rsidRPr="001A76C6">
        <w:rPr>
          <w:sz w:val="20"/>
          <w:szCs w:val="20"/>
          <w:lang w:val="es-MX"/>
        </w:rPr>
        <w:t>n sus escritos, la parte peticionaria no aclara</w:t>
      </w:r>
      <w:r w:rsidRPr="001A76C6">
        <w:rPr>
          <w:sz w:val="20"/>
          <w:szCs w:val="20"/>
          <w:lang w:val="es-MX"/>
        </w:rPr>
        <w:t xml:space="preserve"> suficientemente</w:t>
      </w:r>
      <w:r w:rsidR="00CA7538" w:rsidRPr="001A76C6">
        <w:rPr>
          <w:sz w:val="20"/>
          <w:szCs w:val="20"/>
          <w:lang w:val="es-MX"/>
        </w:rPr>
        <w:t xml:space="preserve"> cuáles fueron los recursos internos que intentó agotar</w:t>
      </w:r>
      <w:r w:rsidRPr="001A76C6">
        <w:rPr>
          <w:sz w:val="20"/>
          <w:szCs w:val="20"/>
          <w:lang w:val="es-MX"/>
        </w:rPr>
        <w:t>, ni cuando los hubiera agotado,</w:t>
      </w:r>
      <w:r w:rsidR="00CA7538" w:rsidRPr="001A76C6">
        <w:rPr>
          <w:sz w:val="20"/>
          <w:szCs w:val="20"/>
          <w:lang w:val="es-MX"/>
        </w:rPr>
        <w:t xml:space="preserve"> con respecto a las presuntas detenciones arbitrarias, falta de atención médica durante la detención, malas condiciones carcelarias, separación familiar, incomunicación, imposibilidad de práctica religiosa, exposición de la intimidad, publicidad sensacionalista de las detenciones e invasión de domicilio. Tampoco aclara si y de qué manera, las situaciones estarían cubiertas por alguna de las excepciones a la regla del previo agotamiento.</w:t>
      </w:r>
      <w:r w:rsidR="000205DF" w:rsidRPr="001A76C6">
        <w:rPr>
          <w:sz w:val="20"/>
          <w:szCs w:val="20"/>
          <w:lang w:val="es-MX"/>
        </w:rPr>
        <w:t xml:space="preserve"> </w:t>
      </w:r>
      <w:r w:rsidR="00717B9D">
        <w:rPr>
          <w:sz w:val="20"/>
          <w:szCs w:val="20"/>
          <w:lang w:val="es-MX"/>
        </w:rPr>
        <w:t xml:space="preserve">La Comisión recuerda que si bien </w:t>
      </w:r>
      <w:r w:rsidR="00FA5B5F">
        <w:rPr>
          <w:sz w:val="20"/>
          <w:szCs w:val="20"/>
          <w:lang w:val="es-MX"/>
        </w:rPr>
        <w:t xml:space="preserve">la objeción de falta de agotamiento de los recursos </w:t>
      </w:r>
      <w:r w:rsidR="00315E49">
        <w:rPr>
          <w:sz w:val="20"/>
          <w:szCs w:val="20"/>
          <w:lang w:val="es-MX"/>
        </w:rPr>
        <w:t>internos</w:t>
      </w:r>
      <w:r w:rsidR="00FA5B5F">
        <w:rPr>
          <w:sz w:val="20"/>
          <w:szCs w:val="20"/>
          <w:lang w:val="es-MX"/>
        </w:rPr>
        <w:t xml:space="preserve"> corresponde a una regla que existe en beneficio del Estado y que por lo tanto es este quien debe esgr</w:t>
      </w:r>
      <w:r w:rsidR="00D30A89">
        <w:rPr>
          <w:sz w:val="20"/>
          <w:szCs w:val="20"/>
          <w:lang w:val="es-MX"/>
        </w:rPr>
        <w:t>imirla, es en primer lugar deber del peticionario establecer que su petición satisface este requisito convencional y reglamentario.</w:t>
      </w:r>
    </w:p>
    <w:p w14:paraId="148A6AF1" w14:textId="754C9D63" w:rsidR="000A6A74" w:rsidRPr="00CE0487" w:rsidRDefault="000205DF" w:rsidP="00E167F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MX"/>
        </w:rPr>
      </w:pPr>
      <w:r w:rsidRPr="00CE0487">
        <w:rPr>
          <w:sz w:val="20"/>
          <w:szCs w:val="20"/>
          <w:lang w:val="es-MX"/>
        </w:rPr>
        <w:t>En virtud de lo anterior, la Comisión Interamericana considera que no cuenta con información suficiente que le permita verificar el cumplimiento del requisito de agotamiento de los recursos internos establecido en el artículo 46.1.a) de la Convención Americana</w:t>
      </w:r>
      <w:r w:rsidR="00CE0487">
        <w:rPr>
          <w:rStyle w:val="FootnoteReference"/>
          <w:sz w:val="20"/>
          <w:szCs w:val="20"/>
          <w:lang w:val="es-MX"/>
        </w:rPr>
        <w:footnoteReference w:id="13"/>
      </w:r>
      <w:r w:rsidRPr="00CE0487">
        <w:rPr>
          <w:sz w:val="20"/>
          <w:szCs w:val="20"/>
          <w:lang w:val="es-MX"/>
        </w:rPr>
        <w:t>.</w:t>
      </w:r>
    </w:p>
    <w:p w14:paraId="40DABB4D" w14:textId="595A85D6" w:rsidR="006E3BAD" w:rsidRPr="00B83158" w:rsidRDefault="00CE0487" w:rsidP="003E76BF">
      <w:pPr>
        <w:pStyle w:val="ListParagraph"/>
        <w:spacing w:before="240" w:after="240"/>
        <w:ind w:left="0" w:firstLine="709"/>
        <w:jc w:val="both"/>
        <w:rPr>
          <w:rFonts w:asciiTheme="majorHAnsi" w:hAnsiTheme="majorHAnsi"/>
          <w:b/>
          <w:sz w:val="20"/>
          <w:szCs w:val="20"/>
          <w:lang w:val="es-ES"/>
        </w:rPr>
      </w:pPr>
      <w:r>
        <w:rPr>
          <w:rFonts w:asciiTheme="majorHAnsi" w:hAnsiTheme="majorHAnsi"/>
          <w:b/>
          <w:sz w:val="20"/>
          <w:szCs w:val="20"/>
          <w:lang w:val="es-UY"/>
        </w:rPr>
        <w:t>I</w:t>
      </w:r>
      <w:r w:rsidR="00907E48">
        <w:rPr>
          <w:rFonts w:asciiTheme="majorHAnsi" w:hAnsiTheme="majorHAnsi"/>
          <w:b/>
          <w:sz w:val="20"/>
          <w:szCs w:val="20"/>
          <w:lang w:val="es-UY"/>
        </w:rPr>
        <w:t>X</w:t>
      </w:r>
      <w:r w:rsidR="006E3BAD" w:rsidRPr="00B83158">
        <w:rPr>
          <w:rFonts w:asciiTheme="majorHAnsi" w:hAnsiTheme="majorHAnsi"/>
          <w:b/>
          <w:sz w:val="20"/>
          <w:szCs w:val="20"/>
          <w:lang w:val="es-UY"/>
        </w:rPr>
        <w:t xml:space="preserve">. </w:t>
      </w:r>
      <w:r w:rsidR="006E3BAD" w:rsidRPr="00B83158">
        <w:rPr>
          <w:rFonts w:asciiTheme="majorHAnsi" w:hAnsiTheme="majorHAnsi"/>
          <w:b/>
          <w:sz w:val="20"/>
          <w:szCs w:val="20"/>
          <w:lang w:val="es-UY"/>
        </w:rPr>
        <w:tab/>
      </w:r>
      <w:r w:rsidR="006E3BAD">
        <w:rPr>
          <w:rFonts w:asciiTheme="majorHAnsi" w:hAnsiTheme="majorHAnsi"/>
          <w:b/>
          <w:bCs/>
          <w:sz w:val="20"/>
          <w:szCs w:val="20"/>
          <w:lang w:val="es-ES_tradnl"/>
        </w:rPr>
        <w:t>DECISIÓN</w:t>
      </w:r>
    </w:p>
    <w:p w14:paraId="776C2EB8" w14:textId="4C2D15A1" w:rsidR="006E3BAD" w:rsidRPr="00280B37" w:rsidRDefault="006E3BAD" w:rsidP="003E76BF">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rPr>
      </w:pPr>
      <w:r w:rsidRPr="006E3BAD">
        <w:rPr>
          <w:sz w:val="20"/>
          <w:szCs w:val="20"/>
          <w:lang w:val="es-ES"/>
        </w:rPr>
        <w:t xml:space="preserve">Declarar </w:t>
      </w:r>
      <w:r w:rsidR="00CE0487">
        <w:rPr>
          <w:sz w:val="20"/>
          <w:szCs w:val="20"/>
          <w:lang w:val="es-ES"/>
        </w:rPr>
        <w:t>in</w:t>
      </w:r>
      <w:r w:rsidRPr="006E3BAD">
        <w:rPr>
          <w:sz w:val="20"/>
          <w:szCs w:val="20"/>
          <w:lang w:val="es-ES"/>
        </w:rPr>
        <w:t>admisible la presente petición</w:t>
      </w:r>
      <w:r w:rsidR="00CE0487">
        <w:rPr>
          <w:sz w:val="20"/>
          <w:szCs w:val="20"/>
          <w:lang w:val="es-ES"/>
        </w:rPr>
        <w:t>;</w:t>
      </w:r>
    </w:p>
    <w:p w14:paraId="245C05A6" w14:textId="78A3A344" w:rsidR="006E3BAD" w:rsidRDefault="006E3BAD" w:rsidP="004B5F85">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rPr>
      </w:pPr>
      <w:r w:rsidRPr="001A76C6">
        <w:rPr>
          <w:sz w:val="20"/>
          <w:szCs w:val="20"/>
          <w:lang w:val="es-ES"/>
        </w:rPr>
        <w:t>Notificar a las partes la presente decisión; y publicar esta decisión e incluirla en su Informe Anual a la Asamblea General de la Organización de los Estados Americanos.</w:t>
      </w:r>
    </w:p>
    <w:p w14:paraId="4C3CBAF8" w14:textId="72A13EB8" w:rsidR="00054945" w:rsidRPr="00C049AC" w:rsidRDefault="00054945" w:rsidP="0005494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23 días del mes de septiembre de 2023.  (Firmado): Esmeralda Arosemena de Troitiño, Primera Vicepresidenta; Julissa Mantilla Falcón, Stuardo Ralón Orellana y Carlos Bernal Pulido, miembros de la Comisión. </w:t>
      </w:r>
      <w:r w:rsidRPr="00407104">
        <w:rPr>
          <w:rStyle w:val="eop"/>
          <w:rFonts w:ascii="Cambria" w:hAnsi="Cambria" w:cs="Segoe UI"/>
          <w:sz w:val="20"/>
          <w:szCs w:val="20"/>
          <w:lang w:val="es-ES"/>
        </w:rPr>
        <w:t> </w:t>
      </w:r>
    </w:p>
    <w:p w14:paraId="5F557E23" w14:textId="77777777" w:rsidR="00054945" w:rsidRPr="00054945" w:rsidRDefault="00054945" w:rsidP="000549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es-ES"/>
        </w:rPr>
      </w:pPr>
    </w:p>
    <w:sectPr w:rsidR="00054945" w:rsidRPr="0005494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A8AA" w14:textId="77777777" w:rsidR="00DE1799" w:rsidRDefault="00DE1799">
      <w:r>
        <w:separator/>
      </w:r>
    </w:p>
  </w:endnote>
  <w:endnote w:type="continuationSeparator" w:id="0">
    <w:p w14:paraId="42F8248F" w14:textId="77777777" w:rsidR="00DE1799" w:rsidRDefault="00DE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6891" w14:textId="77777777" w:rsidR="00DE1799" w:rsidRPr="000F35ED" w:rsidRDefault="00DE17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3FE782" w14:textId="77777777" w:rsidR="00DE1799" w:rsidRPr="000F35ED" w:rsidRDefault="00DE1799" w:rsidP="000F35ED">
      <w:pPr>
        <w:rPr>
          <w:rFonts w:asciiTheme="majorHAnsi" w:hAnsiTheme="majorHAnsi"/>
          <w:sz w:val="16"/>
          <w:szCs w:val="16"/>
        </w:rPr>
      </w:pPr>
      <w:r w:rsidRPr="000F35ED">
        <w:rPr>
          <w:rFonts w:asciiTheme="majorHAnsi" w:hAnsiTheme="majorHAnsi"/>
          <w:sz w:val="16"/>
          <w:szCs w:val="16"/>
        </w:rPr>
        <w:separator/>
      </w:r>
    </w:p>
    <w:p w14:paraId="05A1452A" w14:textId="77777777" w:rsidR="00DE1799" w:rsidRPr="000F35ED" w:rsidRDefault="00DE179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A1F87CA" w14:textId="77777777" w:rsidR="00DE1799" w:rsidRPr="000F35ED" w:rsidRDefault="00DE17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7D3ED6C" w14:textId="58215EC5" w:rsidR="00E34E6B" w:rsidRPr="00116812" w:rsidRDefault="00E34E6B" w:rsidP="008E7EBB">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116812">
        <w:rPr>
          <w:rFonts w:ascii="Cambria" w:hAnsi="Cambria"/>
          <w:sz w:val="16"/>
          <w:szCs w:val="16"/>
          <w:lang w:val="pt-BR"/>
        </w:rPr>
        <w:t xml:space="preserve"> </w:t>
      </w:r>
      <w:r w:rsidR="00123203" w:rsidRPr="00116812">
        <w:rPr>
          <w:rFonts w:ascii="Cambria" w:hAnsi="Cambria"/>
          <w:sz w:val="16"/>
          <w:szCs w:val="16"/>
          <w:lang w:val="pt-BR"/>
        </w:rPr>
        <w:t xml:space="preserve">El 2 de mayo de 2017, la </w:t>
      </w:r>
      <w:r w:rsidR="00123203" w:rsidRPr="008E7EBB">
        <w:rPr>
          <w:rFonts w:ascii="Cambria" w:hAnsi="Cambria"/>
          <w:i/>
          <w:iCs/>
          <w:sz w:val="16"/>
          <w:szCs w:val="16"/>
          <w:lang w:val="pt-BR"/>
        </w:rPr>
        <w:t>Comissão de Direitos Humanos da Ordem dos Advogados do Brasil – Seção São Paulo</w:t>
      </w:r>
      <w:r w:rsidR="00123203" w:rsidRPr="00116812">
        <w:rPr>
          <w:rFonts w:ascii="Cambria" w:hAnsi="Cambria"/>
          <w:sz w:val="16"/>
          <w:szCs w:val="16"/>
          <w:lang w:val="pt-BR"/>
        </w:rPr>
        <w:t xml:space="preserve"> dejó de representar a las presuntas víctimas</w:t>
      </w:r>
      <w:r w:rsidR="008E7EBB">
        <w:rPr>
          <w:rFonts w:ascii="Cambria" w:hAnsi="Cambria"/>
          <w:sz w:val="16"/>
          <w:szCs w:val="16"/>
          <w:lang w:val="pt-BR"/>
        </w:rPr>
        <w:t>.</w:t>
      </w:r>
    </w:p>
  </w:footnote>
  <w:footnote w:id="3">
    <w:p w14:paraId="773D469A" w14:textId="68E37396" w:rsidR="00123203" w:rsidRPr="00116812" w:rsidRDefault="00123203" w:rsidP="008E7EBB">
      <w:pPr>
        <w:pStyle w:val="FootnoteText"/>
        <w:ind w:firstLine="709"/>
        <w:jc w:val="both"/>
        <w:rPr>
          <w:rFonts w:ascii="Cambria" w:hAnsi="Cambria"/>
          <w:sz w:val="16"/>
          <w:szCs w:val="16"/>
          <w:lang w:val="es-MX"/>
        </w:rPr>
      </w:pPr>
      <w:r w:rsidRPr="00116812">
        <w:rPr>
          <w:rStyle w:val="FootnoteReference"/>
          <w:rFonts w:ascii="Cambria" w:hAnsi="Cambria"/>
          <w:sz w:val="16"/>
          <w:szCs w:val="16"/>
        </w:rPr>
        <w:footnoteRef/>
      </w:r>
      <w:r w:rsidRPr="00116812">
        <w:rPr>
          <w:rFonts w:ascii="Cambria" w:hAnsi="Cambria"/>
          <w:sz w:val="16"/>
          <w:szCs w:val="16"/>
          <w:lang w:val="es-MX"/>
        </w:rPr>
        <w:t xml:space="preserve"> Adelante, “Convención Americana” o “Convención”.</w:t>
      </w:r>
    </w:p>
  </w:footnote>
  <w:footnote w:id="4">
    <w:p w14:paraId="1AFEF3B0" w14:textId="5D1F7662" w:rsidR="008E3BFE" w:rsidRPr="00116812" w:rsidRDefault="008E3BFE" w:rsidP="008E7EBB">
      <w:pPr>
        <w:pStyle w:val="FootnoteText"/>
        <w:ind w:firstLine="709"/>
        <w:jc w:val="both"/>
        <w:rPr>
          <w:rFonts w:ascii="Cambria" w:hAnsi="Cambria"/>
          <w:sz w:val="16"/>
          <w:szCs w:val="16"/>
          <w:lang w:val="es-ES"/>
        </w:rPr>
      </w:pPr>
      <w:r w:rsidRPr="00116812">
        <w:rPr>
          <w:rStyle w:val="FootnoteReference"/>
          <w:rFonts w:ascii="Cambria" w:hAnsi="Cambria"/>
          <w:sz w:val="16"/>
          <w:szCs w:val="16"/>
        </w:rPr>
        <w:footnoteRef/>
      </w:r>
      <w:r w:rsidRPr="00116812">
        <w:rPr>
          <w:rFonts w:ascii="Cambria" w:hAnsi="Cambria"/>
          <w:sz w:val="16"/>
          <w:szCs w:val="16"/>
          <w:lang w:val="es-ES"/>
        </w:rPr>
        <w:t xml:space="preserve"> </w:t>
      </w:r>
      <w:r w:rsidR="00CA6CA0" w:rsidRPr="00116812">
        <w:rPr>
          <w:rFonts w:ascii="Cambria" w:hAnsi="Cambria"/>
          <w:sz w:val="16"/>
          <w:szCs w:val="16"/>
          <w:lang w:val="es-ES"/>
        </w:rPr>
        <w:t xml:space="preserve">Las observaciones de cada parte fueron debidamente trasladadas a la contraparte. </w:t>
      </w:r>
    </w:p>
  </w:footnote>
  <w:footnote w:id="5">
    <w:p w14:paraId="297CC20B" w14:textId="7C1BCD4C" w:rsidR="00EE0381" w:rsidRPr="00116812" w:rsidRDefault="00EE0381" w:rsidP="00EE0381">
      <w:pPr>
        <w:pStyle w:val="FootnoteText"/>
        <w:ind w:firstLine="709"/>
        <w:jc w:val="both"/>
        <w:rPr>
          <w:rFonts w:ascii="Cambria" w:hAnsi="Cambria"/>
          <w:sz w:val="16"/>
          <w:szCs w:val="16"/>
          <w:lang w:val="es-MX"/>
        </w:rPr>
      </w:pPr>
      <w:r w:rsidRPr="00116812">
        <w:rPr>
          <w:rStyle w:val="FootnoteReference"/>
          <w:rFonts w:ascii="Cambria" w:hAnsi="Cambria"/>
          <w:sz w:val="16"/>
          <w:szCs w:val="16"/>
        </w:rPr>
        <w:footnoteRef/>
      </w:r>
      <w:r w:rsidR="0081222D" w:rsidRPr="00E5784D">
        <w:rPr>
          <w:rFonts w:ascii="Cambria" w:hAnsi="Cambria"/>
          <w:sz w:val="16"/>
          <w:szCs w:val="16"/>
          <w:lang w:val="es-ES"/>
        </w:rPr>
        <w:t xml:space="preserve"> Sobre los </w:t>
      </w:r>
      <w:r w:rsidR="0081222D" w:rsidRPr="00346ED7">
        <w:rPr>
          <w:rFonts w:ascii="Cambria" w:hAnsi="Cambria"/>
          <w:i/>
          <w:iCs/>
          <w:sz w:val="16"/>
          <w:szCs w:val="16"/>
          <w:lang w:val="es-ES"/>
        </w:rPr>
        <w:t>precatórios</w:t>
      </w:r>
      <w:r w:rsidR="0081222D" w:rsidRPr="00E5784D">
        <w:rPr>
          <w:rFonts w:ascii="Cambria" w:hAnsi="Cambria"/>
          <w:sz w:val="16"/>
          <w:szCs w:val="16"/>
          <w:lang w:val="es-ES"/>
        </w:rPr>
        <w:t>, v</w:t>
      </w:r>
      <w:r w:rsidR="00C7545D" w:rsidRPr="00E5784D">
        <w:rPr>
          <w:rFonts w:ascii="Cambria" w:hAnsi="Cambria"/>
          <w:sz w:val="16"/>
          <w:szCs w:val="16"/>
          <w:lang w:val="es-ES"/>
        </w:rPr>
        <w:t xml:space="preserve">éase, </w:t>
      </w:r>
      <w:r w:rsidR="00C7545D" w:rsidRPr="00E5784D">
        <w:rPr>
          <w:rFonts w:ascii="Cambria" w:hAnsi="Cambria"/>
          <w:i/>
          <w:iCs/>
          <w:sz w:val="16"/>
          <w:szCs w:val="16"/>
          <w:lang w:val="es-ES"/>
        </w:rPr>
        <w:t>e.g.</w:t>
      </w:r>
      <w:r w:rsidR="00C7545D" w:rsidRPr="00E5784D">
        <w:rPr>
          <w:rFonts w:ascii="Cambria" w:hAnsi="Cambria"/>
          <w:sz w:val="16"/>
          <w:szCs w:val="16"/>
          <w:lang w:val="es-ES"/>
        </w:rPr>
        <w:t xml:space="preserve">, CIDH, Informe No. 141/22. </w:t>
      </w:r>
      <w:r w:rsidR="00C7545D" w:rsidRPr="00530DC1">
        <w:rPr>
          <w:rFonts w:ascii="Cambria" w:hAnsi="Cambria"/>
          <w:sz w:val="16"/>
          <w:szCs w:val="16"/>
          <w:lang w:val="es-ES"/>
        </w:rPr>
        <w:t xml:space="preserve">Petición 355-12. Cleuza Boschilia. Brasil. 27 de junio de 2022, </w:t>
      </w:r>
      <w:r w:rsidR="00C7545D">
        <w:rPr>
          <w:rFonts w:ascii="Cambria" w:hAnsi="Cambria"/>
          <w:sz w:val="16"/>
          <w:szCs w:val="16"/>
          <w:lang w:val="es-MX"/>
        </w:rPr>
        <w:t>pie de página 3</w:t>
      </w:r>
      <w:r w:rsidR="00573EC9">
        <w:rPr>
          <w:rFonts w:ascii="Cambria" w:hAnsi="Cambria"/>
          <w:sz w:val="16"/>
          <w:szCs w:val="16"/>
          <w:lang w:val="es-MX"/>
        </w:rPr>
        <w:t>:</w:t>
      </w:r>
      <w:r w:rsidR="00C7545D">
        <w:rPr>
          <w:rFonts w:ascii="Cambria" w:hAnsi="Cambria"/>
          <w:sz w:val="16"/>
          <w:szCs w:val="16"/>
          <w:lang w:val="es-MX"/>
        </w:rPr>
        <w:t xml:space="preserve"> </w:t>
      </w:r>
      <w:r w:rsidR="0081222D">
        <w:rPr>
          <w:rFonts w:ascii="Cambria" w:hAnsi="Cambria"/>
          <w:sz w:val="16"/>
          <w:szCs w:val="16"/>
          <w:lang w:val="es-MX"/>
        </w:rPr>
        <w:t>“</w:t>
      </w:r>
      <w:r w:rsidR="00C7545D">
        <w:rPr>
          <w:rFonts w:ascii="Cambria" w:hAnsi="Cambria"/>
          <w:sz w:val="16"/>
          <w:szCs w:val="16"/>
          <w:lang w:val="es-MX"/>
        </w:rPr>
        <w:t>los precatórios s</w:t>
      </w:r>
      <w:r w:rsidR="00C7545D" w:rsidRPr="00C7545D">
        <w:rPr>
          <w:rFonts w:ascii="Cambria" w:hAnsi="Cambria"/>
          <w:sz w:val="16"/>
          <w:szCs w:val="16"/>
          <w:lang w:val="es-ES"/>
        </w:rPr>
        <w:t xml:space="preserve">on solicitudes de pago emitidas por el Poder Judicial para cobrar de los municipios, estados o la Unión, así como de las autarquías, fundaciones y universidades, el pago de cantidades adeudadas con posterioridad a sentencia judicial firme. El </w:t>
      </w:r>
      <w:r w:rsidR="00C7545D" w:rsidRPr="00346ED7">
        <w:rPr>
          <w:rFonts w:ascii="Cambria" w:hAnsi="Cambria"/>
          <w:i/>
          <w:iCs/>
          <w:sz w:val="16"/>
          <w:szCs w:val="16"/>
          <w:lang w:val="es-ES"/>
        </w:rPr>
        <w:t>precatório</w:t>
      </w:r>
      <w:r w:rsidR="00C7545D" w:rsidRPr="00C7545D">
        <w:rPr>
          <w:rFonts w:ascii="Cambria" w:hAnsi="Cambria"/>
          <w:sz w:val="16"/>
          <w:szCs w:val="16"/>
          <w:lang w:val="es-ES"/>
        </w:rPr>
        <w:t xml:space="preserve"> es dictado por el presidente del Tribunal donde se tramitó el proceso, previa solicitud del juez responsable de la condena</w:t>
      </w:r>
      <w:r w:rsidR="00C7545D">
        <w:rPr>
          <w:rFonts w:ascii="Cambria" w:hAnsi="Cambria"/>
          <w:sz w:val="16"/>
          <w:szCs w:val="16"/>
          <w:lang w:val="es-ES"/>
        </w:rPr>
        <w:t>.”</w:t>
      </w:r>
    </w:p>
  </w:footnote>
  <w:footnote w:id="6">
    <w:p w14:paraId="6BEDB0A4" w14:textId="1F82A502" w:rsidR="00F470FB" w:rsidRPr="00116812" w:rsidRDefault="00F470FB" w:rsidP="00F470FB">
      <w:pPr>
        <w:pStyle w:val="FootnoteText"/>
        <w:ind w:firstLine="709"/>
        <w:jc w:val="both"/>
        <w:rPr>
          <w:rFonts w:ascii="Cambria" w:hAnsi="Cambria"/>
          <w:sz w:val="16"/>
          <w:szCs w:val="16"/>
          <w:lang w:val="es-MX"/>
        </w:rPr>
      </w:pPr>
      <w:r w:rsidRPr="00116812">
        <w:rPr>
          <w:rStyle w:val="FootnoteReference"/>
          <w:rFonts w:ascii="Cambria" w:hAnsi="Cambria"/>
          <w:sz w:val="16"/>
          <w:szCs w:val="16"/>
        </w:rPr>
        <w:footnoteRef/>
      </w:r>
      <w:r w:rsidRPr="00116812">
        <w:rPr>
          <w:rFonts w:ascii="Cambria" w:hAnsi="Cambria"/>
          <w:sz w:val="16"/>
          <w:szCs w:val="16"/>
          <w:lang w:val="es-MX"/>
        </w:rPr>
        <w:t xml:space="preserve"> </w:t>
      </w:r>
      <w:r>
        <w:rPr>
          <w:rFonts w:ascii="Cambria" w:hAnsi="Cambria"/>
          <w:sz w:val="16"/>
          <w:szCs w:val="16"/>
          <w:lang w:val="es-419"/>
        </w:rPr>
        <w:t>A</w:t>
      </w:r>
      <w:r w:rsidRPr="00F470FB">
        <w:rPr>
          <w:rFonts w:ascii="Cambria" w:hAnsi="Cambria"/>
          <w:sz w:val="16"/>
          <w:szCs w:val="16"/>
          <w:lang w:val="es-419"/>
        </w:rPr>
        <w:t>proximadamente 15</w:t>
      </w:r>
      <w:r>
        <w:rPr>
          <w:rFonts w:ascii="Cambria" w:hAnsi="Cambria"/>
          <w:sz w:val="16"/>
          <w:szCs w:val="16"/>
          <w:lang w:val="es-419"/>
        </w:rPr>
        <w:t>6</w:t>
      </w:r>
      <w:r w:rsidRPr="00F470FB">
        <w:rPr>
          <w:rFonts w:ascii="Cambria" w:hAnsi="Cambria"/>
          <w:sz w:val="16"/>
          <w:szCs w:val="16"/>
          <w:lang w:val="es-419"/>
        </w:rPr>
        <w:t xml:space="preserve"> millones de dólares estadunidenses</w:t>
      </w:r>
      <w:r>
        <w:rPr>
          <w:rFonts w:ascii="Cambria" w:hAnsi="Cambria"/>
          <w:sz w:val="16"/>
          <w:szCs w:val="16"/>
          <w:lang w:val="es-419"/>
        </w:rPr>
        <w:t xml:space="preserve">, </w:t>
      </w:r>
      <w:r w:rsidRPr="00F470FB">
        <w:rPr>
          <w:rFonts w:ascii="Cambria" w:hAnsi="Cambria"/>
          <w:sz w:val="16"/>
          <w:szCs w:val="16"/>
          <w:lang w:val="es-419"/>
        </w:rPr>
        <w:t>según la tasa de conversión monetaria informada por el Banco Central de Brasil el 2 de agosto de 2023, ese dólar equivale a 4,80 reales</w:t>
      </w:r>
      <w:r>
        <w:rPr>
          <w:rFonts w:ascii="Cambria" w:hAnsi="Cambria"/>
          <w:sz w:val="16"/>
          <w:szCs w:val="16"/>
          <w:lang w:val="es-419"/>
        </w:rPr>
        <w:t xml:space="preserve"> (</w:t>
      </w:r>
      <w:r w:rsidRPr="00F470FB">
        <w:rPr>
          <w:rFonts w:ascii="Cambria" w:hAnsi="Cambria"/>
          <w:sz w:val="16"/>
          <w:szCs w:val="16"/>
          <w:lang w:val="es-419"/>
        </w:rPr>
        <w:t>https://www.bcb.gov.br/</w:t>
      </w:r>
      <w:r>
        <w:rPr>
          <w:rFonts w:ascii="Cambria" w:hAnsi="Cambria"/>
          <w:sz w:val="16"/>
          <w:szCs w:val="16"/>
          <w:lang w:val="es-419"/>
        </w:rPr>
        <w:t>)</w:t>
      </w:r>
      <w:r w:rsidRPr="00F470FB">
        <w:rPr>
          <w:rFonts w:ascii="Cambria" w:hAnsi="Cambria"/>
          <w:sz w:val="16"/>
          <w:szCs w:val="16"/>
          <w:lang w:val="es-419"/>
        </w:rPr>
        <w:t>.</w:t>
      </w:r>
    </w:p>
  </w:footnote>
  <w:footnote w:id="7">
    <w:p w14:paraId="0FA07B2B" w14:textId="6EE73332" w:rsidR="007E1139" w:rsidRPr="00116812" w:rsidRDefault="007E1139" w:rsidP="007E1139">
      <w:pPr>
        <w:pStyle w:val="FootnoteText"/>
        <w:ind w:firstLine="709"/>
        <w:jc w:val="both"/>
        <w:rPr>
          <w:rFonts w:ascii="Cambria" w:hAnsi="Cambria"/>
          <w:sz w:val="16"/>
          <w:szCs w:val="16"/>
          <w:lang w:val="es-MX"/>
        </w:rPr>
      </w:pPr>
      <w:r w:rsidRPr="00116812">
        <w:rPr>
          <w:rStyle w:val="FootnoteReference"/>
          <w:rFonts w:ascii="Cambria" w:hAnsi="Cambria"/>
          <w:sz w:val="16"/>
          <w:szCs w:val="16"/>
        </w:rPr>
        <w:footnoteRef/>
      </w:r>
      <w:r w:rsidRPr="00116812">
        <w:rPr>
          <w:rFonts w:ascii="Cambria" w:hAnsi="Cambria"/>
          <w:sz w:val="16"/>
          <w:szCs w:val="16"/>
          <w:lang w:val="es-MX"/>
        </w:rPr>
        <w:t xml:space="preserve"> </w:t>
      </w:r>
      <w:r w:rsidR="00406825">
        <w:rPr>
          <w:rFonts w:ascii="Cambria" w:hAnsi="Cambria"/>
          <w:sz w:val="16"/>
          <w:szCs w:val="16"/>
          <w:lang w:val="es-419"/>
        </w:rPr>
        <w:t>S</w:t>
      </w:r>
      <w:r w:rsidRPr="00F470FB">
        <w:rPr>
          <w:rFonts w:ascii="Cambria" w:hAnsi="Cambria"/>
          <w:sz w:val="16"/>
          <w:szCs w:val="16"/>
          <w:lang w:val="es-419"/>
        </w:rPr>
        <w:t xml:space="preserve">egún la tasa de conversión monetaria informada por el Banco Central de Brasil el 2 de agosto de 2023, </w:t>
      </w:r>
      <w:r w:rsidR="00046367">
        <w:rPr>
          <w:rFonts w:ascii="Cambria" w:hAnsi="Cambria"/>
          <w:sz w:val="16"/>
          <w:szCs w:val="16"/>
          <w:lang w:val="es-419"/>
        </w:rPr>
        <w:t>1</w:t>
      </w:r>
      <w:r w:rsidRPr="00F470FB">
        <w:rPr>
          <w:rFonts w:ascii="Cambria" w:hAnsi="Cambria"/>
          <w:sz w:val="16"/>
          <w:szCs w:val="16"/>
          <w:lang w:val="es-419"/>
        </w:rPr>
        <w:t xml:space="preserve"> dólar equivale a 4,80 reales</w:t>
      </w:r>
      <w:r>
        <w:rPr>
          <w:rFonts w:ascii="Cambria" w:hAnsi="Cambria"/>
          <w:sz w:val="16"/>
          <w:szCs w:val="16"/>
          <w:lang w:val="es-419"/>
        </w:rPr>
        <w:t xml:space="preserve"> (</w:t>
      </w:r>
      <w:r w:rsidRPr="00F470FB">
        <w:rPr>
          <w:rFonts w:ascii="Cambria" w:hAnsi="Cambria"/>
          <w:sz w:val="16"/>
          <w:szCs w:val="16"/>
          <w:lang w:val="es-419"/>
        </w:rPr>
        <w:t>https://www.bcb.gov.br/</w:t>
      </w:r>
      <w:r>
        <w:rPr>
          <w:rFonts w:ascii="Cambria" w:hAnsi="Cambria"/>
          <w:sz w:val="16"/>
          <w:szCs w:val="16"/>
          <w:lang w:val="es-419"/>
        </w:rPr>
        <w:t>)</w:t>
      </w:r>
      <w:r w:rsidRPr="00F470FB">
        <w:rPr>
          <w:rFonts w:ascii="Cambria" w:hAnsi="Cambria"/>
          <w:sz w:val="16"/>
          <w:szCs w:val="16"/>
          <w:lang w:val="es-419"/>
        </w:rPr>
        <w:t>.</w:t>
      </w:r>
    </w:p>
  </w:footnote>
  <w:footnote w:id="8">
    <w:p w14:paraId="24FA4810" w14:textId="7339DB7B" w:rsidR="00216B97" w:rsidRPr="00116812" w:rsidRDefault="00216B97" w:rsidP="008E7EBB">
      <w:pPr>
        <w:pStyle w:val="FootnoteText"/>
        <w:ind w:firstLine="709"/>
        <w:jc w:val="both"/>
        <w:rPr>
          <w:rFonts w:ascii="Cambria" w:hAnsi="Cambria"/>
          <w:sz w:val="16"/>
          <w:szCs w:val="16"/>
          <w:lang w:val="es-MX"/>
        </w:rPr>
      </w:pPr>
      <w:r w:rsidRPr="00116812">
        <w:rPr>
          <w:rStyle w:val="FootnoteReference"/>
          <w:rFonts w:ascii="Cambria" w:hAnsi="Cambria"/>
          <w:sz w:val="16"/>
          <w:szCs w:val="16"/>
        </w:rPr>
        <w:footnoteRef/>
      </w:r>
      <w:r w:rsidRPr="00116812">
        <w:rPr>
          <w:rFonts w:ascii="Cambria" w:hAnsi="Cambria"/>
          <w:sz w:val="16"/>
          <w:szCs w:val="16"/>
          <w:lang w:val="es-MX"/>
        </w:rPr>
        <w:t xml:space="preserve"> CIDH, Informe No. 113/17. Petición 1141-07. Admisibilidad. Alfredo Manuel Martínez Meza y otros. Colombia. 7 de septiembre de 2017</w:t>
      </w:r>
      <w:r w:rsidR="00861D65" w:rsidRPr="00116812">
        <w:rPr>
          <w:rFonts w:ascii="Cambria" w:hAnsi="Cambria"/>
          <w:sz w:val="16"/>
          <w:szCs w:val="16"/>
          <w:lang w:val="es-MX"/>
        </w:rPr>
        <w:t>, párr. 3</w:t>
      </w:r>
      <w:r w:rsidRPr="00116812">
        <w:rPr>
          <w:rFonts w:ascii="Cambria" w:hAnsi="Cambria"/>
          <w:sz w:val="16"/>
          <w:szCs w:val="16"/>
          <w:lang w:val="es-MX"/>
        </w:rPr>
        <w:t>.</w:t>
      </w:r>
    </w:p>
  </w:footnote>
  <w:footnote w:id="9">
    <w:p w14:paraId="7990EE29" w14:textId="7A7E2A2E" w:rsidR="00907E48" w:rsidRPr="00907E48" w:rsidRDefault="00907E48" w:rsidP="00907E48">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5062B3">
        <w:rPr>
          <w:rFonts w:ascii="Cambria" w:hAnsi="Cambria"/>
          <w:sz w:val="16"/>
          <w:szCs w:val="16"/>
          <w:lang w:val="pt-BR"/>
        </w:rPr>
        <w:t xml:space="preserve"> Véase, </w:t>
      </w:r>
      <w:r w:rsidRPr="005062B3">
        <w:rPr>
          <w:rFonts w:ascii="Cambria" w:hAnsi="Cambria"/>
          <w:i/>
          <w:iCs/>
          <w:sz w:val="16"/>
          <w:szCs w:val="16"/>
          <w:lang w:val="pt-BR"/>
        </w:rPr>
        <w:t>v.g.</w:t>
      </w:r>
      <w:r w:rsidRPr="005062B3">
        <w:rPr>
          <w:rFonts w:ascii="Cambria" w:hAnsi="Cambria"/>
          <w:sz w:val="16"/>
          <w:szCs w:val="16"/>
          <w:lang w:val="pt-BR"/>
        </w:rPr>
        <w:t xml:space="preserve">, </w:t>
      </w:r>
      <w:r w:rsidR="00695BA2" w:rsidRPr="005062B3">
        <w:rPr>
          <w:rFonts w:ascii="Cambria" w:hAnsi="Cambria"/>
          <w:sz w:val="16"/>
          <w:szCs w:val="16"/>
          <w:lang w:val="pt-BR"/>
        </w:rPr>
        <w:t xml:space="preserve">CIDH, Informe No. 62/22. </w:t>
      </w:r>
      <w:r w:rsidR="00695BA2" w:rsidRPr="00695BA2">
        <w:rPr>
          <w:rFonts w:ascii="Cambria" w:hAnsi="Cambria"/>
          <w:sz w:val="16"/>
          <w:szCs w:val="16"/>
          <w:lang w:val="es-ES"/>
        </w:rPr>
        <w:t>Petición 1096-12. Inadmisibilidad. Julio Carrizosa Mutis y familia (Corporación Grancolombiana de Ahorro y Vivienda. Colombia. 7 de marzo de 2022</w:t>
      </w:r>
      <w:r w:rsidR="00695BA2">
        <w:rPr>
          <w:rFonts w:ascii="Cambria" w:hAnsi="Cambria"/>
          <w:sz w:val="16"/>
          <w:szCs w:val="16"/>
          <w:lang w:val="es-ES"/>
        </w:rPr>
        <w:t xml:space="preserve">, párrafo 18; </w:t>
      </w:r>
      <w:r w:rsidRPr="00907E48">
        <w:rPr>
          <w:rFonts w:ascii="Cambria" w:hAnsi="Cambria"/>
          <w:sz w:val="16"/>
          <w:szCs w:val="16"/>
          <w:lang w:val="es-MX"/>
        </w:rPr>
        <w:t xml:space="preserve">CIDH, Banco de Lima, Informe N° 10/91, Caso 10.169, Perú, Informe Anual 1990-1991, p. 452 y sig. CIDH, Tabacalera Boquerón, Informe N° 47/97, Paraguay, Informe Anual 1997, p. 229 y sig. </w:t>
      </w:r>
      <w:r w:rsidRPr="00907E48">
        <w:rPr>
          <w:rFonts w:ascii="Cambria" w:hAnsi="Cambria"/>
          <w:sz w:val="16"/>
          <w:szCs w:val="16"/>
          <w:lang w:val="pt-BR"/>
        </w:rPr>
        <w:t>CIDH, Mevopal, S.A., Informe N° 39/99, Argentina, Informe Anual 1999. CIDH, Bernard Merens y Familia, Informe N° 103/99, Argentina, Informe Anual 1999. CIDH, BendeckCOHDINSA, Informe N° 106/99, Honduras, Informe Anual 1999.</w:t>
      </w:r>
    </w:p>
  </w:footnote>
  <w:footnote w:id="10">
    <w:p w14:paraId="5157B583" w14:textId="6B8989AF" w:rsidR="00907E48" w:rsidRPr="00116812" w:rsidRDefault="00907E48" w:rsidP="00907E48">
      <w:pPr>
        <w:pStyle w:val="FootnoteText"/>
        <w:ind w:firstLine="709"/>
        <w:jc w:val="both"/>
        <w:rPr>
          <w:rFonts w:ascii="Cambria" w:hAnsi="Cambria"/>
          <w:sz w:val="16"/>
          <w:szCs w:val="16"/>
          <w:lang w:val="es-MX"/>
        </w:rPr>
      </w:pPr>
      <w:r w:rsidRPr="00116812">
        <w:rPr>
          <w:rStyle w:val="FootnoteReference"/>
          <w:rFonts w:ascii="Cambria" w:hAnsi="Cambria"/>
          <w:sz w:val="16"/>
          <w:szCs w:val="16"/>
        </w:rPr>
        <w:footnoteRef/>
      </w:r>
      <w:r w:rsidRPr="00695BA2">
        <w:rPr>
          <w:rFonts w:ascii="Cambria" w:hAnsi="Cambria"/>
          <w:sz w:val="16"/>
          <w:szCs w:val="16"/>
          <w:lang w:val="pt-BR"/>
        </w:rPr>
        <w:t xml:space="preserve"> Véase, </w:t>
      </w:r>
      <w:r w:rsidRPr="00695BA2">
        <w:rPr>
          <w:rFonts w:ascii="Cambria" w:hAnsi="Cambria"/>
          <w:i/>
          <w:iCs/>
          <w:sz w:val="16"/>
          <w:szCs w:val="16"/>
          <w:lang w:val="pt-BR"/>
        </w:rPr>
        <w:t>v.g.</w:t>
      </w:r>
      <w:r w:rsidRPr="00695BA2">
        <w:rPr>
          <w:rFonts w:ascii="Cambria" w:hAnsi="Cambria"/>
          <w:sz w:val="16"/>
          <w:szCs w:val="16"/>
          <w:lang w:val="pt-BR"/>
        </w:rPr>
        <w:t xml:space="preserve">, </w:t>
      </w:r>
      <w:r w:rsidR="00695BA2" w:rsidRPr="00695BA2">
        <w:rPr>
          <w:rFonts w:ascii="Cambria" w:hAnsi="Cambria"/>
          <w:sz w:val="16"/>
          <w:szCs w:val="16"/>
          <w:lang w:val="pt-BR"/>
        </w:rPr>
        <w:t xml:space="preserve">CIDH, Informe No. 62/22. </w:t>
      </w:r>
      <w:r w:rsidR="00695BA2" w:rsidRPr="00695BA2">
        <w:rPr>
          <w:rFonts w:ascii="Cambria" w:hAnsi="Cambria"/>
          <w:sz w:val="16"/>
          <w:szCs w:val="16"/>
          <w:lang w:val="es-ES"/>
        </w:rPr>
        <w:t>Petición 1096-12. Inadmisibilidad. Julio Carrizosa Mutis y familia (Corporación Grancolombiana de Ahorro y Vivienda. Colombia. 7 de marzo de 2022</w:t>
      </w:r>
      <w:r w:rsidR="00695BA2">
        <w:rPr>
          <w:rFonts w:ascii="Cambria" w:hAnsi="Cambria"/>
          <w:sz w:val="16"/>
          <w:szCs w:val="16"/>
          <w:lang w:val="es-ES"/>
        </w:rPr>
        <w:t xml:space="preserve">, párrafo 18; </w:t>
      </w:r>
      <w:r w:rsidRPr="00907E48">
        <w:rPr>
          <w:rFonts w:ascii="Cambria" w:hAnsi="Cambria"/>
          <w:sz w:val="16"/>
          <w:szCs w:val="16"/>
          <w:lang w:val="es-ES"/>
        </w:rPr>
        <w:t xml:space="preserve">CIDH, Informe Nº 40/05 (Inadmisibilidad), Petición 12.139, José Luis Forzanni Ballardo, Perú, 9 de marzo de 2005, </w:t>
      </w:r>
      <w:r w:rsidR="00695BA2">
        <w:rPr>
          <w:rFonts w:ascii="Cambria" w:hAnsi="Cambria"/>
          <w:sz w:val="16"/>
          <w:szCs w:val="16"/>
          <w:lang w:val="es-ES"/>
        </w:rPr>
        <w:t>párrafos</w:t>
      </w:r>
      <w:r w:rsidRPr="00907E48">
        <w:rPr>
          <w:rFonts w:ascii="Cambria" w:hAnsi="Cambria"/>
          <w:sz w:val="16"/>
          <w:szCs w:val="16"/>
          <w:lang w:val="es-ES"/>
        </w:rPr>
        <w:t xml:space="preserve"> 35 y 40. A este respecto, véase, además: CIDH, Informe Nº 83/05 (Inadmisibilidad), Petición 644/00, Carlos Alberto López Urquía, Honduras, 24 de octubre de 2005, párr</w:t>
      </w:r>
      <w:r w:rsidR="00695BA2">
        <w:rPr>
          <w:rFonts w:ascii="Cambria" w:hAnsi="Cambria"/>
          <w:sz w:val="16"/>
          <w:szCs w:val="16"/>
          <w:lang w:val="es-ES"/>
        </w:rPr>
        <w:t>afo</w:t>
      </w:r>
      <w:r w:rsidRPr="00907E48">
        <w:rPr>
          <w:rFonts w:ascii="Cambria" w:hAnsi="Cambria"/>
          <w:sz w:val="16"/>
          <w:szCs w:val="16"/>
          <w:lang w:val="es-ES"/>
        </w:rPr>
        <w:t xml:space="preserve"> 42; y CIDH, Informe Nº 122/10 (Admisibilidad), Petición 475-00, Carlos Arturo Betancourt Estrada y otros, Colombia, 23 de octubre de 2010, párr</w:t>
      </w:r>
      <w:r w:rsidR="00695BA2">
        <w:rPr>
          <w:rFonts w:ascii="Cambria" w:hAnsi="Cambria"/>
          <w:sz w:val="16"/>
          <w:szCs w:val="16"/>
          <w:lang w:val="es-ES"/>
        </w:rPr>
        <w:t>afo</w:t>
      </w:r>
      <w:r w:rsidRPr="00907E48">
        <w:rPr>
          <w:rFonts w:ascii="Cambria" w:hAnsi="Cambria"/>
          <w:sz w:val="16"/>
          <w:szCs w:val="16"/>
          <w:lang w:val="es-ES"/>
        </w:rPr>
        <w:t xml:space="preserve"> </w:t>
      </w:r>
      <w:r w:rsidRPr="00695BA2">
        <w:rPr>
          <w:rFonts w:ascii="Cambria" w:hAnsi="Cambria"/>
          <w:sz w:val="16"/>
          <w:szCs w:val="16"/>
          <w:lang w:val="es-ES"/>
        </w:rPr>
        <w:t>29.</w:t>
      </w:r>
    </w:p>
  </w:footnote>
  <w:footnote w:id="11">
    <w:p w14:paraId="1F86C15A" w14:textId="50E608AD" w:rsidR="00695BA2" w:rsidRPr="0034239A" w:rsidRDefault="00695BA2" w:rsidP="00695BA2">
      <w:pPr>
        <w:pStyle w:val="FootnoteText"/>
        <w:ind w:firstLine="709"/>
        <w:jc w:val="both"/>
        <w:rPr>
          <w:rFonts w:ascii="Cambria" w:hAnsi="Cambria"/>
          <w:sz w:val="16"/>
          <w:szCs w:val="16"/>
          <w:lang w:val="es-ES"/>
        </w:rPr>
      </w:pPr>
      <w:r w:rsidRPr="00116812">
        <w:rPr>
          <w:rStyle w:val="FootnoteReference"/>
          <w:rFonts w:ascii="Cambria" w:hAnsi="Cambria"/>
          <w:sz w:val="16"/>
          <w:szCs w:val="16"/>
        </w:rPr>
        <w:footnoteRef/>
      </w:r>
      <w:r w:rsidRPr="00E5784D">
        <w:rPr>
          <w:rFonts w:ascii="Cambria" w:hAnsi="Cambria"/>
          <w:sz w:val="16"/>
          <w:szCs w:val="16"/>
          <w:lang w:val="es-ES"/>
        </w:rPr>
        <w:t xml:space="preserve"> Similarmente, CIDH, Informe No. 62/22. </w:t>
      </w:r>
      <w:r w:rsidRPr="00695BA2">
        <w:rPr>
          <w:rFonts w:ascii="Cambria" w:hAnsi="Cambria"/>
          <w:sz w:val="16"/>
          <w:szCs w:val="16"/>
          <w:lang w:val="es-ES"/>
        </w:rPr>
        <w:t xml:space="preserve">Petición 1096-12. Inadmisibilidad. Julio Carrizosa Mutis y familia (Corporación Grancolombiana de Ahorro y Vivienda. Colombia. </w:t>
      </w:r>
      <w:r w:rsidRPr="0034239A">
        <w:rPr>
          <w:rFonts w:ascii="Cambria" w:hAnsi="Cambria"/>
          <w:sz w:val="16"/>
          <w:szCs w:val="16"/>
          <w:lang w:val="es-ES"/>
        </w:rPr>
        <w:t>7 de marzo de 2022, párrafo 19.</w:t>
      </w:r>
    </w:p>
  </w:footnote>
  <w:footnote w:id="12">
    <w:p w14:paraId="1D8878C2" w14:textId="70C89073" w:rsidR="000205DF" w:rsidRPr="0034239A" w:rsidRDefault="000205DF" w:rsidP="00CE0487">
      <w:pPr>
        <w:pStyle w:val="FootnoteText"/>
        <w:ind w:firstLine="709"/>
        <w:jc w:val="both"/>
        <w:rPr>
          <w:rFonts w:ascii="Cambria" w:hAnsi="Cambria"/>
          <w:sz w:val="16"/>
          <w:szCs w:val="16"/>
          <w:lang w:val="es-ES"/>
        </w:rPr>
      </w:pPr>
      <w:r w:rsidRPr="00116812">
        <w:rPr>
          <w:rStyle w:val="FootnoteReference"/>
          <w:rFonts w:ascii="Cambria" w:hAnsi="Cambria"/>
          <w:sz w:val="16"/>
          <w:szCs w:val="16"/>
        </w:rPr>
        <w:footnoteRef/>
      </w:r>
      <w:r w:rsidRPr="0034239A">
        <w:rPr>
          <w:rFonts w:ascii="Cambria" w:hAnsi="Cambria"/>
          <w:sz w:val="16"/>
          <w:szCs w:val="16"/>
          <w:lang w:val="es-ES"/>
        </w:rPr>
        <w:t xml:space="preserve"> </w:t>
      </w:r>
      <w:r w:rsidR="00CE0487" w:rsidRPr="0034239A">
        <w:rPr>
          <w:rFonts w:ascii="Cambria" w:hAnsi="Cambria"/>
          <w:sz w:val="16"/>
          <w:szCs w:val="16"/>
          <w:lang w:val="es-ES"/>
        </w:rPr>
        <w:t>CIDH, Informe No. 371/22. Petición 1957-15. Celso Jacques da Rocha. Brasil. 19 de diciembre de 2022, párrafo 20.</w:t>
      </w:r>
    </w:p>
  </w:footnote>
  <w:footnote w:id="13">
    <w:p w14:paraId="434D7850" w14:textId="35B4B676" w:rsidR="00CE0487" w:rsidRPr="00CE0487" w:rsidRDefault="00CE0487" w:rsidP="00CE0487">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34239A">
        <w:rPr>
          <w:rFonts w:ascii="Cambria" w:hAnsi="Cambria"/>
          <w:sz w:val="16"/>
          <w:szCs w:val="16"/>
          <w:lang w:val="es-ES"/>
        </w:rPr>
        <w:t xml:space="preserve"> Similarmente: CIDH, Informe No. 371/22. </w:t>
      </w:r>
      <w:r w:rsidRPr="00CE0487">
        <w:rPr>
          <w:rFonts w:ascii="Cambria" w:hAnsi="Cambria"/>
          <w:sz w:val="16"/>
          <w:szCs w:val="16"/>
          <w:lang w:val="pt-BR"/>
        </w:rPr>
        <w:t>Petición 1957-15. Celso Jacques da Rocha. Brasil. 19 de diciembre de 2022</w:t>
      </w:r>
      <w:r>
        <w:rPr>
          <w:rFonts w:ascii="Cambria" w:hAnsi="Cambria"/>
          <w:sz w:val="16"/>
          <w:szCs w:val="16"/>
          <w:lang w:val="pt-BR"/>
        </w:rPr>
        <w:t>, párrafo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034E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7A9"/>
    <w:rsid w:val="0001788C"/>
    <w:rsid w:val="000205DF"/>
    <w:rsid w:val="000213C6"/>
    <w:rsid w:val="000337EF"/>
    <w:rsid w:val="00040C3A"/>
    <w:rsid w:val="000419AD"/>
    <w:rsid w:val="000433C9"/>
    <w:rsid w:val="000444E7"/>
    <w:rsid w:val="00046367"/>
    <w:rsid w:val="00054945"/>
    <w:rsid w:val="00071174"/>
    <w:rsid w:val="000716C5"/>
    <w:rsid w:val="00075E23"/>
    <w:rsid w:val="0009344A"/>
    <w:rsid w:val="000970F4"/>
    <w:rsid w:val="000A392E"/>
    <w:rsid w:val="000A575F"/>
    <w:rsid w:val="000A6A74"/>
    <w:rsid w:val="000B1A6A"/>
    <w:rsid w:val="000B66F4"/>
    <w:rsid w:val="000B7730"/>
    <w:rsid w:val="000C0C9A"/>
    <w:rsid w:val="000D05CB"/>
    <w:rsid w:val="000D10DB"/>
    <w:rsid w:val="000D69FD"/>
    <w:rsid w:val="000E09D8"/>
    <w:rsid w:val="000E5EB5"/>
    <w:rsid w:val="000F35ED"/>
    <w:rsid w:val="0010550C"/>
    <w:rsid w:val="00107131"/>
    <w:rsid w:val="0010736F"/>
    <w:rsid w:val="00112061"/>
    <w:rsid w:val="00113F73"/>
    <w:rsid w:val="00116812"/>
    <w:rsid w:val="00121CC2"/>
    <w:rsid w:val="00123203"/>
    <w:rsid w:val="00131425"/>
    <w:rsid w:val="00133EE5"/>
    <w:rsid w:val="00134301"/>
    <w:rsid w:val="001422FA"/>
    <w:rsid w:val="001427FE"/>
    <w:rsid w:val="001473A9"/>
    <w:rsid w:val="00165562"/>
    <w:rsid w:val="00167A34"/>
    <w:rsid w:val="00173185"/>
    <w:rsid w:val="001864B1"/>
    <w:rsid w:val="001A520D"/>
    <w:rsid w:val="001A76C6"/>
    <w:rsid w:val="001A7870"/>
    <w:rsid w:val="001A7D7B"/>
    <w:rsid w:val="001B3A00"/>
    <w:rsid w:val="001C1B41"/>
    <w:rsid w:val="001C5567"/>
    <w:rsid w:val="001C7583"/>
    <w:rsid w:val="001D21C7"/>
    <w:rsid w:val="001D4AB9"/>
    <w:rsid w:val="001D65EF"/>
    <w:rsid w:val="001E15E7"/>
    <w:rsid w:val="001E49E7"/>
    <w:rsid w:val="001E6AFB"/>
    <w:rsid w:val="001F7201"/>
    <w:rsid w:val="00201B69"/>
    <w:rsid w:val="00216B97"/>
    <w:rsid w:val="00223A29"/>
    <w:rsid w:val="002250A3"/>
    <w:rsid w:val="00234F71"/>
    <w:rsid w:val="00235217"/>
    <w:rsid w:val="00236C69"/>
    <w:rsid w:val="00237C68"/>
    <w:rsid w:val="0024026E"/>
    <w:rsid w:val="00246D1F"/>
    <w:rsid w:val="00247403"/>
    <w:rsid w:val="00247542"/>
    <w:rsid w:val="00250136"/>
    <w:rsid w:val="00266B61"/>
    <w:rsid w:val="0026712A"/>
    <w:rsid w:val="00267CB6"/>
    <w:rsid w:val="002704DB"/>
    <w:rsid w:val="00280B37"/>
    <w:rsid w:val="002A0AAE"/>
    <w:rsid w:val="002A21E7"/>
    <w:rsid w:val="002A5820"/>
    <w:rsid w:val="002B1533"/>
    <w:rsid w:val="002B51C3"/>
    <w:rsid w:val="002D2B26"/>
    <w:rsid w:val="002D5CFE"/>
    <w:rsid w:val="002D7EA2"/>
    <w:rsid w:val="002E187C"/>
    <w:rsid w:val="002E1DE3"/>
    <w:rsid w:val="002E6120"/>
    <w:rsid w:val="002E63D5"/>
    <w:rsid w:val="002F3F8C"/>
    <w:rsid w:val="00302733"/>
    <w:rsid w:val="00305835"/>
    <w:rsid w:val="00306F33"/>
    <w:rsid w:val="00307FD5"/>
    <w:rsid w:val="00311BCB"/>
    <w:rsid w:val="00314078"/>
    <w:rsid w:val="0031535D"/>
    <w:rsid w:val="00315CB8"/>
    <w:rsid w:val="00315E49"/>
    <w:rsid w:val="003214B9"/>
    <w:rsid w:val="003239B8"/>
    <w:rsid w:val="00324DFF"/>
    <w:rsid w:val="00327E39"/>
    <w:rsid w:val="003302AD"/>
    <w:rsid w:val="0033169F"/>
    <w:rsid w:val="00331828"/>
    <w:rsid w:val="0034239A"/>
    <w:rsid w:val="00343A42"/>
    <w:rsid w:val="003440AF"/>
    <w:rsid w:val="00344977"/>
    <w:rsid w:val="003459D0"/>
    <w:rsid w:val="00346202"/>
    <w:rsid w:val="00346C95"/>
    <w:rsid w:val="00346ED7"/>
    <w:rsid w:val="003511D9"/>
    <w:rsid w:val="003557A0"/>
    <w:rsid w:val="00356185"/>
    <w:rsid w:val="00360380"/>
    <w:rsid w:val="0037519E"/>
    <w:rsid w:val="00380267"/>
    <w:rsid w:val="00380295"/>
    <w:rsid w:val="00383C6E"/>
    <w:rsid w:val="00386CF0"/>
    <w:rsid w:val="003951BD"/>
    <w:rsid w:val="003B0A77"/>
    <w:rsid w:val="003B3A0B"/>
    <w:rsid w:val="003B70FB"/>
    <w:rsid w:val="003C676B"/>
    <w:rsid w:val="003D3BC2"/>
    <w:rsid w:val="003D67A9"/>
    <w:rsid w:val="003E51E9"/>
    <w:rsid w:val="003E6CA1"/>
    <w:rsid w:val="003E76BF"/>
    <w:rsid w:val="003F41EF"/>
    <w:rsid w:val="003F5154"/>
    <w:rsid w:val="00403BA9"/>
    <w:rsid w:val="00405F9C"/>
    <w:rsid w:val="004065A8"/>
    <w:rsid w:val="00406825"/>
    <w:rsid w:val="004120E7"/>
    <w:rsid w:val="004165C2"/>
    <w:rsid w:val="004205D0"/>
    <w:rsid w:val="004241A0"/>
    <w:rsid w:val="00427B38"/>
    <w:rsid w:val="00441ECB"/>
    <w:rsid w:val="00445193"/>
    <w:rsid w:val="004503E1"/>
    <w:rsid w:val="00453026"/>
    <w:rsid w:val="00462C1B"/>
    <w:rsid w:val="00467B7E"/>
    <w:rsid w:val="00473BB4"/>
    <w:rsid w:val="00477592"/>
    <w:rsid w:val="00486F1C"/>
    <w:rsid w:val="0049419D"/>
    <w:rsid w:val="004A057B"/>
    <w:rsid w:val="004A6A54"/>
    <w:rsid w:val="004B421C"/>
    <w:rsid w:val="004C20D2"/>
    <w:rsid w:val="004C2312"/>
    <w:rsid w:val="004C4B62"/>
    <w:rsid w:val="004C54C9"/>
    <w:rsid w:val="004D4ABA"/>
    <w:rsid w:val="004D6025"/>
    <w:rsid w:val="004D7D64"/>
    <w:rsid w:val="004E013A"/>
    <w:rsid w:val="004E2649"/>
    <w:rsid w:val="004E2862"/>
    <w:rsid w:val="004E5879"/>
    <w:rsid w:val="004F11BC"/>
    <w:rsid w:val="004F1840"/>
    <w:rsid w:val="004F1B17"/>
    <w:rsid w:val="004F626F"/>
    <w:rsid w:val="00501399"/>
    <w:rsid w:val="005047ED"/>
    <w:rsid w:val="005062B3"/>
    <w:rsid w:val="0050633D"/>
    <w:rsid w:val="00507BC4"/>
    <w:rsid w:val="005128E4"/>
    <w:rsid w:val="00513340"/>
    <w:rsid w:val="005133DB"/>
    <w:rsid w:val="00514504"/>
    <w:rsid w:val="00520DE4"/>
    <w:rsid w:val="00521E1F"/>
    <w:rsid w:val="00524546"/>
    <w:rsid w:val="00525560"/>
    <w:rsid w:val="00525759"/>
    <w:rsid w:val="00530DC1"/>
    <w:rsid w:val="00544C49"/>
    <w:rsid w:val="00550749"/>
    <w:rsid w:val="005516A1"/>
    <w:rsid w:val="005559EF"/>
    <w:rsid w:val="005602E2"/>
    <w:rsid w:val="005627DD"/>
    <w:rsid w:val="00563557"/>
    <w:rsid w:val="00565484"/>
    <w:rsid w:val="00573EC9"/>
    <w:rsid w:val="0057402A"/>
    <w:rsid w:val="00576763"/>
    <w:rsid w:val="005771D0"/>
    <w:rsid w:val="0059191A"/>
    <w:rsid w:val="005921FF"/>
    <w:rsid w:val="005949E2"/>
    <w:rsid w:val="00596A5A"/>
    <w:rsid w:val="005A24ED"/>
    <w:rsid w:val="005A6D0E"/>
    <w:rsid w:val="005B039F"/>
    <w:rsid w:val="005B52B0"/>
    <w:rsid w:val="005B6806"/>
    <w:rsid w:val="005C4225"/>
    <w:rsid w:val="005C6DFB"/>
    <w:rsid w:val="005D3D5B"/>
    <w:rsid w:val="005F0DAD"/>
    <w:rsid w:val="005F0F33"/>
    <w:rsid w:val="005F44DD"/>
    <w:rsid w:val="00600DEB"/>
    <w:rsid w:val="006034EE"/>
    <w:rsid w:val="006157CE"/>
    <w:rsid w:val="00627562"/>
    <w:rsid w:val="00627C9F"/>
    <w:rsid w:val="006311E9"/>
    <w:rsid w:val="00632354"/>
    <w:rsid w:val="00635421"/>
    <w:rsid w:val="00635B94"/>
    <w:rsid w:val="00642810"/>
    <w:rsid w:val="00643428"/>
    <w:rsid w:val="00652333"/>
    <w:rsid w:val="00652DC1"/>
    <w:rsid w:val="006644D8"/>
    <w:rsid w:val="006671BB"/>
    <w:rsid w:val="0068009E"/>
    <w:rsid w:val="00692219"/>
    <w:rsid w:val="00693EB9"/>
    <w:rsid w:val="00695BA2"/>
    <w:rsid w:val="006A17D2"/>
    <w:rsid w:val="006A73E6"/>
    <w:rsid w:val="006B2D5C"/>
    <w:rsid w:val="006C0ECF"/>
    <w:rsid w:val="006C4EB1"/>
    <w:rsid w:val="006D010A"/>
    <w:rsid w:val="006E0166"/>
    <w:rsid w:val="006E2FFB"/>
    <w:rsid w:val="006E3BAD"/>
    <w:rsid w:val="006E7B34"/>
    <w:rsid w:val="0070697F"/>
    <w:rsid w:val="007103C4"/>
    <w:rsid w:val="00710BF7"/>
    <w:rsid w:val="00715051"/>
    <w:rsid w:val="00717B9D"/>
    <w:rsid w:val="0072199C"/>
    <w:rsid w:val="00722C9F"/>
    <w:rsid w:val="00723817"/>
    <w:rsid w:val="00724D18"/>
    <w:rsid w:val="007253B8"/>
    <w:rsid w:val="0073352D"/>
    <w:rsid w:val="0073741F"/>
    <w:rsid w:val="0074182F"/>
    <w:rsid w:val="00742FFD"/>
    <w:rsid w:val="00746572"/>
    <w:rsid w:val="007576DB"/>
    <w:rsid w:val="00763B5C"/>
    <w:rsid w:val="0076643F"/>
    <w:rsid w:val="00777F63"/>
    <w:rsid w:val="0079182E"/>
    <w:rsid w:val="00793F1C"/>
    <w:rsid w:val="007A0BAB"/>
    <w:rsid w:val="007A2848"/>
    <w:rsid w:val="007A5817"/>
    <w:rsid w:val="007B05C4"/>
    <w:rsid w:val="007B23C5"/>
    <w:rsid w:val="007B60E9"/>
    <w:rsid w:val="007B6595"/>
    <w:rsid w:val="007B6CC3"/>
    <w:rsid w:val="007B76D3"/>
    <w:rsid w:val="007B7D80"/>
    <w:rsid w:val="007C0D75"/>
    <w:rsid w:val="007C3334"/>
    <w:rsid w:val="007C6179"/>
    <w:rsid w:val="007D2B98"/>
    <w:rsid w:val="007E1139"/>
    <w:rsid w:val="007E21BC"/>
    <w:rsid w:val="007E6888"/>
    <w:rsid w:val="007E7C82"/>
    <w:rsid w:val="007F27FA"/>
    <w:rsid w:val="007F2AA1"/>
    <w:rsid w:val="007F588D"/>
    <w:rsid w:val="00803F1C"/>
    <w:rsid w:val="0080600E"/>
    <w:rsid w:val="0081222D"/>
    <w:rsid w:val="00814688"/>
    <w:rsid w:val="00817612"/>
    <w:rsid w:val="008317B2"/>
    <w:rsid w:val="008338A4"/>
    <w:rsid w:val="00834D49"/>
    <w:rsid w:val="00837C45"/>
    <w:rsid w:val="00841CD0"/>
    <w:rsid w:val="00844730"/>
    <w:rsid w:val="008457C2"/>
    <w:rsid w:val="00847126"/>
    <w:rsid w:val="00847D8A"/>
    <w:rsid w:val="00857A82"/>
    <w:rsid w:val="008616BE"/>
    <w:rsid w:val="00861D65"/>
    <w:rsid w:val="00872CBE"/>
    <w:rsid w:val="00873836"/>
    <w:rsid w:val="00885737"/>
    <w:rsid w:val="00890650"/>
    <w:rsid w:val="008944DC"/>
    <w:rsid w:val="00895F48"/>
    <w:rsid w:val="00897E12"/>
    <w:rsid w:val="008A7E0F"/>
    <w:rsid w:val="008B12F5"/>
    <w:rsid w:val="008B5735"/>
    <w:rsid w:val="008C5E2D"/>
    <w:rsid w:val="008D5FD1"/>
    <w:rsid w:val="008D768D"/>
    <w:rsid w:val="008E0A64"/>
    <w:rsid w:val="008E2546"/>
    <w:rsid w:val="008E3759"/>
    <w:rsid w:val="008E3BFE"/>
    <w:rsid w:val="008E7EBB"/>
    <w:rsid w:val="008F1912"/>
    <w:rsid w:val="008F507D"/>
    <w:rsid w:val="0090270B"/>
    <w:rsid w:val="009041DC"/>
    <w:rsid w:val="0090766C"/>
    <w:rsid w:val="00907E48"/>
    <w:rsid w:val="00917B5A"/>
    <w:rsid w:val="00920A58"/>
    <w:rsid w:val="00920A8C"/>
    <w:rsid w:val="00931F72"/>
    <w:rsid w:val="00934A2C"/>
    <w:rsid w:val="00941FE3"/>
    <w:rsid w:val="009579EB"/>
    <w:rsid w:val="00957C0E"/>
    <w:rsid w:val="009616C9"/>
    <w:rsid w:val="0096706E"/>
    <w:rsid w:val="00974312"/>
    <w:rsid w:val="00974491"/>
    <w:rsid w:val="00974B1B"/>
    <w:rsid w:val="00975C4E"/>
    <w:rsid w:val="00981FBA"/>
    <w:rsid w:val="00982364"/>
    <w:rsid w:val="00983F9D"/>
    <w:rsid w:val="009933A6"/>
    <w:rsid w:val="00997BC5"/>
    <w:rsid w:val="009A28AD"/>
    <w:rsid w:val="009A4F41"/>
    <w:rsid w:val="009B381B"/>
    <w:rsid w:val="009D1753"/>
    <w:rsid w:val="009D2D7C"/>
    <w:rsid w:val="009D7611"/>
    <w:rsid w:val="009E0B61"/>
    <w:rsid w:val="009E53DE"/>
    <w:rsid w:val="009E7F46"/>
    <w:rsid w:val="00A004BB"/>
    <w:rsid w:val="00A11212"/>
    <w:rsid w:val="00A11E44"/>
    <w:rsid w:val="00A13543"/>
    <w:rsid w:val="00A14ECB"/>
    <w:rsid w:val="00A16FC8"/>
    <w:rsid w:val="00A21C0E"/>
    <w:rsid w:val="00A30100"/>
    <w:rsid w:val="00A316F8"/>
    <w:rsid w:val="00A328B3"/>
    <w:rsid w:val="00A34797"/>
    <w:rsid w:val="00A45A96"/>
    <w:rsid w:val="00A50FCF"/>
    <w:rsid w:val="00A528D1"/>
    <w:rsid w:val="00A610CD"/>
    <w:rsid w:val="00A63196"/>
    <w:rsid w:val="00A651B9"/>
    <w:rsid w:val="00A758AA"/>
    <w:rsid w:val="00A84FD3"/>
    <w:rsid w:val="00AA09A2"/>
    <w:rsid w:val="00AA0C1A"/>
    <w:rsid w:val="00AA7996"/>
    <w:rsid w:val="00AB3141"/>
    <w:rsid w:val="00AC19CB"/>
    <w:rsid w:val="00AE5488"/>
    <w:rsid w:val="00AE6F91"/>
    <w:rsid w:val="00AF0434"/>
    <w:rsid w:val="00AF1AF9"/>
    <w:rsid w:val="00AF5571"/>
    <w:rsid w:val="00B0247A"/>
    <w:rsid w:val="00B07341"/>
    <w:rsid w:val="00B20C80"/>
    <w:rsid w:val="00B30539"/>
    <w:rsid w:val="00B314DB"/>
    <w:rsid w:val="00B361F2"/>
    <w:rsid w:val="00B3718B"/>
    <w:rsid w:val="00B3745F"/>
    <w:rsid w:val="00B4632A"/>
    <w:rsid w:val="00B517D9"/>
    <w:rsid w:val="00B51CC4"/>
    <w:rsid w:val="00B52FF9"/>
    <w:rsid w:val="00B530F1"/>
    <w:rsid w:val="00B83158"/>
    <w:rsid w:val="00B8614D"/>
    <w:rsid w:val="00B924C4"/>
    <w:rsid w:val="00B93D7F"/>
    <w:rsid w:val="00BA2401"/>
    <w:rsid w:val="00BA276C"/>
    <w:rsid w:val="00BA27E4"/>
    <w:rsid w:val="00BA7FF7"/>
    <w:rsid w:val="00BB019D"/>
    <w:rsid w:val="00BB306F"/>
    <w:rsid w:val="00BB6B26"/>
    <w:rsid w:val="00BD0FF5"/>
    <w:rsid w:val="00BD4B89"/>
    <w:rsid w:val="00BD5922"/>
    <w:rsid w:val="00BD7CEF"/>
    <w:rsid w:val="00BE3574"/>
    <w:rsid w:val="00BF02CB"/>
    <w:rsid w:val="00BF4929"/>
    <w:rsid w:val="00BF6E78"/>
    <w:rsid w:val="00BF6FD8"/>
    <w:rsid w:val="00C03680"/>
    <w:rsid w:val="00C054DF"/>
    <w:rsid w:val="00C17796"/>
    <w:rsid w:val="00C21762"/>
    <w:rsid w:val="00C21FEF"/>
    <w:rsid w:val="00C23BA4"/>
    <w:rsid w:val="00C24543"/>
    <w:rsid w:val="00C256A2"/>
    <w:rsid w:val="00C25ADB"/>
    <w:rsid w:val="00C313E0"/>
    <w:rsid w:val="00C41B97"/>
    <w:rsid w:val="00C43094"/>
    <w:rsid w:val="00C51515"/>
    <w:rsid w:val="00C5660B"/>
    <w:rsid w:val="00C56831"/>
    <w:rsid w:val="00C6294A"/>
    <w:rsid w:val="00C6501C"/>
    <w:rsid w:val="00C66B72"/>
    <w:rsid w:val="00C721DB"/>
    <w:rsid w:val="00C7545D"/>
    <w:rsid w:val="00C87AC4"/>
    <w:rsid w:val="00C9124E"/>
    <w:rsid w:val="00C9567A"/>
    <w:rsid w:val="00CA6517"/>
    <w:rsid w:val="00CA6CA0"/>
    <w:rsid w:val="00CA7538"/>
    <w:rsid w:val="00CB137C"/>
    <w:rsid w:val="00CB212D"/>
    <w:rsid w:val="00CB2660"/>
    <w:rsid w:val="00CB3748"/>
    <w:rsid w:val="00CC5E90"/>
    <w:rsid w:val="00CC775F"/>
    <w:rsid w:val="00CC7F32"/>
    <w:rsid w:val="00CD046C"/>
    <w:rsid w:val="00CE0487"/>
    <w:rsid w:val="00CE076C"/>
    <w:rsid w:val="00CE206C"/>
    <w:rsid w:val="00CE255C"/>
    <w:rsid w:val="00CE5199"/>
    <w:rsid w:val="00CE5A0E"/>
    <w:rsid w:val="00CE63AA"/>
    <w:rsid w:val="00CE66D5"/>
    <w:rsid w:val="00CF637A"/>
    <w:rsid w:val="00CF7CB1"/>
    <w:rsid w:val="00D059DE"/>
    <w:rsid w:val="00D05ABD"/>
    <w:rsid w:val="00D13FCE"/>
    <w:rsid w:val="00D306D1"/>
    <w:rsid w:val="00D30800"/>
    <w:rsid w:val="00D30A89"/>
    <w:rsid w:val="00D335F4"/>
    <w:rsid w:val="00D34786"/>
    <w:rsid w:val="00D37BFC"/>
    <w:rsid w:val="00D471A2"/>
    <w:rsid w:val="00D47A8E"/>
    <w:rsid w:val="00D52D14"/>
    <w:rsid w:val="00D60E7A"/>
    <w:rsid w:val="00D712D3"/>
    <w:rsid w:val="00D71422"/>
    <w:rsid w:val="00D72DC6"/>
    <w:rsid w:val="00D7558D"/>
    <w:rsid w:val="00D76D5F"/>
    <w:rsid w:val="00D779B7"/>
    <w:rsid w:val="00D81D92"/>
    <w:rsid w:val="00D876F9"/>
    <w:rsid w:val="00D92F63"/>
    <w:rsid w:val="00DA5B75"/>
    <w:rsid w:val="00DA7B5F"/>
    <w:rsid w:val="00DC11E7"/>
    <w:rsid w:val="00DC24E3"/>
    <w:rsid w:val="00DC7023"/>
    <w:rsid w:val="00DC753B"/>
    <w:rsid w:val="00DC769A"/>
    <w:rsid w:val="00DD3D86"/>
    <w:rsid w:val="00DD4AD2"/>
    <w:rsid w:val="00DE0A58"/>
    <w:rsid w:val="00DE1799"/>
    <w:rsid w:val="00DE1C84"/>
    <w:rsid w:val="00DE2862"/>
    <w:rsid w:val="00DF1EC4"/>
    <w:rsid w:val="00E0340B"/>
    <w:rsid w:val="00E04A90"/>
    <w:rsid w:val="00E0551F"/>
    <w:rsid w:val="00E07189"/>
    <w:rsid w:val="00E12EC4"/>
    <w:rsid w:val="00E219C7"/>
    <w:rsid w:val="00E2321A"/>
    <w:rsid w:val="00E25C8F"/>
    <w:rsid w:val="00E34E6B"/>
    <w:rsid w:val="00E40E47"/>
    <w:rsid w:val="00E4118C"/>
    <w:rsid w:val="00E43157"/>
    <w:rsid w:val="00E461CE"/>
    <w:rsid w:val="00E47B9C"/>
    <w:rsid w:val="00E504C6"/>
    <w:rsid w:val="00E573E4"/>
    <w:rsid w:val="00E5784D"/>
    <w:rsid w:val="00E64C3D"/>
    <w:rsid w:val="00E720CA"/>
    <w:rsid w:val="00E80E53"/>
    <w:rsid w:val="00E84EB5"/>
    <w:rsid w:val="00E85662"/>
    <w:rsid w:val="00E8789F"/>
    <w:rsid w:val="00E8795E"/>
    <w:rsid w:val="00E97B71"/>
    <w:rsid w:val="00EA3D34"/>
    <w:rsid w:val="00EB454D"/>
    <w:rsid w:val="00EB77C7"/>
    <w:rsid w:val="00EC1A95"/>
    <w:rsid w:val="00EC6485"/>
    <w:rsid w:val="00EC7FB3"/>
    <w:rsid w:val="00ED549D"/>
    <w:rsid w:val="00ED5E10"/>
    <w:rsid w:val="00ED76BE"/>
    <w:rsid w:val="00EE00E9"/>
    <w:rsid w:val="00EE0381"/>
    <w:rsid w:val="00EE36C0"/>
    <w:rsid w:val="00EE47E5"/>
    <w:rsid w:val="00EF1AAA"/>
    <w:rsid w:val="00EF5915"/>
    <w:rsid w:val="00EF619B"/>
    <w:rsid w:val="00F00B55"/>
    <w:rsid w:val="00F02249"/>
    <w:rsid w:val="00F02AD1"/>
    <w:rsid w:val="00F049A2"/>
    <w:rsid w:val="00F17870"/>
    <w:rsid w:val="00F253CC"/>
    <w:rsid w:val="00F37106"/>
    <w:rsid w:val="00F44E25"/>
    <w:rsid w:val="00F470FB"/>
    <w:rsid w:val="00F519CF"/>
    <w:rsid w:val="00F56BA5"/>
    <w:rsid w:val="00F60C89"/>
    <w:rsid w:val="00F60E22"/>
    <w:rsid w:val="00F77C3C"/>
    <w:rsid w:val="00F80D59"/>
    <w:rsid w:val="00F81395"/>
    <w:rsid w:val="00F81BB8"/>
    <w:rsid w:val="00F8227D"/>
    <w:rsid w:val="00F90C64"/>
    <w:rsid w:val="00F917D1"/>
    <w:rsid w:val="00F9653B"/>
    <w:rsid w:val="00F968DE"/>
    <w:rsid w:val="00FA1C6C"/>
    <w:rsid w:val="00FA5B5F"/>
    <w:rsid w:val="00FB08B6"/>
    <w:rsid w:val="00FB62CF"/>
    <w:rsid w:val="00FC6219"/>
    <w:rsid w:val="00FD3C3B"/>
    <w:rsid w:val="00FE07DD"/>
    <w:rsid w:val="00FE4F3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9579EB"/>
    <w:rPr>
      <w:sz w:val="16"/>
      <w:szCs w:val="16"/>
    </w:rPr>
  </w:style>
  <w:style w:type="paragraph" w:styleId="CommentText">
    <w:name w:val="annotation text"/>
    <w:basedOn w:val="Normal"/>
    <w:link w:val="CommentTextChar"/>
    <w:uiPriority w:val="99"/>
    <w:unhideWhenUsed/>
    <w:rsid w:val="009579EB"/>
    <w:rPr>
      <w:sz w:val="20"/>
      <w:szCs w:val="20"/>
    </w:rPr>
  </w:style>
  <w:style w:type="character" w:customStyle="1" w:styleId="CommentTextChar">
    <w:name w:val="Comment Text Char"/>
    <w:basedOn w:val="DefaultParagraphFont"/>
    <w:link w:val="CommentText"/>
    <w:uiPriority w:val="99"/>
    <w:rsid w:val="009579EB"/>
    <w:rPr>
      <w:lang w:val="en-US" w:eastAsia="en-US"/>
    </w:rPr>
  </w:style>
  <w:style w:type="paragraph" w:styleId="CommentSubject">
    <w:name w:val="annotation subject"/>
    <w:basedOn w:val="CommentText"/>
    <w:next w:val="CommentText"/>
    <w:link w:val="CommentSubjectChar"/>
    <w:uiPriority w:val="99"/>
    <w:semiHidden/>
    <w:unhideWhenUsed/>
    <w:rsid w:val="009579EB"/>
    <w:rPr>
      <w:b/>
      <w:bCs/>
    </w:rPr>
  </w:style>
  <w:style w:type="character" w:customStyle="1" w:styleId="CommentSubjectChar">
    <w:name w:val="Comment Subject Char"/>
    <w:basedOn w:val="CommentTextChar"/>
    <w:link w:val="CommentSubject"/>
    <w:uiPriority w:val="99"/>
    <w:semiHidden/>
    <w:rsid w:val="009579EB"/>
    <w:rPr>
      <w:b/>
      <w:bCs/>
      <w:lang w:val="en-US" w:eastAsia="en-US"/>
    </w:rPr>
  </w:style>
  <w:style w:type="paragraph" w:customStyle="1" w:styleId="paragraph">
    <w:name w:val="paragraph"/>
    <w:basedOn w:val="Normal"/>
    <w:rsid w:val="000549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54945"/>
  </w:style>
  <w:style w:type="character" w:customStyle="1" w:styleId="eop">
    <w:name w:val="eop"/>
    <w:basedOn w:val="DefaultParagraphFont"/>
    <w:rsid w:val="0005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9732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1658105">
      <w:bodyDiv w:val="1"/>
      <w:marLeft w:val="0"/>
      <w:marRight w:val="0"/>
      <w:marTop w:val="0"/>
      <w:marBottom w:val="0"/>
      <w:divBdr>
        <w:top w:val="none" w:sz="0" w:space="0" w:color="auto"/>
        <w:left w:val="none" w:sz="0" w:space="0" w:color="auto"/>
        <w:bottom w:val="none" w:sz="0" w:space="0" w:color="auto"/>
        <w:right w:val="none" w:sz="0" w:space="0" w:color="auto"/>
      </w:divBdr>
    </w:div>
    <w:div w:id="168154647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9537584">
      <w:bodyDiv w:val="1"/>
      <w:marLeft w:val="0"/>
      <w:marRight w:val="0"/>
      <w:marTop w:val="0"/>
      <w:marBottom w:val="0"/>
      <w:divBdr>
        <w:top w:val="none" w:sz="0" w:space="0" w:color="auto"/>
        <w:left w:val="none" w:sz="0" w:space="0" w:color="auto"/>
        <w:bottom w:val="none" w:sz="0" w:space="0" w:color="auto"/>
        <w:right w:val="none" w:sz="0" w:space="0" w:color="auto"/>
      </w:divBdr>
    </w:div>
    <w:div w:id="211388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925EB"/>
    <w:rsid w:val="00200821"/>
    <w:rsid w:val="0025245B"/>
    <w:rsid w:val="002A3923"/>
    <w:rsid w:val="00394049"/>
    <w:rsid w:val="003B0C71"/>
    <w:rsid w:val="004B5BBB"/>
    <w:rsid w:val="004F2DF8"/>
    <w:rsid w:val="00503DB2"/>
    <w:rsid w:val="00517E2A"/>
    <w:rsid w:val="005A5658"/>
    <w:rsid w:val="006A3682"/>
    <w:rsid w:val="006D12AA"/>
    <w:rsid w:val="006F24A1"/>
    <w:rsid w:val="00875B8A"/>
    <w:rsid w:val="008E5251"/>
    <w:rsid w:val="00934101"/>
    <w:rsid w:val="009A261B"/>
    <w:rsid w:val="009F445E"/>
    <w:rsid w:val="00AA2E17"/>
    <w:rsid w:val="00AC15A4"/>
    <w:rsid w:val="00B0336C"/>
    <w:rsid w:val="00C71D26"/>
    <w:rsid w:val="00CA4D00"/>
    <w:rsid w:val="00D241E9"/>
    <w:rsid w:val="00D7750D"/>
    <w:rsid w:val="00EB104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4046</Words>
  <Characters>23065</Characters>
  <Application>Microsoft Office Word</Application>
  <DocSecurity>0</DocSecurity>
  <Lines>192</Lines>
  <Paragraphs>54</Paragraphs>
  <ScaleCrop>false</ScaleCrop>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2024-01-02T20:42:00Z</dcterms:created>
  <dcterms:modified xsi:type="dcterms:W3CDTF">2024-01-02T20:42:00Z</dcterms:modified>
</cp:coreProperties>
</file>