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32361" w:rsidRDefault="00D306D1" w:rsidP="00627C9F">
      <w:pPr>
        <w:jc w:val="both"/>
        <w:rPr>
          <w:rFonts w:asciiTheme="majorHAnsi" w:hAnsiTheme="majorHAnsi" w:cs="Univers"/>
          <w:b/>
          <w:bCs/>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BD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32361">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32361">
        <w:rPr>
          <w:rFonts w:asciiTheme="majorHAnsi" w:hAnsiTheme="majorHAnsi" w:cs="Univers"/>
          <w:b/>
          <w:bCs/>
          <w:sz w:val="22"/>
          <w:szCs w:val="22"/>
          <w:lang w:val="es-419"/>
        </w:rPr>
        <w:t xml:space="preserve"> </w:t>
      </w:r>
    </w:p>
    <w:p w14:paraId="751BC92D"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832361" w:rsidRDefault="005128E4" w:rsidP="00040C3A">
      <w:pPr>
        <w:tabs>
          <w:tab w:val="center" w:pos="5400"/>
        </w:tabs>
        <w:suppressAutoHyphens/>
        <w:rPr>
          <w:rFonts w:asciiTheme="majorHAnsi" w:hAnsiTheme="majorHAnsi"/>
          <w:sz w:val="22"/>
          <w:szCs w:val="22"/>
          <w:lang w:val="es-419"/>
        </w:rPr>
      </w:pPr>
    </w:p>
    <w:p w14:paraId="7F51F08B" w14:textId="77777777" w:rsidR="005128E4" w:rsidRPr="00832361" w:rsidRDefault="005128E4" w:rsidP="00040C3A">
      <w:pPr>
        <w:tabs>
          <w:tab w:val="center" w:pos="5400"/>
        </w:tabs>
        <w:suppressAutoHyphens/>
        <w:rPr>
          <w:rFonts w:asciiTheme="majorHAnsi" w:hAnsiTheme="majorHAnsi"/>
          <w:sz w:val="22"/>
          <w:szCs w:val="22"/>
          <w:lang w:val="es-419"/>
        </w:rPr>
      </w:pPr>
    </w:p>
    <w:p w14:paraId="058606A7" w14:textId="77777777" w:rsidR="005128E4" w:rsidRPr="00832361" w:rsidRDefault="005128E4" w:rsidP="00040C3A">
      <w:pPr>
        <w:tabs>
          <w:tab w:val="center" w:pos="5400"/>
        </w:tabs>
        <w:suppressAutoHyphens/>
        <w:rPr>
          <w:rFonts w:asciiTheme="majorHAnsi" w:hAnsiTheme="majorHAnsi"/>
          <w:sz w:val="22"/>
          <w:szCs w:val="22"/>
          <w:lang w:val="es-419"/>
        </w:rPr>
      </w:pPr>
    </w:p>
    <w:p w14:paraId="01B9D56A"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832361" w:rsidRDefault="003D3BC2" w:rsidP="00040C3A">
      <w:pPr>
        <w:tabs>
          <w:tab w:val="center" w:pos="5400"/>
        </w:tabs>
        <w:suppressAutoHyphens/>
        <w:jc w:val="center"/>
        <w:rPr>
          <w:rFonts w:asciiTheme="majorHAnsi" w:hAnsiTheme="majorHAnsi"/>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51695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5241">
                              <w:rPr>
                                <w:rFonts w:asciiTheme="majorHAnsi" w:hAnsiTheme="majorHAnsi" w:cs="Arial"/>
                                <w:b/>
                                <w:bCs/>
                                <w:color w:val="0D0D0D" w:themeColor="text1" w:themeTint="F2"/>
                                <w:sz w:val="36"/>
                                <w:szCs w:val="22"/>
                                <w:lang w:val="es-ES_tradnl"/>
                              </w:rPr>
                              <w:t>227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1A168D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33D7">
                              <w:rPr>
                                <w:rFonts w:asciiTheme="majorHAnsi" w:hAnsiTheme="majorHAnsi" w:cs="Arial"/>
                                <w:b/>
                                <w:color w:val="0D0D0D" w:themeColor="text1" w:themeTint="F2"/>
                                <w:sz w:val="36"/>
                                <w:szCs w:val="22"/>
                                <w:lang w:val="es-ES_tradnl"/>
                              </w:rPr>
                              <w:t>56</w:t>
                            </w:r>
                            <w:r w:rsidR="00540616">
                              <w:rPr>
                                <w:rFonts w:asciiTheme="majorHAnsi" w:hAnsiTheme="majorHAnsi" w:cs="Arial"/>
                                <w:b/>
                                <w:color w:val="0D0D0D" w:themeColor="text1" w:themeTint="F2"/>
                                <w:sz w:val="36"/>
                                <w:szCs w:val="22"/>
                                <w:lang w:val="es-ES_tradnl"/>
                              </w:rPr>
                              <w:t>-1</w:t>
                            </w:r>
                            <w:r w:rsidR="004D33D7">
                              <w:rPr>
                                <w:rFonts w:asciiTheme="majorHAnsi" w:hAnsiTheme="majorHAnsi" w:cs="Arial"/>
                                <w:b/>
                                <w:color w:val="0D0D0D" w:themeColor="text1" w:themeTint="F2"/>
                                <w:sz w:val="36"/>
                                <w:szCs w:val="22"/>
                                <w:lang w:val="es-ES_tradnl"/>
                              </w:rPr>
                              <w:t>6</w:t>
                            </w:r>
                          </w:p>
                          <w:p w14:paraId="188B4303" w14:textId="77F528C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10B3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FFF063" w14:textId="62A09E0D" w:rsidR="005C606E" w:rsidRPr="004D33D7" w:rsidRDefault="004D33D7" w:rsidP="005C606E">
                            <w:pPr>
                              <w:rPr>
                                <w:rFonts w:asciiTheme="majorHAnsi" w:hAnsiTheme="majorHAnsi" w:cs="Arial"/>
                                <w:color w:val="0D0D0D" w:themeColor="text1" w:themeTint="F2"/>
                                <w:szCs w:val="22"/>
                                <w:lang w:val="pt-BR"/>
                              </w:rPr>
                            </w:pPr>
                            <w:r w:rsidRPr="004D33D7">
                              <w:rPr>
                                <w:rFonts w:asciiTheme="majorHAnsi" w:hAnsiTheme="majorHAnsi" w:cs="Arial"/>
                                <w:color w:val="0D0D0D" w:themeColor="text1" w:themeTint="F2"/>
                                <w:szCs w:val="22"/>
                                <w:lang w:val="pt-BR"/>
                              </w:rPr>
                              <w:t>MARISELMA MARQUES COSTA Y FAM</w:t>
                            </w:r>
                            <w:r>
                              <w:rPr>
                                <w:rFonts w:asciiTheme="majorHAnsi" w:hAnsiTheme="majorHAnsi" w:cs="Arial"/>
                                <w:color w:val="0D0D0D" w:themeColor="text1" w:themeTint="F2"/>
                                <w:szCs w:val="22"/>
                                <w:lang w:val="pt-BR"/>
                              </w:rPr>
                              <w:t>ILIARES</w:t>
                            </w:r>
                          </w:p>
                          <w:p w14:paraId="0B9F7D22" w14:textId="2347C9B3"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516957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5241">
                        <w:rPr>
                          <w:rFonts w:asciiTheme="majorHAnsi" w:hAnsiTheme="majorHAnsi" w:cs="Arial"/>
                          <w:b/>
                          <w:bCs/>
                          <w:color w:val="0D0D0D" w:themeColor="text1" w:themeTint="F2"/>
                          <w:sz w:val="36"/>
                          <w:szCs w:val="22"/>
                          <w:lang w:val="es-ES_tradnl"/>
                        </w:rPr>
                        <w:t>227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1A168DF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33D7">
                        <w:rPr>
                          <w:rFonts w:asciiTheme="majorHAnsi" w:hAnsiTheme="majorHAnsi" w:cs="Arial"/>
                          <w:b/>
                          <w:color w:val="0D0D0D" w:themeColor="text1" w:themeTint="F2"/>
                          <w:sz w:val="36"/>
                          <w:szCs w:val="22"/>
                          <w:lang w:val="es-ES_tradnl"/>
                        </w:rPr>
                        <w:t>56</w:t>
                      </w:r>
                      <w:r w:rsidR="00540616">
                        <w:rPr>
                          <w:rFonts w:asciiTheme="majorHAnsi" w:hAnsiTheme="majorHAnsi" w:cs="Arial"/>
                          <w:b/>
                          <w:color w:val="0D0D0D" w:themeColor="text1" w:themeTint="F2"/>
                          <w:sz w:val="36"/>
                          <w:szCs w:val="22"/>
                          <w:lang w:val="es-ES_tradnl"/>
                        </w:rPr>
                        <w:t>-1</w:t>
                      </w:r>
                      <w:r w:rsidR="004D33D7">
                        <w:rPr>
                          <w:rFonts w:asciiTheme="majorHAnsi" w:hAnsiTheme="majorHAnsi" w:cs="Arial"/>
                          <w:b/>
                          <w:color w:val="0D0D0D" w:themeColor="text1" w:themeTint="F2"/>
                          <w:sz w:val="36"/>
                          <w:szCs w:val="22"/>
                          <w:lang w:val="es-ES_tradnl"/>
                        </w:rPr>
                        <w:t>6</w:t>
                      </w:r>
                    </w:p>
                    <w:p w14:paraId="188B4303" w14:textId="77F528C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10B3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FFF063" w14:textId="62A09E0D" w:rsidR="005C606E" w:rsidRPr="004D33D7" w:rsidRDefault="004D33D7" w:rsidP="005C606E">
                      <w:pPr>
                        <w:rPr>
                          <w:rFonts w:asciiTheme="majorHAnsi" w:hAnsiTheme="majorHAnsi" w:cs="Arial"/>
                          <w:color w:val="0D0D0D" w:themeColor="text1" w:themeTint="F2"/>
                          <w:szCs w:val="22"/>
                          <w:lang w:val="pt-BR"/>
                        </w:rPr>
                      </w:pPr>
                      <w:r w:rsidRPr="004D33D7">
                        <w:rPr>
                          <w:rFonts w:asciiTheme="majorHAnsi" w:hAnsiTheme="majorHAnsi" w:cs="Arial"/>
                          <w:color w:val="0D0D0D" w:themeColor="text1" w:themeTint="F2"/>
                          <w:szCs w:val="22"/>
                          <w:lang w:val="pt-BR"/>
                        </w:rPr>
                        <w:t>MARISELMA MARQUES COSTA Y FAM</w:t>
                      </w:r>
                      <w:r>
                        <w:rPr>
                          <w:rFonts w:asciiTheme="majorHAnsi" w:hAnsiTheme="majorHAnsi" w:cs="Arial"/>
                          <w:color w:val="0D0D0D" w:themeColor="text1" w:themeTint="F2"/>
                          <w:szCs w:val="22"/>
                          <w:lang w:val="pt-BR"/>
                        </w:rPr>
                        <w:t>ILIARES</w:t>
                      </w:r>
                    </w:p>
                    <w:p w14:paraId="0B9F7D22" w14:textId="2347C9B3"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 xml:space="preserve">BRASIL </w:t>
                      </w:r>
                    </w:p>
                  </w:txbxContent>
                </v:textbox>
              </v:shape>
            </w:pict>
          </mc:Fallback>
        </mc:AlternateContent>
      </w:r>
      <w:r w:rsidR="004E2649" w:rsidRPr="00832361">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30C86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23511D2" w:rsidR="00627C9F" w:rsidRPr="00305241" w:rsidRDefault="00627C9F" w:rsidP="007A5817">
                            <w:pPr>
                              <w:spacing w:line="276" w:lineRule="auto"/>
                              <w:jc w:val="right"/>
                              <w:rPr>
                                <w:rFonts w:asciiTheme="minorHAnsi" w:hAnsiTheme="minorHAnsi"/>
                                <w:color w:val="FFFFFF" w:themeColor="background1"/>
                                <w:sz w:val="22"/>
                                <w:lang w:val="es-AR"/>
                              </w:rPr>
                            </w:pPr>
                            <w:r w:rsidRPr="00305241">
                              <w:rPr>
                                <w:rFonts w:asciiTheme="minorHAnsi" w:hAnsiTheme="minorHAnsi"/>
                                <w:color w:val="FFFFFF" w:themeColor="background1"/>
                                <w:sz w:val="22"/>
                                <w:lang w:val="es-AR"/>
                              </w:rPr>
                              <w:t xml:space="preserve">Doc. </w:t>
                            </w:r>
                            <w:r w:rsidR="00305241">
                              <w:rPr>
                                <w:rFonts w:asciiTheme="minorHAnsi" w:hAnsiTheme="minorHAnsi"/>
                                <w:color w:val="FFFFFF" w:themeColor="background1"/>
                                <w:sz w:val="22"/>
                                <w:lang w:val="es-AR"/>
                              </w:rPr>
                              <w:t>246</w:t>
                            </w:r>
                          </w:p>
                          <w:p w14:paraId="4061DBBD" w14:textId="129E091F" w:rsidR="00627C9F" w:rsidRPr="00C25ADB" w:rsidRDefault="003052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330C86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23511D2" w:rsidR="00627C9F" w:rsidRPr="00305241" w:rsidRDefault="00627C9F" w:rsidP="007A5817">
                      <w:pPr>
                        <w:spacing w:line="276" w:lineRule="auto"/>
                        <w:jc w:val="right"/>
                        <w:rPr>
                          <w:rFonts w:asciiTheme="minorHAnsi" w:hAnsiTheme="minorHAnsi"/>
                          <w:color w:val="FFFFFF" w:themeColor="background1"/>
                          <w:sz w:val="22"/>
                          <w:lang w:val="es-AR"/>
                        </w:rPr>
                      </w:pPr>
                      <w:r w:rsidRPr="00305241">
                        <w:rPr>
                          <w:rFonts w:asciiTheme="minorHAnsi" w:hAnsiTheme="minorHAnsi"/>
                          <w:color w:val="FFFFFF" w:themeColor="background1"/>
                          <w:sz w:val="22"/>
                          <w:lang w:val="es-AR"/>
                        </w:rPr>
                        <w:t xml:space="preserve">Doc. </w:t>
                      </w:r>
                      <w:r w:rsidR="00305241">
                        <w:rPr>
                          <w:rFonts w:asciiTheme="minorHAnsi" w:hAnsiTheme="minorHAnsi"/>
                          <w:color w:val="FFFFFF" w:themeColor="background1"/>
                          <w:sz w:val="22"/>
                          <w:lang w:val="es-AR"/>
                        </w:rPr>
                        <w:t>246</w:t>
                      </w:r>
                    </w:p>
                    <w:p w14:paraId="4061DBBD" w14:textId="129E091F" w:rsidR="00627C9F" w:rsidRPr="00C25ADB" w:rsidRDefault="003052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832361"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96AE6A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524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305241">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96AE6A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5241">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305241">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F602B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5241" w:rsidRPr="00305241">
                              <w:rPr>
                                <w:rFonts w:asciiTheme="majorHAnsi" w:hAnsiTheme="majorHAnsi"/>
                                <w:color w:val="595959" w:themeColor="text1" w:themeTint="A6"/>
                                <w:sz w:val="18"/>
                                <w:szCs w:val="18"/>
                                <w:lang w:val="pt-BR"/>
                              </w:rPr>
                              <w:t>227</w:t>
                            </w:r>
                            <w:r w:rsidR="007B05C4" w:rsidRPr="00305241">
                              <w:rPr>
                                <w:rFonts w:asciiTheme="majorHAnsi" w:hAnsiTheme="majorHAnsi"/>
                                <w:color w:val="595959" w:themeColor="text1" w:themeTint="A6"/>
                                <w:sz w:val="18"/>
                                <w:szCs w:val="18"/>
                                <w:lang w:val="pt-BR"/>
                              </w:rPr>
                              <w:t>/</w:t>
                            </w:r>
                            <w:r w:rsidR="00305241" w:rsidRPr="00305241">
                              <w:rPr>
                                <w:rFonts w:asciiTheme="majorHAnsi" w:hAnsiTheme="majorHAnsi"/>
                                <w:color w:val="595959" w:themeColor="text1" w:themeTint="A6"/>
                                <w:sz w:val="18"/>
                                <w:szCs w:val="18"/>
                                <w:lang w:val="pt-BR"/>
                              </w:rPr>
                              <w:t>23</w:t>
                            </w:r>
                            <w:r w:rsidRPr="003052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33D7">
                              <w:rPr>
                                <w:rFonts w:asciiTheme="majorHAnsi" w:hAnsiTheme="majorHAnsi"/>
                                <w:color w:val="595959" w:themeColor="text1" w:themeTint="A6"/>
                                <w:sz w:val="18"/>
                                <w:szCs w:val="18"/>
                                <w:lang w:val="es-ES"/>
                              </w:rPr>
                              <w:t>56-16</w:t>
                            </w:r>
                            <w:r w:rsidR="000433C9">
                              <w:rPr>
                                <w:rFonts w:asciiTheme="majorHAnsi" w:hAnsiTheme="majorHAnsi"/>
                                <w:color w:val="595959" w:themeColor="text1" w:themeTint="A6"/>
                                <w:sz w:val="18"/>
                                <w:szCs w:val="18"/>
                                <w:lang w:val="es-ES"/>
                              </w:rPr>
                              <w:t xml:space="preserve">. </w:t>
                            </w:r>
                            <w:r w:rsidR="004D33D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4D33D7">
                              <w:rPr>
                                <w:rFonts w:asciiTheme="majorHAnsi" w:hAnsiTheme="majorHAnsi"/>
                                <w:color w:val="595959" w:themeColor="text1" w:themeTint="A6"/>
                                <w:sz w:val="18"/>
                                <w:szCs w:val="18"/>
                                <w:lang w:val="es-ES_tradnl"/>
                              </w:rPr>
                              <w:t>Mariselma Marques Costa y familiares</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305241">
                              <w:rPr>
                                <w:rFonts w:asciiTheme="majorHAnsi" w:hAnsiTheme="majorHAnsi"/>
                                <w:color w:val="595959" w:themeColor="text1" w:themeTint="A6"/>
                                <w:sz w:val="18"/>
                                <w:szCs w:val="18"/>
                                <w:lang w:val="es-ES_tradnl"/>
                              </w:rPr>
                              <w:t>20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F602B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5241" w:rsidRPr="00305241">
                        <w:rPr>
                          <w:rFonts w:asciiTheme="majorHAnsi" w:hAnsiTheme="majorHAnsi"/>
                          <w:color w:val="595959" w:themeColor="text1" w:themeTint="A6"/>
                          <w:sz w:val="18"/>
                          <w:szCs w:val="18"/>
                          <w:lang w:val="pt-BR"/>
                        </w:rPr>
                        <w:t>227</w:t>
                      </w:r>
                      <w:r w:rsidR="007B05C4" w:rsidRPr="00305241">
                        <w:rPr>
                          <w:rFonts w:asciiTheme="majorHAnsi" w:hAnsiTheme="majorHAnsi"/>
                          <w:color w:val="595959" w:themeColor="text1" w:themeTint="A6"/>
                          <w:sz w:val="18"/>
                          <w:szCs w:val="18"/>
                          <w:lang w:val="pt-BR"/>
                        </w:rPr>
                        <w:t>/</w:t>
                      </w:r>
                      <w:r w:rsidR="00305241" w:rsidRPr="00305241">
                        <w:rPr>
                          <w:rFonts w:asciiTheme="majorHAnsi" w:hAnsiTheme="majorHAnsi"/>
                          <w:color w:val="595959" w:themeColor="text1" w:themeTint="A6"/>
                          <w:sz w:val="18"/>
                          <w:szCs w:val="18"/>
                          <w:lang w:val="pt-BR"/>
                        </w:rPr>
                        <w:t>23</w:t>
                      </w:r>
                      <w:r w:rsidRPr="003052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D33D7">
                        <w:rPr>
                          <w:rFonts w:asciiTheme="majorHAnsi" w:hAnsiTheme="majorHAnsi"/>
                          <w:color w:val="595959" w:themeColor="text1" w:themeTint="A6"/>
                          <w:sz w:val="18"/>
                          <w:szCs w:val="18"/>
                          <w:lang w:val="es-ES"/>
                        </w:rPr>
                        <w:t>56-16</w:t>
                      </w:r>
                      <w:r w:rsidR="000433C9">
                        <w:rPr>
                          <w:rFonts w:asciiTheme="majorHAnsi" w:hAnsiTheme="majorHAnsi"/>
                          <w:color w:val="595959" w:themeColor="text1" w:themeTint="A6"/>
                          <w:sz w:val="18"/>
                          <w:szCs w:val="18"/>
                          <w:lang w:val="es-ES"/>
                        </w:rPr>
                        <w:t xml:space="preserve">. </w:t>
                      </w:r>
                      <w:r w:rsidR="004D33D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4D33D7">
                        <w:rPr>
                          <w:rFonts w:asciiTheme="majorHAnsi" w:hAnsiTheme="majorHAnsi"/>
                          <w:color w:val="595959" w:themeColor="text1" w:themeTint="A6"/>
                          <w:sz w:val="18"/>
                          <w:szCs w:val="18"/>
                          <w:lang w:val="es-ES_tradnl"/>
                        </w:rPr>
                        <w:t>Mariselma Marques Costa y familiares</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305241">
                        <w:rPr>
                          <w:rFonts w:asciiTheme="majorHAnsi" w:hAnsiTheme="majorHAnsi"/>
                          <w:color w:val="595959" w:themeColor="text1" w:themeTint="A6"/>
                          <w:sz w:val="18"/>
                          <w:szCs w:val="18"/>
                          <w:lang w:val="es-ES_tradnl"/>
                        </w:rPr>
                        <w:t>20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832361" w:rsidRDefault="00D306D1" w:rsidP="005516A1">
      <w:pPr>
        <w:tabs>
          <w:tab w:val="center" w:pos="5400"/>
        </w:tabs>
        <w:suppressAutoHyphens/>
        <w:jc w:val="center"/>
        <w:rPr>
          <w:rFonts w:asciiTheme="majorHAnsi" w:hAnsiTheme="majorHAnsi"/>
          <w:b/>
          <w:sz w:val="20"/>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32361">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32361" w:rsidRDefault="004A6A54" w:rsidP="005516A1">
      <w:pPr>
        <w:tabs>
          <w:tab w:val="center" w:pos="5400"/>
        </w:tabs>
        <w:suppressAutoHyphens/>
        <w:jc w:val="center"/>
        <w:rPr>
          <w:rFonts w:asciiTheme="majorHAnsi" w:hAnsiTheme="majorHAnsi"/>
          <w:b/>
          <w:sz w:val="20"/>
          <w:lang w:val="es-419"/>
        </w:rPr>
        <w:sectPr w:rsidR="0070697F" w:rsidRPr="0083236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2361">
        <w:rPr>
          <w:rFonts w:asciiTheme="majorHAnsi" w:hAnsiTheme="majorHAnsi"/>
          <w:b/>
          <w:sz w:val="20"/>
          <w:lang w:val="es-419"/>
        </w:rPr>
        <w:tab/>
      </w:r>
    </w:p>
    <w:p w14:paraId="2786EE58" w14:textId="77777777" w:rsidR="003239B8" w:rsidRPr="00832361" w:rsidRDefault="003239B8" w:rsidP="004A6A54">
      <w:pPr>
        <w:spacing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I.</w:t>
      </w:r>
      <w:r w:rsidRPr="00832361">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301D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Parte peticionaria:</w:t>
            </w:r>
          </w:p>
        </w:tc>
        <w:tc>
          <w:tcPr>
            <w:tcW w:w="5760" w:type="dxa"/>
            <w:vAlign w:val="center"/>
          </w:tcPr>
          <w:p w14:paraId="07DAAE2E" w14:textId="2EFD853E" w:rsidR="003239B8" w:rsidRPr="002301DC" w:rsidRDefault="004D33D7" w:rsidP="008D2290">
            <w:pPr>
              <w:jc w:val="both"/>
              <w:rPr>
                <w:rFonts w:ascii="Cambria" w:hAnsi="Cambria"/>
                <w:bCs/>
                <w:sz w:val="20"/>
                <w:szCs w:val="20"/>
                <w:lang w:val="pt-BR"/>
              </w:rPr>
            </w:pPr>
            <w:r>
              <w:rPr>
                <w:rFonts w:ascii="Cambria" w:hAnsi="Cambria"/>
                <w:bCs/>
                <w:sz w:val="20"/>
                <w:szCs w:val="20"/>
                <w:lang w:val="es-ES_tradnl"/>
              </w:rPr>
              <w:t>Mariselma Marques Costa</w:t>
            </w:r>
          </w:p>
        </w:tc>
      </w:tr>
      <w:tr w:rsidR="003239B8" w:rsidRPr="004D33D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5EBCEA4" w:rsidR="003239B8" w:rsidRPr="00832361" w:rsidRDefault="00F327B1"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127B9">
                  <w:rPr>
                    <w:rFonts w:ascii="Cambria" w:hAnsi="Cambria"/>
                    <w:b/>
                    <w:bCs/>
                    <w:color w:val="FFFFFF" w:themeColor="background1"/>
                    <w:sz w:val="20"/>
                    <w:szCs w:val="20"/>
                    <w:lang w:val="es-419"/>
                  </w:rPr>
                  <w:t>Presuntas víctimas</w:t>
                </w:r>
              </w:sdtContent>
            </w:sdt>
            <w:r w:rsidR="003239B8" w:rsidRPr="00832361">
              <w:rPr>
                <w:rFonts w:ascii="Cambria" w:hAnsi="Cambria"/>
                <w:b/>
                <w:bCs/>
                <w:color w:val="FFFFFF" w:themeColor="background1"/>
                <w:sz w:val="20"/>
                <w:szCs w:val="20"/>
                <w:lang w:val="es-419"/>
              </w:rPr>
              <w:t>:</w:t>
            </w:r>
          </w:p>
        </w:tc>
        <w:tc>
          <w:tcPr>
            <w:tcW w:w="5760" w:type="dxa"/>
            <w:vAlign w:val="center"/>
          </w:tcPr>
          <w:p w14:paraId="143D44A8" w14:textId="6521147D" w:rsidR="001D21C7" w:rsidRPr="00ED0C8D" w:rsidRDefault="004D33D7" w:rsidP="00FC6219">
            <w:pPr>
              <w:jc w:val="both"/>
              <w:rPr>
                <w:rFonts w:ascii="Cambria" w:hAnsi="Cambria"/>
                <w:bCs/>
                <w:sz w:val="20"/>
                <w:szCs w:val="20"/>
                <w:lang w:val="es-ES_tradnl"/>
              </w:rPr>
            </w:pPr>
            <w:r>
              <w:rPr>
                <w:rFonts w:ascii="Cambria" w:hAnsi="Cambria"/>
                <w:bCs/>
                <w:sz w:val="20"/>
                <w:szCs w:val="20"/>
                <w:lang w:val="es-ES_tradnl"/>
              </w:rPr>
              <w:t>Mariselma Marques Costa y familiares</w:t>
            </w:r>
          </w:p>
        </w:tc>
      </w:tr>
      <w:tr w:rsidR="003239B8" w:rsidRPr="00832361"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Estado denunciado:</w:t>
            </w:r>
          </w:p>
        </w:tc>
        <w:tc>
          <w:tcPr>
            <w:tcW w:w="5760" w:type="dxa"/>
            <w:vAlign w:val="center"/>
          </w:tcPr>
          <w:p w14:paraId="5D0EC05D" w14:textId="06708879" w:rsidR="003239B8" w:rsidRPr="00832361" w:rsidRDefault="00857949" w:rsidP="008D2290">
            <w:pPr>
              <w:jc w:val="both"/>
              <w:rPr>
                <w:rFonts w:ascii="Cambria" w:hAnsi="Cambria"/>
                <w:bCs/>
                <w:sz w:val="20"/>
                <w:szCs w:val="20"/>
                <w:lang w:val="es-419"/>
              </w:rPr>
            </w:pPr>
            <w:r w:rsidRPr="00832361">
              <w:rPr>
                <w:rFonts w:ascii="Cambria" w:hAnsi="Cambria"/>
                <w:bCs/>
                <w:sz w:val="20"/>
                <w:szCs w:val="20"/>
                <w:lang w:val="es-419"/>
              </w:rPr>
              <w:t>Brasil</w:t>
            </w:r>
          </w:p>
        </w:tc>
      </w:tr>
      <w:tr w:rsidR="00FE117F" w:rsidRPr="00305241"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832361" w:rsidRDefault="00FE117F" w:rsidP="00FE117F">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Derechos invocados:</w:t>
            </w:r>
          </w:p>
        </w:tc>
        <w:tc>
          <w:tcPr>
            <w:tcW w:w="5760" w:type="dxa"/>
            <w:vAlign w:val="center"/>
          </w:tcPr>
          <w:p w14:paraId="52B28392" w14:textId="57BFF488" w:rsidR="000B677E" w:rsidRPr="000B677E" w:rsidRDefault="00ED0C8D" w:rsidP="00FE117F">
            <w:pPr>
              <w:jc w:val="both"/>
              <w:rPr>
                <w:rFonts w:ascii="Cambria" w:hAnsi="Cambria"/>
                <w:bCs/>
                <w:sz w:val="20"/>
                <w:szCs w:val="20"/>
                <w:lang w:val="es-419" w:bidi="es-ES"/>
              </w:rPr>
            </w:pPr>
            <w:r>
              <w:rPr>
                <w:rFonts w:ascii="Cambria" w:hAnsi="Cambria"/>
                <w:bCs/>
                <w:sz w:val="20"/>
                <w:szCs w:val="20"/>
                <w:lang w:val="es-419" w:bidi="es-ES"/>
              </w:rPr>
              <w:t>Artículo</w:t>
            </w:r>
            <w:r w:rsidRPr="00ED0C8D">
              <w:rPr>
                <w:rFonts w:ascii="Cambria" w:hAnsi="Cambria"/>
                <w:bCs/>
                <w:sz w:val="20"/>
                <w:szCs w:val="20"/>
                <w:lang w:val="es-419" w:bidi="es-ES"/>
              </w:rPr>
              <w:t xml:space="preserve">s </w:t>
            </w:r>
            <w:r w:rsidR="000B677E" w:rsidRPr="000B677E">
              <w:rPr>
                <w:rFonts w:ascii="Cambria" w:hAnsi="Cambria"/>
                <w:bCs/>
                <w:sz w:val="20"/>
                <w:szCs w:val="20"/>
                <w:lang w:val="es-419"/>
              </w:rPr>
              <w:t>5 (integridad personal), 8</w:t>
            </w:r>
            <w:r w:rsidR="004D30BA">
              <w:rPr>
                <w:rFonts w:ascii="Cambria" w:hAnsi="Cambria"/>
                <w:bCs/>
                <w:sz w:val="20"/>
                <w:szCs w:val="20"/>
                <w:lang w:val="es-419"/>
              </w:rPr>
              <w:t xml:space="preserve"> </w:t>
            </w:r>
            <w:r w:rsidR="000B677E" w:rsidRPr="000B677E">
              <w:rPr>
                <w:rFonts w:ascii="Cambria" w:hAnsi="Cambria"/>
                <w:bCs/>
                <w:sz w:val="20"/>
                <w:szCs w:val="20"/>
                <w:lang w:val="es-419"/>
              </w:rPr>
              <w:t>(garantías judiciales), 11</w:t>
            </w:r>
            <w:r w:rsidR="004D30BA">
              <w:rPr>
                <w:rFonts w:ascii="Cambria" w:hAnsi="Cambria"/>
                <w:bCs/>
                <w:sz w:val="20"/>
                <w:szCs w:val="20"/>
                <w:lang w:val="es-419"/>
              </w:rPr>
              <w:t xml:space="preserve"> </w:t>
            </w:r>
            <w:r w:rsidR="000B677E" w:rsidRPr="000B677E">
              <w:rPr>
                <w:rFonts w:ascii="Cambria" w:hAnsi="Cambria"/>
                <w:bCs/>
                <w:sz w:val="20"/>
                <w:szCs w:val="20"/>
                <w:lang w:val="es-419"/>
              </w:rPr>
              <w:t>(</w:t>
            </w:r>
            <w:r w:rsidR="000B677E" w:rsidRPr="00ED0C8D">
              <w:rPr>
                <w:rFonts w:ascii="Cambria" w:hAnsi="Cambria"/>
                <w:bCs/>
                <w:sz w:val="20"/>
                <w:szCs w:val="20"/>
                <w:lang w:val="es-419" w:bidi="es-ES"/>
              </w:rPr>
              <w:t>protección de la honra y la dignidad</w:t>
            </w:r>
            <w:r w:rsidR="000B677E" w:rsidRPr="000B677E">
              <w:rPr>
                <w:rFonts w:ascii="Cambria" w:hAnsi="Cambria"/>
                <w:bCs/>
                <w:sz w:val="20"/>
                <w:szCs w:val="20"/>
                <w:lang w:val="es-419"/>
              </w:rPr>
              <w:t>), 22 (</w:t>
            </w:r>
            <w:r w:rsidR="000B677E">
              <w:rPr>
                <w:rFonts w:ascii="Cambria" w:hAnsi="Cambria"/>
                <w:bCs/>
                <w:sz w:val="20"/>
                <w:szCs w:val="20"/>
                <w:lang w:val="es-419"/>
              </w:rPr>
              <w:t>circulación y residencia</w:t>
            </w:r>
            <w:r w:rsidR="000B677E" w:rsidRPr="000B677E">
              <w:rPr>
                <w:rFonts w:ascii="Cambria" w:hAnsi="Cambria"/>
                <w:bCs/>
                <w:sz w:val="20"/>
                <w:szCs w:val="20"/>
                <w:lang w:val="es-419"/>
              </w:rPr>
              <w:t xml:space="preserve">) e 24 (igualdad </w:t>
            </w:r>
            <w:r w:rsidR="000B677E">
              <w:rPr>
                <w:rFonts w:ascii="Cambria" w:hAnsi="Cambria"/>
                <w:bCs/>
                <w:sz w:val="20"/>
                <w:szCs w:val="20"/>
                <w:lang w:val="es-419"/>
              </w:rPr>
              <w:t>ante la ley</w:t>
            </w:r>
            <w:r w:rsidR="000B677E" w:rsidRPr="000B677E">
              <w:rPr>
                <w:rFonts w:ascii="Cambria" w:hAnsi="Cambria"/>
                <w:bCs/>
                <w:sz w:val="20"/>
                <w:szCs w:val="20"/>
                <w:lang w:val="es-419"/>
              </w:rPr>
              <w:t xml:space="preserve">) </w:t>
            </w:r>
            <w:r w:rsidR="000B677E" w:rsidRPr="00ED0C8D">
              <w:rPr>
                <w:rFonts w:ascii="Cambria" w:hAnsi="Cambria"/>
                <w:bCs/>
                <w:sz w:val="20"/>
                <w:szCs w:val="20"/>
                <w:lang w:val="es-419" w:bidi="es-ES"/>
              </w:rPr>
              <w:t>de la Convención Americana</w:t>
            </w:r>
            <w:r w:rsidR="004D30BA">
              <w:rPr>
                <w:rFonts w:ascii="Cambria" w:hAnsi="Cambria"/>
                <w:bCs/>
                <w:sz w:val="20"/>
                <w:szCs w:val="20"/>
                <w:lang w:val="es-419" w:bidi="es-ES"/>
              </w:rPr>
              <w:t xml:space="preserve"> sobre Derechos Humanos</w:t>
            </w:r>
          </w:p>
        </w:tc>
      </w:tr>
    </w:tbl>
    <w:p w14:paraId="176FB213"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II.</w:t>
      </w:r>
      <w:r w:rsidRPr="00832361">
        <w:rPr>
          <w:rFonts w:asciiTheme="majorHAnsi" w:hAnsiTheme="majorHAnsi"/>
          <w:b/>
          <w:bCs/>
          <w:sz w:val="20"/>
          <w:szCs w:val="20"/>
          <w:lang w:val="es-419"/>
        </w:rPr>
        <w:tab/>
        <w:t>TRÁMITE ANTE LA CIDH</w:t>
      </w:r>
      <w:r w:rsidR="008E3BFE" w:rsidRPr="00832361">
        <w:rPr>
          <w:rStyle w:val="FootnoteReference"/>
          <w:rFonts w:ascii="Cambria" w:hAnsi="Cambria"/>
          <w:b/>
          <w:sz w:val="20"/>
          <w:szCs w:val="20"/>
          <w:lang w:val="es-419"/>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D33D7" w:rsidRPr="00832361" w14:paraId="1D831514" w14:textId="77777777" w:rsidTr="00804FF9">
        <w:tc>
          <w:tcPr>
            <w:tcW w:w="3600" w:type="dxa"/>
            <w:tcBorders>
              <w:top w:val="single" w:sz="6" w:space="0" w:color="auto"/>
              <w:bottom w:val="single" w:sz="6" w:space="0" w:color="auto"/>
            </w:tcBorders>
            <w:shd w:val="clear" w:color="auto" w:fill="386294"/>
            <w:vAlign w:val="center"/>
          </w:tcPr>
          <w:p w14:paraId="330F2ED0" w14:textId="77777777" w:rsidR="004D33D7" w:rsidRPr="00832361" w:rsidRDefault="004D33D7" w:rsidP="004D33D7">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 la petición:</w:t>
            </w:r>
          </w:p>
        </w:tc>
        <w:tc>
          <w:tcPr>
            <w:tcW w:w="5760" w:type="dxa"/>
            <w:vAlign w:val="center"/>
          </w:tcPr>
          <w:p w14:paraId="6883A5F8" w14:textId="7D066E6C" w:rsidR="004D33D7" w:rsidRPr="00832361" w:rsidRDefault="000B677E" w:rsidP="004D33D7">
            <w:pPr>
              <w:jc w:val="both"/>
              <w:rPr>
                <w:rFonts w:ascii="Cambria" w:hAnsi="Cambria"/>
                <w:bCs/>
                <w:sz w:val="20"/>
                <w:szCs w:val="20"/>
                <w:lang w:val="es-419"/>
              </w:rPr>
            </w:pPr>
            <w:r>
              <w:rPr>
                <w:rFonts w:ascii="Cambria" w:hAnsi="Cambria"/>
                <w:bCs/>
                <w:sz w:val="20"/>
                <w:szCs w:val="20"/>
                <w:lang w:val="es-419"/>
              </w:rPr>
              <w:t>11 de enero de 2016</w:t>
            </w:r>
          </w:p>
        </w:tc>
      </w:tr>
      <w:tr w:rsidR="004D33D7" w:rsidRPr="00305241" w14:paraId="226C48CC" w14:textId="77777777" w:rsidTr="00804FF9">
        <w:tc>
          <w:tcPr>
            <w:tcW w:w="3600" w:type="dxa"/>
            <w:tcBorders>
              <w:top w:val="single" w:sz="6" w:space="0" w:color="auto"/>
              <w:bottom w:val="single" w:sz="6" w:space="0" w:color="auto"/>
            </w:tcBorders>
            <w:shd w:val="clear" w:color="auto" w:fill="386294"/>
            <w:vAlign w:val="center"/>
          </w:tcPr>
          <w:p w14:paraId="12FB83DE" w14:textId="47D31DF0" w:rsidR="004D33D7" w:rsidRPr="00832361" w:rsidRDefault="004D33D7" w:rsidP="004D33D7">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Información adicional durante la etapa de estudio:</w:t>
            </w:r>
          </w:p>
        </w:tc>
        <w:tc>
          <w:tcPr>
            <w:tcW w:w="5760" w:type="dxa"/>
            <w:vAlign w:val="center"/>
          </w:tcPr>
          <w:p w14:paraId="55FE9378" w14:textId="17311980" w:rsidR="004D33D7" w:rsidRPr="0050782E" w:rsidRDefault="000B677E" w:rsidP="004D33D7">
            <w:pPr>
              <w:jc w:val="both"/>
              <w:rPr>
                <w:rFonts w:ascii="Cambria" w:hAnsi="Cambria"/>
                <w:bCs/>
                <w:sz w:val="20"/>
                <w:szCs w:val="20"/>
                <w:lang w:val="es-ES_tradnl"/>
              </w:rPr>
            </w:pPr>
            <w:r>
              <w:rPr>
                <w:rFonts w:ascii="Cambria" w:hAnsi="Cambria"/>
                <w:bCs/>
                <w:sz w:val="20"/>
                <w:szCs w:val="20"/>
                <w:lang w:val="es-ES_tradnl"/>
              </w:rPr>
              <w:t>18 de octubre de 2016</w:t>
            </w:r>
            <w:r w:rsidR="004D30BA">
              <w:rPr>
                <w:rFonts w:ascii="Cambria" w:hAnsi="Cambria"/>
                <w:bCs/>
                <w:sz w:val="20"/>
                <w:szCs w:val="20"/>
                <w:lang w:val="es-ES_tradnl"/>
              </w:rPr>
              <w:t xml:space="preserve"> y</w:t>
            </w:r>
            <w:r>
              <w:rPr>
                <w:rFonts w:ascii="Cambria" w:hAnsi="Cambria"/>
                <w:bCs/>
                <w:sz w:val="20"/>
                <w:szCs w:val="20"/>
                <w:lang w:val="es-ES_tradnl"/>
              </w:rPr>
              <w:t xml:space="preserve"> 3 de noviembre de 2017</w:t>
            </w:r>
          </w:p>
        </w:tc>
      </w:tr>
      <w:tr w:rsidR="004D33D7" w:rsidRPr="00832361" w14:paraId="6A9025D9" w14:textId="77777777" w:rsidTr="00804FF9">
        <w:tc>
          <w:tcPr>
            <w:tcW w:w="3600" w:type="dxa"/>
            <w:tcBorders>
              <w:top w:val="single" w:sz="6" w:space="0" w:color="auto"/>
              <w:bottom w:val="single" w:sz="6" w:space="0" w:color="auto"/>
            </w:tcBorders>
            <w:shd w:val="clear" w:color="auto" w:fill="386294"/>
            <w:vAlign w:val="center"/>
          </w:tcPr>
          <w:p w14:paraId="01B3581F" w14:textId="5060866F" w:rsidR="004D33D7" w:rsidRPr="00832361" w:rsidRDefault="004D33D7" w:rsidP="004D33D7">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Notificación de la petición al Estado:</w:t>
            </w:r>
          </w:p>
        </w:tc>
        <w:tc>
          <w:tcPr>
            <w:tcW w:w="5760" w:type="dxa"/>
            <w:vAlign w:val="center"/>
          </w:tcPr>
          <w:p w14:paraId="58485921" w14:textId="462182E7" w:rsidR="004D33D7" w:rsidRPr="00832361" w:rsidRDefault="000B677E" w:rsidP="004D33D7">
            <w:pPr>
              <w:jc w:val="both"/>
              <w:rPr>
                <w:rFonts w:ascii="Cambria" w:hAnsi="Cambria"/>
                <w:bCs/>
                <w:sz w:val="20"/>
                <w:szCs w:val="20"/>
                <w:lang w:val="es-419"/>
              </w:rPr>
            </w:pPr>
            <w:r>
              <w:rPr>
                <w:rFonts w:ascii="Cambria" w:hAnsi="Cambria"/>
                <w:bCs/>
                <w:sz w:val="20"/>
                <w:szCs w:val="20"/>
                <w:lang w:val="es-419"/>
              </w:rPr>
              <w:t>7 de marzo de 2019</w:t>
            </w:r>
          </w:p>
        </w:tc>
      </w:tr>
      <w:tr w:rsidR="000B677E" w:rsidRPr="00832361" w14:paraId="097763A8" w14:textId="77777777" w:rsidTr="00804FF9">
        <w:tc>
          <w:tcPr>
            <w:tcW w:w="3600" w:type="dxa"/>
            <w:tcBorders>
              <w:top w:val="single" w:sz="6" w:space="0" w:color="auto"/>
              <w:bottom w:val="single" w:sz="6" w:space="0" w:color="auto"/>
            </w:tcBorders>
            <w:shd w:val="clear" w:color="auto" w:fill="386294"/>
            <w:vAlign w:val="center"/>
          </w:tcPr>
          <w:p w14:paraId="642C6181" w14:textId="283A4AA3" w:rsidR="000B677E" w:rsidRPr="00832361" w:rsidRDefault="000B677E" w:rsidP="004D33D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15A581F5" w14:textId="1E542C1E" w:rsidR="000B677E" w:rsidRDefault="000B677E" w:rsidP="004D33D7">
            <w:pPr>
              <w:jc w:val="both"/>
              <w:rPr>
                <w:rFonts w:ascii="Cambria" w:hAnsi="Cambria"/>
                <w:bCs/>
                <w:sz w:val="20"/>
                <w:szCs w:val="20"/>
                <w:lang w:val="es-419"/>
              </w:rPr>
            </w:pPr>
            <w:r>
              <w:rPr>
                <w:rFonts w:ascii="Cambria" w:hAnsi="Cambria"/>
                <w:bCs/>
                <w:sz w:val="20"/>
                <w:szCs w:val="20"/>
                <w:lang w:val="es-419"/>
              </w:rPr>
              <w:t>21 de junio de 2019</w:t>
            </w:r>
          </w:p>
        </w:tc>
      </w:tr>
      <w:tr w:rsidR="004D33D7" w:rsidRPr="00832361" w14:paraId="1EC979C3" w14:textId="77777777" w:rsidTr="00804FF9">
        <w:tc>
          <w:tcPr>
            <w:tcW w:w="3600" w:type="dxa"/>
            <w:tcBorders>
              <w:top w:val="single" w:sz="6" w:space="0" w:color="auto"/>
              <w:bottom w:val="single" w:sz="6" w:space="0" w:color="auto"/>
            </w:tcBorders>
            <w:shd w:val="clear" w:color="auto" w:fill="386294"/>
            <w:vAlign w:val="center"/>
          </w:tcPr>
          <w:p w14:paraId="3708E507" w14:textId="65D6B69E" w:rsidR="004D33D7" w:rsidRPr="00832361" w:rsidRDefault="004D33D7" w:rsidP="004D33D7">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Primera respuesta del Estado:</w:t>
            </w:r>
          </w:p>
        </w:tc>
        <w:tc>
          <w:tcPr>
            <w:tcW w:w="5760" w:type="dxa"/>
            <w:vAlign w:val="center"/>
          </w:tcPr>
          <w:p w14:paraId="6B47064C" w14:textId="712129CC" w:rsidR="004D33D7" w:rsidRPr="00832361" w:rsidRDefault="000B677E" w:rsidP="004D33D7">
            <w:pPr>
              <w:jc w:val="both"/>
              <w:rPr>
                <w:rFonts w:ascii="Cambria" w:hAnsi="Cambria"/>
                <w:bCs/>
                <w:sz w:val="20"/>
                <w:szCs w:val="20"/>
                <w:lang w:val="es-419"/>
              </w:rPr>
            </w:pPr>
            <w:r>
              <w:rPr>
                <w:rFonts w:ascii="Cambria" w:hAnsi="Cambria"/>
                <w:bCs/>
                <w:sz w:val="20"/>
                <w:szCs w:val="20"/>
                <w:lang w:val="es-419"/>
              </w:rPr>
              <w:t>1 de agosto de 2019</w:t>
            </w:r>
          </w:p>
        </w:tc>
      </w:tr>
      <w:tr w:rsidR="004D33D7" w:rsidRPr="00305241" w14:paraId="1D4E6BC2" w14:textId="77777777" w:rsidTr="00804FF9">
        <w:tc>
          <w:tcPr>
            <w:tcW w:w="3600" w:type="dxa"/>
            <w:tcBorders>
              <w:top w:val="single" w:sz="6" w:space="0" w:color="auto"/>
              <w:bottom w:val="single" w:sz="6" w:space="0" w:color="auto"/>
            </w:tcBorders>
            <w:shd w:val="clear" w:color="auto" w:fill="386294"/>
            <w:vAlign w:val="center"/>
          </w:tcPr>
          <w:p w14:paraId="1AEB492C" w14:textId="6729C157" w:rsidR="004D33D7" w:rsidRPr="00832361" w:rsidRDefault="004D33D7" w:rsidP="004D33D7">
            <w:pPr>
              <w:jc w:val="center"/>
              <w:rPr>
                <w:rFonts w:ascii="Cambria" w:hAnsi="Cambria"/>
                <w:b/>
                <w:color w:val="FFFFFF" w:themeColor="background1"/>
                <w:sz w:val="20"/>
                <w:szCs w:val="20"/>
                <w:lang w:val="es-419"/>
              </w:rPr>
            </w:pPr>
            <w:r w:rsidRPr="00832361">
              <w:rPr>
                <w:rFonts w:ascii="Cambria" w:hAnsi="Cambria"/>
                <w:b/>
                <w:color w:val="FFFFFF" w:themeColor="background1"/>
                <w:sz w:val="20"/>
                <w:szCs w:val="20"/>
                <w:lang w:val="es-419"/>
              </w:rPr>
              <w:t>Observaciones adicionales de la parte peticionaria:</w:t>
            </w:r>
          </w:p>
        </w:tc>
        <w:tc>
          <w:tcPr>
            <w:tcW w:w="5760" w:type="dxa"/>
            <w:vAlign w:val="center"/>
          </w:tcPr>
          <w:p w14:paraId="4F62D33B" w14:textId="3F5E80E3" w:rsidR="004D33D7" w:rsidRPr="00832361" w:rsidRDefault="000B677E" w:rsidP="004D33D7">
            <w:pPr>
              <w:jc w:val="both"/>
              <w:rPr>
                <w:rFonts w:ascii="Cambria" w:hAnsi="Cambria"/>
                <w:bCs/>
                <w:sz w:val="20"/>
                <w:szCs w:val="20"/>
                <w:lang w:val="es-419"/>
              </w:rPr>
            </w:pPr>
            <w:r>
              <w:rPr>
                <w:rFonts w:ascii="Cambria" w:hAnsi="Cambria"/>
                <w:bCs/>
                <w:sz w:val="20"/>
                <w:szCs w:val="20"/>
                <w:lang w:val="es-419"/>
              </w:rPr>
              <w:t>29 de marzo de 2019, 25 de marzo de 2020</w:t>
            </w:r>
            <w:r w:rsidR="00BA5E75">
              <w:rPr>
                <w:rFonts w:ascii="Cambria" w:hAnsi="Cambria"/>
                <w:bCs/>
                <w:sz w:val="20"/>
                <w:szCs w:val="20"/>
                <w:lang w:val="es-419"/>
              </w:rPr>
              <w:t xml:space="preserve"> y</w:t>
            </w:r>
            <w:r>
              <w:rPr>
                <w:rFonts w:ascii="Cambria" w:hAnsi="Cambria"/>
                <w:bCs/>
                <w:sz w:val="20"/>
                <w:szCs w:val="20"/>
                <w:lang w:val="es-419"/>
              </w:rPr>
              <w:t xml:space="preserve"> 6 de mayo de 2020</w:t>
            </w:r>
          </w:p>
        </w:tc>
      </w:tr>
    </w:tbl>
    <w:p w14:paraId="0FC6E9E8"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III. </w:t>
      </w:r>
      <w:r w:rsidRPr="00832361">
        <w:rPr>
          <w:rFonts w:asciiTheme="majorHAnsi" w:hAnsiTheme="majorHAnsi"/>
          <w:b/>
          <w:bCs/>
          <w:sz w:val="20"/>
          <w:szCs w:val="20"/>
          <w:lang w:val="es-419"/>
        </w:rPr>
        <w:tab/>
        <w:t>COMPETENCIA</w:t>
      </w:r>
      <w:r w:rsidR="00EE00E9" w:rsidRPr="0083236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32361"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loci</w:t>
            </w:r>
            <w:r w:rsidRPr="00832361">
              <w:rPr>
                <w:rFonts w:ascii="Cambria" w:hAnsi="Cambria"/>
                <w:b/>
                <w:bCs/>
                <w:color w:val="FFFFFF" w:themeColor="background1"/>
                <w:sz w:val="20"/>
                <w:szCs w:val="20"/>
                <w:lang w:val="es-419"/>
              </w:rPr>
              <w:t>:</w:t>
            </w:r>
          </w:p>
        </w:tc>
        <w:tc>
          <w:tcPr>
            <w:tcW w:w="5776" w:type="dxa"/>
            <w:vAlign w:val="center"/>
          </w:tcPr>
          <w:p w14:paraId="77C8256A" w14:textId="5E819D9D"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temporis</w:t>
            </w:r>
            <w:r w:rsidRPr="00832361">
              <w:rPr>
                <w:rFonts w:ascii="Cambria" w:hAnsi="Cambria"/>
                <w:b/>
                <w:bCs/>
                <w:color w:val="FFFFFF" w:themeColor="background1"/>
                <w:sz w:val="20"/>
                <w:szCs w:val="20"/>
                <w:lang w:val="es-419"/>
              </w:rPr>
              <w:t>:</w:t>
            </w:r>
          </w:p>
        </w:tc>
        <w:tc>
          <w:tcPr>
            <w:tcW w:w="5776" w:type="dxa"/>
            <w:vAlign w:val="center"/>
          </w:tcPr>
          <w:p w14:paraId="523F6BD6" w14:textId="69B6757A"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305241"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materia</w:t>
            </w:r>
            <w:r w:rsidR="00EE00E9" w:rsidRPr="00832361">
              <w:rPr>
                <w:rFonts w:ascii="Cambria" w:hAnsi="Cambria"/>
                <w:b/>
                <w:bCs/>
                <w:i/>
                <w:color w:val="FFFFFF" w:themeColor="background1"/>
                <w:sz w:val="20"/>
                <w:szCs w:val="20"/>
                <w:lang w:val="es-419"/>
              </w:rPr>
              <w:t>e</w:t>
            </w:r>
            <w:r w:rsidRPr="00832361">
              <w:rPr>
                <w:rFonts w:ascii="Cambria" w:hAnsi="Cambria"/>
                <w:b/>
                <w:bCs/>
                <w:color w:val="FFFFFF" w:themeColor="background1"/>
                <w:sz w:val="20"/>
                <w:szCs w:val="20"/>
                <w:lang w:val="es-419"/>
              </w:rPr>
              <w:t>:</w:t>
            </w:r>
          </w:p>
        </w:tc>
        <w:tc>
          <w:tcPr>
            <w:tcW w:w="5776" w:type="dxa"/>
            <w:vAlign w:val="center"/>
          </w:tcPr>
          <w:p w14:paraId="257C8337" w14:textId="089AD4D2" w:rsidR="003239B8" w:rsidRPr="00832361" w:rsidRDefault="00A004BB" w:rsidP="008D2290">
            <w:pPr>
              <w:jc w:val="both"/>
              <w:rPr>
                <w:rFonts w:ascii="Cambria" w:hAnsi="Cambria"/>
                <w:bCs/>
                <w:sz w:val="20"/>
                <w:szCs w:val="20"/>
                <w:lang w:val="es-419"/>
              </w:rPr>
            </w:pPr>
            <w:r w:rsidRPr="00832361">
              <w:rPr>
                <w:rFonts w:ascii="Cambria" w:hAnsi="Cambria"/>
                <w:bCs/>
                <w:sz w:val="20"/>
                <w:szCs w:val="20"/>
                <w:lang w:val="es-419" w:bidi="es-ES"/>
              </w:rPr>
              <w:t>Sí, Convención Americana</w:t>
            </w:r>
            <w:r w:rsidR="000C0810" w:rsidRPr="00832361">
              <w:rPr>
                <w:rFonts w:ascii="Cambria" w:hAnsi="Cambria"/>
                <w:bCs/>
                <w:sz w:val="20"/>
                <w:szCs w:val="20"/>
                <w:lang w:val="es-419" w:bidi="es-ES"/>
              </w:rPr>
              <w:t xml:space="preserve"> sobre Derechos Humanos</w:t>
            </w:r>
            <w:r w:rsidR="000C0810" w:rsidRPr="00832361">
              <w:rPr>
                <w:rStyle w:val="FootnoteReference"/>
                <w:rFonts w:ascii="Cambria" w:hAnsi="Cambria"/>
                <w:bCs/>
                <w:sz w:val="20"/>
                <w:szCs w:val="20"/>
                <w:lang w:val="es-419" w:bidi="es-ES"/>
              </w:rPr>
              <w:footnoteReference w:id="3"/>
            </w:r>
            <w:r w:rsidRPr="00832361">
              <w:rPr>
                <w:rFonts w:ascii="Cambria" w:hAnsi="Cambria"/>
                <w:bCs/>
                <w:sz w:val="20"/>
                <w:szCs w:val="20"/>
                <w:lang w:val="es-419" w:bidi="es-ES"/>
              </w:rPr>
              <w:t xml:space="preserve"> (depósito de instrumento realizado el </w:t>
            </w:r>
            <w:r w:rsidR="00A2139A" w:rsidRPr="00832361">
              <w:rPr>
                <w:rFonts w:ascii="Cambria" w:hAnsi="Cambria"/>
                <w:bCs/>
                <w:sz w:val="20"/>
                <w:szCs w:val="20"/>
                <w:lang w:val="es-419" w:bidi="es-ES"/>
              </w:rPr>
              <w:t>25 de septiembre de 1992</w:t>
            </w:r>
            <w:r w:rsidRPr="00832361">
              <w:rPr>
                <w:rFonts w:ascii="Cambria" w:hAnsi="Cambria"/>
                <w:bCs/>
                <w:sz w:val="20"/>
                <w:szCs w:val="20"/>
                <w:lang w:val="es-419" w:bidi="es-ES"/>
              </w:rPr>
              <w:t>)</w:t>
            </w:r>
          </w:p>
        </w:tc>
      </w:tr>
    </w:tbl>
    <w:p w14:paraId="299A3868" w14:textId="763E2446"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IV. </w:t>
      </w:r>
      <w:r w:rsidRPr="00832361">
        <w:rPr>
          <w:rFonts w:asciiTheme="majorHAnsi" w:hAnsiTheme="majorHAnsi"/>
          <w:b/>
          <w:bCs/>
          <w:sz w:val="20"/>
          <w:szCs w:val="20"/>
          <w:lang w:val="es-419"/>
        </w:rPr>
        <w:tab/>
      </w:r>
      <w:r w:rsidR="00EE00E9" w:rsidRPr="00832361">
        <w:rPr>
          <w:rFonts w:asciiTheme="majorHAnsi" w:hAnsiTheme="majorHAnsi"/>
          <w:b/>
          <w:bCs/>
          <w:sz w:val="20"/>
          <w:szCs w:val="20"/>
          <w:lang w:val="es-419"/>
        </w:rPr>
        <w:t>DUPLICACIÓN</w:t>
      </w:r>
      <w:r w:rsidR="00EE00E9" w:rsidRPr="00832361">
        <w:rPr>
          <w:rFonts w:asciiTheme="majorHAnsi" w:hAnsiTheme="majorHAnsi"/>
          <w:b/>
          <w:bCs/>
          <w:color w:val="FFFFFF" w:themeColor="background1"/>
          <w:sz w:val="20"/>
          <w:szCs w:val="20"/>
          <w:lang w:val="es-419"/>
        </w:rPr>
        <w:t xml:space="preserve"> </w:t>
      </w:r>
      <w:r w:rsidR="00EE00E9" w:rsidRPr="00832361">
        <w:rPr>
          <w:rFonts w:asciiTheme="majorHAnsi" w:hAnsiTheme="majorHAnsi"/>
          <w:b/>
          <w:bCs/>
          <w:sz w:val="20"/>
          <w:szCs w:val="20"/>
          <w:lang w:val="es-419"/>
        </w:rPr>
        <w:t>DE PROCEDIMIENTOS Y COSA JUZGADA</w:t>
      </w:r>
      <w:r w:rsidR="00EE00E9" w:rsidRPr="00832361">
        <w:rPr>
          <w:rFonts w:asciiTheme="majorHAnsi" w:hAnsiTheme="majorHAnsi"/>
          <w:b/>
          <w:bCs/>
          <w:i/>
          <w:sz w:val="20"/>
          <w:szCs w:val="20"/>
          <w:lang w:val="es-419"/>
        </w:rPr>
        <w:t xml:space="preserve"> </w:t>
      </w:r>
      <w:r w:rsidR="00EE00E9" w:rsidRPr="00832361">
        <w:rPr>
          <w:rFonts w:asciiTheme="majorHAnsi" w:hAnsiTheme="majorHAnsi"/>
          <w:b/>
          <w:bCs/>
          <w:sz w:val="20"/>
          <w:szCs w:val="20"/>
          <w:lang w:val="es-419"/>
        </w:rPr>
        <w:t xml:space="preserve">INTERNACIONAL, </w:t>
      </w:r>
      <w:r w:rsidRPr="00832361">
        <w:rPr>
          <w:rFonts w:asciiTheme="majorHAnsi" w:hAnsiTheme="majorHAnsi"/>
          <w:b/>
          <w:bCs/>
          <w:sz w:val="20"/>
          <w:szCs w:val="20"/>
          <w:lang w:val="es-419"/>
        </w:rPr>
        <w:t xml:space="preserve">CARACTERIZACIÓN, </w:t>
      </w:r>
      <w:r w:rsidRPr="0083236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32361"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832361" w:rsidRDefault="00EE00E9"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832361" w:rsidRDefault="00A004BB" w:rsidP="008D2290">
            <w:pPr>
              <w:jc w:val="both"/>
              <w:rPr>
                <w:rFonts w:ascii="Cambria" w:hAnsi="Cambria"/>
                <w:bCs/>
                <w:sz w:val="20"/>
                <w:szCs w:val="20"/>
                <w:lang w:val="es-419"/>
              </w:rPr>
            </w:pPr>
            <w:r w:rsidRPr="00832361">
              <w:rPr>
                <w:rFonts w:ascii="Cambria" w:hAnsi="Cambria"/>
                <w:bCs/>
                <w:sz w:val="20"/>
                <w:szCs w:val="20"/>
                <w:lang w:val="es-419"/>
              </w:rPr>
              <w:t>No</w:t>
            </w:r>
          </w:p>
        </w:tc>
      </w:tr>
      <w:tr w:rsidR="003239B8" w:rsidRPr="004D33D7"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Derechos declarados admisibles</w:t>
            </w:r>
            <w:r w:rsidRPr="00832361">
              <w:rPr>
                <w:rFonts w:ascii="Cambria" w:hAnsi="Cambria"/>
                <w:b/>
                <w:bCs/>
                <w:i/>
                <w:color w:val="FFFFFF" w:themeColor="background1"/>
                <w:sz w:val="20"/>
                <w:szCs w:val="20"/>
                <w:lang w:val="es-419"/>
              </w:rPr>
              <w:t>:</w:t>
            </w:r>
          </w:p>
        </w:tc>
        <w:tc>
          <w:tcPr>
            <w:tcW w:w="5773" w:type="dxa"/>
            <w:vAlign w:val="center"/>
          </w:tcPr>
          <w:p w14:paraId="4DAE9D4D" w14:textId="76CBDFDD" w:rsidR="003239B8" w:rsidRPr="00832361" w:rsidRDefault="004D33D7" w:rsidP="008D2290">
            <w:pPr>
              <w:jc w:val="both"/>
              <w:rPr>
                <w:rFonts w:ascii="Cambria" w:hAnsi="Cambria"/>
                <w:bCs/>
                <w:sz w:val="20"/>
                <w:szCs w:val="20"/>
                <w:lang w:val="es-419"/>
              </w:rPr>
            </w:pPr>
            <w:r w:rsidRPr="004D30BA">
              <w:rPr>
                <w:rFonts w:ascii="Cambria" w:hAnsi="Cambria"/>
                <w:bCs/>
                <w:sz w:val="20"/>
                <w:szCs w:val="20"/>
                <w:lang w:val="es-419" w:bidi="es-ES"/>
              </w:rPr>
              <w:t>N</w:t>
            </w:r>
            <w:r w:rsidR="00611890">
              <w:rPr>
                <w:rFonts w:ascii="Cambria" w:hAnsi="Cambria"/>
                <w:bCs/>
                <w:sz w:val="20"/>
                <w:szCs w:val="20"/>
                <w:lang w:val="es-419" w:bidi="es-ES"/>
              </w:rPr>
              <w:t>inguno</w:t>
            </w:r>
          </w:p>
        </w:tc>
      </w:tr>
      <w:tr w:rsidR="003239B8" w:rsidRPr="00305241"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Agotamiento de recursos internos</w:t>
            </w:r>
            <w:r w:rsidR="00EE00E9" w:rsidRPr="00832361">
              <w:rPr>
                <w:rFonts w:ascii="Cambria" w:hAnsi="Cambria"/>
                <w:b/>
                <w:bCs/>
                <w:color w:val="FFFFFF" w:themeColor="background1"/>
                <w:sz w:val="20"/>
                <w:szCs w:val="20"/>
                <w:lang w:val="es-419"/>
              </w:rPr>
              <w:t xml:space="preserve"> o procedencia de una excepción</w:t>
            </w:r>
            <w:r w:rsidRPr="00832361">
              <w:rPr>
                <w:rFonts w:ascii="Cambria" w:hAnsi="Cambria"/>
                <w:b/>
                <w:bCs/>
                <w:color w:val="FFFFFF" w:themeColor="background1"/>
                <w:sz w:val="20"/>
                <w:szCs w:val="20"/>
                <w:lang w:val="es-419"/>
              </w:rPr>
              <w:t>:</w:t>
            </w:r>
          </w:p>
        </w:tc>
        <w:tc>
          <w:tcPr>
            <w:tcW w:w="5773" w:type="dxa"/>
            <w:vAlign w:val="center"/>
          </w:tcPr>
          <w:p w14:paraId="7F7C1A19" w14:textId="54A82076" w:rsidR="003239B8" w:rsidRPr="00832361" w:rsidRDefault="004D33D7" w:rsidP="008D2290">
            <w:pPr>
              <w:rPr>
                <w:rFonts w:ascii="Cambria" w:hAnsi="Cambria"/>
                <w:bCs/>
                <w:sz w:val="20"/>
                <w:szCs w:val="20"/>
                <w:lang w:val="es-419"/>
              </w:rPr>
            </w:pPr>
            <w:r>
              <w:rPr>
                <w:rFonts w:ascii="Cambria" w:hAnsi="Cambria"/>
                <w:bCs/>
                <w:sz w:val="20"/>
                <w:szCs w:val="20"/>
                <w:lang w:val="es-419" w:bidi="es-ES"/>
              </w:rPr>
              <w:t>No</w:t>
            </w:r>
            <w:r w:rsidRPr="00832361">
              <w:rPr>
                <w:rFonts w:ascii="Cambria" w:hAnsi="Cambria"/>
                <w:bCs/>
                <w:sz w:val="20"/>
                <w:szCs w:val="20"/>
                <w:lang w:val="es-419" w:bidi="es-ES"/>
              </w:rPr>
              <w:t>, en los términos de la Sección VI</w:t>
            </w:r>
          </w:p>
        </w:tc>
      </w:tr>
      <w:tr w:rsidR="003239B8" w:rsidRPr="00305241"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dentro de plazo:</w:t>
            </w:r>
          </w:p>
        </w:tc>
        <w:tc>
          <w:tcPr>
            <w:tcW w:w="5773" w:type="dxa"/>
            <w:vAlign w:val="center"/>
          </w:tcPr>
          <w:p w14:paraId="2AF0FC69" w14:textId="42B829F5" w:rsidR="003239B8" w:rsidRPr="00832361" w:rsidRDefault="004D33D7" w:rsidP="008D2290">
            <w:pPr>
              <w:rPr>
                <w:rFonts w:ascii="Cambria" w:hAnsi="Cambria"/>
                <w:bCs/>
                <w:sz w:val="20"/>
                <w:szCs w:val="20"/>
                <w:lang w:val="es-419"/>
              </w:rPr>
            </w:pPr>
            <w:r>
              <w:rPr>
                <w:rFonts w:ascii="Cambria" w:hAnsi="Cambria"/>
                <w:bCs/>
                <w:sz w:val="20"/>
                <w:szCs w:val="20"/>
                <w:lang w:val="es-419" w:bidi="es-ES"/>
              </w:rPr>
              <w:t>No</w:t>
            </w:r>
            <w:r w:rsidR="009E763B" w:rsidRPr="00832361">
              <w:rPr>
                <w:rFonts w:ascii="Cambria" w:hAnsi="Cambria"/>
                <w:bCs/>
                <w:sz w:val="20"/>
                <w:szCs w:val="20"/>
                <w:lang w:val="es-419" w:bidi="es-ES"/>
              </w:rPr>
              <w:t>, en los términos de la Sección VI</w:t>
            </w:r>
          </w:p>
        </w:tc>
      </w:tr>
    </w:tbl>
    <w:p w14:paraId="56FD5D57" w14:textId="2EEF3F9E" w:rsidR="003239B8" w:rsidRDefault="00223A29" w:rsidP="003239B8">
      <w:pPr>
        <w:spacing w:before="240" w:after="240"/>
        <w:ind w:firstLine="720"/>
        <w:jc w:val="both"/>
        <w:rPr>
          <w:rFonts w:asciiTheme="majorHAnsi" w:hAnsiTheme="majorHAnsi"/>
          <w:b/>
          <w:bCs/>
          <w:sz w:val="20"/>
          <w:szCs w:val="20"/>
          <w:lang w:val="es-419"/>
        </w:rPr>
      </w:pPr>
      <w:r w:rsidRPr="00832361">
        <w:rPr>
          <w:rFonts w:asciiTheme="majorHAnsi" w:hAnsiTheme="majorHAnsi"/>
          <w:b/>
          <w:sz w:val="20"/>
          <w:szCs w:val="20"/>
          <w:lang w:val="es-419"/>
        </w:rPr>
        <w:t xml:space="preserve">V. </w:t>
      </w:r>
      <w:r w:rsidRPr="00832361">
        <w:rPr>
          <w:rFonts w:asciiTheme="majorHAnsi" w:hAnsiTheme="majorHAnsi"/>
          <w:b/>
          <w:sz w:val="20"/>
          <w:szCs w:val="20"/>
          <w:lang w:val="es-419"/>
        </w:rPr>
        <w:tab/>
      </w:r>
      <w:r w:rsidR="008D087B" w:rsidRPr="00832361">
        <w:rPr>
          <w:rFonts w:asciiTheme="majorHAnsi" w:hAnsiTheme="majorHAnsi"/>
          <w:b/>
          <w:bCs/>
          <w:sz w:val="20"/>
          <w:szCs w:val="20"/>
          <w:lang w:val="es-419"/>
        </w:rPr>
        <w:t>HECHOS ALEGADOS</w:t>
      </w:r>
    </w:p>
    <w:p w14:paraId="39A1E097" w14:textId="51667552" w:rsidR="00540FED" w:rsidRPr="00540FED" w:rsidRDefault="00540FED" w:rsidP="003239B8">
      <w:pPr>
        <w:spacing w:before="240" w:after="240"/>
        <w:ind w:firstLine="720"/>
        <w:jc w:val="both"/>
        <w:rPr>
          <w:rFonts w:asciiTheme="majorHAnsi" w:hAnsiTheme="majorHAnsi"/>
          <w:i/>
          <w:iCs/>
          <w:sz w:val="20"/>
          <w:szCs w:val="20"/>
          <w:lang w:val="es-419"/>
        </w:rPr>
      </w:pPr>
      <w:r w:rsidRPr="00540FED">
        <w:rPr>
          <w:rFonts w:asciiTheme="majorHAnsi" w:hAnsiTheme="majorHAnsi"/>
          <w:i/>
          <w:iCs/>
          <w:sz w:val="20"/>
          <w:szCs w:val="20"/>
          <w:lang w:val="es-419"/>
        </w:rPr>
        <w:t>Planteamientos de la parte peticionaria</w:t>
      </w:r>
    </w:p>
    <w:p w14:paraId="54915748" w14:textId="1FB7E995" w:rsidR="00F342A1" w:rsidRPr="00622FAA" w:rsidRDefault="00F342A1" w:rsidP="00F342A1">
      <w:pPr>
        <w:pStyle w:val="ListParagraph"/>
        <w:numPr>
          <w:ilvl w:val="0"/>
          <w:numId w:val="59"/>
        </w:numPr>
        <w:spacing w:before="120" w:after="120"/>
        <w:ind w:left="0" w:firstLine="709"/>
        <w:jc w:val="both"/>
        <w:rPr>
          <w:sz w:val="20"/>
          <w:szCs w:val="20"/>
          <w:lang w:val="es-419"/>
        </w:rPr>
      </w:pPr>
      <w:r w:rsidRPr="00622FAA">
        <w:rPr>
          <w:sz w:val="20"/>
          <w:szCs w:val="20"/>
          <w:lang w:val="es-419"/>
        </w:rPr>
        <w:t>La peticionaria presenta múltiples denuncias contra el Estado referentes a la supuesta falta de una investigación imparcial de las denuncias que realizó de delitos presuntamente cometidos en el ámbito de empresas privadas; la ofensa a su integridad y honra por considerar insuficientes o falsas sus denuncias; su supuesta expulsión del país</w:t>
      </w:r>
      <w:r w:rsidR="00622FAA">
        <w:rPr>
          <w:sz w:val="20"/>
          <w:szCs w:val="20"/>
          <w:lang w:val="es-419"/>
        </w:rPr>
        <w:t>; la muerte de su abogado en un accidente</w:t>
      </w:r>
      <w:r w:rsidRPr="00622FAA">
        <w:rPr>
          <w:sz w:val="20"/>
          <w:szCs w:val="20"/>
          <w:lang w:val="es-419"/>
        </w:rPr>
        <w:t>.</w:t>
      </w:r>
    </w:p>
    <w:p w14:paraId="66CE38ED" w14:textId="1983FCEE" w:rsidR="00F342A1" w:rsidRPr="00F342A1" w:rsidRDefault="00F342A1" w:rsidP="00F342A1">
      <w:pPr>
        <w:pStyle w:val="ListParagraph"/>
        <w:numPr>
          <w:ilvl w:val="0"/>
          <w:numId w:val="59"/>
        </w:numPr>
        <w:spacing w:before="120" w:after="120"/>
        <w:ind w:left="0" w:firstLine="709"/>
        <w:jc w:val="both"/>
        <w:rPr>
          <w:sz w:val="20"/>
          <w:szCs w:val="20"/>
          <w:lang w:val="es-419"/>
        </w:rPr>
      </w:pPr>
      <w:r w:rsidRPr="00F342A1">
        <w:rPr>
          <w:sz w:val="20"/>
          <w:szCs w:val="20"/>
          <w:lang w:val="es-419"/>
        </w:rPr>
        <w:t>La peticionaria estaba casada con el A</w:t>
      </w:r>
      <w:r w:rsidR="006F52C0">
        <w:rPr>
          <w:sz w:val="20"/>
          <w:szCs w:val="20"/>
          <w:lang w:val="es-419"/>
        </w:rPr>
        <w:t>.A.B</w:t>
      </w:r>
      <w:r w:rsidRPr="00F342A1">
        <w:rPr>
          <w:sz w:val="20"/>
          <w:szCs w:val="20"/>
          <w:lang w:val="es-419"/>
        </w:rPr>
        <w:t xml:space="preserve"> socio de </w:t>
      </w:r>
      <w:r>
        <w:rPr>
          <w:sz w:val="20"/>
          <w:szCs w:val="20"/>
          <w:lang w:val="es-419"/>
        </w:rPr>
        <w:t xml:space="preserve">las empresas </w:t>
      </w:r>
      <w:r w:rsidRPr="00F342A1">
        <w:rPr>
          <w:i/>
          <w:iCs/>
          <w:color w:val="auto"/>
          <w:sz w:val="20"/>
          <w:szCs w:val="20"/>
          <w:lang w:val="es-419"/>
        </w:rPr>
        <w:t>Balaska Equipe Ind. e Com. Ltda.</w:t>
      </w:r>
      <w:r w:rsidRPr="00F342A1">
        <w:rPr>
          <w:color w:val="auto"/>
          <w:sz w:val="20"/>
          <w:szCs w:val="20"/>
          <w:lang w:val="es-419"/>
        </w:rPr>
        <w:t xml:space="preserve"> </w:t>
      </w:r>
      <w:r>
        <w:rPr>
          <w:color w:val="auto"/>
          <w:sz w:val="20"/>
          <w:szCs w:val="20"/>
          <w:lang w:val="es-419"/>
        </w:rPr>
        <w:t>y</w:t>
      </w:r>
      <w:r w:rsidRPr="00F342A1">
        <w:rPr>
          <w:color w:val="auto"/>
          <w:sz w:val="20"/>
          <w:szCs w:val="20"/>
          <w:lang w:val="es-419"/>
        </w:rPr>
        <w:t xml:space="preserve"> </w:t>
      </w:r>
      <w:r w:rsidRPr="00F342A1">
        <w:rPr>
          <w:i/>
          <w:iCs/>
          <w:color w:val="auto"/>
          <w:sz w:val="20"/>
          <w:szCs w:val="20"/>
          <w:lang w:val="es-419"/>
        </w:rPr>
        <w:t xml:space="preserve">Balaska Equipamentos Ind. e Com. </w:t>
      </w:r>
      <w:r w:rsidRPr="00F342A1">
        <w:rPr>
          <w:i/>
          <w:iCs/>
          <w:color w:val="auto"/>
          <w:sz w:val="20"/>
          <w:szCs w:val="20"/>
          <w:lang w:val="es-ES"/>
        </w:rPr>
        <w:t>Ltda.</w:t>
      </w:r>
      <w:r w:rsidRPr="00F342A1">
        <w:rPr>
          <w:sz w:val="20"/>
          <w:szCs w:val="20"/>
          <w:lang w:val="es-419"/>
        </w:rPr>
        <w:t xml:space="preserve">, </w:t>
      </w:r>
      <w:r>
        <w:rPr>
          <w:sz w:val="20"/>
          <w:szCs w:val="20"/>
          <w:lang w:val="es-419"/>
        </w:rPr>
        <w:t>e</w:t>
      </w:r>
      <w:r w:rsidRPr="00F342A1">
        <w:rPr>
          <w:sz w:val="20"/>
          <w:szCs w:val="20"/>
          <w:lang w:val="es-419"/>
        </w:rPr>
        <w:t xml:space="preserve"> </w:t>
      </w:r>
      <w:r>
        <w:rPr>
          <w:sz w:val="20"/>
          <w:szCs w:val="20"/>
          <w:lang w:val="es-419"/>
        </w:rPr>
        <w:t xml:space="preserve">informa que </w:t>
      </w:r>
      <w:r w:rsidRPr="00F342A1">
        <w:rPr>
          <w:sz w:val="20"/>
          <w:szCs w:val="20"/>
          <w:lang w:val="es-419"/>
        </w:rPr>
        <w:t xml:space="preserve">trabajó con él en el departamento de cuentas por pagar hasta 1997. En 2001 ella y su pareja se separaron. La peticionaria alega que denunció ante las autoridades </w:t>
      </w:r>
      <w:r w:rsidRPr="00F342A1">
        <w:rPr>
          <w:sz w:val="20"/>
          <w:szCs w:val="20"/>
          <w:lang w:val="es-419"/>
        </w:rPr>
        <w:lastRenderedPageBreak/>
        <w:t>brasileñas varios delitos ocurridos en las empresas, pero agentes estatales habrían actuado para impedir que ella pudiera probar los delitos denunciados, manipulando los procesos de investigación. Asimismo, alega que el Estado le impuso un trato discriminatorio en su búsqueda de justicia al denunciar los delitos señalados.</w:t>
      </w:r>
    </w:p>
    <w:p w14:paraId="106AB8CA" w14:textId="0061A139" w:rsidR="00F342A1" w:rsidRPr="00F342A1" w:rsidRDefault="00853E1A" w:rsidP="00F342A1">
      <w:pPr>
        <w:pStyle w:val="ListParagraph"/>
        <w:numPr>
          <w:ilvl w:val="0"/>
          <w:numId w:val="59"/>
        </w:numPr>
        <w:spacing w:before="120" w:after="120"/>
        <w:ind w:left="0" w:firstLine="709"/>
        <w:jc w:val="both"/>
        <w:rPr>
          <w:sz w:val="20"/>
          <w:szCs w:val="20"/>
          <w:lang w:val="es-419"/>
        </w:rPr>
      </w:pPr>
      <w:r>
        <w:rPr>
          <w:sz w:val="20"/>
          <w:szCs w:val="20"/>
          <w:lang w:val="es-419"/>
        </w:rPr>
        <w:t xml:space="preserve">La peticionaria </w:t>
      </w:r>
      <w:r w:rsidR="00F342A1" w:rsidRPr="00F342A1">
        <w:rPr>
          <w:sz w:val="20"/>
          <w:szCs w:val="20"/>
          <w:lang w:val="es-419"/>
        </w:rPr>
        <w:t>se refiere a una denuncia ante el</w:t>
      </w:r>
      <w:r w:rsidR="00B37FBA">
        <w:rPr>
          <w:sz w:val="20"/>
          <w:szCs w:val="20"/>
          <w:lang w:val="es-419"/>
        </w:rPr>
        <w:t xml:space="preserve"> departamento de asuntos internos (“Corregedoria”) de la Receta Federal</w:t>
      </w:r>
      <w:r w:rsidR="006A08CE">
        <w:rPr>
          <w:sz w:val="20"/>
          <w:szCs w:val="20"/>
          <w:lang w:val="es-419"/>
        </w:rPr>
        <w:t xml:space="preserve"> (servicio de ingresos federales)</w:t>
      </w:r>
      <w:r w:rsidR="00B37FBA">
        <w:rPr>
          <w:sz w:val="20"/>
          <w:szCs w:val="20"/>
          <w:lang w:val="es-419"/>
        </w:rPr>
        <w:t xml:space="preserve"> </w:t>
      </w:r>
      <w:r w:rsidR="00F342A1" w:rsidRPr="00F342A1">
        <w:rPr>
          <w:sz w:val="20"/>
          <w:szCs w:val="20"/>
          <w:lang w:val="es-419"/>
        </w:rPr>
        <w:t xml:space="preserve">sobre un supuesto esquema de corrupción en el que </w:t>
      </w:r>
      <w:r w:rsidR="006A08CE">
        <w:rPr>
          <w:sz w:val="20"/>
          <w:szCs w:val="20"/>
          <w:lang w:val="es-419"/>
        </w:rPr>
        <w:t>revisores</w:t>
      </w:r>
      <w:r w:rsidR="00F342A1" w:rsidRPr="00F342A1">
        <w:rPr>
          <w:sz w:val="20"/>
          <w:szCs w:val="20"/>
          <w:lang w:val="es-419"/>
        </w:rPr>
        <w:t xml:space="preserve"> fiscales federales firmaron libros de impuestos sin auditarlos</w:t>
      </w:r>
      <w:r w:rsidR="006A08CE">
        <w:rPr>
          <w:sz w:val="20"/>
          <w:szCs w:val="20"/>
          <w:lang w:val="es-419"/>
        </w:rPr>
        <w:t>, entre otras conductas ilegales</w:t>
      </w:r>
      <w:r w:rsidR="00F342A1" w:rsidRPr="00F342A1">
        <w:rPr>
          <w:sz w:val="20"/>
          <w:szCs w:val="20"/>
          <w:lang w:val="es-419"/>
        </w:rPr>
        <w:t xml:space="preserve">. </w:t>
      </w:r>
      <w:r w:rsidR="006A08CE">
        <w:rPr>
          <w:sz w:val="20"/>
          <w:szCs w:val="20"/>
          <w:lang w:val="es-419"/>
        </w:rPr>
        <w:t>De los escritos de la peticionaria es posible distinguir el</w:t>
      </w:r>
      <w:r w:rsidR="00F342A1" w:rsidRPr="00F342A1">
        <w:rPr>
          <w:sz w:val="20"/>
          <w:szCs w:val="20"/>
          <w:lang w:val="es-419"/>
        </w:rPr>
        <w:t xml:space="preserve"> 28 de marzo de 2003 o el 20 de mayo de 2003</w:t>
      </w:r>
      <w:r w:rsidR="006A08CE">
        <w:rPr>
          <w:sz w:val="20"/>
          <w:szCs w:val="20"/>
          <w:lang w:val="es-419"/>
        </w:rPr>
        <w:t xml:space="preserve"> como posibles fechas de presentación de la denuncia</w:t>
      </w:r>
      <w:r w:rsidR="00F342A1" w:rsidRPr="00F342A1">
        <w:rPr>
          <w:sz w:val="20"/>
          <w:szCs w:val="20"/>
          <w:lang w:val="es-419"/>
        </w:rPr>
        <w:t>. La peticionaria alega que</w:t>
      </w:r>
      <w:r w:rsidR="009A1321">
        <w:rPr>
          <w:sz w:val="20"/>
          <w:szCs w:val="20"/>
          <w:lang w:val="es-419"/>
        </w:rPr>
        <w:t xml:space="preserve"> </w:t>
      </w:r>
      <w:r w:rsidR="009A1321" w:rsidRPr="00F342A1">
        <w:rPr>
          <w:sz w:val="20"/>
          <w:szCs w:val="20"/>
          <w:lang w:val="es-419"/>
        </w:rPr>
        <w:t>el 14 de febrero de 2006</w:t>
      </w:r>
      <w:r w:rsidR="00F342A1" w:rsidRPr="00F342A1">
        <w:rPr>
          <w:sz w:val="20"/>
          <w:szCs w:val="20"/>
          <w:lang w:val="es-419"/>
        </w:rPr>
        <w:t xml:space="preserve"> </w:t>
      </w:r>
      <w:r w:rsidR="006A08CE">
        <w:rPr>
          <w:sz w:val="20"/>
          <w:szCs w:val="20"/>
          <w:lang w:val="es-419"/>
        </w:rPr>
        <w:t>l</w:t>
      </w:r>
      <w:r w:rsidR="00F342A1" w:rsidRPr="00F342A1">
        <w:rPr>
          <w:sz w:val="20"/>
          <w:szCs w:val="20"/>
          <w:lang w:val="es-419"/>
        </w:rPr>
        <w:t>a denuncia fue archivada por no tener fundamento</w:t>
      </w:r>
      <w:r w:rsidR="00B94B46">
        <w:rPr>
          <w:sz w:val="20"/>
          <w:szCs w:val="20"/>
          <w:lang w:val="es-419"/>
        </w:rPr>
        <w:t xml:space="preserve">. </w:t>
      </w:r>
      <w:r w:rsidR="00F342A1" w:rsidRPr="00F342A1">
        <w:rPr>
          <w:sz w:val="20"/>
          <w:szCs w:val="20"/>
          <w:lang w:val="es-419"/>
        </w:rPr>
        <w:t xml:space="preserve">En esa fecha la peticionaria fue escuchada por el </w:t>
      </w:r>
      <w:r w:rsidR="006A08CE">
        <w:rPr>
          <w:sz w:val="20"/>
          <w:szCs w:val="20"/>
          <w:lang w:val="es-419"/>
        </w:rPr>
        <w:t>d</w:t>
      </w:r>
      <w:r w:rsidR="00F342A1" w:rsidRPr="00F342A1">
        <w:rPr>
          <w:sz w:val="20"/>
          <w:szCs w:val="20"/>
          <w:lang w:val="es-419"/>
        </w:rPr>
        <w:t xml:space="preserve">epartamento de </w:t>
      </w:r>
      <w:r w:rsidR="006A08CE">
        <w:rPr>
          <w:sz w:val="20"/>
          <w:szCs w:val="20"/>
          <w:lang w:val="es-419"/>
        </w:rPr>
        <w:t>a</w:t>
      </w:r>
      <w:r w:rsidR="00F342A1" w:rsidRPr="00F342A1">
        <w:rPr>
          <w:sz w:val="20"/>
          <w:szCs w:val="20"/>
          <w:lang w:val="es-419"/>
        </w:rPr>
        <w:t xml:space="preserve">suntos </w:t>
      </w:r>
      <w:r w:rsidR="006A08CE">
        <w:rPr>
          <w:sz w:val="20"/>
          <w:szCs w:val="20"/>
          <w:lang w:val="es-419"/>
        </w:rPr>
        <w:t>i</w:t>
      </w:r>
      <w:r w:rsidR="00F342A1" w:rsidRPr="00F342A1">
        <w:rPr>
          <w:sz w:val="20"/>
          <w:szCs w:val="20"/>
          <w:lang w:val="es-419"/>
        </w:rPr>
        <w:t xml:space="preserve">nternos y alega que las transcripciones de su </w:t>
      </w:r>
      <w:r w:rsidR="000E0C74">
        <w:rPr>
          <w:sz w:val="20"/>
          <w:szCs w:val="20"/>
          <w:lang w:val="es-419"/>
        </w:rPr>
        <w:t>declaración</w:t>
      </w:r>
      <w:r w:rsidR="00F342A1" w:rsidRPr="00F342A1">
        <w:rPr>
          <w:sz w:val="20"/>
          <w:szCs w:val="20"/>
          <w:lang w:val="es-419"/>
        </w:rPr>
        <w:t xml:space="preserve"> fueron alteradas intencionalmente para dificultar la investigación. A pesar de la información de que su denuncia había sido archivada, la peticionaria también indica que el 3 de agosto de 2006 los auditores federales presentaron el informe ESCOR08 n.76/2006, que hace referencia a la denuncia realizada por la peticionaria y a información proporcionada por </w:t>
      </w:r>
      <w:r w:rsidR="005D6797">
        <w:rPr>
          <w:sz w:val="20"/>
          <w:szCs w:val="20"/>
          <w:lang w:val="es-419"/>
        </w:rPr>
        <w:t>A</w:t>
      </w:r>
      <w:r w:rsidR="00A42DF1">
        <w:rPr>
          <w:sz w:val="20"/>
          <w:szCs w:val="20"/>
          <w:lang w:val="es-419"/>
        </w:rPr>
        <w:t>.</w:t>
      </w:r>
      <w:r w:rsidR="005D6797">
        <w:rPr>
          <w:sz w:val="20"/>
          <w:szCs w:val="20"/>
          <w:lang w:val="es-419"/>
        </w:rPr>
        <w:t>A</w:t>
      </w:r>
      <w:r w:rsidR="00A42DF1">
        <w:rPr>
          <w:sz w:val="20"/>
          <w:szCs w:val="20"/>
          <w:lang w:val="es-419"/>
        </w:rPr>
        <w:t>.B.</w:t>
      </w:r>
      <w:r w:rsidR="00F342A1" w:rsidRPr="00F342A1">
        <w:rPr>
          <w:sz w:val="20"/>
          <w:szCs w:val="20"/>
          <w:lang w:val="es-419"/>
        </w:rPr>
        <w:t xml:space="preserve">, concluyendo que no se encontraron evidencias de irregularidades. </w:t>
      </w:r>
      <w:r>
        <w:rPr>
          <w:sz w:val="20"/>
          <w:szCs w:val="20"/>
          <w:lang w:val="es-419"/>
        </w:rPr>
        <w:t xml:space="preserve">La peticionaria </w:t>
      </w:r>
      <w:r w:rsidR="00F342A1" w:rsidRPr="00F342A1">
        <w:rPr>
          <w:sz w:val="20"/>
          <w:szCs w:val="20"/>
          <w:lang w:val="es-419"/>
        </w:rPr>
        <w:t>argumenta que este informe demostraría la falta de debida diligencia por parte de los auditores en relación con los delitos financieros y fiscales presuntamente cometidos por las empresas y su administración.</w:t>
      </w:r>
    </w:p>
    <w:p w14:paraId="693FC4F1" w14:textId="45C170F2" w:rsidR="00F342A1" w:rsidRPr="00F342A1" w:rsidRDefault="00853E1A" w:rsidP="00F342A1">
      <w:pPr>
        <w:pStyle w:val="ListParagraph"/>
        <w:numPr>
          <w:ilvl w:val="0"/>
          <w:numId w:val="59"/>
        </w:numPr>
        <w:spacing w:before="120" w:after="120"/>
        <w:ind w:left="0" w:firstLine="709"/>
        <w:jc w:val="both"/>
        <w:rPr>
          <w:sz w:val="20"/>
          <w:szCs w:val="20"/>
          <w:lang w:val="es-419"/>
        </w:rPr>
      </w:pPr>
      <w:r>
        <w:rPr>
          <w:sz w:val="20"/>
          <w:szCs w:val="20"/>
          <w:lang w:val="es-419"/>
        </w:rPr>
        <w:t xml:space="preserve">La peticionaria </w:t>
      </w:r>
      <w:r w:rsidR="00F342A1" w:rsidRPr="00F342A1">
        <w:rPr>
          <w:sz w:val="20"/>
          <w:szCs w:val="20"/>
          <w:lang w:val="es-419"/>
        </w:rPr>
        <w:t xml:space="preserve">alega que el 24 de septiembre de 2007 verificó que el informe ESCOR08 n.76/2006 había sido enviado al Ministerio Público </w:t>
      </w:r>
      <w:r w:rsidR="006A08CE">
        <w:rPr>
          <w:sz w:val="20"/>
          <w:szCs w:val="20"/>
          <w:lang w:val="es-419"/>
        </w:rPr>
        <w:t>Federal</w:t>
      </w:r>
      <w:r w:rsidR="00F342A1" w:rsidRPr="00F342A1">
        <w:rPr>
          <w:sz w:val="20"/>
          <w:szCs w:val="20"/>
          <w:lang w:val="es-419"/>
        </w:rPr>
        <w:t xml:space="preserve"> (MPF), y que el fiscal responsable había encontrado varias fallas en la investigación adelantada por </w:t>
      </w:r>
      <w:r w:rsidR="006A08CE">
        <w:rPr>
          <w:sz w:val="20"/>
          <w:szCs w:val="20"/>
          <w:lang w:val="es-419"/>
        </w:rPr>
        <w:t>los</w:t>
      </w:r>
      <w:r w:rsidR="00F342A1" w:rsidRPr="00F342A1">
        <w:rPr>
          <w:sz w:val="20"/>
          <w:szCs w:val="20"/>
          <w:lang w:val="es-419"/>
        </w:rPr>
        <w:t xml:space="preserve"> auditores federales</w:t>
      </w:r>
      <w:r w:rsidR="005203C3">
        <w:rPr>
          <w:sz w:val="20"/>
          <w:szCs w:val="20"/>
          <w:lang w:val="es-419"/>
        </w:rPr>
        <w:t xml:space="preserve">. </w:t>
      </w:r>
      <w:r w:rsidR="00F342A1" w:rsidRPr="00F342A1">
        <w:rPr>
          <w:sz w:val="20"/>
          <w:szCs w:val="20"/>
          <w:lang w:val="es-419"/>
        </w:rPr>
        <w:t xml:space="preserve">Según </w:t>
      </w:r>
      <w:r>
        <w:rPr>
          <w:sz w:val="20"/>
          <w:szCs w:val="20"/>
          <w:lang w:val="es-419"/>
        </w:rPr>
        <w:t>la peticionaria</w:t>
      </w:r>
      <w:r w:rsidR="00F342A1" w:rsidRPr="00F342A1">
        <w:rPr>
          <w:sz w:val="20"/>
          <w:szCs w:val="20"/>
          <w:lang w:val="es-419"/>
        </w:rPr>
        <w:t xml:space="preserve">, </w:t>
      </w:r>
      <w:r w:rsidR="006A08CE">
        <w:rPr>
          <w:sz w:val="20"/>
          <w:szCs w:val="20"/>
          <w:lang w:val="es-419"/>
        </w:rPr>
        <w:t>tras la ausencia de implementación de las medidas</w:t>
      </w:r>
      <w:r w:rsidR="00F342A1" w:rsidRPr="00F342A1">
        <w:rPr>
          <w:sz w:val="20"/>
          <w:szCs w:val="20"/>
          <w:lang w:val="es-419"/>
        </w:rPr>
        <w:t xml:space="preserve">, el </w:t>
      </w:r>
      <w:r w:rsidR="006A08CE">
        <w:rPr>
          <w:sz w:val="20"/>
          <w:szCs w:val="20"/>
          <w:lang w:val="es-419"/>
        </w:rPr>
        <w:t>F</w:t>
      </w:r>
      <w:r w:rsidR="00F342A1" w:rsidRPr="00F342A1">
        <w:rPr>
          <w:sz w:val="20"/>
          <w:szCs w:val="20"/>
          <w:lang w:val="es-419"/>
        </w:rPr>
        <w:t>iscal</w:t>
      </w:r>
      <w:r w:rsidR="006A08CE">
        <w:rPr>
          <w:sz w:val="20"/>
          <w:szCs w:val="20"/>
          <w:lang w:val="es-419"/>
        </w:rPr>
        <w:t xml:space="preserve"> del MPF</w:t>
      </w:r>
      <w:r w:rsidR="00F342A1" w:rsidRPr="00F342A1">
        <w:rPr>
          <w:sz w:val="20"/>
          <w:szCs w:val="20"/>
          <w:lang w:val="es-419"/>
        </w:rPr>
        <w:t xml:space="preserve"> solicitó, el 4 de julio de 2008, la apertura de una investigación policial por los delitos denunciados. En consecuencia, el 12 de agosto de 2008, la Policía Federal de São Paulo inició la Indagatoria 12.0269/2008.</w:t>
      </w:r>
    </w:p>
    <w:p w14:paraId="45711CDC" w14:textId="2E0468BB" w:rsidR="00036256" w:rsidRDefault="00F342A1" w:rsidP="00853E1A">
      <w:pPr>
        <w:pStyle w:val="ListParagraph"/>
        <w:numPr>
          <w:ilvl w:val="0"/>
          <w:numId w:val="59"/>
        </w:numPr>
        <w:spacing w:before="120" w:after="120"/>
        <w:ind w:left="0" w:firstLine="709"/>
        <w:jc w:val="both"/>
        <w:rPr>
          <w:sz w:val="20"/>
          <w:szCs w:val="20"/>
          <w:lang w:val="es-419"/>
        </w:rPr>
      </w:pPr>
      <w:r w:rsidRPr="00F342A1">
        <w:rPr>
          <w:sz w:val="20"/>
          <w:szCs w:val="20"/>
          <w:lang w:val="es-419"/>
        </w:rPr>
        <w:t xml:space="preserve">En el ámbito de la investigación policial, </w:t>
      </w:r>
      <w:r w:rsidR="00853E1A">
        <w:rPr>
          <w:sz w:val="20"/>
          <w:szCs w:val="20"/>
          <w:lang w:val="es-419"/>
        </w:rPr>
        <w:t xml:space="preserve">la peticionaria </w:t>
      </w:r>
      <w:r w:rsidRPr="00F342A1">
        <w:rPr>
          <w:sz w:val="20"/>
          <w:szCs w:val="20"/>
          <w:lang w:val="es-419"/>
        </w:rPr>
        <w:t>se refiere a diferentes diligencias investigativas adoptadas, tales como solicit</w:t>
      </w:r>
      <w:r w:rsidR="006A08CE">
        <w:rPr>
          <w:sz w:val="20"/>
          <w:szCs w:val="20"/>
          <w:lang w:val="es-419"/>
        </w:rPr>
        <w:t>udes policiales de</w:t>
      </w:r>
      <w:r w:rsidRPr="00F342A1">
        <w:rPr>
          <w:sz w:val="20"/>
          <w:szCs w:val="20"/>
          <w:lang w:val="es-419"/>
        </w:rPr>
        <w:t xml:space="preserve"> información sobre las empresas involucradas </w:t>
      </w:r>
      <w:r w:rsidR="001D6618">
        <w:rPr>
          <w:sz w:val="20"/>
          <w:szCs w:val="20"/>
          <w:lang w:val="es-419"/>
        </w:rPr>
        <w:t>con</w:t>
      </w:r>
      <w:r w:rsidRPr="00F342A1">
        <w:rPr>
          <w:sz w:val="20"/>
          <w:szCs w:val="20"/>
          <w:lang w:val="es-419"/>
        </w:rPr>
        <w:t xml:space="preserve"> diferentes instituciones públicas (Junta de Comercio de São Paulo, Banco Central, Servicio de Ingresos Federales y su </w:t>
      </w:r>
      <w:r w:rsidR="006A08CE">
        <w:rPr>
          <w:sz w:val="20"/>
          <w:szCs w:val="20"/>
          <w:lang w:val="es-419"/>
        </w:rPr>
        <w:t>departamento de asuntos internos</w:t>
      </w:r>
      <w:r w:rsidRPr="00F342A1">
        <w:rPr>
          <w:sz w:val="20"/>
          <w:szCs w:val="20"/>
          <w:lang w:val="es-419"/>
        </w:rPr>
        <w:t xml:space="preserve">, Secretaría de Hacienda del Estado de São Paulo); la audiencia de contadores; violaciones del secreto bancario; y procedimientos de allanamiento e incautación en los domicilios de los implicados. La peticionaria también menciona, en relación con la misma investigación, que: i) el 11 de enero de 2010 y el 11 de junio de 2010 presentó a las autoridades policiales solicitudes de información sobre la investigación y su sospecha sobre errores en la transcripción de su declaración de 2006 ante el </w:t>
      </w:r>
      <w:r w:rsidR="00131CEA">
        <w:rPr>
          <w:sz w:val="20"/>
          <w:szCs w:val="20"/>
          <w:lang w:val="es-419"/>
        </w:rPr>
        <w:t>departamento de asuntos internos de la Receta Federal</w:t>
      </w:r>
      <w:r w:rsidRPr="00F342A1">
        <w:rPr>
          <w:sz w:val="20"/>
          <w:szCs w:val="20"/>
          <w:lang w:val="es-419"/>
        </w:rPr>
        <w:t xml:space="preserve">; ii) el 10 de agosto de 2010, </w:t>
      </w:r>
      <w:r w:rsidR="00853E1A">
        <w:rPr>
          <w:sz w:val="20"/>
          <w:szCs w:val="20"/>
          <w:lang w:val="es-419"/>
        </w:rPr>
        <w:t xml:space="preserve">la peticionaria </w:t>
      </w:r>
      <w:r w:rsidRPr="00F342A1">
        <w:rPr>
          <w:sz w:val="20"/>
          <w:szCs w:val="20"/>
          <w:lang w:val="es-419"/>
        </w:rPr>
        <w:t>fue oíd</w:t>
      </w:r>
      <w:r w:rsidR="00131CEA">
        <w:rPr>
          <w:sz w:val="20"/>
          <w:szCs w:val="20"/>
          <w:lang w:val="es-419"/>
        </w:rPr>
        <w:t>a</w:t>
      </w:r>
      <w:r w:rsidRPr="00F342A1">
        <w:rPr>
          <w:sz w:val="20"/>
          <w:szCs w:val="20"/>
          <w:lang w:val="es-419"/>
        </w:rPr>
        <w:t xml:space="preserve"> por el delegado a cargo de la investigación y denuncia que este delegado solicitó información sobre el posible delito de evasión fiscal, </w:t>
      </w:r>
      <w:r w:rsidR="00131CEA">
        <w:rPr>
          <w:sz w:val="20"/>
          <w:szCs w:val="20"/>
          <w:lang w:val="es-419"/>
        </w:rPr>
        <w:t xml:space="preserve">sin embargo, no autorizó la peticionaria </w:t>
      </w:r>
      <w:r w:rsidRPr="00F342A1">
        <w:rPr>
          <w:sz w:val="20"/>
          <w:szCs w:val="20"/>
          <w:lang w:val="es-419"/>
        </w:rPr>
        <w:t xml:space="preserve">a tratar los demás delitos de evasión fiscal, defraudación fiscal, blanqueo de capitales y corrupción fiscal </w:t>
      </w:r>
      <w:r w:rsidR="00131CEA">
        <w:rPr>
          <w:sz w:val="20"/>
          <w:szCs w:val="20"/>
          <w:lang w:val="es-419"/>
        </w:rPr>
        <w:t>por ella denunciados</w:t>
      </w:r>
      <w:r w:rsidRPr="00F342A1">
        <w:rPr>
          <w:sz w:val="20"/>
          <w:szCs w:val="20"/>
          <w:lang w:val="es-419"/>
        </w:rPr>
        <w:t xml:space="preserve">; iii) el 18 de octubre de 2010, </w:t>
      </w:r>
      <w:r w:rsidR="00131CEA">
        <w:rPr>
          <w:sz w:val="20"/>
          <w:szCs w:val="20"/>
          <w:lang w:val="es-419"/>
        </w:rPr>
        <w:t>la peticionaria</w:t>
      </w:r>
      <w:r w:rsidRPr="00F342A1">
        <w:rPr>
          <w:sz w:val="20"/>
          <w:szCs w:val="20"/>
          <w:lang w:val="es-419"/>
        </w:rPr>
        <w:t xml:space="preserve"> habría informado a los fiscales del MPF sobre la mala conducta del jefe de policía y, en fecha no </w:t>
      </w:r>
      <w:r w:rsidR="00131CEA">
        <w:rPr>
          <w:sz w:val="20"/>
          <w:szCs w:val="20"/>
          <w:lang w:val="es-419"/>
        </w:rPr>
        <w:t>informada</w:t>
      </w:r>
      <w:r w:rsidRPr="00F342A1">
        <w:rPr>
          <w:sz w:val="20"/>
          <w:szCs w:val="20"/>
          <w:lang w:val="es-419"/>
        </w:rPr>
        <w:t xml:space="preserve">, habría denunciado la misma situación a la División de Asuntos Internos de la Policía Federal de São Paulo y al Jefe Delegado de la Policía </w:t>
      </w:r>
      <w:r w:rsidR="00373BF3">
        <w:rPr>
          <w:sz w:val="20"/>
          <w:szCs w:val="20"/>
          <w:lang w:val="es-419"/>
        </w:rPr>
        <w:t xml:space="preserve">de la </w:t>
      </w:r>
      <w:r w:rsidRPr="00F342A1">
        <w:rPr>
          <w:sz w:val="20"/>
          <w:szCs w:val="20"/>
          <w:lang w:val="es-419"/>
        </w:rPr>
        <w:t>Estación de Represión a Delitos Financieros.</w:t>
      </w:r>
    </w:p>
    <w:p w14:paraId="1FFD0187" w14:textId="07A827DF" w:rsidR="00853E1A" w:rsidRPr="00853E1A" w:rsidRDefault="00A379BA" w:rsidP="00853E1A">
      <w:pPr>
        <w:pStyle w:val="ListParagraph"/>
        <w:numPr>
          <w:ilvl w:val="0"/>
          <w:numId w:val="59"/>
        </w:numPr>
        <w:spacing w:before="120" w:after="120"/>
        <w:ind w:left="0" w:firstLine="709"/>
        <w:jc w:val="both"/>
        <w:rPr>
          <w:sz w:val="20"/>
          <w:szCs w:val="20"/>
          <w:lang w:val="es-419"/>
        </w:rPr>
      </w:pPr>
      <w:r>
        <w:rPr>
          <w:sz w:val="20"/>
          <w:szCs w:val="20"/>
          <w:lang w:val="es-419"/>
        </w:rPr>
        <w:t>La peticionaria</w:t>
      </w:r>
      <w:r w:rsidR="00853E1A" w:rsidRPr="00853E1A">
        <w:rPr>
          <w:sz w:val="20"/>
          <w:szCs w:val="20"/>
          <w:lang w:val="es-419"/>
        </w:rPr>
        <w:t xml:space="preserve"> alega que el delegado de investigación omitió realizar importantes diligencias investigativas, tales como la audiencia a empleados y prestadores de servicios de las empresas</w:t>
      </w:r>
      <w:r w:rsidR="00A9427B">
        <w:rPr>
          <w:sz w:val="20"/>
          <w:szCs w:val="20"/>
          <w:lang w:val="es-419"/>
        </w:rPr>
        <w:t>;</w:t>
      </w:r>
      <w:r w:rsidR="00853E1A" w:rsidRPr="00853E1A">
        <w:rPr>
          <w:sz w:val="20"/>
          <w:szCs w:val="20"/>
          <w:lang w:val="es-419"/>
        </w:rPr>
        <w:t xml:space="preserve"> el levantamiento de las transacciones bancarias de los investigados</w:t>
      </w:r>
      <w:r w:rsidR="00A9427B">
        <w:rPr>
          <w:sz w:val="20"/>
          <w:szCs w:val="20"/>
          <w:lang w:val="es-419"/>
        </w:rPr>
        <w:t>;</w:t>
      </w:r>
      <w:r w:rsidR="00853E1A" w:rsidRPr="00853E1A">
        <w:rPr>
          <w:sz w:val="20"/>
          <w:szCs w:val="20"/>
          <w:lang w:val="es-419"/>
        </w:rPr>
        <w:t xml:space="preserve"> y órdenes de allanamiento en los domicilios</w:t>
      </w:r>
      <w:r>
        <w:rPr>
          <w:sz w:val="20"/>
          <w:szCs w:val="20"/>
          <w:lang w:val="es-419"/>
        </w:rPr>
        <w:t xml:space="preserve"> </w:t>
      </w:r>
      <w:r w:rsidR="00853E1A" w:rsidRPr="00853E1A">
        <w:rPr>
          <w:sz w:val="20"/>
          <w:szCs w:val="20"/>
          <w:lang w:val="es-419"/>
        </w:rPr>
        <w:t>de las empresas y personas involucradas (</w:t>
      </w:r>
      <w:r>
        <w:rPr>
          <w:sz w:val="20"/>
          <w:szCs w:val="20"/>
          <w:lang w:val="es-419"/>
        </w:rPr>
        <w:t>s</w:t>
      </w:r>
      <w:r w:rsidR="00853E1A" w:rsidRPr="00853E1A">
        <w:rPr>
          <w:sz w:val="20"/>
          <w:szCs w:val="20"/>
          <w:lang w:val="es-419"/>
        </w:rPr>
        <w:t xml:space="preserve">in embargo, en otro momento de sus escritos, la peticionaria manifiesta que se ejecutó una orden de </w:t>
      </w:r>
      <w:r>
        <w:rPr>
          <w:sz w:val="20"/>
          <w:szCs w:val="20"/>
          <w:lang w:val="es-419"/>
        </w:rPr>
        <w:t>allanamiento</w:t>
      </w:r>
      <w:r w:rsidR="00853E1A" w:rsidRPr="00853E1A">
        <w:rPr>
          <w:sz w:val="20"/>
          <w:szCs w:val="20"/>
          <w:lang w:val="es-419"/>
        </w:rPr>
        <w:t xml:space="preserve">, sin embargo, sólo en uno de los domicilios de los implicados). </w:t>
      </w:r>
      <w:r>
        <w:rPr>
          <w:sz w:val="20"/>
          <w:szCs w:val="20"/>
          <w:lang w:val="es-419"/>
        </w:rPr>
        <w:t>La</w:t>
      </w:r>
      <w:r w:rsidR="00853E1A" w:rsidRPr="00853E1A">
        <w:rPr>
          <w:sz w:val="20"/>
          <w:szCs w:val="20"/>
          <w:lang w:val="es-419"/>
        </w:rPr>
        <w:t xml:space="preserve"> peticionari</w:t>
      </w:r>
      <w:r>
        <w:rPr>
          <w:sz w:val="20"/>
          <w:szCs w:val="20"/>
          <w:lang w:val="es-419"/>
        </w:rPr>
        <w:t>a</w:t>
      </w:r>
      <w:r w:rsidR="00853E1A" w:rsidRPr="00853E1A">
        <w:rPr>
          <w:sz w:val="20"/>
          <w:szCs w:val="20"/>
          <w:lang w:val="es-419"/>
        </w:rPr>
        <w:t xml:space="preserve"> también alega que el delegado permitió al </w:t>
      </w:r>
      <w:r>
        <w:rPr>
          <w:sz w:val="20"/>
          <w:szCs w:val="20"/>
          <w:lang w:val="es-419"/>
        </w:rPr>
        <w:t xml:space="preserve">abogado del </w:t>
      </w:r>
      <w:r w:rsidR="00853E1A" w:rsidRPr="00853E1A">
        <w:rPr>
          <w:sz w:val="20"/>
          <w:szCs w:val="20"/>
          <w:lang w:val="es-419"/>
        </w:rPr>
        <w:t xml:space="preserve">Sr. </w:t>
      </w:r>
      <w:r w:rsidR="00D74084">
        <w:rPr>
          <w:sz w:val="20"/>
          <w:szCs w:val="20"/>
          <w:lang w:val="es-419"/>
        </w:rPr>
        <w:t>A.A.B.</w:t>
      </w:r>
      <w:r w:rsidR="00853E1A" w:rsidRPr="00853E1A">
        <w:rPr>
          <w:sz w:val="20"/>
          <w:szCs w:val="20"/>
          <w:lang w:val="es-419"/>
        </w:rPr>
        <w:t xml:space="preserve"> acceder y tomar copias de la indagatoria el 30 de septiembre de 2011, ante</w:t>
      </w:r>
      <w:r>
        <w:rPr>
          <w:sz w:val="20"/>
          <w:szCs w:val="20"/>
          <w:lang w:val="es-419"/>
        </w:rPr>
        <w:t>s de que</w:t>
      </w:r>
      <w:r w:rsidR="00853E1A" w:rsidRPr="00853E1A">
        <w:rPr>
          <w:sz w:val="20"/>
          <w:szCs w:val="20"/>
          <w:lang w:val="es-419"/>
        </w:rPr>
        <w:t xml:space="preserve"> </w:t>
      </w:r>
      <w:r w:rsidR="00D74084">
        <w:rPr>
          <w:sz w:val="20"/>
          <w:szCs w:val="20"/>
          <w:lang w:val="es-419"/>
        </w:rPr>
        <w:t>este</w:t>
      </w:r>
      <w:r w:rsidR="00853E1A" w:rsidRPr="00853E1A">
        <w:rPr>
          <w:sz w:val="20"/>
          <w:szCs w:val="20"/>
          <w:lang w:val="es-419"/>
        </w:rPr>
        <w:t xml:space="preserve"> rindi</w:t>
      </w:r>
      <w:r>
        <w:rPr>
          <w:sz w:val="20"/>
          <w:szCs w:val="20"/>
          <w:lang w:val="es-419"/>
        </w:rPr>
        <w:t>era su</w:t>
      </w:r>
      <w:r w:rsidR="00853E1A" w:rsidRPr="00853E1A">
        <w:rPr>
          <w:sz w:val="20"/>
          <w:szCs w:val="20"/>
          <w:lang w:val="es-419"/>
        </w:rPr>
        <w:t xml:space="preserve"> declaración en la comisaría el 3 de octubre de 2011; y que el delegado habría dejado de hacerle más preguntas al declarante.</w:t>
      </w:r>
    </w:p>
    <w:p w14:paraId="48306C0A" w14:textId="3B826201" w:rsidR="00853E1A" w:rsidRPr="00853E1A" w:rsidRDefault="00941B25" w:rsidP="00853E1A">
      <w:pPr>
        <w:pStyle w:val="ListParagraph"/>
        <w:numPr>
          <w:ilvl w:val="0"/>
          <w:numId w:val="59"/>
        </w:numPr>
        <w:spacing w:before="120" w:after="120"/>
        <w:ind w:left="0" w:firstLine="709"/>
        <w:jc w:val="both"/>
        <w:rPr>
          <w:sz w:val="20"/>
          <w:szCs w:val="20"/>
          <w:lang w:val="es-419"/>
        </w:rPr>
      </w:pPr>
      <w:r>
        <w:rPr>
          <w:sz w:val="20"/>
          <w:szCs w:val="20"/>
          <w:lang w:val="es-419"/>
        </w:rPr>
        <w:t>La peticionaria</w:t>
      </w:r>
      <w:r w:rsidR="00853E1A" w:rsidRPr="00853E1A">
        <w:rPr>
          <w:sz w:val="20"/>
          <w:szCs w:val="20"/>
          <w:lang w:val="es-419"/>
        </w:rPr>
        <w:t xml:space="preserve"> informa que el 11 de enero de 2012 </w:t>
      </w:r>
      <w:r w:rsidR="00A379BA">
        <w:rPr>
          <w:sz w:val="20"/>
          <w:szCs w:val="20"/>
          <w:lang w:val="es-419"/>
        </w:rPr>
        <w:t>la Indagatoria</w:t>
      </w:r>
      <w:r>
        <w:rPr>
          <w:sz w:val="20"/>
          <w:szCs w:val="20"/>
          <w:lang w:val="es-419"/>
        </w:rPr>
        <w:t xml:space="preserve"> </w:t>
      </w:r>
      <w:r w:rsidR="00853E1A" w:rsidRPr="00853E1A">
        <w:rPr>
          <w:sz w:val="20"/>
          <w:szCs w:val="20"/>
          <w:lang w:val="es-419"/>
        </w:rPr>
        <w:t>12.0269/2008 fue clausurad</w:t>
      </w:r>
      <w:r w:rsidR="00A379BA">
        <w:rPr>
          <w:sz w:val="20"/>
          <w:szCs w:val="20"/>
          <w:lang w:val="es-419"/>
        </w:rPr>
        <w:t>a</w:t>
      </w:r>
      <w:r w:rsidR="00853E1A" w:rsidRPr="00853E1A">
        <w:rPr>
          <w:sz w:val="20"/>
          <w:szCs w:val="20"/>
          <w:lang w:val="es-419"/>
        </w:rPr>
        <w:t xml:space="preserve"> por </w:t>
      </w:r>
      <w:r w:rsidR="00A379BA">
        <w:rPr>
          <w:sz w:val="20"/>
          <w:szCs w:val="20"/>
          <w:lang w:val="es-419"/>
        </w:rPr>
        <w:t>un fiscal del MPF</w:t>
      </w:r>
      <w:r w:rsidR="00853E1A" w:rsidRPr="00853E1A">
        <w:rPr>
          <w:sz w:val="20"/>
          <w:szCs w:val="20"/>
          <w:lang w:val="es-419"/>
        </w:rPr>
        <w:t xml:space="preserve">, por no </w:t>
      </w:r>
      <w:r w:rsidR="00A379BA">
        <w:rPr>
          <w:sz w:val="20"/>
          <w:szCs w:val="20"/>
          <w:lang w:val="es-419"/>
        </w:rPr>
        <w:t>haber encontrado</w:t>
      </w:r>
      <w:r w:rsidR="00853E1A" w:rsidRPr="00853E1A">
        <w:rPr>
          <w:sz w:val="20"/>
          <w:szCs w:val="20"/>
          <w:lang w:val="es-419"/>
        </w:rPr>
        <w:t xml:space="preserve"> indicios de los delitos denunciados. Luego de su cierre, el 25 de abril de 2012, una fiscal </w:t>
      </w:r>
      <w:r w:rsidR="00A379BA">
        <w:rPr>
          <w:sz w:val="20"/>
          <w:szCs w:val="20"/>
          <w:lang w:val="es-419"/>
        </w:rPr>
        <w:t>archivó la indagatoria</w:t>
      </w:r>
      <w:r w:rsidR="00853E1A" w:rsidRPr="00853E1A">
        <w:rPr>
          <w:sz w:val="20"/>
          <w:szCs w:val="20"/>
          <w:lang w:val="es-419"/>
        </w:rPr>
        <w:t xml:space="preserve"> por considerar que no se encontraron irregularidades.</w:t>
      </w:r>
    </w:p>
    <w:p w14:paraId="04AD86DD" w14:textId="10D9F334"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La peticionaria también informa sobre un correo electrónico que envió el 7 de abril de 2012 al Departamento de Asuntos Internos del MPF con un resumen de los hechos, además de los correos electrónicos enviados al MPF el 24 de marzo, 25 de marzo y 16 de agosto de 2013 solicitando una explicación</w:t>
      </w:r>
      <w:r w:rsidR="00A379BA">
        <w:rPr>
          <w:sz w:val="20"/>
          <w:szCs w:val="20"/>
          <w:lang w:val="es-419"/>
        </w:rPr>
        <w:t xml:space="preserve"> </w:t>
      </w:r>
      <w:r w:rsidR="00A379BA">
        <w:rPr>
          <w:sz w:val="20"/>
          <w:szCs w:val="20"/>
          <w:lang w:val="es-419"/>
        </w:rPr>
        <w:lastRenderedPageBreak/>
        <w:t>sobre</w:t>
      </w:r>
      <w:r w:rsidRPr="00853E1A">
        <w:rPr>
          <w:sz w:val="20"/>
          <w:szCs w:val="20"/>
          <w:lang w:val="es-419"/>
        </w:rPr>
        <w:t xml:space="preserve"> el cierre de la investigación. Según </w:t>
      </w:r>
      <w:r w:rsidR="00A379BA">
        <w:rPr>
          <w:sz w:val="20"/>
          <w:szCs w:val="20"/>
          <w:lang w:val="es-419"/>
        </w:rPr>
        <w:t>la peticionaria</w:t>
      </w:r>
      <w:r w:rsidRPr="00853E1A">
        <w:rPr>
          <w:sz w:val="20"/>
          <w:szCs w:val="20"/>
          <w:lang w:val="es-419"/>
        </w:rPr>
        <w:t xml:space="preserve">, el 23 de julio de 2014 </w:t>
      </w:r>
      <w:r w:rsidR="00A379BA">
        <w:rPr>
          <w:sz w:val="20"/>
          <w:szCs w:val="20"/>
          <w:lang w:val="es-419"/>
        </w:rPr>
        <w:t xml:space="preserve">el </w:t>
      </w:r>
      <w:r w:rsidR="00A379BA" w:rsidRPr="00853E1A">
        <w:rPr>
          <w:sz w:val="20"/>
          <w:szCs w:val="20"/>
          <w:lang w:val="es-419"/>
        </w:rPr>
        <w:t>Departamento de Asuntos Internos del MPF</w:t>
      </w:r>
      <w:r w:rsidRPr="00853E1A">
        <w:rPr>
          <w:sz w:val="20"/>
          <w:szCs w:val="20"/>
          <w:lang w:val="es-419"/>
        </w:rPr>
        <w:t xml:space="preserve"> habría informado que parte de sus denuncias se habrían perdido, que la investigación habría sido archivada y que la Fiscalía no encontraría motivos para proceder con un proceso penal</w:t>
      </w:r>
      <w:r w:rsidR="00A379BA">
        <w:rPr>
          <w:sz w:val="20"/>
          <w:szCs w:val="20"/>
          <w:lang w:val="es-419"/>
        </w:rPr>
        <w:t>.</w:t>
      </w:r>
    </w:p>
    <w:p w14:paraId="101B8DDA" w14:textId="0A5BE9D4" w:rsidR="00853E1A" w:rsidRPr="00853E1A" w:rsidRDefault="00F96111" w:rsidP="00853E1A">
      <w:pPr>
        <w:pStyle w:val="ListParagraph"/>
        <w:numPr>
          <w:ilvl w:val="0"/>
          <w:numId w:val="59"/>
        </w:numPr>
        <w:spacing w:before="120" w:after="120"/>
        <w:ind w:left="0" w:firstLine="709"/>
        <w:jc w:val="both"/>
        <w:rPr>
          <w:sz w:val="20"/>
          <w:szCs w:val="20"/>
          <w:lang w:val="es-419"/>
        </w:rPr>
      </w:pPr>
      <w:r>
        <w:rPr>
          <w:sz w:val="20"/>
          <w:szCs w:val="20"/>
          <w:lang w:val="es-419"/>
        </w:rPr>
        <w:t>E</w:t>
      </w:r>
      <w:r w:rsidR="00853E1A" w:rsidRPr="00853E1A">
        <w:rPr>
          <w:sz w:val="20"/>
          <w:szCs w:val="20"/>
          <w:lang w:val="es-419"/>
        </w:rPr>
        <w:t xml:space="preserve">n febrero de 2014 el </w:t>
      </w:r>
      <w:r w:rsidR="00A379BA">
        <w:rPr>
          <w:sz w:val="20"/>
          <w:szCs w:val="20"/>
          <w:lang w:val="es-419"/>
        </w:rPr>
        <w:t>delegado de la indagación</w:t>
      </w:r>
      <w:r w:rsidR="00853E1A" w:rsidRPr="00853E1A">
        <w:rPr>
          <w:sz w:val="20"/>
          <w:szCs w:val="20"/>
          <w:lang w:val="es-419"/>
        </w:rPr>
        <w:t xml:space="preserve"> brindó</w:t>
      </w:r>
      <w:r>
        <w:rPr>
          <w:sz w:val="20"/>
          <w:szCs w:val="20"/>
          <w:lang w:val="es-419"/>
        </w:rPr>
        <w:t xml:space="preserve"> a</w:t>
      </w:r>
      <w:r w:rsidR="00853E1A" w:rsidRPr="00853E1A">
        <w:rPr>
          <w:sz w:val="20"/>
          <w:szCs w:val="20"/>
          <w:lang w:val="es-419"/>
        </w:rPr>
        <w:t xml:space="preserve"> </w:t>
      </w:r>
      <w:r w:rsidR="00A379BA">
        <w:rPr>
          <w:sz w:val="20"/>
          <w:szCs w:val="20"/>
          <w:lang w:val="es-419"/>
        </w:rPr>
        <w:t>la</w:t>
      </w:r>
      <w:r w:rsidR="00853E1A" w:rsidRPr="00853E1A">
        <w:rPr>
          <w:sz w:val="20"/>
          <w:szCs w:val="20"/>
          <w:lang w:val="es-419"/>
        </w:rPr>
        <w:t xml:space="preserve"> peticionari</w:t>
      </w:r>
      <w:r w:rsidR="00A379BA">
        <w:rPr>
          <w:sz w:val="20"/>
          <w:szCs w:val="20"/>
          <w:lang w:val="es-419"/>
        </w:rPr>
        <w:t>a</w:t>
      </w:r>
      <w:r w:rsidR="00853E1A" w:rsidRPr="00853E1A">
        <w:rPr>
          <w:sz w:val="20"/>
          <w:szCs w:val="20"/>
          <w:lang w:val="es-419"/>
        </w:rPr>
        <w:t xml:space="preserve"> aclaraciones sobre la conducción y cierre de la investigación a través de dos memorandos, mencionando las diligencias investigativas realizadas. La peticionaria considera, sin embargo, que estas aclaraciones no descartan que, en su opinión, la investigación no logró llevar a cabo la investigación del movimiento financiero de las cuentas corrientes a nombre de la empresa Balaska Equipe y la solicitud de la declaración de renta de la respectiva empresa para comparar los movimientos.</w:t>
      </w:r>
    </w:p>
    <w:p w14:paraId="6DE713AE" w14:textId="7760C43B" w:rsidR="00853E1A" w:rsidRPr="001F5A98" w:rsidRDefault="00853E1A" w:rsidP="002A3913">
      <w:pPr>
        <w:pStyle w:val="ListParagraph"/>
        <w:numPr>
          <w:ilvl w:val="0"/>
          <w:numId w:val="59"/>
        </w:numPr>
        <w:spacing w:before="120" w:after="120"/>
        <w:ind w:left="0" w:firstLine="709"/>
        <w:jc w:val="both"/>
        <w:rPr>
          <w:sz w:val="20"/>
          <w:szCs w:val="20"/>
          <w:lang w:val="es-419"/>
        </w:rPr>
      </w:pPr>
      <w:r w:rsidRPr="001F5A98">
        <w:rPr>
          <w:sz w:val="20"/>
          <w:szCs w:val="20"/>
          <w:lang w:val="es-419"/>
        </w:rPr>
        <w:t>La peticionaria indica que en varias ocasiones ella y su familia vieron carros con vidrios polarizados estacionados frente a la casa al otro lado de la acera. Además, el 30 de agosto de 2011 afirma haber sufrido un atentado en la puerta de su domicilio. Según su descripción, frente a su casa un automóvil con las ventanillas bajadas, tripulado por dos hombres</w:t>
      </w:r>
      <w:r w:rsidR="00A379BA" w:rsidRPr="001F5A98">
        <w:rPr>
          <w:sz w:val="20"/>
          <w:szCs w:val="20"/>
          <w:lang w:val="es-419"/>
        </w:rPr>
        <w:t xml:space="preserve">, hizo maniobras que </w:t>
      </w:r>
      <w:r w:rsidRPr="001F5A98">
        <w:rPr>
          <w:sz w:val="20"/>
          <w:szCs w:val="20"/>
          <w:lang w:val="es-419"/>
        </w:rPr>
        <w:t>serían las mismas que comúnmente utiliza la policía militar</w:t>
      </w:r>
      <w:r w:rsidR="00A379BA" w:rsidRPr="001F5A98">
        <w:rPr>
          <w:sz w:val="20"/>
          <w:szCs w:val="20"/>
          <w:lang w:val="es-419"/>
        </w:rPr>
        <w:t>.</w:t>
      </w:r>
      <w:r w:rsidRPr="001F5A98">
        <w:rPr>
          <w:sz w:val="20"/>
          <w:szCs w:val="20"/>
          <w:lang w:val="es-419"/>
        </w:rPr>
        <w:t xml:space="preserve"> </w:t>
      </w:r>
      <w:r w:rsidR="00A379BA" w:rsidRPr="001F5A98">
        <w:rPr>
          <w:sz w:val="20"/>
          <w:szCs w:val="20"/>
          <w:lang w:val="es-419"/>
        </w:rPr>
        <w:t>S</w:t>
      </w:r>
      <w:r w:rsidRPr="001F5A98">
        <w:rPr>
          <w:sz w:val="20"/>
          <w:szCs w:val="20"/>
          <w:lang w:val="es-419"/>
        </w:rPr>
        <w:t xml:space="preserve">egún </w:t>
      </w:r>
      <w:r w:rsidR="00A379BA" w:rsidRPr="001F5A98">
        <w:rPr>
          <w:sz w:val="20"/>
          <w:szCs w:val="20"/>
          <w:lang w:val="es-419"/>
        </w:rPr>
        <w:t>la peticionaria</w:t>
      </w:r>
      <w:r w:rsidRPr="001F5A98">
        <w:rPr>
          <w:sz w:val="20"/>
          <w:szCs w:val="20"/>
          <w:lang w:val="es-419"/>
        </w:rPr>
        <w:t xml:space="preserve">, </w:t>
      </w:r>
      <w:r w:rsidR="002C3757">
        <w:rPr>
          <w:sz w:val="20"/>
          <w:szCs w:val="20"/>
          <w:lang w:val="es-419"/>
        </w:rPr>
        <w:t>A.A.B.</w:t>
      </w:r>
      <w:r w:rsidRPr="001F5A98">
        <w:rPr>
          <w:sz w:val="20"/>
          <w:szCs w:val="20"/>
          <w:lang w:val="es-419"/>
        </w:rPr>
        <w:t xml:space="preserve"> utilizó a policías militares como agentes de seguridad privada. La peticionaria alega que el hecho se registró en la </w:t>
      </w:r>
      <w:r w:rsidR="00A379BA" w:rsidRPr="001F5A98">
        <w:rPr>
          <w:sz w:val="20"/>
          <w:szCs w:val="20"/>
          <w:lang w:val="es-419"/>
        </w:rPr>
        <w:t xml:space="preserve">Tercera </w:t>
      </w:r>
      <w:r w:rsidRPr="001F5A98">
        <w:rPr>
          <w:sz w:val="20"/>
          <w:szCs w:val="20"/>
          <w:lang w:val="es-419"/>
        </w:rPr>
        <w:t xml:space="preserve">Comisaría de Protección a Testigos, y que el </w:t>
      </w:r>
      <w:r w:rsidR="00A379BA" w:rsidRPr="001F5A98">
        <w:rPr>
          <w:sz w:val="20"/>
          <w:szCs w:val="20"/>
          <w:lang w:val="es-419"/>
        </w:rPr>
        <w:t>delegado</w:t>
      </w:r>
      <w:r w:rsidRPr="001F5A98">
        <w:rPr>
          <w:sz w:val="20"/>
          <w:szCs w:val="20"/>
          <w:lang w:val="es-419"/>
        </w:rPr>
        <w:t xml:space="preserve"> le habría ofrecido derivar el caso al programa de protección de testigos, oferta que ella rechazó porque no creía que el programa </w:t>
      </w:r>
      <w:r w:rsidR="00A379BA" w:rsidRPr="001F5A98">
        <w:rPr>
          <w:sz w:val="20"/>
          <w:szCs w:val="20"/>
          <w:lang w:val="es-419"/>
        </w:rPr>
        <w:t>fuera seguro</w:t>
      </w:r>
      <w:r w:rsidRPr="001F5A98">
        <w:rPr>
          <w:sz w:val="20"/>
          <w:szCs w:val="20"/>
          <w:lang w:val="es-419"/>
        </w:rPr>
        <w:t>. Además, argumenta que este ataque habría vulnerado su derecho a circular y residir</w:t>
      </w:r>
      <w:r w:rsidR="001F5A98" w:rsidRPr="001F5A98">
        <w:rPr>
          <w:sz w:val="20"/>
          <w:szCs w:val="20"/>
          <w:lang w:val="es-419"/>
        </w:rPr>
        <w:t>, y que se sentiría expulsada de Brasil.</w:t>
      </w:r>
      <w:r w:rsidR="00A379BA" w:rsidRPr="001F5A98">
        <w:rPr>
          <w:sz w:val="20"/>
          <w:szCs w:val="20"/>
          <w:lang w:val="es-419"/>
        </w:rPr>
        <w:t xml:space="preserve"> </w:t>
      </w:r>
      <w:r w:rsidRPr="001F5A98">
        <w:rPr>
          <w:sz w:val="20"/>
          <w:szCs w:val="20"/>
          <w:lang w:val="es-419"/>
        </w:rPr>
        <w:t>La peticionaria informa que vive en España, pero no aclara si habría salido de Brasil por algún motivo relacionado con el presunto at</w:t>
      </w:r>
      <w:r w:rsidR="00A379BA" w:rsidRPr="001F5A98">
        <w:rPr>
          <w:sz w:val="20"/>
          <w:szCs w:val="20"/>
          <w:lang w:val="es-419"/>
        </w:rPr>
        <w:t>entado</w:t>
      </w:r>
      <w:r w:rsidR="001F5A98">
        <w:rPr>
          <w:sz w:val="20"/>
          <w:szCs w:val="20"/>
          <w:lang w:val="es-419"/>
        </w:rPr>
        <w:t xml:space="preserve"> en específico</w:t>
      </w:r>
      <w:r w:rsidRPr="001F5A98">
        <w:rPr>
          <w:sz w:val="20"/>
          <w:szCs w:val="20"/>
          <w:lang w:val="es-419"/>
        </w:rPr>
        <w:t>. Dice tener miedo de andar por las calles, incluso en España, e informa que ya no ve a su familia, y que su familia tendría miedo de mantenerse en contacto con ella.</w:t>
      </w:r>
    </w:p>
    <w:p w14:paraId="54EAD9D2" w14:textId="08A99570"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La peticionaria alega además que su abogado, luego de la supuesta agresión, recibió llamadas telefónicas anónimas en su domicilio con amenazas y exigiéndole que dejara de representar a la peticionaria</w:t>
      </w:r>
      <w:r w:rsidR="00A379BA">
        <w:rPr>
          <w:sz w:val="20"/>
          <w:szCs w:val="20"/>
          <w:lang w:val="es-419"/>
        </w:rPr>
        <w:t>.</w:t>
      </w:r>
      <w:r w:rsidRPr="00853E1A">
        <w:rPr>
          <w:sz w:val="20"/>
          <w:szCs w:val="20"/>
          <w:lang w:val="es-419"/>
        </w:rPr>
        <w:t xml:space="preserve"> </w:t>
      </w:r>
      <w:r w:rsidR="00A379BA">
        <w:rPr>
          <w:sz w:val="20"/>
          <w:szCs w:val="20"/>
          <w:lang w:val="es-419"/>
        </w:rPr>
        <w:t>E</w:t>
      </w:r>
      <w:r w:rsidRPr="00853E1A">
        <w:rPr>
          <w:sz w:val="20"/>
          <w:szCs w:val="20"/>
          <w:lang w:val="es-419"/>
        </w:rPr>
        <w:t>se mismo abogado</w:t>
      </w:r>
      <w:r w:rsidR="00A379BA">
        <w:rPr>
          <w:sz w:val="20"/>
          <w:szCs w:val="20"/>
          <w:lang w:val="es-419"/>
        </w:rPr>
        <w:t>, señala la peticionaria,</w:t>
      </w:r>
      <w:r w:rsidRPr="00853E1A">
        <w:rPr>
          <w:sz w:val="20"/>
          <w:szCs w:val="20"/>
          <w:lang w:val="es-419"/>
        </w:rPr>
        <w:t xml:space="preserve"> falleció el 12 de abril de 2014 a consecuencia de un </w:t>
      </w:r>
      <w:r w:rsidR="00A379BA">
        <w:rPr>
          <w:sz w:val="20"/>
          <w:szCs w:val="20"/>
          <w:lang w:val="es-419"/>
        </w:rPr>
        <w:t>“</w:t>
      </w:r>
      <w:r w:rsidRPr="00853E1A">
        <w:rPr>
          <w:sz w:val="20"/>
          <w:szCs w:val="20"/>
          <w:lang w:val="es-419"/>
        </w:rPr>
        <w:t>dudoso</w:t>
      </w:r>
      <w:r w:rsidR="00A379BA">
        <w:rPr>
          <w:sz w:val="20"/>
          <w:szCs w:val="20"/>
          <w:lang w:val="es-419"/>
        </w:rPr>
        <w:t>”</w:t>
      </w:r>
      <w:r w:rsidRPr="00853E1A">
        <w:rPr>
          <w:sz w:val="20"/>
          <w:szCs w:val="20"/>
          <w:lang w:val="es-419"/>
        </w:rPr>
        <w:t xml:space="preserve"> accidente. </w:t>
      </w:r>
      <w:r w:rsidR="00941B25">
        <w:rPr>
          <w:sz w:val="20"/>
          <w:szCs w:val="20"/>
          <w:lang w:val="es-419"/>
        </w:rPr>
        <w:t xml:space="preserve">La </w:t>
      </w:r>
      <w:r w:rsidRPr="00853E1A">
        <w:rPr>
          <w:sz w:val="20"/>
          <w:szCs w:val="20"/>
          <w:lang w:val="es-419"/>
        </w:rPr>
        <w:t>peticionari</w:t>
      </w:r>
      <w:r w:rsidR="00941B25">
        <w:rPr>
          <w:sz w:val="20"/>
          <w:szCs w:val="20"/>
          <w:lang w:val="es-419"/>
        </w:rPr>
        <w:t>a</w:t>
      </w:r>
      <w:r w:rsidRPr="00853E1A">
        <w:rPr>
          <w:sz w:val="20"/>
          <w:szCs w:val="20"/>
          <w:lang w:val="es-419"/>
        </w:rPr>
        <w:t xml:space="preserve"> no proporcionó detalles sobre la muerte y si fue denunciada o investigada.</w:t>
      </w:r>
    </w:p>
    <w:p w14:paraId="50B31E70" w14:textId="0B96972B" w:rsidR="00853E1A" w:rsidRDefault="00853E1A" w:rsidP="00540FED">
      <w:pPr>
        <w:pStyle w:val="ListParagraph"/>
        <w:numPr>
          <w:ilvl w:val="0"/>
          <w:numId w:val="59"/>
        </w:numPr>
        <w:spacing w:before="120" w:after="120"/>
        <w:ind w:left="0" w:firstLine="709"/>
        <w:jc w:val="both"/>
        <w:rPr>
          <w:sz w:val="20"/>
          <w:szCs w:val="20"/>
          <w:lang w:val="es-419"/>
        </w:rPr>
      </w:pPr>
      <w:r w:rsidRPr="00853E1A">
        <w:rPr>
          <w:sz w:val="20"/>
          <w:szCs w:val="20"/>
          <w:lang w:val="es-419"/>
        </w:rPr>
        <w:t xml:space="preserve">La peticionaria alega que sufrió calumnias, difamaciones e insultos por parte del delegado de investigación y de </w:t>
      </w:r>
      <w:r w:rsidR="00A379BA">
        <w:rPr>
          <w:sz w:val="20"/>
          <w:szCs w:val="20"/>
          <w:lang w:val="es-419"/>
        </w:rPr>
        <w:t>la fiscalía</w:t>
      </w:r>
      <w:r w:rsidRPr="00853E1A">
        <w:rPr>
          <w:sz w:val="20"/>
          <w:szCs w:val="20"/>
          <w:lang w:val="es-419"/>
        </w:rPr>
        <w:t xml:space="preserve">, quienes habrían difundido la información incorrecta que ella le </w:t>
      </w:r>
      <w:r w:rsidR="000801CB">
        <w:rPr>
          <w:sz w:val="20"/>
          <w:szCs w:val="20"/>
          <w:lang w:val="es-419"/>
        </w:rPr>
        <w:t xml:space="preserve">hubiera pedido dinero </w:t>
      </w:r>
      <w:r w:rsidR="001F16D1">
        <w:rPr>
          <w:sz w:val="20"/>
          <w:szCs w:val="20"/>
          <w:lang w:val="es-419"/>
        </w:rPr>
        <w:t>a su expareja, A.A.B.,</w:t>
      </w:r>
      <w:r w:rsidR="000801CB">
        <w:rPr>
          <w:sz w:val="20"/>
          <w:szCs w:val="20"/>
          <w:lang w:val="es-419"/>
        </w:rPr>
        <w:t xml:space="preserve"> para no presentar acusaciones en contra</w:t>
      </w:r>
      <w:r w:rsidR="00540FED">
        <w:rPr>
          <w:sz w:val="20"/>
          <w:szCs w:val="20"/>
          <w:lang w:val="es-419"/>
        </w:rPr>
        <w:t xml:space="preserve"> él,</w:t>
      </w:r>
      <w:r w:rsidR="000801CB">
        <w:rPr>
          <w:sz w:val="20"/>
          <w:szCs w:val="20"/>
          <w:lang w:val="es-419"/>
        </w:rPr>
        <w:t xml:space="preserve"> </w:t>
      </w:r>
      <w:r w:rsidRPr="00853E1A">
        <w:rPr>
          <w:sz w:val="20"/>
          <w:szCs w:val="20"/>
          <w:lang w:val="es-419"/>
        </w:rPr>
        <w:t xml:space="preserve">y que ella habría hecho las acusaciones con el único objetivo de dañar a su exmarido. </w:t>
      </w:r>
    </w:p>
    <w:p w14:paraId="0ACC5DD0" w14:textId="4860B2B6" w:rsidR="00540FED" w:rsidRPr="00540FED" w:rsidRDefault="00540FED" w:rsidP="00540FED">
      <w:pPr>
        <w:pStyle w:val="ListParagraph"/>
        <w:spacing w:before="120" w:after="120"/>
        <w:ind w:left="709"/>
        <w:jc w:val="both"/>
        <w:rPr>
          <w:i/>
          <w:iCs/>
          <w:sz w:val="20"/>
          <w:szCs w:val="20"/>
          <w:lang w:val="es-419"/>
        </w:rPr>
      </w:pPr>
      <w:r w:rsidRPr="00540FED">
        <w:rPr>
          <w:i/>
          <w:iCs/>
          <w:sz w:val="20"/>
          <w:szCs w:val="20"/>
          <w:lang w:val="es-419"/>
        </w:rPr>
        <w:t>Alegatos del Estado brasileño</w:t>
      </w:r>
    </w:p>
    <w:p w14:paraId="02A37DAA" w14:textId="6C5A4547"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 xml:space="preserve">El Estado informa que el 20 de mayo de 2003, </w:t>
      </w:r>
      <w:r w:rsidR="00AC1266">
        <w:rPr>
          <w:sz w:val="20"/>
          <w:szCs w:val="20"/>
          <w:lang w:val="es-419"/>
        </w:rPr>
        <w:t>la peticionaria</w:t>
      </w:r>
      <w:r w:rsidRPr="00853E1A">
        <w:rPr>
          <w:sz w:val="20"/>
          <w:szCs w:val="20"/>
          <w:lang w:val="es-419"/>
        </w:rPr>
        <w:t xml:space="preserve"> denunció la ocurrencia de supuestos delitos fiscales ante la División de Inspección de la Superintendencia Regional de Ingresos Federales en la Octava Región – DIFIS/SRRF08. Dijo, en ese momento, que era soci</w:t>
      </w:r>
      <w:r w:rsidR="00AC1266">
        <w:rPr>
          <w:sz w:val="20"/>
          <w:szCs w:val="20"/>
          <w:lang w:val="es-419"/>
        </w:rPr>
        <w:t>a</w:t>
      </w:r>
      <w:r w:rsidRPr="00853E1A">
        <w:rPr>
          <w:sz w:val="20"/>
          <w:szCs w:val="20"/>
          <w:lang w:val="es-419"/>
        </w:rPr>
        <w:t xml:space="preserve"> de las empresas </w:t>
      </w:r>
      <w:r w:rsidRPr="00AC1266">
        <w:rPr>
          <w:i/>
          <w:iCs/>
          <w:sz w:val="20"/>
          <w:szCs w:val="20"/>
          <w:lang w:val="es-419"/>
        </w:rPr>
        <w:t xml:space="preserve">Balaska Equipe Indústria e Comércio </w:t>
      </w:r>
      <w:r w:rsidRPr="00853E1A">
        <w:rPr>
          <w:sz w:val="20"/>
          <w:szCs w:val="20"/>
          <w:lang w:val="es-419"/>
        </w:rPr>
        <w:t xml:space="preserve">y </w:t>
      </w:r>
      <w:r w:rsidRPr="00AC1266">
        <w:rPr>
          <w:i/>
          <w:iCs/>
          <w:sz w:val="20"/>
          <w:szCs w:val="20"/>
          <w:lang w:val="es-419"/>
        </w:rPr>
        <w:t>Balaska Equipamentos Indústria e Comércio Ltda</w:t>
      </w:r>
      <w:r w:rsidRPr="00853E1A">
        <w:rPr>
          <w:sz w:val="20"/>
          <w:szCs w:val="20"/>
          <w:lang w:val="es-419"/>
        </w:rPr>
        <w:t xml:space="preserve">. En su denuncia, mencionó irregularidades practicadas por empresas para eludir los sistemas de control aduanero y tributario. Según el Estado, con base en los alegatos </w:t>
      </w:r>
      <w:r w:rsidR="00AC1266">
        <w:rPr>
          <w:sz w:val="20"/>
          <w:szCs w:val="20"/>
          <w:lang w:val="es-419"/>
        </w:rPr>
        <w:t>de la peticionaria</w:t>
      </w:r>
      <w:r w:rsidRPr="00853E1A">
        <w:rPr>
          <w:sz w:val="20"/>
          <w:szCs w:val="20"/>
          <w:lang w:val="es-419"/>
        </w:rPr>
        <w:t xml:space="preserve">, la Receita Federal inició el trabajo de investigación y remitió el trabajo a la Inspección de la Receta Federal en São Paulo. Los revisores fiscales a cargo del caso emitieron dos órdenes de procedimiento tributario numeradas 08.1.55.00-2004-00858-8 y 08.1.55.00-2004-00856-1. La Receta Federal acudió a las sedes de las empresas señaladas por </w:t>
      </w:r>
      <w:r w:rsidR="00AC1266">
        <w:rPr>
          <w:sz w:val="20"/>
          <w:szCs w:val="20"/>
          <w:lang w:val="es-419"/>
        </w:rPr>
        <w:t>la peticionaria</w:t>
      </w:r>
      <w:r w:rsidRPr="00853E1A">
        <w:rPr>
          <w:sz w:val="20"/>
          <w:szCs w:val="20"/>
          <w:lang w:val="es-419"/>
        </w:rPr>
        <w:t>, recabando una serie de documentos para analizar la regularidad de sus operaciones. No se encontraron irregularidades.</w:t>
      </w:r>
    </w:p>
    <w:p w14:paraId="527D91B4" w14:textId="79B02C7D" w:rsid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 xml:space="preserve">El 14 de febrero de 2006 </w:t>
      </w:r>
      <w:r w:rsidR="00AC1266">
        <w:rPr>
          <w:sz w:val="20"/>
          <w:szCs w:val="20"/>
          <w:lang w:val="es-419"/>
        </w:rPr>
        <w:t>la peticionaria</w:t>
      </w:r>
      <w:r w:rsidRPr="00853E1A">
        <w:rPr>
          <w:sz w:val="20"/>
          <w:szCs w:val="20"/>
          <w:lang w:val="es-419"/>
        </w:rPr>
        <w:t xml:space="preserve"> acudió al </w:t>
      </w:r>
      <w:r w:rsidR="00AC1266">
        <w:rPr>
          <w:sz w:val="20"/>
          <w:szCs w:val="20"/>
          <w:lang w:val="es-419"/>
        </w:rPr>
        <w:t>departamento de asuntos internos de la Receta Federal</w:t>
      </w:r>
      <w:r w:rsidRPr="00853E1A">
        <w:rPr>
          <w:sz w:val="20"/>
          <w:szCs w:val="20"/>
          <w:lang w:val="es-419"/>
        </w:rPr>
        <w:t xml:space="preserve"> para aportar nueva información sobre las supuestas irregularidades. Con base en esta nueva información, se realizaron nuevas encuestas sobre las transacciones financieras de las personas y empresas involucradas, y la Re</w:t>
      </w:r>
      <w:r w:rsidR="00521191">
        <w:rPr>
          <w:sz w:val="20"/>
          <w:szCs w:val="20"/>
          <w:lang w:val="es-419"/>
        </w:rPr>
        <w:t>ceta Federal</w:t>
      </w:r>
      <w:r w:rsidRPr="00853E1A">
        <w:rPr>
          <w:sz w:val="20"/>
          <w:szCs w:val="20"/>
          <w:lang w:val="es-419"/>
        </w:rPr>
        <w:t xml:space="preserve"> pudo encontrar algunas disparidades en materia tributaria. El Estado aclara que el </w:t>
      </w:r>
      <w:r w:rsidR="00521191">
        <w:rPr>
          <w:sz w:val="20"/>
          <w:szCs w:val="20"/>
          <w:lang w:val="es-419"/>
        </w:rPr>
        <w:t>departamento de asuntos internos</w:t>
      </w:r>
      <w:r w:rsidRPr="00853E1A">
        <w:rPr>
          <w:sz w:val="20"/>
          <w:szCs w:val="20"/>
          <w:lang w:val="es-419"/>
        </w:rPr>
        <w:t xml:space="preserve"> investiga si existió alguna conducta irregular por parte de los </w:t>
      </w:r>
      <w:r w:rsidR="00521191">
        <w:rPr>
          <w:sz w:val="20"/>
          <w:szCs w:val="20"/>
          <w:lang w:val="es-419"/>
        </w:rPr>
        <w:t>inspectores de la Receta Federal</w:t>
      </w:r>
      <w:r w:rsidRPr="00853E1A">
        <w:rPr>
          <w:sz w:val="20"/>
          <w:szCs w:val="20"/>
          <w:lang w:val="es-419"/>
        </w:rPr>
        <w:t xml:space="preserve"> que atendieron el caso anteriormente, y señala que no se encontró nada que conduzca a inferir responsabilidad disciplinaria. Además, aclara que los inspectores encargados de inspeccionar la empresa Balaska no eran responsables de ningún proceso disciplinario en el momento de la inspección. Uno de los inspectores había respondido a un proceso disciplinario, ajeno a la empresa investigada, al término del cual no fue sancionado. Las discrepancias en materia tributaria encontradas en empresas y </w:t>
      </w:r>
      <w:r w:rsidRPr="00853E1A">
        <w:rPr>
          <w:sz w:val="20"/>
          <w:szCs w:val="20"/>
          <w:lang w:val="es-419"/>
        </w:rPr>
        <w:lastRenderedPageBreak/>
        <w:t xml:space="preserve">personas físicas, por otro lado, fueron remitidas a la Oficina de Pesquisa e Investigación de la Octava Región Tributaria ya la Oficina de Inspección de la Receta Federal en São Paulo. </w:t>
      </w:r>
    </w:p>
    <w:p w14:paraId="378A65D5" w14:textId="31C6AA53" w:rsidR="00853E1A" w:rsidRPr="00853E1A" w:rsidRDefault="00853E1A" w:rsidP="00272A22">
      <w:pPr>
        <w:pStyle w:val="ListParagraph"/>
        <w:numPr>
          <w:ilvl w:val="0"/>
          <w:numId w:val="59"/>
        </w:numPr>
        <w:spacing w:before="120" w:after="120"/>
        <w:ind w:left="0" w:firstLine="709"/>
        <w:jc w:val="both"/>
        <w:rPr>
          <w:sz w:val="20"/>
          <w:szCs w:val="20"/>
          <w:lang w:val="es-419"/>
        </w:rPr>
      </w:pPr>
      <w:r w:rsidRPr="00853E1A">
        <w:rPr>
          <w:sz w:val="20"/>
          <w:szCs w:val="20"/>
          <w:lang w:val="es-419"/>
        </w:rPr>
        <w:t>Además de la inspección fiscal, el 12 de agosto de 2008 se inició una investigación policial. La investigación policial</w:t>
      </w:r>
      <w:r w:rsidR="00272A22">
        <w:rPr>
          <w:sz w:val="20"/>
          <w:szCs w:val="20"/>
          <w:lang w:val="es-419"/>
        </w:rPr>
        <w:t xml:space="preserve"> (indagatoria)</w:t>
      </w:r>
      <w:r w:rsidRPr="00853E1A">
        <w:rPr>
          <w:sz w:val="20"/>
          <w:szCs w:val="20"/>
          <w:lang w:val="es-419"/>
        </w:rPr>
        <w:t xml:space="preserve"> resultante implicó la realización de numerosas diligencias que incluyeron la obtención </w:t>
      </w:r>
      <w:r w:rsidR="00521191">
        <w:rPr>
          <w:sz w:val="20"/>
          <w:szCs w:val="20"/>
          <w:lang w:val="es-419"/>
        </w:rPr>
        <w:t xml:space="preserve">i) </w:t>
      </w:r>
      <w:r w:rsidRPr="00853E1A">
        <w:rPr>
          <w:sz w:val="20"/>
          <w:szCs w:val="20"/>
          <w:lang w:val="es-419"/>
        </w:rPr>
        <w:t xml:space="preserve">de documentos de registro comercial y de empresa; </w:t>
      </w:r>
      <w:r w:rsidR="00521191">
        <w:rPr>
          <w:sz w:val="20"/>
          <w:szCs w:val="20"/>
          <w:lang w:val="es-419"/>
        </w:rPr>
        <w:t xml:space="preserve">ii) </w:t>
      </w:r>
      <w:r w:rsidRPr="00853E1A">
        <w:rPr>
          <w:sz w:val="20"/>
          <w:szCs w:val="20"/>
          <w:lang w:val="es-419"/>
        </w:rPr>
        <w:t xml:space="preserve">información sobre la empresa y sus actividades de la Receta Federal de Brasil y de la Dirección de Combate al Crimen Organizado de la Policía Federal; iii) información de las autoridades de inspección fiscal del estado de São Paulo sobre posibles irregularidades en la recaudación de impuestos por parte de las empresas mencionadas por </w:t>
      </w:r>
      <w:r w:rsidR="00521191">
        <w:rPr>
          <w:sz w:val="20"/>
          <w:szCs w:val="20"/>
          <w:lang w:val="es-419"/>
        </w:rPr>
        <w:t>la peticionaria</w:t>
      </w:r>
      <w:r w:rsidRPr="00853E1A">
        <w:rPr>
          <w:sz w:val="20"/>
          <w:szCs w:val="20"/>
          <w:lang w:val="es-419"/>
        </w:rPr>
        <w:t xml:space="preserve">; iv) dos violaciones del secreto bancario y fiscal de las empresas mencionadas </w:t>
      </w:r>
      <w:r w:rsidR="00521191">
        <w:rPr>
          <w:sz w:val="20"/>
          <w:szCs w:val="20"/>
          <w:lang w:val="es-419"/>
        </w:rPr>
        <w:t>ante el</w:t>
      </w:r>
      <w:r w:rsidRPr="00853E1A">
        <w:rPr>
          <w:sz w:val="20"/>
          <w:szCs w:val="20"/>
          <w:lang w:val="es-419"/>
        </w:rPr>
        <w:t xml:space="preserve"> Banco Central de Brasil; v) la audiencia de los socios identificados por </w:t>
      </w:r>
      <w:r w:rsidR="00521191">
        <w:rPr>
          <w:sz w:val="20"/>
          <w:szCs w:val="20"/>
          <w:lang w:val="es-419"/>
        </w:rPr>
        <w:t>la peticionaria</w:t>
      </w:r>
      <w:r w:rsidRPr="00853E1A">
        <w:rPr>
          <w:sz w:val="20"/>
          <w:szCs w:val="20"/>
          <w:lang w:val="es-419"/>
        </w:rPr>
        <w:t xml:space="preserve"> como responsables de los delitos; vi) la audiencia de una empresa prestadora de servicios, en respuesta a una solicitud expresa de</w:t>
      </w:r>
      <w:r w:rsidR="00521191">
        <w:rPr>
          <w:sz w:val="20"/>
          <w:szCs w:val="20"/>
          <w:lang w:val="es-419"/>
        </w:rPr>
        <w:t xml:space="preserve"> la peticionaria</w:t>
      </w:r>
      <w:r w:rsidRPr="00853E1A">
        <w:rPr>
          <w:sz w:val="20"/>
          <w:szCs w:val="20"/>
          <w:lang w:val="es-419"/>
        </w:rPr>
        <w:t xml:space="preserve">, derivada del entendimiento de que dicho testigo brindaría información importante en el curso de la investigación, lo que, en realidad, no ocurrió; y viii) la audiencia de la peticionaria, a fin de coadyuvar a la continuación de las investigaciones, así como recibir todas sus manifestaciones a lo largo de la </w:t>
      </w:r>
      <w:r w:rsidR="00272A22">
        <w:rPr>
          <w:sz w:val="20"/>
          <w:szCs w:val="20"/>
          <w:lang w:val="es-419"/>
        </w:rPr>
        <w:t>indagatoria</w:t>
      </w:r>
      <w:r w:rsidRPr="00853E1A">
        <w:rPr>
          <w:sz w:val="20"/>
          <w:szCs w:val="20"/>
          <w:lang w:val="es-419"/>
        </w:rPr>
        <w:t xml:space="preserve">. </w:t>
      </w:r>
      <w:r w:rsidR="00272A22">
        <w:rPr>
          <w:sz w:val="20"/>
          <w:szCs w:val="20"/>
          <w:lang w:val="es-419"/>
        </w:rPr>
        <w:t xml:space="preserve">El delegado a cargo concluyó la indagatoria y </w:t>
      </w:r>
      <w:r w:rsidR="00272A22" w:rsidRPr="00853E1A">
        <w:rPr>
          <w:sz w:val="20"/>
          <w:szCs w:val="20"/>
          <w:lang w:val="es-419"/>
        </w:rPr>
        <w:t>ninguna de las alegaciones de</w:t>
      </w:r>
      <w:r w:rsidR="00272A22">
        <w:rPr>
          <w:sz w:val="20"/>
          <w:szCs w:val="20"/>
          <w:lang w:val="es-419"/>
        </w:rPr>
        <w:t xml:space="preserve"> la peticionaria se han confirmado.</w:t>
      </w:r>
      <w:r w:rsidRPr="00853E1A">
        <w:rPr>
          <w:sz w:val="20"/>
          <w:szCs w:val="20"/>
          <w:lang w:val="es-419"/>
        </w:rPr>
        <w:t xml:space="preserve"> Así, el 5 de septiembre de 2011, el </w:t>
      </w:r>
      <w:r w:rsidR="00521191">
        <w:rPr>
          <w:sz w:val="20"/>
          <w:szCs w:val="20"/>
          <w:lang w:val="es-419"/>
        </w:rPr>
        <w:t>d</w:t>
      </w:r>
      <w:r w:rsidRPr="00853E1A">
        <w:rPr>
          <w:sz w:val="20"/>
          <w:szCs w:val="20"/>
          <w:lang w:val="es-419"/>
        </w:rPr>
        <w:t>elegado decidió cerrar la in</w:t>
      </w:r>
      <w:r w:rsidR="00272A22">
        <w:rPr>
          <w:sz w:val="20"/>
          <w:szCs w:val="20"/>
          <w:lang w:val="es-419"/>
        </w:rPr>
        <w:t>dagatoria</w:t>
      </w:r>
      <w:r w:rsidRPr="00853E1A">
        <w:rPr>
          <w:sz w:val="20"/>
          <w:szCs w:val="20"/>
          <w:lang w:val="es-419"/>
        </w:rPr>
        <w:t xml:space="preserve"> hasta que surgieran nuevos hechos.</w:t>
      </w:r>
    </w:p>
    <w:p w14:paraId="53715B3E" w14:textId="774CA7B3" w:rsidR="00853E1A" w:rsidRPr="00272A22" w:rsidRDefault="00853E1A" w:rsidP="00853E1A">
      <w:pPr>
        <w:pStyle w:val="ListParagraph"/>
        <w:numPr>
          <w:ilvl w:val="0"/>
          <w:numId w:val="59"/>
        </w:numPr>
        <w:spacing w:before="120" w:after="120"/>
        <w:ind w:left="0" w:firstLine="709"/>
        <w:jc w:val="both"/>
        <w:rPr>
          <w:sz w:val="20"/>
          <w:szCs w:val="20"/>
          <w:lang w:val="es-419"/>
        </w:rPr>
      </w:pPr>
      <w:r w:rsidRPr="00272A22">
        <w:rPr>
          <w:sz w:val="20"/>
          <w:szCs w:val="20"/>
          <w:lang w:val="es-419"/>
        </w:rPr>
        <w:t>Según el Estado, la in</w:t>
      </w:r>
      <w:r w:rsidR="00272A22">
        <w:rPr>
          <w:sz w:val="20"/>
          <w:szCs w:val="20"/>
          <w:lang w:val="es-419"/>
        </w:rPr>
        <w:t>dagatoria</w:t>
      </w:r>
      <w:r w:rsidRPr="00272A22">
        <w:rPr>
          <w:sz w:val="20"/>
          <w:szCs w:val="20"/>
          <w:lang w:val="es-419"/>
        </w:rPr>
        <w:t xml:space="preserve"> fue entonces remitida al </w:t>
      </w:r>
      <w:r w:rsidR="00521191" w:rsidRPr="00272A22">
        <w:rPr>
          <w:sz w:val="20"/>
          <w:szCs w:val="20"/>
          <w:lang w:val="es-419"/>
        </w:rPr>
        <w:t>MPF</w:t>
      </w:r>
      <w:r w:rsidRPr="00272A22">
        <w:rPr>
          <w:sz w:val="20"/>
          <w:szCs w:val="20"/>
          <w:lang w:val="es-419"/>
        </w:rPr>
        <w:t xml:space="preserve"> para que </w:t>
      </w:r>
      <w:r w:rsidR="00272A22">
        <w:rPr>
          <w:sz w:val="20"/>
          <w:szCs w:val="20"/>
          <w:lang w:val="es-419"/>
        </w:rPr>
        <w:t>reanálisis de</w:t>
      </w:r>
      <w:r w:rsidRPr="00272A22">
        <w:rPr>
          <w:sz w:val="20"/>
          <w:szCs w:val="20"/>
          <w:lang w:val="es-419"/>
        </w:rPr>
        <w:t xml:space="preserve"> los mismos documentos y pruebas obtenidos por la policía, con el fin de determinar si sería factible un proceso penal. Tras este examen, el </w:t>
      </w:r>
      <w:r w:rsidR="00272A22">
        <w:rPr>
          <w:sz w:val="20"/>
          <w:szCs w:val="20"/>
          <w:lang w:val="es-419"/>
        </w:rPr>
        <w:t>MPF</w:t>
      </w:r>
      <w:r w:rsidRPr="00272A22">
        <w:rPr>
          <w:sz w:val="20"/>
          <w:szCs w:val="20"/>
          <w:lang w:val="es-419"/>
        </w:rPr>
        <w:t xml:space="preserve"> solicitó el archivo de la diligencia ante la autoridad judicial especializada en delitos financieros. De las copias de la in</w:t>
      </w:r>
      <w:r w:rsidR="00272A22">
        <w:rPr>
          <w:sz w:val="20"/>
          <w:szCs w:val="20"/>
          <w:lang w:val="es-419"/>
        </w:rPr>
        <w:t>dagatoria</w:t>
      </w:r>
      <w:r w:rsidRPr="00272A22">
        <w:rPr>
          <w:sz w:val="20"/>
          <w:szCs w:val="20"/>
          <w:lang w:val="es-419"/>
        </w:rPr>
        <w:t xml:space="preserve"> presentadas a la Comisión Interamericana por el Estado surge que, efectivamente, hubo una solicitud de archivo del MPF el 12 de enero de 2012, acogida por el Juzgado 2° Penal Federal Especializado en Delitos Financieros el 19 de enero</w:t>
      </w:r>
      <w:r w:rsidR="00272A22">
        <w:rPr>
          <w:sz w:val="20"/>
          <w:szCs w:val="20"/>
          <w:lang w:val="es-419"/>
        </w:rPr>
        <w:t xml:space="preserve"> de</w:t>
      </w:r>
      <w:r w:rsidRPr="00272A22">
        <w:rPr>
          <w:sz w:val="20"/>
          <w:szCs w:val="20"/>
          <w:lang w:val="es-419"/>
        </w:rPr>
        <w:t xml:space="preserve"> 2012.</w:t>
      </w:r>
    </w:p>
    <w:p w14:paraId="524286B4" w14:textId="4760F43A" w:rsidR="00853E1A" w:rsidRPr="001F5A98" w:rsidRDefault="00853E1A" w:rsidP="00791F97">
      <w:pPr>
        <w:pStyle w:val="ListParagraph"/>
        <w:numPr>
          <w:ilvl w:val="0"/>
          <w:numId w:val="59"/>
        </w:numPr>
        <w:spacing w:before="120" w:after="120"/>
        <w:ind w:left="0" w:firstLine="709"/>
        <w:jc w:val="both"/>
        <w:rPr>
          <w:sz w:val="20"/>
          <w:szCs w:val="20"/>
          <w:lang w:val="es-419"/>
        </w:rPr>
      </w:pPr>
      <w:r w:rsidRPr="001F5A98">
        <w:rPr>
          <w:sz w:val="20"/>
          <w:szCs w:val="20"/>
          <w:lang w:val="es-419"/>
        </w:rPr>
        <w:t xml:space="preserve">A pesar de estar archivado, el 25 de abril de 2012 </w:t>
      </w:r>
      <w:r w:rsidR="00272A22" w:rsidRPr="001F5A98">
        <w:rPr>
          <w:sz w:val="20"/>
          <w:szCs w:val="20"/>
          <w:lang w:val="es-419"/>
        </w:rPr>
        <w:t>el MPF</w:t>
      </w:r>
      <w:r w:rsidRPr="001F5A98">
        <w:rPr>
          <w:sz w:val="20"/>
          <w:szCs w:val="20"/>
          <w:lang w:val="es-419"/>
        </w:rPr>
        <w:t xml:space="preserve"> reabrió el asunto para que otro miembro del </w:t>
      </w:r>
      <w:r w:rsidR="00272A22" w:rsidRPr="001F5A98">
        <w:rPr>
          <w:sz w:val="20"/>
          <w:szCs w:val="20"/>
          <w:lang w:val="es-419"/>
        </w:rPr>
        <w:t>MPF</w:t>
      </w:r>
      <w:r w:rsidRPr="001F5A98">
        <w:rPr>
          <w:sz w:val="20"/>
          <w:szCs w:val="20"/>
          <w:lang w:val="es-419"/>
        </w:rPr>
        <w:t xml:space="preserve"> investigara si se habían cometido o no delitos </w:t>
      </w:r>
      <w:r w:rsidR="00272A22" w:rsidRPr="001F5A98">
        <w:rPr>
          <w:sz w:val="20"/>
          <w:szCs w:val="20"/>
          <w:lang w:val="es-419"/>
        </w:rPr>
        <w:t xml:space="preserve">de carácter </w:t>
      </w:r>
      <w:r w:rsidRPr="001F5A98">
        <w:rPr>
          <w:sz w:val="20"/>
          <w:szCs w:val="20"/>
          <w:lang w:val="es-419"/>
        </w:rPr>
        <w:t>no</w:t>
      </w:r>
      <w:r w:rsidR="00272A22" w:rsidRPr="001F5A98">
        <w:rPr>
          <w:sz w:val="20"/>
          <w:szCs w:val="20"/>
          <w:lang w:val="es-419"/>
        </w:rPr>
        <w:t xml:space="preserve"> financiero o</w:t>
      </w:r>
      <w:r w:rsidRPr="001F5A98">
        <w:rPr>
          <w:sz w:val="20"/>
          <w:szCs w:val="20"/>
          <w:lang w:val="es-419"/>
        </w:rPr>
        <w:t xml:space="preserve"> económico. El 21 de agosto de 2012, el </w:t>
      </w:r>
      <w:r w:rsidR="00272A22" w:rsidRPr="001F5A98">
        <w:rPr>
          <w:sz w:val="20"/>
          <w:szCs w:val="20"/>
          <w:lang w:val="es-419"/>
        </w:rPr>
        <w:t xml:space="preserve">MPF emitió su análisis </w:t>
      </w:r>
      <w:r w:rsidRPr="001F5A98">
        <w:rPr>
          <w:sz w:val="20"/>
          <w:szCs w:val="20"/>
          <w:lang w:val="es-419"/>
        </w:rPr>
        <w:t>a favor de archivar el procedimiento por falta de pruebas de otros delitos. El 27 de septiembre de 2012, el Ju</w:t>
      </w:r>
      <w:r w:rsidR="00272A22" w:rsidRPr="001F5A98">
        <w:rPr>
          <w:sz w:val="20"/>
          <w:szCs w:val="20"/>
          <w:lang w:val="es-419"/>
        </w:rPr>
        <w:t>zgado</w:t>
      </w:r>
      <w:r w:rsidRPr="001F5A98">
        <w:rPr>
          <w:sz w:val="20"/>
          <w:szCs w:val="20"/>
          <w:lang w:val="es-419"/>
        </w:rPr>
        <w:t xml:space="preserve"> Federal del 9º Juzgado Penal de São Paulo, autoridad responsable de la supervisión de la investigación, también llegó a la misma conclusión y ordenó </w:t>
      </w:r>
      <w:r w:rsidR="00EA512D" w:rsidRPr="001F5A98">
        <w:rPr>
          <w:sz w:val="20"/>
          <w:szCs w:val="20"/>
          <w:lang w:val="es-419"/>
        </w:rPr>
        <w:t>el (re)</w:t>
      </w:r>
      <w:r w:rsidRPr="001F5A98">
        <w:rPr>
          <w:sz w:val="20"/>
          <w:szCs w:val="20"/>
          <w:lang w:val="es-419"/>
        </w:rPr>
        <w:t>archivo.</w:t>
      </w:r>
      <w:r w:rsidR="001F5A98">
        <w:rPr>
          <w:sz w:val="20"/>
          <w:szCs w:val="20"/>
          <w:lang w:val="es-419"/>
        </w:rPr>
        <w:t xml:space="preserve"> </w:t>
      </w:r>
      <w:r w:rsidRPr="001F5A98">
        <w:rPr>
          <w:sz w:val="20"/>
          <w:szCs w:val="20"/>
          <w:lang w:val="es-419"/>
        </w:rPr>
        <w:t>En 2016,</w:t>
      </w:r>
      <w:r w:rsidR="001F5A98">
        <w:rPr>
          <w:sz w:val="20"/>
          <w:szCs w:val="20"/>
          <w:lang w:val="es-419"/>
        </w:rPr>
        <w:t xml:space="preserve"> señala el Estado,</w:t>
      </w:r>
      <w:r w:rsidRPr="001F5A98">
        <w:rPr>
          <w:sz w:val="20"/>
          <w:szCs w:val="20"/>
          <w:lang w:val="es-419"/>
        </w:rPr>
        <w:t xml:space="preserve"> </w:t>
      </w:r>
      <w:r w:rsidR="00941B25" w:rsidRPr="001F5A98">
        <w:rPr>
          <w:sz w:val="20"/>
          <w:szCs w:val="20"/>
          <w:lang w:val="es-419"/>
        </w:rPr>
        <w:t>la</w:t>
      </w:r>
      <w:r w:rsidRPr="001F5A98">
        <w:rPr>
          <w:sz w:val="20"/>
          <w:szCs w:val="20"/>
          <w:lang w:val="es-419"/>
        </w:rPr>
        <w:t xml:space="preserve"> peticionari</w:t>
      </w:r>
      <w:r w:rsidR="00941B25" w:rsidRPr="001F5A98">
        <w:rPr>
          <w:sz w:val="20"/>
          <w:szCs w:val="20"/>
          <w:lang w:val="es-419"/>
        </w:rPr>
        <w:t>a</w:t>
      </w:r>
      <w:r w:rsidRPr="001F5A98">
        <w:rPr>
          <w:sz w:val="20"/>
          <w:szCs w:val="20"/>
          <w:lang w:val="es-419"/>
        </w:rPr>
        <w:t xml:space="preserve"> solicitó una revisión de la in</w:t>
      </w:r>
      <w:r w:rsidR="00EA512D" w:rsidRPr="001F5A98">
        <w:rPr>
          <w:sz w:val="20"/>
          <w:szCs w:val="20"/>
          <w:lang w:val="es-419"/>
        </w:rPr>
        <w:t>dagatoria</w:t>
      </w:r>
      <w:r w:rsidRPr="001F5A98">
        <w:rPr>
          <w:sz w:val="20"/>
          <w:szCs w:val="20"/>
          <w:lang w:val="es-419"/>
        </w:rPr>
        <w:t xml:space="preserve"> y, luego de un nuevo análisis por parte del </w:t>
      </w:r>
      <w:r w:rsidR="00EA512D" w:rsidRPr="001F5A98">
        <w:rPr>
          <w:sz w:val="20"/>
          <w:szCs w:val="20"/>
          <w:lang w:val="es-419"/>
        </w:rPr>
        <w:t>MPF</w:t>
      </w:r>
      <w:r w:rsidRPr="001F5A98">
        <w:rPr>
          <w:sz w:val="20"/>
          <w:szCs w:val="20"/>
          <w:lang w:val="es-419"/>
        </w:rPr>
        <w:t xml:space="preserve"> y el Poder Judicial </w:t>
      </w:r>
      <w:r w:rsidR="00EA512D" w:rsidRPr="001F5A98">
        <w:rPr>
          <w:sz w:val="20"/>
          <w:szCs w:val="20"/>
          <w:lang w:val="es-419"/>
        </w:rPr>
        <w:t>Federal</w:t>
      </w:r>
      <w:r w:rsidRPr="001F5A98">
        <w:rPr>
          <w:sz w:val="20"/>
          <w:szCs w:val="20"/>
          <w:lang w:val="es-419"/>
        </w:rPr>
        <w:t xml:space="preserve">, nuevamente </w:t>
      </w:r>
      <w:r w:rsidR="00EA512D" w:rsidRPr="001F5A98">
        <w:rPr>
          <w:sz w:val="20"/>
          <w:szCs w:val="20"/>
          <w:lang w:val="es-419"/>
        </w:rPr>
        <w:t>ambos llegaron</w:t>
      </w:r>
      <w:r w:rsidRPr="001F5A98">
        <w:rPr>
          <w:sz w:val="20"/>
          <w:szCs w:val="20"/>
          <w:lang w:val="es-419"/>
        </w:rPr>
        <w:t xml:space="preserve"> a la conclusión de que no había indicios de hechos delictivos. </w:t>
      </w:r>
      <w:r w:rsidRPr="001573A3">
        <w:rPr>
          <w:color w:val="auto"/>
          <w:sz w:val="20"/>
          <w:szCs w:val="20"/>
          <w:lang w:val="es-419"/>
        </w:rPr>
        <w:t>Finalmente, la peticionaria denunció a las autoridades policiales que actuaron en la in</w:t>
      </w:r>
      <w:r w:rsidR="00EA512D" w:rsidRPr="001573A3">
        <w:rPr>
          <w:color w:val="auto"/>
          <w:sz w:val="20"/>
          <w:szCs w:val="20"/>
          <w:lang w:val="es-419"/>
        </w:rPr>
        <w:t>dagatoria</w:t>
      </w:r>
      <w:r w:rsidRPr="001573A3">
        <w:rPr>
          <w:color w:val="auto"/>
          <w:sz w:val="20"/>
          <w:szCs w:val="20"/>
          <w:lang w:val="es-419"/>
        </w:rPr>
        <w:t xml:space="preserve"> ante el </w:t>
      </w:r>
      <w:r w:rsidR="001573A3" w:rsidRPr="001573A3">
        <w:rPr>
          <w:color w:val="auto"/>
          <w:sz w:val="20"/>
          <w:szCs w:val="20"/>
          <w:lang w:val="es-419"/>
        </w:rPr>
        <w:t xml:space="preserve">MPF. El Ministerio Publico, sin embargo, </w:t>
      </w:r>
      <w:r w:rsidRPr="001573A3">
        <w:rPr>
          <w:color w:val="auto"/>
          <w:sz w:val="20"/>
          <w:szCs w:val="20"/>
          <w:lang w:val="es-419"/>
        </w:rPr>
        <w:t xml:space="preserve">no estuvo de acuerdo con sus alegatos y solicitó </w:t>
      </w:r>
      <w:r w:rsidR="001573A3" w:rsidRPr="001573A3">
        <w:rPr>
          <w:color w:val="auto"/>
          <w:sz w:val="20"/>
          <w:szCs w:val="20"/>
          <w:lang w:val="es-419"/>
        </w:rPr>
        <w:t>el archivo de</w:t>
      </w:r>
      <w:r w:rsidRPr="001573A3">
        <w:rPr>
          <w:color w:val="auto"/>
          <w:sz w:val="20"/>
          <w:szCs w:val="20"/>
          <w:lang w:val="es-419"/>
        </w:rPr>
        <w:t xml:space="preserve"> la denuncia</w:t>
      </w:r>
      <w:r w:rsidR="001573A3" w:rsidRPr="001573A3">
        <w:rPr>
          <w:color w:val="auto"/>
          <w:sz w:val="20"/>
          <w:szCs w:val="20"/>
          <w:lang w:val="es-419"/>
        </w:rPr>
        <w:t>. Dicha solicitud</w:t>
      </w:r>
      <w:r w:rsidRPr="001573A3">
        <w:rPr>
          <w:color w:val="auto"/>
          <w:sz w:val="20"/>
          <w:szCs w:val="20"/>
          <w:lang w:val="es-419"/>
        </w:rPr>
        <w:t xml:space="preserve"> fue acogida por la autoridad judicial correspondiente.</w:t>
      </w:r>
    </w:p>
    <w:p w14:paraId="6B466593" w14:textId="08556A60" w:rsidR="00B83158" w:rsidRPr="00611890" w:rsidRDefault="00206D43" w:rsidP="00611890">
      <w:pPr>
        <w:spacing w:before="240" w:after="240"/>
        <w:ind w:firstLine="709"/>
        <w:jc w:val="both"/>
        <w:rPr>
          <w:sz w:val="20"/>
          <w:szCs w:val="20"/>
          <w:lang w:val="es-419"/>
        </w:rPr>
      </w:pPr>
      <w:r w:rsidRPr="00611890">
        <w:rPr>
          <w:rFonts w:asciiTheme="majorHAnsi" w:hAnsiTheme="majorHAnsi"/>
          <w:b/>
          <w:sz w:val="20"/>
          <w:szCs w:val="20"/>
          <w:lang w:val="es-419"/>
        </w:rPr>
        <w:t xml:space="preserve">VI. </w:t>
      </w:r>
      <w:r w:rsidRPr="00611890">
        <w:rPr>
          <w:rFonts w:asciiTheme="majorHAnsi" w:hAnsiTheme="majorHAnsi"/>
          <w:b/>
          <w:sz w:val="20"/>
          <w:szCs w:val="20"/>
          <w:lang w:val="es-419"/>
        </w:rPr>
        <w:tab/>
      </w:r>
      <w:r w:rsidR="00B83158" w:rsidRPr="00611890">
        <w:rPr>
          <w:rFonts w:asciiTheme="majorHAnsi" w:hAnsiTheme="majorHAnsi"/>
          <w:b/>
          <w:sz w:val="20"/>
          <w:szCs w:val="20"/>
          <w:lang w:val="es-419"/>
        </w:rPr>
        <w:t>AGOTAMIENTO DE LOS RECURSOS INTERNOS</w:t>
      </w:r>
      <w:r w:rsidR="002C0BFE" w:rsidRPr="00611890">
        <w:rPr>
          <w:rFonts w:asciiTheme="majorHAnsi" w:hAnsiTheme="majorHAnsi"/>
          <w:b/>
          <w:sz w:val="20"/>
          <w:szCs w:val="20"/>
          <w:lang w:val="es-419"/>
        </w:rPr>
        <w:t>,</w:t>
      </w:r>
      <w:r w:rsidR="00B83158" w:rsidRPr="00611890">
        <w:rPr>
          <w:rFonts w:asciiTheme="majorHAnsi" w:hAnsiTheme="majorHAnsi"/>
          <w:b/>
          <w:sz w:val="20"/>
          <w:szCs w:val="20"/>
          <w:lang w:val="es-419"/>
        </w:rPr>
        <w:t xml:space="preserve"> PLAZO DE PRESENTACIÓN</w:t>
      </w:r>
      <w:r w:rsidR="00B83158" w:rsidRPr="00611890">
        <w:rPr>
          <w:rFonts w:asciiTheme="majorHAnsi" w:hAnsiTheme="majorHAnsi"/>
          <w:b/>
          <w:bCs/>
          <w:sz w:val="20"/>
          <w:szCs w:val="20"/>
          <w:lang w:val="es-419"/>
        </w:rPr>
        <w:t xml:space="preserve"> </w:t>
      </w:r>
      <w:r w:rsidR="002C0BFE" w:rsidRPr="00611890">
        <w:rPr>
          <w:rFonts w:asciiTheme="majorHAnsi" w:hAnsiTheme="majorHAnsi"/>
          <w:b/>
          <w:bCs/>
          <w:sz w:val="20"/>
          <w:szCs w:val="20"/>
          <w:lang w:val="es-419"/>
        </w:rPr>
        <w:t>Y CARACTERIZACIÓN DE LOS HECHOS ALEGADOS</w:t>
      </w:r>
    </w:p>
    <w:p w14:paraId="55ED851C" w14:textId="77777777"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Las características de la petición hacen necesario abordar el examen de la caracterización de las violaciones de derechos humanos y el agotamiento de los recursos internos en forma conjunta, y no en etapas separadas de análisis, como es habitual.</w:t>
      </w:r>
    </w:p>
    <w:p w14:paraId="14186781" w14:textId="15840670"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t>En cuanto al agotamiento de los recursos internos, el Estado considera que los alegatos de la peticionaria sobre supuestas omisiones o connivencia de autoridades estatales en relación con los presuntos delitos financieros</w:t>
      </w:r>
      <w:r w:rsidR="008C3161">
        <w:rPr>
          <w:sz w:val="20"/>
          <w:szCs w:val="20"/>
          <w:lang w:val="es-419"/>
        </w:rPr>
        <w:t xml:space="preserve"> y fiscales</w:t>
      </w:r>
      <w:r w:rsidR="00F260E7">
        <w:rPr>
          <w:sz w:val="20"/>
          <w:szCs w:val="20"/>
          <w:lang w:val="es-419"/>
        </w:rPr>
        <w:t xml:space="preserve"> </w:t>
      </w:r>
      <w:r w:rsidRPr="00853E1A">
        <w:rPr>
          <w:sz w:val="20"/>
          <w:szCs w:val="20"/>
          <w:lang w:val="es-419"/>
        </w:rPr>
        <w:t xml:space="preserve">cometidos por su exesposo en el marco de sus negocios son inadmisibles por falta de agotamiento previo. En este sentido, indica que la peticionaria podría haber realizado una denuncia ante las autoridades policiales competentes, las cuales serían distintas a aquellas con las que estaba tratando, es decir, quien atendería esta denuncia no sería la misma comisaría </w:t>
      </w:r>
      <w:r w:rsidR="00F260E7">
        <w:rPr>
          <w:sz w:val="20"/>
          <w:szCs w:val="20"/>
          <w:lang w:val="es-419"/>
        </w:rPr>
        <w:t>que h</w:t>
      </w:r>
      <w:r w:rsidR="006D4EE9">
        <w:rPr>
          <w:sz w:val="20"/>
          <w:szCs w:val="20"/>
          <w:lang w:val="es-419"/>
        </w:rPr>
        <w:t>abía</w:t>
      </w:r>
      <w:r w:rsidR="00F260E7">
        <w:rPr>
          <w:sz w:val="20"/>
          <w:szCs w:val="20"/>
          <w:lang w:val="es-419"/>
        </w:rPr>
        <w:t xml:space="preserve"> realizado la investigación</w:t>
      </w:r>
      <w:r w:rsidRPr="00853E1A">
        <w:rPr>
          <w:sz w:val="20"/>
          <w:szCs w:val="20"/>
          <w:lang w:val="es-419"/>
        </w:rPr>
        <w:t xml:space="preserve"> de delitos financieros. Además, la desconfianza de la peticionaria hacia las autoridades estatales, así como las implicaciones personales alegadas por ella, podrían haber sido denunciadas a través de una acción privada por delitos de honor, recurso que no dependería de la intervención de la policía o del Ministerio Público. Finalmente, la peticionaria también podría demandar al Poder Judicial en el ámbito civil para solicitar una indemnización por los daños que alega haber sufrido como consecuencia de la presunta comisión de delitos de calumnia, injuria y difamación por parte de agentes estatales.</w:t>
      </w:r>
    </w:p>
    <w:p w14:paraId="07477BA9" w14:textId="1F79B9A6" w:rsidR="00853E1A" w:rsidRPr="00853E1A" w:rsidRDefault="00853E1A" w:rsidP="00853E1A">
      <w:pPr>
        <w:pStyle w:val="ListParagraph"/>
        <w:numPr>
          <w:ilvl w:val="0"/>
          <w:numId w:val="59"/>
        </w:numPr>
        <w:spacing w:before="120" w:after="120"/>
        <w:ind w:left="0" w:firstLine="709"/>
        <w:jc w:val="both"/>
        <w:rPr>
          <w:sz w:val="20"/>
          <w:szCs w:val="20"/>
          <w:lang w:val="es-419"/>
        </w:rPr>
      </w:pPr>
      <w:r w:rsidRPr="00853E1A">
        <w:rPr>
          <w:sz w:val="20"/>
          <w:szCs w:val="20"/>
          <w:lang w:val="es-419"/>
        </w:rPr>
        <w:lastRenderedPageBreak/>
        <w:t xml:space="preserve">En cuanto a la calificación de los hechos alegados, el Estado considera que la petición es contraria al artículo 47(b) de la Convención porque se fundamenta en la alegada ineficiencia del Estado en la investigación de delitos financieros y fiscales contra la administración pública cometidos en el alcance de las empresas privadas. El Estado alega que </w:t>
      </w:r>
      <w:r w:rsidR="00941B25">
        <w:rPr>
          <w:sz w:val="20"/>
          <w:szCs w:val="20"/>
          <w:lang w:val="es-419"/>
        </w:rPr>
        <w:t>la</w:t>
      </w:r>
      <w:r w:rsidRPr="00853E1A">
        <w:rPr>
          <w:sz w:val="20"/>
          <w:szCs w:val="20"/>
          <w:lang w:val="es-419"/>
        </w:rPr>
        <w:t xml:space="preserve"> peticionari</w:t>
      </w:r>
      <w:r w:rsidR="00941B25">
        <w:rPr>
          <w:sz w:val="20"/>
          <w:szCs w:val="20"/>
          <w:lang w:val="es-419"/>
        </w:rPr>
        <w:t>a</w:t>
      </w:r>
      <w:r w:rsidRPr="00853E1A">
        <w:rPr>
          <w:sz w:val="20"/>
          <w:szCs w:val="20"/>
          <w:lang w:val="es-419"/>
        </w:rPr>
        <w:t xml:space="preserve"> </w:t>
      </w:r>
      <w:r w:rsidR="006D4EE9">
        <w:rPr>
          <w:sz w:val="20"/>
          <w:szCs w:val="20"/>
          <w:lang w:val="es-419"/>
        </w:rPr>
        <w:t xml:space="preserve">i) </w:t>
      </w:r>
      <w:r w:rsidRPr="00853E1A">
        <w:rPr>
          <w:sz w:val="20"/>
          <w:szCs w:val="20"/>
          <w:lang w:val="es-419"/>
        </w:rPr>
        <w:t xml:space="preserve">no es sujeto pasivo ni activo de ninguno de los delitos denunciados, </w:t>
      </w:r>
      <w:r w:rsidR="006D4EE9">
        <w:rPr>
          <w:sz w:val="20"/>
          <w:szCs w:val="20"/>
          <w:lang w:val="es-419"/>
        </w:rPr>
        <w:t xml:space="preserve">ii) </w:t>
      </w:r>
      <w:r w:rsidRPr="00853E1A">
        <w:rPr>
          <w:sz w:val="20"/>
          <w:szCs w:val="20"/>
          <w:lang w:val="es-419"/>
        </w:rPr>
        <w:t>no ha sido investigad</w:t>
      </w:r>
      <w:r w:rsidR="006D4EE9">
        <w:rPr>
          <w:sz w:val="20"/>
          <w:szCs w:val="20"/>
          <w:lang w:val="es-419"/>
        </w:rPr>
        <w:t>a</w:t>
      </w:r>
      <w:r w:rsidRPr="00853E1A">
        <w:rPr>
          <w:sz w:val="20"/>
          <w:szCs w:val="20"/>
          <w:lang w:val="es-419"/>
        </w:rPr>
        <w:t xml:space="preserve"> en ninguna de las investigaciones abiertas por el Estado, y </w:t>
      </w:r>
      <w:r w:rsidR="006D4EE9">
        <w:rPr>
          <w:sz w:val="20"/>
          <w:szCs w:val="20"/>
          <w:lang w:val="es-419"/>
        </w:rPr>
        <w:t xml:space="preserve">iii) </w:t>
      </w:r>
      <w:r w:rsidRPr="00853E1A">
        <w:rPr>
          <w:sz w:val="20"/>
          <w:szCs w:val="20"/>
          <w:lang w:val="es-419"/>
        </w:rPr>
        <w:t>no ha sufrido medida constrictiva derivada de dichas investigaciones. El bien jurídico protegido por la ley penal aplicable no atañe a los derechos humanos de</w:t>
      </w:r>
      <w:r w:rsidR="00941B25">
        <w:rPr>
          <w:sz w:val="20"/>
          <w:szCs w:val="20"/>
          <w:lang w:val="es-419"/>
        </w:rPr>
        <w:t xml:space="preserve"> </w:t>
      </w:r>
      <w:r w:rsidRPr="00853E1A">
        <w:rPr>
          <w:sz w:val="20"/>
          <w:szCs w:val="20"/>
          <w:lang w:val="es-419"/>
        </w:rPr>
        <w:t>l</w:t>
      </w:r>
      <w:r w:rsidR="00941B25">
        <w:rPr>
          <w:sz w:val="20"/>
          <w:szCs w:val="20"/>
          <w:lang w:val="es-419"/>
        </w:rPr>
        <w:t>a</w:t>
      </w:r>
      <w:r w:rsidRPr="00853E1A">
        <w:rPr>
          <w:sz w:val="20"/>
          <w:szCs w:val="20"/>
          <w:lang w:val="es-419"/>
        </w:rPr>
        <w:t xml:space="preserve"> peticionari</w:t>
      </w:r>
      <w:r w:rsidR="00941B25">
        <w:rPr>
          <w:sz w:val="20"/>
          <w:szCs w:val="20"/>
          <w:lang w:val="es-419"/>
        </w:rPr>
        <w:t>a</w:t>
      </w:r>
      <w:r w:rsidRPr="00853E1A">
        <w:rPr>
          <w:sz w:val="20"/>
          <w:szCs w:val="20"/>
          <w:lang w:val="es-419"/>
        </w:rPr>
        <w:t xml:space="preserve"> ni de ninguno de sus familiares.</w:t>
      </w:r>
      <w:r w:rsidR="001F5A98">
        <w:rPr>
          <w:sz w:val="20"/>
          <w:szCs w:val="20"/>
          <w:lang w:val="es-419"/>
        </w:rPr>
        <w:t xml:space="preserve"> Asimismo, el Estado sostiene que las investigaciones no fueron parciales y no violaron el derecho de la peticionaria a la igualdad ante la ley</w:t>
      </w:r>
      <w:r w:rsidRPr="00853E1A">
        <w:rPr>
          <w:sz w:val="20"/>
          <w:szCs w:val="20"/>
          <w:lang w:val="es-419"/>
        </w:rPr>
        <w:t>.</w:t>
      </w:r>
    </w:p>
    <w:p w14:paraId="4BE8C59D" w14:textId="77777777" w:rsidR="008C3161" w:rsidRDefault="00853E1A" w:rsidP="003414E4">
      <w:pPr>
        <w:pStyle w:val="ListParagraph"/>
        <w:numPr>
          <w:ilvl w:val="0"/>
          <w:numId w:val="59"/>
        </w:numPr>
        <w:spacing w:before="120" w:after="120"/>
        <w:ind w:left="0" w:firstLine="709"/>
        <w:jc w:val="both"/>
        <w:rPr>
          <w:sz w:val="20"/>
          <w:szCs w:val="20"/>
          <w:lang w:val="es-419"/>
        </w:rPr>
      </w:pPr>
      <w:r w:rsidRPr="008C3161">
        <w:rPr>
          <w:sz w:val="20"/>
          <w:szCs w:val="20"/>
          <w:lang w:val="es-419"/>
        </w:rPr>
        <w:t xml:space="preserve">El Estado también argumenta que los alegatos de la peticionaria sobre las garantías judiciales deben ser rechazados por ser contrarios al artículo 47 (b) (c) de la Convención, ya que ella no ha sido acusada formalmente de ningún delito. El Estado argumenta que sólo cabría evaluar si se le dio a la peticionaria la oportunidad de recibir una comunicación detallada sobre el proceso en el que se le imputaba, con las debidas posibilidades de plena defensa y debido proceso de ley, en caso de que existiera alguna </w:t>
      </w:r>
      <w:r w:rsidR="008C3161" w:rsidRPr="008C3161">
        <w:rPr>
          <w:sz w:val="20"/>
          <w:szCs w:val="20"/>
          <w:lang w:val="es-419"/>
        </w:rPr>
        <w:t>acusación formal</w:t>
      </w:r>
      <w:r w:rsidRPr="008C3161">
        <w:rPr>
          <w:sz w:val="20"/>
          <w:szCs w:val="20"/>
          <w:lang w:val="es-419"/>
        </w:rPr>
        <w:t xml:space="preserve"> en su contra, </w:t>
      </w:r>
      <w:r w:rsidR="008C3161" w:rsidRPr="008C3161">
        <w:rPr>
          <w:sz w:val="20"/>
          <w:szCs w:val="20"/>
          <w:lang w:val="es-419"/>
        </w:rPr>
        <w:t xml:space="preserve">y </w:t>
      </w:r>
      <w:r w:rsidRPr="008C3161">
        <w:rPr>
          <w:sz w:val="20"/>
          <w:szCs w:val="20"/>
          <w:lang w:val="es-419"/>
        </w:rPr>
        <w:t>eso no sucedió.</w:t>
      </w:r>
    </w:p>
    <w:p w14:paraId="73AEA329" w14:textId="78360849" w:rsidR="00853E1A" w:rsidRPr="008C3161" w:rsidRDefault="00853E1A" w:rsidP="003414E4">
      <w:pPr>
        <w:pStyle w:val="ListParagraph"/>
        <w:numPr>
          <w:ilvl w:val="0"/>
          <w:numId w:val="59"/>
        </w:numPr>
        <w:spacing w:before="120" w:after="120"/>
        <w:ind w:left="0" w:firstLine="709"/>
        <w:jc w:val="both"/>
        <w:rPr>
          <w:sz w:val="20"/>
          <w:szCs w:val="20"/>
          <w:lang w:val="es-419"/>
        </w:rPr>
      </w:pPr>
      <w:r w:rsidRPr="008C3161">
        <w:rPr>
          <w:sz w:val="20"/>
          <w:szCs w:val="20"/>
          <w:lang w:val="es-419"/>
        </w:rPr>
        <w:t xml:space="preserve">Adicionalmente, para el Estado, </w:t>
      </w:r>
      <w:r w:rsidRPr="001F5A98">
        <w:rPr>
          <w:sz w:val="20"/>
          <w:szCs w:val="20"/>
          <w:lang w:val="es-419"/>
        </w:rPr>
        <w:t>el alegato de la peticionaria de que ella y sus familiares fueron expulsados ​​de Brasil</w:t>
      </w:r>
      <w:r w:rsidRPr="008C3161">
        <w:rPr>
          <w:sz w:val="20"/>
          <w:szCs w:val="20"/>
          <w:lang w:val="es-419"/>
        </w:rPr>
        <w:t xml:space="preserve"> debe ser rechazado por ser contrario al artículo 47, (b) y (c), de la Convención Americana, ya que la alegada expulsión no se produjo</w:t>
      </w:r>
      <w:r w:rsidR="00941B25" w:rsidRPr="008C3161">
        <w:rPr>
          <w:sz w:val="20"/>
          <w:szCs w:val="20"/>
          <w:lang w:val="es-419"/>
        </w:rPr>
        <w:t>:</w:t>
      </w:r>
      <w:r w:rsidRPr="008C3161">
        <w:rPr>
          <w:sz w:val="20"/>
          <w:szCs w:val="20"/>
          <w:lang w:val="es-419"/>
        </w:rPr>
        <w:t xml:space="preserve"> </w:t>
      </w:r>
      <w:r w:rsidR="00941B25" w:rsidRPr="008C3161">
        <w:rPr>
          <w:sz w:val="20"/>
          <w:szCs w:val="20"/>
          <w:lang w:val="es-419"/>
        </w:rPr>
        <w:t>e</w:t>
      </w:r>
      <w:r w:rsidRPr="008C3161">
        <w:rPr>
          <w:sz w:val="20"/>
          <w:szCs w:val="20"/>
          <w:lang w:val="es-419"/>
        </w:rPr>
        <w:t xml:space="preserve">l Estado brasileño no expulsa a sus nacionales, y </w:t>
      </w:r>
      <w:r w:rsidR="00941B25" w:rsidRPr="008C3161">
        <w:rPr>
          <w:sz w:val="20"/>
          <w:szCs w:val="20"/>
          <w:lang w:val="es-419"/>
        </w:rPr>
        <w:t>la</w:t>
      </w:r>
      <w:r w:rsidRPr="008C3161">
        <w:rPr>
          <w:sz w:val="20"/>
          <w:szCs w:val="20"/>
          <w:lang w:val="es-419"/>
        </w:rPr>
        <w:t xml:space="preserve"> peticionari</w:t>
      </w:r>
      <w:r w:rsidR="00941B25" w:rsidRPr="008C3161">
        <w:rPr>
          <w:sz w:val="20"/>
          <w:szCs w:val="20"/>
          <w:lang w:val="es-419"/>
        </w:rPr>
        <w:t>a</w:t>
      </w:r>
      <w:r w:rsidRPr="008C3161">
        <w:rPr>
          <w:sz w:val="20"/>
          <w:szCs w:val="20"/>
          <w:lang w:val="es-419"/>
        </w:rPr>
        <w:t xml:space="preserve"> no ha presentado prueba alguna que demuestre lo contrario. </w:t>
      </w:r>
    </w:p>
    <w:p w14:paraId="682E753F" w14:textId="61DAB9A6" w:rsidR="00941B25" w:rsidRPr="00941B25" w:rsidRDefault="00941B25" w:rsidP="00941B25">
      <w:pPr>
        <w:pStyle w:val="ListParagraph"/>
        <w:numPr>
          <w:ilvl w:val="0"/>
          <w:numId w:val="59"/>
        </w:numPr>
        <w:spacing w:before="120" w:after="120"/>
        <w:ind w:left="0" w:firstLine="709"/>
        <w:jc w:val="both"/>
        <w:rPr>
          <w:sz w:val="20"/>
          <w:szCs w:val="20"/>
          <w:lang w:val="es-419"/>
        </w:rPr>
      </w:pPr>
      <w:r w:rsidRPr="00941B25">
        <w:rPr>
          <w:sz w:val="20"/>
          <w:szCs w:val="20"/>
          <w:lang w:val="es-419"/>
        </w:rPr>
        <w:t xml:space="preserve">El Estado también considera que la petición es inadmisible por cuanto contraviene el artículo 47(b) y (c) de la Convención en relación con los alegatos de la peticionaria sobre su integridad y honor. El Estado informa que, en el curso de las investigaciones, el Sr. </w:t>
      </w:r>
      <w:r w:rsidR="00D615EB">
        <w:rPr>
          <w:sz w:val="20"/>
          <w:szCs w:val="20"/>
          <w:lang w:val="es-419"/>
        </w:rPr>
        <w:t>A.A.B.</w:t>
      </w:r>
      <w:r w:rsidRPr="00941B25">
        <w:rPr>
          <w:sz w:val="20"/>
          <w:szCs w:val="20"/>
          <w:lang w:val="es-419"/>
        </w:rPr>
        <w:t xml:space="preserve"> manifestó que </w:t>
      </w:r>
      <w:r w:rsidR="008C3161">
        <w:rPr>
          <w:sz w:val="20"/>
          <w:szCs w:val="20"/>
          <w:lang w:val="es-419"/>
        </w:rPr>
        <w:t xml:space="preserve">i) </w:t>
      </w:r>
      <w:r w:rsidRPr="00941B25">
        <w:rPr>
          <w:sz w:val="20"/>
          <w:szCs w:val="20"/>
          <w:lang w:val="es-419"/>
        </w:rPr>
        <w:t>el motivo de las denuncias de</w:t>
      </w:r>
      <w:r w:rsidR="008C3161">
        <w:rPr>
          <w:sz w:val="20"/>
          <w:szCs w:val="20"/>
          <w:lang w:val="es-419"/>
        </w:rPr>
        <w:t xml:space="preserve"> </w:t>
      </w:r>
      <w:r w:rsidRPr="00941B25">
        <w:rPr>
          <w:sz w:val="20"/>
          <w:szCs w:val="20"/>
          <w:lang w:val="es-419"/>
        </w:rPr>
        <w:t>l</w:t>
      </w:r>
      <w:r w:rsidR="008C3161">
        <w:rPr>
          <w:sz w:val="20"/>
          <w:szCs w:val="20"/>
          <w:lang w:val="es-419"/>
        </w:rPr>
        <w:t>a</w:t>
      </w:r>
      <w:r w:rsidRPr="00941B25">
        <w:rPr>
          <w:sz w:val="20"/>
          <w:szCs w:val="20"/>
          <w:lang w:val="es-419"/>
        </w:rPr>
        <w:t xml:space="preserve"> peticionari</w:t>
      </w:r>
      <w:r w:rsidR="008C3161">
        <w:rPr>
          <w:sz w:val="20"/>
          <w:szCs w:val="20"/>
          <w:lang w:val="es-419"/>
        </w:rPr>
        <w:t>a, bajo su punto de vista, sería</w:t>
      </w:r>
      <w:r w:rsidRPr="00941B25">
        <w:rPr>
          <w:sz w:val="20"/>
          <w:szCs w:val="20"/>
          <w:lang w:val="es-419"/>
        </w:rPr>
        <w:t xml:space="preserve"> la separación; </w:t>
      </w:r>
      <w:r w:rsidR="008C3161">
        <w:rPr>
          <w:sz w:val="20"/>
          <w:szCs w:val="20"/>
          <w:lang w:val="es-419"/>
        </w:rPr>
        <w:t xml:space="preserve">ii) ella había </w:t>
      </w:r>
      <w:r w:rsidRPr="00941B25">
        <w:rPr>
          <w:sz w:val="20"/>
          <w:szCs w:val="20"/>
          <w:lang w:val="es-419"/>
        </w:rPr>
        <w:t>proporcion</w:t>
      </w:r>
      <w:r w:rsidR="008C3161">
        <w:rPr>
          <w:sz w:val="20"/>
          <w:szCs w:val="20"/>
          <w:lang w:val="es-419"/>
        </w:rPr>
        <w:t>ado</w:t>
      </w:r>
      <w:r w:rsidRPr="00941B25">
        <w:rPr>
          <w:sz w:val="20"/>
          <w:szCs w:val="20"/>
          <w:lang w:val="es-419"/>
        </w:rPr>
        <w:t xml:space="preserve"> información falsa; </w:t>
      </w:r>
      <w:r w:rsidR="008C3161">
        <w:rPr>
          <w:sz w:val="20"/>
          <w:szCs w:val="20"/>
          <w:lang w:val="es-419"/>
        </w:rPr>
        <w:t>iii) ella</w:t>
      </w:r>
      <w:r w:rsidRPr="00941B25">
        <w:rPr>
          <w:sz w:val="20"/>
          <w:szCs w:val="20"/>
          <w:lang w:val="es-419"/>
        </w:rPr>
        <w:t xml:space="preserve"> lo amenazó diciéndole que haría nuevas denuncias si no recib</w:t>
      </w:r>
      <w:r w:rsidR="008C3161">
        <w:rPr>
          <w:sz w:val="20"/>
          <w:szCs w:val="20"/>
          <w:lang w:val="es-419"/>
        </w:rPr>
        <w:t>iera</w:t>
      </w:r>
      <w:r w:rsidRPr="00941B25">
        <w:rPr>
          <w:sz w:val="20"/>
          <w:szCs w:val="20"/>
          <w:lang w:val="es-419"/>
        </w:rPr>
        <w:t xml:space="preserve"> dinero; y </w:t>
      </w:r>
      <w:r w:rsidR="008C3161">
        <w:rPr>
          <w:sz w:val="20"/>
          <w:szCs w:val="20"/>
          <w:lang w:val="es-419"/>
        </w:rPr>
        <w:t>iv)</w:t>
      </w:r>
      <w:r w:rsidRPr="00941B25">
        <w:rPr>
          <w:sz w:val="20"/>
          <w:szCs w:val="20"/>
          <w:lang w:val="es-419"/>
        </w:rPr>
        <w:t xml:space="preserve"> el pedido de dinero para </w:t>
      </w:r>
      <w:r w:rsidR="008C3161">
        <w:rPr>
          <w:sz w:val="20"/>
          <w:szCs w:val="20"/>
          <w:lang w:val="es-419"/>
        </w:rPr>
        <w:t>no hacer</w:t>
      </w:r>
      <w:r w:rsidRPr="00941B25">
        <w:rPr>
          <w:sz w:val="20"/>
          <w:szCs w:val="20"/>
          <w:lang w:val="es-419"/>
        </w:rPr>
        <w:t xml:space="preserve"> nuevas denuncias </w:t>
      </w:r>
      <w:r w:rsidR="008C3161">
        <w:rPr>
          <w:sz w:val="20"/>
          <w:szCs w:val="20"/>
          <w:lang w:val="es-419"/>
        </w:rPr>
        <w:t>habría sido</w:t>
      </w:r>
      <w:r w:rsidRPr="00941B25">
        <w:rPr>
          <w:sz w:val="20"/>
          <w:szCs w:val="20"/>
          <w:lang w:val="es-419"/>
        </w:rPr>
        <w:t xml:space="preserve"> reiterado por el abogado de</w:t>
      </w:r>
      <w:r w:rsidR="008C3161">
        <w:rPr>
          <w:sz w:val="20"/>
          <w:szCs w:val="20"/>
          <w:lang w:val="es-419"/>
        </w:rPr>
        <w:t xml:space="preserve"> </w:t>
      </w:r>
      <w:r w:rsidRPr="00941B25">
        <w:rPr>
          <w:sz w:val="20"/>
          <w:szCs w:val="20"/>
          <w:lang w:val="es-419"/>
        </w:rPr>
        <w:t>l</w:t>
      </w:r>
      <w:r w:rsidR="008C3161">
        <w:rPr>
          <w:sz w:val="20"/>
          <w:szCs w:val="20"/>
          <w:lang w:val="es-419"/>
        </w:rPr>
        <w:t>a</w:t>
      </w:r>
      <w:r w:rsidRPr="00941B25">
        <w:rPr>
          <w:sz w:val="20"/>
          <w:szCs w:val="20"/>
          <w:lang w:val="es-419"/>
        </w:rPr>
        <w:t xml:space="preserve"> peticionari</w:t>
      </w:r>
      <w:r w:rsidR="008C3161">
        <w:rPr>
          <w:sz w:val="20"/>
          <w:szCs w:val="20"/>
          <w:lang w:val="es-419"/>
        </w:rPr>
        <w:t>a</w:t>
      </w:r>
      <w:r w:rsidRPr="00941B25">
        <w:rPr>
          <w:sz w:val="20"/>
          <w:szCs w:val="20"/>
          <w:lang w:val="es-419"/>
        </w:rPr>
        <w:t xml:space="preserve">, en contacto con </w:t>
      </w:r>
      <w:r w:rsidR="00D615EB">
        <w:rPr>
          <w:sz w:val="20"/>
          <w:szCs w:val="20"/>
          <w:lang w:val="es-419"/>
        </w:rPr>
        <w:t>A.A.B.</w:t>
      </w:r>
      <w:r w:rsidRPr="00941B25">
        <w:rPr>
          <w:sz w:val="20"/>
          <w:szCs w:val="20"/>
          <w:lang w:val="es-419"/>
        </w:rPr>
        <w:t xml:space="preserve"> El Estado alega que </w:t>
      </w:r>
      <w:r w:rsidR="008C3161">
        <w:rPr>
          <w:sz w:val="20"/>
          <w:szCs w:val="20"/>
          <w:lang w:val="es-419"/>
        </w:rPr>
        <w:t>el registro o la documentación</w:t>
      </w:r>
      <w:r w:rsidRPr="00941B25">
        <w:rPr>
          <w:sz w:val="20"/>
          <w:szCs w:val="20"/>
          <w:lang w:val="es-419"/>
        </w:rPr>
        <w:t xml:space="preserve"> de estas declaraciones no puede caracterizar una violación a los derechos humanos, pues sólo fue el resultado del trabajo habitual de los agentes involucrados en las investigaciones para narrar los hechos</w:t>
      </w:r>
      <w:r w:rsidR="008C3161">
        <w:rPr>
          <w:sz w:val="20"/>
          <w:szCs w:val="20"/>
          <w:lang w:val="es-419"/>
        </w:rPr>
        <w:t xml:space="preserve"> alegados</w:t>
      </w:r>
      <w:r w:rsidRPr="00941B25">
        <w:rPr>
          <w:sz w:val="20"/>
          <w:szCs w:val="20"/>
          <w:lang w:val="es-419"/>
        </w:rPr>
        <w:t xml:space="preserve"> (en este caso, las declaraciones tal como fueron realizadas por el declarante).</w:t>
      </w:r>
    </w:p>
    <w:p w14:paraId="5954D371" w14:textId="2856907C" w:rsidR="00941B25" w:rsidRPr="00941B25" w:rsidRDefault="00941B25" w:rsidP="00941B25">
      <w:pPr>
        <w:pStyle w:val="ListParagraph"/>
        <w:numPr>
          <w:ilvl w:val="0"/>
          <w:numId w:val="59"/>
        </w:numPr>
        <w:spacing w:before="120" w:after="120"/>
        <w:ind w:left="0" w:firstLine="709"/>
        <w:jc w:val="both"/>
        <w:rPr>
          <w:sz w:val="20"/>
          <w:szCs w:val="20"/>
          <w:lang w:val="es-419"/>
        </w:rPr>
      </w:pPr>
      <w:r w:rsidRPr="00941B25">
        <w:rPr>
          <w:sz w:val="20"/>
          <w:szCs w:val="20"/>
          <w:lang w:val="es-419"/>
        </w:rPr>
        <w:t>Finalmente, el Estado afirma que la petición</w:t>
      </w:r>
      <w:r w:rsidR="008C3161">
        <w:rPr>
          <w:sz w:val="20"/>
          <w:szCs w:val="20"/>
          <w:lang w:val="es-419"/>
        </w:rPr>
        <w:t xml:space="preserve"> </w:t>
      </w:r>
      <w:r w:rsidR="008C3161" w:rsidRPr="00941B25">
        <w:rPr>
          <w:sz w:val="20"/>
          <w:szCs w:val="20"/>
          <w:lang w:val="es-419"/>
        </w:rPr>
        <w:t>debe ser rechazada</w:t>
      </w:r>
      <w:r w:rsidRPr="00941B25">
        <w:rPr>
          <w:sz w:val="20"/>
          <w:szCs w:val="20"/>
          <w:lang w:val="es-419"/>
        </w:rPr>
        <w:t xml:space="preserve"> por ser el resultado de</w:t>
      </w:r>
      <w:r w:rsidR="008C3161">
        <w:rPr>
          <w:sz w:val="20"/>
          <w:szCs w:val="20"/>
          <w:lang w:val="es-419"/>
        </w:rPr>
        <w:t xml:space="preserve"> </w:t>
      </w:r>
      <w:r w:rsidRPr="00941B25">
        <w:rPr>
          <w:sz w:val="20"/>
          <w:szCs w:val="20"/>
          <w:lang w:val="es-419"/>
        </w:rPr>
        <w:t>l</w:t>
      </w:r>
      <w:r w:rsidR="008C3161">
        <w:rPr>
          <w:sz w:val="20"/>
          <w:szCs w:val="20"/>
          <w:lang w:val="es-419"/>
        </w:rPr>
        <w:t>a</w:t>
      </w:r>
      <w:r w:rsidRPr="00941B25">
        <w:rPr>
          <w:sz w:val="20"/>
          <w:szCs w:val="20"/>
          <w:lang w:val="es-419"/>
        </w:rPr>
        <w:t xml:space="preserve"> mer</w:t>
      </w:r>
      <w:r w:rsidR="008C3161">
        <w:rPr>
          <w:sz w:val="20"/>
          <w:szCs w:val="20"/>
          <w:lang w:val="es-419"/>
        </w:rPr>
        <w:t>a</w:t>
      </w:r>
      <w:r w:rsidRPr="00941B25">
        <w:rPr>
          <w:sz w:val="20"/>
          <w:szCs w:val="20"/>
          <w:lang w:val="es-419"/>
        </w:rPr>
        <w:t xml:space="preserve"> </w:t>
      </w:r>
      <w:r w:rsidR="008C3161">
        <w:rPr>
          <w:sz w:val="20"/>
          <w:szCs w:val="20"/>
          <w:lang w:val="es-419"/>
        </w:rPr>
        <w:t xml:space="preserve">disconformidad de la peticionaria en relación a las </w:t>
      </w:r>
      <w:r w:rsidRPr="00941B25">
        <w:rPr>
          <w:sz w:val="20"/>
          <w:szCs w:val="20"/>
          <w:lang w:val="es-419"/>
        </w:rPr>
        <w:t>conclusiones a las que llegó el Estado luego de concluidas las investigaciones</w:t>
      </w:r>
      <w:r w:rsidR="00D26C63">
        <w:rPr>
          <w:sz w:val="20"/>
          <w:szCs w:val="20"/>
          <w:lang w:val="es-419"/>
        </w:rPr>
        <w:t xml:space="preserve">. </w:t>
      </w:r>
    </w:p>
    <w:p w14:paraId="264082EC" w14:textId="484FFB80" w:rsidR="00941B25" w:rsidRPr="00941B25" w:rsidRDefault="00941B25" w:rsidP="00941B25">
      <w:pPr>
        <w:pStyle w:val="ListParagraph"/>
        <w:numPr>
          <w:ilvl w:val="0"/>
          <w:numId w:val="59"/>
        </w:numPr>
        <w:spacing w:before="120" w:after="120"/>
        <w:ind w:left="0" w:firstLine="709"/>
        <w:jc w:val="both"/>
        <w:rPr>
          <w:sz w:val="20"/>
          <w:szCs w:val="20"/>
          <w:lang w:val="es-419"/>
        </w:rPr>
      </w:pPr>
      <w:r w:rsidRPr="00941B25">
        <w:rPr>
          <w:sz w:val="20"/>
          <w:szCs w:val="20"/>
          <w:lang w:val="es-419"/>
        </w:rPr>
        <w:t>La Comisión Interamericana observa que la petición incluye</w:t>
      </w:r>
      <w:r w:rsidR="00F52273">
        <w:rPr>
          <w:sz w:val="20"/>
          <w:szCs w:val="20"/>
          <w:lang w:val="es-419"/>
        </w:rPr>
        <w:t>:</w:t>
      </w:r>
      <w:r w:rsidRPr="00941B25">
        <w:rPr>
          <w:sz w:val="20"/>
          <w:szCs w:val="20"/>
          <w:lang w:val="es-419"/>
        </w:rPr>
        <w:t xml:space="preserve"> i) alegatos sobre la falta de investigación</w:t>
      </w:r>
      <w:r w:rsidR="001F5A98">
        <w:rPr>
          <w:sz w:val="20"/>
          <w:szCs w:val="20"/>
          <w:lang w:val="es-419"/>
        </w:rPr>
        <w:t xml:space="preserve"> imparcial</w:t>
      </w:r>
      <w:r w:rsidRPr="00941B25">
        <w:rPr>
          <w:sz w:val="20"/>
          <w:szCs w:val="20"/>
          <w:lang w:val="es-419"/>
        </w:rPr>
        <w:t xml:space="preserve"> y sanción de delitos financieros y fiscales presuntamente cometidos a través de empresas privadas</w:t>
      </w:r>
      <w:r w:rsidR="00F52273">
        <w:rPr>
          <w:sz w:val="20"/>
          <w:szCs w:val="20"/>
          <w:lang w:val="es-419"/>
        </w:rPr>
        <w:t>;</w:t>
      </w:r>
      <w:r w:rsidRPr="00941B25">
        <w:rPr>
          <w:sz w:val="20"/>
          <w:szCs w:val="20"/>
          <w:lang w:val="es-419"/>
        </w:rPr>
        <w:t xml:space="preserve"> </w:t>
      </w:r>
      <w:r w:rsidR="00F52273">
        <w:rPr>
          <w:sz w:val="20"/>
          <w:szCs w:val="20"/>
          <w:lang w:val="es-419"/>
        </w:rPr>
        <w:t>y</w:t>
      </w:r>
      <w:r w:rsidRPr="00941B25">
        <w:rPr>
          <w:sz w:val="20"/>
          <w:szCs w:val="20"/>
          <w:lang w:val="es-419"/>
        </w:rPr>
        <w:t xml:space="preserve"> ii) alegatos sobre agravios a la integridad personal y al honor de</w:t>
      </w:r>
      <w:r w:rsidR="00404E68">
        <w:rPr>
          <w:sz w:val="20"/>
          <w:szCs w:val="20"/>
          <w:lang w:val="es-419"/>
        </w:rPr>
        <w:t xml:space="preserve"> </w:t>
      </w:r>
      <w:r w:rsidRPr="00941B25">
        <w:rPr>
          <w:sz w:val="20"/>
          <w:szCs w:val="20"/>
          <w:lang w:val="es-419"/>
        </w:rPr>
        <w:t>l</w:t>
      </w:r>
      <w:r w:rsidR="00404E68">
        <w:rPr>
          <w:sz w:val="20"/>
          <w:szCs w:val="20"/>
          <w:lang w:val="es-419"/>
        </w:rPr>
        <w:t>a</w:t>
      </w:r>
      <w:r w:rsidRPr="00941B25">
        <w:rPr>
          <w:sz w:val="20"/>
          <w:szCs w:val="20"/>
          <w:lang w:val="es-419"/>
        </w:rPr>
        <w:t xml:space="preserve"> peticionari</w:t>
      </w:r>
      <w:r w:rsidR="00404E68">
        <w:rPr>
          <w:sz w:val="20"/>
          <w:szCs w:val="20"/>
          <w:lang w:val="es-419"/>
        </w:rPr>
        <w:t xml:space="preserve">a, </w:t>
      </w:r>
      <w:r w:rsidRPr="00941B25">
        <w:rPr>
          <w:sz w:val="20"/>
          <w:szCs w:val="20"/>
          <w:lang w:val="es-419"/>
        </w:rPr>
        <w:t>y las represalias que habrían sufrido la peticionaria y su abogado por haber denunciado estos delitos.</w:t>
      </w:r>
    </w:p>
    <w:p w14:paraId="13EB6EA7" w14:textId="3F699DD4" w:rsidR="00941B25" w:rsidRPr="00941B25" w:rsidRDefault="00941B25" w:rsidP="00941B25">
      <w:pPr>
        <w:pStyle w:val="ListParagraph"/>
        <w:numPr>
          <w:ilvl w:val="0"/>
          <w:numId w:val="59"/>
        </w:numPr>
        <w:spacing w:before="120" w:after="120"/>
        <w:ind w:left="0" w:firstLine="709"/>
        <w:jc w:val="both"/>
        <w:rPr>
          <w:sz w:val="20"/>
          <w:szCs w:val="20"/>
          <w:lang w:val="es-419"/>
        </w:rPr>
      </w:pPr>
      <w:r w:rsidRPr="00941B25">
        <w:rPr>
          <w:sz w:val="20"/>
          <w:szCs w:val="20"/>
          <w:lang w:val="es-419"/>
        </w:rPr>
        <w:t>En cuanto a la alegada falta de investigación</w:t>
      </w:r>
      <w:r w:rsidR="00D928EF">
        <w:rPr>
          <w:sz w:val="20"/>
          <w:szCs w:val="20"/>
          <w:lang w:val="es-419"/>
        </w:rPr>
        <w:t xml:space="preserve"> imparcial</w:t>
      </w:r>
      <w:r w:rsidRPr="00941B25">
        <w:rPr>
          <w:sz w:val="20"/>
          <w:szCs w:val="20"/>
          <w:lang w:val="es-419"/>
        </w:rPr>
        <w:t xml:space="preserve"> y sanción de los delitos financieros y fiscales presuntamente cometidos a través de empresas privadas, la </w:t>
      </w:r>
      <w:r w:rsidR="00022364">
        <w:rPr>
          <w:sz w:val="20"/>
          <w:szCs w:val="20"/>
          <w:lang w:val="es-419"/>
        </w:rPr>
        <w:t>CIDH</w:t>
      </w:r>
      <w:r w:rsidRPr="00941B25">
        <w:rPr>
          <w:sz w:val="20"/>
          <w:szCs w:val="20"/>
          <w:lang w:val="es-419"/>
        </w:rPr>
        <w:t xml:space="preserve"> advierte que el daño derivado de estos delitos y su impunidad, si la hubiere, no afecta a personas identificadas o identificables, </w:t>
      </w:r>
      <w:r w:rsidR="00404E68">
        <w:rPr>
          <w:sz w:val="20"/>
          <w:szCs w:val="20"/>
          <w:lang w:val="es-419"/>
        </w:rPr>
        <w:t>sino</w:t>
      </w:r>
      <w:r w:rsidRPr="00941B25">
        <w:rPr>
          <w:sz w:val="20"/>
          <w:szCs w:val="20"/>
          <w:lang w:val="es-419"/>
        </w:rPr>
        <w:t xml:space="preserve"> </w:t>
      </w:r>
      <w:r w:rsidR="005220CE">
        <w:rPr>
          <w:sz w:val="20"/>
          <w:szCs w:val="20"/>
          <w:lang w:val="es-419"/>
        </w:rPr>
        <w:t>a</w:t>
      </w:r>
      <w:r w:rsidRPr="00941B25">
        <w:rPr>
          <w:sz w:val="20"/>
          <w:szCs w:val="20"/>
          <w:lang w:val="es-419"/>
        </w:rPr>
        <w:t xml:space="preserve">l </w:t>
      </w:r>
      <w:r w:rsidR="00404E68">
        <w:rPr>
          <w:sz w:val="20"/>
          <w:szCs w:val="20"/>
          <w:lang w:val="es-419"/>
        </w:rPr>
        <w:t>E</w:t>
      </w:r>
      <w:r w:rsidRPr="00941B25">
        <w:rPr>
          <w:sz w:val="20"/>
          <w:szCs w:val="20"/>
          <w:lang w:val="es-419"/>
        </w:rPr>
        <w:t>stado. Este tipo de daño es</w:t>
      </w:r>
      <w:r w:rsidR="001F5A98">
        <w:rPr>
          <w:sz w:val="20"/>
          <w:szCs w:val="20"/>
          <w:lang w:val="es-419"/>
        </w:rPr>
        <w:t>, por lo tanto,</w:t>
      </w:r>
      <w:r w:rsidRPr="00941B25">
        <w:rPr>
          <w:sz w:val="20"/>
          <w:szCs w:val="20"/>
          <w:lang w:val="es-419"/>
        </w:rPr>
        <w:t xml:space="preserve"> ajeno al daño o perjuicio relacionado con la responsabilidad jurídica internacional del Estado por violaciones a los derechos humanos protegidos por los tratados interamericanos aplicables. </w:t>
      </w:r>
      <w:r w:rsidR="001F5A98" w:rsidRPr="00941B25">
        <w:rPr>
          <w:sz w:val="20"/>
          <w:szCs w:val="20"/>
          <w:lang w:val="es-419"/>
        </w:rPr>
        <w:t>Consecuentemente</w:t>
      </w:r>
      <w:r w:rsidRPr="00941B25">
        <w:rPr>
          <w:sz w:val="20"/>
          <w:szCs w:val="20"/>
          <w:lang w:val="es-419"/>
        </w:rPr>
        <w:t>, la Comisión Interamericana considera inadmisibles estos alegatos, de conformidad con el artículo 47(b) de la Convención Americana.</w:t>
      </w:r>
    </w:p>
    <w:p w14:paraId="4A00CB1E" w14:textId="1A2BEFD7" w:rsidR="00941B25" w:rsidRPr="00941B25" w:rsidRDefault="00941B25" w:rsidP="001F5A98">
      <w:pPr>
        <w:pStyle w:val="ListParagraph"/>
        <w:numPr>
          <w:ilvl w:val="0"/>
          <w:numId w:val="59"/>
        </w:numPr>
        <w:spacing w:before="120" w:after="120"/>
        <w:ind w:left="0" w:firstLine="709"/>
        <w:jc w:val="both"/>
        <w:rPr>
          <w:sz w:val="20"/>
          <w:szCs w:val="20"/>
          <w:lang w:val="es-419"/>
        </w:rPr>
      </w:pPr>
      <w:r w:rsidRPr="00941B25">
        <w:rPr>
          <w:sz w:val="20"/>
          <w:szCs w:val="20"/>
          <w:lang w:val="es-419"/>
        </w:rPr>
        <w:t>En cuanto a los alegados delitos contra la integridad personal y el honor de</w:t>
      </w:r>
      <w:r w:rsidR="001F5A98">
        <w:rPr>
          <w:sz w:val="20"/>
          <w:szCs w:val="20"/>
          <w:lang w:val="es-419"/>
        </w:rPr>
        <w:t xml:space="preserve"> </w:t>
      </w:r>
      <w:r w:rsidRPr="00941B25">
        <w:rPr>
          <w:sz w:val="20"/>
          <w:szCs w:val="20"/>
          <w:lang w:val="es-419"/>
        </w:rPr>
        <w:t>l</w:t>
      </w:r>
      <w:r w:rsidR="001F5A98">
        <w:rPr>
          <w:sz w:val="20"/>
          <w:szCs w:val="20"/>
          <w:lang w:val="es-419"/>
        </w:rPr>
        <w:t>a</w:t>
      </w:r>
      <w:r w:rsidRPr="00941B25">
        <w:rPr>
          <w:sz w:val="20"/>
          <w:szCs w:val="20"/>
          <w:lang w:val="es-419"/>
        </w:rPr>
        <w:t xml:space="preserve"> peticionari</w:t>
      </w:r>
      <w:r w:rsidR="001F5A98">
        <w:rPr>
          <w:sz w:val="20"/>
          <w:szCs w:val="20"/>
          <w:lang w:val="es-419"/>
        </w:rPr>
        <w:t>a</w:t>
      </w:r>
      <w:r w:rsidRPr="00941B25">
        <w:rPr>
          <w:sz w:val="20"/>
          <w:szCs w:val="20"/>
          <w:lang w:val="es-419"/>
        </w:rPr>
        <w:t>, la Comisión Interamericana observa que</w:t>
      </w:r>
      <w:r w:rsidR="00D928EF">
        <w:rPr>
          <w:sz w:val="20"/>
          <w:szCs w:val="20"/>
          <w:lang w:val="es-419"/>
        </w:rPr>
        <w:t xml:space="preserve"> i)</w:t>
      </w:r>
      <w:r w:rsidRPr="00941B25">
        <w:rPr>
          <w:sz w:val="20"/>
          <w:szCs w:val="20"/>
          <w:lang w:val="es-419"/>
        </w:rPr>
        <w:t xml:space="preserve"> los agentes estatales registraron </w:t>
      </w:r>
      <w:r w:rsidR="001F5A98">
        <w:rPr>
          <w:sz w:val="20"/>
          <w:szCs w:val="20"/>
          <w:lang w:val="es-419"/>
        </w:rPr>
        <w:t>las declaraciones del</w:t>
      </w:r>
      <w:r w:rsidRPr="00941B25">
        <w:rPr>
          <w:sz w:val="20"/>
          <w:szCs w:val="20"/>
          <w:lang w:val="es-419"/>
        </w:rPr>
        <w:t xml:space="preserve"> Sr. </w:t>
      </w:r>
      <w:r w:rsidR="00D615EB">
        <w:rPr>
          <w:sz w:val="20"/>
          <w:szCs w:val="20"/>
          <w:lang w:val="es-419"/>
        </w:rPr>
        <w:t xml:space="preserve">A.A.B. </w:t>
      </w:r>
      <w:r w:rsidR="001F5A98">
        <w:rPr>
          <w:sz w:val="20"/>
          <w:szCs w:val="20"/>
          <w:lang w:val="es-419"/>
        </w:rPr>
        <w:t xml:space="preserve">y sus alegaciones sobre la peticionaria, y </w:t>
      </w:r>
      <w:r w:rsidR="00D928EF">
        <w:rPr>
          <w:sz w:val="20"/>
          <w:szCs w:val="20"/>
          <w:lang w:val="es-419"/>
        </w:rPr>
        <w:t>ii)</w:t>
      </w:r>
      <w:r w:rsidR="001F5A98">
        <w:rPr>
          <w:sz w:val="20"/>
          <w:szCs w:val="20"/>
          <w:lang w:val="es-419"/>
        </w:rPr>
        <w:t xml:space="preserve"> la peticionaria no ha sido acusada formalmente </w:t>
      </w:r>
      <w:r w:rsidRPr="00941B25">
        <w:rPr>
          <w:sz w:val="20"/>
          <w:szCs w:val="20"/>
          <w:lang w:val="es-419"/>
        </w:rPr>
        <w:t xml:space="preserve">de haber realizado falsas denuncias o de haber amenazado o chantajeado </w:t>
      </w:r>
      <w:r w:rsidR="00D615EB">
        <w:rPr>
          <w:sz w:val="20"/>
          <w:szCs w:val="20"/>
          <w:lang w:val="es-419"/>
        </w:rPr>
        <w:t>a A.A.B.</w:t>
      </w:r>
      <w:r w:rsidRPr="00941B25">
        <w:rPr>
          <w:sz w:val="20"/>
          <w:szCs w:val="20"/>
          <w:lang w:val="es-419"/>
        </w:rPr>
        <w:t xml:space="preserve"> Por lo tanto, la Comisión Interamericana considera inadmisibles estos alegatos, de conformidad con el artículo 47(c) de la Convención Americana.</w:t>
      </w:r>
    </w:p>
    <w:p w14:paraId="5B1777CF" w14:textId="6C1BC4E3" w:rsidR="00941B25" w:rsidRPr="006E0AC3" w:rsidRDefault="00D928EF" w:rsidP="00437B66">
      <w:pPr>
        <w:pStyle w:val="ListParagraph"/>
        <w:numPr>
          <w:ilvl w:val="0"/>
          <w:numId w:val="59"/>
        </w:numPr>
        <w:spacing w:before="120" w:after="120"/>
        <w:ind w:left="0" w:firstLine="709"/>
        <w:jc w:val="both"/>
        <w:rPr>
          <w:sz w:val="20"/>
          <w:szCs w:val="20"/>
          <w:lang w:val="es-419"/>
        </w:rPr>
      </w:pPr>
      <w:r w:rsidRPr="006E0AC3">
        <w:rPr>
          <w:sz w:val="20"/>
          <w:szCs w:val="20"/>
          <w:lang w:val="es-419"/>
        </w:rPr>
        <w:t>En cuanto a las represalias que habrían sufrido la peticionaria y su abogado como consecuencia de las acusaciones de presuntos delitos financieros y fiscales, l</w:t>
      </w:r>
      <w:r w:rsidR="00941B25" w:rsidRPr="006E0AC3">
        <w:rPr>
          <w:sz w:val="20"/>
          <w:szCs w:val="20"/>
          <w:lang w:val="es-419"/>
        </w:rPr>
        <w:t xml:space="preserve">a peticionaria se refirió a i) automóviles oscuros estacionados cerca de su casa, y un de estos autos han realizado maniobras frente a su </w:t>
      </w:r>
      <w:r w:rsidR="00941B25" w:rsidRPr="006E0AC3">
        <w:rPr>
          <w:sz w:val="20"/>
          <w:szCs w:val="20"/>
          <w:lang w:val="es-419"/>
        </w:rPr>
        <w:lastRenderedPageBreak/>
        <w:t>casa; ii) denunciar estas maniobras a la policía, más precisamente a una Comisaría de Protección de Testigos; iii) la negativa, por parte de la peticionaria, de un ofrecimiento de la policía para protegerla; iv) el traslado de la peticionaria a España, posiblemente por temor o inseguridad; v) el sentimiento de inseguridad del peticionari</w:t>
      </w:r>
      <w:r w:rsidR="001F5A98" w:rsidRPr="006E0AC3">
        <w:rPr>
          <w:sz w:val="20"/>
          <w:szCs w:val="20"/>
          <w:lang w:val="es-419"/>
        </w:rPr>
        <w:t>a</w:t>
      </w:r>
      <w:r w:rsidR="00941B25" w:rsidRPr="006E0AC3">
        <w:rPr>
          <w:sz w:val="20"/>
          <w:szCs w:val="20"/>
          <w:lang w:val="es-419"/>
        </w:rPr>
        <w:t xml:space="preserve">, incluso en España; vi) presuntas amenazas recibidas por su abogado a través de llamadas telefónicas anónimas; y vii) la muerte de su abogado en un accidente. </w:t>
      </w:r>
      <w:r w:rsidR="006E0AC3" w:rsidRPr="006E0AC3">
        <w:rPr>
          <w:sz w:val="20"/>
          <w:szCs w:val="20"/>
          <w:lang w:val="es-419"/>
        </w:rPr>
        <w:t>Sin embargo, la Comisión Interamericana observa que, respecto a la supuesta expulsión de la peticionaria, no fueron presentadas pruebas o indicios de dicha expulsión. Asimismo, sobre e</w:t>
      </w:r>
      <w:r w:rsidR="00941B25" w:rsidRPr="006E0AC3">
        <w:rPr>
          <w:sz w:val="20"/>
          <w:szCs w:val="20"/>
          <w:lang w:val="es-419"/>
        </w:rPr>
        <w:t xml:space="preserve">l alegato relativo a las maniobras que </w:t>
      </w:r>
      <w:r w:rsidR="001F5A98" w:rsidRPr="006E0AC3">
        <w:rPr>
          <w:sz w:val="20"/>
          <w:szCs w:val="20"/>
          <w:lang w:val="es-419"/>
        </w:rPr>
        <w:t>la</w:t>
      </w:r>
      <w:r w:rsidR="00941B25" w:rsidRPr="006E0AC3">
        <w:rPr>
          <w:sz w:val="20"/>
          <w:szCs w:val="20"/>
          <w:lang w:val="es-419"/>
        </w:rPr>
        <w:t xml:space="preserve"> peticionari</w:t>
      </w:r>
      <w:r w:rsidR="001F5A98" w:rsidRPr="006E0AC3">
        <w:rPr>
          <w:sz w:val="20"/>
          <w:szCs w:val="20"/>
          <w:lang w:val="es-419"/>
        </w:rPr>
        <w:t>a</w:t>
      </w:r>
      <w:r w:rsidR="00941B25" w:rsidRPr="006E0AC3">
        <w:rPr>
          <w:sz w:val="20"/>
          <w:szCs w:val="20"/>
          <w:lang w:val="es-419"/>
        </w:rPr>
        <w:t xml:space="preserve"> calificó como atentado, si bien </w:t>
      </w:r>
      <w:r w:rsidR="006E0AC3" w:rsidRPr="006E0AC3">
        <w:rPr>
          <w:sz w:val="20"/>
          <w:szCs w:val="20"/>
          <w:lang w:val="es-419"/>
        </w:rPr>
        <w:t xml:space="preserve">la peticionaria </w:t>
      </w:r>
      <w:r w:rsidR="00941B25" w:rsidRPr="006E0AC3">
        <w:rPr>
          <w:sz w:val="20"/>
          <w:szCs w:val="20"/>
          <w:lang w:val="es-419"/>
        </w:rPr>
        <w:t xml:space="preserve">menciona la comunicación del hecho a una autoridad policial, </w:t>
      </w:r>
      <w:r w:rsidRPr="006E0AC3">
        <w:rPr>
          <w:sz w:val="20"/>
          <w:szCs w:val="20"/>
          <w:lang w:val="es-419"/>
        </w:rPr>
        <w:t>dicho relato</w:t>
      </w:r>
      <w:r w:rsidR="001F5A98" w:rsidRPr="006E0AC3">
        <w:rPr>
          <w:sz w:val="20"/>
          <w:szCs w:val="20"/>
          <w:lang w:val="es-419"/>
        </w:rPr>
        <w:t xml:space="preserve"> </w:t>
      </w:r>
      <w:r w:rsidR="00941B25" w:rsidRPr="006E0AC3">
        <w:rPr>
          <w:sz w:val="20"/>
          <w:szCs w:val="20"/>
          <w:lang w:val="es-419"/>
        </w:rPr>
        <w:t>no fue acompañad</w:t>
      </w:r>
      <w:r w:rsidRPr="006E0AC3">
        <w:rPr>
          <w:sz w:val="20"/>
          <w:szCs w:val="20"/>
          <w:lang w:val="es-419"/>
        </w:rPr>
        <w:t>o</w:t>
      </w:r>
      <w:r w:rsidR="00941B25" w:rsidRPr="006E0AC3">
        <w:rPr>
          <w:sz w:val="20"/>
          <w:szCs w:val="20"/>
          <w:lang w:val="es-419"/>
        </w:rPr>
        <w:t xml:space="preserve"> de suficientes detalles que permita</w:t>
      </w:r>
      <w:r w:rsidR="001F5A98" w:rsidRPr="006E0AC3">
        <w:rPr>
          <w:sz w:val="20"/>
          <w:szCs w:val="20"/>
          <w:lang w:val="es-419"/>
        </w:rPr>
        <w:t>n</w:t>
      </w:r>
      <w:r w:rsidR="00941B25" w:rsidRPr="006E0AC3">
        <w:rPr>
          <w:sz w:val="20"/>
          <w:szCs w:val="20"/>
          <w:lang w:val="es-419"/>
        </w:rPr>
        <w:t xml:space="preserve"> a la Comisión analizar el agotamiento de los recursos internos. </w:t>
      </w:r>
      <w:r w:rsidR="006E0AC3" w:rsidRPr="006E0AC3">
        <w:rPr>
          <w:sz w:val="20"/>
          <w:szCs w:val="20"/>
          <w:lang w:val="es-419"/>
        </w:rPr>
        <w:t xml:space="preserve">Adicionalmente, no hubo información suficiente para establecer si el Estado tuvo la oportunidad de conocer las presuntas amenazas recibidas </w:t>
      </w:r>
      <w:r w:rsidR="00305241" w:rsidRPr="006E0AC3">
        <w:rPr>
          <w:sz w:val="20"/>
          <w:szCs w:val="20"/>
          <w:lang w:val="es-419"/>
        </w:rPr>
        <w:t>por</w:t>
      </w:r>
      <w:r w:rsidR="006E0AC3" w:rsidRPr="006E0AC3">
        <w:rPr>
          <w:sz w:val="20"/>
          <w:szCs w:val="20"/>
          <w:lang w:val="es-419"/>
        </w:rPr>
        <w:t xml:space="preserve"> su abogado, así como su muerte; no hay elementos suficientes que permitan un análisis sobre </w:t>
      </w:r>
      <w:r w:rsidR="00941B25" w:rsidRPr="006E0AC3">
        <w:rPr>
          <w:sz w:val="20"/>
          <w:szCs w:val="20"/>
          <w:lang w:val="es-419"/>
        </w:rPr>
        <w:t xml:space="preserve">si </w:t>
      </w:r>
      <w:r w:rsidR="006E0AC3">
        <w:rPr>
          <w:sz w:val="20"/>
          <w:szCs w:val="20"/>
          <w:lang w:val="es-419"/>
        </w:rPr>
        <w:t>la peticionaria</w:t>
      </w:r>
      <w:r w:rsidR="00941B25" w:rsidRPr="006E0AC3">
        <w:rPr>
          <w:sz w:val="20"/>
          <w:szCs w:val="20"/>
          <w:lang w:val="es-419"/>
        </w:rPr>
        <w:t xml:space="preserve"> cumplió con la regla del previo agotamiento de los recursos internos</w:t>
      </w:r>
      <w:r w:rsidR="006E0AC3">
        <w:rPr>
          <w:sz w:val="20"/>
          <w:szCs w:val="20"/>
          <w:lang w:val="es-419"/>
        </w:rPr>
        <w:t xml:space="preserve"> respecto a esas alegaciones,</w:t>
      </w:r>
      <w:r w:rsidR="00941B25" w:rsidRPr="006E0AC3">
        <w:rPr>
          <w:sz w:val="20"/>
          <w:szCs w:val="20"/>
          <w:lang w:val="es-419"/>
        </w:rPr>
        <w:t xml:space="preserve"> o si las excepciones al requisito de agotamiento se aplica</w:t>
      </w:r>
      <w:r w:rsidR="006E0AC3">
        <w:rPr>
          <w:sz w:val="20"/>
          <w:szCs w:val="20"/>
          <w:lang w:val="es-419"/>
        </w:rPr>
        <w:t>ría</w:t>
      </w:r>
      <w:r w:rsidR="00941B25" w:rsidRPr="006E0AC3">
        <w:rPr>
          <w:sz w:val="20"/>
          <w:szCs w:val="20"/>
          <w:lang w:val="es-419"/>
        </w:rPr>
        <w:t>n.</w:t>
      </w:r>
    </w:p>
    <w:p w14:paraId="40DABB4D" w14:textId="1F457979" w:rsidR="006E3BAD" w:rsidRPr="00832361" w:rsidRDefault="006E3BAD" w:rsidP="006E3BAD">
      <w:pPr>
        <w:pStyle w:val="ListParagraph"/>
        <w:spacing w:before="240" w:after="240"/>
        <w:ind w:left="0" w:firstLine="709"/>
        <w:jc w:val="both"/>
        <w:rPr>
          <w:rFonts w:asciiTheme="majorHAnsi" w:hAnsiTheme="majorHAnsi"/>
          <w:b/>
          <w:sz w:val="20"/>
          <w:szCs w:val="20"/>
          <w:lang w:val="es-419"/>
        </w:rPr>
      </w:pPr>
      <w:r w:rsidRPr="00832361">
        <w:rPr>
          <w:rFonts w:asciiTheme="majorHAnsi" w:hAnsiTheme="majorHAnsi"/>
          <w:b/>
          <w:sz w:val="20"/>
          <w:szCs w:val="20"/>
          <w:lang w:val="es-419"/>
        </w:rPr>
        <w:t xml:space="preserve">VII. </w:t>
      </w:r>
      <w:r w:rsidRPr="00832361">
        <w:rPr>
          <w:rFonts w:asciiTheme="majorHAnsi" w:hAnsiTheme="majorHAnsi"/>
          <w:b/>
          <w:sz w:val="20"/>
          <w:szCs w:val="20"/>
          <w:lang w:val="es-419"/>
        </w:rPr>
        <w:tab/>
      </w:r>
      <w:r w:rsidRPr="00832361">
        <w:rPr>
          <w:rFonts w:asciiTheme="majorHAnsi" w:hAnsiTheme="majorHAnsi"/>
          <w:b/>
          <w:bCs/>
          <w:sz w:val="20"/>
          <w:szCs w:val="20"/>
          <w:lang w:val="es-419"/>
        </w:rPr>
        <w:t>DECISIÓN</w:t>
      </w:r>
    </w:p>
    <w:p w14:paraId="743FA3E4" w14:textId="77777777" w:rsidR="00941B25" w:rsidRPr="00941B25" w:rsidRDefault="00941B25" w:rsidP="00FF56A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419"/>
        </w:rPr>
      </w:pPr>
      <w:r w:rsidRPr="00941B25">
        <w:rPr>
          <w:sz w:val="20"/>
          <w:szCs w:val="20"/>
          <w:lang w:val="es-ES"/>
        </w:rPr>
        <w:t>Declarar inadmisible la presente petición;</w:t>
      </w:r>
      <w:r>
        <w:rPr>
          <w:sz w:val="20"/>
          <w:szCs w:val="20"/>
          <w:lang w:val="es-ES"/>
        </w:rPr>
        <w:t xml:space="preserve"> </w:t>
      </w:r>
    </w:p>
    <w:p w14:paraId="245C05A6" w14:textId="487F5B5D" w:rsidR="006E3BAD" w:rsidRDefault="00941B25" w:rsidP="00941B25">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419"/>
        </w:rPr>
      </w:pPr>
      <w:r w:rsidRPr="00941B25">
        <w:rPr>
          <w:sz w:val="20"/>
          <w:szCs w:val="20"/>
          <w:lang w:val="es-ES"/>
        </w:rPr>
        <w:t>Notificar a las partes la presente decisión; y publicar esta decisión e incluirla en su Informe Anual a la Asamblea General de la Organización de los Estados Americanos</w:t>
      </w:r>
      <w:r w:rsidR="00FF56A2" w:rsidRPr="00FF56A2">
        <w:rPr>
          <w:sz w:val="20"/>
          <w:szCs w:val="20"/>
          <w:lang w:val="es-419"/>
        </w:rPr>
        <w:t>.</w:t>
      </w:r>
    </w:p>
    <w:p w14:paraId="4EE565BF" w14:textId="77777777" w:rsidR="00305241" w:rsidRDefault="00305241" w:rsidP="003052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419"/>
        </w:rPr>
      </w:pPr>
    </w:p>
    <w:p w14:paraId="69CBF778" w14:textId="19B2770B" w:rsidR="00305241" w:rsidRPr="002B3639" w:rsidRDefault="00305241" w:rsidP="0030524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miembros de la Comisión. </w:t>
      </w:r>
      <w:r w:rsidRPr="00407104">
        <w:rPr>
          <w:rStyle w:val="eop"/>
          <w:rFonts w:ascii="Cambria" w:hAnsi="Cambria" w:cs="Segoe UI"/>
          <w:sz w:val="20"/>
          <w:szCs w:val="20"/>
          <w:lang w:val="es-ES"/>
        </w:rPr>
        <w:t> </w:t>
      </w:r>
    </w:p>
    <w:p w14:paraId="0B5227C2" w14:textId="77777777" w:rsidR="00305241" w:rsidRPr="00305241" w:rsidRDefault="00305241" w:rsidP="003052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
        </w:rPr>
      </w:pPr>
    </w:p>
    <w:sectPr w:rsidR="00305241" w:rsidRPr="003052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0561" w14:textId="77777777" w:rsidR="00080166" w:rsidRDefault="00080166">
      <w:r>
        <w:separator/>
      </w:r>
    </w:p>
  </w:endnote>
  <w:endnote w:type="continuationSeparator" w:id="0">
    <w:p w14:paraId="6B374304" w14:textId="77777777" w:rsidR="00080166" w:rsidRDefault="0008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DA1D" w14:textId="77777777" w:rsidR="00080166" w:rsidRPr="000F35ED" w:rsidRDefault="0008016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F6DE9E" w14:textId="77777777" w:rsidR="00080166" w:rsidRPr="000F35ED" w:rsidRDefault="00080166" w:rsidP="000F35ED">
      <w:pPr>
        <w:rPr>
          <w:rFonts w:asciiTheme="majorHAnsi" w:hAnsiTheme="majorHAnsi"/>
          <w:sz w:val="16"/>
          <w:szCs w:val="16"/>
        </w:rPr>
      </w:pPr>
      <w:r w:rsidRPr="000F35ED">
        <w:rPr>
          <w:rFonts w:asciiTheme="majorHAnsi" w:hAnsiTheme="majorHAnsi"/>
          <w:sz w:val="16"/>
          <w:szCs w:val="16"/>
        </w:rPr>
        <w:separator/>
      </w:r>
    </w:p>
    <w:p w14:paraId="16C71D6E" w14:textId="77777777" w:rsidR="00080166" w:rsidRPr="000F35ED" w:rsidRDefault="0008016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16D3D6" w14:textId="77777777" w:rsidR="00080166" w:rsidRPr="000F35ED" w:rsidRDefault="0008016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77777777" w:rsidR="008E3BFE" w:rsidRPr="000C0810" w:rsidRDefault="008E3BFE" w:rsidP="004D30BA">
      <w:pPr>
        <w:pStyle w:val="FootnoteText"/>
        <w:ind w:firstLine="720"/>
        <w:jc w:val="both"/>
        <w:rPr>
          <w:rFonts w:asciiTheme="majorHAnsi" w:hAnsiTheme="majorHAnsi"/>
          <w:sz w:val="16"/>
          <w:szCs w:val="16"/>
          <w:lang w:val="es-ES"/>
        </w:rPr>
      </w:pPr>
      <w:r w:rsidRPr="000C0810">
        <w:rPr>
          <w:rStyle w:val="FootnoteReference"/>
          <w:rFonts w:asciiTheme="majorHAnsi" w:hAnsiTheme="majorHAnsi"/>
          <w:sz w:val="16"/>
          <w:szCs w:val="16"/>
        </w:rPr>
        <w:footnoteRef/>
      </w:r>
      <w:r w:rsidRPr="000C0810">
        <w:rPr>
          <w:rFonts w:asciiTheme="majorHAnsi" w:hAnsiTheme="majorHAnsi"/>
          <w:sz w:val="16"/>
          <w:szCs w:val="16"/>
          <w:lang w:val="es-ES"/>
        </w:rPr>
        <w:t xml:space="preserve"> Las observaciones de cada parte fueron debidamente trasladadas a la parte contraria.</w:t>
      </w:r>
    </w:p>
  </w:footnote>
  <w:footnote w:id="3">
    <w:p w14:paraId="1D08F92F" w14:textId="3D06ACF6" w:rsidR="000C0810" w:rsidRPr="000C0810" w:rsidRDefault="000C0810" w:rsidP="004D30BA">
      <w:pPr>
        <w:pStyle w:val="FootnoteText"/>
        <w:ind w:firstLine="720"/>
        <w:jc w:val="both"/>
        <w:rPr>
          <w:rFonts w:asciiTheme="majorHAnsi" w:hAnsiTheme="majorHAnsi"/>
          <w:sz w:val="16"/>
          <w:szCs w:val="16"/>
          <w:lang w:val="es-US"/>
        </w:rPr>
      </w:pPr>
      <w:r w:rsidRPr="000C0810">
        <w:rPr>
          <w:rStyle w:val="FootnoteReference"/>
          <w:rFonts w:asciiTheme="majorHAnsi" w:hAnsiTheme="majorHAnsi"/>
          <w:sz w:val="16"/>
          <w:szCs w:val="16"/>
        </w:rPr>
        <w:footnoteRef/>
      </w:r>
      <w:r w:rsidRPr="000C0810">
        <w:rPr>
          <w:rFonts w:asciiTheme="majorHAnsi" w:hAnsiTheme="majorHAnsi"/>
          <w:sz w:val="16"/>
          <w:szCs w:val="16"/>
          <w:lang w:val="es-US"/>
        </w:rPr>
        <w:t xml:space="preserve"> En </w:t>
      </w:r>
      <w:r w:rsidR="004D30BA">
        <w:rPr>
          <w:rFonts w:asciiTheme="majorHAnsi" w:hAnsiTheme="majorHAnsi"/>
          <w:sz w:val="16"/>
          <w:szCs w:val="16"/>
          <w:lang w:val="es-US"/>
        </w:rPr>
        <w:t>a</w:t>
      </w:r>
      <w:r w:rsidRPr="000C0810">
        <w:rPr>
          <w:rFonts w:asciiTheme="majorHAnsi" w:hAnsiTheme="majorHAnsi"/>
          <w:sz w:val="16"/>
          <w:szCs w:val="16"/>
          <w:lang w:val="es-US"/>
        </w:rPr>
        <w:t xml:space="preserve">delante “la Convención Americana” o “la Convención”.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327B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8"/>
  </w:num>
  <w:num w:numId="3" w16cid:durableId="1663389590">
    <w:abstractNumId w:val="61"/>
  </w:num>
  <w:num w:numId="4" w16cid:durableId="82342866">
    <w:abstractNumId w:val="23"/>
  </w:num>
  <w:num w:numId="5" w16cid:durableId="1599026591">
    <w:abstractNumId w:val="53"/>
  </w:num>
  <w:num w:numId="6" w16cid:durableId="1795514418">
    <w:abstractNumId w:val="31"/>
  </w:num>
  <w:num w:numId="7" w16cid:durableId="396254">
    <w:abstractNumId w:val="9"/>
  </w:num>
  <w:num w:numId="8" w16cid:durableId="1302268258">
    <w:abstractNumId w:val="19"/>
  </w:num>
  <w:num w:numId="9" w16cid:durableId="669480169">
    <w:abstractNumId w:val="47"/>
  </w:num>
  <w:num w:numId="10" w16cid:durableId="275260533">
    <w:abstractNumId w:val="2"/>
  </w:num>
  <w:num w:numId="11" w16cid:durableId="866258526">
    <w:abstractNumId w:val="42"/>
  </w:num>
  <w:num w:numId="12" w16cid:durableId="171335598">
    <w:abstractNumId w:val="43"/>
  </w:num>
  <w:num w:numId="13" w16cid:durableId="752550714">
    <w:abstractNumId w:val="50"/>
  </w:num>
  <w:num w:numId="14" w16cid:durableId="728965123">
    <w:abstractNumId w:val="3"/>
  </w:num>
  <w:num w:numId="15" w16cid:durableId="1621453753">
    <w:abstractNumId w:val="4"/>
  </w:num>
  <w:num w:numId="16" w16cid:durableId="83038602">
    <w:abstractNumId w:val="10"/>
  </w:num>
  <w:num w:numId="17" w16cid:durableId="1303999826">
    <w:abstractNumId w:val="11"/>
  </w:num>
  <w:num w:numId="18" w16cid:durableId="821040696">
    <w:abstractNumId w:val="12"/>
  </w:num>
  <w:num w:numId="19" w16cid:durableId="1169177920">
    <w:abstractNumId w:val="13"/>
  </w:num>
  <w:num w:numId="20" w16cid:durableId="1324315618">
    <w:abstractNumId w:val="14"/>
  </w:num>
  <w:num w:numId="21" w16cid:durableId="91245775">
    <w:abstractNumId w:val="15"/>
  </w:num>
  <w:num w:numId="22" w16cid:durableId="25645375">
    <w:abstractNumId w:val="16"/>
  </w:num>
  <w:num w:numId="23" w16cid:durableId="247152260">
    <w:abstractNumId w:val="17"/>
  </w:num>
  <w:num w:numId="24" w16cid:durableId="1871214995">
    <w:abstractNumId w:val="18"/>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7"/>
  </w:num>
  <w:num w:numId="58" w16cid:durableId="55784951">
    <w:abstractNumId w:val="41"/>
  </w:num>
  <w:num w:numId="59" w16cid:durableId="665792024">
    <w:abstractNumId w:val="65"/>
  </w:num>
  <w:num w:numId="60" w16cid:durableId="712732366">
    <w:abstractNumId w:val="37"/>
  </w:num>
  <w:num w:numId="61" w16cid:durableId="1097671741">
    <w:abstractNumId w:val="49"/>
  </w:num>
  <w:num w:numId="62" w16cid:durableId="1840730130">
    <w:abstractNumId w:val="55"/>
  </w:num>
  <w:num w:numId="63" w16cid:durableId="369187513">
    <w:abstractNumId w:val="5"/>
  </w:num>
  <w:num w:numId="64" w16cid:durableId="1129082726">
    <w:abstractNumId w:val="59"/>
  </w:num>
  <w:num w:numId="65" w16cid:durableId="1375806805">
    <w:abstractNumId w:val="0"/>
  </w:num>
  <w:num w:numId="66" w16cid:durableId="1638342112">
    <w:abstractNumId w:val="1"/>
  </w:num>
  <w:num w:numId="67" w16cid:durableId="691346643">
    <w:abstractNumId w:val="28"/>
  </w:num>
  <w:num w:numId="68" w16cid:durableId="119014844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6427"/>
    <w:rsid w:val="0001788C"/>
    <w:rsid w:val="00022364"/>
    <w:rsid w:val="000337EF"/>
    <w:rsid w:val="00036256"/>
    <w:rsid w:val="00040C3A"/>
    <w:rsid w:val="000419AD"/>
    <w:rsid w:val="000433C9"/>
    <w:rsid w:val="000444E7"/>
    <w:rsid w:val="000473B3"/>
    <w:rsid w:val="00053479"/>
    <w:rsid w:val="000609B2"/>
    <w:rsid w:val="00061F33"/>
    <w:rsid w:val="00071174"/>
    <w:rsid w:val="000716C5"/>
    <w:rsid w:val="00075E23"/>
    <w:rsid w:val="00080166"/>
    <w:rsid w:val="000801CB"/>
    <w:rsid w:val="00082AB6"/>
    <w:rsid w:val="00084EFC"/>
    <w:rsid w:val="000858C1"/>
    <w:rsid w:val="0008777B"/>
    <w:rsid w:val="0009344A"/>
    <w:rsid w:val="000970F4"/>
    <w:rsid w:val="000A1783"/>
    <w:rsid w:val="000A392E"/>
    <w:rsid w:val="000A575F"/>
    <w:rsid w:val="000B66F4"/>
    <w:rsid w:val="000B677E"/>
    <w:rsid w:val="000B7730"/>
    <w:rsid w:val="000C07F5"/>
    <w:rsid w:val="000C0810"/>
    <w:rsid w:val="000D05CB"/>
    <w:rsid w:val="000D10DB"/>
    <w:rsid w:val="000E0C74"/>
    <w:rsid w:val="000E4191"/>
    <w:rsid w:val="000E5EB5"/>
    <w:rsid w:val="000F1836"/>
    <w:rsid w:val="000F35ED"/>
    <w:rsid w:val="000F5E60"/>
    <w:rsid w:val="000F7327"/>
    <w:rsid w:val="0010550C"/>
    <w:rsid w:val="00107131"/>
    <w:rsid w:val="0010736F"/>
    <w:rsid w:val="00113F73"/>
    <w:rsid w:val="00117739"/>
    <w:rsid w:val="00120FB0"/>
    <w:rsid w:val="00121CC2"/>
    <w:rsid w:val="00124156"/>
    <w:rsid w:val="001253BC"/>
    <w:rsid w:val="00131425"/>
    <w:rsid w:val="00131CEA"/>
    <w:rsid w:val="00133246"/>
    <w:rsid w:val="00133EE5"/>
    <w:rsid w:val="0013676D"/>
    <w:rsid w:val="001468E4"/>
    <w:rsid w:val="0015103D"/>
    <w:rsid w:val="00153C45"/>
    <w:rsid w:val="001573A3"/>
    <w:rsid w:val="00163853"/>
    <w:rsid w:val="00163F99"/>
    <w:rsid w:val="00165562"/>
    <w:rsid w:val="00167A34"/>
    <w:rsid w:val="00171C9F"/>
    <w:rsid w:val="00174FF1"/>
    <w:rsid w:val="001818BA"/>
    <w:rsid w:val="001A520D"/>
    <w:rsid w:val="001A7870"/>
    <w:rsid w:val="001A7D7B"/>
    <w:rsid w:val="001B2369"/>
    <w:rsid w:val="001B3A00"/>
    <w:rsid w:val="001C1B41"/>
    <w:rsid w:val="001C689E"/>
    <w:rsid w:val="001D2052"/>
    <w:rsid w:val="001D21C7"/>
    <w:rsid w:val="001D65EF"/>
    <w:rsid w:val="001D6618"/>
    <w:rsid w:val="001E142D"/>
    <w:rsid w:val="001E15E7"/>
    <w:rsid w:val="001E49E7"/>
    <w:rsid w:val="001F16D1"/>
    <w:rsid w:val="001F2A9E"/>
    <w:rsid w:val="001F5A98"/>
    <w:rsid w:val="001F7201"/>
    <w:rsid w:val="0020080E"/>
    <w:rsid w:val="00200B4B"/>
    <w:rsid w:val="002032AE"/>
    <w:rsid w:val="00206D43"/>
    <w:rsid w:val="00223A29"/>
    <w:rsid w:val="002243AA"/>
    <w:rsid w:val="002250A3"/>
    <w:rsid w:val="002301DC"/>
    <w:rsid w:val="00234F71"/>
    <w:rsid w:val="00235217"/>
    <w:rsid w:val="002362D0"/>
    <w:rsid w:val="00237C68"/>
    <w:rsid w:val="0024627D"/>
    <w:rsid w:val="00246D1F"/>
    <w:rsid w:val="00246E6B"/>
    <w:rsid w:val="00247403"/>
    <w:rsid w:val="00247542"/>
    <w:rsid w:val="00266B61"/>
    <w:rsid w:val="0026712A"/>
    <w:rsid w:val="002704DB"/>
    <w:rsid w:val="00272A22"/>
    <w:rsid w:val="00280896"/>
    <w:rsid w:val="00280B37"/>
    <w:rsid w:val="00281862"/>
    <w:rsid w:val="002840C1"/>
    <w:rsid w:val="00286C08"/>
    <w:rsid w:val="002A0AAE"/>
    <w:rsid w:val="002A5820"/>
    <w:rsid w:val="002B1533"/>
    <w:rsid w:val="002C0BFE"/>
    <w:rsid w:val="002C3757"/>
    <w:rsid w:val="002D247C"/>
    <w:rsid w:val="002D2B26"/>
    <w:rsid w:val="002D7EA2"/>
    <w:rsid w:val="002E187C"/>
    <w:rsid w:val="002F3F8C"/>
    <w:rsid w:val="003009E4"/>
    <w:rsid w:val="00302733"/>
    <w:rsid w:val="00305241"/>
    <w:rsid w:val="00305835"/>
    <w:rsid w:val="00306F33"/>
    <w:rsid w:val="00314078"/>
    <w:rsid w:val="0031535D"/>
    <w:rsid w:val="003239B8"/>
    <w:rsid w:val="0033169F"/>
    <w:rsid w:val="003447F5"/>
    <w:rsid w:val="00344977"/>
    <w:rsid w:val="003459D0"/>
    <w:rsid w:val="00346C95"/>
    <w:rsid w:val="00347F0D"/>
    <w:rsid w:val="00356185"/>
    <w:rsid w:val="00360214"/>
    <w:rsid w:val="00360380"/>
    <w:rsid w:val="003645BE"/>
    <w:rsid w:val="00364723"/>
    <w:rsid w:val="003656F1"/>
    <w:rsid w:val="003723D4"/>
    <w:rsid w:val="00373BF3"/>
    <w:rsid w:val="0037519E"/>
    <w:rsid w:val="00380295"/>
    <w:rsid w:val="00380AC4"/>
    <w:rsid w:val="00383110"/>
    <w:rsid w:val="00386CF0"/>
    <w:rsid w:val="0039576A"/>
    <w:rsid w:val="003A0679"/>
    <w:rsid w:val="003A67B8"/>
    <w:rsid w:val="003B0958"/>
    <w:rsid w:val="003B3B36"/>
    <w:rsid w:val="003B3C9D"/>
    <w:rsid w:val="003B5A95"/>
    <w:rsid w:val="003B70FB"/>
    <w:rsid w:val="003C3E20"/>
    <w:rsid w:val="003C676B"/>
    <w:rsid w:val="003D3BC2"/>
    <w:rsid w:val="003D67A9"/>
    <w:rsid w:val="003D7441"/>
    <w:rsid w:val="003E51E9"/>
    <w:rsid w:val="003E6CA1"/>
    <w:rsid w:val="003F03E5"/>
    <w:rsid w:val="003F5154"/>
    <w:rsid w:val="003F6767"/>
    <w:rsid w:val="00404E68"/>
    <w:rsid w:val="00405184"/>
    <w:rsid w:val="00405F9C"/>
    <w:rsid w:val="004065A8"/>
    <w:rsid w:val="0041180A"/>
    <w:rsid w:val="004165C2"/>
    <w:rsid w:val="004205D0"/>
    <w:rsid w:val="004241A0"/>
    <w:rsid w:val="00424FB5"/>
    <w:rsid w:val="004261A5"/>
    <w:rsid w:val="00427B38"/>
    <w:rsid w:val="00441ECB"/>
    <w:rsid w:val="00445193"/>
    <w:rsid w:val="0045112C"/>
    <w:rsid w:val="004528E6"/>
    <w:rsid w:val="00454A25"/>
    <w:rsid w:val="0046139B"/>
    <w:rsid w:val="00462C1B"/>
    <w:rsid w:val="004653E0"/>
    <w:rsid w:val="00467B7E"/>
    <w:rsid w:val="00473BB4"/>
    <w:rsid w:val="00473DE9"/>
    <w:rsid w:val="00477592"/>
    <w:rsid w:val="00486F1C"/>
    <w:rsid w:val="0049419D"/>
    <w:rsid w:val="004A057B"/>
    <w:rsid w:val="004A3986"/>
    <w:rsid w:val="004A6895"/>
    <w:rsid w:val="004A6A54"/>
    <w:rsid w:val="004B421C"/>
    <w:rsid w:val="004C20D2"/>
    <w:rsid w:val="004C2312"/>
    <w:rsid w:val="004C4B62"/>
    <w:rsid w:val="004C54C9"/>
    <w:rsid w:val="004D109B"/>
    <w:rsid w:val="004D30BA"/>
    <w:rsid w:val="004D33D7"/>
    <w:rsid w:val="004D4ABA"/>
    <w:rsid w:val="004D6025"/>
    <w:rsid w:val="004E013A"/>
    <w:rsid w:val="004E2649"/>
    <w:rsid w:val="004E3A90"/>
    <w:rsid w:val="004F1840"/>
    <w:rsid w:val="004F1B17"/>
    <w:rsid w:val="004F4750"/>
    <w:rsid w:val="004F626F"/>
    <w:rsid w:val="00501399"/>
    <w:rsid w:val="00501F92"/>
    <w:rsid w:val="005047ED"/>
    <w:rsid w:val="0050633D"/>
    <w:rsid w:val="0050662A"/>
    <w:rsid w:val="0050782E"/>
    <w:rsid w:val="00507BC4"/>
    <w:rsid w:val="005128E4"/>
    <w:rsid w:val="005133DB"/>
    <w:rsid w:val="00514504"/>
    <w:rsid w:val="005203C3"/>
    <w:rsid w:val="00520B4E"/>
    <w:rsid w:val="00521191"/>
    <w:rsid w:val="00521E1F"/>
    <w:rsid w:val="005220CE"/>
    <w:rsid w:val="00522B91"/>
    <w:rsid w:val="00522E0C"/>
    <w:rsid w:val="00523B30"/>
    <w:rsid w:val="00525560"/>
    <w:rsid w:val="00540616"/>
    <w:rsid w:val="00540BCC"/>
    <w:rsid w:val="00540FED"/>
    <w:rsid w:val="00544C49"/>
    <w:rsid w:val="005516A1"/>
    <w:rsid w:val="00552774"/>
    <w:rsid w:val="005559EF"/>
    <w:rsid w:val="005627DD"/>
    <w:rsid w:val="00563557"/>
    <w:rsid w:val="005638E8"/>
    <w:rsid w:val="00567071"/>
    <w:rsid w:val="00567716"/>
    <w:rsid w:val="00571271"/>
    <w:rsid w:val="0057402A"/>
    <w:rsid w:val="005771D0"/>
    <w:rsid w:val="00584653"/>
    <w:rsid w:val="00587C5F"/>
    <w:rsid w:val="0059191A"/>
    <w:rsid w:val="005921FF"/>
    <w:rsid w:val="00596CB5"/>
    <w:rsid w:val="005A2472"/>
    <w:rsid w:val="005A24ED"/>
    <w:rsid w:val="005A6D0E"/>
    <w:rsid w:val="005B039F"/>
    <w:rsid w:val="005B3279"/>
    <w:rsid w:val="005B52B0"/>
    <w:rsid w:val="005B6806"/>
    <w:rsid w:val="005C4225"/>
    <w:rsid w:val="005C5C59"/>
    <w:rsid w:val="005C606E"/>
    <w:rsid w:val="005D6797"/>
    <w:rsid w:val="005D7563"/>
    <w:rsid w:val="005E7173"/>
    <w:rsid w:val="005F0DAD"/>
    <w:rsid w:val="005F0F33"/>
    <w:rsid w:val="00600DEB"/>
    <w:rsid w:val="006021DC"/>
    <w:rsid w:val="00611890"/>
    <w:rsid w:val="00614A9D"/>
    <w:rsid w:val="00614FD6"/>
    <w:rsid w:val="00615731"/>
    <w:rsid w:val="00621CA4"/>
    <w:rsid w:val="00622FAA"/>
    <w:rsid w:val="00625E2F"/>
    <w:rsid w:val="00627562"/>
    <w:rsid w:val="00627C9F"/>
    <w:rsid w:val="006311E9"/>
    <w:rsid w:val="00632354"/>
    <w:rsid w:val="00635421"/>
    <w:rsid w:val="00635B94"/>
    <w:rsid w:val="00642810"/>
    <w:rsid w:val="00642F92"/>
    <w:rsid w:val="00643E7F"/>
    <w:rsid w:val="00652333"/>
    <w:rsid w:val="00653B3B"/>
    <w:rsid w:val="00663CC3"/>
    <w:rsid w:val="00674552"/>
    <w:rsid w:val="006746F8"/>
    <w:rsid w:val="00677ED5"/>
    <w:rsid w:val="0068009E"/>
    <w:rsid w:val="00684ACD"/>
    <w:rsid w:val="00692219"/>
    <w:rsid w:val="00693CD3"/>
    <w:rsid w:val="00693EB9"/>
    <w:rsid w:val="006A08CE"/>
    <w:rsid w:val="006A17D2"/>
    <w:rsid w:val="006A73E6"/>
    <w:rsid w:val="006B2D5C"/>
    <w:rsid w:val="006B3235"/>
    <w:rsid w:val="006B3F64"/>
    <w:rsid w:val="006C0ECF"/>
    <w:rsid w:val="006C2C64"/>
    <w:rsid w:val="006C2E24"/>
    <w:rsid w:val="006C4EB1"/>
    <w:rsid w:val="006D2037"/>
    <w:rsid w:val="006D4EE9"/>
    <w:rsid w:val="006D6DEB"/>
    <w:rsid w:val="006E0166"/>
    <w:rsid w:val="006E0AC3"/>
    <w:rsid w:val="006E2FFB"/>
    <w:rsid w:val="006E3BAD"/>
    <w:rsid w:val="006E7B34"/>
    <w:rsid w:val="006F52C0"/>
    <w:rsid w:val="00704306"/>
    <w:rsid w:val="0070697F"/>
    <w:rsid w:val="007101DB"/>
    <w:rsid w:val="007103C4"/>
    <w:rsid w:val="007175C3"/>
    <w:rsid w:val="0072199C"/>
    <w:rsid w:val="00722C9F"/>
    <w:rsid w:val="00723817"/>
    <w:rsid w:val="007253B8"/>
    <w:rsid w:val="00733B31"/>
    <w:rsid w:val="0073741F"/>
    <w:rsid w:val="00744DED"/>
    <w:rsid w:val="00750B16"/>
    <w:rsid w:val="00751E29"/>
    <w:rsid w:val="00753436"/>
    <w:rsid w:val="007658AE"/>
    <w:rsid w:val="0076643F"/>
    <w:rsid w:val="00777F63"/>
    <w:rsid w:val="00784185"/>
    <w:rsid w:val="0078452A"/>
    <w:rsid w:val="00786CBF"/>
    <w:rsid w:val="00793F1C"/>
    <w:rsid w:val="00794F46"/>
    <w:rsid w:val="007A5417"/>
    <w:rsid w:val="007A5817"/>
    <w:rsid w:val="007B05C4"/>
    <w:rsid w:val="007B1823"/>
    <w:rsid w:val="007B60E9"/>
    <w:rsid w:val="007B6595"/>
    <w:rsid w:val="007B6CC3"/>
    <w:rsid w:val="007B76D3"/>
    <w:rsid w:val="007C282B"/>
    <w:rsid w:val="007C3334"/>
    <w:rsid w:val="007D2B98"/>
    <w:rsid w:val="007E16EE"/>
    <w:rsid w:val="007E195B"/>
    <w:rsid w:val="007E21BC"/>
    <w:rsid w:val="007E5C97"/>
    <w:rsid w:val="007E6888"/>
    <w:rsid w:val="007E7C82"/>
    <w:rsid w:val="007F2AA1"/>
    <w:rsid w:val="007F4267"/>
    <w:rsid w:val="007F588D"/>
    <w:rsid w:val="00803F1C"/>
    <w:rsid w:val="00804FF9"/>
    <w:rsid w:val="00805D5C"/>
    <w:rsid w:val="0080600E"/>
    <w:rsid w:val="0080671D"/>
    <w:rsid w:val="00814688"/>
    <w:rsid w:val="00817612"/>
    <w:rsid w:val="00832361"/>
    <w:rsid w:val="008338A4"/>
    <w:rsid w:val="00834D49"/>
    <w:rsid w:val="00837C45"/>
    <w:rsid w:val="00841CD0"/>
    <w:rsid w:val="00844730"/>
    <w:rsid w:val="008452B2"/>
    <w:rsid w:val="008457C2"/>
    <w:rsid w:val="00853E1A"/>
    <w:rsid w:val="00854AFD"/>
    <w:rsid w:val="00857949"/>
    <w:rsid w:val="00857A82"/>
    <w:rsid w:val="008619AD"/>
    <w:rsid w:val="00862981"/>
    <w:rsid w:val="00863ACA"/>
    <w:rsid w:val="008672ED"/>
    <w:rsid w:val="00872CBE"/>
    <w:rsid w:val="00873836"/>
    <w:rsid w:val="0088221E"/>
    <w:rsid w:val="00885737"/>
    <w:rsid w:val="00890650"/>
    <w:rsid w:val="008944DC"/>
    <w:rsid w:val="00895F48"/>
    <w:rsid w:val="00897E12"/>
    <w:rsid w:val="008A7E0F"/>
    <w:rsid w:val="008B12F5"/>
    <w:rsid w:val="008B2C3B"/>
    <w:rsid w:val="008B4094"/>
    <w:rsid w:val="008C002D"/>
    <w:rsid w:val="008C3161"/>
    <w:rsid w:val="008C520D"/>
    <w:rsid w:val="008C538C"/>
    <w:rsid w:val="008C5E2D"/>
    <w:rsid w:val="008D087B"/>
    <w:rsid w:val="008D768D"/>
    <w:rsid w:val="008E2546"/>
    <w:rsid w:val="008E3759"/>
    <w:rsid w:val="008E3BFE"/>
    <w:rsid w:val="008F1912"/>
    <w:rsid w:val="008F288F"/>
    <w:rsid w:val="0090135C"/>
    <w:rsid w:val="0090270B"/>
    <w:rsid w:val="009041DC"/>
    <w:rsid w:val="0091191E"/>
    <w:rsid w:val="00917B5A"/>
    <w:rsid w:val="00920A58"/>
    <w:rsid w:val="00920A8C"/>
    <w:rsid w:val="00927786"/>
    <w:rsid w:val="00934A2C"/>
    <w:rsid w:val="00940D1F"/>
    <w:rsid w:val="00941B25"/>
    <w:rsid w:val="00944B9D"/>
    <w:rsid w:val="00944C3A"/>
    <w:rsid w:val="00952C03"/>
    <w:rsid w:val="00955339"/>
    <w:rsid w:val="00957C0E"/>
    <w:rsid w:val="0096706E"/>
    <w:rsid w:val="00974312"/>
    <w:rsid w:val="00974491"/>
    <w:rsid w:val="00975AD7"/>
    <w:rsid w:val="00975C4E"/>
    <w:rsid w:val="00981FBA"/>
    <w:rsid w:val="00982364"/>
    <w:rsid w:val="00982CB3"/>
    <w:rsid w:val="00997BC5"/>
    <w:rsid w:val="009A1321"/>
    <w:rsid w:val="009A3825"/>
    <w:rsid w:val="009A4F41"/>
    <w:rsid w:val="009B03E1"/>
    <w:rsid w:val="009B1678"/>
    <w:rsid w:val="009B381B"/>
    <w:rsid w:val="009B5220"/>
    <w:rsid w:val="009C7649"/>
    <w:rsid w:val="009D1753"/>
    <w:rsid w:val="009D2D7C"/>
    <w:rsid w:val="009D7611"/>
    <w:rsid w:val="009E0B61"/>
    <w:rsid w:val="009E390D"/>
    <w:rsid w:val="009E481A"/>
    <w:rsid w:val="009E53DE"/>
    <w:rsid w:val="009E763B"/>
    <w:rsid w:val="009E7F46"/>
    <w:rsid w:val="00A004BB"/>
    <w:rsid w:val="00A05739"/>
    <w:rsid w:val="00A05B01"/>
    <w:rsid w:val="00A11212"/>
    <w:rsid w:val="00A1127B"/>
    <w:rsid w:val="00A11E44"/>
    <w:rsid w:val="00A14492"/>
    <w:rsid w:val="00A2139A"/>
    <w:rsid w:val="00A2438F"/>
    <w:rsid w:val="00A24F3B"/>
    <w:rsid w:val="00A279CA"/>
    <w:rsid w:val="00A30100"/>
    <w:rsid w:val="00A307D5"/>
    <w:rsid w:val="00A328B3"/>
    <w:rsid w:val="00A34797"/>
    <w:rsid w:val="00A379BA"/>
    <w:rsid w:val="00A42DF1"/>
    <w:rsid w:val="00A44CD2"/>
    <w:rsid w:val="00A47319"/>
    <w:rsid w:val="00A50FCF"/>
    <w:rsid w:val="00A528D1"/>
    <w:rsid w:val="00A55E69"/>
    <w:rsid w:val="00A577E7"/>
    <w:rsid w:val="00A610CD"/>
    <w:rsid w:val="00A63CFD"/>
    <w:rsid w:val="00A678DC"/>
    <w:rsid w:val="00A72E93"/>
    <w:rsid w:val="00A758AA"/>
    <w:rsid w:val="00A879E9"/>
    <w:rsid w:val="00A922AA"/>
    <w:rsid w:val="00A934E3"/>
    <w:rsid w:val="00A9427B"/>
    <w:rsid w:val="00AA09A2"/>
    <w:rsid w:val="00AA2D5C"/>
    <w:rsid w:val="00AA7996"/>
    <w:rsid w:val="00AB3141"/>
    <w:rsid w:val="00AC1266"/>
    <w:rsid w:val="00AC19CB"/>
    <w:rsid w:val="00AC432D"/>
    <w:rsid w:val="00AC4711"/>
    <w:rsid w:val="00AD2609"/>
    <w:rsid w:val="00AE4B75"/>
    <w:rsid w:val="00AE5488"/>
    <w:rsid w:val="00AE628B"/>
    <w:rsid w:val="00AE6F91"/>
    <w:rsid w:val="00AF1AF9"/>
    <w:rsid w:val="00AF224B"/>
    <w:rsid w:val="00AF5571"/>
    <w:rsid w:val="00AF649D"/>
    <w:rsid w:val="00B0247A"/>
    <w:rsid w:val="00B07341"/>
    <w:rsid w:val="00B079D3"/>
    <w:rsid w:val="00B12136"/>
    <w:rsid w:val="00B14A8B"/>
    <w:rsid w:val="00B21119"/>
    <w:rsid w:val="00B22E31"/>
    <w:rsid w:val="00B2734D"/>
    <w:rsid w:val="00B27766"/>
    <w:rsid w:val="00B30539"/>
    <w:rsid w:val="00B314DB"/>
    <w:rsid w:val="00B32801"/>
    <w:rsid w:val="00B35BFA"/>
    <w:rsid w:val="00B361F2"/>
    <w:rsid w:val="00B37047"/>
    <w:rsid w:val="00B3718B"/>
    <w:rsid w:val="00B3745F"/>
    <w:rsid w:val="00B37FBA"/>
    <w:rsid w:val="00B40527"/>
    <w:rsid w:val="00B4632A"/>
    <w:rsid w:val="00B530F1"/>
    <w:rsid w:val="00B53EAF"/>
    <w:rsid w:val="00B55A6C"/>
    <w:rsid w:val="00B653DB"/>
    <w:rsid w:val="00B70730"/>
    <w:rsid w:val="00B7711D"/>
    <w:rsid w:val="00B82700"/>
    <w:rsid w:val="00B83158"/>
    <w:rsid w:val="00B90063"/>
    <w:rsid w:val="00B9113D"/>
    <w:rsid w:val="00B93D7F"/>
    <w:rsid w:val="00B94B46"/>
    <w:rsid w:val="00BA1502"/>
    <w:rsid w:val="00BA2401"/>
    <w:rsid w:val="00BA276C"/>
    <w:rsid w:val="00BA27E4"/>
    <w:rsid w:val="00BA5E75"/>
    <w:rsid w:val="00BB019D"/>
    <w:rsid w:val="00BB306F"/>
    <w:rsid w:val="00BB395B"/>
    <w:rsid w:val="00BB6B26"/>
    <w:rsid w:val="00BB79F8"/>
    <w:rsid w:val="00BD0FF5"/>
    <w:rsid w:val="00BD4B89"/>
    <w:rsid w:val="00BD57CA"/>
    <w:rsid w:val="00BD5922"/>
    <w:rsid w:val="00BE1571"/>
    <w:rsid w:val="00BE33F2"/>
    <w:rsid w:val="00BE620F"/>
    <w:rsid w:val="00BE790C"/>
    <w:rsid w:val="00BF02CB"/>
    <w:rsid w:val="00BF367E"/>
    <w:rsid w:val="00BF6FD8"/>
    <w:rsid w:val="00C03680"/>
    <w:rsid w:val="00C03BF5"/>
    <w:rsid w:val="00C054DF"/>
    <w:rsid w:val="00C05F45"/>
    <w:rsid w:val="00C131C0"/>
    <w:rsid w:val="00C21762"/>
    <w:rsid w:val="00C21FEF"/>
    <w:rsid w:val="00C23BA4"/>
    <w:rsid w:val="00C24543"/>
    <w:rsid w:val="00C256A2"/>
    <w:rsid w:val="00C25ADB"/>
    <w:rsid w:val="00C4173B"/>
    <w:rsid w:val="00C51515"/>
    <w:rsid w:val="00C5660B"/>
    <w:rsid w:val="00C56831"/>
    <w:rsid w:val="00C64E07"/>
    <w:rsid w:val="00C66B72"/>
    <w:rsid w:val="00C721DB"/>
    <w:rsid w:val="00C76F55"/>
    <w:rsid w:val="00C8360D"/>
    <w:rsid w:val="00C87AC4"/>
    <w:rsid w:val="00C9124E"/>
    <w:rsid w:val="00C91668"/>
    <w:rsid w:val="00C92A2D"/>
    <w:rsid w:val="00C9316C"/>
    <w:rsid w:val="00C93731"/>
    <w:rsid w:val="00C9567A"/>
    <w:rsid w:val="00C96F72"/>
    <w:rsid w:val="00CA43D7"/>
    <w:rsid w:val="00CA5205"/>
    <w:rsid w:val="00CA5848"/>
    <w:rsid w:val="00CB212D"/>
    <w:rsid w:val="00CB2660"/>
    <w:rsid w:val="00CC5E90"/>
    <w:rsid w:val="00CC7AE4"/>
    <w:rsid w:val="00CD046C"/>
    <w:rsid w:val="00CD3896"/>
    <w:rsid w:val="00CE076C"/>
    <w:rsid w:val="00CE5199"/>
    <w:rsid w:val="00CE66D5"/>
    <w:rsid w:val="00CE6CA9"/>
    <w:rsid w:val="00CF28F3"/>
    <w:rsid w:val="00CF637A"/>
    <w:rsid w:val="00D059DE"/>
    <w:rsid w:val="00D05ABD"/>
    <w:rsid w:val="00D1064A"/>
    <w:rsid w:val="00D10B3E"/>
    <w:rsid w:val="00D10D79"/>
    <w:rsid w:val="00D13FCE"/>
    <w:rsid w:val="00D22338"/>
    <w:rsid w:val="00D26C63"/>
    <w:rsid w:val="00D2719D"/>
    <w:rsid w:val="00D306D1"/>
    <w:rsid w:val="00D30800"/>
    <w:rsid w:val="00D3200B"/>
    <w:rsid w:val="00D34786"/>
    <w:rsid w:val="00D37BFC"/>
    <w:rsid w:val="00D471A2"/>
    <w:rsid w:val="00D47A8E"/>
    <w:rsid w:val="00D52D14"/>
    <w:rsid w:val="00D615EB"/>
    <w:rsid w:val="00D62460"/>
    <w:rsid w:val="00D712D3"/>
    <w:rsid w:val="00D71422"/>
    <w:rsid w:val="00D72DC6"/>
    <w:rsid w:val="00D74084"/>
    <w:rsid w:val="00D75503"/>
    <w:rsid w:val="00D7558D"/>
    <w:rsid w:val="00D76B53"/>
    <w:rsid w:val="00D81D92"/>
    <w:rsid w:val="00D876F9"/>
    <w:rsid w:val="00D928EF"/>
    <w:rsid w:val="00D92F63"/>
    <w:rsid w:val="00DA7598"/>
    <w:rsid w:val="00DA7B5F"/>
    <w:rsid w:val="00DB0D3E"/>
    <w:rsid w:val="00DC11E7"/>
    <w:rsid w:val="00DC24E3"/>
    <w:rsid w:val="00DC7023"/>
    <w:rsid w:val="00DC769A"/>
    <w:rsid w:val="00DD0312"/>
    <w:rsid w:val="00DD3D86"/>
    <w:rsid w:val="00DD4AD2"/>
    <w:rsid w:val="00DE0A58"/>
    <w:rsid w:val="00DE0AEC"/>
    <w:rsid w:val="00DE2862"/>
    <w:rsid w:val="00DF1EC4"/>
    <w:rsid w:val="00E0340B"/>
    <w:rsid w:val="00E04A90"/>
    <w:rsid w:val="00E0551F"/>
    <w:rsid w:val="00E062D0"/>
    <w:rsid w:val="00E127B9"/>
    <w:rsid w:val="00E12F4A"/>
    <w:rsid w:val="00E133F4"/>
    <w:rsid w:val="00E219C7"/>
    <w:rsid w:val="00E221D9"/>
    <w:rsid w:val="00E2321A"/>
    <w:rsid w:val="00E40E47"/>
    <w:rsid w:val="00E4118C"/>
    <w:rsid w:val="00E43157"/>
    <w:rsid w:val="00E461CE"/>
    <w:rsid w:val="00E46B7B"/>
    <w:rsid w:val="00E573E4"/>
    <w:rsid w:val="00E64C3D"/>
    <w:rsid w:val="00E66134"/>
    <w:rsid w:val="00E720CA"/>
    <w:rsid w:val="00E7280E"/>
    <w:rsid w:val="00E84EB5"/>
    <w:rsid w:val="00E85662"/>
    <w:rsid w:val="00E8789F"/>
    <w:rsid w:val="00E90B6A"/>
    <w:rsid w:val="00E97B71"/>
    <w:rsid w:val="00EA3D34"/>
    <w:rsid w:val="00EA512D"/>
    <w:rsid w:val="00EA7275"/>
    <w:rsid w:val="00EB454D"/>
    <w:rsid w:val="00EB77C7"/>
    <w:rsid w:val="00EC0975"/>
    <w:rsid w:val="00EC0B52"/>
    <w:rsid w:val="00ED0C8D"/>
    <w:rsid w:val="00ED549D"/>
    <w:rsid w:val="00ED5E10"/>
    <w:rsid w:val="00ED76BE"/>
    <w:rsid w:val="00EE00E9"/>
    <w:rsid w:val="00EE36C0"/>
    <w:rsid w:val="00EF1AAA"/>
    <w:rsid w:val="00EF619B"/>
    <w:rsid w:val="00F00B55"/>
    <w:rsid w:val="00F02AD1"/>
    <w:rsid w:val="00F054AB"/>
    <w:rsid w:val="00F101AA"/>
    <w:rsid w:val="00F17870"/>
    <w:rsid w:val="00F2157A"/>
    <w:rsid w:val="00F253CC"/>
    <w:rsid w:val="00F260E7"/>
    <w:rsid w:val="00F30D78"/>
    <w:rsid w:val="00F327B1"/>
    <w:rsid w:val="00F342A1"/>
    <w:rsid w:val="00F37106"/>
    <w:rsid w:val="00F40B35"/>
    <w:rsid w:val="00F4261A"/>
    <w:rsid w:val="00F44E25"/>
    <w:rsid w:val="00F47F3A"/>
    <w:rsid w:val="00F50AC1"/>
    <w:rsid w:val="00F519CF"/>
    <w:rsid w:val="00F52273"/>
    <w:rsid w:val="00F53EC5"/>
    <w:rsid w:val="00F553A4"/>
    <w:rsid w:val="00F56BA5"/>
    <w:rsid w:val="00F60C89"/>
    <w:rsid w:val="00F60E22"/>
    <w:rsid w:val="00F62635"/>
    <w:rsid w:val="00F671DB"/>
    <w:rsid w:val="00F67E3B"/>
    <w:rsid w:val="00F73D6F"/>
    <w:rsid w:val="00F7531D"/>
    <w:rsid w:val="00F80D59"/>
    <w:rsid w:val="00F81395"/>
    <w:rsid w:val="00F81BB8"/>
    <w:rsid w:val="00F8227D"/>
    <w:rsid w:val="00F85EAD"/>
    <w:rsid w:val="00F90C64"/>
    <w:rsid w:val="00F917D1"/>
    <w:rsid w:val="00F96111"/>
    <w:rsid w:val="00F9653B"/>
    <w:rsid w:val="00FB62CF"/>
    <w:rsid w:val="00FC6219"/>
    <w:rsid w:val="00FC67EE"/>
    <w:rsid w:val="00FD16B0"/>
    <w:rsid w:val="00FD187A"/>
    <w:rsid w:val="00FD3C3B"/>
    <w:rsid w:val="00FE07DD"/>
    <w:rsid w:val="00FE117F"/>
    <w:rsid w:val="00FE3B51"/>
    <w:rsid w:val="00FE6B45"/>
    <w:rsid w:val="00FF55F3"/>
    <w:rsid w:val="00FF56A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semiHidden/>
    <w:unhideWhenUsed/>
    <w:rsid w:val="00540BCC"/>
    <w:rPr>
      <w:sz w:val="20"/>
      <w:szCs w:val="20"/>
    </w:rPr>
  </w:style>
  <w:style w:type="character" w:customStyle="1" w:styleId="CommentTextChar">
    <w:name w:val="Comment Text Char"/>
    <w:basedOn w:val="DefaultParagraphFont"/>
    <w:link w:val="CommentText"/>
    <w:uiPriority w:val="99"/>
    <w:semiHidden/>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305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05241"/>
  </w:style>
  <w:style w:type="character" w:customStyle="1" w:styleId="eop">
    <w:name w:val="eop"/>
    <w:basedOn w:val="DefaultParagraphFont"/>
    <w:rsid w:val="0030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524F5"/>
    <w:rsid w:val="0008633E"/>
    <w:rsid w:val="00105E4D"/>
    <w:rsid w:val="00186B97"/>
    <w:rsid w:val="001C614B"/>
    <w:rsid w:val="00200821"/>
    <w:rsid w:val="0024346A"/>
    <w:rsid w:val="0025245B"/>
    <w:rsid w:val="002A3923"/>
    <w:rsid w:val="002A4C6B"/>
    <w:rsid w:val="00345AEA"/>
    <w:rsid w:val="00394049"/>
    <w:rsid w:val="003B0C71"/>
    <w:rsid w:val="003D4083"/>
    <w:rsid w:val="0040007E"/>
    <w:rsid w:val="004B5BBB"/>
    <w:rsid w:val="004D1DE7"/>
    <w:rsid w:val="004F2DF8"/>
    <w:rsid w:val="00517E2A"/>
    <w:rsid w:val="005E5F29"/>
    <w:rsid w:val="00647F05"/>
    <w:rsid w:val="006D12AA"/>
    <w:rsid w:val="006F24A1"/>
    <w:rsid w:val="00785BF3"/>
    <w:rsid w:val="007E3D7F"/>
    <w:rsid w:val="00875B8A"/>
    <w:rsid w:val="008C4DF0"/>
    <w:rsid w:val="009A261B"/>
    <w:rsid w:val="009C7090"/>
    <w:rsid w:val="00A059A0"/>
    <w:rsid w:val="00AA2E17"/>
    <w:rsid w:val="00AC15A4"/>
    <w:rsid w:val="00B0336C"/>
    <w:rsid w:val="00BB38BA"/>
    <w:rsid w:val="00BC041E"/>
    <w:rsid w:val="00D241E9"/>
    <w:rsid w:val="00D7750D"/>
    <w:rsid w:val="00D77D7A"/>
    <w:rsid w:val="00E047DD"/>
    <w:rsid w:val="00F00D2F"/>
    <w:rsid w:val="00F128DF"/>
    <w:rsid w:val="00FB5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2024-01-18T15:43:00Z</dcterms:created>
  <dcterms:modified xsi:type="dcterms:W3CDTF">2024-01-18T15:43:00Z</dcterms:modified>
</cp:coreProperties>
</file>