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5CF03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0997B4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07CBE">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7F9D365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2AF9">
                              <w:rPr>
                                <w:rFonts w:asciiTheme="majorHAnsi" w:hAnsiTheme="majorHAnsi" w:cs="Arial"/>
                                <w:b/>
                                <w:color w:val="0D0D0D" w:themeColor="text1" w:themeTint="F2"/>
                                <w:sz w:val="36"/>
                                <w:szCs w:val="22"/>
                                <w:lang w:val="es-ES_tradnl"/>
                              </w:rPr>
                              <w:t>1376</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99958BF" w:rsidR="005B52B0" w:rsidRPr="0010736F" w:rsidRDefault="00792A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ANDRÉS BEDOYA ARANGO Y OTROS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0997B4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07CBE">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7F9D365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2AF9">
                        <w:rPr>
                          <w:rFonts w:asciiTheme="majorHAnsi" w:hAnsiTheme="majorHAnsi" w:cs="Arial"/>
                          <w:b/>
                          <w:color w:val="0D0D0D" w:themeColor="text1" w:themeTint="F2"/>
                          <w:sz w:val="36"/>
                          <w:szCs w:val="22"/>
                          <w:lang w:val="es-ES_tradnl"/>
                        </w:rPr>
                        <w:t>1376</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99958BF" w:rsidR="005B52B0" w:rsidRPr="0010736F" w:rsidRDefault="00792A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ANDRÉS BEDOYA ARANGO Y OTROS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613EDB6" w:rsidR="00627C9F" w:rsidRPr="00C015F0" w:rsidRDefault="00834D49" w:rsidP="007A5817">
                            <w:pPr>
                              <w:spacing w:line="276" w:lineRule="auto"/>
                              <w:jc w:val="right"/>
                              <w:rPr>
                                <w:rFonts w:asciiTheme="minorHAnsi" w:hAnsiTheme="minorHAnsi"/>
                                <w:color w:val="FFFFFF" w:themeColor="background1"/>
                                <w:sz w:val="22"/>
                                <w:lang w:val="es-AR"/>
                              </w:rPr>
                            </w:pPr>
                            <w:r w:rsidRPr="00C015F0">
                              <w:rPr>
                                <w:rFonts w:asciiTheme="minorHAnsi" w:hAnsiTheme="minorHAnsi"/>
                                <w:color w:val="FFFFFF" w:themeColor="background1"/>
                                <w:sz w:val="22"/>
                                <w:lang w:val="es-AR"/>
                              </w:rPr>
                              <w:t>OEA/Ser.L/V/II</w:t>
                            </w:r>
                          </w:p>
                          <w:p w14:paraId="71D2D5D2" w14:textId="01F22102" w:rsidR="00627C9F" w:rsidRPr="00C015F0" w:rsidRDefault="00627C9F" w:rsidP="007A5817">
                            <w:pPr>
                              <w:spacing w:line="276" w:lineRule="auto"/>
                              <w:jc w:val="right"/>
                              <w:rPr>
                                <w:rFonts w:asciiTheme="minorHAnsi" w:hAnsiTheme="minorHAnsi"/>
                                <w:color w:val="FFFFFF" w:themeColor="background1"/>
                                <w:sz w:val="22"/>
                                <w:lang w:val="es-AR"/>
                              </w:rPr>
                            </w:pPr>
                            <w:r w:rsidRPr="00C015F0">
                              <w:rPr>
                                <w:rFonts w:asciiTheme="minorHAnsi" w:hAnsiTheme="minorHAnsi"/>
                                <w:color w:val="FFFFFF" w:themeColor="background1"/>
                                <w:sz w:val="22"/>
                                <w:lang w:val="es-AR"/>
                              </w:rPr>
                              <w:t xml:space="preserve">Doc. </w:t>
                            </w:r>
                            <w:r w:rsidR="004E6462" w:rsidRPr="00C015F0">
                              <w:rPr>
                                <w:rFonts w:asciiTheme="minorHAnsi" w:hAnsiTheme="minorHAnsi"/>
                                <w:color w:val="FFFFFF" w:themeColor="background1"/>
                                <w:sz w:val="22"/>
                                <w:lang w:val="es-AR"/>
                              </w:rPr>
                              <w:t>86</w:t>
                            </w:r>
                          </w:p>
                          <w:p w14:paraId="4061DBBD" w14:textId="36C0D74B" w:rsidR="00627C9F" w:rsidRPr="00C25ADB" w:rsidRDefault="00BE0F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613EDB6" w:rsidR="00627C9F" w:rsidRPr="00C015F0" w:rsidRDefault="00834D49" w:rsidP="007A5817">
                      <w:pPr>
                        <w:spacing w:line="276" w:lineRule="auto"/>
                        <w:jc w:val="right"/>
                        <w:rPr>
                          <w:rFonts w:asciiTheme="minorHAnsi" w:hAnsiTheme="minorHAnsi"/>
                          <w:color w:val="FFFFFF" w:themeColor="background1"/>
                          <w:sz w:val="22"/>
                          <w:lang w:val="es-AR"/>
                        </w:rPr>
                      </w:pPr>
                      <w:r w:rsidRPr="00C015F0">
                        <w:rPr>
                          <w:rFonts w:asciiTheme="minorHAnsi" w:hAnsiTheme="minorHAnsi"/>
                          <w:color w:val="FFFFFF" w:themeColor="background1"/>
                          <w:sz w:val="22"/>
                          <w:lang w:val="es-AR"/>
                        </w:rPr>
                        <w:t>OEA/Ser.L/V/II</w:t>
                      </w:r>
                    </w:p>
                    <w:p w14:paraId="71D2D5D2" w14:textId="01F22102" w:rsidR="00627C9F" w:rsidRPr="00C015F0" w:rsidRDefault="00627C9F" w:rsidP="007A5817">
                      <w:pPr>
                        <w:spacing w:line="276" w:lineRule="auto"/>
                        <w:jc w:val="right"/>
                        <w:rPr>
                          <w:rFonts w:asciiTheme="minorHAnsi" w:hAnsiTheme="minorHAnsi"/>
                          <w:color w:val="FFFFFF" w:themeColor="background1"/>
                          <w:sz w:val="22"/>
                          <w:lang w:val="es-AR"/>
                        </w:rPr>
                      </w:pPr>
                      <w:r w:rsidRPr="00C015F0">
                        <w:rPr>
                          <w:rFonts w:asciiTheme="minorHAnsi" w:hAnsiTheme="minorHAnsi"/>
                          <w:color w:val="FFFFFF" w:themeColor="background1"/>
                          <w:sz w:val="22"/>
                          <w:lang w:val="es-AR"/>
                        </w:rPr>
                        <w:t xml:space="preserve">Doc. </w:t>
                      </w:r>
                      <w:r w:rsidR="004E6462" w:rsidRPr="00C015F0">
                        <w:rPr>
                          <w:rFonts w:asciiTheme="minorHAnsi" w:hAnsiTheme="minorHAnsi"/>
                          <w:color w:val="FFFFFF" w:themeColor="background1"/>
                          <w:sz w:val="22"/>
                          <w:lang w:val="es-AR"/>
                        </w:rPr>
                        <w:t>86</w:t>
                      </w:r>
                    </w:p>
                    <w:p w14:paraId="4061DBBD" w14:textId="36C0D74B" w:rsidR="00627C9F" w:rsidRPr="00C25ADB" w:rsidRDefault="00BE0F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F3FAC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F43">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E0F4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BE0F4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F3FAC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F43">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E0F4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BE0F4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BAD23" w14:textId="77777777" w:rsidR="0087148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71480" w:rsidRPr="00871480">
                              <w:rPr>
                                <w:rFonts w:asciiTheme="majorHAnsi" w:hAnsiTheme="majorHAnsi"/>
                                <w:color w:val="595959" w:themeColor="text1" w:themeTint="A6"/>
                                <w:sz w:val="18"/>
                                <w:szCs w:val="18"/>
                                <w:lang w:val="pt-BR"/>
                              </w:rPr>
                              <w:t>78</w:t>
                            </w:r>
                            <w:r w:rsidR="007B05C4" w:rsidRPr="00871480">
                              <w:rPr>
                                <w:rFonts w:asciiTheme="majorHAnsi" w:hAnsiTheme="majorHAnsi"/>
                                <w:color w:val="595959" w:themeColor="text1" w:themeTint="A6"/>
                                <w:sz w:val="18"/>
                                <w:szCs w:val="18"/>
                                <w:lang w:val="pt-BR"/>
                              </w:rPr>
                              <w:t>/</w:t>
                            </w:r>
                            <w:r w:rsidR="00871480" w:rsidRPr="00871480">
                              <w:rPr>
                                <w:rFonts w:asciiTheme="majorHAnsi" w:hAnsiTheme="majorHAnsi"/>
                                <w:color w:val="595959" w:themeColor="text1" w:themeTint="A6"/>
                                <w:sz w:val="18"/>
                                <w:szCs w:val="18"/>
                                <w:lang w:val="pt-BR"/>
                              </w:rPr>
                              <w:t>23</w:t>
                            </w:r>
                            <w:r w:rsidRPr="0087148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92AF9">
                              <w:rPr>
                                <w:rFonts w:asciiTheme="majorHAnsi" w:hAnsiTheme="majorHAnsi"/>
                                <w:color w:val="595959" w:themeColor="text1" w:themeTint="A6"/>
                                <w:sz w:val="18"/>
                                <w:szCs w:val="18"/>
                                <w:lang w:val="es-ES"/>
                              </w:rPr>
                              <w:t>1376</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1895B20" w:rsidR="00113F73" w:rsidRPr="007B05C4" w:rsidRDefault="00792AF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Oscar Andrés Bedoya Arango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E43988">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1FBAD23" w14:textId="77777777" w:rsidR="0087148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71480" w:rsidRPr="00871480">
                        <w:rPr>
                          <w:rFonts w:asciiTheme="majorHAnsi" w:hAnsiTheme="majorHAnsi"/>
                          <w:color w:val="595959" w:themeColor="text1" w:themeTint="A6"/>
                          <w:sz w:val="18"/>
                          <w:szCs w:val="18"/>
                          <w:lang w:val="pt-BR"/>
                        </w:rPr>
                        <w:t>78</w:t>
                      </w:r>
                      <w:r w:rsidR="007B05C4" w:rsidRPr="00871480">
                        <w:rPr>
                          <w:rFonts w:asciiTheme="majorHAnsi" w:hAnsiTheme="majorHAnsi"/>
                          <w:color w:val="595959" w:themeColor="text1" w:themeTint="A6"/>
                          <w:sz w:val="18"/>
                          <w:szCs w:val="18"/>
                          <w:lang w:val="pt-BR"/>
                        </w:rPr>
                        <w:t>/</w:t>
                      </w:r>
                      <w:r w:rsidR="00871480" w:rsidRPr="00871480">
                        <w:rPr>
                          <w:rFonts w:asciiTheme="majorHAnsi" w:hAnsiTheme="majorHAnsi"/>
                          <w:color w:val="595959" w:themeColor="text1" w:themeTint="A6"/>
                          <w:sz w:val="18"/>
                          <w:szCs w:val="18"/>
                          <w:lang w:val="pt-BR"/>
                        </w:rPr>
                        <w:t>23</w:t>
                      </w:r>
                      <w:r w:rsidRPr="0087148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92AF9">
                        <w:rPr>
                          <w:rFonts w:asciiTheme="majorHAnsi" w:hAnsiTheme="majorHAnsi"/>
                          <w:color w:val="595959" w:themeColor="text1" w:themeTint="A6"/>
                          <w:sz w:val="18"/>
                          <w:szCs w:val="18"/>
                          <w:lang w:val="es-ES"/>
                        </w:rPr>
                        <w:t>1376</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1895B20" w:rsidR="00113F73" w:rsidRPr="007B05C4" w:rsidRDefault="00792AF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Oscar Andrés Bedoya Arango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E43988">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D3A8595" w:rsidR="00D72DC6" w:rsidRPr="00D72DC6" w:rsidRDefault="00871480" w:rsidP="00F02AD1">
                            <w:pPr>
                              <w:rPr>
                                <w:color w:val="FFFFFF" w:themeColor="background1"/>
                                <w14:textFill>
                                  <w14:noFill/>
                                </w14:textFill>
                              </w:rPr>
                            </w:pPr>
                            <w:r>
                              <w:rPr>
                                <w:noProof/>
                                <w:color w:val="FFFFFF" w:themeColor="background1"/>
                              </w:rPr>
                              <w:drawing>
                                <wp:inline distT="0" distB="0" distL="0" distR="0" wp14:anchorId="49239419" wp14:editId="74F55D5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D3A8595" w:rsidR="00D72DC6" w:rsidRPr="00D72DC6" w:rsidRDefault="00871480" w:rsidP="00F02AD1">
                      <w:pPr>
                        <w:rPr>
                          <w:color w:val="FFFFFF" w:themeColor="background1"/>
                          <w14:textFill>
                            <w14:noFill/>
                          </w14:textFill>
                        </w:rPr>
                      </w:pPr>
                      <w:r>
                        <w:rPr>
                          <w:noProof/>
                          <w:color w:val="FFFFFF" w:themeColor="background1"/>
                        </w:rPr>
                        <w:drawing>
                          <wp:inline distT="0" distB="0" distL="0" distR="0" wp14:anchorId="49239419" wp14:editId="74F55D5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92AF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5078BD4B" w:rsidR="003239B8" w:rsidRPr="0011075B" w:rsidRDefault="00792AF9" w:rsidP="008D2290">
            <w:pPr>
              <w:jc w:val="both"/>
              <w:rPr>
                <w:rFonts w:ascii="Cambria" w:hAnsi="Cambria"/>
                <w:bCs/>
                <w:sz w:val="20"/>
                <w:szCs w:val="20"/>
                <w:lang w:val="es-419"/>
              </w:rPr>
            </w:pPr>
            <w:r w:rsidRPr="00FB73E7">
              <w:rPr>
                <w:rFonts w:ascii="Cambria" w:hAnsi="Cambria"/>
                <w:sz w:val="20"/>
                <w:szCs w:val="20"/>
                <w:lang w:val="es-ES"/>
              </w:rPr>
              <w:t>Claudia Patricia Marín Gómez</w:t>
            </w:r>
          </w:p>
        </w:tc>
      </w:tr>
      <w:tr w:rsidR="003239B8" w:rsidRPr="00C015F0"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3C196D"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19078872" w:rsidR="001D21C7" w:rsidRPr="0011075B" w:rsidRDefault="00792AF9" w:rsidP="00792AF9">
            <w:pPr>
              <w:jc w:val="both"/>
              <w:rPr>
                <w:rFonts w:ascii="Cambria" w:hAnsi="Cambria"/>
                <w:bCs/>
                <w:sz w:val="20"/>
                <w:szCs w:val="20"/>
                <w:lang w:val="es-419"/>
              </w:rPr>
            </w:pPr>
            <w:r w:rsidRPr="00792AF9">
              <w:rPr>
                <w:rFonts w:ascii="Cambria" w:hAnsi="Cambria"/>
                <w:bCs/>
                <w:sz w:val="20"/>
                <w:szCs w:val="20"/>
                <w:lang w:val="es-ES"/>
              </w:rPr>
              <w:t xml:space="preserve">Oscar Andrés </w:t>
            </w:r>
            <w:r w:rsidR="00220F8C">
              <w:rPr>
                <w:rFonts w:ascii="Cambria" w:hAnsi="Cambria"/>
                <w:bCs/>
                <w:sz w:val="20"/>
                <w:szCs w:val="20"/>
                <w:lang w:val="es-ES"/>
              </w:rPr>
              <w:t>Bedoya</w:t>
            </w:r>
            <w:r w:rsidRPr="00792AF9">
              <w:rPr>
                <w:rFonts w:ascii="Cambria" w:hAnsi="Cambria"/>
                <w:bCs/>
                <w:sz w:val="20"/>
                <w:szCs w:val="20"/>
                <w:lang w:val="es-ES"/>
              </w:rPr>
              <w:t xml:space="preserve"> Arango</w:t>
            </w:r>
            <w:r>
              <w:rPr>
                <w:rFonts w:ascii="Cambria" w:hAnsi="Cambria"/>
                <w:bCs/>
                <w:sz w:val="20"/>
                <w:szCs w:val="20"/>
                <w:lang w:val="es-ES"/>
              </w:rPr>
              <w:t xml:space="preserve">, </w:t>
            </w:r>
            <w:r w:rsidRPr="00792AF9">
              <w:rPr>
                <w:rFonts w:ascii="Cambria" w:hAnsi="Cambria"/>
                <w:sz w:val="20"/>
                <w:szCs w:val="20"/>
                <w:lang w:val="es-419"/>
              </w:rPr>
              <w:t xml:space="preserve">Diego Armando Ocampo Pavas, </w:t>
            </w:r>
            <w:r w:rsidRPr="00FB73E7">
              <w:rPr>
                <w:rFonts w:ascii="Cambria" w:hAnsi="Cambria"/>
                <w:sz w:val="20"/>
                <w:szCs w:val="20"/>
                <w:lang w:val="es-ES"/>
              </w:rPr>
              <w:t>Luis José Cardona Castro</w:t>
            </w:r>
            <w:r>
              <w:rPr>
                <w:rFonts w:ascii="Cambria" w:hAnsi="Cambria"/>
                <w:sz w:val="20"/>
                <w:szCs w:val="20"/>
                <w:lang w:val="es-ES"/>
              </w:rPr>
              <w:t xml:space="preserve">, </w:t>
            </w:r>
            <w:r w:rsidRPr="00FB73E7">
              <w:rPr>
                <w:rFonts w:ascii="Cambria" w:hAnsi="Cambria"/>
                <w:sz w:val="20"/>
                <w:szCs w:val="20"/>
                <w:lang w:val="es-ES"/>
              </w:rPr>
              <w:t>Juan Cástulo Jiménez Gutiérrez</w:t>
            </w:r>
            <w:r>
              <w:rPr>
                <w:rFonts w:ascii="Cambria" w:hAnsi="Cambria"/>
                <w:sz w:val="20"/>
                <w:szCs w:val="20"/>
                <w:lang w:val="es-ES"/>
              </w:rPr>
              <w:t xml:space="preserve">, </w:t>
            </w:r>
            <w:r w:rsidRPr="00FB73E7">
              <w:rPr>
                <w:rFonts w:ascii="Cambria" w:hAnsi="Cambria"/>
                <w:sz w:val="20"/>
                <w:szCs w:val="20"/>
                <w:lang w:val="es-ES"/>
              </w:rPr>
              <w:t>Diego Alexander Arango Jaramillo</w:t>
            </w:r>
            <w:r>
              <w:rPr>
                <w:rFonts w:ascii="Cambria" w:hAnsi="Cambria"/>
                <w:sz w:val="20"/>
                <w:szCs w:val="20"/>
                <w:lang w:val="es-ES"/>
              </w:rPr>
              <w:t xml:space="preserve"> </w:t>
            </w:r>
            <w:r w:rsidR="001D21C7" w:rsidRPr="0011075B">
              <w:rPr>
                <w:rFonts w:ascii="Cambria" w:hAnsi="Cambria"/>
                <w:bCs/>
                <w:sz w:val="20"/>
                <w:szCs w:val="20"/>
                <w:lang w:val="es-419"/>
              </w:rPr>
              <w:t>y familiares</w:t>
            </w:r>
            <w:r w:rsidR="002D7E73">
              <w:rPr>
                <w:rFonts w:ascii="Cambria" w:hAnsi="Cambria"/>
                <w:bCs/>
                <w:sz w:val="20"/>
                <w:szCs w:val="20"/>
                <w:lang w:val="es-419"/>
              </w:rPr>
              <w:t xml:space="preserve"> (ver anexo)</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2"/>
            </w:r>
          </w:p>
        </w:tc>
      </w:tr>
      <w:tr w:rsidR="00223A29" w:rsidRPr="00C015F0"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10B4E823" w:rsidR="00223A29" w:rsidRPr="0011075B" w:rsidRDefault="00A34797" w:rsidP="008D2290">
            <w:pPr>
              <w:jc w:val="both"/>
              <w:rPr>
                <w:rFonts w:ascii="Cambria" w:hAnsi="Cambria"/>
                <w:bCs/>
                <w:sz w:val="20"/>
                <w:szCs w:val="20"/>
                <w:lang w:val="es-419"/>
              </w:rPr>
            </w:pPr>
            <w:r w:rsidRPr="0011075B">
              <w:rPr>
                <w:rFonts w:ascii="Cambria" w:hAnsi="Cambria"/>
                <w:bCs/>
                <w:sz w:val="20"/>
                <w:szCs w:val="20"/>
                <w:lang w:val="es-419" w:bidi="es-ES"/>
              </w:rPr>
              <w:t xml:space="preserve">Artículos 4 (vida), 5 (integridad personal), </w:t>
            </w:r>
            <w:r w:rsidR="001D21C7" w:rsidRPr="0011075B">
              <w:rPr>
                <w:rFonts w:ascii="Cambria" w:hAnsi="Cambria"/>
                <w:bCs/>
                <w:sz w:val="20"/>
                <w:szCs w:val="20"/>
                <w:lang w:val="es-419" w:bidi="es-ES"/>
              </w:rPr>
              <w:t>8 (garantías judiciales)</w:t>
            </w:r>
            <w:r w:rsidR="00792AF9">
              <w:rPr>
                <w:rFonts w:ascii="Cambria" w:hAnsi="Cambria"/>
                <w:bCs/>
                <w:sz w:val="20"/>
                <w:szCs w:val="20"/>
                <w:lang w:val="es-419" w:bidi="es-ES"/>
              </w:rPr>
              <w:t>, 21 (propiedad</w:t>
            </w:r>
            <w:r w:rsidR="002B5D46">
              <w:rPr>
                <w:rFonts w:ascii="Cambria" w:hAnsi="Cambria"/>
                <w:bCs/>
                <w:sz w:val="20"/>
                <w:szCs w:val="20"/>
                <w:lang w:val="es-419" w:bidi="es-ES"/>
              </w:rPr>
              <w:t xml:space="preserve"> privada</w:t>
            </w:r>
            <w:r w:rsidR="00792AF9">
              <w:rPr>
                <w:rFonts w:ascii="Cambria" w:hAnsi="Cambria"/>
                <w:bCs/>
                <w:sz w:val="20"/>
                <w:szCs w:val="20"/>
                <w:lang w:val="es-419" w:bidi="es-ES"/>
              </w:rPr>
              <w:t>), 24 (igualdad ante la ley)</w:t>
            </w:r>
            <w:r w:rsidR="001D21C7" w:rsidRPr="0011075B">
              <w:rPr>
                <w:rFonts w:ascii="Cambria" w:hAnsi="Cambria"/>
                <w:bCs/>
                <w:sz w:val="20"/>
                <w:szCs w:val="20"/>
                <w:lang w:val="es-419" w:bidi="es-ES"/>
              </w:rPr>
              <w:t xml:space="preserve"> y 25 (protección judicial)</w:t>
            </w:r>
            <w:r w:rsidRPr="0011075B">
              <w:rPr>
                <w:rFonts w:ascii="Cambria" w:hAnsi="Cambria"/>
                <w:bCs/>
                <w:sz w:val="20"/>
                <w:szCs w:val="20"/>
                <w:lang w:val="es-419" w:bidi="es-ES"/>
              </w:rPr>
              <w:t xml:space="preserve"> de la Convención Americana sobre Derechos Humanos</w:t>
            </w:r>
            <w:r w:rsidR="00785B6C" w:rsidRPr="0011075B">
              <w:rPr>
                <w:rFonts w:ascii="Cambria" w:hAnsi="Cambria"/>
                <w:bCs/>
                <w:sz w:val="20"/>
                <w:szCs w:val="20"/>
                <w:vertAlign w:val="superscript"/>
                <w:lang w:val="es-419" w:bidi="es-ES"/>
              </w:rPr>
              <w:footnoteReference w:id="3"/>
            </w:r>
            <w:r w:rsidRPr="0011075B">
              <w:rPr>
                <w:rFonts w:ascii="Cambria" w:hAnsi="Cambria"/>
                <w:bCs/>
                <w:sz w:val="20"/>
                <w:szCs w:val="20"/>
                <w:lang w:val="es-419" w:bidi="es-ES"/>
              </w:rPr>
              <w:t>, en relación con su</w:t>
            </w:r>
            <w:r w:rsidR="00792AF9">
              <w:rPr>
                <w:rFonts w:ascii="Cambria" w:hAnsi="Cambria"/>
                <w:bCs/>
                <w:sz w:val="20"/>
                <w:szCs w:val="20"/>
                <w:lang w:val="es-419" w:bidi="es-ES"/>
              </w:rPr>
              <w:t>s</w:t>
            </w:r>
            <w:r w:rsidRPr="0011075B">
              <w:rPr>
                <w:rFonts w:ascii="Cambria" w:hAnsi="Cambria"/>
                <w:bCs/>
                <w:sz w:val="20"/>
                <w:szCs w:val="20"/>
                <w:lang w:val="es-419" w:bidi="es-ES"/>
              </w:rPr>
              <w:t xml:space="preserve"> artículo</w:t>
            </w:r>
            <w:r w:rsidR="00792AF9">
              <w:rPr>
                <w:rFonts w:ascii="Cambria" w:hAnsi="Cambria"/>
                <w:bCs/>
                <w:sz w:val="20"/>
                <w:szCs w:val="20"/>
                <w:lang w:val="es-419" w:bidi="es-ES"/>
              </w:rPr>
              <w:t>s</w:t>
            </w:r>
            <w:r w:rsidRPr="0011075B">
              <w:rPr>
                <w:rFonts w:ascii="Cambria" w:hAnsi="Cambria"/>
                <w:bCs/>
                <w:sz w:val="20"/>
                <w:szCs w:val="20"/>
                <w:lang w:val="es-419" w:bidi="es-ES"/>
              </w:rPr>
              <w:t xml:space="preserve"> 1.1</w:t>
            </w:r>
            <w:r w:rsidR="00792AF9">
              <w:rPr>
                <w:rFonts w:ascii="Cambria" w:hAnsi="Cambria"/>
                <w:bCs/>
                <w:sz w:val="20"/>
                <w:szCs w:val="20"/>
                <w:lang w:val="es-419" w:bidi="es-ES"/>
              </w:rPr>
              <w:t xml:space="preserve"> y 2; artículos 1 y 8 de la Convención Interamericana para Prevenir y Sancionar la Tortura</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92AF9"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30BA2B87" w:rsidR="00792AF9" w:rsidRPr="0011075B" w:rsidRDefault="00D7504E" w:rsidP="00792AF9">
            <w:pPr>
              <w:jc w:val="both"/>
              <w:rPr>
                <w:rFonts w:ascii="Cambria" w:hAnsi="Cambria"/>
                <w:bCs/>
                <w:sz w:val="20"/>
                <w:szCs w:val="20"/>
                <w:lang w:val="es-419"/>
              </w:rPr>
            </w:pPr>
            <w:r>
              <w:rPr>
                <w:rFonts w:ascii="Cambria" w:hAnsi="Cambria"/>
                <w:bCs/>
                <w:sz w:val="20"/>
                <w:szCs w:val="20"/>
                <w:lang w:val="es-419"/>
              </w:rPr>
              <w:t>18 de julio de 2012</w:t>
            </w:r>
          </w:p>
        </w:tc>
      </w:tr>
      <w:tr w:rsidR="00792AF9" w:rsidRPr="0011075B"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4A776125" w:rsidR="00792AF9" w:rsidRPr="0011075B" w:rsidRDefault="00D7504E" w:rsidP="00792AF9">
            <w:pPr>
              <w:jc w:val="both"/>
              <w:rPr>
                <w:rFonts w:ascii="Cambria" w:hAnsi="Cambria"/>
                <w:bCs/>
                <w:sz w:val="20"/>
                <w:szCs w:val="20"/>
                <w:lang w:val="es-419"/>
              </w:rPr>
            </w:pPr>
            <w:r>
              <w:rPr>
                <w:rFonts w:ascii="Cambria" w:hAnsi="Cambria"/>
                <w:bCs/>
                <w:sz w:val="20"/>
                <w:szCs w:val="20"/>
                <w:lang w:val="es-419"/>
              </w:rPr>
              <w:t>30 de septiembre de 2013</w:t>
            </w:r>
          </w:p>
        </w:tc>
      </w:tr>
      <w:tr w:rsidR="00792AF9"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47A588A8" w:rsidR="00792AF9" w:rsidRPr="0011075B" w:rsidRDefault="00D7504E" w:rsidP="00792AF9">
            <w:pPr>
              <w:jc w:val="both"/>
              <w:rPr>
                <w:rFonts w:ascii="Cambria" w:hAnsi="Cambria"/>
                <w:bCs/>
                <w:sz w:val="20"/>
                <w:szCs w:val="20"/>
                <w:lang w:val="es-419"/>
              </w:rPr>
            </w:pPr>
            <w:r>
              <w:rPr>
                <w:rFonts w:ascii="Cambria" w:hAnsi="Cambria"/>
                <w:bCs/>
                <w:sz w:val="20"/>
                <w:szCs w:val="20"/>
                <w:lang w:val="es-419"/>
              </w:rPr>
              <w:t>26 de mayo de 2022</w:t>
            </w:r>
          </w:p>
        </w:tc>
      </w:tr>
      <w:tr w:rsidR="00D7504E" w:rsidRPr="0011075B" w14:paraId="564885B9" w14:textId="77777777" w:rsidTr="004A6A54">
        <w:tc>
          <w:tcPr>
            <w:tcW w:w="3600" w:type="dxa"/>
            <w:tcBorders>
              <w:top w:val="single" w:sz="6" w:space="0" w:color="auto"/>
              <w:bottom w:val="single" w:sz="6" w:space="0" w:color="auto"/>
            </w:tcBorders>
            <w:shd w:val="clear" w:color="auto" w:fill="386294"/>
            <w:vAlign w:val="center"/>
          </w:tcPr>
          <w:p w14:paraId="687A106B" w14:textId="6FEAC49F" w:rsidR="00D7504E" w:rsidRPr="0011075B" w:rsidRDefault="00D7504E" w:rsidP="00792AF9">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2DD4C2F9" w14:textId="46B6D091" w:rsidR="00D7504E" w:rsidRDefault="00D7504E" w:rsidP="00792AF9">
            <w:pPr>
              <w:jc w:val="both"/>
              <w:rPr>
                <w:rFonts w:ascii="Cambria" w:hAnsi="Cambria"/>
                <w:bCs/>
                <w:sz w:val="20"/>
                <w:szCs w:val="20"/>
                <w:lang w:val="es-419"/>
              </w:rPr>
            </w:pPr>
            <w:r>
              <w:rPr>
                <w:rFonts w:ascii="Cambria" w:hAnsi="Cambria"/>
                <w:bCs/>
                <w:sz w:val="20"/>
                <w:szCs w:val="20"/>
                <w:lang w:val="es-419"/>
              </w:rPr>
              <w:t>26 de agosto de 2022</w:t>
            </w:r>
          </w:p>
        </w:tc>
      </w:tr>
      <w:tr w:rsidR="00792AF9"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59417589" w:rsidR="00792AF9" w:rsidRPr="0011075B" w:rsidRDefault="00D7504E" w:rsidP="00792AF9">
            <w:pPr>
              <w:jc w:val="both"/>
              <w:rPr>
                <w:rFonts w:ascii="Cambria" w:hAnsi="Cambria"/>
                <w:bCs/>
                <w:sz w:val="20"/>
                <w:szCs w:val="20"/>
                <w:lang w:val="es-419"/>
              </w:rPr>
            </w:pPr>
            <w:r>
              <w:rPr>
                <w:rFonts w:ascii="Cambria" w:hAnsi="Cambria"/>
                <w:bCs/>
                <w:sz w:val="20"/>
                <w:szCs w:val="20"/>
                <w:lang w:val="es-419"/>
              </w:rPr>
              <w:t>3 de octubre de 2022</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C416BC">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C416BC">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C416BC">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C015F0" w14:paraId="34C2A0A9" w14:textId="77777777" w:rsidTr="00C416BC">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61B00333" w:rsidR="003239B8" w:rsidRPr="0011075B" w:rsidRDefault="00A004BB" w:rsidP="008D2290">
            <w:pPr>
              <w:jc w:val="both"/>
              <w:rPr>
                <w:rFonts w:ascii="Cambria" w:hAnsi="Cambria"/>
                <w:bCs/>
                <w:sz w:val="20"/>
                <w:szCs w:val="20"/>
                <w:lang w:val="es-419"/>
              </w:rPr>
            </w:pPr>
            <w:r w:rsidRPr="0011075B">
              <w:rPr>
                <w:rFonts w:ascii="Cambria" w:hAnsi="Cambria"/>
                <w:bCs/>
                <w:sz w:val="20"/>
                <w:szCs w:val="20"/>
                <w:lang w:val="es-419" w:bidi="es-ES"/>
              </w:rPr>
              <w:t>Sí, Convención Americana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11075B" w14:paraId="161C8568" w14:textId="77777777" w:rsidTr="00C416BC">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C015F0" w14:paraId="3ED57BF3" w14:textId="77777777" w:rsidTr="00C416BC">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3" w:type="dxa"/>
            <w:vAlign w:val="center"/>
          </w:tcPr>
          <w:p w14:paraId="4DAE9D4D" w14:textId="015A8BD9" w:rsidR="0026174C" w:rsidRPr="0011075B" w:rsidRDefault="0026174C" w:rsidP="004612A5">
            <w:pPr>
              <w:jc w:val="both"/>
              <w:rPr>
                <w:rFonts w:ascii="Cambria" w:hAnsi="Cambria"/>
                <w:bCs/>
                <w:sz w:val="20"/>
                <w:szCs w:val="20"/>
                <w:lang w:val="es-419"/>
              </w:rPr>
            </w:pPr>
            <w:r w:rsidRPr="004356E8">
              <w:rPr>
                <w:rFonts w:ascii="Cambria" w:hAnsi="Cambria"/>
                <w:bCs/>
                <w:sz w:val="20"/>
                <w:szCs w:val="20"/>
                <w:lang w:val="es-419"/>
              </w:rPr>
              <w:t>Artículos</w:t>
            </w:r>
            <w:r w:rsidR="004356E8" w:rsidRPr="004356E8">
              <w:rPr>
                <w:rFonts w:ascii="Cambria" w:hAnsi="Cambria"/>
                <w:bCs/>
                <w:sz w:val="20"/>
                <w:szCs w:val="20"/>
                <w:lang w:val="es-419"/>
              </w:rPr>
              <w:t xml:space="preserve"> </w:t>
            </w:r>
            <w:r w:rsidRPr="004356E8">
              <w:rPr>
                <w:rFonts w:ascii="Cambria" w:hAnsi="Cambria"/>
                <w:bCs/>
                <w:sz w:val="20"/>
                <w:szCs w:val="20"/>
                <w:lang w:val="es-419"/>
              </w:rPr>
              <w:t>4 (vida),</w:t>
            </w:r>
            <w:r w:rsidR="004612A5">
              <w:rPr>
                <w:rFonts w:ascii="Cambria" w:hAnsi="Cambria"/>
                <w:bCs/>
                <w:sz w:val="20"/>
                <w:szCs w:val="20"/>
                <w:lang w:val="es-419"/>
              </w:rPr>
              <w:t xml:space="preserve"> 5 (integridad personal),</w:t>
            </w:r>
            <w:r w:rsidRPr="004356E8">
              <w:rPr>
                <w:rFonts w:ascii="Cambria" w:hAnsi="Cambria"/>
                <w:bCs/>
                <w:sz w:val="20"/>
                <w:szCs w:val="20"/>
                <w:lang w:val="es-419"/>
              </w:rPr>
              <w:t xml:space="preserve"> 8 (garantías </w:t>
            </w:r>
            <w:r w:rsidRPr="004612A5">
              <w:rPr>
                <w:rFonts w:ascii="Cambria" w:hAnsi="Cambria"/>
                <w:bCs/>
                <w:sz w:val="20"/>
                <w:szCs w:val="20"/>
                <w:lang w:val="es-419"/>
              </w:rPr>
              <w:t xml:space="preserve">judiciales), </w:t>
            </w:r>
            <w:r w:rsidR="00D51094">
              <w:rPr>
                <w:rFonts w:ascii="Cambria" w:hAnsi="Cambria"/>
                <w:bCs/>
                <w:sz w:val="20"/>
                <w:szCs w:val="20"/>
                <w:lang w:val="es-419"/>
              </w:rPr>
              <w:t>19 (derechos del niño)</w:t>
            </w:r>
            <w:r w:rsidRPr="004612A5">
              <w:rPr>
                <w:rFonts w:ascii="Cambria" w:hAnsi="Cambria"/>
                <w:bCs/>
                <w:sz w:val="20"/>
                <w:szCs w:val="20"/>
                <w:lang w:val="es-419"/>
              </w:rPr>
              <w:t xml:space="preserve"> y 25 (protección judicial) de la Convención Americana, en relación con su artículo 1.1 (obligación de respetar los derechos) </w:t>
            </w:r>
          </w:p>
        </w:tc>
      </w:tr>
      <w:tr w:rsidR="003239B8" w:rsidRPr="00C015F0" w14:paraId="5702249F" w14:textId="77777777" w:rsidTr="00C416BC">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3" w:type="dxa"/>
            <w:vAlign w:val="center"/>
          </w:tcPr>
          <w:p w14:paraId="7F7C1A19" w14:textId="1B466131" w:rsidR="003239B8" w:rsidRPr="004612A5" w:rsidRDefault="00A004BB" w:rsidP="008D2290">
            <w:pPr>
              <w:rPr>
                <w:rFonts w:ascii="Cambria" w:hAnsi="Cambria"/>
                <w:bCs/>
                <w:sz w:val="20"/>
                <w:szCs w:val="20"/>
                <w:lang w:val="es-419"/>
              </w:rPr>
            </w:pPr>
            <w:r w:rsidRPr="004612A5">
              <w:rPr>
                <w:rFonts w:ascii="Cambria" w:hAnsi="Cambria"/>
                <w:bCs/>
                <w:sz w:val="20"/>
                <w:szCs w:val="20"/>
                <w:lang w:val="es-419" w:bidi="es-ES"/>
              </w:rPr>
              <w:t xml:space="preserve">Sí, </w:t>
            </w:r>
            <w:r w:rsidR="0026174C" w:rsidRPr="004612A5">
              <w:rPr>
                <w:rFonts w:ascii="Cambria" w:hAnsi="Cambria"/>
                <w:bCs/>
                <w:sz w:val="20"/>
                <w:szCs w:val="20"/>
                <w:lang w:val="es-419" w:bidi="es-ES"/>
              </w:rPr>
              <w:t>la excepción del Artículo 46.2.c) de la Convención Americana, en los términos de la Sección VI</w:t>
            </w:r>
          </w:p>
        </w:tc>
      </w:tr>
      <w:tr w:rsidR="003239B8" w:rsidRPr="00C015F0" w14:paraId="7A101B89" w14:textId="77777777" w:rsidTr="00C416BC">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3" w:type="dxa"/>
            <w:vAlign w:val="center"/>
          </w:tcPr>
          <w:p w14:paraId="2AF0FC69" w14:textId="1A41320E" w:rsidR="003239B8" w:rsidRPr="004612A5" w:rsidRDefault="00A004BB" w:rsidP="008D2290">
            <w:pPr>
              <w:rPr>
                <w:rFonts w:ascii="Cambria" w:hAnsi="Cambria"/>
                <w:bCs/>
                <w:sz w:val="20"/>
                <w:szCs w:val="20"/>
                <w:lang w:val="es-419"/>
              </w:rPr>
            </w:pPr>
            <w:r w:rsidRPr="004612A5">
              <w:rPr>
                <w:rFonts w:ascii="Cambria" w:hAnsi="Cambria"/>
                <w:bCs/>
                <w:sz w:val="20"/>
                <w:szCs w:val="20"/>
                <w:lang w:val="es-419" w:bidi="es-ES"/>
              </w:rPr>
              <w:t xml:space="preserve">Sí, en los términos de la </w:t>
            </w:r>
            <w:r w:rsidR="0026174C" w:rsidRPr="004612A5">
              <w:rPr>
                <w:rFonts w:ascii="Cambria" w:hAnsi="Cambria"/>
                <w:bCs/>
                <w:sz w:val="20"/>
                <w:szCs w:val="20"/>
                <w:lang w:val="es-419" w:bidi="es-ES"/>
              </w:rPr>
              <w:t>S</w:t>
            </w:r>
            <w:r w:rsidRPr="004612A5">
              <w:rPr>
                <w:rFonts w:ascii="Cambria" w:hAnsi="Cambria"/>
                <w:bCs/>
                <w:sz w:val="20"/>
                <w:szCs w:val="20"/>
                <w:lang w:val="es-419" w:bidi="es-ES"/>
              </w:rPr>
              <w:t>ección VI</w:t>
            </w:r>
          </w:p>
        </w:tc>
      </w:tr>
    </w:tbl>
    <w:p w14:paraId="71EBA570" w14:textId="77777777" w:rsidR="007E0899" w:rsidRDefault="007E0899" w:rsidP="003A4D4D">
      <w:pPr>
        <w:spacing w:before="240" w:after="240"/>
        <w:ind w:firstLine="720"/>
        <w:jc w:val="both"/>
        <w:rPr>
          <w:rFonts w:asciiTheme="majorHAnsi" w:hAnsiTheme="majorHAnsi"/>
          <w:b/>
          <w:sz w:val="20"/>
          <w:szCs w:val="20"/>
          <w:lang w:val="es-419"/>
        </w:rPr>
      </w:pPr>
    </w:p>
    <w:p w14:paraId="0F69E7D9" w14:textId="77777777" w:rsidR="002D7E73" w:rsidRDefault="002D7E73" w:rsidP="003A4D4D">
      <w:pPr>
        <w:spacing w:before="240" w:after="240"/>
        <w:ind w:firstLine="720"/>
        <w:jc w:val="both"/>
        <w:rPr>
          <w:rFonts w:asciiTheme="majorHAnsi" w:hAnsiTheme="majorHAnsi"/>
          <w:b/>
          <w:sz w:val="20"/>
          <w:szCs w:val="20"/>
          <w:lang w:val="es-419"/>
        </w:rPr>
      </w:pPr>
    </w:p>
    <w:p w14:paraId="56FD5D57" w14:textId="5C6A37CD" w:rsidR="003239B8" w:rsidRPr="009D21AD" w:rsidRDefault="00223A29" w:rsidP="003A4D4D">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9D21AD">
        <w:rPr>
          <w:rFonts w:asciiTheme="majorHAnsi" w:hAnsiTheme="majorHAnsi"/>
          <w:b/>
          <w:sz w:val="20"/>
          <w:szCs w:val="20"/>
          <w:lang w:val="es-419"/>
        </w:rPr>
        <w:t>POSICIÓN DE LAS PARTES</w:t>
      </w:r>
      <w:r w:rsidR="003239B8" w:rsidRPr="009D21AD">
        <w:rPr>
          <w:rFonts w:asciiTheme="majorHAnsi" w:hAnsiTheme="majorHAnsi"/>
          <w:b/>
          <w:sz w:val="20"/>
          <w:szCs w:val="20"/>
          <w:lang w:val="es-419"/>
        </w:rPr>
        <w:t xml:space="preserve"> </w:t>
      </w:r>
    </w:p>
    <w:p w14:paraId="4EA306E2" w14:textId="32145351" w:rsidR="00785B6C" w:rsidRPr="009D21AD" w:rsidRDefault="00785B6C" w:rsidP="003A4D4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419"/>
        </w:rPr>
      </w:pPr>
      <w:r w:rsidRPr="009D21AD">
        <w:rPr>
          <w:i/>
          <w:iCs/>
          <w:sz w:val="20"/>
          <w:szCs w:val="20"/>
          <w:lang w:val="es-419"/>
        </w:rPr>
        <w:t>Posición de la parte peticionaria</w:t>
      </w:r>
    </w:p>
    <w:p w14:paraId="370BE2C2" w14:textId="03B43D4E" w:rsidR="00D7504E" w:rsidRPr="009D21AD" w:rsidRDefault="00F71A15" w:rsidP="004356E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 xml:space="preserve">La peticionaria denuncia </w:t>
      </w:r>
      <w:r w:rsidR="007D5AC7" w:rsidRPr="009D21AD">
        <w:rPr>
          <w:sz w:val="20"/>
          <w:szCs w:val="20"/>
          <w:lang w:val="es-419"/>
        </w:rPr>
        <w:t>a</w:t>
      </w:r>
      <w:r w:rsidRPr="009D21AD">
        <w:rPr>
          <w:sz w:val="20"/>
          <w:szCs w:val="20"/>
          <w:lang w:val="es-419"/>
        </w:rPr>
        <w:t xml:space="preserve">l Estado por la </w:t>
      </w:r>
      <w:r w:rsidR="006830E1" w:rsidRPr="009D21AD">
        <w:rPr>
          <w:sz w:val="20"/>
          <w:szCs w:val="20"/>
          <w:lang w:val="es-419"/>
        </w:rPr>
        <w:t xml:space="preserve">alegada </w:t>
      </w:r>
      <w:r w:rsidRPr="009D21AD">
        <w:rPr>
          <w:sz w:val="20"/>
          <w:szCs w:val="20"/>
          <w:lang w:val="es-419"/>
        </w:rPr>
        <w:t>tortura y ejecución extrajudicial de</w:t>
      </w:r>
      <w:r w:rsidR="00FF798A" w:rsidRPr="009D21AD">
        <w:rPr>
          <w:sz w:val="20"/>
          <w:szCs w:val="20"/>
          <w:lang w:val="es-419"/>
        </w:rPr>
        <w:t xml:space="preserve"> Oscar Andrés Bedoya Arango y Diego Alexander Arango Jaramillo, de diecisiete años al momento de los hechos,</w:t>
      </w:r>
      <w:r w:rsidRPr="009D21AD">
        <w:rPr>
          <w:sz w:val="20"/>
          <w:szCs w:val="20"/>
          <w:lang w:val="es-419"/>
        </w:rPr>
        <w:t xml:space="preserve"> Diego Armando Ocampo Pavas, José Luis Cardona Castro</w:t>
      </w:r>
      <w:r w:rsidR="00FF798A" w:rsidRPr="009D21AD">
        <w:rPr>
          <w:sz w:val="20"/>
          <w:szCs w:val="20"/>
          <w:lang w:val="es-419"/>
        </w:rPr>
        <w:t xml:space="preserve"> y</w:t>
      </w:r>
      <w:r w:rsidRPr="009D21AD">
        <w:rPr>
          <w:sz w:val="20"/>
          <w:szCs w:val="20"/>
          <w:lang w:val="es-419"/>
        </w:rPr>
        <w:t xml:space="preserve"> Juan Cástulo Jiménez Gutiérrez</w:t>
      </w:r>
      <w:r w:rsidR="00FF798A" w:rsidRPr="009D21AD">
        <w:rPr>
          <w:sz w:val="20"/>
          <w:szCs w:val="20"/>
          <w:lang w:val="es-419"/>
        </w:rPr>
        <w:t>,</w:t>
      </w:r>
      <w:r w:rsidRPr="009D21AD">
        <w:rPr>
          <w:sz w:val="20"/>
          <w:szCs w:val="20"/>
          <w:lang w:val="es-419"/>
        </w:rPr>
        <w:t xml:space="preserve"> así como por la falta de investigación y sanción de los responsables</w:t>
      </w:r>
      <w:r w:rsidR="006830E1" w:rsidRPr="009D21AD">
        <w:rPr>
          <w:sz w:val="20"/>
          <w:szCs w:val="20"/>
          <w:lang w:val="es-419"/>
        </w:rPr>
        <w:t xml:space="preserve"> de estos hechos</w:t>
      </w:r>
      <w:r w:rsidRPr="009D21AD">
        <w:rPr>
          <w:sz w:val="20"/>
          <w:szCs w:val="20"/>
          <w:lang w:val="es-419"/>
        </w:rPr>
        <w:t>.</w:t>
      </w:r>
    </w:p>
    <w:p w14:paraId="7FA7E582" w14:textId="39EFDB6B" w:rsidR="004356E8" w:rsidRPr="009D21AD" w:rsidRDefault="00720C06" w:rsidP="001B11A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9D21AD">
        <w:rPr>
          <w:sz w:val="20"/>
          <w:szCs w:val="20"/>
          <w:lang w:val="es-ES"/>
        </w:rPr>
        <w:t>La peticionaria narra</w:t>
      </w:r>
      <w:r w:rsidR="006F342A" w:rsidRPr="009D21AD">
        <w:rPr>
          <w:sz w:val="20"/>
          <w:szCs w:val="20"/>
          <w:lang w:val="es-ES"/>
        </w:rPr>
        <w:t xml:space="preserve">, </w:t>
      </w:r>
      <w:r w:rsidR="00496630" w:rsidRPr="009D21AD">
        <w:rPr>
          <w:sz w:val="20"/>
          <w:szCs w:val="20"/>
          <w:lang w:val="es-ES"/>
        </w:rPr>
        <w:t>puntualmente</w:t>
      </w:r>
      <w:r w:rsidR="006F342A" w:rsidRPr="009D21AD">
        <w:rPr>
          <w:sz w:val="20"/>
          <w:szCs w:val="20"/>
          <w:lang w:val="es-ES"/>
        </w:rPr>
        <w:t>,</w:t>
      </w:r>
      <w:r w:rsidRPr="009D21AD">
        <w:rPr>
          <w:sz w:val="20"/>
          <w:szCs w:val="20"/>
          <w:lang w:val="es-ES"/>
        </w:rPr>
        <w:t xml:space="preserve"> que e</w:t>
      </w:r>
      <w:r w:rsidR="004356E8" w:rsidRPr="009D21AD">
        <w:rPr>
          <w:sz w:val="20"/>
          <w:szCs w:val="20"/>
          <w:lang w:val="es-ES"/>
        </w:rPr>
        <w:t xml:space="preserve">l 26 de abril del año 2000, entre las </w:t>
      </w:r>
      <w:r w:rsidR="00211A7C" w:rsidRPr="009D21AD">
        <w:rPr>
          <w:sz w:val="20"/>
          <w:szCs w:val="20"/>
          <w:lang w:val="es-ES"/>
        </w:rPr>
        <w:t>18:00 y 21:00</w:t>
      </w:r>
      <w:r w:rsidR="004356E8" w:rsidRPr="009D21AD">
        <w:rPr>
          <w:sz w:val="20"/>
          <w:szCs w:val="20"/>
          <w:lang w:val="es-ES"/>
        </w:rPr>
        <w:t xml:space="preserve"> horas, llegaron al corregimiento de Mesopotamia, jurisdicción del municipio de la Unión, Antioquia, </w:t>
      </w:r>
      <w:r w:rsidR="00B8488B" w:rsidRPr="009D21AD">
        <w:rPr>
          <w:sz w:val="20"/>
          <w:szCs w:val="20"/>
          <w:lang w:val="es-ES"/>
        </w:rPr>
        <w:t xml:space="preserve">hombres fuertemente armados con uniformes militares </w:t>
      </w:r>
      <w:r w:rsidR="004356E8" w:rsidRPr="009D21AD">
        <w:rPr>
          <w:sz w:val="20"/>
          <w:szCs w:val="20"/>
          <w:lang w:val="es-ES"/>
        </w:rPr>
        <w:t xml:space="preserve">dispararon contra la población civil causándole la muerte a Oscar Andrés </w:t>
      </w:r>
      <w:r w:rsidR="00220F8C" w:rsidRPr="009D21AD">
        <w:rPr>
          <w:sz w:val="20"/>
          <w:szCs w:val="20"/>
          <w:lang w:val="es-ES"/>
        </w:rPr>
        <w:t>Bedoya</w:t>
      </w:r>
      <w:r w:rsidR="004356E8" w:rsidRPr="009D21AD">
        <w:rPr>
          <w:sz w:val="20"/>
          <w:szCs w:val="20"/>
          <w:lang w:val="es-ES"/>
        </w:rPr>
        <w:t xml:space="preserve"> Arango Oscar Andrés </w:t>
      </w:r>
      <w:r w:rsidR="00220F8C" w:rsidRPr="009D21AD">
        <w:rPr>
          <w:sz w:val="20"/>
          <w:szCs w:val="20"/>
          <w:lang w:val="es-ES"/>
        </w:rPr>
        <w:t>Bedoya</w:t>
      </w:r>
      <w:r w:rsidR="004356E8" w:rsidRPr="009D21AD">
        <w:rPr>
          <w:sz w:val="20"/>
          <w:szCs w:val="20"/>
          <w:lang w:val="es-ES"/>
        </w:rPr>
        <w:t xml:space="preserve"> Arango, Diego Armando Ocampo Pavas, José Luis Cardona Castro, Juan Cástulo Jiménez Gutiérrez y Diego Alexander Arango.</w:t>
      </w:r>
      <w:r w:rsidR="001B11A3" w:rsidRPr="009D21AD">
        <w:rPr>
          <w:sz w:val="20"/>
          <w:szCs w:val="20"/>
          <w:lang w:val="es-ES"/>
        </w:rPr>
        <w:t xml:space="preserve"> Según personas de la comunidad mencionadas por la peticionaria, los hombres responsables por los disparos pueden tener relación con las fuerzas militares oficiales o con el grupo paramilitar Autodefensas Unidas de Colombia (AUC).</w:t>
      </w:r>
    </w:p>
    <w:p w14:paraId="671C9B1E" w14:textId="75A5BC74" w:rsidR="004356E8" w:rsidRPr="009D21AD" w:rsidRDefault="00451601" w:rsidP="004356E8">
      <w:pPr>
        <w:pStyle w:val="ListParagraph"/>
        <w:widowControl w:val="0"/>
        <w:numPr>
          <w:ilvl w:val="0"/>
          <w:numId w:val="59"/>
        </w:numPr>
        <w:autoSpaceDE w:val="0"/>
        <w:autoSpaceDN w:val="0"/>
        <w:spacing w:before="240" w:after="240"/>
        <w:ind w:left="0" w:firstLine="720"/>
        <w:jc w:val="both"/>
        <w:rPr>
          <w:sz w:val="20"/>
          <w:szCs w:val="20"/>
          <w:lang w:val="es-ES"/>
        </w:rPr>
      </w:pPr>
      <w:r w:rsidRPr="009D21AD">
        <w:rPr>
          <w:sz w:val="20"/>
          <w:szCs w:val="20"/>
          <w:lang w:val="es-ES"/>
        </w:rPr>
        <w:t xml:space="preserve">Como antecedente a estos hechos, la parte peticionaria indica que </w:t>
      </w:r>
      <w:r w:rsidR="004356E8" w:rsidRPr="009D21AD">
        <w:rPr>
          <w:sz w:val="20"/>
          <w:szCs w:val="20"/>
          <w:lang w:val="es-ES"/>
        </w:rPr>
        <w:t>el 7 de agosto de 1999 fue levantado el puesto de Policía del Corregimiento de Mesopotamia, Antioquia</w:t>
      </w:r>
      <w:r w:rsidR="006961F5" w:rsidRPr="009D21AD">
        <w:rPr>
          <w:sz w:val="20"/>
          <w:szCs w:val="20"/>
          <w:lang w:val="es-ES"/>
        </w:rPr>
        <w:t xml:space="preserve">, reemplazándose por un sistema de patrulla móvil. </w:t>
      </w:r>
      <w:r w:rsidR="006C0918" w:rsidRPr="009D21AD">
        <w:rPr>
          <w:sz w:val="20"/>
          <w:szCs w:val="20"/>
          <w:lang w:val="es-ES"/>
        </w:rPr>
        <w:t xml:space="preserve">Por esta razón, explica, </w:t>
      </w:r>
      <w:r w:rsidR="004356E8" w:rsidRPr="009D21AD">
        <w:rPr>
          <w:sz w:val="20"/>
          <w:szCs w:val="20"/>
          <w:lang w:val="es-ES"/>
        </w:rPr>
        <w:t xml:space="preserve">el 26 de abril de 2000, día de los hechos, la policía se encontraba en el municipio de El Retiro a 60 kilómetros </w:t>
      </w:r>
      <w:r w:rsidR="006C0918" w:rsidRPr="009D21AD">
        <w:rPr>
          <w:sz w:val="20"/>
          <w:szCs w:val="20"/>
          <w:lang w:val="es-ES"/>
        </w:rPr>
        <w:t xml:space="preserve">de distancia </w:t>
      </w:r>
      <w:r w:rsidR="004356E8" w:rsidRPr="009D21AD">
        <w:rPr>
          <w:sz w:val="20"/>
          <w:szCs w:val="20"/>
          <w:lang w:val="es-ES"/>
        </w:rPr>
        <w:t xml:space="preserve">del corregimiento de Mesopotamia. </w:t>
      </w:r>
    </w:p>
    <w:p w14:paraId="4F77C782" w14:textId="6B4DC5AF" w:rsidR="004356E8" w:rsidRPr="009D21AD" w:rsidRDefault="004356E8" w:rsidP="004356E8">
      <w:pPr>
        <w:pStyle w:val="ListParagraph"/>
        <w:widowControl w:val="0"/>
        <w:numPr>
          <w:ilvl w:val="0"/>
          <w:numId w:val="59"/>
        </w:numPr>
        <w:autoSpaceDE w:val="0"/>
        <w:autoSpaceDN w:val="0"/>
        <w:spacing w:before="240" w:after="240"/>
        <w:ind w:left="0" w:firstLine="720"/>
        <w:jc w:val="both"/>
        <w:rPr>
          <w:sz w:val="20"/>
          <w:szCs w:val="20"/>
          <w:lang w:val="es-ES"/>
        </w:rPr>
      </w:pPr>
      <w:r w:rsidRPr="009D21AD">
        <w:rPr>
          <w:sz w:val="20"/>
          <w:szCs w:val="20"/>
          <w:lang w:val="es-ES"/>
        </w:rPr>
        <w:t>Con respecto a las investigaciones penales, la parte peticionaria se limita a indicar que el 3 de julio de 2009</w:t>
      </w:r>
      <w:r w:rsidR="00082615" w:rsidRPr="009D21AD">
        <w:rPr>
          <w:sz w:val="20"/>
          <w:szCs w:val="20"/>
          <w:lang w:val="es-ES"/>
        </w:rPr>
        <w:t xml:space="preserve"> se remitió</w:t>
      </w:r>
      <w:r w:rsidRPr="009D21AD">
        <w:rPr>
          <w:sz w:val="20"/>
          <w:szCs w:val="20"/>
          <w:lang w:val="es-ES"/>
        </w:rPr>
        <w:t xml:space="preserve"> la investigación </w:t>
      </w:r>
      <w:r w:rsidR="009917E2" w:rsidRPr="009D21AD">
        <w:rPr>
          <w:sz w:val="20"/>
          <w:szCs w:val="20"/>
          <w:lang w:val="es-ES"/>
        </w:rPr>
        <w:t>por</w:t>
      </w:r>
      <w:r w:rsidRPr="009D21AD">
        <w:rPr>
          <w:sz w:val="20"/>
          <w:szCs w:val="20"/>
          <w:lang w:val="es-ES"/>
        </w:rPr>
        <w:t xml:space="preserve"> las muertes</w:t>
      </w:r>
      <w:r w:rsidR="009917E2" w:rsidRPr="009D21AD">
        <w:rPr>
          <w:sz w:val="20"/>
          <w:szCs w:val="20"/>
          <w:lang w:val="es-ES"/>
        </w:rPr>
        <w:t xml:space="preserve"> de las presuntas víctimas (</w:t>
      </w:r>
      <w:r w:rsidRPr="009D21AD">
        <w:rPr>
          <w:sz w:val="20"/>
          <w:szCs w:val="20"/>
          <w:lang w:val="es-ES"/>
        </w:rPr>
        <w:t>de radicado 5776</w:t>
      </w:r>
      <w:r w:rsidR="009917E2" w:rsidRPr="009D21AD">
        <w:rPr>
          <w:sz w:val="20"/>
          <w:szCs w:val="20"/>
          <w:lang w:val="es-ES"/>
        </w:rPr>
        <w:t>)</w:t>
      </w:r>
      <w:r w:rsidRPr="009D21AD">
        <w:rPr>
          <w:sz w:val="20"/>
          <w:szCs w:val="20"/>
          <w:lang w:val="es-ES"/>
        </w:rPr>
        <w:t xml:space="preserve"> a la Unidad de Derechos Humanos de la Fiscalía </w:t>
      </w:r>
      <w:r w:rsidR="00367FF5" w:rsidRPr="009D21AD">
        <w:rPr>
          <w:sz w:val="20"/>
          <w:szCs w:val="20"/>
          <w:lang w:val="es-ES"/>
        </w:rPr>
        <w:t>102º</w:t>
      </w:r>
      <w:r w:rsidRPr="009D21AD">
        <w:rPr>
          <w:sz w:val="20"/>
          <w:szCs w:val="20"/>
          <w:lang w:val="es-ES"/>
        </w:rPr>
        <w:t xml:space="preserve">. </w:t>
      </w:r>
      <w:r w:rsidR="00367FF5" w:rsidRPr="009D21AD">
        <w:rPr>
          <w:sz w:val="20"/>
          <w:szCs w:val="20"/>
          <w:lang w:val="es-ES"/>
        </w:rPr>
        <w:t>En este momento, e</w:t>
      </w:r>
      <w:r w:rsidRPr="009D21AD">
        <w:rPr>
          <w:sz w:val="20"/>
          <w:szCs w:val="20"/>
          <w:lang w:val="es-ES"/>
        </w:rPr>
        <w:t xml:space="preserve">l proceso </w:t>
      </w:r>
      <w:r w:rsidR="00367FF5" w:rsidRPr="009D21AD">
        <w:rPr>
          <w:sz w:val="20"/>
          <w:szCs w:val="20"/>
          <w:lang w:val="es-ES"/>
        </w:rPr>
        <w:t>segui</w:t>
      </w:r>
      <w:r w:rsidR="009E7FF3" w:rsidRPr="009D21AD">
        <w:rPr>
          <w:sz w:val="20"/>
          <w:szCs w:val="20"/>
          <w:lang w:val="es-ES"/>
        </w:rPr>
        <w:t>ría en</w:t>
      </w:r>
      <w:r w:rsidRPr="009D21AD">
        <w:rPr>
          <w:sz w:val="20"/>
          <w:szCs w:val="20"/>
          <w:lang w:val="es-ES"/>
        </w:rPr>
        <w:t xml:space="preserve"> etapa de instrucción, </w:t>
      </w:r>
      <w:r w:rsidR="009E7FF3" w:rsidRPr="009D21AD">
        <w:rPr>
          <w:sz w:val="20"/>
          <w:szCs w:val="20"/>
          <w:lang w:val="es-ES"/>
        </w:rPr>
        <w:t xml:space="preserve">sin </w:t>
      </w:r>
      <w:r w:rsidRPr="009D21AD">
        <w:rPr>
          <w:sz w:val="20"/>
          <w:szCs w:val="20"/>
          <w:lang w:val="es-ES"/>
        </w:rPr>
        <w:t xml:space="preserve">que </w:t>
      </w:r>
      <w:r w:rsidR="00E46F5E" w:rsidRPr="009D21AD">
        <w:rPr>
          <w:sz w:val="20"/>
          <w:szCs w:val="20"/>
          <w:lang w:val="es-ES"/>
        </w:rPr>
        <w:t xml:space="preserve">se </w:t>
      </w:r>
      <w:r w:rsidR="009E7FF3" w:rsidRPr="009D21AD">
        <w:rPr>
          <w:sz w:val="20"/>
          <w:szCs w:val="20"/>
          <w:lang w:val="es-ES"/>
        </w:rPr>
        <w:t>hubiese</w:t>
      </w:r>
      <w:r w:rsidRPr="009D21AD">
        <w:rPr>
          <w:sz w:val="20"/>
          <w:szCs w:val="20"/>
          <w:lang w:val="es-ES"/>
        </w:rPr>
        <w:t xml:space="preserve"> proferid</w:t>
      </w:r>
      <w:r w:rsidR="009E7FF3" w:rsidRPr="009D21AD">
        <w:rPr>
          <w:sz w:val="20"/>
          <w:szCs w:val="20"/>
          <w:lang w:val="es-ES"/>
        </w:rPr>
        <w:t>o</w:t>
      </w:r>
      <w:r w:rsidRPr="009D21AD">
        <w:rPr>
          <w:sz w:val="20"/>
          <w:szCs w:val="20"/>
          <w:lang w:val="es-ES"/>
        </w:rPr>
        <w:t xml:space="preserve"> ninguna decisión de fondo.</w:t>
      </w:r>
    </w:p>
    <w:p w14:paraId="318B8046" w14:textId="5A363E5B" w:rsidR="00EE70BA" w:rsidRPr="009D21AD" w:rsidRDefault="004356E8" w:rsidP="00C1359B">
      <w:pPr>
        <w:pStyle w:val="ListParagraph"/>
        <w:widowControl w:val="0"/>
        <w:numPr>
          <w:ilvl w:val="0"/>
          <w:numId w:val="59"/>
        </w:numPr>
        <w:autoSpaceDE w:val="0"/>
        <w:autoSpaceDN w:val="0"/>
        <w:spacing w:before="240" w:after="240"/>
        <w:ind w:left="0" w:firstLine="720"/>
        <w:jc w:val="both"/>
        <w:rPr>
          <w:sz w:val="20"/>
          <w:szCs w:val="20"/>
          <w:lang w:val="es-ES"/>
        </w:rPr>
      </w:pPr>
      <w:r w:rsidRPr="009D21AD">
        <w:rPr>
          <w:sz w:val="20"/>
          <w:szCs w:val="20"/>
          <w:lang w:val="es-ES"/>
        </w:rPr>
        <w:t xml:space="preserve">La parte peticionaria también </w:t>
      </w:r>
      <w:r w:rsidR="007C4209" w:rsidRPr="009D21AD">
        <w:rPr>
          <w:sz w:val="20"/>
          <w:szCs w:val="20"/>
          <w:lang w:val="es-ES"/>
        </w:rPr>
        <w:t>menciona</w:t>
      </w:r>
      <w:r w:rsidRPr="009D21AD">
        <w:rPr>
          <w:sz w:val="20"/>
          <w:szCs w:val="20"/>
          <w:lang w:val="es-ES"/>
        </w:rPr>
        <w:t xml:space="preserve"> </w:t>
      </w:r>
      <w:r w:rsidR="00B27DA2" w:rsidRPr="009D21AD">
        <w:rPr>
          <w:sz w:val="20"/>
          <w:szCs w:val="20"/>
          <w:lang w:val="es-ES"/>
        </w:rPr>
        <w:t xml:space="preserve">sucintamente </w:t>
      </w:r>
      <w:r w:rsidRPr="009D21AD">
        <w:rPr>
          <w:sz w:val="20"/>
          <w:szCs w:val="20"/>
          <w:lang w:val="es-ES"/>
        </w:rPr>
        <w:t xml:space="preserve">una demanda de reparación directa presentada por los familiares de las presuntas víctimas el 12 de abril de 2002 ante el Tribunal Administrativo de Antioquia. El 25 de julio de 2006, el proceso fue enviado </w:t>
      </w:r>
      <w:r w:rsidR="00FF798A" w:rsidRPr="009D21AD">
        <w:rPr>
          <w:sz w:val="20"/>
          <w:szCs w:val="20"/>
          <w:lang w:val="es-ES"/>
        </w:rPr>
        <w:t xml:space="preserve">por competencia </w:t>
      </w:r>
      <w:r w:rsidRPr="009D21AD">
        <w:rPr>
          <w:sz w:val="20"/>
          <w:szCs w:val="20"/>
          <w:lang w:val="es-ES"/>
        </w:rPr>
        <w:t xml:space="preserve">al Juzgado </w:t>
      </w:r>
      <w:r w:rsidR="00454013" w:rsidRPr="009D21AD">
        <w:rPr>
          <w:sz w:val="20"/>
          <w:szCs w:val="20"/>
          <w:lang w:val="es-ES"/>
        </w:rPr>
        <w:t>28º</w:t>
      </w:r>
      <w:r w:rsidRPr="009D21AD">
        <w:rPr>
          <w:sz w:val="20"/>
          <w:szCs w:val="20"/>
          <w:lang w:val="es-ES"/>
        </w:rPr>
        <w:t xml:space="preserve"> Administrativo de Circuito de Medellín. El 2 de marzo de 2009</w:t>
      </w:r>
      <w:r w:rsidR="00C1359B" w:rsidRPr="009D21AD">
        <w:rPr>
          <w:sz w:val="20"/>
          <w:szCs w:val="20"/>
          <w:lang w:val="es-ES"/>
        </w:rPr>
        <w:t xml:space="preserve"> este</w:t>
      </w:r>
      <w:r w:rsidRPr="009D21AD">
        <w:rPr>
          <w:sz w:val="20"/>
          <w:szCs w:val="20"/>
          <w:lang w:val="es-ES"/>
        </w:rPr>
        <w:t xml:space="preserve"> juzgado profirió sentencia en </w:t>
      </w:r>
      <w:r w:rsidR="000A7046" w:rsidRPr="009D21AD">
        <w:rPr>
          <w:sz w:val="20"/>
          <w:szCs w:val="20"/>
          <w:lang w:val="es-ES"/>
        </w:rPr>
        <w:t>contraria a los intereses de los</w:t>
      </w:r>
      <w:r w:rsidRPr="009D21AD">
        <w:rPr>
          <w:sz w:val="20"/>
          <w:szCs w:val="20"/>
          <w:lang w:val="es-ES"/>
        </w:rPr>
        <w:t xml:space="preserve"> demandantes bajo la justificación de que no hubo prueba de la </w:t>
      </w:r>
      <w:r w:rsidR="00EC3073" w:rsidRPr="009D21AD">
        <w:rPr>
          <w:sz w:val="20"/>
          <w:szCs w:val="20"/>
          <w:lang w:val="es-ES"/>
        </w:rPr>
        <w:t>causalidad</w:t>
      </w:r>
      <w:r w:rsidRPr="009D21AD">
        <w:rPr>
          <w:sz w:val="20"/>
          <w:szCs w:val="20"/>
          <w:lang w:val="es-ES"/>
        </w:rPr>
        <w:t xml:space="preserve"> entre el </w:t>
      </w:r>
      <w:r w:rsidR="00EE70BA" w:rsidRPr="009D21AD">
        <w:rPr>
          <w:sz w:val="20"/>
          <w:szCs w:val="20"/>
          <w:lang w:val="es-ES"/>
        </w:rPr>
        <w:t xml:space="preserve">actuar del </w:t>
      </w:r>
      <w:r w:rsidRPr="009D21AD">
        <w:rPr>
          <w:sz w:val="20"/>
          <w:szCs w:val="20"/>
          <w:lang w:val="es-ES"/>
        </w:rPr>
        <w:t xml:space="preserve">Estado y los daños alegados. </w:t>
      </w:r>
    </w:p>
    <w:p w14:paraId="777C8C90" w14:textId="0F4DE5B6" w:rsidR="00D157D8" w:rsidRPr="009D21AD" w:rsidRDefault="00EE70BA" w:rsidP="006069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i/>
          <w:iCs/>
          <w:sz w:val="20"/>
          <w:szCs w:val="20"/>
          <w:lang w:val="es-419"/>
        </w:rPr>
      </w:pPr>
      <w:r w:rsidRPr="009D21AD">
        <w:rPr>
          <w:sz w:val="20"/>
          <w:szCs w:val="20"/>
          <w:lang w:val="es-ES"/>
        </w:rPr>
        <w:t xml:space="preserve">Contra esta decisión de primera instancia, el 11 de marzo de 2009 los demandantes presentaron un recurso de apelación. </w:t>
      </w:r>
      <w:r w:rsidR="00D157D8" w:rsidRPr="009D21AD">
        <w:rPr>
          <w:sz w:val="20"/>
          <w:szCs w:val="20"/>
          <w:lang w:val="es-ES"/>
        </w:rPr>
        <w:t xml:space="preserve">Sin embargo, </w:t>
      </w:r>
      <w:r w:rsidR="004356E8" w:rsidRPr="009D21AD">
        <w:rPr>
          <w:sz w:val="20"/>
          <w:szCs w:val="20"/>
          <w:lang w:val="es-ES"/>
        </w:rPr>
        <w:t>el Tribunal Contencioso Administrativo de Antioquia</w:t>
      </w:r>
      <w:r w:rsidR="00920CDA" w:rsidRPr="009D21AD">
        <w:rPr>
          <w:sz w:val="20"/>
          <w:szCs w:val="20"/>
          <w:lang w:val="es-ES"/>
        </w:rPr>
        <w:t>,</w:t>
      </w:r>
      <w:r w:rsidR="004356E8" w:rsidRPr="009D21AD">
        <w:rPr>
          <w:sz w:val="20"/>
          <w:szCs w:val="20"/>
          <w:lang w:val="es-ES"/>
        </w:rPr>
        <w:t xml:space="preserve"> </w:t>
      </w:r>
      <w:r w:rsidR="00D157D8" w:rsidRPr="009D21AD">
        <w:rPr>
          <w:sz w:val="20"/>
          <w:szCs w:val="20"/>
          <w:lang w:val="es-ES"/>
        </w:rPr>
        <w:t>mediante sentencia del 20 de enero de 2012</w:t>
      </w:r>
      <w:r w:rsidR="00920CDA" w:rsidRPr="009D21AD">
        <w:rPr>
          <w:sz w:val="20"/>
          <w:szCs w:val="20"/>
          <w:lang w:val="es-ES"/>
        </w:rPr>
        <w:t>,</w:t>
      </w:r>
      <w:r w:rsidR="00D157D8" w:rsidRPr="009D21AD">
        <w:rPr>
          <w:sz w:val="20"/>
          <w:szCs w:val="20"/>
          <w:lang w:val="es-ES"/>
        </w:rPr>
        <w:t xml:space="preserve"> confirmó la sentencia de primera instancia. </w:t>
      </w:r>
    </w:p>
    <w:p w14:paraId="7AB55DFD" w14:textId="451C0707" w:rsidR="00D7504E" w:rsidRPr="009D21AD" w:rsidRDefault="00D7504E" w:rsidP="00D157D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419"/>
        </w:rPr>
      </w:pPr>
      <w:r w:rsidRPr="009D21AD">
        <w:rPr>
          <w:i/>
          <w:iCs/>
          <w:sz w:val="20"/>
          <w:szCs w:val="20"/>
          <w:lang w:val="es-419"/>
        </w:rPr>
        <w:t xml:space="preserve">Posición del Estado </w:t>
      </w:r>
      <w:r w:rsidR="00E97E7D" w:rsidRPr="009D21AD">
        <w:rPr>
          <w:i/>
          <w:iCs/>
          <w:sz w:val="20"/>
          <w:szCs w:val="20"/>
          <w:lang w:val="es-419"/>
        </w:rPr>
        <w:t>colombiano</w:t>
      </w:r>
    </w:p>
    <w:p w14:paraId="6D0214FC" w14:textId="7A9F2D42" w:rsidR="003F6974" w:rsidRPr="009D21AD" w:rsidRDefault="00F47A4D" w:rsidP="00E97E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Con respecto</w:t>
      </w:r>
      <w:r w:rsidR="003F6974" w:rsidRPr="009D21AD">
        <w:rPr>
          <w:sz w:val="20"/>
          <w:szCs w:val="20"/>
          <w:lang w:val="es-419"/>
        </w:rPr>
        <w:t xml:space="preserve"> a las investigaciones impulsadas </w:t>
      </w:r>
      <w:r w:rsidR="00E97E7D" w:rsidRPr="009D21AD">
        <w:rPr>
          <w:sz w:val="20"/>
          <w:szCs w:val="20"/>
          <w:lang w:val="es-419"/>
        </w:rPr>
        <w:t>por la muerte de las presuntas víctimas,</w:t>
      </w:r>
      <w:r w:rsidR="003F6974" w:rsidRPr="009D21AD">
        <w:rPr>
          <w:sz w:val="20"/>
          <w:szCs w:val="20"/>
          <w:lang w:val="es-419"/>
        </w:rPr>
        <w:t xml:space="preserve"> ocurridas el 26 de abril de 2000</w:t>
      </w:r>
      <w:r w:rsidR="00E97E7D" w:rsidRPr="009D21AD">
        <w:rPr>
          <w:sz w:val="20"/>
          <w:szCs w:val="20"/>
          <w:lang w:val="es-419"/>
        </w:rPr>
        <w:t>, el Estado refiere que</w:t>
      </w:r>
      <w:r w:rsidR="003F6974" w:rsidRPr="009D21AD">
        <w:rPr>
          <w:sz w:val="20"/>
          <w:szCs w:val="20"/>
          <w:lang w:val="es-419"/>
        </w:rPr>
        <w:t xml:space="preserve"> </w:t>
      </w:r>
      <w:r w:rsidR="00097397" w:rsidRPr="009D21AD">
        <w:rPr>
          <w:sz w:val="20"/>
          <w:szCs w:val="20"/>
          <w:lang w:val="es-419"/>
        </w:rPr>
        <w:t>al día siguiente e</w:t>
      </w:r>
      <w:r w:rsidR="003F6974" w:rsidRPr="009D21AD">
        <w:rPr>
          <w:sz w:val="20"/>
          <w:szCs w:val="20"/>
          <w:lang w:val="es-419"/>
        </w:rPr>
        <w:t xml:space="preserve">l mayor Anselmo Escobar Castañeda, Oficial de Derechos Humanos de la Cuarta Brigada, presentó denuncia penal por los hechos, tras lo cual se inició la investigación por parte de la Fiscalía Seccional de la Ceja. </w:t>
      </w:r>
    </w:p>
    <w:p w14:paraId="03EBFD90" w14:textId="3D9F4C9C" w:rsidR="003F6974" w:rsidRPr="009D21AD" w:rsidRDefault="00097397" w:rsidP="003F69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Así, e</w:t>
      </w:r>
      <w:r w:rsidR="003F6974" w:rsidRPr="009D21AD">
        <w:rPr>
          <w:sz w:val="20"/>
          <w:szCs w:val="20"/>
          <w:lang w:val="es-419"/>
        </w:rPr>
        <w:t xml:space="preserve">l 18 de mayo de 2000 la Fiscalía Especializada en Terrorismo con sede en Medellín avocó conocimiento de las diligencias realizadas, declaraciones y testimonios, estableciendo como hipótesis delictiva la participación y autoría de miembros de </w:t>
      </w:r>
      <w:r w:rsidR="00E65776" w:rsidRPr="009D21AD">
        <w:rPr>
          <w:sz w:val="20"/>
          <w:szCs w:val="20"/>
          <w:lang w:val="es-419"/>
        </w:rPr>
        <w:t>fuerzas paramilitares</w:t>
      </w:r>
      <w:r w:rsidR="003F6974" w:rsidRPr="009D21AD">
        <w:rPr>
          <w:sz w:val="20"/>
          <w:szCs w:val="20"/>
          <w:lang w:val="es-419"/>
        </w:rPr>
        <w:t xml:space="preserve"> del Bloque Metro y Magdalena Medio.</w:t>
      </w:r>
    </w:p>
    <w:p w14:paraId="0F6B3417" w14:textId="3FF7F2CB" w:rsidR="003F6974" w:rsidRPr="009D21AD" w:rsidRDefault="003F6974" w:rsidP="003F69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 xml:space="preserve">Según informe de Policía Judicial </w:t>
      </w:r>
      <w:r w:rsidR="002829E1" w:rsidRPr="009D21AD">
        <w:rPr>
          <w:sz w:val="20"/>
          <w:szCs w:val="20"/>
          <w:lang w:val="es-419"/>
        </w:rPr>
        <w:t xml:space="preserve">(No. </w:t>
      </w:r>
      <w:r w:rsidRPr="009D21AD">
        <w:rPr>
          <w:sz w:val="20"/>
          <w:szCs w:val="20"/>
          <w:lang w:val="es-419"/>
        </w:rPr>
        <w:t>9-293634</w:t>
      </w:r>
      <w:r w:rsidR="002829E1" w:rsidRPr="009D21AD">
        <w:rPr>
          <w:sz w:val="20"/>
          <w:szCs w:val="20"/>
          <w:lang w:val="es-419"/>
        </w:rPr>
        <w:t>)</w:t>
      </w:r>
      <w:r w:rsidRPr="009D21AD">
        <w:rPr>
          <w:sz w:val="20"/>
          <w:szCs w:val="20"/>
          <w:lang w:val="es-419"/>
        </w:rPr>
        <w:t>, del 23 de septiembre de 2009, Luis Eduardo Álzate Salazar (alias “Pérez”) y Carlos Arturo Giraldo Valencia habían sido asesinados y presuntamente se encontraban vinculados a los hechos. También se logró plena identificación de los alias “Cole Pavo” y “Mono Leche”, “Chavo”, “Marmita” y “</w:t>
      </w:r>
      <w:r w:rsidR="00F97F6F" w:rsidRPr="009D21AD">
        <w:rPr>
          <w:sz w:val="20"/>
          <w:szCs w:val="20"/>
          <w:lang w:val="es-419"/>
        </w:rPr>
        <w:t>P</w:t>
      </w:r>
      <w:r w:rsidRPr="009D21AD">
        <w:rPr>
          <w:sz w:val="20"/>
          <w:szCs w:val="20"/>
          <w:lang w:val="es-419"/>
        </w:rPr>
        <w:t>ayaso”.</w:t>
      </w:r>
    </w:p>
    <w:p w14:paraId="1EBA015E" w14:textId="2585671D" w:rsidR="003F6974" w:rsidRPr="009D21AD" w:rsidRDefault="00847A52" w:rsidP="003F69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lastRenderedPageBreak/>
        <w:t>Entre 26 y 29 de julio de 2019 l</w:t>
      </w:r>
      <w:r w:rsidR="003F6974" w:rsidRPr="009D21AD">
        <w:rPr>
          <w:sz w:val="20"/>
          <w:szCs w:val="20"/>
          <w:lang w:val="es-419"/>
        </w:rPr>
        <w:t>a Fiscalía 45, Dirección Especializada contra las Violaciones a los Derechos Humanos ordenó la vinculación procesal, mediante diligencia indagatoria, de Ramon María Isaza (alias “el viejo”), José Luis Zuluaga Arias (alias “MacGyver”), Luis Alfonso Sotelo (alias “John”) y Pedro Antonio Aristizábal (alias “Pedrito”), por los delitos de homicidio agravado en concurso heterogéneo simultáneo con lesiones personales, hurto calificado y agravado, concierto para delinquir y hurto calificado y agravado.</w:t>
      </w:r>
    </w:p>
    <w:p w14:paraId="60D330AA" w14:textId="77777777" w:rsidR="003F6974" w:rsidRPr="009D21AD" w:rsidRDefault="003F6974" w:rsidP="003F69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El 27 de agosto de 2019 la autoridad judicial resolvió la situación jurídica a Luis Eduardo Zuluaga Arcila, imponiéndole medida de aseguramiento consistente en detención preventiva en calidad de coautor de los delitos de homicidio agravado en concurso heterogéneo con los delitos de concierto para delinquir y hurto calificado.</w:t>
      </w:r>
    </w:p>
    <w:p w14:paraId="695D6DD8" w14:textId="10E9E987" w:rsidR="003F6974" w:rsidRPr="009D21AD" w:rsidRDefault="003F6974" w:rsidP="00267D1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 xml:space="preserve">El 19 de noviembre de 2019 </w:t>
      </w:r>
      <w:r w:rsidR="00B839E1" w:rsidRPr="009D21AD">
        <w:rPr>
          <w:sz w:val="20"/>
          <w:szCs w:val="20"/>
          <w:lang w:val="es-419"/>
        </w:rPr>
        <w:t>la autoridad judicial</w:t>
      </w:r>
      <w:r w:rsidRPr="009D21AD">
        <w:rPr>
          <w:sz w:val="20"/>
          <w:szCs w:val="20"/>
          <w:lang w:val="es-419"/>
        </w:rPr>
        <w:t xml:space="preserve"> informó que serían escuchados en indagatoria Luis Eduardo Zuluaga Arcila y Ramón María Isaza</w:t>
      </w:r>
      <w:r w:rsidR="00B839E1" w:rsidRPr="009D21AD">
        <w:rPr>
          <w:sz w:val="20"/>
          <w:szCs w:val="20"/>
          <w:lang w:val="es-419"/>
        </w:rPr>
        <w:t xml:space="preserve">, y </w:t>
      </w:r>
      <w:r w:rsidRPr="009D21AD">
        <w:rPr>
          <w:sz w:val="20"/>
          <w:szCs w:val="20"/>
          <w:lang w:val="es-419"/>
        </w:rPr>
        <w:t>estableció que Ricardo de Jesús López Lora (alias “La Marrana”), quien probablemente también se encontraba vinculado a los hechos, había sido asesinado.</w:t>
      </w:r>
      <w:r w:rsidR="004356E8" w:rsidRPr="009D21AD">
        <w:rPr>
          <w:sz w:val="20"/>
          <w:szCs w:val="20"/>
          <w:lang w:val="es-419"/>
        </w:rPr>
        <w:t xml:space="preserve"> </w:t>
      </w:r>
      <w:r w:rsidRPr="009D21AD">
        <w:rPr>
          <w:sz w:val="20"/>
          <w:szCs w:val="20"/>
          <w:lang w:val="es-419"/>
        </w:rPr>
        <w:t>Por los hechos objeto de estudio, la autoridad judicial resolvió la situación jurídica de Pedro Antonio Aristizábal, imponiéndole medida aseguramiento consistente en detención preventiva en calidad de coautor de los delitos de homicidio agravado en concurso heterogéneo con los delitos de concierto para delinquir calificado y agravado, el 12 de febrero de 2020.</w:t>
      </w:r>
    </w:p>
    <w:p w14:paraId="404BF7E5" w14:textId="5B3B291F" w:rsidR="003F6974" w:rsidRPr="009D21AD" w:rsidRDefault="003F6974" w:rsidP="003F69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El 6 de marzo de 2020 la autoridad judicial decretó, por fallecimiento de los implicados, la extinción de la acción penal y la consecuente preclusión de la investigación a favor de Carlos Arturo Giraldo Valencia (alias “Arturito”) y Luis Eduardo Álzate Salazar (alias “Pérez”). El 5 de abril de 2021 la autoridad judicial resolvió situación jurídica a Ramón María Isaza Arango imponiéndole medida de aseguramiento, consistente en detención preventiva en calidad de coautor de los delitos de homicidio agravado en concurso heterogéneo con los delitos de concierto para delinquir calificado y agravado. Adicionalmente, Ramón Isaza y Luis Eduardo Zuluaga Arcila, integrantes de las autodefensas ilegales del Magdalena Medio y postulados ante la Ley de Justicia y Paz, confesaron su participación en los hechos investigados, admitiendo su responsabilidad. Por lo anterior, la autoridad judicial decretó la suspensión provisional de la investigación en la jurisdicción ordinaria con relación a los mismos.</w:t>
      </w:r>
    </w:p>
    <w:p w14:paraId="72F3DE43" w14:textId="66B3B34D" w:rsidR="00D7504E" w:rsidRPr="009D21AD" w:rsidRDefault="003F6974" w:rsidP="003F69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 xml:space="preserve">En su escrito de octubre de 2022 el Estado </w:t>
      </w:r>
      <w:r w:rsidR="00415793" w:rsidRPr="009D21AD">
        <w:rPr>
          <w:sz w:val="20"/>
          <w:szCs w:val="20"/>
          <w:lang w:val="es-419"/>
        </w:rPr>
        <w:t>añade</w:t>
      </w:r>
      <w:r w:rsidRPr="009D21AD">
        <w:rPr>
          <w:sz w:val="20"/>
          <w:szCs w:val="20"/>
          <w:lang w:val="es-419"/>
        </w:rPr>
        <w:t xml:space="preserve"> que el proceso penal se </w:t>
      </w:r>
      <w:r w:rsidR="00D91B3D" w:rsidRPr="009D21AD">
        <w:rPr>
          <w:sz w:val="20"/>
          <w:szCs w:val="20"/>
          <w:lang w:val="es-419"/>
        </w:rPr>
        <w:t>encuentra</w:t>
      </w:r>
      <w:r w:rsidRPr="009D21AD">
        <w:rPr>
          <w:sz w:val="20"/>
          <w:szCs w:val="20"/>
          <w:lang w:val="es-419"/>
        </w:rPr>
        <w:t xml:space="preserve"> a cargo de la Fiscalía 45 Especializada </w:t>
      </w:r>
      <w:r w:rsidR="00B9773B" w:rsidRPr="009D21AD">
        <w:rPr>
          <w:sz w:val="20"/>
          <w:szCs w:val="20"/>
          <w:lang w:val="es-419"/>
        </w:rPr>
        <w:t>en</w:t>
      </w:r>
      <w:r w:rsidRPr="009D21AD">
        <w:rPr>
          <w:sz w:val="20"/>
          <w:szCs w:val="20"/>
          <w:lang w:val="es-419"/>
        </w:rPr>
        <w:t xml:space="preserve"> Violaciones a los Derechos Humanos</w:t>
      </w:r>
      <w:r w:rsidR="00B9773B" w:rsidRPr="009D21AD">
        <w:rPr>
          <w:sz w:val="20"/>
          <w:szCs w:val="20"/>
          <w:lang w:val="es-419"/>
        </w:rPr>
        <w:t xml:space="preserve"> (</w:t>
      </w:r>
      <w:r w:rsidRPr="009D21AD">
        <w:rPr>
          <w:sz w:val="20"/>
          <w:szCs w:val="20"/>
          <w:lang w:val="es-419"/>
        </w:rPr>
        <w:t>radicado 5776</w:t>
      </w:r>
      <w:r w:rsidR="00B9773B" w:rsidRPr="009D21AD">
        <w:rPr>
          <w:sz w:val="20"/>
          <w:szCs w:val="20"/>
          <w:lang w:val="es-419"/>
        </w:rPr>
        <w:t>)</w:t>
      </w:r>
      <w:r w:rsidRPr="009D21AD">
        <w:rPr>
          <w:sz w:val="20"/>
          <w:szCs w:val="20"/>
          <w:lang w:val="es-419"/>
        </w:rPr>
        <w:t xml:space="preserve"> en etapa de instrucción.</w:t>
      </w:r>
    </w:p>
    <w:p w14:paraId="40C03DDB" w14:textId="5D17265E" w:rsidR="00D7504E" w:rsidRPr="009D21AD" w:rsidRDefault="003F6974" w:rsidP="003F69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 xml:space="preserve">Asimismo, el Estado presenta información sobre la acción de reparación directa interpuesta por los familiares de </w:t>
      </w:r>
      <w:r w:rsidRPr="009D21AD">
        <w:rPr>
          <w:sz w:val="20"/>
          <w:szCs w:val="20"/>
          <w:lang w:val="es-ES"/>
        </w:rPr>
        <w:t xml:space="preserve">Oscar Andrés </w:t>
      </w:r>
      <w:r w:rsidR="00220F8C" w:rsidRPr="009D21AD">
        <w:rPr>
          <w:sz w:val="20"/>
          <w:szCs w:val="20"/>
          <w:lang w:val="es-ES"/>
        </w:rPr>
        <w:t>Bedoya</w:t>
      </w:r>
      <w:r w:rsidRPr="009D21AD">
        <w:rPr>
          <w:sz w:val="20"/>
          <w:szCs w:val="20"/>
          <w:lang w:val="es-ES"/>
        </w:rPr>
        <w:t xml:space="preserve"> Arango, Diego Armando Ocampo Pavas, José Luis Cardona Castro, Juan Cástulo Jiménez Gutiérrez y Diego Alexander Arango Jaramillo.</w:t>
      </w:r>
      <w:r w:rsidR="00B839E1" w:rsidRPr="009D21AD">
        <w:rPr>
          <w:sz w:val="20"/>
          <w:szCs w:val="20"/>
          <w:lang w:val="es-ES"/>
        </w:rPr>
        <w:t xml:space="preserve"> Dicha acción, fue fallada por el Juzgado </w:t>
      </w:r>
      <w:r w:rsidR="00B9773B" w:rsidRPr="009D21AD">
        <w:rPr>
          <w:sz w:val="20"/>
          <w:szCs w:val="20"/>
          <w:lang w:val="es-ES"/>
        </w:rPr>
        <w:t>28º</w:t>
      </w:r>
      <w:r w:rsidR="00B839E1" w:rsidRPr="009D21AD">
        <w:rPr>
          <w:sz w:val="20"/>
          <w:szCs w:val="20"/>
          <w:lang w:val="es-ES"/>
        </w:rPr>
        <w:t xml:space="preserve"> Contencioso administrativo de Circuito de Medellín, el 27 de febrero de 2009, negando las pretensiones de la demanda por considerar que el daño antijurídico sobre el cual versaba el proceso no era atribuible al Estado. Esta decisión fue confirmada en el fallo de segunda instancia del Tribunal Administrativo de Antioquia, Sala Séptima de Decisión, el 7 de diciembre de 2011.</w:t>
      </w:r>
    </w:p>
    <w:p w14:paraId="6B466593" w14:textId="23EAD031" w:rsidR="00B83158" w:rsidRPr="009D21AD" w:rsidRDefault="00B83158" w:rsidP="003A4D4D">
      <w:pPr>
        <w:spacing w:before="240" w:after="240"/>
        <w:ind w:firstLine="720"/>
        <w:jc w:val="both"/>
        <w:rPr>
          <w:rFonts w:ascii="Cambria" w:hAnsi="Cambria"/>
          <w:sz w:val="20"/>
          <w:szCs w:val="20"/>
          <w:lang w:val="es-419"/>
        </w:rPr>
      </w:pPr>
      <w:r w:rsidRPr="009D21AD">
        <w:rPr>
          <w:rFonts w:asciiTheme="majorHAnsi" w:hAnsiTheme="majorHAnsi"/>
          <w:b/>
          <w:sz w:val="20"/>
          <w:szCs w:val="20"/>
          <w:lang w:val="es-419"/>
        </w:rPr>
        <w:t xml:space="preserve">VI. </w:t>
      </w:r>
      <w:r w:rsidRPr="009D21AD">
        <w:rPr>
          <w:rFonts w:asciiTheme="majorHAnsi" w:hAnsiTheme="majorHAnsi"/>
          <w:b/>
          <w:sz w:val="20"/>
          <w:szCs w:val="20"/>
          <w:lang w:val="es-419"/>
        </w:rPr>
        <w:tab/>
      </w:r>
      <w:r w:rsidRPr="009D21AD">
        <w:rPr>
          <w:rFonts w:asciiTheme="majorHAnsi" w:hAnsiTheme="majorHAnsi"/>
          <w:b/>
          <w:bCs/>
          <w:sz w:val="20"/>
          <w:szCs w:val="20"/>
          <w:lang w:val="es-419"/>
        </w:rPr>
        <w:t xml:space="preserve">ANÁLISIS DE </w:t>
      </w:r>
      <w:r w:rsidRPr="009D21AD">
        <w:rPr>
          <w:rFonts w:asciiTheme="majorHAnsi" w:hAnsiTheme="majorHAnsi"/>
          <w:b/>
          <w:sz w:val="20"/>
          <w:szCs w:val="20"/>
          <w:lang w:val="es-419"/>
        </w:rPr>
        <w:t>AGOTAMIENTO DE LOS RECURSOS INTERNOS Y PLAZO DE PRESENTACIÓN</w:t>
      </w:r>
      <w:r w:rsidRPr="009D21AD">
        <w:rPr>
          <w:rFonts w:asciiTheme="majorHAnsi" w:eastAsia="Cambria" w:hAnsiTheme="majorHAnsi" w:cs="Cambria"/>
          <w:b/>
          <w:bCs/>
          <w:color w:val="000000"/>
          <w:sz w:val="20"/>
          <w:szCs w:val="20"/>
          <w:u w:color="000000"/>
          <w:lang w:val="es-419" w:eastAsia="es-ES"/>
        </w:rPr>
        <w:t xml:space="preserve"> </w:t>
      </w:r>
    </w:p>
    <w:p w14:paraId="638B42A9" w14:textId="51A1A001" w:rsidR="00B839E1" w:rsidRPr="009D21AD" w:rsidRDefault="00AD11B8" w:rsidP="00A03C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El Estado de Colombia sostiene que los recursos internos no se han agotado, ya que el proceso penal aún se encontraba en etapa de instrucción.</w:t>
      </w:r>
      <w:r w:rsidR="00A96AD2" w:rsidRPr="009D21AD">
        <w:rPr>
          <w:sz w:val="20"/>
          <w:szCs w:val="20"/>
          <w:lang w:val="es-419"/>
        </w:rPr>
        <w:t xml:space="preserve"> Asimismo, </w:t>
      </w:r>
      <w:r w:rsidR="001F3629" w:rsidRPr="009D21AD">
        <w:rPr>
          <w:sz w:val="20"/>
          <w:szCs w:val="20"/>
          <w:lang w:val="es-419"/>
        </w:rPr>
        <w:t xml:space="preserve">alega </w:t>
      </w:r>
      <w:r w:rsidR="00A96AD2" w:rsidRPr="009D21AD">
        <w:rPr>
          <w:sz w:val="20"/>
          <w:szCs w:val="20"/>
          <w:lang w:val="es-419"/>
        </w:rPr>
        <w:t>la complejidad de la investigación;</w:t>
      </w:r>
      <w:r w:rsidR="003873A3" w:rsidRPr="009D21AD">
        <w:rPr>
          <w:sz w:val="20"/>
          <w:szCs w:val="20"/>
          <w:lang w:val="es-419"/>
        </w:rPr>
        <w:t xml:space="preserve"> y que</w:t>
      </w:r>
      <w:r w:rsidR="00A96AD2" w:rsidRPr="009D21AD">
        <w:rPr>
          <w:sz w:val="20"/>
          <w:szCs w:val="20"/>
          <w:lang w:val="es-419"/>
        </w:rPr>
        <w:t xml:space="preserve"> en la zona existía un alto predominio de las autodefensas ilegales, cuya directriz era eliminar a guerrilleros o colaboradores de la subversión, lo que amedrentaba a los pobladores, razón por la cual no acudían a las autoridades judiciales, dificultando las labores investigativas.</w:t>
      </w:r>
      <w:r w:rsidRPr="009D21AD">
        <w:rPr>
          <w:sz w:val="20"/>
          <w:szCs w:val="20"/>
          <w:lang w:val="es-419"/>
        </w:rPr>
        <w:t xml:space="preserve"> Por otro lado, argumenta que la acción de reparación directa sería el recurso adecuado y efectivo para declarar la presunta responsabilidad del Estado por los hechos.</w:t>
      </w:r>
    </w:p>
    <w:p w14:paraId="3E4A7BD0" w14:textId="4081898E" w:rsidR="001009D5" w:rsidRPr="009D21AD" w:rsidRDefault="006A2CE3" w:rsidP="0039099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 xml:space="preserve">Para el análisis del agotamiento de los recursos domésticos en el presente asunto, la CIDH recuerda que a efectos de identificar los recursos idóneos que debieron haber sido agotados por un peticionario antes de recurrir al Sistema Interamericano, el primer paso metodológico del análisis consiste en deslindar los </w:t>
      </w:r>
      <w:r w:rsidRPr="009D21AD">
        <w:rPr>
          <w:sz w:val="20"/>
          <w:szCs w:val="20"/>
          <w:lang w:val="es-419"/>
        </w:rPr>
        <w:lastRenderedPageBreak/>
        <w:t>distintos reclamos formulados en la correspondiente petición para proceder a su examen individualizado</w:t>
      </w:r>
      <w:r w:rsidRPr="009D21AD">
        <w:rPr>
          <w:bCs/>
          <w:sz w:val="20"/>
          <w:szCs w:val="20"/>
          <w:vertAlign w:val="superscript"/>
          <w:lang w:val="es-419"/>
        </w:rPr>
        <w:footnoteReference w:id="5"/>
      </w:r>
      <w:r w:rsidRPr="009D21AD">
        <w:rPr>
          <w:sz w:val="20"/>
          <w:szCs w:val="20"/>
          <w:lang w:val="es-419"/>
        </w:rPr>
        <w:t>. En el presente</w:t>
      </w:r>
      <w:r w:rsidR="003873A3" w:rsidRPr="009D21AD">
        <w:rPr>
          <w:sz w:val="20"/>
          <w:szCs w:val="20"/>
          <w:lang w:val="es-419"/>
        </w:rPr>
        <w:t xml:space="preserve"> asunto</w:t>
      </w:r>
      <w:r w:rsidRPr="009D21AD">
        <w:rPr>
          <w:sz w:val="20"/>
          <w:szCs w:val="20"/>
          <w:lang w:val="es-419"/>
        </w:rPr>
        <w:t xml:space="preserve">, se observa que los reclamos de la parte peticionaria </w:t>
      </w:r>
      <w:r w:rsidR="00AD11B8" w:rsidRPr="009D21AD">
        <w:rPr>
          <w:sz w:val="20"/>
          <w:szCs w:val="20"/>
          <w:lang w:val="es-419"/>
        </w:rPr>
        <w:t>se refieren</w:t>
      </w:r>
      <w:r w:rsidR="003873A3" w:rsidRPr="009D21AD">
        <w:rPr>
          <w:sz w:val="20"/>
          <w:szCs w:val="20"/>
          <w:lang w:val="es-419"/>
        </w:rPr>
        <w:t>:</w:t>
      </w:r>
      <w:r w:rsidR="00AD11B8" w:rsidRPr="009D21AD">
        <w:rPr>
          <w:sz w:val="20"/>
          <w:szCs w:val="20"/>
          <w:lang w:val="es-419"/>
        </w:rPr>
        <w:t xml:space="preserve"> </w:t>
      </w:r>
      <w:r w:rsidR="001009D5" w:rsidRPr="009D21AD">
        <w:rPr>
          <w:sz w:val="20"/>
          <w:szCs w:val="20"/>
          <w:lang w:val="es-419"/>
        </w:rPr>
        <w:t xml:space="preserve">i) </w:t>
      </w:r>
      <w:r w:rsidR="00AD11B8" w:rsidRPr="009D21AD">
        <w:rPr>
          <w:sz w:val="20"/>
          <w:szCs w:val="20"/>
          <w:lang w:val="es-419"/>
        </w:rPr>
        <w:t>a</w:t>
      </w:r>
      <w:r w:rsidRPr="009D21AD">
        <w:rPr>
          <w:sz w:val="20"/>
          <w:szCs w:val="20"/>
          <w:lang w:val="es-419"/>
        </w:rPr>
        <w:t xml:space="preserve"> la</w:t>
      </w:r>
      <w:r w:rsidR="001009D5" w:rsidRPr="009D21AD">
        <w:rPr>
          <w:sz w:val="20"/>
          <w:szCs w:val="20"/>
          <w:lang w:val="es-419"/>
        </w:rPr>
        <w:t xml:space="preserve"> posible participación </w:t>
      </w:r>
      <w:r w:rsidR="003873A3" w:rsidRPr="009D21AD">
        <w:rPr>
          <w:sz w:val="20"/>
          <w:szCs w:val="20"/>
          <w:lang w:val="es-419"/>
        </w:rPr>
        <w:t xml:space="preserve">en </w:t>
      </w:r>
      <w:r w:rsidR="001009D5" w:rsidRPr="009D21AD">
        <w:rPr>
          <w:sz w:val="20"/>
          <w:szCs w:val="20"/>
          <w:lang w:val="es-419"/>
        </w:rPr>
        <w:t xml:space="preserve">las muertes de las presuntas víctimas, sea porque que el grupo armado responsable por los disparos vestía, según la peticionaria, prendas de uso privativo de las fuerzas armadas, sea porque la localidad donde </w:t>
      </w:r>
      <w:r w:rsidR="003873A3" w:rsidRPr="009D21AD">
        <w:rPr>
          <w:sz w:val="20"/>
          <w:szCs w:val="20"/>
          <w:lang w:val="es-419"/>
        </w:rPr>
        <w:t>ocurrieron</w:t>
      </w:r>
      <w:r w:rsidR="001009D5" w:rsidRPr="009D21AD">
        <w:rPr>
          <w:sz w:val="20"/>
          <w:szCs w:val="20"/>
          <w:lang w:val="es-419"/>
        </w:rPr>
        <w:t xml:space="preserve"> los hechos no contaba con patrulla y protección estatal; </w:t>
      </w:r>
      <w:r w:rsidR="007650C4" w:rsidRPr="009D21AD">
        <w:rPr>
          <w:sz w:val="20"/>
          <w:szCs w:val="20"/>
          <w:lang w:val="es-419"/>
        </w:rPr>
        <w:t>y</w:t>
      </w:r>
      <w:r w:rsidR="001009D5" w:rsidRPr="009D21AD">
        <w:rPr>
          <w:sz w:val="20"/>
          <w:szCs w:val="20"/>
          <w:lang w:val="es-419"/>
        </w:rPr>
        <w:t xml:space="preserve"> ii) a la </w:t>
      </w:r>
      <w:r w:rsidRPr="009D21AD">
        <w:rPr>
          <w:sz w:val="20"/>
          <w:szCs w:val="20"/>
          <w:lang w:val="es-419"/>
        </w:rPr>
        <w:t>falta de investigación, juzgamiento y sanción de todos los responsables, materiales e intelectuales, por parte de la justicia penal.</w:t>
      </w:r>
      <w:r w:rsidR="00091A11" w:rsidRPr="009D21AD">
        <w:rPr>
          <w:sz w:val="20"/>
          <w:szCs w:val="20"/>
          <w:lang w:val="es-419"/>
        </w:rPr>
        <w:t xml:space="preserve"> </w:t>
      </w:r>
    </w:p>
    <w:p w14:paraId="65E1D335" w14:textId="58D35400" w:rsidR="00673C7E" w:rsidRPr="009D21AD" w:rsidRDefault="006A2CE3" w:rsidP="0039099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A este respecto, 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9D21AD">
        <w:rPr>
          <w:bCs/>
          <w:sz w:val="20"/>
          <w:szCs w:val="20"/>
          <w:vertAlign w:val="superscript"/>
          <w:lang w:val="es-419"/>
        </w:rPr>
        <w:footnoteReference w:id="6"/>
      </w:r>
      <w:r w:rsidRPr="009D21AD">
        <w:rPr>
          <w:sz w:val="20"/>
          <w:szCs w:val="20"/>
          <w:lang w:val="es-419"/>
        </w:rPr>
        <w:t>;</w:t>
      </w:r>
      <w:r w:rsidR="00274B08" w:rsidRPr="009D21AD">
        <w:rPr>
          <w:sz w:val="20"/>
          <w:szCs w:val="20"/>
          <w:lang w:val="es-419"/>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9D21AD">
        <w:rPr>
          <w:bCs/>
          <w:sz w:val="20"/>
          <w:szCs w:val="20"/>
          <w:vertAlign w:val="superscript"/>
          <w:lang w:val="es-419"/>
        </w:rPr>
        <w:footnoteReference w:id="7"/>
      </w:r>
      <w:r w:rsidR="00274B08" w:rsidRPr="009D21AD">
        <w:rPr>
          <w:sz w:val="20"/>
          <w:szCs w:val="20"/>
          <w:lang w:val="es-419"/>
        </w:rPr>
        <w:t xml:space="preserve">. </w:t>
      </w:r>
    </w:p>
    <w:p w14:paraId="55F51041" w14:textId="7ECE28BD" w:rsidR="00091A11" w:rsidRPr="009D21AD" w:rsidRDefault="00274B08" w:rsidP="00D8208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9D21AD">
        <w:rPr>
          <w:sz w:val="20"/>
          <w:szCs w:val="20"/>
          <w:lang w:val="es-419"/>
        </w:rPr>
        <w:t>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Pr="009D21AD">
        <w:rPr>
          <w:bCs/>
          <w:sz w:val="20"/>
          <w:szCs w:val="20"/>
          <w:vertAlign w:val="superscript"/>
          <w:lang w:val="es-419"/>
        </w:rPr>
        <w:footnoteReference w:id="8"/>
      </w:r>
      <w:r w:rsidRPr="009D21AD">
        <w:rPr>
          <w:sz w:val="20"/>
          <w:szCs w:val="20"/>
          <w:lang w:val="es-419"/>
        </w:rPr>
        <w:t>.</w:t>
      </w:r>
      <w:r w:rsidR="00091A11" w:rsidRPr="009D21AD">
        <w:rPr>
          <w:sz w:val="20"/>
          <w:szCs w:val="20"/>
          <w:lang w:val="es-419"/>
        </w:rPr>
        <w:t xml:space="preserve"> </w:t>
      </w:r>
      <w:r w:rsidR="00F17870" w:rsidRPr="009D21AD">
        <w:rPr>
          <w:sz w:val="20"/>
          <w:szCs w:val="20"/>
          <w:lang w:val="es-419"/>
        </w:rPr>
        <w:t xml:space="preserve">En el presente caso, </w:t>
      </w:r>
      <w:r w:rsidR="00FA641A" w:rsidRPr="009D21AD">
        <w:rPr>
          <w:sz w:val="20"/>
          <w:szCs w:val="20"/>
          <w:lang w:val="es-419"/>
        </w:rPr>
        <w:t>de acuerdo con</w:t>
      </w:r>
      <w:r w:rsidR="00F17870" w:rsidRPr="009D21AD">
        <w:rPr>
          <w:sz w:val="20"/>
          <w:szCs w:val="20"/>
          <w:lang w:val="es-419"/>
        </w:rPr>
        <w:t xml:space="preserve"> la información proporcionada por las partes, la Comisión observa que tras la muerte de la</w:t>
      </w:r>
      <w:r w:rsidR="00AD11B8" w:rsidRPr="009D21AD">
        <w:rPr>
          <w:sz w:val="20"/>
          <w:szCs w:val="20"/>
          <w:lang w:val="es-419"/>
        </w:rPr>
        <w:t>s</w:t>
      </w:r>
      <w:r w:rsidR="00F17870" w:rsidRPr="009D21AD">
        <w:rPr>
          <w:sz w:val="20"/>
          <w:szCs w:val="20"/>
          <w:lang w:val="es-419"/>
        </w:rPr>
        <w:t xml:space="preserve"> presunta</w:t>
      </w:r>
      <w:r w:rsidR="00AD11B8" w:rsidRPr="009D21AD">
        <w:rPr>
          <w:sz w:val="20"/>
          <w:szCs w:val="20"/>
          <w:lang w:val="es-419"/>
        </w:rPr>
        <w:t>s</w:t>
      </w:r>
      <w:r w:rsidR="00F17870" w:rsidRPr="009D21AD">
        <w:rPr>
          <w:sz w:val="20"/>
          <w:szCs w:val="20"/>
          <w:lang w:val="es-419"/>
        </w:rPr>
        <w:t xml:space="preserve"> víctima</w:t>
      </w:r>
      <w:r w:rsidR="00AD11B8" w:rsidRPr="009D21AD">
        <w:rPr>
          <w:sz w:val="20"/>
          <w:szCs w:val="20"/>
          <w:lang w:val="es-419"/>
        </w:rPr>
        <w:t>s</w:t>
      </w:r>
      <w:r w:rsidR="00F17870" w:rsidRPr="009D21AD">
        <w:rPr>
          <w:sz w:val="20"/>
          <w:szCs w:val="20"/>
          <w:lang w:val="es-419"/>
        </w:rPr>
        <w:t xml:space="preserve"> </w:t>
      </w:r>
      <w:r w:rsidR="00AD11B8" w:rsidRPr="009D21AD">
        <w:rPr>
          <w:sz w:val="20"/>
          <w:szCs w:val="20"/>
          <w:lang w:val="es-419"/>
        </w:rPr>
        <w:t>el 26 de abril de 2000</w:t>
      </w:r>
      <w:r w:rsidR="00F17870" w:rsidRPr="009D21AD">
        <w:rPr>
          <w:sz w:val="20"/>
          <w:szCs w:val="20"/>
          <w:lang w:val="es-419"/>
        </w:rPr>
        <w:t>, se inició una investigación penal que continuaría hasta la actualidad</w:t>
      </w:r>
      <w:r w:rsidR="00AD11B8" w:rsidRPr="009D21AD">
        <w:rPr>
          <w:sz w:val="20"/>
          <w:szCs w:val="20"/>
          <w:lang w:val="es-419"/>
        </w:rPr>
        <w:t>, más de veintitrés años después</w:t>
      </w:r>
      <w:r w:rsidR="000B66F4" w:rsidRPr="009D21AD">
        <w:rPr>
          <w:sz w:val="20"/>
          <w:szCs w:val="20"/>
          <w:lang w:val="es-419"/>
        </w:rPr>
        <w:t xml:space="preserve">. </w:t>
      </w:r>
    </w:p>
    <w:p w14:paraId="5CDCD178" w14:textId="1D356D07" w:rsidR="00673C7E" w:rsidRPr="009D21AD" w:rsidRDefault="00091A11" w:rsidP="00091A11">
      <w:pPr>
        <w:pStyle w:val="ListParagraph"/>
        <w:widowControl w:val="0"/>
        <w:numPr>
          <w:ilvl w:val="0"/>
          <w:numId w:val="59"/>
        </w:numPr>
        <w:spacing w:before="240" w:after="240"/>
        <w:ind w:left="0" w:firstLine="720"/>
        <w:jc w:val="both"/>
        <w:rPr>
          <w:sz w:val="20"/>
          <w:szCs w:val="20"/>
          <w:lang w:val="es-419"/>
        </w:rPr>
      </w:pPr>
      <w:r w:rsidRPr="009D21AD">
        <w:rPr>
          <w:sz w:val="20"/>
          <w:szCs w:val="20"/>
          <w:lang w:val="es-419"/>
        </w:rPr>
        <w:t>L</w:t>
      </w:r>
      <w:r w:rsidR="00673C7E" w:rsidRPr="009D21AD">
        <w:rPr>
          <w:sz w:val="20"/>
          <w:szCs w:val="20"/>
          <w:lang w:val="es-419"/>
        </w:rPr>
        <w:t xml:space="preserve">a Comisión Interamericana </w:t>
      </w:r>
      <w:r w:rsidR="0070081D" w:rsidRPr="009D21AD">
        <w:rPr>
          <w:sz w:val="20"/>
          <w:szCs w:val="20"/>
          <w:lang w:val="es-419"/>
        </w:rPr>
        <w:t>toma nota del alegato estatal sobre la complejidad de las investigaciones debido al predominio de grupos paramilitares en la región, cuyo efecto aterrador habría dificultado la labor investigativa. Sin embargo, la Comisión también nota que no quedó claro cómo estos grupos obstaculizaron investigaciones específicas. Asimismo, el Estado no justifica por qué la eventual injerencia de grupos paramilitares podría justificar legalmente, de acuerdo con las normas aplicables del derecho internacional de los derechos humanos, cualquier retraso en el cumplimiento del deber de investigar y sancionar</w:t>
      </w:r>
      <w:r w:rsidR="001009D5" w:rsidRPr="009D21AD">
        <w:rPr>
          <w:sz w:val="20"/>
          <w:szCs w:val="20"/>
          <w:lang w:val="es-419"/>
        </w:rPr>
        <w:t>. Así,</w:t>
      </w:r>
      <w:r w:rsidRPr="009D21AD">
        <w:rPr>
          <w:sz w:val="20"/>
          <w:szCs w:val="20"/>
          <w:lang w:val="es-419"/>
        </w:rPr>
        <w:t xml:space="preserve"> </w:t>
      </w:r>
      <w:r w:rsidR="00FA641A" w:rsidRPr="009D21AD">
        <w:rPr>
          <w:sz w:val="20"/>
          <w:szCs w:val="20"/>
          <w:lang w:val="es-419"/>
        </w:rPr>
        <w:t>la CIDH no observa</w:t>
      </w:r>
      <w:r w:rsidR="000970F4" w:rsidRPr="009D21AD">
        <w:rPr>
          <w:sz w:val="20"/>
          <w:szCs w:val="20"/>
          <w:lang w:val="es-419"/>
        </w:rPr>
        <w:t xml:space="preserve"> </w:t>
      </w:r>
      <w:r w:rsidR="00FA641A" w:rsidRPr="009D21AD">
        <w:rPr>
          <w:sz w:val="20"/>
          <w:szCs w:val="20"/>
          <w:lang w:val="es-419"/>
        </w:rPr>
        <w:t>elementos suficientes para considerar</w:t>
      </w:r>
      <w:r w:rsidR="000970F4" w:rsidRPr="009D21AD">
        <w:rPr>
          <w:sz w:val="20"/>
          <w:szCs w:val="20"/>
          <w:lang w:val="es-419"/>
        </w:rPr>
        <w:t xml:space="preserve"> </w:t>
      </w:r>
      <w:r w:rsidR="00FA641A" w:rsidRPr="009D21AD">
        <w:rPr>
          <w:sz w:val="20"/>
          <w:szCs w:val="20"/>
          <w:lang w:val="es-419"/>
        </w:rPr>
        <w:t>que</w:t>
      </w:r>
      <w:r w:rsidRPr="009D21AD">
        <w:rPr>
          <w:sz w:val="20"/>
          <w:szCs w:val="20"/>
          <w:lang w:val="es-419"/>
        </w:rPr>
        <w:t xml:space="preserve"> la duración del proceso penal</w:t>
      </w:r>
      <w:r w:rsidR="00FA641A" w:rsidRPr="009D21AD">
        <w:rPr>
          <w:sz w:val="20"/>
          <w:szCs w:val="20"/>
          <w:lang w:val="es-419"/>
        </w:rPr>
        <w:t>, fundamentalmente las investigaciones,</w:t>
      </w:r>
      <w:r w:rsidRPr="009D21AD">
        <w:rPr>
          <w:sz w:val="20"/>
          <w:szCs w:val="20"/>
          <w:lang w:val="es-419"/>
        </w:rPr>
        <w:t xml:space="preserve"> pued</w:t>
      </w:r>
      <w:r w:rsidR="00FA641A" w:rsidRPr="009D21AD">
        <w:rPr>
          <w:sz w:val="20"/>
          <w:szCs w:val="20"/>
          <w:lang w:val="es-419"/>
        </w:rPr>
        <w:t>a</w:t>
      </w:r>
      <w:r w:rsidRPr="009D21AD">
        <w:rPr>
          <w:sz w:val="20"/>
          <w:szCs w:val="20"/>
          <w:lang w:val="es-419"/>
        </w:rPr>
        <w:t xml:space="preserve"> </w:t>
      </w:r>
      <w:r w:rsidR="00FA641A" w:rsidRPr="009D21AD">
        <w:rPr>
          <w:sz w:val="20"/>
          <w:szCs w:val="20"/>
          <w:lang w:val="es-419"/>
        </w:rPr>
        <w:t>estar</w:t>
      </w:r>
      <w:r w:rsidRPr="009D21AD">
        <w:rPr>
          <w:sz w:val="20"/>
          <w:szCs w:val="20"/>
          <w:lang w:val="es-419"/>
        </w:rPr>
        <w:t xml:space="preserve"> de algún modo justificada. Ante el expuesto, l</w:t>
      </w:r>
      <w:r w:rsidR="00673C7E" w:rsidRPr="009D21AD">
        <w:rPr>
          <w:sz w:val="20"/>
          <w:szCs w:val="20"/>
          <w:lang w:val="es-419"/>
        </w:rPr>
        <w:t>a CIDH considera aplicable</w:t>
      </w:r>
      <w:r w:rsidRPr="009D21AD">
        <w:rPr>
          <w:sz w:val="20"/>
          <w:szCs w:val="20"/>
          <w:lang w:val="es-419"/>
        </w:rPr>
        <w:t xml:space="preserve"> </w:t>
      </w:r>
      <w:r w:rsidR="00673C7E" w:rsidRPr="009D21AD">
        <w:rPr>
          <w:sz w:val="20"/>
          <w:szCs w:val="20"/>
          <w:lang w:val="es-419"/>
        </w:rPr>
        <w:t xml:space="preserve">la excepción al deber de agotamiento de los recursos domésticos establecida en el artículo 46.2.c) de la Convención Americana. Además, tomando en cuenta, </w:t>
      </w:r>
      <w:r w:rsidR="00673C7E" w:rsidRPr="009D21AD">
        <w:rPr>
          <w:i/>
          <w:iCs/>
          <w:sz w:val="20"/>
          <w:szCs w:val="20"/>
          <w:lang w:val="es-419"/>
        </w:rPr>
        <w:t>inter alia</w:t>
      </w:r>
      <w:r w:rsidR="00673C7E" w:rsidRPr="009D21AD">
        <w:rPr>
          <w:sz w:val="20"/>
          <w:szCs w:val="20"/>
          <w:lang w:val="es-419"/>
        </w:rPr>
        <w:t xml:space="preserve">, que los hechos iniciales ocurrieron en el 2007; la presente petición fue recibida por la CIDH en </w:t>
      </w:r>
      <w:r w:rsidR="00AD11B8" w:rsidRPr="009D21AD">
        <w:rPr>
          <w:sz w:val="20"/>
          <w:szCs w:val="20"/>
          <w:lang w:val="es-419"/>
        </w:rPr>
        <w:t>julio de 2012</w:t>
      </w:r>
      <w:r w:rsidR="00673C7E" w:rsidRPr="009D21AD">
        <w:rPr>
          <w:sz w:val="20"/>
          <w:szCs w:val="20"/>
          <w:lang w:val="es-419"/>
        </w:rPr>
        <w:t xml:space="preserve">; </w:t>
      </w:r>
      <w:r w:rsidR="00FA641A" w:rsidRPr="009D21AD">
        <w:rPr>
          <w:sz w:val="20"/>
          <w:szCs w:val="20"/>
          <w:lang w:val="es-419"/>
        </w:rPr>
        <w:t xml:space="preserve">las investigaciones penales a nivel interno habrían continuado luego de la presentación de la petición a la CIDH; </w:t>
      </w:r>
      <w:r w:rsidR="00673C7E" w:rsidRPr="009D21AD">
        <w:rPr>
          <w:sz w:val="20"/>
          <w:szCs w:val="20"/>
          <w:lang w:val="es-419"/>
        </w:rPr>
        <w:t xml:space="preserve">y los efectos de la </w:t>
      </w:r>
      <w:r w:rsidR="00FA641A" w:rsidRPr="009D21AD">
        <w:rPr>
          <w:sz w:val="20"/>
          <w:szCs w:val="20"/>
          <w:lang w:val="es-419"/>
        </w:rPr>
        <w:t xml:space="preserve">alegada </w:t>
      </w:r>
      <w:r w:rsidR="00673C7E" w:rsidRPr="009D21AD">
        <w:rPr>
          <w:sz w:val="20"/>
          <w:szCs w:val="20"/>
          <w:lang w:val="es-419"/>
        </w:rPr>
        <w:t>impunidad se mantendrían hasta el presente, la Comisión considera que la petición fue recibida dentro de un término razonable, en el sentido del artículo 32.2 del Reglamento.</w:t>
      </w:r>
    </w:p>
    <w:p w14:paraId="5EAA79C8" w14:textId="77777777" w:rsidR="000A67B5" w:rsidRDefault="000A67B5" w:rsidP="003A4D4D">
      <w:pPr>
        <w:pStyle w:val="ListParagraph"/>
        <w:spacing w:before="240" w:after="240"/>
        <w:ind w:left="758"/>
        <w:jc w:val="both"/>
        <w:rPr>
          <w:rFonts w:asciiTheme="majorHAnsi" w:hAnsiTheme="majorHAnsi"/>
          <w:b/>
          <w:sz w:val="20"/>
          <w:szCs w:val="20"/>
          <w:lang w:val="es-419"/>
        </w:rPr>
      </w:pPr>
    </w:p>
    <w:p w14:paraId="2C613E54" w14:textId="3B203BFF" w:rsidR="00C9124E" w:rsidRPr="009D21AD" w:rsidRDefault="00C9124E" w:rsidP="003A4D4D">
      <w:pPr>
        <w:pStyle w:val="ListParagraph"/>
        <w:spacing w:before="240" w:after="240"/>
        <w:ind w:left="758"/>
        <w:jc w:val="both"/>
        <w:rPr>
          <w:rFonts w:asciiTheme="majorHAnsi" w:hAnsiTheme="majorHAnsi"/>
          <w:b/>
          <w:sz w:val="20"/>
          <w:szCs w:val="20"/>
          <w:lang w:val="es-419"/>
        </w:rPr>
      </w:pPr>
      <w:r w:rsidRPr="009D21AD">
        <w:rPr>
          <w:rFonts w:asciiTheme="majorHAnsi" w:hAnsiTheme="majorHAnsi"/>
          <w:b/>
          <w:sz w:val="20"/>
          <w:szCs w:val="20"/>
          <w:lang w:val="es-419"/>
        </w:rPr>
        <w:lastRenderedPageBreak/>
        <w:t xml:space="preserve">VII. </w:t>
      </w:r>
      <w:r w:rsidRPr="009D21AD">
        <w:rPr>
          <w:rFonts w:asciiTheme="majorHAnsi" w:hAnsiTheme="majorHAnsi"/>
          <w:b/>
          <w:sz w:val="20"/>
          <w:szCs w:val="20"/>
          <w:lang w:val="es-419"/>
        </w:rPr>
        <w:tab/>
      </w:r>
      <w:r w:rsidRPr="009D21AD">
        <w:rPr>
          <w:rFonts w:asciiTheme="majorHAnsi" w:hAnsiTheme="majorHAnsi"/>
          <w:b/>
          <w:bCs/>
          <w:sz w:val="20"/>
          <w:szCs w:val="20"/>
          <w:lang w:val="es-419"/>
        </w:rPr>
        <w:t>ANÁLISIS DE CARACTERIZACIÓN DE LOS HECHOS ALEGADOS</w:t>
      </w:r>
    </w:p>
    <w:p w14:paraId="7E3FC40B" w14:textId="4C61BC6A" w:rsidR="00E410B9" w:rsidRPr="009D21AD" w:rsidRDefault="00A654BB" w:rsidP="00A96A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
        </w:rPr>
      </w:pPr>
      <w:r w:rsidRPr="009D21AD">
        <w:rPr>
          <w:sz w:val="20"/>
          <w:szCs w:val="20"/>
          <w:lang w:val="es-ES"/>
        </w:rPr>
        <w:t>El Estado</w:t>
      </w:r>
      <w:r w:rsidR="00E410B9" w:rsidRPr="009D21AD">
        <w:rPr>
          <w:sz w:val="20"/>
          <w:szCs w:val="20"/>
          <w:lang w:val="es-ES"/>
        </w:rPr>
        <w:t xml:space="preserve"> sostiene que la posible responsabilidad estatal por los hechos ya ha sido objeto de análisis en el ámbito interno, especialmente en el curso </w:t>
      </w:r>
      <w:r w:rsidR="00A96AD2" w:rsidRPr="009D21AD">
        <w:rPr>
          <w:sz w:val="20"/>
          <w:szCs w:val="20"/>
          <w:lang w:val="es-ES"/>
        </w:rPr>
        <w:t>los procesos internos</w:t>
      </w:r>
      <w:r w:rsidR="00E410B9" w:rsidRPr="009D21AD">
        <w:rPr>
          <w:sz w:val="20"/>
          <w:szCs w:val="20"/>
          <w:lang w:val="es-ES"/>
        </w:rPr>
        <w:t xml:space="preserve">, sin que </w:t>
      </w:r>
      <w:r w:rsidR="006E543C" w:rsidRPr="009D21AD">
        <w:rPr>
          <w:sz w:val="20"/>
          <w:szCs w:val="20"/>
          <w:lang w:val="es-ES"/>
        </w:rPr>
        <w:t>los</w:t>
      </w:r>
      <w:r w:rsidR="00E410B9" w:rsidRPr="009D21AD">
        <w:rPr>
          <w:sz w:val="20"/>
          <w:szCs w:val="20"/>
          <w:lang w:val="es-ES"/>
        </w:rPr>
        <w:t xml:space="preserve"> demandantes lograran demostrar que los hechos serían atribuibles al Estado</w:t>
      </w:r>
      <w:r w:rsidR="00A96AD2" w:rsidRPr="009D21AD">
        <w:rPr>
          <w:sz w:val="20"/>
          <w:szCs w:val="20"/>
          <w:lang w:val="es-ES"/>
        </w:rPr>
        <w:t xml:space="preserve">. </w:t>
      </w:r>
      <w:r w:rsidR="00E410B9" w:rsidRPr="009D21AD">
        <w:rPr>
          <w:sz w:val="20"/>
          <w:szCs w:val="20"/>
          <w:lang w:val="es-ES"/>
        </w:rPr>
        <w:t>Así, considera que la petición es inadmisible conforme con lo dispuesto en el artículo 47.b de la Convención Americana, por configuración de la fórmula de la cuarta instancia.</w:t>
      </w:r>
    </w:p>
    <w:p w14:paraId="33238D5B" w14:textId="074BA927" w:rsidR="0026174C" w:rsidRPr="009D21AD" w:rsidRDefault="0026174C" w:rsidP="003A4D4D">
      <w:pPr>
        <w:pStyle w:val="ListParagraph"/>
        <w:widowControl w:val="0"/>
        <w:numPr>
          <w:ilvl w:val="0"/>
          <w:numId w:val="59"/>
        </w:numPr>
        <w:spacing w:before="240" w:after="240"/>
        <w:ind w:left="0" w:firstLine="720"/>
        <w:jc w:val="both"/>
        <w:rPr>
          <w:sz w:val="20"/>
          <w:szCs w:val="20"/>
          <w:lang w:val="es-419"/>
        </w:rPr>
      </w:pPr>
      <w:r w:rsidRPr="009D21AD">
        <w:rPr>
          <w:sz w:val="20"/>
          <w:szCs w:val="20"/>
          <w:lang w:val="es-419"/>
        </w:rPr>
        <w:t xml:space="preserve">La Comisión recuerda que el criterio de evaluación de la fase de admisibilidad difiere del que se utiliza para pronunciarse sobre el fondo de una petición; la Comisión debe realizar una evaluación </w:t>
      </w:r>
      <w:r w:rsidRPr="009D21AD">
        <w:rPr>
          <w:i/>
          <w:iCs/>
          <w:sz w:val="20"/>
          <w:szCs w:val="20"/>
          <w:lang w:val="es-419"/>
        </w:rPr>
        <w:t>prima facie</w:t>
      </w:r>
      <w:r w:rsidRPr="009D21AD">
        <w:rPr>
          <w:sz w:val="20"/>
          <w:szCs w:val="20"/>
          <w:lang w:val="es-419"/>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9D21AD">
        <w:rPr>
          <w:bCs/>
          <w:sz w:val="20"/>
          <w:szCs w:val="20"/>
          <w:vertAlign w:val="superscript"/>
          <w:lang w:val="es-419"/>
        </w:rPr>
        <w:footnoteReference w:id="9"/>
      </w:r>
      <w:r w:rsidRPr="009D21AD">
        <w:rPr>
          <w:sz w:val="20"/>
          <w:szCs w:val="20"/>
          <w:lang w:val="es-419"/>
        </w:rPr>
        <w:t>.</w:t>
      </w:r>
    </w:p>
    <w:p w14:paraId="4DEC9E39" w14:textId="7C2FB539" w:rsidR="00D51094" w:rsidRPr="009D21AD" w:rsidRDefault="0070081D" w:rsidP="00BA668A">
      <w:pPr>
        <w:pStyle w:val="ListParagraph"/>
        <w:widowControl w:val="0"/>
        <w:numPr>
          <w:ilvl w:val="0"/>
          <w:numId w:val="59"/>
        </w:numPr>
        <w:spacing w:before="240" w:after="240"/>
        <w:ind w:left="0" w:firstLine="720"/>
        <w:jc w:val="both"/>
        <w:rPr>
          <w:sz w:val="20"/>
          <w:szCs w:val="20"/>
          <w:lang w:val="es-419"/>
        </w:rPr>
      </w:pPr>
      <w:r w:rsidRPr="009D21AD">
        <w:rPr>
          <w:sz w:val="20"/>
          <w:szCs w:val="20"/>
          <w:lang w:val="es-419"/>
        </w:rPr>
        <w:t>La petición no es manifiestamente infundada en relación con las posibles violaciones del derecho a la vida por acción u omisión estatal. El grupo responsable por los disparos que victimaron las presuntas víctimas vestían, según la peticionaria, prendas de uso privativo de las fuerzas armadas, y este es uno de los elementos que pueden generar la comprobación de responsabilidad internacional del Estado por violaciones de derechos humanos. Adicionalmente, la responsabilidad puede activarse por la comprobación de los alegatos de la parte peticionaria con respecto a la omisión estatal de proteger las personas de los grupos armados que han victimado las presuntas víctimas</w:t>
      </w:r>
      <w:r w:rsidR="00415AE5" w:rsidRPr="009D21AD">
        <w:rPr>
          <w:bCs/>
          <w:sz w:val="20"/>
          <w:szCs w:val="20"/>
          <w:vertAlign w:val="superscript"/>
          <w:lang w:val="es-419"/>
        </w:rPr>
        <w:footnoteReference w:id="10"/>
      </w:r>
      <w:r w:rsidRPr="009D21AD">
        <w:rPr>
          <w:sz w:val="20"/>
          <w:szCs w:val="20"/>
          <w:lang w:val="es-419"/>
        </w:rPr>
        <w:t>.</w:t>
      </w:r>
      <w:r w:rsidR="00D51094" w:rsidRPr="009D21AD">
        <w:rPr>
          <w:sz w:val="20"/>
          <w:szCs w:val="20"/>
          <w:lang w:val="es-419"/>
        </w:rPr>
        <w:t xml:space="preserve"> </w:t>
      </w:r>
      <w:r w:rsidR="005F2DC5" w:rsidRPr="009D21AD">
        <w:rPr>
          <w:sz w:val="20"/>
          <w:szCs w:val="20"/>
          <w:lang w:val="es-419"/>
        </w:rPr>
        <w:t xml:space="preserve">El Estado indica que las muertes podrían haber sido causadas por paramilitares del Bloque Medio y Magdalena Medio. El análisis de fondo de la CIDH establecerá los hechos probados y, de ser el caso, </w:t>
      </w:r>
      <w:r w:rsidR="00C442C0" w:rsidRPr="009D21AD">
        <w:rPr>
          <w:sz w:val="20"/>
          <w:szCs w:val="20"/>
          <w:lang w:val="es-419"/>
        </w:rPr>
        <w:t>la eventual existencia de responsabilidad internacional del Estado</w:t>
      </w:r>
      <w:r w:rsidR="005F2DC5" w:rsidRPr="009D21AD">
        <w:rPr>
          <w:sz w:val="20"/>
          <w:szCs w:val="20"/>
          <w:lang w:val="es-419"/>
        </w:rPr>
        <w:t>.</w:t>
      </w:r>
    </w:p>
    <w:p w14:paraId="1012B60B" w14:textId="03880FBA" w:rsidR="0026174C" w:rsidRPr="009D21AD" w:rsidRDefault="0026174C" w:rsidP="00E410B9">
      <w:pPr>
        <w:pStyle w:val="ListParagraph"/>
        <w:widowControl w:val="0"/>
        <w:numPr>
          <w:ilvl w:val="0"/>
          <w:numId w:val="59"/>
        </w:numPr>
        <w:spacing w:before="240" w:after="240"/>
        <w:ind w:left="0" w:firstLine="720"/>
        <w:jc w:val="both"/>
        <w:rPr>
          <w:sz w:val="20"/>
          <w:szCs w:val="20"/>
          <w:lang w:val="es-419"/>
        </w:rPr>
      </w:pPr>
      <w:r w:rsidRPr="009D21AD">
        <w:rPr>
          <w:sz w:val="20"/>
          <w:szCs w:val="20"/>
          <w:lang w:val="es-419"/>
        </w:rPr>
        <w:t xml:space="preserve">En atención a las consideraciones precedentes, la Comisión Interamericana estima que las alegaciones de la parte peticionaria no resultan manifiestamente infundadas y podrían constituir, </w:t>
      </w:r>
      <w:r w:rsidRPr="009D21AD">
        <w:rPr>
          <w:i/>
          <w:iCs/>
          <w:sz w:val="20"/>
          <w:szCs w:val="20"/>
          <w:lang w:val="es-419"/>
        </w:rPr>
        <w:t>prima facie</w:t>
      </w:r>
      <w:r w:rsidRPr="009D21AD">
        <w:rPr>
          <w:sz w:val="20"/>
          <w:szCs w:val="20"/>
          <w:lang w:val="es-419"/>
        </w:rPr>
        <w:t xml:space="preserve">, violaciones a los artículos 4 (vida), 5 (integridad personal), 8 (garantías judiciales), </w:t>
      </w:r>
      <w:r w:rsidR="00D51094" w:rsidRPr="009D21AD">
        <w:rPr>
          <w:sz w:val="20"/>
          <w:szCs w:val="20"/>
          <w:lang w:val="es-419"/>
        </w:rPr>
        <w:t>19 (derechos del niño),</w:t>
      </w:r>
      <w:r w:rsidRPr="009D21AD">
        <w:rPr>
          <w:sz w:val="20"/>
          <w:szCs w:val="20"/>
          <w:lang w:val="es-419"/>
        </w:rPr>
        <w:t xml:space="preserve"> y 25 (protección judicial) de la Convención</w:t>
      </w:r>
      <w:r w:rsidR="00313449">
        <w:rPr>
          <w:sz w:val="20"/>
          <w:szCs w:val="20"/>
          <w:lang w:val="es-419"/>
        </w:rPr>
        <w:t xml:space="preserve"> Americana</w:t>
      </w:r>
      <w:r w:rsidRPr="009D21AD">
        <w:rPr>
          <w:sz w:val="20"/>
          <w:szCs w:val="20"/>
          <w:lang w:val="es-419"/>
        </w:rPr>
        <w:t xml:space="preserve">, en conexión con su artículo 1.1 (obligación de respetar los derechos) </w:t>
      </w:r>
      <w:r w:rsidR="000B4054" w:rsidRPr="009D21AD">
        <w:rPr>
          <w:sz w:val="20"/>
          <w:szCs w:val="20"/>
          <w:lang w:val="es-419"/>
        </w:rPr>
        <w:t>en perjuicio de las presuntas víctimas y sus familiares, en los términos del presente informe.</w:t>
      </w:r>
    </w:p>
    <w:p w14:paraId="24D2DCE4" w14:textId="44176611" w:rsidR="00A8075F" w:rsidRPr="009D21AD" w:rsidRDefault="00A8075F" w:rsidP="00E410B9">
      <w:pPr>
        <w:pStyle w:val="ListParagraph"/>
        <w:widowControl w:val="0"/>
        <w:numPr>
          <w:ilvl w:val="0"/>
          <w:numId w:val="59"/>
        </w:numPr>
        <w:spacing w:before="240" w:after="240"/>
        <w:ind w:left="0" w:firstLine="720"/>
        <w:jc w:val="both"/>
        <w:rPr>
          <w:sz w:val="20"/>
          <w:szCs w:val="20"/>
          <w:lang w:val="es-419"/>
        </w:rPr>
      </w:pPr>
      <w:r w:rsidRPr="009D21AD">
        <w:rPr>
          <w:sz w:val="20"/>
          <w:szCs w:val="20"/>
          <w:lang w:val="es-ES"/>
        </w:rPr>
        <w:t xml:space="preserve">En cuanto al reclamo sobre la presunta violación de los artículos 21 (propiedad privada) y 24 (igualdad ante la ley) de la Convención Americana, y </w:t>
      </w:r>
      <w:r w:rsidRPr="009D21AD">
        <w:rPr>
          <w:bCs/>
          <w:sz w:val="20"/>
          <w:szCs w:val="20"/>
          <w:lang w:val="es-419" w:bidi="es-ES"/>
        </w:rPr>
        <w:t>1 y 8 de la Convención Interamericana para Prevenir y Sancionar la Tortura,</w:t>
      </w:r>
      <w:r w:rsidRPr="009D21AD">
        <w:rPr>
          <w:sz w:val="20"/>
          <w:szCs w:val="20"/>
          <w:lang w:val="es-ES"/>
        </w:rPr>
        <w:t xml:space="preserve"> la Comisión observa que la peticionaria no ha ofrecido alegatos o sustento suficiente que permita considerar </w:t>
      </w:r>
      <w:r w:rsidRPr="009D21AD">
        <w:rPr>
          <w:i/>
          <w:iCs/>
          <w:sz w:val="20"/>
          <w:szCs w:val="20"/>
          <w:lang w:val="es-ES"/>
        </w:rPr>
        <w:t>prima facie</w:t>
      </w:r>
      <w:r w:rsidRPr="009D21AD">
        <w:rPr>
          <w:sz w:val="20"/>
          <w:szCs w:val="20"/>
          <w:lang w:val="es-ES"/>
        </w:rPr>
        <w:t xml:space="preserve"> su posible violación.</w:t>
      </w:r>
      <w:r w:rsidRPr="009D21AD">
        <w:rPr>
          <w:sz w:val="20"/>
          <w:szCs w:val="20"/>
          <w:lang w:val="es-419"/>
        </w:rPr>
        <w:t xml:space="preserve"> </w:t>
      </w:r>
    </w:p>
    <w:p w14:paraId="46CBACD8" w14:textId="27A7B033" w:rsidR="00A654BB" w:rsidRPr="009D21AD" w:rsidRDefault="0067340A" w:rsidP="00091A11">
      <w:pPr>
        <w:pStyle w:val="ListParagraph"/>
        <w:widowControl w:val="0"/>
        <w:numPr>
          <w:ilvl w:val="0"/>
          <w:numId w:val="59"/>
        </w:numPr>
        <w:spacing w:before="240" w:after="240"/>
        <w:ind w:left="0" w:firstLine="720"/>
        <w:jc w:val="both"/>
        <w:rPr>
          <w:sz w:val="20"/>
          <w:szCs w:val="20"/>
          <w:lang w:val="es-419"/>
        </w:rPr>
      </w:pPr>
      <w:r w:rsidRPr="009D21AD">
        <w:rPr>
          <w:sz w:val="20"/>
          <w:szCs w:val="20"/>
          <w:lang w:val="es-ES"/>
        </w:rPr>
        <w:t xml:space="preserve">Con </w:t>
      </w:r>
      <w:r w:rsidR="00A654BB" w:rsidRPr="009D21AD">
        <w:rPr>
          <w:sz w:val="20"/>
          <w:szCs w:val="20"/>
          <w:lang w:val="es-ES"/>
        </w:rPr>
        <w:t>respecto a los alegatos del Estado referidos a la fórmula de cuarta instancia, la Comisión reconoce que no es competente para revisar las decisiones adoptada por autoridades domésticas que actúen en la esfera de su competencia y apliquen el debido proceso y las garantías judiciales. No obstante, reitera que</w:t>
      </w:r>
      <w:r w:rsidR="000F0246" w:rsidRPr="009D21AD">
        <w:rPr>
          <w:sz w:val="20"/>
          <w:szCs w:val="20"/>
          <w:lang w:val="es-ES"/>
        </w:rPr>
        <w:t>,</w:t>
      </w:r>
      <w:r w:rsidR="00A654BB" w:rsidRPr="009D21AD">
        <w:rPr>
          <w:sz w:val="20"/>
          <w:szCs w:val="20"/>
          <w:lang w:val="es-ES"/>
        </w:rPr>
        <w:t xml:space="preserve"> dentro del marco de su mandato</w:t>
      </w:r>
      <w:r w:rsidR="000F0246" w:rsidRPr="009D21AD">
        <w:rPr>
          <w:sz w:val="20"/>
          <w:szCs w:val="20"/>
          <w:lang w:val="es-ES"/>
        </w:rPr>
        <w:t>,</w:t>
      </w:r>
      <w:r w:rsidR="00A654BB" w:rsidRPr="009D21AD">
        <w:rPr>
          <w:sz w:val="20"/>
          <w:szCs w:val="20"/>
          <w:lang w:val="es-ES"/>
        </w:rPr>
        <w:t xml:space="preserve"> sí es competente para declarar admisible una petición y fallar sobre el fondo cuando ésta se refiere a procesos internos que podrían ser violatorios de la Convención Americana</w:t>
      </w:r>
      <w:r w:rsidR="00A654BB" w:rsidRPr="009D21AD">
        <w:rPr>
          <w:bCs/>
          <w:sz w:val="20"/>
          <w:szCs w:val="20"/>
          <w:vertAlign w:val="superscript"/>
          <w:lang w:val="es-419"/>
        </w:rPr>
        <w:footnoteReference w:id="11"/>
      </w:r>
      <w:r w:rsidR="00A654BB" w:rsidRPr="009D21AD">
        <w:rPr>
          <w:sz w:val="20"/>
          <w:szCs w:val="20"/>
          <w:lang w:val="es-ES"/>
        </w:rPr>
        <w:t>.</w:t>
      </w:r>
    </w:p>
    <w:p w14:paraId="40DABB4D" w14:textId="5866EE4F" w:rsidR="006E3BAD" w:rsidRPr="009D21AD" w:rsidRDefault="006E3BAD" w:rsidP="003A4D4D">
      <w:pPr>
        <w:pStyle w:val="ListParagraph"/>
        <w:spacing w:before="240" w:after="240"/>
        <w:ind w:left="0" w:firstLine="709"/>
        <w:jc w:val="both"/>
        <w:rPr>
          <w:rFonts w:asciiTheme="majorHAnsi" w:hAnsiTheme="majorHAnsi"/>
          <w:b/>
          <w:sz w:val="20"/>
          <w:szCs w:val="20"/>
          <w:lang w:val="es-419"/>
        </w:rPr>
      </w:pPr>
      <w:r w:rsidRPr="009D21AD">
        <w:rPr>
          <w:rFonts w:asciiTheme="majorHAnsi" w:hAnsiTheme="majorHAnsi"/>
          <w:b/>
          <w:sz w:val="20"/>
          <w:szCs w:val="20"/>
          <w:lang w:val="es-419"/>
        </w:rPr>
        <w:t xml:space="preserve">VIII. </w:t>
      </w:r>
      <w:r w:rsidRPr="009D21AD">
        <w:rPr>
          <w:rFonts w:asciiTheme="majorHAnsi" w:hAnsiTheme="majorHAnsi"/>
          <w:b/>
          <w:sz w:val="20"/>
          <w:szCs w:val="20"/>
          <w:lang w:val="es-419"/>
        </w:rPr>
        <w:tab/>
      </w:r>
      <w:r w:rsidRPr="009D21AD">
        <w:rPr>
          <w:rFonts w:asciiTheme="majorHAnsi" w:hAnsiTheme="majorHAnsi"/>
          <w:b/>
          <w:bCs/>
          <w:sz w:val="20"/>
          <w:szCs w:val="20"/>
          <w:lang w:val="es-419"/>
        </w:rPr>
        <w:t>DECISIÓ</w:t>
      </w:r>
      <w:r w:rsidR="005F2DC5" w:rsidRPr="009D21AD">
        <w:rPr>
          <w:rFonts w:asciiTheme="majorHAnsi" w:hAnsiTheme="majorHAnsi"/>
          <w:b/>
          <w:bCs/>
          <w:sz w:val="20"/>
          <w:szCs w:val="20"/>
          <w:lang w:val="es-419"/>
        </w:rPr>
        <w:t>N</w:t>
      </w:r>
    </w:p>
    <w:p w14:paraId="776C2EB8" w14:textId="258980DF" w:rsidR="006E3BAD" w:rsidRPr="009D21AD" w:rsidRDefault="006E3BAD" w:rsidP="003A4D4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9D21AD">
        <w:rPr>
          <w:sz w:val="20"/>
          <w:szCs w:val="20"/>
          <w:lang w:val="es-419"/>
        </w:rPr>
        <w:t xml:space="preserve">Declarar admisible la presente petición en relación con artículos </w:t>
      </w:r>
      <w:r w:rsidR="0026174C" w:rsidRPr="009D21AD">
        <w:rPr>
          <w:sz w:val="20"/>
          <w:szCs w:val="20"/>
          <w:lang w:val="es-419"/>
        </w:rPr>
        <w:t xml:space="preserve">4, 5, 8, </w:t>
      </w:r>
      <w:r w:rsidR="00D51094" w:rsidRPr="009D21AD">
        <w:rPr>
          <w:sz w:val="20"/>
          <w:szCs w:val="20"/>
          <w:lang w:val="es-419"/>
        </w:rPr>
        <w:t>19</w:t>
      </w:r>
      <w:r w:rsidR="0026174C" w:rsidRPr="009D21AD">
        <w:rPr>
          <w:sz w:val="20"/>
          <w:szCs w:val="20"/>
          <w:lang w:val="es-419"/>
        </w:rPr>
        <w:t xml:space="preserve"> y 25 de la Convención Americana, en conexión con </w:t>
      </w:r>
      <w:r w:rsidR="00E313BA">
        <w:rPr>
          <w:sz w:val="20"/>
          <w:szCs w:val="20"/>
          <w:lang w:val="es-419"/>
        </w:rPr>
        <w:t>su</w:t>
      </w:r>
      <w:r w:rsidR="0026174C" w:rsidRPr="009D21AD">
        <w:rPr>
          <w:sz w:val="20"/>
          <w:szCs w:val="20"/>
          <w:lang w:val="es-419"/>
        </w:rPr>
        <w:t xml:space="preserve"> artículo 1.1; y</w:t>
      </w:r>
    </w:p>
    <w:p w14:paraId="4632F8A8" w14:textId="3A2865A3" w:rsidR="007C3799" w:rsidRDefault="006E3BAD" w:rsidP="007C3799">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9D21AD">
        <w:rPr>
          <w:sz w:val="20"/>
          <w:szCs w:val="20"/>
          <w:lang w:val="es-419"/>
        </w:rPr>
        <w:t xml:space="preserve">Notificar a las partes la presente decisión; continuar con el análisis del fondo de la cuestión; y publicar esta decisión e incluirla en su Informe Anual a la Asamblea General de la Organización de los Estados </w:t>
      </w:r>
      <w:r w:rsidRPr="009D21AD">
        <w:rPr>
          <w:sz w:val="20"/>
          <w:szCs w:val="20"/>
          <w:lang w:val="es-419"/>
        </w:rPr>
        <w:lastRenderedPageBreak/>
        <w:t>Americanos.</w:t>
      </w:r>
    </w:p>
    <w:p w14:paraId="646CED81" w14:textId="653A3DBA" w:rsidR="00DF7F48" w:rsidRPr="00C015F0" w:rsidRDefault="00A847C7" w:rsidP="00C015F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 los 7 días del mes de junio de 2023.  (Firmado): Esmeralda Arosemena de Troitiño, Primer</w:t>
      </w:r>
      <w:r w:rsidR="00C015F0">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Vicepresident</w:t>
      </w:r>
      <w:r w:rsidR="00C015F0">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Joel Hernández García, Julissa Mantilla Falcón y Stuardo Ralón Orellana, </w:t>
      </w:r>
      <w:r w:rsidR="00C015F0">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r w:rsidR="00DF7F48" w:rsidRPr="00C015F0">
        <w:rPr>
          <w:sz w:val="20"/>
          <w:szCs w:val="20"/>
          <w:lang w:val="es-AR"/>
        </w:rPr>
        <w:br w:type="page"/>
      </w:r>
    </w:p>
    <w:p w14:paraId="00406B27" w14:textId="0B56BC53" w:rsidR="0003498E" w:rsidRPr="00C015F0" w:rsidRDefault="0003498E">
      <w:pPr>
        <w:rPr>
          <w:rFonts w:ascii="Cambria" w:eastAsia="Cambria" w:hAnsi="Cambria" w:cs="Cambria"/>
          <w:b/>
          <w:bCs/>
          <w:color w:val="000000"/>
          <w:sz w:val="20"/>
          <w:szCs w:val="20"/>
          <w:u w:color="000000"/>
          <w:lang w:val="es-AR" w:eastAsia="es-ES"/>
        </w:rPr>
      </w:pPr>
    </w:p>
    <w:p w14:paraId="61530176" w14:textId="109A0863" w:rsidR="007C3799" w:rsidRPr="00C015F0" w:rsidRDefault="007C3799" w:rsidP="00DF7F4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jc w:val="center"/>
        <w:rPr>
          <w:b/>
          <w:bCs/>
          <w:sz w:val="20"/>
          <w:szCs w:val="20"/>
          <w:lang w:val="pt-BR"/>
        </w:rPr>
      </w:pPr>
      <w:r w:rsidRPr="00C015F0">
        <w:rPr>
          <w:b/>
          <w:bCs/>
          <w:sz w:val="20"/>
          <w:szCs w:val="20"/>
          <w:lang w:val="pt-BR"/>
        </w:rPr>
        <w:t>ANEXO</w:t>
      </w:r>
    </w:p>
    <w:p w14:paraId="129A4609" w14:textId="086F44C0" w:rsidR="00FE2DEF" w:rsidRPr="009D21AD" w:rsidRDefault="00FE2DEF" w:rsidP="007C3799">
      <w:pPr>
        <w:pStyle w:val="FootnoteText"/>
        <w:ind w:firstLine="720"/>
        <w:jc w:val="both"/>
        <w:rPr>
          <w:rFonts w:asciiTheme="majorHAnsi" w:hAnsiTheme="majorHAnsi"/>
          <w:bCs/>
          <w:lang w:val="es-ES"/>
        </w:rPr>
      </w:pPr>
      <w:r w:rsidRPr="009D21AD">
        <w:rPr>
          <w:rFonts w:asciiTheme="majorHAnsi" w:hAnsiTheme="majorHAnsi"/>
          <w:bCs/>
          <w:lang w:val="es-419"/>
        </w:rPr>
        <w:t xml:space="preserve">A. </w:t>
      </w:r>
      <w:r w:rsidRPr="009D21AD">
        <w:rPr>
          <w:rFonts w:asciiTheme="majorHAnsi" w:hAnsiTheme="majorHAnsi"/>
          <w:bCs/>
          <w:lang w:val="es-419"/>
        </w:rPr>
        <w:tab/>
      </w:r>
      <w:r w:rsidR="007C3799" w:rsidRPr="009D21AD">
        <w:rPr>
          <w:rFonts w:asciiTheme="majorHAnsi" w:hAnsiTheme="majorHAnsi"/>
          <w:b/>
          <w:lang w:val="es-ES"/>
        </w:rPr>
        <w:t xml:space="preserve">Familiares de Oscar Andrés </w:t>
      </w:r>
      <w:r w:rsidR="00220F8C" w:rsidRPr="009D21AD">
        <w:rPr>
          <w:rFonts w:asciiTheme="majorHAnsi" w:hAnsiTheme="majorHAnsi"/>
          <w:b/>
          <w:lang w:val="es-ES"/>
        </w:rPr>
        <w:t>Bedoya</w:t>
      </w:r>
      <w:r w:rsidR="007C3799" w:rsidRPr="009D21AD">
        <w:rPr>
          <w:rFonts w:asciiTheme="majorHAnsi" w:hAnsiTheme="majorHAnsi"/>
          <w:b/>
          <w:lang w:val="es-ES"/>
        </w:rPr>
        <w:t xml:space="preserve"> Arango</w:t>
      </w:r>
      <w:r w:rsidR="007C3799" w:rsidRPr="009D21AD">
        <w:rPr>
          <w:rFonts w:asciiTheme="majorHAnsi" w:hAnsiTheme="majorHAnsi"/>
          <w:bCs/>
          <w:lang w:val="es-ES"/>
        </w:rPr>
        <w:t xml:space="preserve">: Francisco Javier Bedoya Bedoya, padre; María Amparo Arango Botero, madre; Eliana María Bedoya Arango, hermana; Juan Pablo Bedoya Arango, hermano; Jesús María Bedoya Osorio, abuelo paterno; María Emperatriz Botero Grisales, abuela materna. </w:t>
      </w:r>
    </w:p>
    <w:p w14:paraId="4036BEEC" w14:textId="77777777" w:rsidR="00FE2DEF" w:rsidRPr="009D21AD" w:rsidRDefault="00FE2DEF" w:rsidP="007C3799">
      <w:pPr>
        <w:pStyle w:val="FootnoteText"/>
        <w:ind w:firstLine="720"/>
        <w:jc w:val="both"/>
        <w:rPr>
          <w:rFonts w:asciiTheme="majorHAnsi" w:hAnsiTheme="majorHAnsi"/>
          <w:bCs/>
          <w:lang w:val="es-ES"/>
        </w:rPr>
      </w:pPr>
    </w:p>
    <w:p w14:paraId="20ED416B" w14:textId="77777777" w:rsidR="00117C83" w:rsidRPr="009D21AD" w:rsidRDefault="00FE2DEF" w:rsidP="007C3799">
      <w:pPr>
        <w:pStyle w:val="FootnoteText"/>
        <w:ind w:firstLine="720"/>
        <w:jc w:val="both"/>
        <w:rPr>
          <w:rFonts w:asciiTheme="majorHAnsi" w:hAnsiTheme="majorHAnsi"/>
          <w:bCs/>
          <w:lang w:val="es-ES"/>
        </w:rPr>
      </w:pPr>
      <w:r w:rsidRPr="009D21AD">
        <w:rPr>
          <w:rFonts w:asciiTheme="majorHAnsi" w:hAnsiTheme="majorHAnsi"/>
          <w:bCs/>
          <w:lang w:val="es-ES"/>
        </w:rPr>
        <w:t>B.</w:t>
      </w:r>
      <w:r w:rsidRPr="009D21AD">
        <w:rPr>
          <w:rFonts w:asciiTheme="majorHAnsi" w:hAnsiTheme="majorHAnsi"/>
          <w:bCs/>
          <w:lang w:val="es-ES"/>
        </w:rPr>
        <w:tab/>
      </w:r>
      <w:r w:rsidR="007C3799" w:rsidRPr="009D21AD">
        <w:rPr>
          <w:rFonts w:asciiTheme="majorHAnsi" w:hAnsiTheme="majorHAnsi"/>
          <w:b/>
          <w:lang w:val="es-ES"/>
        </w:rPr>
        <w:t>Familiares de Luis José Cardona Castro</w:t>
      </w:r>
      <w:r w:rsidR="007C3799" w:rsidRPr="009D21AD">
        <w:rPr>
          <w:rFonts w:asciiTheme="majorHAnsi" w:hAnsiTheme="majorHAnsi"/>
          <w:bCs/>
          <w:lang w:val="es-ES"/>
        </w:rPr>
        <w:t xml:space="preserve">: Alba Nury Arango Martínez, compañera permanente; Michael Steven Cardona Arango, hijo; María Alejandra Cardona Arango, hija; Otoniel de Jesús Cardona Valencia, padre; María Rosaura Castro Pavas, madre; Leydi Milena Cardona Castro, hermana; John Fredy Cardona Castro, hermano; María Derly Cardona Castro, hermana; Rodolfo Castro Grisales, abuelo materno; María Otilia Pavas Patiño, abuela materna. </w:t>
      </w:r>
    </w:p>
    <w:p w14:paraId="3B4176CC" w14:textId="77777777" w:rsidR="00117C83" w:rsidRPr="009D21AD" w:rsidRDefault="00117C83" w:rsidP="007C3799">
      <w:pPr>
        <w:pStyle w:val="FootnoteText"/>
        <w:ind w:firstLine="720"/>
        <w:jc w:val="both"/>
        <w:rPr>
          <w:rFonts w:asciiTheme="majorHAnsi" w:hAnsiTheme="majorHAnsi"/>
          <w:bCs/>
          <w:lang w:val="es-ES"/>
        </w:rPr>
      </w:pPr>
    </w:p>
    <w:p w14:paraId="6F501959" w14:textId="77777777" w:rsidR="00117C83" w:rsidRPr="009D21AD" w:rsidRDefault="00117C83" w:rsidP="007C3799">
      <w:pPr>
        <w:pStyle w:val="FootnoteText"/>
        <w:ind w:firstLine="720"/>
        <w:jc w:val="both"/>
        <w:rPr>
          <w:rFonts w:asciiTheme="majorHAnsi" w:hAnsiTheme="majorHAnsi"/>
          <w:bCs/>
          <w:lang w:val="es-ES"/>
        </w:rPr>
      </w:pPr>
      <w:r w:rsidRPr="009D21AD">
        <w:rPr>
          <w:rFonts w:asciiTheme="majorHAnsi" w:hAnsiTheme="majorHAnsi"/>
          <w:bCs/>
          <w:lang w:val="es-ES"/>
        </w:rPr>
        <w:t>C.</w:t>
      </w:r>
      <w:r w:rsidRPr="009D21AD">
        <w:rPr>
          <w:rFonts w:asciiTheme="majorHAnsi" w:hAnsiTheme="majorHAnsi"/>
          <w:bCs/>
          <w:lang w:val="es-ES"/>
        </w:rPr>
        <w:tab/>
      </w:r>
      <w:r w:rsidR="007C3799" w:rsidRPr="009D21AD">
        <w:rPr>
          <w:rFonts w:asciiTheme="majorHAnsi" w:hAnsiTheme="majorHAnsi"/>
          <w:b/>
          <w:lang w:val="es-ES"/>
        </w:rPr>
        <w:t>Familiares de Diego Armando Ocampo Pavas</w:t>
      </w:r>
      <w:r w:rsidR="007C3799" w:rsidRPr="009D21AD">
        <w:rPr>
          <w:rFonts w:asciiTheme="majorHAnsi" w:hAnsiTheme="majorHAnsi"/>
          <w:bCs/>
          <w:lang w:val="es-ES"/>
        </w:rPr>
        <w:t xml:space="preserve">: Luz Marina Pavas Ossa, madre; Cristian Sebastián Ocampo Pavas, hermano; Sandra Yarley Ocampo Pavas, hermana; Marco Antonio Ocampo Pavas, hermano; Edinson Ocampo Pavas, hermano; María del Rosario Ossa Pérez, abuela materna. </w:t>
      </w:r>
    </w:p>
    <w:p w14:paraId="0AD53AC6" w14:textId="77777777" w:rsidR="00117C83" w:rsidRPr="009D21AD" w:rsidRDefault="00117C83" w:rsidP="007C3799">
      <w:pPr>
        <w:pStyle w:val="FootnoteText"/>
        <w:ind w:firstLine="720"/>
        <w:jc w:val="both"/>
        <w:rPr>
          <w:rFonts w:asciiTheme="majorHAnsi" w:hAnsiTheme="majorHAnsi"/>
          <w:bCs/>
          <w:lang w:val="es-ES"/>
        </w:rPr>
      </w:pPr>
    </w:p>
    <w:p w14:paraId="06E77FDE" w14:textId="77777777" w:rsidR="00387EEE" w:rsidRPr="009D21AD" w:rsidRDefault="00117C83" w:rsidP="007C3799">
      <w:pPr>
        <w:pStyle w:val="FootnoteText"/>
        <w:ind w:firstLine="720"/>
        <w:jc w:val="both"/>
        <w:rPr>
          <w:rFonts w:asciiTheme="majorHAnsi" w:hAnsiTheme="majorHAnsi"/>
          <w:bCs/>
          <w:lang w:val="es-ES"/>
        </w:rPr>
      </w:pPr>
      <w:r w:rsidRPr="009D21AD">
        <w:rPr>
          <w:rFonts w:asciiTheme="majorHAnsi" w:hAnsiTheme="majorHAnsi"/>
          <w:bCs/>
          <w:lang w:val="es-ES"/>
        </w:rPr>
        <w:t>D.</w:t>
      </w:r>
      <w:r w:rsidRPr="009D21AD">
        <w:rPr>
          <w:rFonts w:asciiTheme="majorHAnsi" w:hAnsiTheme="majorHAnsi"/>
          <w:bCs/>
          <w:lang w:val="es-ES"/>
        </w:rPr>
        <w:tab/>
      </w:r>
      <w:r w:rsidR="007C3799" w:rsidRPr="009D21AD">
        <w:rPr>
          <w:rFonts w:asciiTheme="majorHAnsi" w:hAnsiTheme="majorHAnsi"/>
          <w:b/>
          <w:lang w:val="es-ES"/>
        </w:rPr>
        <w:t>Familiares de Juan Cástulo Jiménez Gutiérrez</w:t>
      </w:r>
      <w:r w:rsidR="007C3799" w:rsidRPr="009D21AD">
        <w:rPr>
          <w:rFonts w:asciiTheme="majorHAnsi" w:hAnsiTheme="majorHAnsi"/>
          <w:bCs/>
          <w:lang w:val="es-ES"/>
        </w:rPr>
        <w:t xml:space="preserve">: Cástulo de Jesús Jiménez Herrera, padre; María del Carmen Gutiérrez Yepes, madre; Lina María Jiménez Gutiérrez, hermana; María Teresa Jiménez Gutiérrez, hermana; Carlos Andrés Jiménez Gutiérrez, hermana. </w:t>
      </w:r>
    </w:p>
    <w:p w14:paraId="62BB9090" w14:textId="77777777" w:rsidR="00387EEE" w:rsidRPr="009D21AD" w:rsidRDefault="00387EEE" w:rsidP="007C3799">
      <w:pPr>
        <w:pStyle w:val="FootnoteText"/>
        <w:ind w:firstLine="720"/>
        <w:jc w:val="both"/>
        <w:rPr>
          <w:rFonts w:asciiTheme="majorHAnsi" w:hAnsiTheme="majorHAnsi"/>
          <w:bCs/>
          <w:lang w:val="es-ES"/>
        </w:rPr>
      </w:pPr>
    </w:p>
    <w:p w14:paraId="0CDFB7A5" w14:textId="2ECFFA8A" w:rsidR="007C3799" w:rsidRPr="00FE2DEF" w:rsidRDefault="00387EEE" w:rsidP="007C3799">
      <w:pPr>
        <w:pStyle w:val="FootnoteText"/>
        <w:ind w:firstLine="720"/>
        <w:jc w:val="both"/>
        <w:rPr>
          <w:rFonts w:asciiTheme="majorHAnsi" w:hAnsiTheme="majorHAnsi"/>
          <w:bCs/>
          <w:lang w:val="es-ES"/>
        </w:rPr>
      </w:pPr>
      <w:r w:rsidRPr="009D21AD">
        <w:rPr>
          <w:rFonts w:asciiTheme="majorHAnsi" w:hAnsiTheme="majorHAnsi"/>
          <w:bCs/>
          <w:lang w:val="es-ES"/>
        </w:rPr>
        <w:t>E.</w:t>
      </w:r>
      <w:r w:rsidRPr="009D21AD">
        <w:rPr>
          <w:rFonts w:asciiTheme="majorHAnsi" w:hAnsiTheme="majorHAnsi"/>
          <w:bCs/>
          <w:lang w:val="es-ES"/>
        </w:rPr>
        <w:tab/>
      </w:r>
      <w:r w:rsidR="007C3799" w:rsidRPr="009D21AD">
        <w:rPr>
          <w:rFonts w:asciiTheme="majorHAnsi" w:hAnsiTheme="majorHAnsi"/>
          <w:b/>
          <w:lang w:val="es-ES"/>
        </w:rPr>
        <w:t>Familiares de Diego Alexander Arango Jaramillo</w:t>
      </w:r>
      <w:r w:rsidR="007C3799" w:rsidRPr="009D21AD">
        <w:rPr>
          <w:rFonts w:asciiTheme="majorHAnsi" w:hAnsiTheme="majorHAnsi"/>
          <w:bCs/>
          <w:lang w:val="es-ES"/>
        </w:rPr>
        <w:t>: Arbey De Jesús Arango Ruiz, padre; Lucila Jaramillo Ruíz, madre; Adriana Marcela Arango Jaramillo, hermana; Luz Estela Arango Jaramillo, hermana; Dora Gilma Arango Jaramillo, hermana; Oscar Arvey Arango Jaramillo, hermano; Gladys Astrid Arango Jaramillo, hermana; Daniel Alejandro Saez Arango, sobrino; Luz Marina Jaramillo Ruiz, abuela paterna; Ana De Jesús Ruiz Palacio, abuela materna.</w:t>
      </w:r>
    </w:p>
    <w:p w14:paraId="1A1EE47D" w14:textId="77777777" w:rsidR="007C3799" w:rsidRPr="007C3799" w:rsidRDefault="007C3799" w:rsidP="007C379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sz w:val="20"/>
          <w:szCs w:val="20"/>
          <w:lang w:val="es-ES"/>
        </w:rPr>
      </w:pPr>
    </w:p>
    <w:sectPr w:rsidR="007C3799" w:rsidRPr="007C379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8708" w14:textId="77777777" w:rsidR="007844AC" w:rsidRDefault="007844AC">
      <w:r>
        <w:separator/>
      </w:r>
    </w:p>
  </w:endnote>
  <w:endnote w:type="continuationSeparator" w:id="0">
    <w:p w14:paraId="6BE7ED5A" w14:textId="77777777" w:rsidR="007844AC" w:rsidRDefault="0078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E332" w14:textId="77777777" w:rsidR="007844AC" w:rsidRPr="000F35ED" w:rsidRDefault="007844A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5EDA2C" w14:textId="77777777" w:rsidR="007844AC" w:rsidRPr="000F35ED" w:rsidRDefault="007844AC" w:rsidP="000F35ED">
      <w:pPr>
        <w:rPr>
          <w:rFonts w:asciiTheme="majorHAnsi" w:hAnsiTheme="majorHAnsi"/>
          <w:sz w:val="16"/>
          <w:szCs w:val="16"/>
        </w:rPr>
      </w:pPr>
      <w:r w:rsidRPr="000F35ED">
        <w:rPr>
          <w:rFonts w:asciiTheme="majorHAnsi" w:hAnsiTheme="majorHAnsi"/>
          <w:sz w:val="16"/>
          <w:szCs w:val="16"/>
        </w:rPr>
        <w:separator/>
      </w:r>
    </w:p>
    <w:p w14:paraId="7FE46C73" w14:textId="77777777" w:rsidR="007844AC" w:rsidRPr="000F35ED" w:rsidRDefault="007844A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175476B" w14:textId="77777777" w:rsidR="007844AC" w:rsidRPr="000F35ED" w:rsidRDefault="007844A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2D7E73" w:rsidRDefault="004A6A54"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Conforme a lo dispuesto en el artículo 17.2.a del Reglamento de la Comisión, el Comisionado </w:t>
      </w:r>
      <w:r w:rsidR="00E2321A" w:rsidRPr="002D7E73">
        <w:rPr>
          <w:rFonts w:asciiTheme="majorHAnsi" w:hAnsiTheme="majorHAnsi"/>
          <w:sz w:val="16"/>
          <w:szCs w:val="16"/>
          <w:lang w:val="es-ES"/>
        </w:rPr>
        <w:t>Carlos Bernal Pulido</w:t>
      </w:r>
      <w:r w:rsidRPr="002D7E73">
        <w:rPr>
          <w:rFonts w:asciiTheme="majorHAnsi" w:hAnsiTheme="majorHAnsi"/>
          <w:sz w:val="16"/>
          <w:szCs w:val="16"/>
          <w:lang w:val="es-ES"/>
        </w:rPr>
        <w:t xml:space="preserve">, de nacionalidad </w:t>
      </w:r>
      <w:r w:rsidR="00E2321A" w:rsidRPr="002D7E73">
        <w:rPr>
          <w:rFonts w:asciiTheme="majorHAnsi" w:hAnsiTheme="majorHAnsi"/>
          <w:sz w:val="16"/>
          <w:szCs w:val="16"/>
          <w:lang w:val="es-ES"/>
        </w:rPr>
        <w:t>colombiana</w:t>
      </w:r>
      <w:r w:rsidRPr="002D7E73">
        <w:rPr>
          <w:rFonts w:asciiTheme="majorHAnsi" w:hAnsiTheme="majorHAnsi"/>
          <w:sz w:val="16"/>
          <w:szCs w:val="16"/>
          <w:lang w:val="es-ES"/>
        </w:rPr>
        <w:t>, no participó en el debate ni en la decisión del presente asunto.</w:t>
      </w:r>
    </w:p>
  </w:footnote>
  <w:footnote w:id="3">
    <w:p w14:paraId="606B6CC7" w14:textId="77777777" w:rsidR="00785B6C" w:rsidRPr="002D7E73" w:rsidRDefault="00785B6C"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En adelante “la Convención Americana” o “la Convención”.</w:t>
      </w:r>
    </w:p>
  </w:footnote>
  <w:footnote w:id="4">
    <w:p w14:paraId="1AFEF3B0" w14:textId="77777777" w:rsidR="008E3BFE" w:rsidRPr="002D7E73" w:rsidRDefault="008E3BFE"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Las observaciones de cada parte fueron debidamente trasladadas a la parte contraria.</w:t>
      </w:r>
    </w:p>
  </w:footnote>
  <w:footnote w:id="5">
    <w:p w14:paraId="740CEB88" w14:textId="375470CE" w:rsidR="006A2CE3" w:rsidRPr="002D7E73" w:rsidRDefault="006A2CE3"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CIDH, Informe No. 13/22. Petición 1332-11. Admisibilidad. Orlando Hernández Ramírez y familiares. Colombia. 9 de febrero de 2022, párrafo 6.</w:t>
      </w:r>
    </w:p>
  </w:footnote>
  <w:footnote w:id="6">
    <w:p w14:paraId="5C120274" w14:textId="0E747035" w:rsidR="006A2CE3" w:rsidRPr="002D7E73" w:rsidRDefault="006A2CE3"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w:t>
      </w:r>
      <w:r w:rsidR="00F4699B" w:rsidRPr="002D7E73">
        <w:rPr>
          <w:rFonts w:asciiTheme="majorHAnsi" w:hAnsiTheme="majorHAnsi"/>
          <w:sz w:val="16"/>
          <w:szCs w:val="16"/>
          <w:lang w:val="es-ES"/>
        </w:rPr>
        <w:t>o.</w:t>
      </w:r>
      <w:r w:rsidRPr="002D7E73">
        <w:rPr>
          <w:rFonts w:asciiTheme="majorHAnsi" w:hAnsiTheme="majorHAnsi"/>
          <w:sz w:val="16"/>
          <w:szCs w:val="16"/>
          <w:lang w:val="es-ES"/>
        </w:rPr>
        <w:t xml:space="preserve">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7">
    <w:p w14:paraId="09CDCE09" w14:textId="7F2023CC" w:rsidR="00274B08" w:rsidRPr="002D7E73" w:rsidRDefault="00274B08"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8">
    <w:p w14:paraId="34A5E0EA" w14:textId="5FEF705D" w:rsidR="00274B08" w:rsidRPr="002D7E73" w:rsidRDefault="00274B08"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CIDH, Informe No. 13/22. Petición 1332-11. Admisibilidad. Orlando Hernández Ramírez y familiares. Colombia. 9 de febrero de 2022, párrafo 7; CIDH, Informe No. 34/15, Petición 191-07 y otras. Admisibilidad. Álvaro Enrique Rodriguez Buitrago y otros. Colombia. 22 de julio de 2015, párrafo 245.</w:t>
      </w:r>
    </w:p>
  </w:footnote>
  <w:footnote w:id="9">
    <w:p w14:paraId="1B1DE703" w14:textId="7EEEDB53" w:rsidR="0026174C" w:rsidRPr="002D7E73" w:rsidRDefault="0026174C"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CIDH, Informe No. 13/22. Petición 1332-11. Admisibilidad. Orlando Hernández Ramírez y familiares. Colombia. 9 de febrero de 2022, párrafo 10.</w:t>
      </w:r>
    </w:p>
  </w:footnote>
  <w:footnote w:id="10">
    <w:p w14:paraId="6CFD7E71" w14:textId="2492B73D" w:rsidR="00415AE5" w:rsidRPr="002D7E73" w:rsidRDefault="00415AE5" w:rsidP="00415AE5">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00411221" w:rsidRPr="002D7E73">
        <w:rPr>
          <w:rFonts w:asciiTheme="majorHAnsi" w:hAnsiTheme="majorHAnsi"/>
          <w:sz w:val="16"/>
          <w:szCs w:val="16"/>
          <w:lang w:val="es-ES"/>
        </w:rPr>
        <w:t xml:space="preserve"> Véase, </w:t>
      </w:r>
      <w:r w:rsidR="00411221" w:rsidRPr="002D7E73">
        <w:rPr>
          <w:rFonts w:asciiTheme="majorHAnsi" w:hAnsiTheme="majorHAnsi"/>
          <w:i/>
          <w:iCs/>
          <w:sz w:val="16"/>
          <w:szCs w:val="16"/>
          <w:lang w:val="es-ES"/>
        </w:rPr>
        <w:t>v.g.</w:t>
      </w:r>
      <w:r w:rsidR="00411221" w:rsidRPr="002D7E73">
        <w:rPr>
          <w:rFonts w:asciiTheme="majorHAnsi" w:hAnsiTheme="majorHAnsi"/>
          <w:sz w:val="16"/>
          <w:szCs w:val="16"/>
          <w:lang w:val="es-ES"/>
        </w:rPr>
        <w:t>:</w:t>
      </w:r>
      <w:r w:rsidRPr="002D7E73">
        <w:rPr>
          <w:rFonts w:asciiTheme="majorHAnsi" w:hAnsiTheme="majorHAnsi"/>
          <w:sz w:val="16"/>
          <w:szCs w:val="16"/>
          <w:lang w:val="es-ES"/>
        </w:rPr>
        <w:t xml:space="preserve"> International Law Commission. </w:t>
      </w:r>
      <w:hyperlink r:id="rId1" w:history="1">
        <w:r w:rsidRPr="002D7E73">
          <w:rPr>
            <w:rStyle w:val="Hyperlink"/>
            <w:rFonts w:asciiTheme="majorHAnsi" w:hAnsiTheme="majorHAnsi"/>
            <w:sz w:val="16"/>
            <w:szCs w:val="16"/>
            <w:u w:val="none"/>
          </w:rPr>
          <w:t>Draft Articles on Responsibility of States for Internationally Wrongful Acts, with commentaries</w:t>
        </w:r>
      </w:hyperlink>
      <w:r w:rsidRPr="002D7E73">
        <w:rPr>
          <w:rFonts w:asciiTheme="majorHAnsi" w:hAnsiTheme="majorHAnsi"/>
          <w:sz w:val="16"/>
          <w:szCs w:val="16"/>
        </w:rPr>
        <w:t xml:space="preserve">. </w:t>
      </w:r>
      <w:r w:rsidRPr="002D7E73">
        <w:rPr>
          <w:rFonts w:asciiTheme="majorHAnsi" w:hAnsiTheme="majorHAnsi"/>
          <w:sz w:val="16"/>
          <w:szCs w:val="16"/>
          <w:lang w:val="es-ES"/>
        </w:rPr>
        <w:t>United Nations, 2001, p. 43-52.</w:t>
      </w:r>
    </w:p>
  </w:footnote>
  <w:footnote w:id="11">
    <w:p w14:paraId="6C10F06C" w14:textId="37630886" w:rsidR="00A654BB" w:rsidRPr="002D7E73" w:rsidRDefault="00A654BB" w:rsidP="00792AF9">
      <w:pPr>
        <w:pStyle w:val="FootnoteText"/>
        <w:ind w:firstLine="720"/>
        <w:jc w:val="both"/>
        <w:rPr>
          <w:rFonts w:asciiTheme="majorHAnsi" w:hAnsiTheme="majorHAnsi"/>
          <w:sz w:val="16"/>
          <w:szCs w:val="16"/>
          <w:lang w:val="es-ES"/>
        </w:rPr>
      </w:pPr>
      <w:r w:rsidRPr="002D7E73">
        <w:rPr>
          <w:rStyle w:val="FootnoteReference"/>
          <w:rFonts w:asciiTheme="majorHAnsi" w:hAnsiTheme="majorHAnsi"/>
          <w:sz w:val="16"/>
          <w:szCs w:val="16"/>
        </w:rPr>
        <w:footnoteRef/>
      </w:r>
      <w:r w:rsidRPr="002D7E73">
        <w:rPr>
          <w:rFonts w:asciiTheme="majorHAnsi" w:hAnsiTheme="majorHAnsi"/>
          <w:sz w:val="16"/>
          <w:szCs w:val="16"/>
          <w:lang w:val="es-ES"/>
        </w:rPr>
        <w:t xml:space="preserve"> CIDH, Informe No. 40/18. Admisibilidad. Nelson Enrique Giraldo Ramírez y familia. Colombia. 4 de mayo de 2018, párrafo 20; CIDH, Informe No. 81/18. Petición 190-07. Admisibilidad. Edgar José Sánchez Duarte. Colombia. 7 de julio de 2018, párrafo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C196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6644"/>
    <w:rsid w:val="0001788C"/>
    <w:rsid w:val="000337EF"/>
    <w:rsid w:val="0003498E"/>
    <w:rsid w:val="00040C3A"/>
    <w:rsid w:val="000419AD"/>
    <w:rsid w:val="000433C9"/>
    <w:rsid w:val="000444E7"/>
    <w:rsid w:val="00071174"/>
    <w:rsid w:val="000716C5"/>
    <w:rsid w:val="00073C01"/>
    <w:rsid w:val="00075E23"/>
    <w:rsid w:val="00082615"/>
    <w:rsid w:val="00091A11"/>
    <w:rsid w:val="0009344A"/>
    <w:rsid w:val="000970F4"/>
    <w:rsid w:val="00097397"/>
    <w:rsid w:val="000A392E"/>
    <w:rsid w:val="000A575F"/>
    <w:rsid w:val="000A67B5"/>
    <w:rsid w:val="000A7046"/>
    <w:rsid w:val="000B4054"/>
    <w:rsid w:val="000B66F4"/>
    <w:rsid w:val="000B7730"/>
    <w:rsid w:val="000D05CB"/>
    <w:rsid w:val="000D10DB"/>
    <w:rsid w:val="000E5EB5"/>
    <w:rsid w:val="000E615D"/>
    <w:rsid w:val="000F0246"/>
    <w:rsid w:val="000F35ED"/>
    <w:rsid w:val="001009D5"/>
    <w:rsid w:val="0010550C"/>
    <w:rsid w:val="00107131"/>
    <w:rsid w:val="0010736F"/>
    <w:rsid w:val="0011075B"/>
    <w:rsid w:val="00113F73"/>
    <w:rsid w:val="00117C83"/>
    <w:rsid w:val="00121CC2"/>
    <w:rsid w:val="001235CB"/>
    <w:rsid w:val="00131425"/>
    <w:rsid w:val="00133EE5"/>
    <w:rsid w:val="00165562"/>
    <w:rsid w:val="00167A34"/>
    <w:rsid w:val="001A520D"/>
    <w:rsid w:val="001A7870"/>
    <w:rsid w:val="001A7D7B"/>
    <w:rsid w:val="001B11A3"/>
    <w:rsid w:val="001B3A00"/>
    <w:rsid w:val="001C1B41"/>
    <w:rsid w:val="001D21C7"/>
    <w:rsid w:val="001D65EF"/>
    <w:rsid w:val="001E15E7"/>
    <w:rsid w:val="001E49E7"/>
    <w:rsid w:val="001F3629"/>
    <w:rsid w:val="001F7201"/>
    <w:rsid w:val="00211A7C"/>
    <w:rsid w:val="00220F8C"/>
    <w:rsid w:val="00223A29"/>
    <w:rsid w:val="002250A3"/>
    <w:rsid w:val="00234F71"/>
    <w:rsid w:val="00235217"/>
    <w:rsid w:val="00237C68"/>
    <w:rsid w:val="00246D1F"/>
    <w:rsid w:val="00247403"/>
    <w:rsid w:val="00247542"/>
    <w:rsid w:val="0026174C"/>
    <w:rsid w:val="00266B61"/>
    <w:rsid w:val="0026712A"/>
    <w:rsid w:val="002704DB"/>
    <w:rsid w:val="00274B08"/>
    <w:rsid w:val="00280B37"/>
    <w:rsid w:val="002829E1"/>
    <w:rsid w:val="002A0AAE"/>
    <w:rsid w:val="002A5820"/>
    <w:rsid w:val="002B1533"/>
    <w:rsid w:val="002B5D46"/>
    <w:rsid w:val="002D2B26"/>
    <w:rsid w:val="002D7E73"/>
    <w:rsid w:val="002D7EA2"/>
    <w:rsid w:val="002E187C"/>
    <w:rsid w:val="002E3E8B"/>
    <w:rsid w:val="002F3F8C"/>
    <w:rsid w:val="00301A08"/>
    <w:rsid w:val="00302733"/>
    <w:rsid w:val="00305835"/>
    <w:rsid w:val="00306F33"/>
    <w:rsid w:val="00311663"/>
    <w:rsid w:val="00313449"/>
    <w:rsid w:val="00314078"/>
    <w:rsid w:val="0031535D"/>
    <w:rsid w:val="003239B8"/>
    <w:rsid w:val="0033169F"/>
    <w:rsid w:val="00344977"/>
    <w:rsid w:val="003459D0"/>
    <w:rsid w:val="00346C95"/>
    <w:rsid w:val="00356185"/>
    <w:rsid w:val="00360380"/>
    <w:rsid w:val="00367FF5"/>
    <w:rsid w:val="00372C18"/>
    <w:rsid w:val="0037519E"/>
    <w:rsid w:val="00375EC1"/>
    <w:rsid w:val="00380295"/>
    <w:rsid w:val="00386CF0"/>
    <w:rsid w:val="003873A3"/>
    <w:rsid w:val="00387EEE"/>
    <w:rsid w:val="003A4D4D"/>
    <w:rsid w:val="003B70FB"/>
    <w:rsid w:val="003C196D"/>
    <w:rsid w:val="003C676B"/>
    <w:rsid w:val="003D3BC2"/>
    <w:rsid w:val="003D67A9"/>
    <w:rsid w:val="003E51E9"/>
    <w:rsid w:val="003E6CA1"/>
    <w:rsid w:val="003F5154"/>
    <w:rsid w:val="003F6974"/>
    <w:rsid w:val="003F740A"/>
    <w:rsid w:val="00405F9C"/>
    <w:rsid w:val="004065A8"/>
    <w:rsid w:val="00411221"/>
    <w:rsid w:val="00415793"/>
    <w:rsid w:val="00415AE5"/>
    <w:rsid w:val="004165C2"/>
    <w:rsid w:val="004205D0"/>
    <w:rsid w:val="004241A0"/>
    <w:rsid w:val="00427B38"/>
    <w:rsid w:val="004356E8"/>
    <w:rsid w:val="00441ECB"/>
    <w:rsid w:val="00445193"/>
    <w:rsid w:val="00451601"/>
    <w:rsid w:val="00454013"/>
    <w:rsid w:val="004612A5"/>
    <w:rsid w:val="00462C1B"/>
    <w:rsid w:val="00465F99"/>
    <w:rsid w:val="00467B7E"/>
    <w:rsid w:val="00473BB4"/>
    <w:rsid w:val="00477592"/>
    <w:rsid w:val="00480458"/>
    <w:rsid w:val="00486F1C"/>
    <w:rsid w:val="0049419D"/>
    <w:rsid w:val="00496630"/>
    <w:rsid w:val="004A057B"/>
    <w:rsid w:val="004A6A54"/>
    <w:rsid w:val="004B0385"/>
    <w:rsid w:val="004B421C"/>
    <w:rsid w:val="004C20D2"/>
    <w:rsid w:val="004C2312"/>
    <w:rsid w:val="004C3882"/>
    <w:rsid w:val="004C4B62"/>
    <w:rsid w:val="004C54C9"/>
    <w:rsid w:val="004D4ABA"/>
    <w:rsid w:val="004D6025"/>
    <w:rsid w:val="004E013A"/>
    <w:rsid w:val="004E2649"/>
    <w:rsid w:val="004E6462"/>
    <w:rsid w:val="004F1840"/>
    <w:rsid w:val="004F1B17"/>
    <w:rsid w:val="004F626F"/>
    <w:rsid w:val="00501399"/>
    <w:rsid w:val="005043EB"/>
    <w:rsid w:val="005047ED"/>
    <w:rsid w:val="0050633D"/>
    <w:rsid w:val="00507BC4"/>
    <w:rsid w:val="005128E4"/>
    <w:rsid w:val="005133DB"/>
    <w:rsid w:val="00514504"/>
    <w:rsid w:val="00521E1F"/>
    <w:rsid w:val="00525560"/>
    <w:rsid w:val="00544C49"/>
    <w:rsid w:val="005516A1"/>
    <w:rsid w:val="005559EF"/>
    <w:rsid w:val="005627DD"/>
    <w:rsid w:val="00563557"/>
    <w:rsid w:val="005677E8"/>
    <w:rsid w:val="0057358A"/>
    <w:rsid w:val="0057402A"/>
    <w:rsid w:val="005771D0"/>
    <w:rsid w:val="0059191A"/>
    <w:rsid w:val="005921FF"/>
    <w:rsid w:val="0059395A"/>
    <w:rsid w:val="005A24ED"/>
    <w:rsid w:val="005A6D0E"/>
    <w:rsid w:val="005B039F"/>
    <w:rsid w:val="005B2E32"/>
    <w:rsid w:val="005B52B0"/>
    <w:rsid w:val="005B6806"/>
    <w:rsid w:val="005C4225"/>
    <w:rsid w:val="005F0DAD"/>
    <w:rsid w:val="005F0F33"/>
    <w:rsid w:val="005F2DC5"/>
    <w:rsid w:val="005F7AA2"/>
    <w:rsid w:val="00600DEB"/>
    <w:rsid w:val="00607AC6"/>
    <w:rsid w:val="00627562"/>
    <w:rsid w:val="00627C9F"/>
    <w:rsid w:val="006311E9"/>
    <w:rsid w:val="00632354"/>
    <w:rsid w:val="00635421"/>
    <w:rsid w:val="00635B94"/>
    <w:rsid w:val="00642810"/>
    <w:rsid w:val="0065005F"/>
    <w:rsid w:val="00650DD4"/>
    <w:rsid w:val="00652333"/>
    <w:rsid w:val="0067340A"/>
    <w:rsid w:val="00673C7E"/>
    <w:rsid w:val="0068009E"/>
    <w:rsid w:val="006830E1"/>
    <w:rsid w:val="00692219"/>
    <w:rsid w:val="00693EB9"/>
    <w:rsid w:val="006961F5"/>
    <w:rsid w:val="006A17D2"/>
    <w:rsid w:val="006A2CE3"/>
    <w:rsid w:val="006A5F9D"/>
    <w:rsid w:val="006A73E6"/>
    <w:rsid w:val="006B2D5C"/>
    <w:rsid w:val="006C0918"/>
    <w:rsid w:val="006C0ECF"/>
    <w:rsid w:val="006C4EB1"/>
    <w:rsid w:val="006E0166"/>
    <w:rsid w:val="006E2FFB"/>
    <w:rsid w:val="006E3BAD"/>
    <w:rsid w:val="006E405A"/>
    <w:rsid w:val="006E543C"/>
    <w:rsid w:val="006E7B34"/>
    <w:rsid w:val="006F342A"/>
    <w:rsid w:val="006F4E29"/>
    <w:rsid w:val="0070081D"/>
    <w:rsid w:val="0070697F"/>
    <w:rsid w:val="007103C4"/>
    <w:rsid w:val="00720C06"/>
    <w:rsid w:val="0072199C"/>
    <w:rsid w:val="00722C9F"/>
    <w:rsid w:val="00723817"/>
    <w:rsid w:val="007253B8"/>
    <w:rsid w:val="0073741F"/>
    <w:rsid w:val="007650C4"/>
    <w:rsid w:val="0076643F"/>
    <w:rsid w:val="00767E3E"/>
    <w:rsid w:val="00777F63"/>
    <w:rsid w:val="007844AC"/>
    <w:rsid w:val="00785B6C"/>
    <w:rsid w:val="007900A1"/>
    <w:rsid w:val="00792AF9"/>
    <w:rsid w:val="00793F1C"/>
    <w:rsid w:val="007A5817"/>
    <w:rsid w:val="007B05C4"/>
    <w:rsid w:val="007B60E9"/>
    <w:rsid w:val="007B6595"/>
    <w:rsid w:val="007B6CC3"/>
    <w:rsid w:val="007B76D3"/>
    <w:rsid w:val="007C3334"/>
    <w:rsid w:val="007C3799"/>
    <w:rsid w:val="007C4209"/>
    <w:rsid w:val="007D2B98"/>
    <w:rsid w:val="007D5AC7"/>
    <w:rsid w:val="007D7374"/>
    <w:rsid w:val="007E0899"/>
    <w:rsid w:val="007E21BC"/>
    <w:rsid w:val="007E6888"/>
    <w:rsid w:val="007E7C82"/>
    <w:rsid w:val="007F2AA1"/>
    <w:rsid w:val="007F588D"/>
    <w:rsid w:val="007F74F8"/>
    <w:rsid w:val="00803F1C"/>
    <w:rsid w:val="0080600E"/>
    <w:rsid w:val="00814688"/>
    <w:rsid w:val="00817612"/>
    <w:rsid w:val="008338A4"/>
    <w:rsid w:val="00834D49"/>
    <w:rsid w:val="00837C45"/>
    <w:rsid w:val="00841CD0"/>
    <w:rsid w:val="00844730"/>
    <w:rsid w:val="008457C2"/>
    <w:rsid w:val="00847A52"/>
    <w:rsid w:val="00857A82"/>
    <w:rsid w:val="0087012B"/>
    <w:rsid w:val="00871480"/>
    <w:rsid w:val="00872CBE"/>
    <w:rsid w:val="00873836"/>
    <w:rsid w:val="00885737"/>
    <w:rsid w:val="00890650"/>
    <w:rsid w:val="008944DC"/>
    <w:rsid w:val="00895F48"/>
    <w:rsid w:val="00897E12"/>
    <w:rsid w:val="008A7E0F"/>
    <w:rsid w:val="008B12F5"/>
    <w:rsid w:val="008C5E2D"/>
    <w:rsid w:val="008D768D"/>
    <w:rsid w:val="008E2546"/>
    <w:rsid w:val="008E3759"/>
    <w:rsid w:val="008E3BFE"/>
    <w:rsid w:val="008F1912"/>
    <w:rsid w:val="0090270B"/>
    <w:rsid w:val="009041DC"/>
    <w:rsid w:val="00907CBE"/>
    <w:rsid w:val="00917B5A"/>
    <w:rsid w:val="00920A58"/>
    <w:rsid w:val="00920A8C"/>
    <w:rsid w:val="00920CDA"/>
    <w:rsid w:val="00934A2C"/>
    <w:rsid w:val="00940970"/>
    <w:rsid w:val="00947B3B"/>
    <w:rsid w:val="00957C0E"/>
    <w:rsid w:val="0096706E"/>
    <w:rsid w:val="00974312"/>
    <w:rsid w:val="00974491"/>
    <w:rsid w:val="00975C4E"/>
    <w:rsid w:val="00981FBA"/>
    <w:rsid w:val="00982364"/>
    <w:rsid w:val="009917E2"/>
    <w:rsid w:val="00997BC5"/>
    <w:rsid w:val="009A4F41"/>
    <w:rsid w:val="009B0F6D"/>
    <w:rsid w:val="009B381B"/>
    <w:rsid w:val="009D1753"/>
    <w:rsid w:val="009D21AD"/>
    <w:rsid w:val="009D2D7C"/>
    <w:rsid w:val="009D7611"/>
    <w:rsid w:val="009E0B61"/>
    <w:rsid w:val="009E53DE"/>
    <w:rsid w:val="009E7F46"/>
    <w:rsid w:val="009E7FF3"/>
    <w:rsid w:val="00A004BB"/>
    <w:rsid w:val="00A0110F"/>
    <w:rsid w:val="00A11212"/>
    <w:rsid w:val="00A11E44"/>
    <w:rsid w:val="00A2648A"/>
    <w:rsid w:val="00A30100"/>
    <w:rsid w:val="00A328B3"/>
    <w:rsid w:val="00A33F07"/>
    <w:rsid w:val="00A34797"/>
    <w:rsid w:val="00A50FCF"/>
    <w:rsid w:val="00A528D1"/>
    <w:rsid w:val="00A54589"/>
    <w:rsid w:val="00A610CD"/>
    <w:rsid w:val="00A6212A"/>
    <w:rsid w:val="00A654BB"/>
    <w:rsid w:val="00A758AA"/>
    <w:rsid w:val="00A8075F"/>
    <w:rsid w:val="00A847C7"/>
    <w:rsid w:val="00A96AD2"/>
    <w:rsid w:val="00AA09A2"/>
    <w:rsid w:val="00AA65DC"/>
    <w:rsid w:val="00AA7996"/>
    <w:rsid w:val="00AB3141"/>
    <w:rsid w:val="00AC19CB"/>
    <w:rsid w:val="00AD11B8"/>
    <w:rsid w:val="00AE212D"/>
    <w:rsid w:val="00AE5488"/>
    <w:rsid w:val="00AE6F91"/>
    <w:rsid w:val="00AF1AF9"/>
    <w:rsid w:val="00AF5571"/>
    <w:rsid w:val="00B0247A"/>
    <w:rsid w:val="00B05FBE"/>
    <w:rsid w:val="00B07341"/>
    <w:rsid w:val="00B27DA2"/>
    <w:rsid w:val="00B30539"/>
    <w:rsid w:val="00B314DB"/>
    <w:rsid w:val="00B361F2"/>
    <w:rsid w:val="00B3718B"/>
    <w:rsid w:val="00B3745F"/>
    <w:rsid w:val="00B4632A"/>
    <w:rsid w:val="00B530F1"/>
    <w:rsid w:val="00B54326"/>
    <w:rsid w:val="00B83158"/>
    <w:rsid w:val="00B839E1"/>
    <w:rsid w:val="00B8488B"/>
    <w:rsid w:val="00B93D7F"/>
    <w:rsid w:val="00B9773B"/>
    <w:rsid w:val="00BA2401"/>
    <w:rsid w:val="00BA276C"/>
    <w:rsid w:val="00BA27E4"/>
    <w:rsid w:val="00BA2AE2"/>
    <w:rsid w:val="00BB019D"/>
    <w:rsid w:val="00BB306F"/>
    <w:rsid w:val="00BB6B26"/>
    <w:rsid w:val="00BD0FF5"/>
    <w:rsid w:val="00BD4B89"/>
    <w:rsid w:val="00BD5922"/>
    <w:rsid w:val="00BE0F43"/>
    <w:rsid w:val="00BF02CB"/>
    <w:rsid w:val="00BF6FD8"/>
    <w:rsid w:val="00C015F0"/>
    <w:rsid w:val="00C03680"/>
    <w:rsid w:val="00C054DF"/>
    <w:rsid w:val="00C1359B"/>
    <w:rsid w:val="00C21762"/>
    <w:rsid w:val="00C21FEF"/>
    <w:rsid w:val="00C23BA4"/>
    <w:rsid w:val="00C24543"/>
    <w:rsid w:val="00C256A2"/>
    <w:rsid w:val="00C25ADB"/>
    <w:rsid w:val="00C416BC"/>
    <w:rsid w:val="00C442C0"/>
    <w:rsid w:val="00C51515"/>
    <w:rsid w:val="00C5660B"/>
    <w:rsid w:val="00C56831"/>
    <w:rsid w:val="00C66B72"/>
    <w:rsid w:val="00C721DB"/>
    <w:rsid w:val="00C87AC4"/>
    <w:rsid w:val="00C9124E"/>
    <w:rsid w:val="00C9567A"/>
    <w:rsid w:val="00CB212D"/>
    <w:rsid w:val="00CB2660"/>
    <w:rsid w:val="00CC5E90"/>
    <w:rsid w:val="00CD046C"/>
    <w:rsid w:val="00CE076C"/>
    <w:rsid w:val="00CE2B69"/>
    <w:rsid w:val="00CE5199"/>
    <w:rsid w:val="00CE66D5"/>
    <w:rsid w:val="00CF637A"/>
    <w:rsid w:val="00D059DE"/>
    <w:rsid w:val="00D05ABD"/>
    <w:rsid w:val="00D13189"/>
    <w:rsid w:val="00D13FCE"/>
    <w:rsid w:val="00D157D8"/>
    <w:rsid w:val="00D306D1"/>
    <w:rsid w:val="00D30800"/>
    <w:rsid w:val="00D34786"/>
    <w:rsid w:val="00D37BFC"/>
    <w:rsid w:val="00D43178"/>
    <w:rsid w:val="00D471A2"/>
    <w:rsid w:val="00D47A8E"/>
    <w:rsid w:val="00D51094"/>
    <w:rsid w:val="00D52D14"/>
    <w:rsid w:val="00D712D3"/>
    <w:rsid w:val="00D71422"/>
    <w:rsid w:val="00D72DC6"/>
    <w:rsid w:val="00D7504E"/>
    <w:rsid w:val="00D7558D"/>
    <w:rsid w:val="00D77709"/>
    <w:rsid w:val="00D81D92"/>
    <w:rsid w:val="00D876F9"/>
    <w:rsid w:val="00D91B3D"/>
    <w:rsid w:val="00D92F63"/>
    <w:rsid w:val="00DA7B5F"/>
    <w:rsid w:val="00DB4FFB"/>
    <w:rsid w:val="00DC11E7"/>
    <w:rsid w:val="00DC24E3"/>
    <w:rsid w:val="00DC7023"/>
    <w:rsid w:val="00DC769A"/>
    <w:rsid w:val="00DD3D86"/>
    <w:rsid w:val="00DD4AD2"/>
    <w:rsid w:val="00DE077D"/>
    <w:rsid w:val="00DE0A58"/>
    <w:rsid w:val="00DE2862"/>
    <w:rsid w:val="00DF1EC4"/>
    <w:rsid w:val="00DF7F48"/>
    <w:rsid w:val="00E026D3"/>
    <w:rsid w:val="00E0340B"/>
    <w:rsid w:val="00E04A90"/>
    <w:rsid w:val="00E0551F"/>
    <w:rsid w:val="00E219C7"/>
    <w:rsid w:val="00E2321A"/>
    <w:rsid w:val="00E313BA"/>
    <w:rsid w:val="00E40E47"/>
    <w:rsid w:val="00E410B9"/>
    <w:rsid w:val="00E4118C"/>
    <w:rsid w:val="00E43157"/>
    <w:rsid w:val="00E43988"/>
    <w:rsid w:val="00E461CE"/>
    <w:rsid w:val="00E46F5E"/>
    <w:rsid w:val="00E573E4"/>
    <w:rsid w:val="00E6042A"/>
    <w:rsid w:val="00E64C3D"/>
    <w:rsid w:val="00E656B2"/>
    <w:rsid w:val="00E65776"/>
    <w:rsid w:val="00E720CA"/>
    <w:rsid w:val="00E84EB5"/>
    <w:rsid w:val="00E85662"/>
    <w:rsid w:val="00E8697B"/>
    <w:rsid w:val="00E8789F"/>
    <w:rsid w:val="00E97B71"/>
    <w:rsid w:val="00E97E7D"/>
    <w:rsid w:val="00EA3D34"/>
    <w:rsid w:val="00EB1149"/>
    <w:rsid w:val="00EB454D"/>
    <w:rsid w:val="00EB77C7"/>
    <w:rsid w:val="00EC3073"/>
    <w:rsid w:val="00ED549D"/>
    <w:rsid w:val="00ED5E10"/>
    <w:rsid w:val="00ED76BE"/>
    <w:rsid w:val="00EE00E9"/>
    <w:rsid w:val="00EE36C0"/>
    <w:rsid w:val="00EE70BA"/>
    <w:rsid w:val="00EE7778"/>
    <w:rsid w:val="00EF1AAA"/>
    <w:rsid w:val="00EF619B"/>
    <w:rsid w:val="00F00B55"/>
    <w:rsid w:val="00F02AD1"/>
    <w:rsid w:val="00F17870"/>
    <w:rsid w:val="00F253CC"/>
    <w:rsid w:val="00F37106"/>
    <w:rsid w:val="00F37489"/>
    <w:rsid w:val="00F44E25"/>
    <w:rsid w:val="00F4699B"/>
    <w:rsid w:val="00F47A4D"/>
    <w:rsid w:val="00F519CF"/>
    <w:rsid w:val="00F56BA5"/>
    <w:rsid w:val="00F60C89"/>
    <w:rsid w:val="00F60E22"/>
    <w:rsid w:val="00F71A15"/>
    <w:rsid w:val="00F80D59"/>
    <w:rsid w:val="00F81395"/>
    <w:rsid w:val="00F81BB8"/>
    <w:rsid w:val="00F8227D"/>
    <w:rsid w:val="00F859BF"/>
    <w:rsid w:val="00F909E7"/>
    <w:rsid w:val="00F90C64"/>
    <w:rsid w:val="00F917D1"/>
    <w:rsid w:val="00F9653B"/>
    <w:rsid w:val="00F97F6F"/>
    <w:rsid w:val="00FA641A"/>
    <w:rsid w:val="00FB62CF"/>
    <w:rsid w:val="00FC6219"/>
    <w:rsid w:val="00FD3C3B"/>
    <w:rsid w:val="00FE07DD"/>
    <w:rsid w:val="00FE2DEF"/>
    <w:rsid w:val="00FE6B45"/>
    <w:rsid w:val="00FF55F3"/>
    <w:rsid w:val="00FF5851"/>
    <w:rsid w:val="00FF798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839E1"/>
    <w:rPr>
      <w:sz w:val="16"/>
      <w:szCs w:val="16"/>
    </w:rPr>
  </w:style>
  <w:style w:type="paragraph" w:styleId="CommentText">
    <w:name w:val="annotation text"/>
    <w:basedOn w:val="Normal"/>
    <w:link w:val="CommentTextChar"/>
    <w:uiPriority w:val="99"/>
    <w:semiHidden/>
    <w:unhideWhenUsed/>
    <w:rsid w:val="00B839E1"/>
    <w:rPr>
      <w:sz w:val="20"/>
      <w:szCs w:val="20"/>
    </w:rPr>
  </w:style>
  <w:style w:type="character" w:customStyle="1" w:styleId="CommentTextChar">
    <w:name w:val="Comment Text Char"/>
    <w:basedOn w:val="DefaultParagraphFont"/>
    <w:link w:val="CommentText"/>
    <w:uiPriority w:val="99"/>
    <w:semiHidden/>
    <w:rsid w:val="00B839E1"/>
    <w:rPr>
      <w:lang w:val="en-US" w:eastAsia="en-US"/>
    </w:rPr>
  </w:style>
  <w:style w:type="paragraph" w:styleId="CommentSubject">
    <w:name w:val="annotation subject"/>
    <w:basedOn w:val="CommentText"/>
    <w:next w:val="CommentText"/>
    <w:link w:val="CommentSubjectChar"/>
    <w:uiPriority w:val="99"/>
    <w:semiHidden/>
    <w:unhideWhenUsed/>
    <w:rsid w:val="00B839E1"/>
    <w:rPr>
      <w:b/>
      <w:bCs/>
    </w:rPr>
  </w:style>
  <w:style w:type="character" w:customStyle="1" w:styleId="CommentSubjectChar">
    <w:name w:val="Comment Subject Char"/>
    <w:basedOn w:val="CommentTextChar"/>
    <w:link w:val="CommentSubject"/>
    <w:uiPriority w:val="99"/>
    <w:semiHidden/>
    <w:rsid w:val="00B839E1"/>
    <w:rPr>
      <w:b/>
      <w:bCs/>
      <w:lang w:val="en-US" w:eastAsia="en-US"/>
    </w:rPr>
  </w:style>
  <w:style w:type="paragraph" w:customStyle="1" w:styleId="paragraph">
    <w:name w:val="paragraph"/>
    <w:basedOn w:val="Normal"/>
    <w:rsid w:val="00BA2A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A2AE2"/>
  </w:style>
  <w:style w:type="character" w:customStyle="1" w:styleId="eop">
    <w:name w:val="eop"/>
    <w:basedOn w:val="DefaultParagraphFont"/>
    <w:rsid w:val="00BA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al.un.org/ilc/texts/instruments/english/commentaries/9_6_20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12409"/>
    <w:rsid w:val="0025245B"/>
    <w:rsid w:val="002A3923"/>
    <w:rsid w:val="00394049"/>
    <w:rsid w:val="003B0C71"/>
    <w:rsid w:val="003B4EB1"/>
    <w:rsid w:val="003D2EA0"/>
    <w:rsid w:val="00493406"/>
    <w:rsid w:val="004B5BBB"/>
    <w:rsid w:val="004F2DF8"/>
    <w:rsid w:val="00517E2A"/>
    <w:rsid w:val="00691564"/>
    <w:rsid w:val="006C4FCA"/>
    <w:rsid w:val="006D12AA"/>
    <w:rsid w:val="006F24A1"/>
    <w:rsid w:val="007E201D"/>
    <w:rsid w:val="00875B8A"/>
    <w:rsid w:val="009A261B"/>
    <w:rsid w:val="00AA2E17"/>
    <w:rsid w:val="00AC15A4"/>
    <w:rsid w:val="00B0336C"/>
    <w:rsid w:val="00D241E9"/>
    <w:rsid w:val="00D7750D"/>
    <w:rsid w:val="00E26EC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2928</Words>
  <Characters>16693</Characters>
  <Application>Microsoft Office Word</Application>
  <DocSecurity>0</DocSecurity>
  <Lines>139</Lines>
  <Paragraphs>39</Paragraphs>
  <ScaleCrop>false</ScaleCrop>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2023-07-10T21:36:00Z</dcterms:created>
  <dcterms:modified xsi:type="dcterms:W3CDTF">2023-07-10T21:36:00Z</dcterms:modified>
</cp:coreProperties>
</file>