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B95A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52EC19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10A47">
                              <w:rPr>
                                <w:rFonts w:asciiTheme="majorHAnsi" w:hAnsiTheme="majorHAnsi" w:cs="Arial"/>
                                <w:b/>
                                <w:bCs/>
                                <w:color w:val="0D0D0D" w:themeColor="text1" w:themeTint="F2"/>
                                <w:sz w:val="36"/>
                                <w:szCs w:val="22"/>
                                <w:lang w:val="es-ES_tradnl"/>
                              </w:rPr>
                              <w:t>80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312B02F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82E09">
                              <w:rPr>
                                <w:rFonts w:asciiTheme="majorHAnsi" w:hAnsiTheme="majorHAnsi" w:cs="Arial"/>
                                <w:b/>
                                <w:color w:val="0D0D0D" w:themeColor="text1" w:themeTint="F2"/>
                                <w:sz w:val="36"/>
                                <w:szCs w:val="22"/>
                                <w:lang w:val="es-ES_tradnl"/>
                              </w:rPr>
                              <w:t>1</w:t>
                            </w:r>
                            <w:r w:rsidR="002B4477">
                              <w:rPr>
                                <w:rFonts w:asciiTheme="majorHAnsi" w:hAnsiTheme="majorHAnsi" w:cs="Arial"/>
                                <w:b/>
                                <w:color w:val="0D0D0D" w:themeColor="text1" w:themeTint="F2"/>
                                <w:sz w:val="36"/>
                                <w:szCs w:val="22"/>
                                <w:lang w:val="es-ES_tradnl"/>
                              </w:rPr>
                              <w:t>7</w:t>
                            </w:r>
                            <w:r w:rsidR="004A47CF">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w:t>
                            </w:r>
                            <w:r w:rsidR="002B4477">
                              <w:rPr>
                                <w:rFonts w:asciiTheme="majorHAnsi" w:hAnsiTheme="majorHAnsi" w:cs="Arial"/>
                                <w:b/>
                                <w:color w:val="0D0D0D" w:themeColor="text1" w:themeTint="F2"/>
                                <w:sz w:val="36"/>
                                <w:szCs w:val="22"/>
                                <w:lang w:val="es-ES_tradnl"/>
                              </w:rPr>
                              <w:t>1</w:t>
                            </w:r>
                            <w:r w:rsidR="004A47CF">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70CF6833" w14:textId="7DD960D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D5FEC4B" w:rsidR="005B52B0" w:rsidRPr="0010736F" w:rsidRDefault="004347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ARVEY CONGO </w:t>
                            </w:r>
                            <w:r w:rsidR="00A207CA">
                              <w:rPr>
                                <w:rFonts w:asciiTheme="majorHAnsi" w:hAnsiTheme="majorHAnsi" w:cs="Arial"/>
                                <w:color w:val="0D0D0D" w:themeColor="text1" w:themeTint="F2"/>
                                <w:szCs w:val="22"/>
                                <w:lang w:val="es-ES_tradnl"/>
                              </w:rPr>
                              <w:t>ANGULO Y OTROS</w:t>
                            </w:r>
                          </w:p>
                          <w:bookmarkEnd w:id="0"/>
                          <w:p w14:paraId="35068D0D" w14:textId="2CD4B710" w:rsidR="005B52B0" w:rsidRPr="0010736F" w:rsidRDefault="004A47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5433A7" w:rsidRDefault="005B52B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52EC19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10A47">
                        <w:rPr>
                          <w:rFonts w:asciiTheme="majorHAnsi" w:hAnsiTheme="majorHAnsi" w:cs="Arial"/>
                          <w:b/>
                          <w:bCs/>
                          <w:color w:val="0D0D0D" w:themeColor="text1" w:themeTint="F2"/>
                          <w:sz w:val="36"/>
                          <w:szCs w:val="22"/>
                          <w:lang w:val="es-ES_tradnl"/>
                        </w:rPr>
                        <w:t>80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312B02F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82E09">
                        <w:rPr>
                          <w:rFonts w:asciiTheme="majorHAnsi" w:hAnsiTheme="majorHAnsi" w:cs="Arial"/>
                          <w:b/>
                          <w:color w:val="0D0D0D" w:themeColor="text1" w:themeTint="F2"/>
                          <w:sz w:val="36"/>
                          <w:szCs w:val="22"/>
                          <w:lang w:val="es-ES_tradnl"/>
                        </w:rPr>
                        <w:t>1</w:t>
                      </w:r>
                      <w:r w:rsidR="002B4477">
                        <w:rPr>
                          <w:rFonts w:asciiTheme="majorHAnsi" w:hAnsiTheme="majorHAnsi" w:cs="Arial"/>
                          <w:b/>
                          <w:color w:val="0D0D0D" w:themeColor="text1" w:themeTint="F2"/>
                          <w:sz w:val="36"/>
                          <w:szCs w:val="22"/>
                          <w:lang w:val="es-ES_tradnl"/>
                        </w:rPr>
                        <w:t>7</w:t>
                      </w:r>
                      <w:r w:rsidR="004A47CF">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w:t>
                      </w:r>
                      <w:r w:rsidR="002B4477">
                        <w:rPr>
                          <w:rFonts w:asciiTheme="majorHAnsi" w:hAnsiTheme="majorHAnsi" w:cs="Arial"/>
                          <w:b/>
                          <w:color w:val="0D0D0D" w:themeColor="text1" w:themeTint="F2"/>
                          <w:sz w:val="36"/>
                          <w:szCs w:val="22"/>
                          <w:lang w:val="es-ES_tradnl"/>
                        </w:rPr>
                        <w:t>1</w:t>
                      </w:r>
                      <w:r w:rsidR="004A47CF">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70CF6833" w14:textId="7DD960D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D5FEC4B" w:rsidR="005B52B0" w:rsidRPr="0010736F" w:rsidRDefault="004347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ARVEY CONGO </w:t>
                      </w:r>
                      <w:r w:rsidR="00A207CA">
                        <w:rPr>
                          <w:rFonts w:asciiTheme="majorHAnsi" w:hAnsiTheme="majorHAnsi" w:cs="Arial"/>
                          <w:color w:val="0D0D0D" w:themeColor="text1" w:themeTint="F2"/>
                          <w:szCs w:val="22"/>
                          <w:lang w:val="es-ES_tradnl"/>
                        </w:rPr>
                        <w:t>ANGULO Y OTROS</w:t>
                      </w:r>
                    </w:p>
                    <w:bookmarkEnd w:id="1"/>
                    <w:p w14:paraId="35068D0D" w14:textId="2CD4B710" w:rsidR="005B52B0" w:rsidRPr="0010736F" w:rsidRDefault="004A47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5433A7" w:rsidRDefault="005B52B0" w:rsidP="007A5817">
                      <w:pPr>
                        <w:rPr>
                          <w:color w:val="0D0D0D" w:themeColor="text1" w:themeTint="F2"/>
                          <w:lang w:val="es-ES"/>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BCA9D44" w:rsidR="00627C9F" w:rsidRPr="00E505C0" w:rsidRDefault="00834D49" w:rsidP="007A5817">
                            <w:pPr>
                              <w:spacing w:line="276" w:lineRule="auto"/>
                              <w:jc w:val="right"/>
                              <w:rPr>
                                <w:rFonts w:asciiTheme="minorHAnsi" w:hAnsiTheme="minorHAnsi"/>
                                <w:color w:val="FFFFFF" w:themeColor="background1"/>
                                <w:sz w:val="22"/>
                                <w:lang w:val="es-ES"/>
                              </w:rPr>
                            </w:pPr>
                            <w:r w:rsidRPr="00E505C0">
                              <w:rPr>
                                <w:rFonts w:asciiTheme="minorHAnsi" w:hAnsiTheme="minorHAnsi"/>
                                <w:color w:val="FFFFFF" w:themeColor="background1"/>
                                <w:sz w:val="22"/>
                                <w:lang w:val="es-ES"/>
                              </w:rPr>
                              <w:t>OEA/Ser.L/V/II</w:t>
                            </w:r>
                          </w:p>
                          <w:p w14:paraId="6A41611B" w14:textId="35F2DC23" w:rsidR="00627C9F" w:rsidRPr="00E505C0" w:rsidRDefault="00627C9F" w:rsidP="007A5817">
                            <w:pPr>
                              <w:spacing w:line="276" w:lineRule="auto"/>
                              <w:jc w:val="right"/>
                              <w:rPr>
                                <w:rFonts w:asciiTheme="minorHAnsi" w:hAnsiTheme="minorHAnsi"/>
                                <w:color w:val="FFFFFF" w:themeColor="background1"/>
                                <w:sz w:val="22"/>
                                <w:lang w:val="es-ES"/>
                              </w:rPr>
                            </w:pPr>
                            <w:r w:rsidRPr="00E505C0">
                              <w:rPr>
                                <w:rFonts w:asciiTheme="minorHAnsi" w:hAnsiTheme="minorHAnsi"/>
                                <w:color w:val="FFFFFF" w:themeColor="background1"/>
                                <w:sz w:val="22"/>
                                <w:lang w:val="es-ES"/>
                              </w:rPr>
                              <w:t xml:space="preserve">Doc. </w:t>
                            </w:r>
                            <w:r w:rsidR="00410A47" w:rsidRPr="00E505C0">
                              <w:rPr>
                                <w:rFonts w:asciiTheme="minorHAnsi" w:hAnsiTheme="minorHAnsi"/>
                                <w:color w:val="FFFFFF" w:themeColor="background1"/>
                                <w:sz w:val="22"/>
                                <w:lang w:val="es-ES"/>
                              </w:rPr>
                              <w:t>88</w:t>
                            </w:r>
                          </w:p>
                          <w:p w14:paraId="69373ED2" w14:textId="4322A89D" w:rsidR="00627C9F" w:rsidRPr="00C25ADB" w:rsidRDefault="00F950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BCA9D44" w:rsidR="00627C9F" w:rsidRPr="00E505C0" w:rsidRDefault="00834D49" w:rsidP="007A5817">
                      <w:pPr>
                        <w:spacing w:line="276" w:lineRule="auto"/>
                        <w:jc w:val="right"/>
                        <w:rPr>
                          <w:rFonts w:asciiTheme="minorHAnsi" w:hAnsiTheme="minorHAnsi"/>
                          <w:color w:val="FFFFFF" w:themeColor="background1"/>
                          <w:sz w:val="22"/>
                          <w:lang w:val="es-ES"/>
                        </w:rPr>
                      </w:pPr>
                      <w:r w:rsidRPr="00E505C0">
                        <w:rPr>
                          <w:rFonts w:asciiTheme="minorHAnsi" w:hAnsiTheme="minorHAnsi"/>
                          <w:color w:val="FFFFFF" w:themeColor="background1"/>
                          <w:sz w:val="22"/>
                          <w:lang w:val="es-ES"/>
                        </w:rPr>
                        <w:t>OEA/Ser.L/V/II</w:t>
                      </w:r>
                    </w:p>
                    <w:p w14:paraId="6A41611B" w14:textId="35F2DC23" w:rsidR="00627C9F" w:rsidRPr="00E505C0" w:rsidRDefault="00627C9F" w:rsidP="007A5817">
                      <w:pPr>
                        <w:spacing w:line="276" w:lineRule="auto"/>
                        <w:jc w:val="right"/>
                        <w:rPr>
                          <w:rFonts w:asciiTheme="minorHAnsi" w:hAnsiTheme="minorHAnsi"/>
                          <w:color w:val="FFFFFF" w:themeColor="background1"/>
                          <w:sz w:val="22"/>
                          <w:lang w:val="es-ES"/>
                        </w:rPr>
                      </w:pPr>
                      <w:r w:rsidRPr="00E505C0">
                        <w:rPr>
                          <w:rFonts w:asciiTheme="minorHAnsi" w:hAnsiTheme="minorHAnsi"/>
                          <w:color w:val="FFFFFF" w:themeColor="background1"/>
                          <w:sz w:val="22"/>
                          <w:lang w:val="es-ES"/>
                        </w:rPr>
                        <w:t xml:space="preserve">Doc. </w:t>
                      </w:r>
                      <w:r w:rsidR="00410A47" w:rsidRPr="00E505C0">
                        <w:rPr>
                          <w:rFonts w:asciiTheme="minorHAnsi" w:hAnsiTheme="minorHAnsi"/>
                          <w:color w:val="FFFFFF" w:themeColor="background1"/>
                          <w:sz w:val="22"/>
                          <w:lang w:val="es-ES"/>
                        </w:rPr>
                        <w:t>88</w:t>
                      </w:r>
                    </w:p>
                    <w:p w14:paraId="69373ED2" w14:textId="4322A89D" w:rsidR="00627C9F" w:rsidRPr="00C25ADB" w:rsidRDefault="00F950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EF2ED5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03F6D">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103F6D">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103F6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EF2ED5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03F6D">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103F6D">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103F6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5A104E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3F6D" w:rsidRPr="00103F6D">
                              <w:rPr>
                                <w:rFonts w:asciiTheme="majorHAnsi" w:hAnsiTheme="majorHAnsi"/>
                                <w:color w:val="595959" w:themeColor="text1" w:themeTint="A6"/>
                                <w:sz w:val="18"/>
                                <w:szCs w:val="18"/>
                                <w:lang w:val="pt-BR"/>
                              </w:rPr>
                              <w:t>80</w:t>
                            </w:r>
                            <w:r w:rsidR="007B05C4" w:rsidRPr="00103F6D">
                              <w:rPr>
                                <w:rFonts w:asciiTheme="majorHAnsi" w:hAnsiTheme="majorHAnsi"/>
                                <w:color w:val="595959" w:themeColor="text1" w:themeTint="A6"/>
                                <w:sz w:val="18"/>
                                <w:szCs w:val="18"/>
                                <w:lang w:val="pt-BR"/>
                              </w:rPr>
                              <w:t>/</w:t>
                            </w:r>
                            <w:r w:rsidR="00103F6D" w:rsidRPr="00103F6D">
                              <w:rPr>
                                <w:rFonts w:asciiTheme="majorHAnsi" w:hAnsiTheme="majorHAnsi"/>
                                <w:color w:val="595959" w:themeColor="text1" w:themeTint="A6"/>
                                <w:sz w:val="18"/>
                                <w:szCs w:val="18"/>
                                <w:lang w:val="pt-BR"/>
                              </w:rPr>
                              <w:t>23</w:t>
                            </w:r>
                            <w:r w:rsidRPr="00103F6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C7F2F">
                              <w:rPr>
                                <w:rFonts w:asciiTheme="majorHAnsi" w:hAnsiTheme="majorHAnsi"/>
                                <w:color w:val="595959" w:themeColor="text1" w:themeTint="A6"/>
                                <w:sz w:val="18"/>
                                <w:szCs w:val="18"/>
                                <w:lang w:val="es-ES"/>
                              </w:rPr>
                              <w:t>173</w:t>
                            </w:r>
                            <w:r w:rsidR="000433C9">
                              <w:rPr>
                                <w:rFonts w:asciiTheme="majorHAnsi" w:hAnsiTheme="majorHAnsi"/>
                                <w:color w:val="595959" w:themeColor="text1" w:themeTint="A6"/>
                                <w:sz w:val="18"/>
                                <w:szCs w:val="18"/>
                                <w:lang w:val="es-ES"/>
                              </w:rPr>
                              <w:t>-</w:t>
                            </w:r>
                            <w:r w:rsidR="002C7F2F">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C7F2F">
                              <w:rPr>
                                <w:rFonts w:asciiTheme="majorHAnsi" w:hAnsiTheme="majorHAnsi"/>
                                <w:color w:val="595959" w:themeColor="text1" w:themeTint="A6"/>
                                <w:sz w:val="18"/>
                                <w:szCs w:val="18"/>
                                <w:lang w:val="es-ES_tradnl"/>
                              </w:rPr>
                              <w:t>Arvey Congo Angulo</w:t>
                            </w:r>
                            <w:r w:rsidR="00103F6D">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453D8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03F6D">
                              <w:rPr>
                                <w:rFonts w:asciiTheme="majorHAnsi" w:hAnsiTheme="majorHAnsi"/>
                                <w:color w:val="595959" w:themeColor="text1" w:themeTint="A6"/>
                                <w:sz w:val="18"/>
                                <w:szCs w:val="18"/>
                                <w:lang w:val="es-ES"/>
                              </w:rPr>
                              <w:t>7 de junio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5A104E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3F6D" w:rsidRPr="00103F6D">
                        <w:rPr>
                          <w:rFonts w:asciiTheme="majorHAnsi" w:hAnsiTheme="majorHAnsi"/>
                          <w:color w:val="595959" w:themeColor="text1" w:themeTint="A6"/>
                          <w:sz w:val="18"/>
                          <w:szCs w:val="18"/>
                          <w:lang w:val="pt-BR"/>
                        </w:rPr>
                        <w:t>80</w:t>
                      </w:r>
                      <w:r w:rsidR="007B05C4" w:rsidRPr="00103F6D">
                        <w:rPr>
                          <w:rFonts w:asciiTheme="majorHAnsi" w:hAnsiTheme="majorHAnsi"/>
                          <w:color w:val="595959" w:themeColor="text1" w:themeTint="A6"/>
                          <w:sz w:val="18"/>
                          <w:szCs w:val="18"/>
                          <w:lang w:val="pt-BR"/>
                        </w:rPr>
                        <w:t>/</w:t>
                      </w:r>
                      <w:r w:rsidR="00103F6D" w:rsidRPr="00103F6D">
                        <w:rPr>
                          <w:rFonts w:asciiTheme="majorHAnsi" w:hAnsiTheme="majorHAnsi"/>
                          <w:color w:val="595959" w:themeColor="text1" w:themeTint="A6"/>
                          <w:sz w:val="18"/>
                          <w:szCs w:val="18"/>
                          <w:lang w:val="pt-BR"/>
                        </w:rPr>
                        <w:t>23</w:t>
                      </w:r>
                      <w:r w:rsidRPr="00103F6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C7F2F">
                        <w:rPr>
                          <w:rFonts w:asciiTheme="majorHAnsi" w:hAnsiTheme="majorHAnsi"/>
                          <w:color w:val="595959" w:themeColor="text1" w:themeTint="A6"/>
                          <w:sz w:val="18"/>
                          <w:szCs w:val="18"/>
                          <w:lang w:val="es-ES"/>
                        </w:rPr>
                        <w:t>173</w:t>
                      </w:r>
                      <w:r w:rsidR="000433C9">
                        <w:rPr>
                          <w:rFonts w:asciiTheme="majorHAnsi" w:hAnsiTheme="majorHAnsi"/>
                          <w:color w:val="595959" w:themeColor="text1" w:themeTint="A6"/>
                          <w:sz w:val="18"/>
                          <w:szCs w:val="18"/>
                          <w:lang w:val="es-ES"/>
                        </w:rPr>
                        <w:t>-</w:t>
                      </w:r>
                      <w:r w:rsidR="002C7F2F">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C7F2F">
                        <w:rPr>
                          <w:rFonts w:asciiTheme="majorHAnsi" w:hAnsiTheme="majorHAnsi"/>
                          <w:color w:val="595959" w:themeColor="text1" w:themeTint="A6"/>
                          <w:sz w:val="18"/>
                          <w:szCs w:val="18"/>
                          <w:lang w:val="es-ES_tradnl"/>
                        </w:rPr>
                        <w:t>Arvey Congo Angulo</w:t>
                      </w:r>
                      <w:r w:rsidR="00103F6D">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453D8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03F6D">
                        <w:rPr>
                          <w:rFonts w:asciiTheme="majorHAnsi" w:hAnsiTheme="majorHAnsi"/>
                          <w:color w:val="595959" w:themeColor="text1" w:themeTint="A6"/>
                          <w:sz w:val="18"/>
                          <w:szCs w:val="18"/>
                          <w:lang w:val="es-ES"/>
                        </w:rPr>
                        <w:t>7 de junio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C1672CB" w:rsidR="00D72DC6" w:rsidRPr="00D72DC6" w:rsidRDefault="00B66807" w:rsidP="00F02AD1">
                            <w:pPr>
                              <w:rPr>
                                <w:color w:val="FFFFFF" w:themeColor="background1"/>
                                <w14:textFill>
                                  <w14:noFill/>
                                </w14:textFill>
                              </w:rPr>
                            </w:pPr>
                            <w:r>
                              <w:rPr>
                                <w:noProof/>
                                <w:color w:val="FFFFFF" w:themeColor="background1"/>
                              </w:rPr>
                              <w:drawing>
                                <wp:inline distT="0" distB="0" distL="0" distR="0" wp14:anchorId="543E8267" wp14:editId="7D1D8D2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0C1672CB" w:rsidR="00D72DC6" w:rsidRPr="00D72DC6" w:rsidRDefault="00B66807" w:rsidP="00F02AD1">
                      <w:pPr>
                        <w:rPr>
                          <w:color w:val="FFFFFF" w:themeColor="background1"/>
                          <w14:textFill>
                            <w14:noFill/>
                          </w14:textFill>
                        </w:rPr>
                      </w:pPr>
                      <w:r>
                        <w:rPr>
                          <w:noProof/>
                          <w:color w:val="FFFFFF" w:themeColor="background1"/>
                        </w:rPr>
                        <w:drawing>
                          <wp:inline distT="0" distB="0" distL="0" distR="0" wp14:anchorId="543E8267" wp14:editId="7D1D8D2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163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2C7F2F" w:rsidRDefault="003239B8" w:rsidP="008D2290">
            <w:pPr>
              <w:jc w:val="center"/>
              <w:rPr>
                <w:rFonts w:asciiTheme="majorHAnsi" w:hAnsiTheme="majorHAnsi"/>
                <w:b/>
                <w:bCs/>
                <w:color w:val="FFFFFF" w:themeColor="background1"/>
                <w:sz w:val="20"/>
                <w:szCs w:val="20"/>
              </w:rPr>
            </w:pPr>
            <w:r w:rsidRPr="002C7F2F">
              <w:rPr>
                <w:rFonts w:asciiTheme="majorHAnsi" w:hAnsiTheme="majorHAnsi"/>
                <w:b/>
                <w:bCs/>
                <w:color w:val="FFFFFF" w:themeColor="background1"/>
                <w:sz w:val="20"/>
                <w:szCs w:val="20"/>
              </w:rPr>
              <w:t>Parte peticionaria:</w:t>
            </w:r>
          </w:p>
        </w:tc>
        <w:tc>
          <w:tcPr>
            <w:tcW w:w="5760" w:type="dxa"/>
            <w:vAlign w:val="center"/>
          </w:tcPr>
          <w:p w14:paraId="3C5315D8" w14:textId="15230ACB" w:rsidR="003239B8" w:rsidRPr="002C7F2F" w:rsidRDefault="002C7F2F" w:rsidP="008D2290">
            <w:pPr>
              <w:jc w:val="both"/>
              <w:rPr>
                <w:rFonts w:asciiTheme="majorHAnsi" w:hAnsiTheme="majorHAnsi"/>
                <w:bCs/>
                <w:sz w:val="20"/>
                <w:szCs w:val="20"/>
                <w:lang w:val="es-US"/>
              </w:rPr>
            </w:pPr>
            <w:r w:rsidRPr="002C7F2F">
              <w:rPr>
                <w:rFonts w:asciiTheme="majorHAnsi" w:hAnsiTheme="majorHAnsi"/>
                <w:bCs/>
                <w:sz w:val="20"/>
                <w:szCs w:val="20"/>
                <w:lang w:val="es-US"/>
              </w:rPr>
              <w:t>María Teresa Baeza Molina y Martha Lucia Arango Arias</w:t>
            </w:r>
          </w:p>
        </w:tc>
      </w:tr>
      <w:tr w:rsidR="003239B8" w:rsidRPr="00D1163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2C7F2F" w:rsidRDefault="006B7CF4"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C7F2F">
                  <w:rPr>
                    <w:rFonts w:asciiTheme="majorHAnsi" w:hAnsiTheme="majorHAnsi"/>
                    <w:b/>
                    <w:bCs/>
                    <w:color w:val="FFFFFF" w:themeColor="background1"/>
                    <w:sz w:val="20"/>
                    <w:szCs w:val="20"/>
                  </w:rPr>
                  <w:t>Presunta víctima</w:t>
                </w:r>
              </w:sdtContent>
            </w:sdt>
            <w:r w:rsidR="003239B8" w:rsidRPr="002C7F2F">
              <w:rPr>
                <w:rFonts w:asciiTheme="majorHAnsi" w:hAnsiTheme="majorHAnsi"/>
                <w:b/>
                <w:bCs/>
                <w:color w:val="FFFFFF" w:themeColor="background1"/>
                <w:sz w:val="20"/>
                <w:szCs w:val="20"/>
              </w:rPr>
              <w:t>:</w:t>
            </w:r>
          </w:p>
        </w:tc>
        <w:tc>
          <w:tcPr>
            <w:tcW w:w="5760" w:type="dxa"/>
            <w:vAlign w:val="center"/>
          </w:tcPr>
          <w:p w14:paraId="4AEBF59E" w14:textId="3785C551" w:rsidR="003239B8" w:rsidRPr="002C7F2F" w:rsidRDefault="002C7F2F" w:rsidP="00684BFC">
            <w:pPr>
              <w:rPr>
                <w:rFonts w:asciiTheme="majorHAnsi" w:hAnsiTheme="majorHAnsi"/>
                <w:sz w:val="20"/>
                <w:szCs w:val="20"/>
                <w:lang w:val="es-US"/>
              </w:rPr>
            </w:pPr>
            <w:r w:rsidRPr="002C7F2F">
              <w:rPr>
                <w:rFonts w:asciiTheme="majorHAnsi" w:hAnsiTheme="majorHAnsi"/>
                <w:sz w:val="20"/>
                <w:szCs w:val="20"/>
                <w:lang w:val="es-US"/>
              </w:rPr>
              <w:t>Arvey Congo Angulo y ot</w:t>
            </w:r>
            <w:r>
              <w:rPr>
                <w:rFonts w:asciiTheme="majorHAnsi" w:hAnsiTheme="majorHAnsi"/>
                <w:sz w:val="20"/>
                <w:szCs w:val="20"/>
                <w:lang w:val="es-US"/>
              </w:rPr>
              <w:t>ros</w:t>
            </w:r>
            <w:r w:rsidR="00531ED3">
              <w:rPr>
                <w:rStyle w:val="FootnoteReference"/>
                <w:rFonts w:asciiTheme="majorHAnsi" w:hAnsiTheme="majorHAnsi"/>
                <w:sz w:val="20"/>
                <w:szCs w:val="20"/>
                <w:lang w:val="es-U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3467C53" w:rsidR="003239B8" w:rsidRPr="000D05CB" w:rsidRDefault="002C7F2F" w:rsidP="008D2290">
            <w:pPr>
              <w:jc w:val="both"/>
              <w:rPr>
                <w:rFonts w:ascii="Cambria" w:hAnsi="Cambria"/>
                <w:bCs/>
                <w:sz w:val="20"/>
                <w:szCs w:val="20"/>
              </w:rPr>
            </w:pPr>
            <w:r>
              <w:rPr>
                <w:rFonts w:ascii="Cambria" w:hAnsi="Cambria"/>
                <w:bCs/>
                <w:sz w:val="20"/>
                <w:szCs w:val="20"/>
              </w:rPr>
              <w:t>Colombia</w:t>
            </w:r>
            <w:r>
              <w:rPr>
                <w:rStyle w:val="FootnoteReference"/>
                <w:rFonts w:ascii="Cambria" w:hAnsi="Cambria"/>
                <w:bCs/>
                <w:sz w:val="20"/>
                <w:szCs w:val="20"/>
              </w:rPr>
              <w:footnoteReference w:id="3"/>
            </w:r>
          </w:p>
        </w:tc>
      </w:tr>
      <w:tr w:rsidR="00223A29" w:rsidRPr="00D1163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A213087" w:rsidR="00223A29" w:rsidRPr="00406D7B" w:rsidRDefault="003B329A" w:rsidP="008D2290">
            <w:pPr>
              <w:jc w:val="both"/>
              <w:rPr>
                <w:rFonts w:ascii="Cambria" w:hAnsi="Cambria"/>
                <w:bCs/>
                <w:sz w:val="20"/>
                <w:szCs w:val="20"/>
                <w:lang w:val="es-US"/>
              </w:rPr>
            </w:pPr>
            <w:r>
              <w:rPr>
                <w:rFonts w:ascii="Cambria" w:hAnsi="Cambria"/>
                <w:bCs/>
                <w:sz w:val="20"/>
                <w:szCs w:val="20"/>
                <w:lang w:val="es-ES"/>
              </w:rPr>
              <w:t>Artículos 4 (derecho a la vida),5 (integridad personal), 7 (libertad personal), 8 (garantías judiciales), 10 (derecho a indemnización), 11 (protección de la honra y de la dignidad), 17 (protección a la familia), 22 (derecho de circulación y de residencia), 24 (igualdad ante la ley) y 25 (protección judicial)</w:t>
            </w:r>
            <w:r w:rsidR="00406D7B">
              <w:rPr>
                <w:rFonts w:ascii="Cambria" w:hAnsi="Cambria"/>
                <w:bCs/>
                <w:sz w:val="20"/>
                <w:szCs w:val="20"/>
                <w:lang w:val="es-ES"/>
              </w:rPr>
              <w:t xml:space="preserve"> la Convención Americana sobre Derechos Humanos</w:t>
            </w:r>
            <w:r w:rsidR="00BD586A">
              <w:rPr>
                <w:rStyle w:val="FootnoteReference"/>
                <w:rFonts w:ascii="Cambria" w:hAnsi="Cambria"/>
                <w:bCs/>
                <w:sz w:val="20"/>
                <w:szCs w:val="20"/>
                <w:lang w:val="es-ES"/>
              </w:rPr>
              <w:footnoteReference w:id="4"/>
            </w:r>
            <w:r>
              <w:rPr>
                <w:rFonts w:ascii="Cambria" w:hAnsi="Cambria"/>
                <w:bCs/>
                <w:sz w:val="20"/>
                <w:szCs w:val="20"/>
                <w:lang w:val="es-ES"/>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6CCE784" w:rsidR="004C2312" w:rsidRPr="003239B8" w:rsidRDefault="005433A7" w:rsidP="002625EA">
            <w:pPr>
              <w:jc w:val="both"/>
              <w:rPr>
                <w:rFonts w:ascii="Cambria" w:hAnsi="Cambria"/>
                <w:bCs/>
                <w:sz w:val="20"/>
                <w:szCs w:val="20"/>
                <w:lang w:val="es-ES"/>
              </w:rPr>
            </w:pPr>
            <w:r>
              <w:rPr>
                <w:rFonts w:ascii="Cambria" w:hAnsi="Cambria"/>
                <w:bCs/>
                <w:sz w:val="20"/>
                <w:szCs w:val="20"/>
                <w:lang w:val="es-ES"/>
              </w:rPr>
              <w:t>14 de febrero de 2011</w:t>
            </w:r>
          </w:p>
        </w:tc>
      </w:tr>
      <w:tr w:rsidR="00131425" w:rsidRPr="00D11635"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1B21F37D" w:rsidR="00131425" w:rsidRPr="00B80487" w:rsidRDefault="005433A7" w:rsidP="002625EA">
            <w:pPr>
              <w:jc w:val="both"/>
              <w:rPr>
                <w:rFonts w:ascii="Cambria" w:hAnsi="Cambria"/>
                <w:bCs/>
                <w:sz w:val="20"/>
                <w:szCs w:val="20"/>
                <w:lang w:val="es-US"/>
              </w:rPr>
            </w:pPr>
            <w:r w:rsidRPr="00B80487">
              <w:rPr>
                <w:rFonts w:ascii="Cambria" w:hAnsi="Cambria"/>
                <w:bCs/>
                <w:sz w:val="20"/>
                <w:szCs w:val="20"/>
                <w:lang w:val="es-US"/>
              </w:rPr>
              <w:t>22 de agosto de 2013, 10 de mayo de 2016</w:t>
            </w:r>
            <w:r w:rsidR="00B80487" w:rsidRPr="00B80487">
              <w:rPr>
                <w:rFonts w:ascii="Cambria" w:hAnsi="Cambria"/>
                <w:bCs/>
                <w:sz w:val="20"/>
                <w:szCs w:val="20"/>
                <w:lang w:val="es-US"/>
              </w:rPr>
              <w:t xml:space="preserve">, 9 de </w:t>
            </w:r>
            <w:r w:rsidR="00B80487">
              <w:rPr>
                <w:rFonts w:ascii="Cambria" w:hAnsi="Cambria"/>
                <w:bCs/>
                <w:sz w:val="20"/>
                <w:szCs w:val="20"/>
                <w:lang w:val="es-US"/>
              </w:rPr>
              <w:t>n</w:t>
            </w:r>
            <w:r w:rsidR="00B80487" w:rsidRPr="00B80487">
              <w:rPr>
                <w:rFonts w:ascii="Cambria" w:hAnsi="Cambria"/>
                <w:bCs/>
                <w:sz w:val="20"/>
                <w:szCs w:val="20"/>
                <w:lang w:val="es-US"/>
              </w:rPr>
              <w:t>oviembre de 2016, 11 de noviembre de 2016, 3 de febrero</w:t>
            </w:r>
            <w:r w:rsidR="00B80487">
              <w:rPr>
                <w:rFonts w:ascii="Cambria" w:hAnsi="Cambria"/>
                <w:bCs/>
                <w:sz w:val="20"/>
                <w:szCs w:val="20"/>
                <w:lang w:val="es-US"/>
              </w:rPr>
              <w:t xml:space="preserve"> de 2017, 25 de octubre de 2019</w:t>
            </w:r>
            <w:r w:rsidR="005C1A13">
              <w:rPr>
                <w:rFonts w:ascii="Cambria" w:hAnsi="Cambria"/>
                <w:bCs/>
                <w:sz w:val="20"/>
                <w:szCs w:val="20"/>
                <w:lang w:val="es-US"/>
              </w:rPr>
              <w:t>, 26 de octubre de 2019, 3 de febrero de 2021, 1 de junio de 2022</w:t>
            </w:r>
            <w:r w:rsidR="00045B19">
              <w:rPr>
                <w:rFonts w:ascii="Cambria" w:hAnsi="Cambria"/>
                <w:bCs/>
                <w:sz w:val="20"/>
                <w:szCs w:val="20"/>
                <w:lang w:val="es-US"/>
              </w:rPr>
              <w:t>, 13 de junio de 2022, 11 de julio de 2022, 22 de agosto de 2022, 6 de septiembre de 2022 y 16 de septiembre de 2022</w:t>
            </w:r>
          </w:p>
        </w:tc>
      </w:tr>
      <w:tr w:rsidR="004C2312" w:rsidRPr="005433A7"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15A2FE0" w:rsidR="004C2312" w:rsidRPr="003239B8" w:rsidRDefault="00045B19" w:rsidP="008D2290">
            <w:pPr>
              <w:jc w:val="both"/>
              <w:rPr>
                <w:rFonts w:ascii="Cambria" w:hAnsi="Cambria"/>
                <w:bCs/>
                <w:sz w:val="20"/>
                <w:szCs w:val="20"/>
                <w:lang w:val="es-ES"/>
              </w:rPr>
            </w:pPr>
            <w:r>
              <w:rPr>
                <w:rFonts w:ascii="Cambria" w:hAnsi="Cambria"/>
                <w:bCs/>
                <w:sz w:val="20"/>
                <w:szCs w:val="20"/>
                <w:lang w:val="es-ES"/>
              </w:rPr>
              <w:t>20 de julio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46BC064" w:rsidR="004C2312" w:rsidRPr="003239B8" w:rsidRDefault="00045B19" w:rsidP="008D2290">
            <w:pPr>
              <w:jc w:val="both"/>
              <w:rPr>
                <w:rFonts w:ascii="Cambria" w:hAnsi="Cambria"/>
                <w:bCs/>
                <w:sz w:val="20"/>
                <w:szCs w:val="20"/>
                <w:lang w:val="es-ES"/>
              </w:rPr>
            </w:pPr>
            <w:r>
              <w:rPr>
                <w:rFonts w:ascii="Cambria" w:hAnsi="Cambria"/>
                <w:bCs/>
                <w:sz w:val="20"/>
                <w:szCs w:val="20"/>
                <w:lang w:val="es-ES"/>
              </w:rPr>
              <w:t>29 de diciembre de 2022</w:t>
            </w:r>
          </w:p>
        </w:tc>
      </w:tr>
      <w:tr w:rsidR="00C10942" w:rsidRPr="004A6A54" w14:paraId="792CC6A5" w14:textId="77777777" w:rsidTr="004A6A54">
        <w:tc>
          <w:tcPr>
            <w:tcW w:w="3600" w:type="dxa"/>
            <w:tcBorders>
              <w:top w:val="single" w:sz="6" w:space="0" w:color="auto"/>
              <w:bottom w:val="single" w:sz="6" w:space="0" w:color="auto"/>
            </w:tcBorders>
            <w:shd w:val="clear" w:color="auto" w:fill="386294"/>
            <w:vAlign w:val="center"/>
          </w:tcPr>
          <w:p w14:paraId="46CA62B3" w14:textId="7EEB4F02" w:rsidR="00C10942" w:rsidRDefault="00C10942"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peticionario</w:t>
            </w:r>
          </w:p>
        </w:tc>
        <w:tc>
          <w:tcPr>
            <w:tcW w:w="5760" w:type="dxa"/>
            <w:vAlign w:val="center"/>
          </w:tcPr>
          <w:p w14:paraId="5D394584" w14:textId="4A0DF15B" w:rsidR="00C10942" w:rsidRDefault="00C10942" w:rsidP="008D2290">
            <w:pPr>
              <w:jc w:val="both"/>
              <w:rPr>
                <w:rFonts w:ascii="Cambria" w:hAnsi="Cambria"/>
                <w:bCs/>
                <w:sz w:val="20"/>
                <w:szCs w:val="20"/>
                <w:lang w:val="es-ES"/>
              </w:rPr>
            </w:pPr>
            <w:r>
              <w:rPr>
                <w:rFonts w:ascii="Cambria" w:hAnsi="Cambria"/>
                <w:bCs/>
                <w:sz w:val="20"/>
                <w:szCs w:val="20"/>
                <w:lang w:val="es-ES"/>
              </w:rPr>
              <w:t>8 de febrero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8116EC">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7B4B9DF5" w:rsidR="003239B8" w:rsidRPr="00B3745F" w:rsidRDefault="00045B19"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8116EC">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2286F824" w:rsidR="003239B8" w:rsidRPr="00B3745F" w:rsidRDefault="00045B19"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8116EC">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6A2D1F8E" w:rsidR="003239B8" w:rsidRPr="00B3745F" w:rsidRDefault="00045B19" w:rsidP="008D2290">
            <w:pPr>
              <w:rPr>
                <w:rFonts w:ascii="Cambria" w:hAnsi="Cambria"/>
                <w:bCs/>
                <w:sz w:val="20"/>
                <w:szCs w:val="20"/>
              </w:rPr>
            </w:pPr>
            <w:r>
              <w:rPr>
                <w:rFonts w:ascii="Cambria" w:hAnsi="Cambria"/>
                <w:bCs/>
                <w:sz w:val="20"/>
                <w:szCs w:val="20"/>
              </w:rPr>
              <w:t>Sí</w:t>
            </w:r>
          </w:p>
        </w:tc>
      </w:tr>
      <w:tr w:rsidR="003239B8" w:rsidRPr="00D11635" w14:paraId="30ABEC3E" w14:textId="77777777" w:rsidTr="008116EC">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24C4A625" w:rsidR="003239B8" w:rsidRPr="00B3745F" w:rsidRDefault="00045B19" w:rsidP="008D2290">
            <w:pPr>
              <w:jc w:val="both"/>
              <w:rPr>
                <w:rFonts w:ascii="Cambria" w:hAnsi="Cambria"/>
                <w:bCs/>
                <w:sz w:val="20"/>
                <w:szCs w:val="20"/>
                <w:lang w:val="es-ES"/>
              </w:rPr>
            </w:pPr>
            <w:r>
              <w:rPr>
                <w:rFonts w:ascii="Cambria" w:hAnsi="Cambria"/>
                <w:bCs/>
                <w:sz w:val="20"/>
                <w:szCs w:val="20"/>
                <w:lang w:val="es-ES"/>
              </w:rPr>
              <w:t>Sí</w:t>
            </w:r>
            <w:r w:rsidRPr="00B3713C">
              <w:rPr>
                <w:rFonts w:ascii="Cambria" w:hAnsi="Cambria"/>
                <w:bCs/>
                <w:sz w:val="20"/>
                <w:szCs w:val="20"/>
                <w:lang w:val="es-ES"/>
              </w:rPr>
              <w:t>, Convención Americana (depósito del instrumento de ratificación realizado 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950FF1" w14:paraId="1231C988" w14:textId="77777777" w:rsidTr="008116EC">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2DACF8AF" w:rsidR="00EE00E9" w:rsidRPr="00DC24E3" w:rsidRDefault="00531ED3" w:rsidP="008D2290">
            <w:pPr>
              <w:jc w:val="both"/>
              <w:rPr>
                <w:rFonts w:ascii="Cambria" w:hAnsi="Cambria"/>
                <w:bCs/>
                <w:sz w:val="20"/>
                <w:szCs w:val="20"/>
                <w:lang w:val="es-ES"/>
              </w:rPr>
            </w:pPr>
            <w:r>
              <w:rPr>
                <w:rFonts w:ascii="Cambria" w:hAnsi="Cambria"/>
                <w:bCs/>
                <w:sz w:val="20"/>
                <w:szCs w:val="20"/>
                <w:lang w:val="es-ES"/>
              </w:rPr>
              <w:t>No</w:t>
            </w:r>
          </w:p>
        </w:tc>
      </w:tr>
      <w:tr w:rsidR="003239B8" w:rsidRPr="00D11635" w14:paraId="15FAA7D1" w14:textId="77777777" w:rsidTr="008116EC">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74775016" w:rsidR="003239B8" w:rsidRPr="00C73E1A" w:rsidRDefault="00C73E1A" w:rsidP="008D2290">
            <w:pPr>
              <w:jc w:val="both"/>
              <w:rPr>
                <w:rFonts w:ascii="Cambria" w:hAnsi="Cambria"/>
                <w:bCs/>
                <w:sz w:val="20"/>
                <w:szCs w:val="20"/>
                <w:lang w:val="es-PE"/>
              </w:rPr>
            </w:pPr>
            <w:r>
              <w:rPr>
                <w:rFonts w:asciiTheme="majorHAnsi" w:hAnsiTheme="majorHAnsi"/>
                <w:bCs/>
                <w:sz w:val="20"/>
                <w:szCs w:val="20"/>
                <w:lang w:val="es-UY"/>
              </w:rPr>
              <w:t xml:space="preserve">Artículos </w:t>
            </w:r>
            <w:r w:rsidRPr="00574B7C">
              <w:rPr>
                <w:rFonts w:asciiTheme="majorHAnsi" w:hAnsiTheme="majorHAnsi"/>
                <w:bCs/>
                <w:sz w:val="20"/>
                <w:szCs w:val="20"/>
                <w:lang w:val="es-UY"/>
              </w:rPr>
              <w:t xml:space="preserve">5 (integridad personal), </w:t>
            </w:r>
            <w:r>
              <w:rPr>
                <w:rFonts w:asciiTheme="majorHAnsi" w:hAnsiTheme="majorHAnsi"/>
                <w:bCs/>
                <w:sz w:val="20"/>
                <w:szCs w:val="20"/>
                <w:lang w:val="es-UY"/>
              </w:rPr>
              <w:t xml:space="preserve">7 (libertad personal), </w:t>
            </w:r>
            <w:r w:rsidRPr="00574B7C">
              <w:rPr>
                <w:rFonts w:asciiTheme="majorHAnsi" w:hAnsiTheme="majorHAnsi"/>
                <w:bCs/>
                <w:sz w:val="20"/>
                <w:szCs w:val="20"/>
                <w:lang w:val="es-UY"/>
              </w:rPr>
              <w:t>8</w:t>
            </w:r>
            <w:r>
              <w:rPr>
                <w:rFonts w:asciiTheme="majorHAnsi" w:hAnsiTheme="majorHAnsi"/>
                <w:bCs/>
                <w:sz w:val="20"/>
                <w:szCs w:val="20"/>
                <w:lang w:val="es-UY"/>
              </w:rPr>
              <w:t xml:space="preserve"> </w:t>
            </w:r>
            <w:r w:rsidRPr="00574B7C">
              <w:rPr>
                <w:rFonts w:asciiTheme="majorHAnsi" w:hAnsiTheme="majorHAnsi"/>
                <w:bCs/>
                <w:sz w:val="20"/>
                <w:szCs w:val="20"/>
                <w:lang w:val="es-UY"/>
              </w:rPr>
              <w:t>(garantías judiciales)</w:t>
            </w:r>
            <w:r>
              <w:rPr>
                <w:rFonts w:asciiTheme="majorHAnsi" w:hAnsiTheme="majorHAnsi"/>
                <w:bCs/>
                <w:sz w:val="20"/>
                <w:szCs w:val="20"/>
                <w:lang w:val="es-UY"/>
              </w:rPr>
              <w:t>, 22 (derecho de circulación y residencia), 21 (propiedad privada), 24 (igualdad ante la ley)</w:t>
            </w:r>
            <w:r w:rsidRPr="00574B7C">
              <w:rPr>
                <w:rFonts w:asciiTheme="majorHAnsi" w:hAnsiTheme="majorHAnsi"/>
                <w:bCs/>
                <w:sz w:val="20"/>
                <w:szCs w:val="20"/>
                <w:lang w:val="es-UY"/>
              </w:rPr>
              <w:t xml:space="preserve"> y 25 (protección judicial) de la Convención</w:t>
            </w:r>
            <w:r>
              <w:rPr>
                <w:rFonts w:asciiTheme="majorHAnsi" w:hAnsiTheme="majorHAnsi"/>
                <w:bCs/>
                <w:sz w:val="20"/>
                <w:szCs w:val="20"/>
                <w:lang w:val="es-UY"/>
              </w:rPr>
              <w:t xml:space="preserve"> Americana</w:t>
            </w:r>
          </w:p>
        </w:tc>
      </w:tr>
      <w:tr w:rsidR="003239B8" w:rsidRPr="00D11635" w14:paraId="4EFD141E" w14:textId="77777777" w:rsidTr="008116EC">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0F2F72EE" w:rsidR="003239B8" w:rsidRPr="00DC24E3" w:rsidRDefault="00531ED3"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D11635" w14:paraId="52B5BA17" w14:textId="77777777" w:rsidTr="008116EC">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4796D447" w:rsidR="003239B8" w:rsidRPr="00531ED3" w:rsidRDefault="00531ED3" w:rsidP="008D2290">
            <w:pPr>
              <w:rPr>
                <w:rFonts w:ascii="Cambria" w:hAnsi="Cambria"/>
                <w:bCs/>
                <w:sz w:val="20"/>
                <w:szCs w:val="20"/>
                <w:lang w:val="es-PE"/>
              </w:rPr>
            </w:pPr>
            <w:r w:rsidRPr="00531ED3">
              <w:rPr>
                <w:rFonts w:ascii="Cambria" w:hAnsi="Cambria"/>
                <w:bCs/>
                <w:sz w:val="20"/>
                <w:szCs w:val="20"/>
                <w:lang w:val="es-PE"/>
              </w:rPr>
              <w:t>Sí, en los términos d</w:t>
            </w:r>
            <w:r>
              <w:rPr>
                <w:rFonts w:ascii="Cambria" w:hAnsi="Cambria"/>
                <w:bCs/>
                <w:sz w:val="20"/>
                <w:szCs w:val="20"/>
                <w:lang w:val="es-PE"/>
              </w:rPr>
              <w:t>e la sección VI</w:t>
            </w:r>
          </w:p>
        </w:tc>
      </w:tr>
    </w:tbl>
    <w:p w14:paraId="18E6423B" w14:textId="6F2668DD" w:rsidR="003239B8" w:rsidRDefault="00C97FF0" w:rsidP="00C97FF0">
      <w:pPr>
        <w:tabs>
          <w:tab w:val="left" w:pos="720"/>
          <w:tab w:val="left" w:pos="1440"/>
          <w:tab w:val="left" w:pos="2160"/>
          <w:tab w:val="left" w:pos="2880"/>
          <w:tab w:val="left" w:pos="4170"/>
        </w:tabs>
        <w:spacing w:before="240" w:after="240"/>
        <w:jc w:val="both"/>
        <w:rPr>
          <w:rFonts w:asciiTheme="majorHAnsi" w:hAnsiTheme="majorHAnsi"/>
          <w:b/>
          <w:sz w:val="20"/>
          <w:szCs w:val="20"/>
          <w:lang w:val="es-UY"/>
        </w:rPr>
      </w:pPr>
      <w:r>
        <w:rPr>
          <w:rFonts w:asciiTheme="majorHAnsi" w:hAnsiTheme="majorHAnsi"/>
          <w:b/>
          <w:sz w:val="20"/>
          <w:szCs w:val="20"/>
          <w:lang w:val="es-UY"/>
        </w:rPr>
        <w:lastRenderedPageBreak/>
        <w:tab/>
      </w:r>
      <w:r w:rsidR="00223A29">
        <w:rPr>
          <w:rFonts w:asciiTheme="majorHAnsi" w:hAnsiTheme="majorHAnsi"/>
          <w:b/>
          <w:sz w:val="20"/>
          <w:szCs w:val="20"/>
          <w:lang w:val="es-UY"/>
        </w:rPr>
        <w:t xml:space="preserve">V. </w:t>
      </w:r>
      <w:r w:rsidR="00223A29">
        <w:rPr>
          <w:rFonts w:asciiTheme="majorHAnsi" w:hAnsiTheme="majorHAnsi"/>
          <w:b/>
          <w:sz w:val="20"/>
          <w:szCs w:val="20"/>
          <w:lang w:val="es-UY"/>
        </w:rPr>
        <w:tab/>
      </w:r>
      <w:r w:rsidR="003239B8">
        <w:rPr>
          <w:rFonts w:asciiTheme="majorHAnsi" w:hAnsiTheme="majorHAnsi"/>
          <w:b/>
          <w:sz w:val="20"/>
          <w:szCs w:val="20"/>
          <w:lang w:val="es-UY"/>
        </w:rPr>
        <w:t xml:space="preserve">HECHOS ALEGADOS </w:t>
      </w:r>
      <w:r w:rsidR="00045B19">
        <w:rPr>
          <w:rFonts w:asciiTheme="majorHAnsi" w:hAnsiTheme="majorHAnsi"/>
          <w:b/>
          <w:sz w:val="20"/>
          <w:szCs w:val="20"/>
          <w:lang w:val="es-UY"/>
        </w:rPr>
        <w:tab/>
      </w:r>
    </w:p>
    <w:p w14:paraId="0ADE5CD5" w14:textId="7685F45B" w:rsidR="005D3612" w:rsidRPr="00C73E1A" w:rsidRDefault="005D3612" w:rsidP="00045B19">
      <w:pPr>
        <w:tabs>
          <w:tab w:val="left" w:pos="720"/>
          <w:tab w:val="left" w:pos="1440"/>
          <w:tab w:val="left" w:pos="2160"/>
          <w:tab w:val="left" w:pos="2880"/>
          <w:tab w:val="left" w:pos="4170"/>
        </w:tabs>
        <w:spacing w:before="240" w:after="240"/>
        <w:ind w:firstLine="720"/>
        <w:jc w:val="both"/>
        <w:rPr>
          <w:rFonts w:asciiTheme="majorHAnsi" w:hAnsiTheme="majorHAnsi"/>
          <w:bCs/>
          <w:i/>
          <w:iCs/>
          <w:sz w:val="20"/>
          <w:szCs w:val="20"/>
          <w:lang w:val="es-UY"/>
        </w:rPr>
      </w:pPr>
      <w:r>
        <w:rPr>
          <w:rFonts w:asciiTheme="majorHAnsi" w:hAnsiTheme="majorHAnsi"/>
          <w:bCs/>
          <w:i/>
          <w:iCs/>
          <w:sz w:val="20"/>
          <w:szCs w:val="20"/>
          <w:lang w:val="es-UY"/>
        </w:rPr>
        <w:t xml:space="preserve">Alegatos de la parte </w:t>
      </w:r>
      <w:r w:rsidRPr="00C73E1A">
        <w:rPr>
          <w:rFonts w:asciiTheme="majorHAnsi" w:hAnsiTheme="majorHAnsi"/>
          <w:bCs/>
          <w:i/>
          <w:iCs/>
          <w:sz w:val="20"/>
          <w:szCs w:val="20"/>
          <w:lang w:val="es-UY"/>
        </w:rPr>
        <w:t>peticionaria</w:t>
      </w:r>
    </w:p>
    <w:p w14:paraId="224AF7B9" w14:textId="7900C25C" w:rsidR="00045B19" w:rsidRPr="00C73E1A" w:rsidRDefault="00045B19" w:rsidP="000F31F3">
      <w:pPr>
        <w:pStyle w:val="ListParagraph"/>
        <w:numPr>
          <w:ilvl w:val="0"/>
          <w:numId w:val="56"/>
        </w:numPr>
        <w:spacing w:before="240" w:after="240"/>
        <w:ind w:left="0" w:firstLine="720"/>
        <w:jc w:val="both"/>
        <w:rPr>
          <w:rFonts w:asciiTheme="majorHAnsi" w:hAnsiTheme="majorHAnsi"/>
          <w:bCs/>
          <w:sz w:val="20"/>
          <w:szCs w:val="20"/>
          <w:lang w:val="es-UY"/>
        </w:rPr>
      </w:pPr>
      <w:r w:rsidRPr="00C73E1A">
        <w:rPr>
          <w:rFonts w:asciiTheme="majorHAnsi" w:hAnsiTheme="majorHAnsi"/>
          <w:bCs/>
          <w:sz w:val="20"/>
          <w:szCs w:val="20"/>
          <w:lang w:val="es-UY"/>
        </w:rPr>
        <w:t xml:space="preserve">La parte peticionaria denuncia que </w:t>
      </w:r>
      <w:r w:rsidR="00C73E1A">
        <w:rPr>
          <w:rFonts w:asciiTheme="majorHAnsi" w:hAnsiTheme="majorHAnsi"/>
          <w:bCs/>
          <w:sz w:val="20"/>
          <w:szCs w:val="20"/>
          <w:lang w:val="es-UY"/>
        </w:rPr>
        <w:t xml:space="preserve">el Consejo de Estado declaró improcedentes las demandas de reparación </w:t>
      </w:r>
      <w:r w:rsidR="00596508">
        <w:rPr>
          <w:rFonts w:asciiTheme="majorHAnsi" w:hAnsiTheme="majorHAnsi"/>
          <w:bCs/>
          <w:sz w:val="20"/>
          <w:szCs w:val="20"/>
          <w:lang w:val="es-UY"/>
        </w:rPr>
        <w:t>presentadas por</w:t>
      </w:r>
      <w:r w:rsidR="00C73E1A">
        <w:rPr>
          <w:rFonts w:asciiTheme="majorHAnsi" w:hAnsiTheme="majorHAnsi"/>
          <w:bCs/>
          <w:sz w:val="20"/>
          <w:szCs w:val="20"/>
          <w:lang w:val="es-UY"/>
        </w:rPr>
        <w:t xml:space="preserve"> las presuntas víctimas </w:t>
      </w:r>
      <w:r w:rsidR="00596508">
        <w:rPr>
          <w:rFonts w:asciiTheme="majorHAnsi" w:hAnsiTheme="majorHAnsi"/>
          <w:bCs/>
          <w:sz w:val="20"/>
          <w:szCs w:val="20"/>
          <w:lang w:val="es-UY"/>
        </w:rPr>
        <w:t xml:space="preserve">en aplicación de una </w:t>
      </w:r>
      <w:r w:rsidR="00FF389E">
        <w:rPr>
          <w:rFonts w:asciiTheme="majorHAnsi" w:hAnsiTheme="majorHAnsi"/>
          <w:bCs/>
          <w:sz w:val="20"/>
          <w:szCs w:val="20"/>
          <w:lang w:val="es-UY"/>
        </w:rPr>
        <w:t>cláusula</w:t>
      </w:r>
      <w:r w:rsidR="00596508">
        <w:rPr>
          <w:rFonts w:asciiTheme="majorHAnsi" w:hAnsiTheme="majorHAnsi"/>
          <w:bCs/>
          <w:sz w:val="20"/>
          <w:szCs w:val="20"/>
          <w:lang w:val="es-UY"/>
        </w:rPr>
        <w:t xml:space="preserve"> de caducidad, a pesar de que </w:t>
      </w:r>
      <w:r w:rsidR="000F31F3">
        <w:rPr>
          <w:rFonts w:asciiTheme="majorHAnsi" w:hAnsiTheme="majorHAnsi"/>
          <w:bCs/>
          <w:sz w:val="20"/>
          <w:szCs w:val="20"/>
          <w:lang w:val="es-UY"/>
        </w:rPr>
        <w:t xml:space="preserve">en sus reclamos alegaron haber sido víctimas de graves vulneraciones de derechos humanos. </w:t>
      </w:r>
    </w:p>
    <w:p w14:paraId="2A4061BF" w14:textId="5FF6B5EC" w:rsidR="00993761" w:rsidRDefault="00AB7A93"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Arguye que entre el 3 y 7 de agosto de 1998 integrantes de las Fuerzas Armadas Revolucionarias (en adelante, FARC) atacaron la base </w:t>
      </w:r>
      <w:r w:rsidR="007251C9">
        <w:rPr>
          <w:rFonts w:asciiTheme="majorHAnsi" w:hAnsiTheme="majorHAnsi"/>
          <w:bCs/>
          <w:sz w:val="20"/>
          <w:szCs w:val="20"/>
          <w:lang w:val="es-UY"/>
        </w:rPr>
        <w:t>a</w:t>
      </w:r>
      <w:r>
        <w:rPr>
          <w:rFonts w:asciiTheme="majorHAnsi" w:hAnsiTheme="majorHAnsi"/>
          <w:bCs/>
          <w:sz w:val="20"/>
          <w:szCs w:val="20"/>
          <w:lang w:val="es-UY"/>
        </w:rPr>
        <w:t xml:space="preserve">ntinarcóticos del municipio de Miraflores y detuvieron a un grupo de personas, entre quienes se encontraban las </w:t>
      </w:r>
      <w:r w:rsidR="00993761">
        <w:rPr>
          <w:rFonts w:asciiTheme="majorHAnsi" w:hAnsiTheme="majorHAnsi"/>
          <w:bCs/>
          <w:sz w:val="20"/>
          <w:szCs w:val="20"/>
          <w:lang w:val="es-UY"/>
        </w:rPr>
        <w:t xml:space="preserve">siete </w:t>
      </w:r>
      <w:r>
        <w:rPr>
          <w:rFonts w:asciiTheme="majorHAnsi" w:hAnsiTheme="majorHAnsi"/>
          <w:bCs/>
          <w:sz w:val="20"/>
          <w:szCs w:val="20"/>
          <w:lang w:val="es-UY"/>
        </w:rPr>
        <w:t>presuntas víctimas</w:t>
      </w:r>
      <w:r w:rsidR="00F91595">
        <w:rPr>
          <w:rFonts w:asciiTheme="majorHAnsi" w:hAnsiTheme="majorHAnsi"/>
          <w:bCs/>
          <w:sz w:val="20"/>
          <w:szCs w:val="20"/>
          <w:lang w:val="es-UY"/>
        </w:rPr>
        <w:t xml:space="preserve">, quienes se </w:t>
      </w:r>
      <w:r w:rsidR="00EB1A32">
        <w:rPr>
          <w:rFonts w:asciiTheme="majorHAnsi" w:hAnsiTheme="majorHAnsi"/>
          <w:bCs/>
          <w:sz w:val="20"/>
          <w:szCs w:val="20"/>
          <w:lang w:val="es-UY"/>
        </w:rPr>
        <w:t>estaban</w:t>
      </w:r>
      <w:r w:rsidR="00F91595">
        <w:rPr>
          <w:rFonts w:asciiTheme="majorHAnsi" w:hAnsiTheme="majorHAnsi"/>
          <w:bCs/>
          <w:sz w:val="20"/>
          <w:szCs w:val="20"/>
          <w:lang w:val="es-UY"/>
        </w:rPr>
        <w:t xml:space="preserve"> prestando servicio militar obligatorio.</w:t>
      </w:r>
      <w:r w:rsidR="006322C8">
        <w:rPr>
          <w:rFonts w:asciiTheme="majorHAnsi" w:hAnsiTheme="majorHAnsi"/>
          <w:bCs/>
          <w:sz w:val="20"/>
          <w:szCs w:val="20"/>
          <w:lang w:val="es-UY"/>
        </w:rPr>
        <w:t xml:space="preserve"> </w:t>
      </w:r>
      <w:r w:rsidRPr="006322C8">
        <w:rPr>
          <w:rFonts w:asciiTheme="majorHAnsi" w:hAnsiTheme="majorHAnsi"/>
          <w:bCs/>
          <w:sz w:val="20"/>
          <w:szCs w:val="20"/>
          <w:lang w:val="es-UY"/>
        </w:rPr>
        <w:t>Afirma que</w:t>
      </w:r>
      <w:r w:rsidR="006322C8">
        <w:rPr>
          <w:rFonts w:asciiTheme="majorHAnsi" w:hAnsiTheme="majorHAnsi"/>
          <w:bCs/>
          <w:sz w:val="20"/>
          <w:szCs w:val="20"/>
          <w:lang w:val="es-UY"/>
        </w:rPr>
        <w:t xml:space="preserve"> casi tres años después,</w:t>
      </w:r>
      <w:r w:rsidRPr="006322C8">
        <w:rPr>
          <w:rFonts w:asciiTheme="majorHAnsi" w:hAnsiTheme="majorHAnsi"/>
          <w:bCs/>
          <w:sz w:val="20"/>
          <w:szCs w:val="20"/>
          <w:lang w:val="es-UY"/>
        </w:rPr>
        <w:t xml:space="preserve"> el 28 de junio de 2001 </w:t>
      </w:r>
      <w:r w:rsidR="00993761">
        <w:rPr>
          <w:rFonts w:asciiTheme="majorHAnsi" w:hAnsiTheme="majorHAnsi"/>
          <w:bCs/>
          <w:sz w:val="20"/>
          <w:szCs w:val="20"/>
          <w:lang w:val="es-UY"/>
        </w:rPr>
        <w:t>las FARC liber</w:t>
      </w:r>
      <w:r w:rsidR="00EB1A32">
        <w:rPr>
          <w:rFonts w:asciiTheme="majorHAnsi" w:hAnsiTheme="majorHAnsi"/>
          <w:bCs/>
          <w:sz w:val="20"/>
          <w:szCs w:val="20"/>
          <w:lang w:val="es-UY"/>
        </w:rPr>
        <w:t>aron</w:t>
      </w:r>
      <w:r w:rsidR="00993761">
        <w:rPr>
          <w:rFonts w:asciiTheme="majorHAnsi" w:hAnsiTheme="majorHAnsi"/>
          <w:bCs/>
          <w:sz w:val="20"/>
          <w:szCs w:val="20"/>
          <w:lang w:val="es-UY"/>
        </w:rPr>
        <w:t xml:space="preserve"> a las personas secuestradas. Afirma que, mientras estuvieron cautivas, las presuntas víctimas sufrieron prácticas de tortura</w:t>
      </w:r>
      <w:r w:rsidR="006D43DA">
        <w:rPr>
          <w:rFonts w:asciiTheme="majorHAnsi" w:hAnsiTheme="majorHAnsi"/>
          <w:bCs/>
          <w:sz w:val="20"/>
          <w:szCs w:val="20"/>
          <w:lang w:val="es-UY"/>
        </w:rPr>
        <w:t xml:space="preserve"> y vivieron en condiciones deplorables en campos de concentración de la guerrilla. </w:t>
      </w:r>
    </w:p>
    <w:p w14:paraId="7B670ECF" w14:textId="50A24C05" w:rsidR="006322C8" w:rsidRDefault="006322C8"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Debido a estos acontecimientos, indica que las presuntas víctimas presentaron, por separado, demandas de reparación directa alegando que el Ministerio de Defensa y la Policía Nacional l</w:t>
      </w:r>
      <w:r w:rsidR="00EB1A32">
        <w:rPr>
          <w:rFonts w:asciiTheme="majorHAnsi" w:hAnsiTheme="majorHAnsi"/>
          <w:bCs/>
          <w:sz w:val="20"/>
          <w:szCs w:val="20"/>
          <w:lang w:val="es-UY"/>
        </w:rPr>
        <w:t>o</w:t>
      </w:r>
      <w:r>
        <w:rPr>
          <w:rFonts w:asciiTheme="majorHAnsi" w:hAnsiTheme="majorHAnsi"/>
          <w:bCs/>
          <w:sz w:val="20"/>
          <w:szCs w:val="20"/>
          <w:lang w:val="es-UY"/>
        </w:rPr>
        <w:t>s obligaron ilegalmente a realizar operaciones de contraguerrilla, a pesar d</w:t>
      </w:r>
      <w:r w:rsidR="00C17788">
        <w:rPr>
          <w:rFonts w:asciiTheme="majorHAnsi" w:hAnsiTheme="majorHAnsi"/>
          <w:bCs/>
          <w:sz w:val="20"/>
          <w:szCs w:val="20"/>
          <w:lang w:val="es-UY"/>
        </w:rPr>
        <w:t>e</w:t>
      </w:r>
      <w:r>
        <w:rPr>
          <w:rFonts w:asciiTheme="majorHAnsi" w:hAnsiTheme="majorHAnsi"/>
          <w:bCs/>
          <w:sz w:val="20"/>
          <w:szCs w:val="20"/>
          <w:lang w:val="es-UY"/>
        </w:rPr>
        <w:t xml:space="preserve"> que solo estaban prestando servicio militar obligatorio. En tal sentido, </w:t>
      </w:r>
      <w:r w:rsidR="00EF4E2B">
        <w:rPr>
          <w:rFonts w:asciiTheme="majorHAnsi" w:hAnsiTheme="majorHAnsi"/>
          <w:bCs/>
          <w:sz w:val="20"/>
          <w:szCs w:val="20"/>
          <w:lang w:val="es-UY"/>
        </w:rPr>
        <w:t>alegaron</w:t>
      </w:r>
      <w:r>
        <w:rPr>
          <w:rFonts w:asciiTheme="majorHAnsi" w:hAnsiTheme="majorHAnsi"/>
          <w:bCs/>
          <w:sz w:val="20"/>
          <w:szCs w:val="20"/>
          <w:lang w:val="es-UY"/>
        </w:rPr>
        <w:t xml:space="preserve"> que la negligencia del Estado permitió que sea</w:t>
      </w:r>
      <w:r w:rsidR="00EB1A32">
        <w:rPr>
          <w:rFonts w:asciiTheme="majorHAnsi" w:hAnsiTheme="majorHAnsi"/>
          <w:bCs/>
          <w:sz w:val="20"/>
          <w:szCs w:val="20"/>
          <w:lang w:val="es-UY"/>
        </w:rPr>
        <w:t>n</w:t>
      </w:r>
      <w:r>
        <w:rPr>
          <w:rFonts w:asciiTheme="majorHAnsi" w:hAnsiTheme="majorHAnsi"/>
          <w:bCs/>
          <w:sz w:val="20"/>
          <w:szCs w:val="20"/>
          <w:lang w:val="es-UY"/>
        </w:rPr>
        <w:t xml:space="preserve"> secuestrados</w:t>
      </w:r>
      <w:r w:rsidR="00EB1A32">
        <w:rPr>
          <w:rFonts w:asciiTheme="majorHAnsi" w:hAnsiTheme="majorHAnsi"/>
          <w:bCs/>
          <w:sz w:val="20"/>
          <w:szCs w:val="20"/>
          <w:lang w:val="es-UY"/>
        </w:rPr>
        <w:t>,</w:t>
      </w:r>
      <w:r>
        <w:rPr>
          <w:rFonts w:asciiTheme="majorHAnsi" w:hAnsiTheme="majorHAnsi"/>
          <w:bCs/>
          <w:sz w:val="20"/>
          <w:szCs w:val="20"/>
          <w:lang w:val="es-UY"/>
        </w:rPr>
        <w:t xml:space="preserve"> y por ende, le corresponde </w:t>
      </w:r>
      <w:r w:rsidR="00EB1A32">
        <w:rPr>
          <w:rFonts w:asciiTheme="majorHAnsi" w:hAnsiTheme="majorHAnsi"/>
          <w:bCs/>
          <w:sz w:val="20"/>
          <w:szCs w:val="20"/>
          <w:lang w:val="es-UY"/>
        </w:rPr>
        <w:t xml:space="preserve">a este </w:t>
      </w:r>
      <w:r>
        <w:rPr>
          <w:rFonts w:asciiTheme="majorHAnsi" w:hAnsiTheme="majorHAnsi"/>
          <w:bCs/>
          <w:sz w:val="20"/>
          <w:szCs w:val="20"/>
          <w:lang w:val="es-UY"/>
        </w:rPr>
        <w:t xml:space="preserve">brindar una indemnización por estos acontecimientos. </w:t>
      </w:r>
    </w:p>
    <w:p w14:paraId="1CC26FF2" w14:textId="697D78C4" w:rsidR="006322C8" w:rsidRDefault="006322C8"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No obstante, </w:t>
      </w:r>
      <w:r w:rsidR="00EF4E2B">
        <w:rPr>
          <w:rFonts w:asciiTheme="majorHAnsi" w:hAnsiTheme="majorHAnsi"/>
          <w:bCs/>
          <w:sz w:val="20"/>
          <w:szCs w:val="20"/>
          <w:lang w:val="es-UY"/>
        </w:rPr>
        <w:t>los tribunales interno</w:t>
      </w:r>
      <w:r w:rsidR="00953D4F">
        <w:rPr>
          <w:rFonts w:asciiTheme="majorHAnsi" w:hAnsiTheme="majorHAnsi"/>
          <w:bCs/>
          <w:sz w:val="20"/>
          <w:szCs w:val="20"/>
          <w:lang w:val="es-UY"/>
        </w:rPr>
        <w:t>s</w:t>
      </w:r>
      <w:r>
        <w:rPr>
          <w:rFonts w:asciiTheme="majorHAnsi" w:hAnsiTheme="majorHAnsi"/>
          <w:bCs/>
          <w:sz w:val="20"/>
          <w:szCs w:val="20"/>
          <w:lang w:val="es-UY"/>
        </w:rPr>
        <w:t xml:space="preserve"> declararon improcedentes sus reclamos, al considerar que las presuntas víctimas presentaron sus demandas fuera del plazo establecido en la legislación nacional</w:t>
      </w:r>
      <w:r w:rsidR="00EF4E2B">
        <w:rPr>
          <w:rFonts w:asciiTheme="majorHAnsi" w:hAnsiTheme="majorHAnsi"/>
          <w:bCs/>
          <w:sz w:val="20"/>
          <w:szCs w:val="20"/>
          <w:lang w:val="es-UY"/>
        </w:rPr>
        <w:t>;</w:t>
      </w:r>
      <w:r>
        <w:rPr>
          <w:rFonts w:asciiTheme="majorHAnsi" w:hAnsiTheme="majorHAnsi"/>
          <w:bCs/>
          <w:sz w:val="20"/>
          <w:szCs w:val="20"/>
          <w:lang w:val="es-UY"/>
        </w:rPr>
        <w:t xml:space="preserve"> y en consecuencia, oper</w:t>
      </w:r>
      <w:r w:rsidR="00EF4E2B">
        <w:rPr>
          <w:rFonts w:asciiTheme="majorHAnsi" w:hAnsiTheme="majorHAnsi"/>
          <w:bCs/>
          <w:sz w:val="20"/>
          <w:szCs w:val="20"/>
          <w:lang w:val="es-UY"/>
        </w:rPr>
        <w:t>ó</w:t>
      </w:r>
      <w:r>
        <w:rPr>
          <w:rFonts w:asciiTheme="majorHAnsi" w:hAnsiTheme="majorHAnsi"/>
          <w:bCs/>
          <w:sz w:val="20"/>
          <w:szCs w:val="20"/>
          <w:lang w:val="es-UY"/>
        </w:rPr>
        <w:t xml:space="preserve"> la caducidad de las acciones. </w:t>
      </w:r>
      <w:r w:rsidR="00C17788">
        <w:rPr>
          <w:rFonts w:asciiTheme="majorHAnsi" w:hAnsiTheme="majorHAnsi"/>
          <w:bCs/>
          <w:sz w:val="20"/>
          <w:szCs w:val="20"/>
          <w:lang w:val="es-UY"/>
        </w:rPr>
        <w:t xml:space="preserve">A </w:t>
      </w:r>
      <w:r w:rsidR="00D218CD">
        <w:rPr>
          <w:rFonts w:asciiTheme="majorHAnsi" w:hAnsiTheme="majorHAnsi"/>
          <w:bCs/>
          <w:sz w:val="20"/>
          <w:szCs w:val="20"/>
          <w:lang w:val="es-UY"/>
        </w:rPr>
        <w:t>continuación,</w:t>
      </w:r>
      <w:r w:rsidR="004D1D4E">
        <w:rPr>
          <w:rFonts w:asciiTheme="majorHAnsi" w:hAnsiTheme="majorHAnsi"/>
          <w:bCs/>
          <w:sz w:val="20"/>
          <w:szCs w:val="20"/>
          <w:lang w:val="es-UY"/>
        </w:rPr>
        <w:t xml:space="preserve"> se detallan</w:t>
      </w:r>
      <w:r w:rsidR="00C17788">
        <w:rPr>
          <w:rFonts w:asciiTheme="majorHAnsi" w:hAnsiTheme="majorHAnsi"/>
          <w:bCs/>
          <w:sz w:val="20"/>
          <w:szCs w:val="20"/>
          <w:lang w:val="es-UY"/>
        </w:rPr>
        <w:t xml:space="preserve"> </w:t>
      </w:r>
      <w:r w:rsidR="00C03E18">
        <w:rPr>
          <w:rFonts w:asciiTheme="majorHAnsi" w:hAnsiTheme="majorHAnsi"/>
          <w:bCs/>
          <w:sz w:val="20"/>
          <w:szCs w:val="20"/>
          <w:lang w:val="es-UY"/>
        </w:rPr>
        <w:t>las fechas</w:t>
      </w:r>
      <w:r w:rsidR="00A37117">
        <w:rPr>
          <w:rFonts w:asciiTheme="majorHAnsi" w:hAnsiTheme="majorHAnsi"/>
          <w:bCs/>
          <w:sz w:val="20"/>
          <w:szCs w:val="20"/>
          <w:lang w:val="es-UY"/>
        </w:rPr>
        <w:t xml:space="preserve"> de interposición de cada demanda y de las resoluciones que las rechazaron </w:t>
      </w:r>
      <w:r w:rsidR="00B211EE">
        <w:rPr>
          <w:rFonts w:asciiTheme="majorHAnsi" w:hAnsiTheme="majorHAnsi"/>
          <w:bCs/>
          <w:sz w:val="20"/>
          <w:szCs w:val="20"/>
          <w:lang w:val="es-UY"/>
        </w:rPr>
        <w:t>debido a</w:t>
      </w:r>
      <w:r w:rsidR="00A37117">
        <w:rPr>
          <w:rFonts w:asciiTheme="majorHAnsi" w:hAnsiTheme="majorHAnsi"/>
          <w:bCs/>
          <w:sz w:val="20"/>
          <w:szCs w:val="20"/>
          <w:lang w:val="es-UY"/>
        </w:rPr>
        <w:t xml:space="preserve"> la causal de caducidad de la acción</w:t>
      </w:r>
      <w:r w:rsidR="00D218CD">
        <w:rPr>
          <w:rFonts w:asciiTheme="majorHAnsi" w:hAnsiTheme="majorHAnsi"/>
          <w:bCs/>
          <w:sz w:val="20"/>
          <w:szCs w:val="20"/>
          <w:lang w:val="es-UY"/>
        </w:rPr>
        <w:t>:</w:t>
      </w:r>
    </w:p>
    <w:tbl>
      <w:tblPr>
        <w:tblStyle w:val="TableGrid"/>
        <w:tblW w:w="8931" w:type="dxa"/>
        <w:tblInd w:w="210" w:type="dxa"/>
        <w:tblLook w:val="04A0" w:firstRow="1" w:lastRow="0" w:firstColumn="1" w:lastColumn="0" w:noHBand="0" w:noVBand="1"/>
      </w:tblPr>
      <w:tblGrid>
        <w:gridCol w:w="1985"/>
        <w:gridCol w:w="1418"/>
        <w:gridCol w:w="2410"/>
        <w:gridCol w:w="3118"/>
      </w:tblGrid>
      <w:tr w:rsidR="00790CDD" w:rsidRPr="00D11635" w14:paraId="1CBC1D65" w14:textId="77777777" w:rsidTr="00267D79">
        <w:trPr>
          <w:trHeight w:val="688"/>
        </w:trPr>
        <w:tc>
          <w:tcPr>
            <w:tcW w:w="1985" w:type="dxa"/>
          </w:tcPr>
          <w:p w14:paraId="07799FD5" w14:textId="77777777"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
                <w:sz w:val="18"/>
                <w:szCs w:val="18"/>
                <w:lang w:val="es-UY"/>
              </w:rPr>
            </w:pPr>
          </w:p>
          <w:p w14:paraId="10570B04" w14:textId="627D9994"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
                <w:sz w:val="18"/>
                <w:szCs w:val="18"/>
                <w:lang w:val="es-UY"/>
              </w:rPr>
            </w:pPr>
            <w:r w:rsidRPr="00EB1A32">
              <w:rPr>
                <w:rFonts w:asciiTheme="majorHAnsi" w:hAnsiTheme="majorHAnsi"/>
                <w:b/>
                <w:sz w:val="18"/>
                <w:szCs w:val="18"/>
                <w:lang w:val="es-UY"/>
              </w:rPr>
              <w:t>Presunta víctima</w:t>
            </w:r>
          </w:p>
        </w:tc>
        <w:tc>
          <w:tcPr>
            <w:tcW w:w="1418" w:type="dxa"/>
          </w:tcPr>
          <w:p w14:paraId="722955C2" w14:textId="34FA4907" w:rsidR="000A79B1" w:rsidRPr="00EB1A32" w:rsidRDefault="000A79B1" w:rsidP="009F7FA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
                <w:sz w:val="18"/>
                <w:szCs w:val="18"/>
                <w:lang w:val="es-UY"/>
              </w:rPr>
            </w:pPr>
            <w:r w:rsidRPr="00EB1A32">
              <w:rPr>
                <w:rFonts w:asciiTheme="majorHAnsi" w:hAnsiTheme="majorHAnsi"/>
                <w:b/>
                <w:sz w:val="18"/>
                <w:szCs w:val="18"/>
                <w:lang w:val="es-UY"/>
              </w:rPr>
              <w:t>Interposición de la demanda</w:t>
            </w:r>
          </w:p>
        </w:tc>
        <w:tc>
          <w:tcPr>
            <w:tcW w:w="2410" w:type="dxa"/>
          </w:tcPr>
          <w:p w14:paraId="764E4E53" w14:textId="50884695"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
                <w:sz w:val="18"/>
                <w:szCs w:val="18"/>
                <w:lang w:val="es-UY"/>
              </w:rPr>
            </w:pPr>
            <w:r w:rsidRPr="00EB1A32">
              <w:rPr>
                <w:rFonts w:asciiTheme="majorHAnsi" w:hAnsiTheme="majorHAnsi"/>
                <w:b/>
                <w:sz w:val="18"/>
                <w:szCs w:val="18"/>
                <w:lang w:val="es-UY"/>
              </w:rPr>
              <w:t xml:space="preserve">Decisión de primera instancia del Tribunal Contencioso Administrativo del </w:t>
            </w:r>
            <w:r w:rsidR="000A79B1" w:rsidRPr="00EB1A32">
              <w:rPr>
                <w:rFonts w:asciiTheme="majorHAnsi" w:hAnsiTheme="majorHAnsi"/>
                <w:b/>
                <w:sz w:val="18"/>
                <w:szCs w:val="18"/>
                <w:lang w:val="es-UY"/>
              </w:rPr>
              <w:t>M</w:t>
            </w:r>
            <w:r w:rsidRPr="00EB1A32">
              <w:rPr>
                <w:rFonts w:asciiTheme="majorHAnsi" w:hAnsiTheme="majorHAnsi"/>
                <w:b/>
                <w:sz w:val="18"/>
                <w:szCs w:val="18"/>
                <w:lang w:val="es-UY"/>
              </w:rPr>
              <w:t>eta</w:t>
            </w:r>
          </w:p>
        </w:tc>
        <w:tc>
          <w:tcPr>
            <w:tcW w:w="3118" w:type="dxa"/>
          </w:tcPr>
          <w:p w14:paraId="351FB6FF" w14:textId="25745A84" w:rsidR="00790CDD" w:rsidRPr="00EB1A32" w:rsidRDefault="000A79B1"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
                <w:sz w:val="18"/>
                <w:szCs w:val="18"/>
                <w:lang w:val="es-UY"/>
              </w:rPr>
            </w:pPr>
            <w:r w:rsidRPr="00EB1A32">
              <w:rPr>
                <w:rFonts w:asciiTheme="majorHAnsi" w:hAnsiTheme="majorHAnsi"/>
                <w:b/>
                <w:sz w:val="18"/>
                <w:szCs w:val="18"/>
                <w:lang w:val="es-UY"/>
              </w:rPr>
              <w:t>Confirmación del fallo</w:t>
            </w:r>
            <w:r w:rsidR="00790CDD" w:rsidRPr="00EB1A32">
              <w:rPr>
                <w:rFonts w:asciiTheme="majorHAnsi" w:hAnsiTheme="majorHAnsi"/>
                <w:b/>
                <w:sz w:val="18"/>
                <w:szCs w:val="18"/>
                <w:lang w:val="es-UY"/>
              </w:rPr>
              <w:t xml:space="preserve"> a cargo de la Sección Tercera de la Sala de lo Contencioso Administrativo del Consejo de Estado</w:t>
            </w:r>
          </w:p>
        </w:tc>
      </w:tr>
      <w:tr w:rsidR="00790CDD" w:rsidRPr="00EB1A32" w14:paraId="61AC660A" w14:textId="77777777" w:rsidTr="00267D79">
        <w:trPr>
          <w:trHeight w:val="468"/>
        </w:trPr>
        <w:tc>
          <w:tcPr>
            <w:tcW w:w="1985" w:type="dxa"/>
          </w:tcPr>
          <w:p w14:paraId="77C06D7A" w14:textId="3A953CA8"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Miller Andrés Rodríguez y otros</w:t>
            </w:r>
          </w:p>
        </w:tc>
        <w:tc>
          <w:tcPr>
            <w:tcW w:w="1418" w:type="dxa"/>
          </w:tcPr>
          <w:p w14:paraId="709B446C" w14:textId="76CAE3A3" w:rsidR="00790CDD" w:rsidRPr="00EB1A32" w:rsidRDefault="000A79B1"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3 de marzo de 2008</w:t>
            </w:r>
          </w:p>
        </w:tc>
        <w:tc>
          <w:tcPr>
            <w:tcW w:w="2410" w:type="dxa"/>
          </w:tcPr>
          <w:p w14:paraId="2C34CD98" w14:textId="21A8EBAE"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23 de abril de 2008</w:t>
            </w:r>
          </w:p>
        </w:tc>
        <w:tc>
          <w:tcPr>
            <w:tcW w:w="3118" w:type="dxa"/>
          </w:tcPr>
          <w:p w14:paraId="00C005D5" w14:textId="68663D70"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10 de diciembre de 2009</w:t>
            </w:r>
          </w:p>
        </w:tc>
      </w:tr>
      <w:tr w:rsidR="00790CDD" w:rsidRPr="00EB1A32" w14:paraId="33C3D16D" w14:textId="77777777" w:rsidTr="00267D79">
        <w:trPr>
          <w:trHeight w:val="459"/>
        </w:trPr>
        <w:tc>
          <w:tcPr>
            <w:tcW w:w="1985" w:type="dxa"/>
          </w:tcPr>
          <w:p w14:paraId="2DD3672D" w14:textId="6433F175"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Arvey Congo Angulo y otros</w:t>
            </w:r>
          </w:p>
        </w:tc>
        <w:tc>
          <w:tcPr>
            <w:tcW w:w="1418" w:type="dxa"/>
          </w:tcPr>
          <w:p w14:paraId="5311C437" w14:textId="6D6FC1E2" w:rsidR="00790CDD" w:rsidRPr="00EB1A32" w:rsidRDefault="000A79B1"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26 de agosto de 2008</w:t>
            </w:r>
          </w:p>
        </w:tc>
        <w:tc>
          <w:tcPr>
            <w:tcW w:w="2410" w:type="dxa"/>
          </w:tcPr>
          <w:p w14:paraId="2229EA9D" w14:textId="354FD99D"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30 de noviembre de 2008</w:t>
            </w:r>
          </w:p>
        </w:tc>
        <w:tc>
          <w:tcPr>
            <w:tcW w:w="3118" w:type="dxa"/>
          </w:tcPr>
          <w:p w14:paraId="3D1A4487" w14:textId="535C3367"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26 de marzo de 2009</w:t>
            </w:r>
          </w:p>
        </w:tc>
      </w:tr>
      <w:tr w:rsidR="00790CDD" w:rsidRPr="00EB1A32" w14:paraId="59E10537" w14:textId="77777777" w:rsidTr="00267D79">
        <w:trPr>
          <w:trHeight w:val="688"/>
        </w:trPr>
        <w:tc>
          <w:tcPr>
            <w:tcW w:w="1985" w:type="dxa"/>
          </w:tcPr>
          <w:p w14:paraId="7A460907" w14:textId="22CCFB0D"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Moisés Rodrigo Caballero Cárdenas y otros</w:t>
            </w:r>
          </w:p>
        </w:tc>
        <w:tc>
          <w:tcPr>
            <w:tcW w:w="1418" w:type="dxa"/>
          </w:tcPr>
          <w:p w14:paraId="65EBCFEB" w14:textId="1B0A6872" w:rsidR="00790CDD" w:rsidRPr="00EB1A32" w:rsidRDefault="000A79B1"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Finales de 2008</w:t>
            </w:r>
          </w:p>
        </w:tc>
        <w:tc>
          <w:tcPr>
            <w:tcW w:w="2410" w:type="dxa"/>
          </w:tcPr>
          <w:p w14:paraId="6BD547DA" w14:textId="132CC851"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11 de noviembre de 2008</w:t>
            </w:r>
          </w:p>
        </w:tc>
        <w:tc>
          <w:tcPr>
            <w:tcW w:w="3118" w:type="dxa"/>
          </w:tcPr>
          <w:p w14:paraId="70326F34" w14:textId="380D935C"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28 de mayo de 2009</w:t>
            </w:r>
          </w:p>
        </w:tc>
      </w:tr>
      <w:tr w:rsidR="00790CDD" w:rsidRPr="00EB1A32" w14:paraId="0DEE89FE" w14:textId="77777777" w:rsidTr="00267D79">
        <w:trPr>
          <w:trHeight w:val="459"/>
        </w:trPr>
        <w:tc>
          <w:tcPr>
            <w:tcW w:w="1985" w:type="dxa"/>
          </w:tcPr>
          <w:p w14:paraId="2891FB67" w14:textId="21040F8E"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Luis Alfonso Viveros Medina y otros</w:t>
            </w:r>
          </w:p>
        </w:tc>
        <w:tc>
          <w:tcPr>
            <w:tcW w:w="1418" w:type="dxa"/>
          </w:tcPr>
          <w:p w14:paraId="75378654" w14:textId="5CADF4F9" w:rsidR="00790CDD" w:rsidRPr="00EB1A32" w:rsidRDefault="000A79B1"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26 de agosto de 2008</w:t>
            </w:r>
          </w:p>
        </w:tc>
        <w:tc>
          <w:tcPr>
            <w:tcW w:w="2410" w:type="dxa"/>
          </w:tcPr>
          <w:p w14:paraId="036671E4" w14:textId="7BDAF248"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9 de septiembre de 2008</w:t>
            </w:r>
          </w:p>
        </w:tc>
        <w:tc>
          <w:tcPr>
            <w:tcW w:w="3118" w:type="dxa"/>
          </w:tcPr>
          <w:p w14:paraId="0C2BF8A5" w14:textId="198DA766"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28 de mayo de 2009</w:t>
            </w:r>
          </w:p>
        </w:tc>
      </w:tr>
      <w:tr w:rsidR="00790CDD" w:rsidRPr="00EB1A32" w14:paraId="76F0998F" w14:textId="77777777" w:rsidTr="00267D79">
        <w:trPr>
          <w:trHeight w:val="459"/>
        </w:trPr>
        <w:tc>
          <w:tcPr>
            <w:tcW w:w="1985" w:type="dxa"/>
          </w:tcPr>
          <w:p w14:paraId="133083A8" w14:textId="5B109AA2"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Nelson Andrés Zúñiga Rodríguez y otros</w:t>
            </w:r>
          </w:p>
        </w:tc>
        <w:tc>
          <w:tcPr>
            <w:tcW w:w="1418" w:type="dxa"/>
          </w:tcPr>
          <w:p w14:paraId="5626A371" w14:textId="0B8C3365" w:rsidR="00790CDD" w:rsidRPr="00EB1A32" w:rsidRDefault="00267D79"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3 de marzo de 2008</w:t>
            </w:r>
          </w:p>
        </w:tc>
        <w:tc>
          <w:tcPr>
            <w:tcW w:w="2410" w:type="dxa"/>
          </w:tcPr>
          <w:p w14:paraId="47378837" w14:textId="6A5BB59D"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23 de abril de 2008</w:t>
            </w:r>
          </w:p>
        </w:tc>
        <w:tc>
          <w:tcPr>
            <w:tcW w:w="3118" w:type="dxa"/>
          </w:tcPr>
          <w:p w14:paraId="38718B0F" w14:textId="5B5345C3"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18 de julio de 2008</w:t>
            </w:r>
          </w:p>
        </w:tc>
      </w:tr>
      <w:tr w:rsidR="00790CDD" w:rsidRPr="00EB1A32" w14:paraId="053B2048" w14:textId="77777777" w:rsidTr="00267D79">
        <w:trPr>
          <w:trHeight w:val="468"/>
        </w:trPr>
        <w:tc>
          <w:tcPr>
            <w:tcW w:w="1985" w:type="dxa"/>
          </w:tcPr>
          <w:p w14:paraId="073FFE5C" w14:textId="256C9E30"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Edgar Adolfo Mera Castillo</w:t>
            </w:r>
          </w:p>
        </w:tc>
        <w:tc>
          <w:tcPr>
            <w:tcW w:w="1418" w:type="dxa"/>
          </w:tcPr>
          <w:p w14:paraId="1F90D982" w14:textId="709C0D36" w:rsidR="00790CDD" w:rsidRPr="00EB1A32" w:rsidRDefault="00267D79"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15 de octubre de 2008</w:t>
            </w:r>
          </w:p>
        </w:tc>
        <w:tc>
          <w:tcPr>
            <w:tcW w:w="2410" w:type="dxa"/>
          </w:tcPr>
          <w:p w14:paraId="3D0DC931" w14:textId="24A8421A"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11 de noviembre de 2008</w:t>
            </w:r>
          </w:p>
        </w:tc>
        <w:tc>
          <w:tcPr>
            <w:tcW w:w="3118" w:type="dxa"/>
          </w:tcPr>
          <w:p w14:paraId="54EC385D" w14:textId="65FCA760"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3 de marzo de 2010</w:t>
            </w:r>
          </w:p>
        </w:tc>
      </w:tr>
      <w:tr w:rsidR="00790CDD" w:rsidRPr="00EB1A32" w14:paraId="0E14AC45" w14:textId="77777777" w:rsidTr="00267D79">
        <w:trPr>
          <w:trHeight w:val="459"/>
        </w:trPr>
        <w:tc>
          <w:tcPr>
            <w:tcW w:w="1985" w:type="dxa"/>
          </w:tcPr>
          <w:p w14:paraId="54E4A464" w14:textId="3A98B26D"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Jhon Jairo Gutiérrez Céspedes</w:t>
            </w:r>
          </w:p>
        </w:tc>
        <w:tc>
          <w:tcPr>
            <w:tcW w:w="1418" w:type="dxa"/>
          </w:tcPr>
          <w:p w14:paraId="7C10936C" w14:textId="21A3BD7B" w:rsidR="00790CDD" w:rsidRPr="00EB1A32" w:rsidRDefault="00FE4F3C"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14 de octubre de 2008</w:t>
            </w:r>
          </w:p>
        </w:tc>
        <w:tc>
          <w:tcPr>
            <w:tcW w:w="2410" w:type="dxa"/>
          </w:tcPr>
          <w:p w14:paraId="628371F5" w14:textId="28ADF61A"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14 de octubre de 2008</w:t>
            </w:r>
          </w:p>
        </w:tc>
        <w:tc>
          <w:tcPr>
            <w:tcW w:w="3118" w:type="dxa"/>
          </w:tcPr>
          <w:p w14:paraId="67B7B7D7" w14:textId="34C71053" w:rsidR="00790CDD" w:rsidRPr="00EB1A32" w:rsidRDefault="00790CDD" w:rsidP="00FE4F3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hAnsiTheme="majorHAnsi"/>
                <w:bCs/>
                <w:sz w:val="18"/>
                <w:szCs w:val="18"/>
                <w:lang w:val="es-UY"/>
              </w:rPr>
            </w:pPr>
            <w:r w:rsidRPr="00EB1A32">
              <w:rPr>
                <w:rFonts w:asciiTheme="majorHAnsi" w:hAnsiTheme="majorHAnsi"/>
                <w:bCs/>
                <w:sz w:val="18"/>
                <w:szCs w:val="18"/>
                <w:lang w:val="es-UY"/>
              </w:rPr>
              <w:t>El 10 de febrero de 2009</w:t>
            </w:r>
          </w:p>
        </w:tc>
      </w:tr>
    </w:tbl>
    <w:p w14:paraId="158CD42D" w14:textId="09602158" w:rsidR="00D27C4F" w:rsidRDefault="00D27C4F" w:rsidP="00DE6885">
      <w:pPr>
        <w:pStyle w:val="ListParagraph"/>
        <w:numPr>
          <w:ilvl w:val="0"/>
          <w:numId w:val="56"/>
        </w:numPr>
        <w:spacing w:before="240" w:after="240"/>
        <w:ind w:left="0" w:firstLine="720"/>
        <w:jc w:val="both"/>
        <w:rPr>
          <w:rFonts w:asciiTheme="majorHAnsi" w:hAnsiTheme="majorHAnsi"/>
          <w:bCs/>
          <w:sz w:val="20"/>
          <w:szCs w:val="20"/>
          <w:lang w:val="es-PE"/>
        </w:rPr>
      </w:pPr>
      <w:r>
        <w:rPr>
          <w:rFonts w:asciiTheme="majorHAnsi" w:hAnsiTheme="majorHAnsi"/>
          <w:bCs/>
          <w:sz w:val="20"/>
          <w:szCs w:val="20"/>
          <w:lang w:val="es-PE"/>
        </w:rPr>
        <w:t>A</w:t>
      </w:r>
      <w:r w:rsidR="00C03E18">
        <w:rPr>
          <w:rFonts w:asciiTheme="majorHAnsi" w:hAnsiTheme="majorHAnsi"/>
          <w:bCs/>
          <w:sz w:val="20"/>
          <w:szCs w:val="20"/>
          <w:lang w:val="es-PE"/>
        </w:rPr>
        <w:t xml:space="preserve"> juicio de la parte peticionaria, las citadas decisiones implicaron un impedimento de acceder a la justicia, pues aplicaron indebidamente cláusulas de caducidad en perjuicio de las presuntas víctimas, a pesar de que sufrieron crímenes de lesa humanidad, los cuáles no prescriben. </w:t>
      </w:r>
      <w:r w:rsidR="00C54B87">
        <w:rPr>
          <w:rFonts w:asciiTheme="majorHAnsi" w:hAnsiTheme="majorHAnsi"/>
          <w:bCs/>
          <w:sz w:val="20"/>
          <w:szCs w:val="20"/>
          <w:lang w:val="es-PE"/>
        </w:rPr>
        <w:t xml:space="preserve">En ese sentido, arguye que los tribunales internos debieron conocer el fondo de las demandas y no abstenerse de emitir un pronunciamiento por el plazo de presentación de los reclamos. </w:t>
      </w:r>
    </w:p>
    <w:p w14:paraId="47EBE5D7" w14:textId="4143F135" w:rsidR="00C54B87" w:rsidRPr="00131A21" w:rsidRDefault="00C54B87" w:rsidP="00DE6885">
      <w:pPr>
        <w:pStyle w:val="ListParagraph"/>
        <w:numPr>
          <w:ilvl w:val="0"/>
          <w:numId w:val="56"/>
        </w:numPr>
        <w:spacing w:before="240" w:after="240"/>
        <w:ind w:left="0" w:firstLine="720"/>
        <w:jc w:val="both"/>
        <w:rPr>
          <w:rFonts w:asciiTheme="majorHAnsi" w:hAnsiTheme="majorHAnsi"/>
          <w:bCs/>
          <w:sz w:val="20"/>
          <w:szCs w:val="20"/>
          <w:lang w:val="es-PE"/>
        </w:rPr>
      </w:pPr>
      <w:r>
        <w:rPr>
          <w:rFonts w:asciiTheme="majorHAnsi" w:hAnsiTheme="majorHAnsi"/>
          <w:bCs/>
          <w:sz w:val="20"/>
          <w:szCs w:val="20"/>
          <w:lang w:val="es-PE"/>
        </w:rPr>
        <w:t xml:space="preserve">Con base en las citadas consideraciones, la peticionaria arguye que </w:t>
      </w:r>
      <w:r w:rsidR="00EE052E">
        <w:rPr>
          <w:rFonts w:asciiTheme="majorHAnsi" w:hAnsiTheme="majorHAnsi"/>
          <w:bCs/>
          <w:sz w:val="20"/>
          <w:szCs w:val="20"/>
          <w:lang w:val="es-PE"/>
        </w:rPr>
        <w:t>el Estado viol</w:t>
      </w:r>
      <w:r w:rsidR="00E20A10">
        <w:rPr>
          <w:rFonts w:asciiTheme="majorHAnsi" w:hAnsiTheme="majorHAnsi"/>
          <w:bCs/>
          <w:sz w:val="20"/>
          <w:szCs w:val="20"/>
          <w:lang w:val="es-PE"/>
        </w:rPr>
        <w:t>ó</w:t>
      </w:r>
      <w:r w:rsidR="00EE052E">
        <w:rPr>
          <w:rFonts w:asciiTheme="majorHAnsi" w:hAnsiTheme="majorHAnsi"/>
          <w:bCs/>
          <w:sz w:val="20"/>
          <w:szCs w:val="20"/>
          <w:lang w:val="es-PE"/>
        </w:rPr>
        <w:t xml:space="preserve"> los derechos de las presuntas víctimas, dado que permitió que las FARC los secuestraran mientras prestaban servicio militar, </w:t>
      </w:r>
      <w:r w:rsidR="0062770E">
        <w:rPr>
          <w:rFonts w:asciiTheme="majorHAnsi" w:hAnsiTheme="majorHAnsi"/>
          <w:bCs/>
          <w:sz w:val="20"/>
          <w:szCs w:val="20"/>
          <w:lang w:val="es-PE"/>
        </w:rPr>
        <w:t xml:space="preserve">toda vez que los expuso indebidamente a realizar operaciones contraguerrilla. A pesar de ello, </w:t>
      </w:r>
      <w:r w:rsidR="0062770E">
        <w:rPr>
          <w:rFonts w:asciiTheme="majorHAnsi" w:hAnsiTheme="majorHAnsi"/>
          <w:bCs/>
          <w:sz w:val="20"/>
          <w:szCs w:val="20"/>
          <w:lang w:val="es-PE"/>
        </w:rPr>
        <w:lastRenderedPageBreak/>
        <w:t xml:space="preserve">sostiene que los tribunales internos desestimaron los reclamos de dichas personas y sus familiares, desconociendo el carácter imprescriptible de los crímenes de lesa humanidad. A efectos de probar la inconvencionalidad de tales pronunciamientos, detalla que el 11 de abril de 2016 </w:t>
      </w:r>
      <w:r w:rsidR="009470AE">
        <w:rPr>
          <w:rFonts w:asciiTheme="majorHAnsi" w:hAnsiTheme="majorHAnsi"/>
          <w:bCs/>
          <w:sz w:val="20"/>
          <w:szCs w:val="20"/>
          <w:lang w:val="es-PE"/>
        </w:rPr>
        <w:t xml:space="preserve">la Sección Tercera del </w:t>
      </w:r>
      <w:r w:rsidR="009470AE">
        <w:rPr>
          <w:rFonts w:asciiTheme="majorHAnsi" w:hAnsiTheme="majorHAnsi"/>
          <w:bCs/>
          <w:sz w:val="20"/>
          <w:szCs w:val="20"/>
          <w:lang w:val="es-UY"/>
        </w:rPr>
        <w:t>Sala de lo Contencioso Administrativo del Consejo de Estado cambió su línea jurisprudencia e indemnizó a 25 soldados que también</w:t>
      </w:r>
      <w:r w:rsidR="00F7727A">
        <w:rPr>
          <w:rFonts w:asciiTheme="majorHAnsi" w:hAnsiTheme="majorHAnsi"/>
          <w:bCs/>
          <w:sz w:val="20"/>
          <w:szCs w:val="20"/>
          <w:lang w:val="es-UY"/>
        </w:rPr>
        <w:t xml:space="preserve"> fueron víctimas de</w:t>
      </w:r>
      <w:r w:rsidR="009470AE">
        <w:rPr>
          <w:rFonts w:asciiTheme="majorHAnsi" w:hAnsiTheme="majorHAnsi"/>
          <w:bCs/>
          <w:sz w:val="20"/>
          <w:szCs w:val="20"/>
          <w:lang w:val="es-UY"/>
        </w:rPr>
        <w:t xml:space="preserve"> secuestro</w:t>
      </w:r>
      <w:r w:rsidR="00F7727A">
        <w:rPr>
          <w:rFonts w:asciiTheme="majorHAnsi" w:hAnsiTheme="majorHAnsi"/>
          <w:bCs/>
          <w:sz w:val="20"/>
          <w:szCs w:val="20"/>
          <w:lang w:val="es-UY"/>
        </w:rPr>
        <w:t xml:space="preserve"> el 4 y 5 de agosto</w:t>
      </w:r>
      <w:r w:rsidR="009470AE">
        <w:rPr>
          <w:rFonts w:asciiTheme="majorHAnsi" w:hAnsiTheme="majorHAnsi"/>
          <w:bCs/>
          <w:sz w:val="20"/>
          <w:szCs w:val="20"/>
          <w:lang w:val="es-UY"/>
        </w:rPr>
        <w:t xml:space="preserve"> por parte de las FARC</w:t>
      </w:r>
      <w:r w:rsidR="002A5EE1">
        <w:rPr>
          <w:rFonts w:asciiTheme="majorHAnsi" w:hAnsiTheme="majorHAnsi"/>
          <w:bCs/>
          <w:sz w:val="20"/>
          <w:szCs w:val="20"/>
          <w:lang w:val="es-UY"/>
        </w:rPr>
        <w:t xml:space="preserve">. </w:t>
      </w:r>
      <w:r w:rsidR="00131A21">
        <w:rPr>
          <w:rFonts w:asciiTheme="majorHAnsi" w:hAnsiTheme="majorHAnsi"/>
          <w:bCs/>
          <w:sz w:val="20"/>
          <w:szCs w:val="20"/>
          <w:lang w:val="es-UY"/>
        </w:rPr>
        <w:t>Al respecto, e</w:t>
      </w:r>
      <w:r w:rsidR="00333042">
        <w:rPr>
          <w:rFonts w:asciiTheme="majorHAnsi" w:hAnsiTheme="majorHAnsi"/>
          <w:bCs/>
          <w:sz w:val="20"/>
          <w:szCs w:val="20"/>
          <w:lang w:val="es-UY"/>
        </w:rPr>
        <w:t>n e</w:t>
      </w:r>
      <w:r w:rsidR="00131A21">
        <w:rPr>
          <w:rFonts w:asciiTheme="majorHAnsi" w:hAnsiTheme="majorHAnsi"/>
          <w:bCs/>
          <w:sz w:val="20"/>
          <w:szCs w:val="20"/>
          <w:lang w:val="es-UY"/>
        </w:rPr>
        <w:t>l citado fallo</w:t>
      </w:r>
      <w:r w:rsidR="00333042">
        <w:rPr>
          <w:rFonts w:asciiTheme="majorHAnsi" w:hAnsiTheme="majorHAnsi"/>
          <w:bCs/>
          <w:sz w:val="20"/>
          <w:szCs w:val="20"/>
          <w:lang w:val="es-UY"/>
        </w:rPr>
        <w:t xml:space="preserve">, el Consejo de Estado consideró que los hechos denunciados configuraban graves violaciones de derechos humanos y que no aplicaba la </w:t>
      </w:r>
      <w:r w:rsidR="00D83D7F">
        <w:rPr>
          <w:rFonts w:asciiTheme="majorHAnsi" w:hAnsiTheme="majorHAnsi"/>
          <w:bCs/>
          <w:sz w:val="20"/>
          <w:szCs w:val="20"/>
          <w:lang w:val="es-UY"/>
        </w:rPr>
        <w:t>figura de la caducidad en la acción de reparación, en los siguientes términos:</w:t>
      </w:r>
    </w:p>
    <w:p w14:paraId="4810437E" w14:textId="566A6FBD" w:rsidR="00131A21" w:rsidRDefault="00AE6A9A" w:rsidP="00EB1A32">
      <w:pPr>
        <w:pStyle w:val="ListParagraph"/>
        <w:spacing w:before="240" w:after="240"/>
        <w:ind w:right="720"/>
        <w:jc w:val="both"/>
        <w:rPr>
          <w:rFonts w:asciiTheme="majorHAnsi" w:hAnsiTheme="majorHAnsi"/>
          <w:bCs/>
          <w:sz w:val="20"/>
          <w:szCs w:val="20"/>
          <w:lang w:val="es-UY"/>
        </w:rPr>
      </w:pPr>
      <w:r>
        <w:rPr>
          <w:rFonts w:asciiTheme="majorHAnsi" w:hAnsiTheme="majorHAnsi"/>
          <w:bCs/>
          <w:sz w:val="20"/>
          <w:szCs w:val="20"/>
          <w:lang w:val="es-UY"/>
        </w:rPr>
        <w:t xml:space="preserve">Determinada la responsabilidad del Estado en el </w:t>
      </w:r>
      <w:r w:rsidRPr="00AE6A9A">
        <w:rPr>
          <w:rFonts w:asciiTheme="majorHAnsi" w:hAnsiTheme="majorHAnsi"/>
          <w:bCs/>
          <w:i/>
          <w:iCs/>
          <w:sz w:val="20"/>
          <w:szCs w:val="20"/>
          <w:lang w:val="es-UY"/>
        </w:rPr>
        <w:t>sub judice</w:t>
      </w:r>
      <w:r>
        <w:rPr>
          <w:rFonts w:asciiTheme="majorHAnsi" w:hAnsiTheme="majorHAnsi"/>
          <w:bCs/>
          <w:i/>
          <w:iCs/>
          <w:sz w:val="20"/>
          <w:szCs w:val="20"/>
          <w:lang w:val="es-UY"/>
        </w:rPr>
        <w:t xml:space="preserve"> </w:t>
      </w:r>
      <w:r>
        <w:rPr>
          <w:rFonts w:asciiTheme="majorHAnsi" w:hAnsiTheme="majorHAnsi"/>
          <w:bCs/>
          <w:sz w:val="20"/>
          <w:szCs w:val="20"/>
          <w:lang w:val="es-UY"/>
        </w:rPr>
        <w:t>debe la Sala pronunciarse sobre la cualificación de los hechos ocurridos el 3 y 4 de agosto de 1998 como graves violaciones al Derecho Internacional de los Derechos Humanos, cuestión que, centralmente, está demostrada a partir de la comprobación de dos aspectos: i) la utilización de armas no convencionales prohibidas en el despli</w:t>
      </w:r>
      <w:r w:rsidR="00800BDB">
        <w:rPr>
          <w:rFonts w:asciiTheme="majorHAnsi" w:hAnsiTheme="majorHAnsi"/>
          <w:bCs/>
          <w:sz w:val="20"/>
          <w:szCs w:val="20"/>
          <w:lang w:val="es-UY"/>
        </w:rPr>
        <w:t xml:space="preserve">egue de la acción insurgente y ii) los tratos crueles, inhumanos, degradantes y atentatorios contra la dignidad humana respecto de los miembros del Ejército y la Policía Nacional que fueron objeto de aprehensión física violenta y en contra de su voluntad a manos del grupo armado insurgente FARC. </w:t>
      </w:r>
    </w:p>
    <w:p w14:paraId="4C4D8664" w14:textId="16E87136" w:rsidR="00A776EE" w:rsidRDefault="00304862" w:rsidP="00304862">
      <w:pPr>
        <w:pStyle w:val="ListParagraph"/>
        <w:spacing w:before="240" w:after="240"/>
        <w:ind w:right="720"/>
        <w:jc w:val="center"/>
        <w:rPr>
          <w:rFonts w:asciiTheme="majorHAnsi" w:hAnsiTheme="majorHAnsi"/>
          <w:bCs/>
          <w:sz w:val="20"/>
          <w:szCs w:val="20"/>
          <w:lang w:val="es-UY"/>
        </w:rPr>
      </w:pPr>
      <w:r>
        <w:rPr>
          <w:rFonts w:asciiTheme="majorHAnsi" w:hAnsiTheme="majorHAnsi"/>
          <w:bCs/>
          <w:sz w:val="20"/>
          <w:szCs w:val="20"/>
          <w:lang w:val="es-UY"/>
        </w:rPr>
        <w:t>[</w:t>
      </w:r>
      <w:r w:rsidR="00A776EE">
        <w:rPr>
          <w:rFonts w:asciiTheme="majorHAnsi" w:hAnsiTheme="majorHAnsi"/>
          <w:bCs/>
          <w:sz w:val="20"/>
          <w:szCs w:val="20"/>
          <w:lang w:val="es-UY"/>
        </w:rPr>
        <w:t>…</w:t>
      </w:r>
      <w:r>
        <w:rPr>
          <w:rFonts w:asciiTheme="majorHAnsi" w:hAnsiTheme="majorHAnsi"/>
          <w:bCs/>
          <w:sz w:val="20"/>
          <w:szCs w:val="20"/>
          <w:lang w:val="es-UY"/>
        </w:rPr>
        <w:t>]</w:t>
      </w:r>
    </w:p>
    <w:p w14:paraId="43EB92DF" w14:textId="3E48CFD9" w:rsidR="00A22A23" w:rsidRDefault="00304862" w:rsidP="00EB1A32">
      <w:pPr>
        <w:pStyle w:val="ListParagraph"/>
        <w:spacing w:before="240" w:after="240"/>
        <w:ind w:right="720"/>
        <w:jc w:val="both"/>
        <w:rPr>
          <w:rFonts w:asciiTheme="majorHAnsi" w:hAnsiTheme="majorHAnsi"/>
          <w:bCs/>
          <w:sz w:val="20"/>
          <w:szCs w:val="20"/>
          <w:lang w:val="es-UY"/>
        </w:rPr>
      </w:pPr>
      <w:r>
        <w:rPr>
          <w:rFonts w:asciiTheme="majorHAnsi" w:hAnsiTheme="majorHAnsi"/>
          <w:bCs/>
          <w:sz w:val="20"/>
          <w:szCs w:val="20"/>
          <w:lang w:val="es-UY"/>
        </w:rPr>
        <w:t>[</w:t>
      </w:r>
      <w:r w:rsidR="00A22A23">
        <w:rPr>
          <w:rFonts w:asciiTheme="majorHAnsi" w:hAnsiTheme="majorHAnsi"/>
          <w:bCs/>
          <w:sz w:val="20"/>
          <w:szCs w:val="20"/>
          <w:lang w:val="es-UY"/>
        </w:rPr>
        <w:t>…</w:t>
      </w:r>
      <w:r>
        <w:rPr>
          <w:rFonts w:asciiTheme="majorHAnsi" w:hAnsiTheme="majorHAnsi"/>
          <w:bCs/>
          <w:sz w:val="20"/>
          <w:szCs w:val="20"/>
          <w:lang w:val="es-UY"/>
        </w:rPr>
        <w:t>]</w:t>
      </w:r>
      <w:r w:rsidR="00A22A23">
        <w:rPr>
          <w:rFonts w:asciiTheme="majorHAnsi" w:hAnsiTheme="majorHAnsi"/>
          <w:bCs/>
          <w:sz w:val="20"/>
          <w:szCs w:val="20"/>
          <w:lang w:val="es-UY"/>
        </w:rPr>
        <w:t xml:space="preserve"> la Corte Interamericana </w:t>
      </w:r>
      <w:r w:rsidR="00A749EE">
        <w:rPr>
          <w:rFonts w:asciiTheme="majorHAnsi" w:hAnsiTheme="majorHAnsi"/>
          <w:bCs/>
          <w:sz w:val="20"/>
          <w:szCs w:val="20"/>
          <w:lang w:val="es-UY"/>
        </w:rPr>
        <w:t>de Derechos Humanos en el Caso Barrios Altos vs. Perú, 14 de marzo de 2001, sentenció: “</w:t>
      </w:r>
      <w:r w:rsidR="00A749EE" w:rsidRPr="008804EF">
        <w:rPr>
          <w:rFonts w:asciiTheme="majorHAnsi" w:hAnsiTheme="majorHAnsi"/>
          <w:bCs/>
          <w:i/>
          <w:iCs/>
          <w:sz w:val="20"/>
          <w:szCs w:val="20"/>
          <w:lang w:val="es-UY"/>
        </w:rPr>
        <w:t>41. Esta Corte considera que son inadmisibles las disposiciones de amnistía, las disposiciones prescripción y el establecimiento de excluyentes de responsabilidad que pretendan impedir la investigación y sanción de los responsables de las violaciones graves de los</w:t>
      </w:r>
      <w:r w:rsidR="00333042" w:rsidRPr="008804EF">
        <w:rPr>
          <w:rFonts w:asciiTheme="majorHAnsi" w:hAnsiTheme="majorHAnsi"/>
          <w:bCs/>
          <w:i/>
          <w:iCs/>
          <w:sz w:val="20"/>
          <w:szCs w:val="20"/>
          <w:lang w:val="es-UY"/>
        </w:rPr>
        <w:t xml:space="preserve"> Derechos Humanos</w:t>
      </w:r>
      <w:r w:rsidR="00333042">
        <w:rPr>
          <w:rFonts w:asciiTheme="majorHAnsi" w:hAnsiTheme="majorHAnsi"/>
          <w:bCs/>
          <w:sz w:val="20"/>
          <w:szCs w:val="20"/>
          <w:lang w:val="es-UY"/>
        </w:rPr>
        <w:t xml:space="preserve">”, lo que, entre otros pronunciamientos, ha sido reiterado en ulteriores oportunidades por ese Tribunal </w:t>
      </w:r>
      <w:r>
        <w:rPr>
          <w:rFonts w:asciiTheme="majorHAnsi" w:hAnsiTheme="majorHAnsi"/>
          <w:bCs/>
          <w:sz w:val="20"/>
          <w:szCs w:val="20"/>
          <w:lang w:val="es-UY"/>
        </w:rPr>
        <w:t>[</w:t>
      </w:r>
      <w:r w:rsidR="00333042">
        <w:rPr>
          <w:rFonts w:asciiTheme="majorHAnsi" w:hAnsiTheme="majorHAnsi"/>
          <w:bCs/>
          <w:sz w:val="20"/>
          <w:szCs w:val="20"/>
          <w:lang w:val="es-UY"/>
        </w:rPr>
        <w:t>…</w:t>
      </w:r>
      <w:r>
        <w:rPr>
          <w:rFonts w:asciiTheme="majorHAnsi" w:hAnsiTheme="majorHAnsi"/>
          <w:bCs/>
          <w:sz w:val="20"/>
          <w:szCs w:val="20"/>
          <w:lang w:val="es-UY"/>
        </w:rPr>
        <w:t>]</w:t>
      </w:r>
    </w:p>
    <w:p w14:paraId="7814CC90" w14:textId="1067F18A" w:rsidR="00800BDB" w:rsidRDefault="00304862" w:rsidP="008804EF">
      <w:pPr>
        <w:pStyle w:val="ListParagraph"/>
        <w:spacing w:before="240" w:after="240"/>
        <w:ind w:right="720"/>
        <w:jc w:val="center"/>
        <w:rPr>
          <w:rFonts w:asciiTheme="majorHAnsi" w:hAnsiTheme="majorHAnsi"/>
          <w:bCs/>
          <w:sz w:val="20"/>
          <w:szCs w:val="20"/>
          <w:lang w:val="es-UY"/>
        </w:rPr>
      </w:pPr>
      <w:r>
        <w:rPr>
          <w:rFonts w:asciiTheme="majorHAnsi" w:hAnsiTheme="majorHAnsi"/>
          <w:bCs/>
          <w:sz w:val="20"/>
          <w:szCs w:val="20"/>
          <w:lang w:val="es-UY"/>
        </w:rPr>
        <w:t>[</w:t>
      </w:r>
      <w:r w:rsidR="00800BDB">
        <w:rPr>
          <w:rFonts w:asciiTheme="majorHAnsi" w:hAnsiTheme="majorHAnsi"/>
          <w:bCs/>
          <w:sz w:val="20"/>
          <w:szCs w:val="20"/>
          <w:lang w:val="es-UY"/>
        </w:rPr>
        <w:t>…</w:t>
      </w:r>
      <w:r>
        <w:rPr>
          <w:rFonts w:asciiTheme="majorHAnsi" w:hAnsiTheme="majorHAnsi"/>
          <w:bCs/>
          <w:sz w:val="20"/>
          <w:szCs w:val="20"/>
          <w:lang w:val="es-UY"/>
        </w:rPr>
        <w:t>]</w:t>
      </w:r>
    </w:p>
    <w:p w14:paraId="6C25D01C" w14:textId="13B87CD6" w:rsidR="00800BDB" w:rsidRPr="00AE6A9A" w:rsidRDefault="00F3464C" w:rsidP="00EB1A32">
      <w:pPr>
        <w:pStyle w:val="ListParagraph"/>
        <w:spacing w:before="240" w:after="240"/>
        <w:ind w:right="720"/>
        <w:jc w:val="both"/>
        <w:rPr>
          <w:rFonts w:asciiTheme="majorHAnsi" w:hAnsiTheme="majorHAnsi"/>
          <w:bCs/>
          <w:sz w:val="20"/>
          <w:szCs w:val="20"/>
          <w:lang w:val="es-PE"/>
        </w:rPr>
      </w:pPr>
      <w:r>
        <w:rPr>
          <w:rFonts w:asciiTheme="majorHAnsi" w:hAnsiTheme="majorHAnsi"/>
          <w:bCs/>
          <w:sz w:val="20"/>
          <w:szCs w:val="20"/>
          <w:lang w:val="es-UY"/>
        </w:rPr>
        <w:t>Y ya ha dicho esta Sección, en anteriores ocasiones, que estas consideraciones de imprescriptibilidad en materia penal son plenamente extensibles al ámbito del recurso contencioso administrativo, pretensión de reparación directa</w:t>
      </w:r>
      <w:r w:rsidR="00A776EE">
        <w:rPr>
          <w:rFonts w:asciiTheme="majorHAnsi" w:hAnsiTheme="majorHAnsi"/>
          <w:bCs/>
          <w:sz w:val="20"/>
          <w:szCs w:val="20"/>
          <w:lang w:val="es-UY"/>
        </w:rPr>
        <w:t xml:space="preserve"> </w:t>
      </w:r>
      <w:r w:rsidR="00304862">
        <w:rPr>
          <w:rFonts w:asciiTheme="majorHAnsi" w:hAnsiTheme="majorHAnsi"/>
          <w:bCs/>
          <w:sz w:val="20"/>
          <w:szCs w:val="20"/>
          <w:lang w:val="es-UY"/>
        </w:rPr>
        <w:t>[</w:t>
      </w:r>
      <w:r w:rsidR="00A776EE">
        <w:rPr>
          <w:rFonts w:asciiTheme="majorHAnsi" w:hAnsiTheme="majorHAnsi"/>
          <w:bCs/>
          <w:sz w:val="20"/>
          <w:szCs w:val="20"/>
          <w:lang w:val="es-UY"/>
        </w:rPr>
        <w:t>…</w:t>
      </w:r>
      <w:r w:rsidR="00304862">
        <w:rPr>
          <w:rFonts w:asciiTheme="majorHAnsi" w:hAnsiTheme="majorHAnsi"/>
          <w:bCs/>
          <w:sz w:val="20"/>
          <w:szCs w:val="20"/>
          <w:lang w:val="es-UY"/>
        </w:rPr>
        <w:t>]</w:t>
      </w:r>
      <w:r w:rsidR="00A776EE">
        <w:rPr>
          <w:rFonts w:asciiTheme="majorHAnsi" w:hAnsiTheme="majorHAnsi"/>
          <w:bCs/>
          <w:sz w:val="20"/>
          <w:szCs w:val="20"/>
          <w:lang w:val="es-UY"/>
        </w:rPr>
        <w:t xml:space="preserve"> </w:t>
      </w:r>
    </w:p>
    <w:p w14:paraId="695642F5" w14:textId="2B8533D6" w:rsidR="00950FF1" w:rsidRPr="0062770E" w:rsidRDefault="00D27C4F" w:rsidP="00DE6885">
      <w:pPr>
        <w:pStyle w:val="ListParagraph"/>
        <w:numPr>
          <w:ilvl w:val="0"/>
          <w:numId w:val="56"/>
        </w:numPr>
        <w:spacing w:before="240" w:after="240"/>
        <w:ind w:left="0" w:firstLine="720"/>
        <w:jc w:val="both"/>
        <w:rPr>
          <w:rFonts w:asciiTheme="majorHAnsi" w:hAnsiTheme="majorHAnsi"/>
          <w:bCs/>
          <w:sz w:val="20"/>
          <w:szCs w:val="20"/>
          <w:lang w:val="es-PE"/>
        </w:rPr>
      </w:pPr>
      <w:r>
        <w:rPr>
          <w:rFonts w:asciiTheme="majorHAnsi" w:hAnsiTheme="majorHAnsi"/>
          <w:bCs/>
          <w:sz w:val="20"/>
          <w:szCs w:val="20"/>
          <w:lang w:val="es-PE"/>
        </w:rPr>
        <w:t>Finalmente, e</w:t>
      </w:r>
      <w:r w:rsidR="00500F96" w:rsidRPr="00C35BCA">
        <w:rPr>
          <w:rFonts w:asciiTheme="majorHAnsi" w:hAnsiTheme="majorHAnsi"/>
          <w:bCs/>
          <w:sz w:val="20"/>
          <w:szCs w:val="20"/>
          <w:lang w:val="es-PE"/>
        </w:rPr>
        <w:t xml:space="preserve">xplica que </w:t>
      </w:r>
      <w:r w:rsidR="00C35BCA" w:rsidRPr="00C35BCA">
        <w:rPr>
          <w:rFonts w:asciiTheme="majorHAnsi" w:hAnsiTheme="majorHAnsi"/>
          <w:bCs/>
          <w:sz w:val="20"/>
          <w:szCs w:val="20"/>
          <w:lang w:val="es-PE"/>
        </w:rPr>
        <w:t>se demor</w:t>
      </w:r>
      <w:r w:rsidR="00C35BCA">
        <w:rPr>
          <w:rFonts w:asciiTheme="majorHAnsi" w:hAnsiTheme="majorHAnsi"/>
          <w:bCs/>
          <w:sz w:val="20"/>
          <w:szCs w:val="20"/>
          <w:lang w:val="es-PE"/>
        </w:rPr>
        <w:t xml:space="preserve">ó en el trámite de presentación de </w:t>
      </w:r>
      <w:r w:rsidR="002A5EE1">
        <w:rPr>
          <w:rFonts w:asciiTheme="majorHAnsi" w:hAnsiTheme="majorHAnsi"/>
          <w:bCs/>
          <w:sz w:val="20"/>
          <w:szCs w:val="20"/>
          <w:lang w:val="es-PE"/>
        </w:rPr>
        <w:t>esta</w:t>
      </w:r>
      <w:r w:rsidR="00C35BCA">
        <w:rPr>
          <w:rFonts w:asciiTheme="majorHAnsi" w:hAnsiTheme="majorHAnsi"/>
          <w:bCs/>
          <w:sz w:val="20"/>
          <w:szCs w:val="20"/>
          <w:lang w:val="es-PE"/>
        </w:rPr>
        <w:t xml:space="preserve"> petición, dado que tuvo que desglosar cada una de las pruebas adjuntas y </w:t>
      </w:r>
      <w:r w:rsidR="00CF0CAB">
        <w:rPr>
          <w:rFonts w:asciiTheme="majorHAnsi" w:hAnsiTheme="majorHAnsi"/>
          <w:bCs/>
          <w:sz w:val="20"/>
          <w:szCs w:val="20"/>
          <w:lang w:val="es-PE"/>
        </w:rPr>
        <w:t xml:space="preserve">solicitar las copias pertinentes a las autoridades judiciales. Además, indica que las presuntas víctimas poseen escasos recursos y viven en diferentes lugares del territorio nacional, lo que dificultó </w:t>
      </w:r>
      <w:r w:rsidR="008E1B9A">
        <w:rPr>
          <w:rFonts w:asciiTheme="majorHAnsi" w:hAnsiTheme="majorHAnsi"/>
          <w:bCs/>
          <w:sz w:val="20"/>
          <w:szCs w:val="20"/>
          <w:lang w:val="es-PE"/>
        </w:rPr>
        <w:t>poder ubicarlos a efectos de</w:t>
      </w:r>
      <w:r w:rsidR="00CF0CAB">
        <w:rPr>
          <w:rFonts w:asciiTheme="majorHAnsi" w:hAnsiTheme="majorHAnsi"/>
          <w:bCs/>
          <w:sz w:val="20"/>
          <w:szCs w:val="20"/>
          <w:lang w:val="es-PE"/>
        </w:rPr>
        <w:t xml:space="preserve"> obten</w:t>
      </w:r>
      <w:r w:rsidR="008E1B9A">
        <w:rPr>
          <w:rFonts w:asciiTheme="majorHAnsi" w:hAnsiTheme="majorHAnsi"/>
          <w:bCs/>
          <w:sz w:val="20"/>
          <w:szCs w:val="20"/>
          <w:lang w:val="es-PE"/>
        </w:rPr>
        <w:t>er</w:t>
      </w:r>
      <w:r w:rsidR="00CF0CAB">
        <w:rPr>
          <w:rFonts w:asciiTheme="majorHAnsi" w:hAnsiTheme="majorHAnsi"/>
          <w:bCs/>
          <w:sz w:val="20"/>
          <w:szCs w:val="20"/>
          <w:lang w:val="es-PE"/>
        </w:rPr>
        <w:t xml:space="preserve"> de los poderes de representación</w:t>
      </w:r>
      <w:r w:rsidR="008E1B9A">
        <w:rPr>
          <w:rFonts w:asciiTheme="majorHAnsi" w:hAnsiTheme="majorHAnsi"/>
          <w:bCs/>
          <w:sz w:val="20"/>
          <w:szCs w:val="20"/>
          <w:lang w:val="es-PE"/>
        </w:rPr>
        <w:t xml:space="preserve"> y otros documentos necesarios</w:t>
      </w:r>
      <w:r w:rsidR="00CF0CAB">
        <w:rPr>
          <w:rFonts w:asciiTheme="majorHAnsi" w:hAnsiTheme="majorHAnsi"/>
          <w:bCs/>
          <w:sz w:val="20"/>
          <w:szCs w:val="20"/>
          <w:lang w:val="es-PE"/>
        </w:rPr>
        <w:t>, pues tuv</w:t>
      </w:r>
      <w:r w:rsidR="008E1B9A">
        <w:rPr>
          <w:rFonts w:asciiTheme="majorHAnsi" w:hAnsiTheme="majorHAnsi"/>
          <w:bCs/>
          <w:sz w:val="20"/>
          <w:szCs w:val="20"/>
          <w:lang w:val="es-PE"/>
        </w:rPr>
        <w:t>o</w:t>
      </w:r>
      <w:r w:rsidR="00CF0CAB">
        <w:rPr>
          <w:rFonts w:asciiTheme="majorHAnsi" w:hAnsiTheme="majorHAnsi"/>
          <w:bCs/>
          <w:sz w:val="20"/>
          <w:szCs w:val="20"/>
          <w:lang w:val="es-PE"/>
        </w:rPr>
        <w:t xml:space="preserve"> que desplazarse a vari</w:t>
      </w:r>
      <w:r w:rsidR="008E1B9A">
        <w:rPr>
          <w:rFonts w:asciiTheme="majorHAnsi" w:hAnsiTheme="majorHAnsi"/>
          <w:bCs/>
          <w:sz w:val="20"/>
          <w:szCs w:val="20"/>
          <w:lang w:val="es-PE"/>
        </w:rPr>
        <w:t xml:space="preserve">as localidades. </w:t>
      </w:r>
      <w:r w:rsidR="00B738F2">
        <w:rPr>
          <w:rFonts w:asciiTheme="majorHAnsi" w:hAnsiTheme="majorHAnsi"/>
          <w:bCs/>
          <w:sz w:val="20"/>
          <w:szCs w:val="20"/>
          <w:lang w:val="es-PE"/>
        </w:rPr>
        <w:t xml:space="preserve">Agrega que, durante ese periodo, tuvo que recibir tratamiento médico, lo cual dificultó </w:t>
      </w:r>
      <w:r>
        <w:rPr>
          <w:rFonts w:asciiTheme="majorHAnsi" w:hAnsiTheme="majorHAnsi"/>
          <w:bCs/>
          <w:sz w:val="20"/>
          <w:szCs w:val="20"/>
          <w:lang w:val="es-PE"/>
        </w:rPr>
        <w:t xml:space="preserve">la tramitación del presente asunto. </w:t>
      </w:r>
      <w:r w:rsidR="00EA11BD" w:rsidRPr="0062770E">
        <w:rPr>
          <w:rFonts w:asciiTheme="majorHAnsi" w:hAnsiTheme="majorHAnsi"/>
          <w:bCs/>
          <w:sz w:val="20"/>
          <w:szCs w:val="20"/>
          <w:lang w:val="es-UY"/>
        </w:rPr>
        <w:t xml:space="preserve"> </w:t>
      </w:r>
    </w:p>
    <w:p w14:paraId="3476A552" w14:textId="665517C3" w:rsidR="0080754C" w:rsidRPr="0080754C" w:rsidRDefault="0080754C" w:rsidP="0080754C">
      <w:pPr>
        <w:pStyle w:val="ListParagraph"/>
        <w:spacing w:before="240" w:after="240"/>
        <w:jc w:val="both"/>
        <w:rPr>
          <w:rFonts w:asciiTheme="majorHAnsi" w:hAnsiTheme="majorHAnsi"/>
          <w:bCs/>
          <w:i/>
          <w:iCs/>
          <w:sz w:val="20"/>
          <w:szCs w:val="20"/>
          <w:lang w:val="es-UY"/>
        </w:rPr>
      </w:pPr>
      <w:r w:rsidRPr="0080754C">
        <w:rPr>
          <w:rFonts w:asciiTheme="majorHAnsi" w:hAnsiTheme="majorHAnsi"/>
          <w:bCs/>
          <w:i/>
          <w:iCs/>
          <w:sz w:val="20"/>
          <w:szCs w:val="20"/>
          <w:lang w:val="es-UY"/>
        </w:rPr>
        <w:t>Alegatos del Estado</w:t>
      </w:r>
      <w:r w:rsidR="00953D4F">
        <w:rPr>
          <w:rFonts w:asciiTheme="majorHAnsi" w:hAnsiTheme="majorHAnsi"/>
          <w:bCs/>
          <w:i/>
          <w:iCs/>
          <w:sz w:val="20"/>
          <w:szCs w:val="20"/>
          <w:lang w:val="es-UY"/>
        </w:rPr>
        <w:t xml:space="preserve"> colombiano</w:t>
      </w:r>
    </w:p>
    <w:p w14:paraId="7700EF98" w14:textId="33560A9E" w:rsidR="0080754C" w:rsidRDefault="0047535A"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De manera preliminar, el Estado informa </w:t>
      </w:r>
      <w:r w:rsidR="0080754C">
        <w:rPr>
          <w:rFonts w:asciiTheme="majorHAnsi" w:hAnsiTheme="majorHAnsi"/>
          <w:bCs/>
          <w:sz w:val="20"/>
          <w:szCs w:val="20"/>
          <w:lang w:val="es-UY"/>
        </w:rPr>
        <w:t xml:space="preserve">que la Fiscalía 47 adscrita a la Dirección Especializada contra las violaciones a los Derechos Humanos inició una investigación, recaída en el expediente Nro. 11001606606419980001755, </w:t>
      </w:r>
      <w:r w:rsidR="0086205C">
        <w:rPr>
          <w:rFonts w:asciiTheme="majorHAnsi" w:hAnsiTheme="majorHAnsi"/>
          <w:bCs/>
          <w:sz w:val="20"/>
          <w:szCs w:val="20"/>
          <w:lang w:val="es-UY"/>
        </w:rPr>
        <w:t xml:space="preserve">por los delitos de secuestro extorsivo, terrorismo agravado, homicidio agravado y rebelión, la </w:t>
      </w:r>
      <w:r w:rsidR="00BE145B">
        <w:rPr>
          <w:rFonts w:asciiTheme="majorHAnsi" w:hAnsiTheme="majorHAnsi"/>
          <w:bCs/>
          <w:sz w:val="20"/>
          <w:szCs w:val="20"/>
          <w:lang w:val="es-UY"/>
        </w:rPr>
        <w:t>cual</w:t>
      </w:r>
      <w:r w:rsidR="0086205C">
        <w:rPr>
          <w:rFonts w:asciiTheme="majorHAnsi" w:hAnsiTheme="majorHAnsi"/>
          <w:bCs/>
          <w:sz w:val="20"/>
          <w:szCs w:val="20"/>
          <w:lang w:val="es-UY"/>
        </w:rPr>
        <w:t xml:space="preserve"> aún se encuentra activa. </w:t>
      </w:r>
      <w:r w:rsidR="00CC6939">
        <w:rPr>
          <w:rFonts w:asciiTheme="majorHAnsi" w:hAnsiTheme="majorHAnsi"/>
          <w:bCs/>
          <w:sz w:val="20"/>
          <w:szCs w:val="20"/>
          <w:lang w:val="es-UY"/>
        </w:rPr>
        <w:t xml:space="preserve">Agrega que en el marco de este proceso las autoridades han proferido dieciocho sentencias condenatorias, cuatro resoluciones de acusación y una resolución de acusación a un integrante de las FARC sometido ante la Jurisdicción Especial para la Paz (en adelante </w:t>
      </w:r>
      <w:r w:rsidR="00F76E1D">
        <w:rPr>
          <w:rFonts w:asciiTheme="majorHAnsi" w:hAnsiTheme="majorHAnsi"/>
          <w:bCs/>
          <w:sz w:val="20"/>
          <w:szCs w:val="20"/>
          <w:lang w:val="es-UY"/>
        </w:rPr>
        <w:t>“</w:t>
      </w:r>
      <w:r w:rsidR="00CC6939">
        <w:rPr>
          <w:rFonts w:asciiTheme="majorHAnsi" w:hAnsiTheme="majorHAnsi"/>
          <w:bCs/>
          <w:sz w:val="20"/>
          <w:szCs w:val="20"/>
          <w:lang w:val="es-UY"/>
        </w:rPr>
        <w:t>JEP</w:t>
      </w:r>
      <w:r w:rsidR="00F76E1D">
        <w:rPr>
          <w:rFonts w:asciiTheme="majorHAnsi" w:hAnsiTheme="majorHAnsi"/>
          <w:bCs/>
          <w:sz w:val="20"/>
          <w:szCs w:val="20"/>
          <w:lang w:val="es-UY"/>
        </w:rPr>
        <w:t>”</w:t>
      </w:r>
      <w:r w:rsidR="00CC6939">
        <w:rPr>
          <w:rFonts w:asciiTheme="majorHAnsi" w:hAnsiTheme="majorHAnsi"/>
          <w:bCs/>
          <w:sz w:val="20"/>
          <w:szCs w:val="20"/>
          <w:lang w:val="es-UY"/>
        </w:rPr>
        <w:t xml:space="preserve">). Asimismo, señala que doce personas involucradas con los hechos son comparecientes ante la JEP, una persona tiene un proceso activo en fase de juicio </w:t>
      </w:r>
      <w:r w:rsidR="002A5EE1">
        <w:rPr>
          <w:rFonts w:asciiTheme="majorHAnsi" w:hAnsiTheme="majorHAnsi"/>
          <w:bCs/>
          <w:sz w:val="20"/>
          <w:szCs w:val="20"/>
          <w:lang w:val="es-UY"/>
        </w:rPr>
        <w:t>oral,</w:t>
      </w:r>
      <w:r w:rsidR="00CC6939">
        <w:rPr>
          <w:rFonts w:asciiTheme="majorHAnsi" w:hAnsiTheme="majorHAnsi"/>
          <w:bCs/>
          <w:sz w:val="20"/>
          <w:szCs w:val="20"/>
          <w:lang w:val="es-UY"/>
        </w:rPr>
        <w:t xml:space="preserve"> un</w:t>
      </w:r>
      <w:r w:rsidR="00AA2300">
        <w:rPr>
          <w:rFonts w:asciiTheme="majorHAnsi" w:hAnsiTheme="majorHAnsi"/>
          <w:bCs/>
          <w:sz w:val="20"/>
          <w:szCs w:val="20"/>
          <w:lang w:val="es-UY"/>
        </w:rPr>
        <w:t xml:space="preserve"> individuo</w:t>
      </w:r>
      <w:r w:rsidR="00CC6939">
        <w:rPr>
          <w:rFonts w:asciiTheme="majorHAnsi" w:hAnsiTheme="majorHAnsi"/>
          <w:bCs/>
          <w:sz w:val="20"/>
          <w:szCs w:val="20"/>
          <w:lang w:val="es-UY"/>
        </w:rPr>
        <w:t xml:space="preserve"> tiene un proceso suspendido por estar postulado ante la Ley 975 de 2005 y catorce personas se encuentran pendientes de definir su situación jurídica.</w:t>
      </w:r>
    </w:p>
    <w:p w14:paraId="7F84B4D2" w14:textId="15E21F23" w:rsidR="00CC6939" w:rsidRPr="00D36F52" w:rsidRDefault="00CC6939"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Así, detalla que la JEP estudió el caso de “la toma de Miraflores”, siendo uno de los casos </w:t>
      </w:r>
      <w:r w:rsidR="00D36F52">
        <w:rPr>
          <w:rFonts w:asciiTheme="majorHAnsi" w:hAnsiTheme="majorHAnsi"/>
          <w:bCs/>
          <w:sz w:val="20"/>
          <w:szCs w:val="20"/>
          <w:lang w:val="es-UY"/>
        </w:rPr>
        <w:t>contemplados</w:t>
      </w:r>
      <w:r>
        <w:rPr>
          <w:rFonts w:asciiTheme="majorHAnsi" w:hAnsiTheme="majorHAnsi"/>
          <w:bCs/>
          <w:sz w:val="20"/>
          <w:szCs w:val="20"/>
          <w:lang w:val="es-UY"/>
        </w:rPr>
        <w:t xml:space="preserve"> en el Auto 019 de Determinación de Hechos y Conductas, en la que, a los máximos responsables de las FARC, pertenecientes al antiguo secretariado, se le atribuyeron crímenes de lesa humanidad y crímenes </w:t>
      </w:r>
      <w:r>
        <w:rPr>
          <w:rFonts w:asciiTheme="majorHAnsi" w:hAnsiTheme="majorHAnsi"/>
          <w:bCs/>
          <w:sz w:val="20"/>
          <w:szCs w:val="20"/>
          <w:lang w:val="es-UY"/>
        </w:rPr>
        <w:lastRenderedPageBreak/>
        <w:t xml:space="preserve">de guerra. En esa línea, entre el 21 y 23 de junio de 2022, en audiencia pública de reconocimiento, los siete miembros del antiguo secretariado de las FARC reconocieron su responsabilidad por los crímenes cometidos a nivel nacionales, reconocidos en el citado Auto 019. </w:t>
      </w:r>
      <w:r w:rsidRPr="00D36F52">
        <w:rPr>
          <w:rFonts w:asciiTheme="majorHAnsi" w:hAnsiTheme="majorHAnsi"/>
          <w:bCs/>
          <w:sz w:val="20"/>
          <w:szCs w:val="20"/>
          <w:lang w:val="es-UY"/>
        </w:rPr>
        <w:t>Sin embargo, resalta que, en la actualidad, solamente el señor Caballero Cárdenas se encuentra acreditado como víctima, en el marco del “caso 01 Toma de rehenes, graves privaciones de la libertad y otros crímenes concurrentes cometidos por las FARC</w:t>
      </w:r>
      <w:r w:rsidR="00251A82">
        <w:rPr>
          <w:rFonts w:asciiTheme="majorHAnsi" w:hAnsiTheme="majorHAnsi"/>
          <w:bCs/>
          <w:sz w:val="20"/>
          <w:szCs w:val="20"/>
          <w:lang w:val="es-UY"/>
        </w:rPr>
        <w:t>”</w:t>
      </w:r>
      <w:r w:rsidRPr="00D36F52">
        <w:rPr>
          <w:rFonts w:asciiTheme="majorHAnsi" w:hAnsiTheme="majorHAnsi"/>
          <w:bCs/>
          <w:sz w:val="20"/>
          <w:szCs w:val="20"/>
          <w:lang w:val="es-UY"/>
        </w:rPr>
        <w:t>.</w:t>
      </w:r>
    </w:p>
    <w:p w14:paraId="1088B5F1" w14:textId="208B2566" w:rsidR="005D3612" w:rsidRDefault="000F19C2"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Asimismo, d</w:t>
      </w:r>
      <w:r w:rsidR="005D3612">
        <w:rPr>
          <w:rFonts w:asciiTheme="majorHAnsi" w:hAnsiTheme="majorHAnsi"/>
          <w:bCs/>
          <w:sz w:val="20"/>
          <w:szCs w:val="20"/>
          <w:lang w:val="es-UY"/>
        </w:rPr>
        <w:t xml:space="preserve">etalla que, </w:t>
      </w:r>
      <w:r w:rsidR="00251A82">
        <w:rPr>
          <w:rFonts w:asciiTheme="majorHAnsi" w:hAnsiTheme="majorHAnsi"/>
          <w:bCs/>
          <w:sz w:val="20"/>
          <w:szCs w:val="20"/>
          <w:lang w:val="es-UY"/>
        </w:rPr>
        <w:t>de acuerdo con</w:t>
      </w:r>
      <w:r w:rsidR="005D3612">
        <w:rPr>
          <w:rFonts w:asciiTheme="majorHAnsi" w:hAnsiTheme="majorHAnsi"/>
          <w:bCs/>
          <w:sz w:val="20"/>
          <w:szCs w:val="20"/>
          <w:lang w:val="es-UY"/>
        </w:rPr>
        <w:t xml:space="preserve"> la informado por la Unidad para la Atención y Reparación Integral a las Víctimas, las presuntas víctimas se encuentran inscritas en el Registro Único de Víctimas</w:t>
      </w:r>
      <w:r w:rsidR="00556D27">
        <w:rPr>
          <w:rFonts w:asciiTheme="majorHAnsi" w:hAnsiTheme="majorHAnsi"/>
          <w:bCs/>
          <w:sz w:val="20"/>
          <w:szCs w:val="20"/>
          <w:lang w:val="es-UY"/>
        </w:rPr>
        <w:t>,</w:t>
      </w:r>
      <w:r w:rsidR="005D3612">
        <w:rPr>
          <w:rFonts w:asciiTheme="majorHAnsi" w:hAnsiTheme="majorHAnsi"/>
          <w:bCs/>
          <w:sz w:val="20"/>
          <w:szCs w:val="20"/>
          <w:lang w:val="es-UY"/>
        </w:rPr>
        <w:t xml:space="preserve"> y</w:t>
      </w:r>
      <w:r w:rsidR="00556D27">
        <w:rPr>
          <w:rFonts w:asciiTheme="majorHAnsi" w:hAnsiTheme="majorHAnsi"/>
          <w:bCs/>
          <w:sz w:val="20"/>
          <w:szCs w:val="20"/>
          <w:lang w:val="es-UY"/>
        </w:rPr>
        <w:t>,</w:t>
      </w:r>
      <w:r w:rsidR="005D3612">
        <w:rPr>
          <w:rFonts w:asciiTheme="majorHAnsi" w:hAnsiTheme="majorHAnsi"/>
          <w:bCs/>
          <w:sz w:val="20"/>
          <w:szCs w:val="20"/>
          <w:lang w:val="es-UY"/>
        </w:rPr>
        <w:t xml:space="preserve"> en consecuencia, se reconoció en favor de cada uno una indemnización administrativa individual por el hecho victimizante de secuestro.</w:t>
      </w:r>
    </w:p>
    <w:p w14:paraId="628F4AE8" w14:textId="2F7FDA98" w:rsidR="0030274F" w:rsidRPr="00251A82" w:rsidRDefault="00251A82" w:rsidP="00DE6885">
      <w:pPr>
        <w:pStyle w:val="ListParagraph"/>
        <w:numPr>
          <w:ilvl w:val="0"/>
          <w:numId w:val="56"/>
        </w:numPr>
        <w:spacing w:before="240" w:after="240"/>
        <w:ind w:left="0" w:firstLine="720"/>
        <w:jc w:val="both"/>
        <w:rPr>
          <w:rFonts w:asciiTheme="majorHAnsi" w:hAnsiTheme="majorHAnsi"/>
          <w:bCs/>
          <w:sz w:val="20"/>
          <w:szCs w:val="20"/>
          <w:lang w:val="es-UY"/>
        </w:rPr>
      </w:pPr>
      <w:r w:rsidRPr="00251A82">
        <w:rPr>
          <w:rFonts w:asciiTheme="majorHAnsi" w:hAnsiTheme="majorHAnsi"/>
          <w:bCs/>
          <w:sz w:val="20"/>
          <w:szCs w:val="20"/>
          <w:lang w:val="es-UY"/>
        </w:rPr>
        <w:t>Independientemente de estas consideraciones de hecho</w:t>
      </w:r>
      <w:r w:rsidR="005D3612" w:rsidRPr="00251A82">
        <w:rPr>
          <w:rFonts w:asciiTheme="majorHAnsi" w:hAnsiTheme="majorHAnsi"/>
          <w:bCs/>
          <w:sz w:val="20"/>
          <w:szCs w:val="20"/>
          <w:lang w:val="es-UY"/>
        </w:rPr>
        <w:t xml:space="preserve">, el Estado </w:t>
      </w:r>
      <w:r w:rsidR="006D76BB">
        <w:rPr>
          <w:rFonts w:asciiTheme="majorHAnsi" w:hAnsiTheme="majorHAnsi"/>
          <w:bCs/>
          <w:sz w:val="20"/>
          <w:szCs w:val="20"/>
          <w:lang w:val="es-UY"/>
        </w:rPr>
        <w:t>aduce</w:t>
      </w:r>
      <w:r w:rsidR="005D3612" w:rsidRPr="00251A82">
        <w:rPr>
          <w:rFonts w:asciiTheme="majorHAnsi" w:hAnsiTheme="majorHAnsi"/>
          <w:bCs/>
          <w:sz w:val="20"/>
          <w:szCs w:val="20"/>
          <w:lang w:val="es-UY"/>
        </w:rPr>
        <w:t xml:space="preserve"> que la petición es inadmisible por falta de agotamiento de la jurisdicción interna.</w:t>
      </w:r>
      <w:r w:rsidR="00E96FF6" w:rsidRPr="00251A82">
        <w:rPr>
          <w:rFonts w:asciiTheme="majorHAnsi" w:hAnsiTheme="majorHAnsi"/>
          <w:bCs/>
          <w:sz w:val="20"/>
          <w:szCs w:val="20"/>
          <w:lang w:val="es-UY"/>
        </w:rPr>
        <w:t xml:space="preserve"> </w:t>
      </w:r>
      <w:r w:rsidR="00886B43" w:rsidRPr="00251A82">
        <w:rPr>
          <w:rFonts w:asciiTheme="majorHAnsi" w:hAnsiTheme="majorHAnsi"/>
          <w:bCs/>
          <w:sz w:val="20"/>
          <w:szCs w:val="20"/>
          <w:lang w:val="es-UY"/>
        </w:rPr>
        <w:t>En relación con los procesos de reparación directa, arguye que se configura un agotamiento indebido de los recursos internos, ya que las demandas de las presuntas víctimas se interpusieron de forma tardía</w:t>
      </w:r>
      <w:r w:rsidR="00270D16">
        <w:rPr>
          <w:rFonts w:asciiTheme="majorHAnsi" w:hAnsiTheme="majorHAnsi"/>
          <w:bCs/>
          <w:sz w:val="20"/>
          <w:szCs w:val="20"/>
          <w:lang w:val="es-UY"/>
        </w:rPr>
        <w:t>,</w:t>
      </w:r>
      <w:r w:rsidR="00886B43" w:rsidRPr="00251A82">
        <w:rPr>
          <w:rFonts w:asciiTheme="majorHAnsi" w:hAnsiTheme="majorHAnsi"/>
          <w:bCs/>
          <w:sz w:val="20"/>
          <w:szCs w:val="20"/>
          <w:lang w:val="es-UY"/>
        </w:rPr>
        <w:t xml:space="preserve"> y por ende oper</w:t>
      </w:r>
      <w:r w:rsidR="00102E1D">
        <w:rPr>
          <w:rFonts w:asciiTheme="majorHAnsi" w:hAnsiTheme="majorHAnsi"/>
          <w:bCs/>
          <w:sz w:val="20"/>
          <w:szCs w:val="20"/>
          <w:lang w:val="es-UY"/>
        </w:rPr>
        <w:t>ó</w:t>
      </w:r>
      <w:r w:rsidR="00886B43" w:rsidRPr="00251A82">
        <w:rPr>
          <w:rFonts w:asciiTheme="majorHAnsi" w:hAnsiTheme="majorHAnsi"/>
          <w:bCs/>
          <w:sz w:val="20"/>
          <w:szCs w:val="20"/>
          <w:lang w:val="es-UY"/>
        </w:rPr>
        <w:t xml:space="preserve"> </w:t>
      </w:r>
      <w:r w:rsidR="00102E1D">
        <w:rPr>
          <w:rFonts w:asciiTheme="majorHAnsi" w:hAnsiTheme="majorHAnsi"/>
          <w:bCs/>
          <w:sz w:val="20"/>
          <w:szCs w:val="20"/>
          <w:lang w:val="es-UY"/>
        </w:rPr>
        <w:t>una regla de</w:t>
      </w:r>
      <w:r w:rsidR="00886B43" w:rsidRPr="00251A82">
        <w:rPr>
          <w:rFonts w:asciiTheme="majorHAnsi" w:hAnsiTheme="majorHAnsi"/>
          <w:bCs/>
          <w:sz w:val="20"/>
          <w:szCs w:val="20"/>
          <w:lang w:val="es-UY"/>
        </w:rPr>
        <w:t xml:space="preserve"> caducidad. </w:t>
      </w:r>
      <w:r w:rsidR="00F32B3B">
        <w:rPr>
          <w:rFonts w:asciiTheme="majorHAnsi" w:hAnsiTheme="majorHAnsi"/>
          <w:bCs/>
          <w:sz w:val="20"/>
          <w:szCs w:val="20"/>
          <w:lang w:val="es-UY"/>
        </w:rPr>
        <w:t>S</w:t>
      </w:r>
      <w:r w:rsidR="0030274F" w:rsidRPr="00251A82">
        <w:rPr>
          <w:rFonts w:asciiTheme="majorHAnsi" w:hAnsiTheme="majorHAnsi"/>
          <w:bCs/>
          <w:sz w:val="20"/>
          <w:szCs w:val="20"/>
          <w:lang w:val="es-UY"/>
        </w:rPr>
        <w:t>ostiene que las presuntas víctimas demoraron más de dos años en presentar sus respectivas demandas desde que fueron liberadas</w:t>
      </w:r>
      <w:r w:rsidR="00F32B3B">
        <w:rPr>
          <w:rFonts w:asciiTheme="majorHAnsi" w:hAnsiTheme="majorHAnsi"/>
          <w:bCs/>
          <w:sz w:val="20"/>
          <w:szCs w:val="20"/>
          <w:lang w:val="es-UY"/>
        </w:rPr>
        <w:t>,</w:t>
      </w:r>
      <w:r w:rsidR="0030274F" w:rsidRPr="00251A82">
        <w:rPr>
          <w:rFonts w:asciiTheme="majorHAnsi" w:hAnsiTheme="majorHAnsi"/>
          <w:bCs/>
          <w:sz w:val="20"/>
          <w:szCs w:val="20"/>
          <w:lang w:val="es-UY"/>
        </w:rPr>
        <w:t xml:space="preserve"> </w:t>
      </w:r>
      <w:r w:rsidR="00F32B3B">
        <w:rPr>
          <w:rFonts w:asciiTheme="majorHAnsi" w:hAnsiTheme="majorHAnsi"/>
          <w:bCs/>
          <w:sz w:val="20"/>
          <w:szCs w:val="20"/>
          <w:lang w:val="es-UY"/>
        </w:rPr>
        <w:t>por lo que</w:t>
      </w:r>
      <w:r w:rsidR="0030274F" w:rsidRPr="00251A82">
        <w:rPr>
          <w:rFonts w:asciiTheme="majorHAnsi" w:hAnsiTheme="majorHAnsi"/>
          <w:bCs/>
          <w:sz w:val="20"/>
          <w:szCs w:val="20"/>
          <w:lang w:val="es-UY"/>
        </w:rPr>
        <w:t xml:space="preserve"> no cumplieron con el requisito de plazo regulado por el ordenamiento interno. </w:t>
      </w:r>
    </w:p>
    <w:p w14:paraId="50F030DA" w14:textId="0DC2DE15" w:rsidR="00886B43" w:rsidRDefault="0030274F"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Asimismo, sobre este punto, </w:t>
      </w:r>
      <w:r w:rsidR="00886B43">
        <w:rPr>
          <w:rFonts w:asciiTheme="majorHAnsi" w:hAnsiTheme="majorHAnsi"/>
          <w:bCs/>
          <w:sz w:val="20"/>
          <w:szCs w:val="20"/>
          <w:lang w:val="es-UY"/>
        </w:rPr>
        <w:t xml:space="preserve">arguye que la discusión </w:t>
      </w:r>
      <w:r>
        <w:rPr>
          <w:rFonts w:asciiTheme="majorHAnsi" w:hAnsiTheme="majorHAnsi"/>
          <w:bCs/>
          <w:sz w:val="20"/>
          <w:szCs w:val="20"/>
          <w:lang w:val="es-UY"/>
        </w:rPr>
        <w:t xml:space="preserve">planteada por la parte peticionaria </w:t>
      </w:r>
      <w:r w:rsidR="00886B43">
        <w:rPr>
          <w:rFonts w:asciiTheme="majorHAnsi" w:hAnsiTheme="majorHAnsi"/>
          <w:bCs/>
          <w:sz w:val="20"/>
          <w:szCs w:val="20"/>
          <w:lang w:val="es-UY"/>
        </w:rPr>
        <w:t xml:space="preserve">sobre la configuración de un delito de lesa humanidad y la prohibición de aplicar </w:t>
      </w:r>
      <w:r w:rsidR="00102E1D">
        <w:rPr>
          <w:rFonts w:asciiTheme="majorHAnsi" w:hAnsiTheme="majorHAnsi"/>
          <w:bCs/>
          <w:sz w:val="20"/>
          <w:szCs w:val="20"/>
          <w:lang w:val="es-UY"/>
        </w:rPr>
        <w:t>cláusulas</w:t>
      </w:r>
      <w:r w:rsidR="00886B43">
        <w:rPr>
          <w:rFonts w:asciiTheme="majorHAnsi" w:hAnsiTheme="majorHAnsi"/>
          <w:bCs/>
          <w:sz w:val="20"/>
          <w:szCs w:val="20"/>
          <w:lang w:val="es-UY"/>
        </w:rPr>
        <w:t xml:space="preserve"> de </w:t>
      </w:r>
      <w:r w:rsidR="005B4D9D">
        <w:rPr>
          <w:rFonts w:asciiTheme="majorHAnsi" w:hAnsiTheme="majorHAnsi"/>
          <w:bCs/>
          <w:sz w:val="20"/>
          <w:szCs w:val="20"/>
          <w:lang w:val="es-UY"/>
        </w:rPr>
        <w:t>prescripción</w:t>
      </w:r>
      <w:r w:rsidR="00886B43">
        <w:rPr>
          <w:rFonts w:asciiTheme="majorHAnsi" w:hAnsiTheme="majorHAnsi"/>
          <w:bCs/>
          <w:sz w:val="20"/>
          <w:szCs w:val="20"/>
          <w:lang w:val="es-UY"/>
        </w:rPr>
        <w:t xml:space="preserve"> únicamente puede aplicarse </w:t>
      </w:r>
      <w:r w:rsidR="009975DB">
        <w:rPr>
          <w:rFonts w:asciiTheme="majorHAnsi" w:hAnsiTheme="majorHAnsi"/>
          <w:bCs/>
          <w:sz w:val="20"/>
          <w:szCs w:val="20"/>
          <w:lang w:val="es-UY"/>
        </w:rPr>
        <w:t>a partir de lo que efectivamente se demuestre dentro de los procesos a nivel interno. Así</w:t>
      </w:r>
      <w:r w:rsidR="00ED3190">
        <w:rPr>
          <w:rFonts w:asciiTheme="majorHAnsi" w:hAnsiTheme="majorHAnsi"/>
          <w:bCs/>
          <w:sz w:val="20"/>
          <w:szCs w:val="20"/>
          <w:lang w:val="es-UY"/>
        </w:rPr>
        <w:t>,</w:t>
      </w:r>
      <w:r w:rsidR="009975DB">
        <w:rPr>
          <w:rFonts w:asciiTheme="majorHAnsi" w:hAnsiTheme="majorHAnsi"/>
          <w:bCs/>
          <w:sz w:val="20"/>
          <w:szCs w:val="20"/>
          <w:lang w:val="es-UY"/>
        </w:rPr>
        <w:t xml:space="preserve"> señala que la calificación de un delito como crimen de lesa humanidad no depende de las apreciaciones subjetivas de los peticionarios, por lo que resulta indispensable remitirse a los procesos judiciales internos para efectos de determinar la gravedad de un delito. </w:t>
      </w:r>
    </w:p>
    <w:p w14:paraId="2F0AF0F1" w14:textId="62AAC091" w:rsidR="009975DB" w:rsidRDefault="0030274F"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Además</w:t>
      </w:r>
      <w:r w:rsidR="009975DB">
        <w:rPr>
          <w:rFonts w:asciiTheme="majorHAnsi" w:hAnsiTheme="majorHAnsi"/>
          <w:bCs/>
          <w:sz w:val="20"/>
          <w:szCs w:val="20"/>
          <w:lang w:val="es-UY"/>
        </w:rPr>
        <w:t xml:space="preserve">, arguye que las decisiones emitidas por el Consejo de Estado no contravienen directamente lo establecido en los estándares interamericanos en la materia. En particular, destaca que al Corte Interamericana de Derechos Humanos consideró, en la sentencia del caso </w:t>
      </w:r>
      <w:r w:rsidR="009975DB" w:rsidRPr="00190A87">
        <w:rPr>
          <w:rFonts w:asciiTheme="majorHAnsi" w:hAnsiTheme="majorHAnsi"/>
          <w:bCs/>
          <w:i/>
          <w:iCs/>
          <w:sz w:val="20"/>
          <w:szCs w:val="20"/>
          <w:lang w:val="es-UY"/>
        </w:rPr>
        <w:t>Órdenes Guerra y otros vs. Chile</w:t>
      </w:r>
      <w:r w:rsidR="009975DB">
        <w:rPr>
          <w:rFonts w:asciiTheme="majorHAnsi" w:hAnsiTheme="majorHAnsi"/>
          <w:bCs/>
          <w:sz w:val="20"/>
          <w:szCs w:val="20"/>
          <w:lang w:val="es-UY"/>
        </w:rPr>
        <w:t>, que las acciones para hacer valer el derecho de reparación de las víctimas de graves violaciones a los derechos humanos “no deberían ser objeto de prescripción”. A juicio de Colombia, tal afirmación no es de tipo imperativo</w:t>
      </w:r>
      <w:r w:rsidR="003A72B2">
        <w:rPr>
          <w:rFonts w:asciiTheme="majorHAnsi" w:hAnsiTheme="majorHAnsi"/>
          <w:bCs/>
          <w:sz w:val="20"/>
          <w:szCs w:val="20"/>
          <w:lang w:val="es-UY"/>
        </w:rPr>
        <w:t>,</w:t>
      </w:r>
      <w:r w:rsidR="009975DB">
        <w:rPr>
          <w:rFonts w:asciiTheme="majorHAnsi" w:hAnsiTheme="majorHAnsi"/>
          <w:bCs/>
          <w:sz w:val="20"/>
          <w:szCs w:val="20"/>
          <w:lang w:val="es-UY"/>
        </w:rPr>
        <w:t xml:space="preserve"> y, por el contrario, denota</w:t>
      </w:r>
      <w:r w:rsidR="00213107">
        <w:rPr>
          <w:rFonts w:asciiTheme="majorHAnsi" w:hAnsiTheme="majorHAnsi"/>
          <w:bCs/>
          <w:sz w:val="20"/>
          <w:szCs w:val="20"/>
          <w:lang w:val="es-UY"/>
        </w:rPr>
        <w:t>ría</w:t>
      </w:r>
      <w:r w:rsidR="009975DB">
        <w:rPr>
          <w:rFonts w:asciiTheme="majorHAnsi" w:hAnsiTheme="majorHAnsi"/>
          <w:bCs/>
          <w:sz w:val="20"/>
          <w:szCs w:val="20"/>
          <w:lang w:val="es-UY"/>
        </w:rPr>
        <w:t xml:space="preserve"> la posibilidad que tiene</w:t>
      </w:r>
      <w:r w:rsidR="00190A87">
        <w:rPr>
          <w:rFonts w:asciiTheme="majorHAnsi" w:hAnsiTheme="majorHAnsi"/>
          <w:bCs/>
          <w:sz w:val="20"/>
          <w:szCs w:val="20"/>
          <w:lang w:val="es-UY"/>
        </w:rPr>
        <w:t>n</w:t>
      </w:r>
      <w:r w:rsidR="009975DB">
        <w:rPr>
          <w:rFonts w:asciiTheme="majorHAnsi" w:hAnsiTheme="majorHAnsi"/>
          <w:bCs/>
          <w:sz w:val="20"/>
          <w:szCs w:val="20"/>
          <w:lang w:val="es-UY"/>
        </w:rPr>
        <w:t xml:space="preserve"> los Estados de regular los plazos para que las presuntas víctimas ejerzan el derecho a solicitar reparaciones a nivel interno. </w:t>
      </w:r>
    </w:p>
    <w:p w14:paraId="538FA791" w14:textId="63D776D3" w:rsidR="009975DB" w:rsidRDefault="00EE6FD2"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En esa línea, explica que a la jurisprudencia nacional ha establecido </w:t>
      </w:r>
      <w:r w:rsidR="00190A87">
        <w:rPr>
          <w:rFonts w:asciiTheme="majorHAnsi" w:hAnsiTheme="majorHAnsi"/>
          <w:bCs/>
          <w:sz w:val="20"/>
          <w:szCs w:val="20"/>
          <w:lang w:val="es-UY"/>
        </w:rPr>
        <w:t xml:space="preserve">que </w:t>
      </w:r>
      <w:r>
        <w:rPr>
          <w:rFonts w:asciiTheme="majorHAnsi" w:hAnsiTheme="majorHAnsi"/>
          <w:bCs/>
          <w:sz w:val="20"/>
          <w:szCs w:val="20"/>
          <w:lang w:val="es-UY"/>
        </w:rPr>
        <w:t xml:space="preserve">la </w:t>
      </w:r>
      <w:r w:rsidR="00DD2EBA">
        <w:rPr>
          <w:rFonts w:asciiTheme="majorHAnsi" w:hAnsiTheme="majorHAnsi"/>
          <w:bCs/>
          <w:sz w:val="20"/>
          <w:szCs w:val="20"/>
          <w:lang w:val="es-UY"/>
        </w:rPr>
        <w:t>regla</w:t>
      </w:r>
      <w:r>
        <w:rPr>
          <w:rFonts w:asciiTheme="majorHAnsi" w:hAnsiTheme="majorHAnsi"/>
          <w:bCs/>
          <w:sz w:val="20"/>
          <w:szCs w:val="20"/>
          <w:lang w:val="es-UY"/>
        </w:rPr>
        <w:t xml:space="preserve"> de la </w:t>
      </w:r>
      <w:r w:rsidR="00190A87">
        <w:rPr>
          <w:rFonts w:asciiTheme="majorHAnsi" w:hAnsiTheme="majorHAnsi"/>
          <w:bCs/>
          <w:sz w:val="20"/>
          <w:szCs w:val="20"/>
          <w:lang w:val="es-UY"/>
        </w:rPr>
        <w:t>caducidad</w:t>
      </w:r>
      <w:r w:rsidR="00DD2EBA">
        <w:rPr>
          <w:rFonts w:asciiTheme="majorHAnsi" w:hAnsiTheme="majorHAnsi"/>
          <w:bCs/>
          <w:sz w:val="20"/>
          <w:szCs w:val="20"/>
          <w:lang w:val="es-UY"/>
        </w:rPr>
        <w:t xml:space="preserve"> no es absoluta, pero tampoco </w:t>
      </w:r>
      <w:r w:rsidRPr="00DD2EBA">
        <w:rPr>
          <w:rFonts w:asciiTheme="majorHAnsi" w:hAnsiTheme="majorHAnsi"/>
          <w:bCs/>
          <w:sz w:val="20"/>
          <w:szCs w:val="20"/>
          <w:lang w:val="es-UY"/>
        </w:rPr>
        <w:t xml:space="preserve">aplica de forma automática, toda vez que la autoridad judicial </w:t>
      </w:r>
      <w:r w:rsidR="00F70944">
        <w:rPr>
          <w:rFonts w:asciiTheme="majorHAnsi" w:hAnsiTheme="majorHAnsi"/>
          <w:bCs/>
          <w:sz w:val="20"/>
          <w:szCs w:val="20"/>
          <w:lang w:val="es-UY"/>
        </w:rPr>
        <w:t xml:space="preserve">está </w:t>
      </w:r>
      <w:r w:rsidRPr="00DD2EBA">
        <w:rPr>
          <w:rFonts w:asciiTheme="majorHAnsi" w:hAnsiTheme="majorHAnsi"/>
          <w:bCs/>
          <w:sz w:val="20"/>
          <w:szCs w:val="20"/>
          <w:lang w:val="es-UY"/>
        </w:rPr>
        <w:t>facultad</w:t>
      </w:r>
      <w:r w:rsidR="00213107">
        <w:rPr>
          <w:rFonts w:asciiTheme="majorHAnsi" w:hAnsiTheme="majorHAnsi"/>
          <w:bCs/>
          <w:sz w:val="20"/>
          <w:szCs w:val="20"/>
          <w:lang w:val="es-UY"/>
        </w:rPr>
        <w:t>a</w:t>
      </w:r>
      <w:r w:rsidRPr="00DD2EBA">
        <w:rPr>
          <w:rFonts w:asciiTheme="majorHAnsi" w:hAnsiTheme="majorHAnsi"/>
          <w:bCs/>
          <w:sz w:val="20"/>
          <w:szCs w:val="20"/>
          <w:lang w:val="es-UY"/>
        </w:rPr>
        <w:t xml:space="preserve"> a determina</w:t>
      </w:r>
      <w:r w:rsidR="00DD2EBA">
        <w:rPr>
          <w:rFonts w:asciiTheme="majorHAnsi" w:hAnsiTheme="majorHAnsi"/>
          <w:bCs/>
          <w:sz w:val="20"/>
          <w:szCs w:val="20"/>
          <w:lang w:val="es-UY"/>
        </w:rPr>
        <w:t>r</w:t>
      </w:r>
      <w:r w:rsidRPr="00DD2EBA">
        <w:rPr>
          <w:rFonts w:asciiTheme="majorHAnsi" w:hAnsiTheme="majorHAnsi"/>
          <w:bCs/>
          <w:sz w:val="20"/>
          <w:szCs w:val="20"/>
          <w:lang w:val="es-UY"/>
        </w:rPr>
        <w:t xml:space="preserve"> en cada caso concreto si, conforme a las pruebas que obren dentro del expediente, los accionantes estaban materialmente impedidos para presentar la acción ante la jurisdicción contencioso-administrativa. A juicio del Estado, este razonamiento se adecua a los estándares interamericanos, en tanto la regla es lógica y obedece a un respeto por la seguridad jurídica</w:t>
      </w:r>
      <w:r w:rsidR="00DD2EBA">
        <w:rPr>
          <w:rFonts w:asciiTheme="majorHAnsi" w:hAnsiTheme="majorHAnsi"/>
          <w:bCs/>
          <w:sz w:val="20"/>
          <w:szCs w:val="20"/>
          <w:lang w:val="es-UY"/>
        </w:rPr>
        <w:t xml:space="preserve">, ya que no resulta razonable ni proporcional que las autoridades deban soportar una carga por un periodo de tiempo indeterminado cuando no existan razones materiales que hubiesen impedido a las presuntas víctimas presentar una acción dentro del término previsto por la legislación. </w:t>
      </w:r>
      <w:r w:rsidRPr="00DD2EBA">
        <w:rPr>
          <w:rFonts w:asciiTheme="majorHAnsi" w:hAnsiTheme="majorHAnsi"/>
          <w:bCs/>
          <w:sz w:val="20"/>
          <w:szCs w:val="20"/>
          <w:lang w:val="es-UY"/>
        </w:rPr>
        <w:t xml:space="preserve"> Con base en </w:t>
      </w:r>
      <w:r w:rsidR="00DD2EBA">
        <w:rPr>
          <w:rFonts w:asciiTheme="majorHAnsi" w:hAnsiTheme="majorHAnsi"/>
          <w:bCs/>
          <w:sz w:val="20"/>
          <w:szCs w:val="20"/>
          <w:lang w:val="es-UY"/>
        </w:rPr>
        <w:t>tal parámetro</w:t>
      </w:r>
      <w:r w:rsidRPr="00DD2EBA">
        <w:rPr>
          <w:rFonts w:asciiTheme="majorHAnsi" w:hAnsiTheme="majorHAnsi"/>
          <w:bCs/>
          <w:sz w:val="20"/>
          <w:szCs w:val="20"/>
          <w:lang w:val="es-UY"/>
        </w:rPr>
        <w:t>, indica que la jurisdicción contencioso-administrativa ha aplicado el término de caducidad a aquellos casos en que los demandantes no demostraron que se encontraban en imposibilidad de ejercer el medio de control dentro del término previsto por ley</w:t>
      </w:r>
      <w:r w:rsidR="009E099A">
        <w:rPr>
          <w:rFonts w:asciiTheme="majorHAnsi" w:hAnsiTheme="majorHAnsi"/>
          <w:bCs/>
          <w:sz w:val="20"/>
          <w:szCs w:val="20"/>
          <w:lang w:val="es-UY"/>
        </w:rPr>
        <w:t xml:space="preserve">. En consecuencia, solicita a la Comisión que declare inadmisible el presente asunto, toda vez que las presuntas víctimas no agotaron adecuadamente los recursos de la jurisdicción interna. </w:t>
      </w:r>
    </w:p>
    <w:p w14:paraId="11BE4A4C" w14:textId="67303A85" w:rsidR="009E099A" w:rsidRPr="00DD2EBA" w:rsidRDefault="009E099A"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Sin perjuicio de ello, detalla que</w:t>
      </w:r>
      <w:r w:rsidR="003B329A">
        <w:rPr>
          <w:rFonts w:asciiTheme="majorHAnsi" w:hAnsiTheme="majorHAnsi"/>
          <w:bCs/>
          <w:sz w:val="20"/>
          <w:szCs w:val="20"/>
          <w:lang w:val="es-UY"/>
        </w:rPr>
        <w:t xml:space="preserve">, </w:t>
      </w:r>
      <w:r w:rsidR="00DF3C79">
        <w:rPr>
          <w:rFonts w:asciiTheme="majorHAnsi" w:hAnsiTheme="majorHAnsi"/>
          <w:bCs/>
          <w:sz w:val="20"/>
          <w:szCs w:val="20"/>
          <w:lang w:val="es-UY"/>
        </w:rPr>
        <w:t>si</w:t>
      </w:r>
      <w:r w:rsidR="003B329A">
        <w:rPr>
          <w:rFonts w:asciiTheme="majorHAnsi" w:hAnsiTheme="majorHAnsi"/>
          <w:bCs/>
          <w:sz w:val="20"/>
          <w:szCs w:val="20"/>
          <w:lang w:val="es-UY"/>
        </w:rPr>
        <w:t xml:space="preserve"> las presuntas víctimas considera</w:t>
      </w:r>
      <w:r w:rsidR="00DF3C79">
        <w:rPr>
          <w:rFonts w:asciiTheme="majorHAnsi" w:hAnsiTheme="majorHAnsi"/>
          <w:bCs/>
          <w:sz w:val="20"/>
          <w:szCs w:val="20"/>
          <w:lang w:val="es-UY"/>
        </w:rPr>
        <w:t>n</w:t>
      </w:r>
      <w:r w:rsidR="003B329A">
        <w:rPr>
          <w:rFonts w:asciiTheme="majorHAnsi" w:hAnsiTheme="majorHAnsi"/>
          <w:bCs/>
          <w:sz w:val="20"/>
          <w:szCs w:val="20"/>
          <w:lang w:val="es-UY"/>
        </w:rPr>
        <w:t xml:space="preserve"> que existió una vulneración de sus derechos, tenían a su disposición la acción de tutela, la cual resultaba un medio adecuado y efectivo para cuestionar las determinaciones realizadas por las autoridades judiciales en el marco de sus procesos de reparación. A pesar de ello, arguye que las presuntas víctimas decidieron no utilizar tal vía y, por ende, la Comisión no puede dar por acreditado el cumplimiento del artículo 46.1.a) de la Convención. </w:t>
      </w:r>
    </w:p>
    <w:p w14:paraId="62CEF60E" w14:textId="04C95D1F" w:rsidR="00886B43" w:rsidRDefault="00E96FF6"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Adicionalmente, afirma que la petición se presentó de forma extemporánea, en relación con los alegatos referidos al proceso contencioso administrativo. Destaca que entre el 10 de febrero de 2009 y 3 de </w:t>
      </w:r>
      <w:r>
        <w:rPr>
          <w:rFonts w:asciiTheme="majorHAnsi" w:hAnsiTheme="majorHAnsi"/>
          <w:bCs/>
          <w:sz w:val="20"/>
          <w:szCs w:val="20"/>
          <w:lang w:val="es-UY"/>
        </w:rPr>
        <w:lastRenderedPageBreak/>
        <w:t xml:space="preserve">marzo de 2010 el Consejo de Estado profirió los autos que confirman las decisiones del Tribunal Administrativo del Meta sobre los casos de las presuntas víctimas. Afirma que, a pesar de ello, la parte peticionaria presentó esta petición el 14 de febrero de 2011, </w:t>
      </w:r>
      <w:r w:rsidR="00886B43">
        <w:rPr>
          <w:rFonts w:asciiTheme="majorHAnsi" w:hAnsiTheme="majorHAnsi"/>
          <w:bCs/>
          <w:sz w:val="20"/>
          <w:szCs w:val="20"/>
          <w:lang w:val="es-UY"/>
        </w:rPr>
        <w:t>transcurriendo desde la notificación de los autos desde dos años hasta once meses, respectivamente. En consecuencia, resulta claro que no se cumple el requisito previsto en el artículo 46.1.b) sobre el presente extremo de la petición.</w:t>
      </w:r>
    </w:p>
    <w:p w14:paraId="28E66E5C" w14:textId="3610E54A" w:rsidR="0078356B" w:rsidRDefault="003B329A"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Finalmente, arguye que los hechos denunciados no caracterizan una violación de derechos que le resulte atribuible. </w:t>
      </w:r>
      <w:r w:rsidR="009F4C2C">
        <w:rPr>
          <w:rFonts w:asciiTheme="majorHAnsi" w:hAnsiTheme="majorHAnsi"/>
          <w:bCs/>
          <w:sz w:val="20"/>
          <w:szCs w:val="20"/>
          <w:lang w:val="es-UY"/>
        </w:rPr>
        <w:t>Resalta que los miembros de las fuerzas armadas no incurrieron en acciones u omisiones en el marco de la toma de Miraflores, dado que a pesar de que se adoptaron acciones para repeler el ataque de las FARC, no resultó posible dominar la situación ni</w:t>
      </w:r>
      <w:r w:rsidR="0078356B">
        <w:rPr>
          <w:rFonts w:asciiTheme="majorHAnsi" w:hAnsiTheme="majorHAnsi"/>
          <w:bCs/>
          <w:sz w:val="20"/>
          <w:szCs w:val="20"/>
          <w:lang w:val="es-UY"/>
        </w:rPr>
        <w:t xml:space="preserve"> contar con los refuerzos necesarios, por lo que sucedido con las presuntas víctimas se </w:t>
      </w:r>
      <w:r w:rsidR="009B594B">
        <w:rPr>
          <w:rFonts w:asciiTheme="majorHAnsi" w:hAnsiTheme="majorHAnsi"/>
          <w:bCs/>
          <w:sz w:val="20"/>
          <w:szCs w:val="20"/>
          <w:lang w:val="es-UY"/>
        </w:rPr>
        <w:t>trató</w:t>
      </w:r>
      <w:r w:rsidR="0078356B">
        <w:rPr>
          <w:rFonts w:asciiTheme="majorHAnsi" w:hAnsiTheme="majorHAnsi"/>
          <w:bCs/>
          <w:sz w:val="20"/>
          <w:szCs w:val="20"/>
          <w:lang w:val="es-UY"/>
        </w:rPr>
        <w:t xml:space="preserve"> de un caso fortuito. Sin perjuicio de ello, resalta que adoptó todas las medidas adecuadas para brindar a las presuntas víctimas atención médica, una indemnización y las pensiones que les corresponden por sus servicios. </w:t>
      </w:r>
    </w:p>
    <w:p w14:paraId="6B302BD8" w14:textId="0B07920B" w:rsidR="003F680A" w:rsidRDefault="0078356B" w:rsidP="00DE6885">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Asimismo, destaca que la parte peticionaria no cumplió con la carga argumentativa para determinar una posible violación al derecho a la igualdad debido al resultado de los procesos de reparación directa, toda vez que solo se limita a indicar que existen causas judiciales con idénticos hechos y pretensiones de las presuntas víctimas. Sin embargo, no logró acreditar tal afirmación, considerando que la admisión o rechazo de una demanda de reparación directa depende de factores que deben analizarse caso a caso, como la fecha de presentación de la demanda y las posibles dificultades en la interposición de la acción. En consecuencia, concluye que el hecho de que las demandas interpuestas por otras personas afectadas en la toma de Miraflores hayan sido falladas en favor de los accionantes, no es, </w:t>
      </w:r>
      <w:r w:rsidRPr="0078356B">
        <w:rPr>
          <w:rFonts w:asciiTheme="majorHAnsi" w:hAnsiTheme="majorHAnsi"/>
          <w:bCs/>
          <w:i/>
          <w:iCs/>
          <w:sz w:val="20"/>
          <w:szCs w:val="20"/>
          <w:lang w:val="es-UY"/>
        </w:rPr>
        <w:t>per se</w:t>
      </w:r>
      <w:r>
        <w:rPr>
          <w:rFonts w:asciiTheme="majorHAnsi" w:hAnsiTheme="majorHAnsi"/>
          <w:bCs/>
          <w:sz w:val="20"/>
          <w:szCs w:val="20"/>
          <w:lang w:val="es-UY"/>
        </w:rPr>
        <w:t>, una violación al derecho a la igualdad. Por las razones expuestas, el Estado solicita a la Comisión que declare inadmisible el presente asunto por no cumplir con el artículo 47.b de la Convención</w:t>
      </w:r>
      <w:r w:rsidR="001559F6">
        <w:rPr>
          <w:rFonts w:asciiTheme="majorHAnsi" w:hAnsiTheme="majorHAnsi"/>
          <w:bCs/>
          <w:sz w:val="20"/>
          <w:szCs w:val="20"/>
          <w:lang w:val="es-UY"/>
        </w:rPr>
        <w:t>,</w:t>
      </w:r>
      <w:r>
        <w:rPr>
          <w:rFonts w:asciiTheme="majorHAnsi" w:hAnsiTheme="majorHAnsi"/>
          <w:bCs/>
          <w:sz w:val="20"/>
          <w:szCs w:val="20"/>
          <w:lang w:val="es-UY"/>
        </w:rPr>
        <w:t xml:space="preserve"> y, en consecuencia, disponga su archivo.</w:t>
      </w:r>
    </w:p>
    <w:p w14:paraId="00B6E8CF" w14:textId="5AA258E6" w:rsidR="003F680A" w:rsidRPr="003F680A" w:rsidRDefault="003F680A" w:rsidP="003F680A">
      <w:pPr>
        <w:spacing w:before="240" w:after="240"/>
        <w:ind w:firstLine="720"/>
        <w:jc w:val="both"/>
        <w:rPr>
          <w:rFonts w:asciiTheme="majorHAnsi" w:eastAsia="Cambria" w:hAnsiTheme="majorHAnsi" w:cs="Cambria"/>
          <w:b/>
          <w:bCs/>
          <w:color w:val="000000"/>
          <w:sz w:val="20"/>
          <w:szCs w:val="20"/>
          <w:u w:color="000000"/>
          <w:lang w:val="es-ES" w:eastAsia="es-ES"/>
        </w:rPr>
      </w:pPr>
      <w:r w:rsidRPr="003F680A">
        <w:rPr>
          <w:rFonts w:asciiTheme="majorHAnsi" w:eastAsia="Cambria" w:hAnsiTheme="majorHAnsi" w:cs="Cambria"/>
          <w:b/>
          <w:bCs/>
          <w:color w:val="000000"/>
          <w:sz w:val="20"/>
          <w:szCs w:val="20"/>
          <w:u w:color="000000"/>
          <w:lang w:val="es-ES" w:eastAsia="es-ES"/>
        </w:rPr>
        <w:t>VI.</w:t>
      </w:r>
      <w:r w:rsidRPr="003F680A">
        <w:rPr>
          <w:rFonts w:asciiTheme="majorHAnsi" w:eastAsia="Cambria" w:hAnsiTheme="majorHAnsi" w:cs="Cambria"/>
          <w:b/>
          <w:bCs/>
          <w:color w:val="000000"/>
          <w:sz w:val="20"/>
          <w:szCs w:val="20"/>
          <w:u w:color="000000"/>
          <w:lang w:val="es-ES" w:eastAsia="es-ES"/>
        </w:rPr>
        <w:tab/>
      </w:r>
      <w:r w:rsidRPr="003F680A">
        <w:rPr>
          <w:rFonts w:asciiTheme="majorHAnsi" w:hAnsiTheme="majorHAnsi"/>
          <w:b/>
          <w:bCs/>
          <w:sz w:val="20"/>
          <w:szCs w:val="20"/>
          <w:lang w:val="es-ES_tradnl"/>
        </w:rPr>
        <w:t xml:space="preserve">ANÁLISIS DE </w:t>
      </w:r>
      <w:r w:rsidRPr="003F680A">
        <w:rPr>
          <w:rFonts w:asciiTheme="majorHAnsi" w:hAnsiTheme="majorHAnsi"/>
          <w:b/>
          <w:sz w:val="20"/>
          <w:szCs w:val="20"/>
          <w:lang w:val="es-ES"/>
        </w:rPr>
        <w:t>AGOTAMIENTO DE LOS RECURSOS INTERNOS Y PLAZO DE PRESENTACIÓN</w:t>
      </w:r>
      <w:r w:rsidRPr="003F680A">
        <w:rPr>
          <w:rFonts w:asciiTheme="majorHAnsi" w:eastAsia="Cambria" w:hAnsiTheme="majorHAnsi" w:cs="Cambria"/>
          <w:b/>
          <w:bCs/>
          <w:color w:val="000000"/>
          <w:sz w:val="20"/>
          <w:szCs w:val="20"/>
          <w:u w:color="000000"/>
          <w:lang w:val="es-ES" w:eastAsia="es-ES"/>
        </w:rPr>
        <w:t xml:space="preserve"> </w:t>
      </w:r>
    </w:p>
    <w:p w14:paraId="490099C1" w14:textId="6CCCBDC0" w:rsidR="00CE2642" w:rsidRPr="00CE2642" w:rsidRDefault="003F680A" w:rsidP="00DE6885">
      <w:pPr>
        <w:pStyle w:val="ListParagraph"/>
        <w:numPr>
          <w:ilvl w:val="0"/>
          <w:numId w:val="56"/>
        </w:numPr>
        <w:spacing w:before="240" w:after="240"/>
        <w:ind w:left="0" w:firstLine="720"/>
        <w:jc w:val="both"/>
        <w:rPr>
          <w:rFonts w:asciiTheme="majorHAnsi" w:hAnsiTheme="majorHAnsi"/>
          <w:bCs/>
          <w:sz w:val="20"/>
          <w:szCs w:val="20"/>
          <w:lang w:val="es-UY"/>
        </w:rPr>
      </w:pPr>
      <w:r w:rsidRPr="003F680A">
        <w:rPr>
          <w:rFonts w:asciiTheme="majorHAnsi" w:hAnsiTheme="majorHAnsi"/>
          <w:sz w:val="20"/>
          <w:szCs w:val="20"/>
          <w:lang w:val="es-ES"/>
        </w:rPr>
        <w:t xml:space="preserve">Conforme a los alegatos expuestos por la parte peticionaria, la Comisión considera que el objeto principal de la presente petición es cuestionar </w:t>
      </w:r>
      <w:r>
        <w:rPr>
          <w:rFonts w:asciiTheme="majorHAnsi" w:hAnsiTheme="majorHAnsi"/>
          <w:sz w:val="20"/>
          <w:szCs w:val="20"/>
          <w:lang w:val="es-ES"/>
        </w:rPr>
        <w:t xml:space="preserve">la falta de pago de una indemnización en aplicación de una figura de caducidad, a pesar de que los hechos demandados se basan en graves violaciones de derechos humanos. </w:t>
      </w:r>
      <w:r w:rsidR="00360E76">
        <w:rPr>
          <w:rFonts w:asciiTheme="majorHAnsi" w:hAnsiTheme="majorHAnsi"/>
          <w:sz w:val="20"/>
          <w:szCs w:val="20"/>
          <w:lang w:val="es-ES"/>
        </w:rPr>
        <w:t xml:space="preserve">En consecuencia, la Comisión concentrará su análisis de admisibilidad únicamente sobre tal punto. </w:t>
      </w:r>
    </w:p>
    <w:p w14:paraId="10C2E597" w14:textId="03932A04" w:rsidR="007B6EBB" w:rsidRPr="00AA7A57" w:rsidRDefault="00CE2642" w:rsidP="007B6EBB">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ES"/>
        </w:rPr>
        <w:t xml:space="preserve">Con base en ello, la Comisión observa que, </w:t>
      </w:r>
      <w:r w:rsidR="00360E76">
        <w:rPr>
          <w:rFonts w:asciiTheme="majorHAnsi" w:hAnsiTheme="majorHAnsi"/>
          <w:sz w:val="20"/>
          <w:szCs w:val="20"/>
          <w:lang w:val="es-ES"/>
        </w:rPr>
        <w:t>de acuerdo con</w:t>
      </w:r>
      <w:r w:rsidR="0095311D">
        <w:rPr>
          <w:rFonts w:asciiTheme="majorHAnsi" w:hAnsiTheme="majorHAnsi"/>
          <w:sz w:val="20"/>
          <w:szCs w:val="20"/>
          <w:lang w:val="es-ES"/>
        </w:rPr>
        <w:t xml:space="preserve"> la información proporcionada por la parte peticionaria, todas las presuntas víctimas, de manera separada, iniciaron, junto a sus núcleos familiares, demandas de reparación </w:t>
      </w:r>
      <w:r w:rsidR="0095311D" w:rsidRPr="00AA7A57">
        <w:rPr>
          <w:rFonts w:asciiTheme="majorHAnsi" w:hAnsiTheme="majorHAnsi"/>
          <w:sz w:val="20"/>
          <w:szCs w:val="20"/>
          <w:lang w:val="es-ES"/>
        </w:rPr>
        <w:t>directa</w:t>
      </w:r>
      <w:r w:rsidR="00DF197B" w:rsidRPr="00AA7A57">
        <w:rPr>
          <w:rFonts w:asciiTheme="majorHAnsi" w:hAnsiTheme="majorHAnsi"/>
          <w:sz w:val="20"/>
          <w:szCs w:val="20"/>
          <w:lang w:val="es-ES"/>
        </w:rPr>
        <w:t xml:space="preserve">, cuestionando haber sido víctimas de secuestro y torturas por parte de las FARC, tras haber sido indebidamente expuestas por </w:t>
      </w:r>
      <w:r w:rsidR="00BF7E0A" w:rsidRPr="00AA7A57">
        <w:rPr>
          <w:rFonts w:asciiTheme="majorHAnsi" w:hAnsiTheme="majorHAnsi"/>
          <w:sz w:val="20"/>
          <w:szCs w:val="20"/>
          <w:lang w:val="es-ES"/>
        </w:rPr>
        <w:t>las Fuerzas Armadas</w:t>
      </w:r>
      <w:r w:rsidR="00360E76" w:rsidRPr="00AA7A57">
        <w:rPr>
          <w:rFonts w:asciiTheme="majorHAnsi" w:hAnsiTheme="majorHAnsi"/>
          <w:sz w:val="20"/>
          <w:szCs w:val="20"/>
          <w:lang w:val="es-ES"/>
        </w:rPr>
        <w:t>. No obstante, en decisiones proferidas entre julio de 2008 y marzo de 2010, el Consejo de Estado declaró improcedentes estos reclamos</w:t>
      </w:r>
      <w:r w:rsidRPr="00AA7A57">
        <w:rPr>
          <w:rFonts w:asciiTheme="majorHAnsi" w:hAnsiTheme="majorHAnsi"/>
          <w:sz w:val="20"/>
          <w:szCs w:val="20"/>
          <w:lang w:val="es-ES"/>
        </w:rPr>
        <w:t>, en aplicación de la citada figura de caducidad.</w:t>
      </w:r>
    </w:p>
    <w:p w14:paraId="609F1763" w14:textId="642BF91C" w:rsidR="002F0A15" w:rsidRPr="00AA7A57" w:rsidRDefault="00757AF3" w:rsidP="007B6EBB">
      <w:pPr>
        <w:pStyle w:val="ListParagraph"/>
        <w:numPr>
          <w:ilvl w:val="0"/>
          <w:numId w:val="56"/>
        </w:numPr>
        <w:spacing w:before="240" w:after="240"/>
        <w:ind w:left="0" w:firstLine="720"/>
        <w:jc w:val="both"/>
        <w:rPr>
          <w:rFonts w:asciiTheme="majorHAnsi" w:hAnsiTheme="majorHAnsi"/>
          <w:bCs/>
          <w:sz w:val="20"/>
          <w:szCs w:val="20"/>
          <w:lang w:val="es-UY"/>
        </w:rPr>
      </w:pPr>
      <w:r w:rsidRPr="00AA7A57">
        <w:rPr>
          <w:rFonts w:asciiTheme="majorHAnsi" w:hAnsiTheme="majorHAnsi"/>
          <w:sz w:val="20"/>
          <w:szCs w:val="20"/>
          <w:lang w:val="es-UY"/>
        </w:rPr>
        <w:t>Sobre este punto</w:t>
      </w:r>
      <w:r w:rsidR="00CE2642" w:rsidRPr="00AA7A57">
        <w:rPr>
          <w:rFonts w:asciiTheme="majorHAnsi" w:hAnsiTheme="majorHAnsi"/>
          <w:sz w:val="20"/>
          <w:szCs w:val="20"/>
          <w:lang w:val="es-ES"/>
        </w:rPr>
        <w:t>, el Estado arguye que las presuntas víctimas agotaron indebidamente los recursos internos, toda vez que presentaron sus demandas de manera extemporánea.</w:t>
      </w:r>
      <w:r w:rsidR="002F0A15" w:rsidRPr="00AA7A57">
        <w:rPr>
          <w:rFonts w:asciiTheme="majorHAnsi" w:hAnsiTheme="majorHAnsi"/>
          <w:sz w:val="20"/>
          <w:szCs w:val="20"/>
          <w:lang w:val="es-ES"/>
        </w:rPr>
        <w:t xml:space="preserve"> En tal sentido, a efectos de resolver tal planteamiento, la Comisión considera imprescindible definir si, en el presente caso, aplica algunas de las excepciones previstas en el artículo 46.2 de la Convención.  </w:t>
      </w:r>
    </w:p>
    <w:p w14:paraId="316BFC0F" w14:textId="77777777" w:rsidR="00041CA5" w:rsidRPr="00AA7A57" w:rsidRDefault="002F0A15" w:rsidP="00041CA5">
      <w:pPr>
        <w:pStyle w:val="ListParagraph"/>
        <w:numPr>
          <w:ilvl w:val="0"/>
          <w:numId w:val="56"/>
        </w:numPr>
        <w:spacing w:before="240" w:after="240"/>
        <w:ind w:left="0" w:firstLine="720"/>
        <w:jc w:val="both"/>
        <w:rPr>
          <w:rFonts w:asciiTheme="majorHAnsi" w:hAnsiTheme="majorHAnsi"/>
          <w:bCs/>
          <w:sz w:val="20"/>
          <w:szCs w:val="20"/>
          <w:lang w:val="es-UY"/>
        </w:rPr>
      </w:pPr>
      <w:r w:rsidRPr="00AA7A57">
        <w:rPr>
          <w:rFonts w:asciiTheme="majorHAnsi" w:hAnsiTheme="majorHAnsi"/>
          <w:bCs/>
          <w:sz w:val="20"/>
          <w:szCs w:val="20"/>
          <w:lang w:val="es-UY"/>
        </w:rPr>
        <w:t>A este respecto, 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p>
    <w:p w14:paraId="6716BB51" w14:textId="6733CA05" w:rsidR="002F0A15" w:rsidRPr="00AA7A57" w:rsidRDefault="00041CA5" w:rsidP="0091212D">
      <w:pPr>
        <w:pStyle w:val="ListParagraph"/>
        <w:numPr>
          <w:ilvl w:val="0"/>
          <w:numId w:val="56"/>
        </w:numPr>
        <w:spacing w:before="240" w:after="240"/>
        <w:ind w:left="0" w:firstLine="720"/>
        <w:jc w:val="both"/>
        <w:rPr>
          <w:rFonts w:asciiTheme="majorHAnsi" w:hAnsiTheme="majorHAnsi"/>
          <w:bCs/>
          <w:sz w:val="20"/>
          <w:szCs w:val="20"/>
          <w:lang w:val="es-UY"/>
        </w:rPr>
      </w:pPr>
      <w:r w:rsidRPr="00AA7A57">
        <w:rPr>
          <w:rFonts w:asciiTheme="majorHAnsi" w:hAnsiTheme="majorHAnsi"/>
          <w:bCs/>
          <w:sz w:val="20"/>
          <w:szCs w:val="20"/>
          <w:lang w:val="es-UY"/>
        </w:rPr>
        <w:t>E</w:t>
      </w:r>
      <w:r w:rsidR="002F0A15" w:rsidRPr="00AA7A57">
        <w:rPr>
          <w:rFonts w:asciiTheme="majorHAnsi" w:hAnsiTheme="majorHAnsi"/>
          <w:bCs/>
          <w:sz w:val="20"/>
          <w:szCs w:val="20"/>
          <w:lang w:val="es-UY"/>
        </w:rPr>
        <w:t>n relación con la excepción prevista artículo 46.2.b) de la Convención, la Comisión considera que dicha disposición resulta aplicable cuando se logra identificar que a pesar de que existe una vía jurídica adecuada, esta no resulta</w:t>
      </w:r>
      <w:r w:rsidRPr="00AA7A57">
        <w:rPr>
          <w:rFonts w:asciiTheme="majorHAnsi" w:hAnsiTheme="majorHAnsi"/>
          <w:bCs/>
          <w:sz w:val="20"/>
          <w:szCs w:val="20"/>
          <w:lang w:val="es-UY"/>
        </w:rPr>
        <w:t xml:space="preserve">ría </w:t>
      </w:r>
      <w:r w:rsidR="002F0A15" w:rsidRPr="00AA7A57">
        <w:rPr>
          <w:rFonts w:asciiTheme="majorHAnsi" w:hAnsiTheme="majorHAnsi"/>
          <w:bCs/>
          <w:sz w:val="20"/>
          <w:szCs w:val="20"/>
          <w:lang w:val="es-UY"/>
        </w:rPr>
        <w:t>efectiva debido a</w:t>
      </w:r>
      <w:r w:rsidR="00EC2D24" w:rsidRPr="00AA7A57">
        <w:rPr>
          <w:rFonts w:asciiTheme="majorHAnsi" w:hAnsiTheme="majorHAnsi"/>
          <w:bCs/>
          <w:sz w:val="20"/>
          <w:szCs w:val="20"/>
          <w:lang w:val="es-UY"/>
        </w:rPr>
        <w:t xml:space="preserve"> la presencia de</w:t>
      </w:r>
      <w:r w:rsidR="002F0A15" w:rsidRPr="00AA7A57">
        <w:rPr>
          <w:rFonts w:asciiTheme="majorHAnsi" w:hAnsiTheme="majorHAnsi"/>
          <w:bCs/>
          <w:sz w:val="20"/>
          <w:szCs w:val="20"/>
          <w:lang w:val="es-UY"/>
        </w:rPr>
        <w:t xml:space="preserve"> obstáculos fácticos o jurídicos. </w:t>
      </w:r>
      <w:r w:rsidRPr="00AA7A57">
        <w:rPr>
          <w:rFonts w:asciiTheme="majorHAnsi" w:hAnsiTheme="majorHAnsi"/>
          <w:bCs/>
          <w:sz w:val="20"/>
          <w:szCs w:val="20"/>
          <w:lang w:val="es-UY"/>
        </w:rPr>
        <w:t>De este modo</w:t>
      </w:r>
      <w:r w:rsidR="002F0A15" w:rsidRPr="00AA7A57">
        <w:rPr>
          <w:rFonts w:asciiTheme="majorHAnsi" w:hAnsiTheme="majorHAnsi"/>
          <w:bCs/>
          <w:sz w:val="20"/>
          <w:szCs w:val="20"/>
          <w:lang w:val="es-UY"/>
        </w:rPr>
        <w:t xml:space="preserve">, la Comisión ha aplicado la citada excepción en supuestos en los que consideró que la conducta de una autoridad </w:t>
      </w:r>
      <w:r w:rsidR="002F0A15" w:rsidRPr="00AA7A57">
        <w:rPr>
          <w:rFonts w:asciiTheme="majorHAnsi" w:hAnsiTheme="majorHAnsi"/>
          <w:bCs/>
          <w:sz w:val="20"/>
          <w:szCs w:val="20"/>
          <w:lang w:val="es-UY"/>
        </w:rPr>
        <w:lastRenderedPageBreak/>
        <w:t>no permitió a la presunta víctima acceder o agotar la vía judicial idónea para atender su situación</w:t>
      </w:r>
      <w:r w:rsidR="00944151" w:rsidRPr="00AA7A57">
        <w:rPr>
          <w:rStyle w:val="FootnoteReference"/>
          <w:rFonts w:asciiTheme="majorHAnsi" w:hAnsiTheme="majorHAnsi"/>
          <w:bCs/>
          <w:sz w:val="20"/>
          <w:szCs w:val="20"/>
          <w:lang w:val="es-UY"/>
        </w:rPr>
        <w:footnoteReference w:id="6"/>
      </w:r>
      <w:r w:rsidR="002F0A15" w:rsidRPr="00AA7A57">
        <w:rPr>
          <w:rFonts w:asciiTheme="majorHAnsi" w:hAnsiTheme="majorHAnsi"/>
          <w:bCs/>
          <w:sz w:val="20"/>
          <w:szCs w:val="20"/>
          <w:lang w:val="es-UY"/>
        </w:rPr>
        <w:t>, así como en situaciones en la</w:t>
      </w:r>
      <w:r w:rsidRPr="00AA7A57">
        <w:rPr>
          <w:rFonts w:asciiTheme="majorHAnsi" w:hAnsiTheme="majorHAnsi"/>
          <w:bCs/>
          <w:sz w:val="20"/>
          <w:szCs w:val="20"/>
          <w:lang w:val="es-UY"/>
        </w:rPr>
        <w:t>s</w:t>
      </w:r>
      <w:r w:rsidR="002F0A15" w:rsidRPr="00AA7A57">
        <w:rPr>
          <w:rFonts w:asciiTheme="majorHAnsi" w:hAnsiTheme="majorHAnsi"/>
          <w:bCs/>
          <w:sz w:val="20"/>
          <w:szCs w:val="20"/>
          <w:lang w:val="es-UY"/>
        </w:rPr>
        <w:t xml:space="preserve"> que identificó</w:t>
      </w:r>
      <w:r w:rsidRPr="00AA7A57">
        <w:rPr>
          <w:rFonts w:asciiTheme="majorHAnsi" w:hAnsiTheme="majorHAnsi"/>
          <w:bCs/>
          <w:sz w:val="20"/>
          <w:szCs w:val="20"/>
          <w:lang w:val="es-UY"/>
        </w:rPr>
        <w:t xml:space="preserve"> que la</w:t>
      </w:r>
      <w:r w:rsidR="002F0A15" w:rsidRPr="00AA7A57">
        <w:rPr>
          <w:rFonts w:asciiTheme="majorHAnsi" w:hAnsiTheme="majorHAnsi"/>
          <w:bCs/>
          <w:sz w:val="20"/>
          <w:szCs w:val="20"/>
          <w:lang w:val="es-UY"/>
        </w:rPr>
        <w:t xml:space="preserve"> presencia de una </w:t>
      </w:r>
      <w:r w:rsidRPr="00AA7A57">
        <w:rPr>
          <w:rFonts w:asciiTheme="majorHAnsi" w:hAnsiTheme="majorHAnsi"/>
          <w:bCs/>
          <w:sz w:val="20"/>
          <w:szCs w:val="20"/>
          <w:lang w:val="es-UY"/>
        </w:rPr>
        <w:t xml:space="preserve">determinada </w:t>
      </w:r>
      <w:r w:rsidR="002F0A15" w:rsidRPr="00AA7A57">
        <w:rPr>
          <w:rFonts w:asciiTheme="majorHAnsi" w:hAnsiTheme="majorHAnsi"/>
          <w:bCs/>
          <w:sz w:val="20"/>
          <w:szCs w:val="20"/>
          <w:lang w:val="es-UY"/>
        </w:rPr>
        <w:t xml:space="preserve">figura jurídica </w:t>
      </w:r>
      <w:r w:rsidRPr="00AA7A57">
        <w:rPr>
          <w:rFonts w:asciiTheme="majorHAnsi" w:hAnsiTheme="majorHAnsi"/>
          <w:bCs/>
          <w:sz w:val="20"/>
          <w:szCs w:val="20"/>
          <w:lang w:val="es-UY"/>
        </w:rPr>
        <w:t>provocó que dicho recurso devenga en ineficaz</w:t>
      </w:r>
      <w:r w:rsidR="00944151" w:rsidRPr="00AA7A57">
        <w:rPr>
          <w:rStyle w:val="FootnoteReference"/>
          <w:rFonts w:asciiTheme="majorHAnsi" w:hAnsiTheme="majorHAnsi"/>
          <w:bCs/>
          <w:sz w:val="20"/>
          <w:szCs w:val="20"/>
          <w:lang w:val="es-UY"/>
        </w:rPr>
        <w:footnoteReference w:id="7"/>
      </w:r>
      <w:r w:rsidR="0091212D" w:rsidRPr="00AA7A57">
        <w:rPr>
          <w:rFonts w:asciiTheme="majorHAnsi" w:hAnsiTheme="majorHAnsi"/>
          <w:bCs/>
          <w:sz w:val="20"/>
          <w:szCs w:val="20"/>
          <w:lang w:val="es-UY"/>
        </w:rPr>
        <w:t>. Incluso, la Comisión ha considerado en algunos asuntos se configuraron ambos supuestos, en tanto existieron obstáculos fácticos como jurídicos</w:t>
      </w:r>
      <w:r w:rsidRPr="00AA7A57">
        <w:rPr>
          <w:rStyle w:val="FootnoteReference"/>
          <w:rFonts w:asciiTheme="majorHAnsi" w:hAnsiTheme="majorHAnsi"/>
          <w:bCs/>
          <w:sz w:val="20"/>
          <w:szCs w:val="20"/>
          <w:lang w:val="es-UY"/>
        </w:rPr>
        <w:footnoteReference w:id="8"/>
      </w:r>
      <w:r w:rsidRPr="00AA7A57">
        <w:rPr>
          <w:rFonts w:asciiTheme="majorHAnsi" w:hAnsiTheme="majorHAnsi"/>
          <w:bCs/>
          <w:sz w:val="20"/>
          <w:szCs w:val="20"/>
          <w:lang w:val="es-UY"/>
        </w:rPr>
        <w:t xml:space="preserve">. </w:t>
      </w:r>
    </w:p>
    <w:p w14:paraId="2A83C355" w14:textId="2EF84974" w:rsidR="002F0A15" w:rsidRPr="00AA7A57" w:rsidRDefault="002F0A15" w:rsidP="002F0A15">
      <w:pPr>
        <w:pStyle w:val="ListParagraph"/>
        <w:numPr>
          <w:ilvl w:val="0"/>
          <w:numId w:val="56"/>
        </w:numPr>
        <w:spacing w:before="240" w:after="240"/>
        <w:ind w:left="0" w:firstLine="720"/>
        <w:jc w:val="both"/>
        <w:rPr>
          <w:rFonts w:asciiTheme="majorHAnsi" w:hAnsiTheme="majorHAnsi"/>
          <w:bCs/>
          <w:sz w:val="20"/>
          <w:szCs w:val="20"/>
          <w:lang w:val="es-UY"/>
        </w:rPr>
      </w:pPr>
      <w:r w:rsidRPr="00AA7A57">
        <w:rPr>
          <w:sz w:val="20"/>
          <w:szCs w:val="20"/>
          <w:lang w:val="es-ES_tradnl"/>
        </w:rPr>
        <w:t>Con base en ello, y de cara a resolver el presente asunto,</w:t>
      </w:r>
      <w:r w:rsidRPr="00AA7A57">
        <w:rPr>
          <w:rFonts w:asciiTheme="majorHAnsi" w:hAnsiTheme="majorHAnsi"/>
          <w:sz w:val="20"/>
          <w:szCs w:val="20"/>
          <w:lang w:val="es-ES"/>
        </w:rPr>
        <w:t xml:space="preserve"> la Comisión considera pertinente recordar que</w:t>
      </w:r>
      <w:r w:rsidRPr="00AA7A57">
        <w:rPr>
          <w:rFonts w:asciiTheme="majorHAnsi" w:hAnsiTheme="majorHAnsi"/>
          <w:bCs/>
          <w:sz w:val="20"/>
          <w:szCs w:val="20"/>
          <w:lang w:val="es-ES_tradnl"/>
        </w:rPr>
        <w:t>, conforme a la jurisprudencia de la Corte Interamericana de Derechos Humanos, la figura de la prescripción no debe ser aplicada en procesos penales</w:t>
      </w:r>
      <w:r w:rsidRPr="00AA7A57">
        <w:rPr>
          <w:rStyle w:val="FootnoteReference"/>
          <w:rFonts w:asciiTheme="majorHAnsi" w:hAnsiTheme="majorHAnsi"/>
          <w:bCs/>
          <w:sz w:val="20"/>
          <w:szCs w:val="20"/>
        </w:rPr>
        <w:footnoteReference w:id="9"/>
      </w:r>
      <w:r w:rsidRPr="00AA7A57">
        <w:rPr>
          <w:rFonts w:asciiTheme="majorHAnsi" w:hAnsiTheme="majorHAnsi"/>
          <w:bCs/>
          <w:sz w:val="20"/>
          <w:szCs w:val="20"/>
          <w:lang w:val="es-ES_tradnl"/>
        </w:rPr>
        <w:t xml:space="preserve"> o de reparación</w:t>
      </w:r>
      <w:r w:rsidRPr="00AA7A57">
        <w:rPr>
          <w:rStyle w:val="FootnoteReference"/>
          <w:rFonts w:asciiTheme="majorHAnsi" w:hAnsiTheme="majorHAnsi"/>
          <w:bCs/>
          <w:sz w:val="20"/>
          <w:szCs w:val="20"/>
        </w:rPr>
        <w:footnoteReference w:id="10"/>
      </w:r>
      <w:r w:rsidRPr="00AA7A57">
        <w:rPr>
          <w:rFonts w:asciiTheme="majorHAnsi" w:hAnsiTheme="majorHAnsi"/>
          <w:bCs/>
          <w:sz w:val="20"/>
          <w:szCs w:val="20"/>
          <w:lang w:val="es-ES_tradnl"/>
        </w:rPr>
        <w:t xml:space="preserve"> en causas referidas a crímenes internacionales o graves violaciones de derechos humanos, tales como la tortura, desaparición forzada, ejecuciones extrajudiciales, trata de personas, esclavitud y sus formas contemporáneas. En esa línea, la Corte Interamericana ha señalado con claridad que, si bien toda violación de derechos humanos supone una cierta gravedad por su propia naturaleza, no se debe equiparar toda vulneración a lo que la jurisprudencia ha establecido como “violaciones graves a los derechos humanos”, pues de lo contrario en todo caso presentado ante el Sistema Interamericano no procedería dicho instituto procesal</w:t>
      </w:r>
      <w:r w:rsidRPr="00AA7A57">
        <w:rPr>
          <w:rStyle w:val="FootnoteReference"/>
          <w:rFonts w:asciiTheme="majorHAnsi" w:hAnsiTheme="majorHAnsi"/>
          <w:bCs/>
          <w:sz w:val="20"/>
          <w:szCs w:val="20"/>
        </w:rPr>
        <w:footnoteReference w:id="11"/>
      </w:r>
      <w:r w:rsidRPr="00AA7A57">
        <w:rPr>
          <w:rFonts w:asciiTheme="majorHAnsi" w:hAnsiTheme="majorHAnsi"/>
          <w:bCs/>
          <w:sz w:val="20"/>
          <w:szCs w:val="20"/>
          <w:lang w:val="es-ES_tradnl"/>
        </w:rPr>
        <w:t xml:space="preserve">. </w:t>
      </w:r>
    </w:p>
    <w:p w14:paraId="33D1D8BD" w14:textId="2FC8C930" w:rsidR="00041CA5" w:rsidRPr="00AA7A57" w:rsidRDefault="002F0A15" w:rsidP="00421CCB">
      <w:pPr>
        <w:pStyle w:val="ListParagraph"/>
        <w:numPr>
          <w:ilvl w:val="0"/>
          <w:numId w:val="56"/>
        </w:numPr>
        <w:spacing w:before="240" w:after="240"/>
        <w:ind w:left="0" w:firstLine="720"/>
        <w:jc w:val="both"/>
        <w:rPr>
          <w:rFonts w:asciiTheme="majorHAnsi" w:hAnsiTheme="majorHAnsi"/>
          <w:bCs/>
          <w:sz w:val="20"/>
          <w:szCs w:val="20"/>
          <w:lang w:val="es-UY"/>
        </w:rPr>
      </w:pPr>
      <w:r w:rsidRPr="00AA7A57">
        <w:rPr>
          <w:sz w:val="20"/>
          <w:szCs w:val="20"/>
          <w:lang w:val="es-ES_tradnl"/>
        </w:rPr>
        <w:t xml:space="preserve">En virtud del citado estándar, la Comisión </w:t>
      </w:r>
      <w:r w:rsidR="00421CCB" w:rsidRPr="00AA7A57">
        <w:rPr>
          <w:sz w:val="20"/>
          <w:szCs w:val="20"/>
          <w:lang w:val="es-ES_tradnl"/>
        </w:rPr>
        <w:t>recuerda</w:t>
      </w:r>
      <w:r w:rsidRPr="00AA7A57">
        <w:rPr>
          <w:sz w:val="20"/>
          <w:szCs w:val="20"/>
          <w:lang w:val="es-ES_tradnl"/>
        </w:rPr>
        <w:t xml:space="preserve"> que, en un conjunto de peticiones contra Chile, ya conoció situaciones similares a las planteadas en el presente asunto y consideró que el uso de la figura de la prescripción en la vía civil constituyó un obstáculo jurídico para las respectivas presuntas víctimas para lograr una indemnización</w:t>
      </w:r>
      <w:r w:rsidR="00421CCB" w:rsidRPr="00AA7A57">
        <w:rPr>
          <w:sz w:val="20"/>
          <w:szCs w:val="20"/>
          <w:lang w:val="es-ES_tradnl"/>
        </w:rPr>
        <w:t xml:space="preserve"> por las graves violaciones de derechos humanos que padecieron</w:t>
      </w:r>
      <w:r w:rsidR="00421CCB" w:rsidRPr="00AA7A57">
        <w:rPr>
          <w:rStyle w:val="FootnoteReference"/>
          <w:sz w:val="20"/>
          <w:szCs w:val="20"/>
          <w:lang w:val="es-ES_tradnl"/>
        </w:rPr>
        <w:footnoteReference w:id="12"/>
      </w:r>
      <w:r w:rsidRPr="00AA7A57">
        <w:rPr>
          <w:sz w:val="20"/>
          <w:szCs w:val="20"/>
          <w:lang w:val="es-ES_tradnl"/>
        </w:rPr>
        <w:t xml:space="preserve">. </w:t>
      </w:r>
    </w:p>
    <w:p w14:paraId="0DBA41E7" w14:textId="6BA85500" w:rsidR="00FF3581" w:rsidRPr="00AA7A57" w:rsidRDefault="004560EB" w:rsidP="00041CA5">
      <w:pPr>
        <w:pStyle w:val="ListParagraph"/>
        <w:numPr>
          <w:ilvl w:val="0"/>
          <w:numId w:val="56"/>
        </w:numPr>
        <w:spacing w:before="240" w:after="240"/>
        <w:ind w:left="0" w:firstLine="720"/>
        <w:jc w:val="both"/>
        <w:rPr>
          <w:rFonts w:asciiTheme="majorHAnsi" w:hAnsiTheme="majorHAnsi"/>
          <w:bCs/>
          <w:sz w:val="20"/>
          <w:szCs w:val="20"/>
          <w:lang w:val="es-UY"/>
        </w:rPr>
      </w:pPr>
      <w:r w:rsidRPr="00AA7A57">
        <w:rPr>
          <w:sz w:val="20"/>
          <w:szCs w:val="20"/>
          <w:lang w:val="es-PE"/>
        </w:rPr>
        <w:t xml:space="preserve">En consecuencia, a efectos de la admisibilidad del presente asunto, </w:t>
      </w:r>
      <w:r w:rsidR="00696EB6" w:rsidRPr="00AA7A57">
        <w:rPr>
          <w:sz w:val="20"/>
          <w:szCs w:val="20"/>
          <w:lang w:val="es-PE"/>
        </w:rPr>
        <w:t>la Comisión considera pertinente</w:t>
      </w:r>
      <w:r w:rsidRPr="00AA7A57">
        <w:rPr>
          <w:sz w:val="20"/>
          <w:szCs w:val="20"/>
          <w:lang w:val="es-PE"/>
        </w:rPr>
        <w:t xml:space="preserve"> aplicar la excepción prevista en el artículo 46.2.</w:t>
      </w:r>
      <w:r w:rsidR="00FF5F1E" w:rsidRPr="00AA7A57">
        <w:rPr>
          <w:sz w:val="20"/>
          <w:szCs w:val="20"/>
          <w:lang w:val="es-PE"/>
        </w:rPr>
        <w:t>b</w:t>
      </w:r>
      <w:r w:rsidRPr="00AA7A57">
        <w:rPr>
          <w:sz w:val="20"/>
          <w:szCs w:val="20"/>
          <w:lang w:val="es-PE"/>
        </w:rPr>
        <w:t>) de la Convención</w:t>
      </w:r>
      <w:r w:rsidR="00FF5F1E" w:rsidRPr="00AA7A57">
        <w:rPr>
          <w:sz w:val="20"/>
          <w:szCs w:val="20"/>
          <w:lang w:val="es-PE"/>
        </w:rPr>
        <w:t>, toda vez que la figura de la caducidad habría obstaculizado la posibilidad de obtener un pronunciamiento de fondo sobre los reclamos planteados</w:t>
      </w:r>
      <w:r w:rsidR="00B14F7F" w:rsidRPr="00AA7A57">
        <w:rPr>
          <w:sz w:val="20"/>
          <w:szCs w:val="20"/>
          <w:lang w:val="es-PE"/>
        </w:rPr>
        <w:t xml:space="preserve"> y que, tal situación, requiere un estudio más profundo en etapa de fondo. </w:t>
      </w:r>
      <w:r w:rsidR="00696EB6" w:rsidRPr="00AA7A57">
        <w:rPr>
          <w:sz w:val="20"/>
          <w:szCs w:val="20"/>
          <w:lang w:val="es-PE"/>
        </w:rPr>
        <w:t xml:space="preserve"> </w:t>
      </w:r>
    </w:p>
    <w:p w14:paraId="18B52230" w14:textId="63E002D3" w:rsidR="00DE6885" w:rsidRDefault="0039782E" w:rsidP="00DE6885">
      <w:pPr>
        <w:pStyle w:val="ListParagraph"/>
        <w:numPr>
          <w:ilvl w:val="0"/>
          <w:numId w:val="56"/>
        </w:numPr>
        <w:spacing w:before="240" w:after="240"/>
        <w:ind w:left="0" w:firstLine="720"/>
        <w:jc w:val="both"/>
        <w:rPr>
          <w:rFonts w:asciiTheme="majorHAnsi" w:hAnsiTheme="majorHAnsi"/>
          <w:bCs/>
          <w:sz w:val="20"/>
          <w:szCs w:val="20"/>
          <w:lang w:val="es-UY"/>
        </w:rPr>
      </w:pPr>
      <w:r w:rsidRPr="00AA7A57">
        <w:rPr>
          <w:sz w:val="20"/>
          <w:szCs w:val="20"/>
          <w:lang w:val="es-PE"/>
        </w:rPr>
        <w:t xml:space="preserve">Asimismo, si bien el Estado arguye que las presuntas víctimas tenían a su disposición la vía de tutela para </w:t>
      </w:r>
      <w:r w:rsidR="00FF0263" w:rsidRPr="00AA7A57">
        <w:rPr>
          <w:sz w:val="20"/>
          <w:szCs w:val="20"/>
          <w:lang w:val="es-PE"/>
        </w:rPr>
        <w:t>solicitar la protección</w:t>
      </w:r>
      <w:r w:rsidRPr="00AA7A57">
        <w:rPr>
          <w:sz w:val="20"/>
          <w:szCs w:val="20"/>
          <w:lang w:val="es-PE"/>
        </w:rPr>
        <w:t xml:space="preserve"> de su derecho </w:t>
      </w:r>
      <w:r w:rsidR="00FF0263" w:rsidRPr="00AA7A57">
        <w:rPr>
          <w:sz w:val="20"/>
          <w:szCs w:val="20"/>
          <w:lang w:val="es-PE"/>
        </w:rPr>
        <w:t>de acceso a la justicia</w:t>
      </w:r>
      <w:r w:rsidRPr="00AA7A57">
        <w:rPr>
          <w:sz w:val="20"/>
          <w:szCs w:val="20"/>
          <w:lang w:val="es-PE"/>
        </w:rPr>
        <w:t>, la Comisión recuerda que, como regla general, la parte peticionaria solo tiene en principio la obligación de agotar las vías judiciales</w:t>
      </w:r>
      <w:r w:rsidRPr="0039782E">
        <w:rPr>
          <w:sz w:val="20"/>
          <w:szCs w:val="20"/>
          <w:lang w:val="es-PE"/>
        </w:rPr>
        <w:t xml:space="preserve"> ordinarias a nivel interno. Por ello, la CIDH considera que cuando se alegan irregularidades a lo largo de distintas etapas de un proceso,</w:t>
      </w:r>
      <w:r w:rsidR="00DE6885">
        <w:rPr>
          <w:sz w:val="20"/>
          <w:szCs w:val="20"/>
          <w:lang w:val="es-PE"/>
        </w:rPr>
        <w:t xml:space="preserve"> </w:t>
      </w:r>
      <w:r w:rsidR="00DE6885" w:rsidRPr="00DE6885">
        <w:rPr>
          <w:rFonts w:asciiTheme="majorHAnsi" w:hAnsiTheme="majorHAnsi"/>
          <w:bCs/>
          <w:sz w:val="20"/>
          <w:szCs w:val="20"/>
          <w:lang w:val="es-UY"/>
        </w:rPr>
        <w:t>no es necesario, en principio, un recurso extraordinario o una vía procesal adicional para cumplir con el</w:t>
      </w:r>
      <w:r w:rsidR="00DE6885">
        <w:rPr>
          <w:rFonts w:asciiTheme="majorHAnsi" w:hAnsiTheme="majorHAnsi"/>
          <w:bCs/>
          <w:sz w:val="20"/>
          <w:szCs w:val="20"/>
          <w:lang w:val="es-UY"/>
        </w:rPr>
        <w:t xml:space="preserve"> </w:t>
      </w:r>
      <w:r w:rsidR="00DE6885" w:rsidRPr="00DE6885">
        <w:rPr>
          <w:rFonts w:asciiTheme="majorHAnsi" w:hAnsiTheme="majorHAnsi"/>
          <w:bCs/>
          <w:sz w:val="20"/>
          <w:szCs w:val="20"/>
          <w:lang w:val="es-UY"/>
        </w:rPr>
        <w:t>requisito establecido en el artículo 46.1.a) de la Convención. A juicio de la Comisión, el hecho de que el asunto</w:t>
      </w:r>
      <w:r w:rsidR="00DE6885">
        <w:rPr>
          <w:rFonts w:asciiTheme="majorHAnsi" w:hAnsiTheme="majorHAnsi"/>
          <w:bCs/>
          <w:sz w:val="20"/>
          <w:szCs w:val="20"/>
          <w:lang w:val="es-UY"/>
        </w:rPr>
        <w:t xml:space="preserve"> </w:t>
      </w:r>
      <w:r w:rsidR="00DE6885" w:rsidRPr="00DE6885">
        <w:rPr>
          <w:rFonts w:asciiTheme="majorHAnsi" w:hAnsiTheme="majorHAnsi"/>
          <w:bCs/>
          <w:sz w:val="20"/>
          <w:szCs w:val="20"/>
          <w:lang w:val="es-UY"/>
        </w:rPr>
        <w:t>controvertido ya haya estado bajo conocimiento de una autoridad judicial, con la obligación y capacidad</w:t>
      </w:r>
      <w:r w:rsidR="00DE6885">
        <w:rPr>
          <w:rFonts w:asciiTheme="majorHAnsi" w:hAnsiTheme="majorHAnsi"/>
          <w:bCs/>
          <w:sz w:val="20"/>
          <w:szCs w:val="20"/>
          <w:lang w:val="es-UY"/>
        </w:rPr>
        <w:t xml:space="preserve"> </w:t>
      </w:r>
      <w:r w:rsidR="00DE6885" w:rsidRPr="00DE6885">
        <w:rPr>
          <w:rFonts w:asciiTheme="majorHAnsi" w:hAnsiTheme="majorHAnsi"/>
          <w:bCs/>
          <w:sz w:val="20"/>
          <w:szCs w:val="20"/>
          <w:lang w:val="es-UY"/>
        </w:rPr>
        <w:t>remediar cualquier posible violación de derechos que pudieran sufrir las personas involucradas en el trámite</w:t>
      </w:r>
      <w:r w:rsidR="00DE6885">
        <w:rPr>
          <w:rFonts w:asciiTheme="majorHAnsi" w:hAnsiTheme="majorHAnsi"/>
          <w:bCs/>
          <w:sz w:val="20"/>
          <w:szCs w:val="20"/>
          <w:lang w:val="es-UY"/>
        </w:rPr>
        <w:t xml:space="preserve"> </w:t>
      </w:r>
      <w:r w:rsidR="00DE6885" w:rsidRPr="00DE6885">
        <w:rPr>
          <w:rFonts w:asciiTheme="majorHAnsi" w:hAnsiTheme="majorHAnsi"/>
          <w:bCs/>
          <w:sz w:val="20"/>
          <w:szCs w:val="20"/>
          <w:lang w:val="es-UY"/>
        </w:rPr>
        <w:t>del proceso, acredita que el Estado tuvo la oportunidad de solucionar el asunto a nivel doméstico</w:t>
      </w:r>
      <w:r w:rsidR="00DE6885">
        <w:rPr>
          <w:rStyle w:val="FootnoteReference"/>
          <w:rFonts w:asciiTheme="majorHAnsi" w:hAnsiTheme="majorHAnsi"/>
          <w:bCs/>
          <w:sz w:val="20"/>
          <w:szCs w:val="20"/>
          <w:lang w:val="es-UY"/>
        </w:rPr>
        <w:footnoteReference w:id="13"/>
      </w:r>
      <w:r w:rsidR="00DE6885" w:rsidRPr="00DE6885">
        <w:rPr>
          <w:rFonts w:asciiTheme="majorHAnsi" w:hAnsiTheme="majorHAnsi"/>
          <w:bCs/>
          <w:sz w:val="20"/>
          <w:szCs w:val="20"/>
          <w:lang w:val="es-UY"/>
        </w:rPr>
        <w:t>. Sin perjuicio</w:t>
      </w:r>
      <w:r w:rsidR="00DE6885">
        <w:rPr>
          <w:rFonts w:asciiTheme="majorHAnsi" w:hAnsiTheme="majorHAnsi"/>
          <w:bCs/>
          <w:sz w:val="20"/>
          <w:szCs w:val="20"/>
          <w:lang w:val="es-UY"/>
        </w:rPr>
        <w:t xml:space="preserve"> </w:t>
      </w:r>
      <w:r w:rsidR="00DE6885" w:rsidRPr="00DE6885">
        <w:rPr>
          <w:rFonts w:asciiTheme="majorHAnsi" w:hAnsiTheme="majorHAnsi"/>
          <w:bCs/>
          <w:sz w:val="20"/>
          <w:szCs w:val="20"/>
          <w:lang w:val="es-UY"/>
        </w:rPr>
        <w:t>de ello, la Comisión resalta que el Estado en su escrito tampoco explica a detalle por qué la vía extraordinaria</w:t>
      </w:r>
      <w:r w:rsidR="00DE6885">
        <w:rPr>
          <w:rFonts w:asciiTheme="majorHAnsi" w:hAnsiTheme="majorHAnsi"/>
          <w:bCs/>
          <w:sz w:val="20"/>
          <w:szCs w:val="20"/>
          <w:lang w:val="es-UY"/>
        </w:rPr>
        <w:t xml:space="preserve"> </w:t>
      </w:r>
      <w:r w:rsidR="00DE6885" w:rsidRPr="00DE6885">
        <w:rPr>
          <w:rFonts w:asciiTheme="majorHAnsi" w:hAnsiTheme="majorHAnsi"/>
          <w:bCs/>
          <w:sz w:val="20"/>
          <w:szCs w:val="20"/>
          <w:lang w:val="es-UY"/>
        </w:rPr>
        <w:t>de amparo sería adecuada y efectiva para resolver la situación de las presuntas víctimas.</w:t>
      </w:r>
    </w:p>
    <w:p w14:paraId="33EF10BB" w14:textId="75619EE9" w:rsidR="00574B7C" w:rsidRPr="00574B7C" w:rsidRDefault="00601D8A" w:rsidP="00574B7C">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lastRenderedPageBreak/>
        <w:t xml:space="preserve">Finalmente, respecto al plazo de presentación, la Comisión toma nota de los alegatos expuestos por el Estado, referido a la situación de precariedad económica de las presuntas víctimas y las dificultades que tuvieron que afrontar para ubicarlos y conseguir los documentos que dan sustento a la presente demanda. En consecuencia, tomando en cuenta que este reclamo se presentó el </w:t>
      </w:r>
      <w:r>
        <w:rPr>
          <w:bCs/>
          <w:sz w:val="20"/>
          <w:szCs w:val="20"/>
          <w:lang w:val="es-ES"/>
        </w:rPr>
        <w:t>14 de febrero de 2011, que las últimas decisiones</w:t>
      </w:r>
      <w:r w:rsidR="00B14F7F" w:rsidRPr="00B14F7F">
        <w:rPr>
          <w:rFonts w:asciiTheme="majorHAnsi" w:hAnsiTheme="majorHAnsi"/>
          <w:sz w:val="20"/>
          <w:szCs w:val="20"/>
          <w:lang w:val="es-ES"/>
        </w:rPr>
        <w:t xml:space="preserve"> </w:t>
      </w:r>
      <w:r w:rsidR="00B14F7F">
        <w:rPr>
          <w:rFonts w:asciiTheme="majorHAnsi" w:hAnsiTheme="majorHAnsi"/>
          <w:sz w:val="20"/>
          <w:szCs w:val="20"/>
          <w:lang w:val="es-ES"/>
        </w:rPr>
        <w:t>se emitieron entre julio de 2008 y marzo de 2010</w:t>
      </w:r>
      <w:r w:rsidR="005835C4">
        <w:rPr>
          <w:rFonts w:asciiTheme="majorHAnsi" w:hAnsiTheme="majorHAnsi"/>
          <w:sz w:val="20"/>
          <w:szCs w:val="20"/>
          <w:lang w:val="es-ES"/>
        </w:rPr>
        <w:t xml:space="preserve">, y circunstancias particulares del caso, la Comisión considera que el presente reclamo </w:t>
      </w:r>
      <w:r w:rsidR="007C1E20">
        <w:rPr>
          <w:rFonts w:asciiTheme="majorHAnsi" w:hAnsiTheme="majorHAnsi"/>
          <w:sz w:val="20"/>
          <w:szCs w:val="20"/>
          <w:lang w:val="es-ES"/>
        </w:rPr>
        <w:t xml:space="preserve">fue </w:t>
      </w:r>
      <w:r w:rsidR="00DB0297">
        <w:rPr>
          <w:rFonts w:asciiTheme="majorHAnsi" w:hAnsiTheme="majorHAnsi"/>
          <w:sz w:val="20"/>
          <w:szCs w:val="20"/>
          <w:lang w:val="es-ES"/>
        </w:rPr>
        <w:t xml:space="preserve">presentado en un plazo razonable y, por ende, se cumple el requisito previsto en el artículo 32.2. de su Reglamento. </w:t>
      </w:r>
    </w:p>
    <w:p w14:paraId="3D1A4DB3" w14:textId="05AA804B" w:rsidR="00574B7C" w:rsidRPr="00574B7C" w:rsidRDefault="00574B7C" w:rsidP="00895FD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574B7C">
        <w:rPr>
          <w:rFonts w:asciiTheme="majorHAnsi" w:hAnsiTheme="majorHAnsi"/>
          <w:b/>
          <w:bCs/>
          <w:sz w:val="20"/>
          <w:szCs w:val="20"/>
          <w:lang w:val="es-ES"/>
        </w:rPr>
        <w:t>VII.</w:t>
      </w:r>
      <w:r w:rsidRPr="00574B7C">
        <w:rPr>
          <w:rFonts w:asciiTheme="majorHAnsi" w:hAnsiTheme="majorHAnsi"/>
          <w:b/>
          <w:bCs/>
          <w:sz w:val="20"/>
          <w:szCs w:val="20"/>
          <w:lang w:val="es-ES"/>
        </w:rPr>
        <w:tab/>
      </w:r>
      <w:r w:rsidRPr="00574B7C">
        <w:rPr>
          <w:rFonts w:asciiTheme="majorHAnsi" w:hAnsiTheme="majorHAnsi"/>
          <w:b/>
          <w:bCs/>
          <w:sz w:val="20"/>
          <w:szCs w:val="20"/>
          <w:lang w:val="es-ES_tradnl"/>
        </w:rPr>
        <w:t xml:space="preserve">ANÁLISIS DE </w:t>
      </w:r>
      <w:r w:rsidRPr="00574B7C">
        <w:rPr>
          <w:rFonts w:asciiTheme="majorHAnsi" w:hAnsiTheme="majorHAnsi"/>
          <w:b/>
          <w:bCs/>
          <w:sz w:val="20"/>
          <w:szCs w:val="20"/>
          <w:lang w:val="es-ES"/>
        </w:rPr>
        <w:t xml:space="preserve">CARACTERIZACIÓN </w:t>
      </w:r>
      <w:r w:rsidRPr="00574B7C">
        <w:rPr>
          <w:rFonts w:asciiTheme="majorHAnsi" w:hAnsiTheme="majorHAnsi"/>
          <w:b/>
          <w:bCs/>
          <w:sz w:val="20"/>
          <w:szCs w:val="20"/>
          <w:lang w:val="es-UY"/>
        </w:rPr>
        <w:t>DE LOS HECHOS ALEGADOS</w:t>
      </w:r>
    </w:p>
    <w:p w14:paraId="0AE2BDD5" w14:textId="427F156E" w:rsidR="008C5E2D" w:rsidRDefault="00207797" w:rsidP="00207797">
      <w:pPr>
        <w:pStyle w:val="ListParagraph"/>
        <w:numPr>
          <w:ilvl w:val="0"/>
          <w:numId w:val="56"/>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PE"/>
        </w:rPr>
        <w:t xml:space="preserve">En atención a las citadas consideraciones de hecho y derecho, la CIDH considera que los reclamos de la parte peticionaria, referidos al </w:t>
      </w:r>
      <w:r w:rsidR="00574B7C" w:rsidRPr="00574B7C">
        <w:rPr>
          <w:rFonts w:asciiTheme="majorHAnsi" w:hAnsiTheme="majorHAnsi"/>
          <w:bCs/>
          <w:sz w:val="20"/>
          <w:szCs w:val="20"/>
          <w:lang w:val="es-UY"/>
        </w:rPr>
        <w:t xml:space="preserve">rechazo de las acciones de reparación civil por graves violaciones a los derechos humanos con base en la causal de prescripción, </w:t>
      </w:r>
      <w:r>
        <w:rPr>
          <w:rFonts w:asciiTheme="majorHAnsi" w:hAnsiTheme="majorHAnsi"/>
          <w:bCs/>
          <w:sz w:val="20"/>
          <w:szCs w:val="20"/>
          <w:lang w:val="es-UY"/>
        </w:rPr>
        <w:t xml:space="preserve">no resultan manifiestamente </w:t>
      </w:r>
      <w:r w:rsidR="005A2ADE">
        <w:rPr>
          <w:rFonts w:asciiTheme="majorHAnsi" w:hAnsiTheme="majorHAnsi"/>
          <w:bCs/>
          <w:sz w:val="20"/>
          <w:szCs w:val="20"/>
          <w:lang w:val="es-UY"/>
        </w:rPr>
        <w:t xml:space="preserve">improcedente y, de ser probados, </w:t>
      </w:r>
      <w:r w:rsidR="00574B7C" w:rsidRPr="00574B7C">
        <w:rPr>
          <w:rFonts w:asciiTheme="majorHAnsi" w:hAnsiTheme="majorHAnsi"/>
          <w:bCs/>
          <w:sz w:val="20"/>
          <w:szCs w:val="20"/>
          <w:lang w:val="es-UY"/>
        </w:rPr>
        <w:t xml:space="preserve">podrían caracterizar posibles violaciones a los derechos protegidos en los artículos 5 (integridad personal), </w:t>
      </w:r>
      <w:r w:rsidR="00C73E1A">
        <w:rPr>
          <w:rFonts w:asciiTheme="majorHAnsi" w:hAnsiTheme="majorHAnsi"/>
          <w:bCs/>
          <w:sz w:val="20"/>
          <w:szCs w:val="20"/>
          <w:lang w:val="es-UY"/>
        </w:rPr>
        <w:t xml:space="preserve">7 (libertad personal), </w:t>
      </w:r>
      <w:r w:rsidR="00574B7C" w:rsidRPr="00574B7C">
        <w:rPr>
          <w:rFonts w:asciiTheme="majorHAnsi" w:hAnsiTheme="majorHAnsi"/>
          <w:bCs/>
          <w:sz w:val="20"/>
          <w:szCs w:val="20"/>
          <w:lang w:val="es-UY"/>
        </w:rPr>
        <w:t>8</w:t>
      </w:r>
      <w:r w:rsidR="00574B7C">
        <w:rPr>
          <w:rFonts w:asciiTheme="majorHAnsi" w:hAnsiTheme="majorHAnsi"/>
          <w:bCs/>
          <w:sz w:val="20"/>
          <w:szCs w:val="20"/>
          <w:lang w:val="es-UY"/>
        </w:rPr>
        <w:t xml:space="preserve"> </w:t>
      </w:r>
      <w:r w:rsidR="00574B7C" w:rsidRPr="00574B7C">
        <w:rPr>
          <w:rFonts w:asciiTheme="majorHAnsi" w:hAnsiTheme="majorHAnsi"/>
          <w:bCs/>
          <w:sz w:val="20"/>
          <w:szCs w:val="20"/>
          <w:lang w:val="es-UY"/>
        </w:rPr>
        <w:t>(garantías judiciales)</w:t>
      </w:r>
      <w:r w:rsidR="005A2ADE">
        <w:rPr>
          <w:rFonts w:asciiTheme="majorHAnsi" w:hAnsiTheme="majorHAnsi"/>
          <w:bCs/>
          <w:sz w:val="20"/>
          <w:szCs w:val="20"/>
          <w:lang w:val="es-UY"/>
        </w:rPr>
        <w:t xml:space="preserve">, </w:t>
      </w:r>
      <w:r w:rsidR="00C73E1A">
        <w:rPr>
          <w:rFonts w:asciiTheme="majorHAnsi" w:hAnsiTheme="majorHAnsi"/>
          <w:bCs/>
          <w:sz w:val="20"/>
          <w:szCs w:val="20"/>
          <w:lang w:val="es-UY"/>
        </w:rPr>
        <w:t xml:space="preserve">22 (derecho de circulación y residencia), </w:t>
      </w:r>
      <w:r w:rsidR="005A2ADE">
        <w:rPr>
          <w:rFonts w:asciiTheme="majorHAnsi" w:hAnsiTheme="majorHAnsi"/>
          <w:bCs/>
          <w:sz w:val="20"/>
          <w:szCs w:val="20"/>
          <w:lang w:val="es-UY"/>
        </w:rPr>
        <w:t>21 (propiedad privada), 24 (igualdad ante la ley)</w:t>
      </w:r>
      <w:r w:rsidR="00574B7C" w:rsidRPr="00574B7C">
        <w:rPr>
          <w:rFonts w:asciiTheme="majorHAnsi" w:hAnsiTheme="majorHAnsi"/>
          <w:bCs/>
          <w:sz w:val="20"/>
          <w:szCs w:val="20"/>
          <w:lang w:val="es-UY"/>
        </w:rPr>
        <w:t xml:space="preserve"> y 25 (protección judicial) de la Convención</w:t>
      </w:r>
      <w:r w:rsidR="00C73E1A">
        <w:rPr>
          <w:rFonts w:asciiTheme="majorHAnsi" w:hAnsiTheme="majorHAnsi"/>
          <w:bCs/>
          <w:sz w:val="20"/>
          <w:szCs w:val="20"/>
          <w:lang w:val="es-UY"/>
        </w:rPr>
        <w:t xml:space="preserve"> Americana</w:t>
      </w:r>
      <w:r w:rsidR="00574B7C" w:rsidRPr="00574B7C">
        <w:rPr>
          <w:rFonts w:asciiTheme="majorHAnsi" w:hAnsiTheme="majorHAnsi"/>
          <w:bCs/>
          <w:sz w:val="20"/>
          <w:szCs w:val="20"/>
          <w:lang w:val="es-UY"/>
        </w:rPr>
        <w:t>, en concordancia con los artículos 1.1 y 2 del</w:t>
      </w:r>
      <w:r w:rsidRPr="00207797">
        <w:rPr>
          <w:lang w:val="es-PE"/>
        </w:rPr>
        <w:t xml:space="preserve"> </w:t>
      </w:r>
      <w:r w:rsidRPr="00207797">
        <w:rPr>
          <w:rFonts w:asciiTheme="majorHAnsi" w:hAnsiTheme="majorHAnsi"/>
          <w:bCs/>
          <w:sz w:val="20"/>
          <w:szCs w:val="20"/>
          <w:lang w:val="es-UY"/>
        </w:rPr>
        <w:t xml:space="preserve">mismo </w:t>
      </w:r>
      <w:r>
        <w:rPr>
          <w:rFonts w:asciiTheme="majorHAnsi" w:hAnsiTheme="majorHAnsi"/>
          <w:bCs/>
          <w:sz w:val="20"/>
          <w:szCs w:val="20"/>
          <w:lang w:val="es-UY"/>
        </w:rPr>
        <w:t>instrument</w:t>
      </w:r>
      <w:r w:rsidR="00C73E1A">
        <w:rPr>
          <w:rFonts w:asciiTheme="majorHAnsi" w:hAnsiTheme="majorHAnsi"/>
          <w:bCs/>
          <w:sz w:val="20"/>
          <w:szCs w:val="20"/>
          <w:lang w:val="es-UY"/>
        </w:rPr>
        <w:t xml:space="preserve">o. </w:t>
      </w:r>
    </w:p>
    <w:p w14:paraId="2C3058F0" w14:textId="777F4FB9" w:rsidR="00C73E1A" w:rsidRPr="00574B7C" w:rsidRDefault="00C73E1A" w:rsidP="00207797">
      <w:pPr>
        <w:pStyle w:val="ListParagraph"/>
        <w:numPr>
          <w:ilvl w:val="0"/>
          <w:numId w:val="56"/>
        </w:numPr>
        <w:spacing w:before="240" w:after="240"/>
        <w:ind w:left="0" w:firstLine="720"/>
        <w:jc w:val="both"/>
        <w:rPr>
          <w:rFonts w:asciiTheme="majorHAnsi" w:hAnsiTheme="majorHAnsi"/>
          <w:bCs/>
          <w:sz w:val="20"/>
          <w:szCs w:val="20"/>
          <w:lang w:val="es-UY"/>
        </w:rPr>
      </w:pPr>
      <w:r>
        <w:rPr>
          <w:bCs/>
          <w:sz w:val="20"/>
          <w:szCs w:val="20"/>
          <w:lang w:val="es-ES"/>
        </w:rPr>
        <w:t xml:space="preserve">Respecto de los artículos 4 (derecho a la vida)10 (derecho a indemnización), 11 (protección de la honra y de la dignidad) y 17 (protección a la familia), de la Convención Americana, la Comisión considera que la parte peticionaria no aporta argumentos o información que permitan, </w:t>
      </w:r>
      <w:r w:rsidRPr="00C73E1A">
        <w:rPr>
          <w:bCs/>
          <w:i/>
          <w:iCs/>
          <w:sz w:val="20"/>
          <w:szCs w:val="20"/>
          <w:lang w:val="es-ES"/>
        </w:rPr>
        <w:t>prima facie</w:t>
      </w:r>
      <w:r>
        <w:rPr>
          <w:bCs/>
          <w:sz w:val="20"/>
          <w:szCs w:val="20"/>
          <w:lang w:val="es-ES"/>
        </w:rPr>
        <w:t xml:space="preserve">, identificar su posible vulneración.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79087849" w:rsidR="003239B8" w:rsidRPr="000419AD" w:rsidRDefault="003239B8" w:rsidP="00C73E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C73E1A">
        <w:rPr>
          <w:rFonts w:asciiTheme="majorHAnsi" w:hAnsiTheme="majorHAnsi"/>
          <w:sz w:val="20"/>
          <w:szCs w:val="20"/>
          <w:lang w:val="es-ES"/>
        </w:rPr>
        <w:t xml:space="preserve"> los</w:t>
      </w:r>
      <w:r w:rsidRPr="003239B8">
        <w:rPr>
          <w:rFonts w:asciiTheme="majorHAnsi" w:hAnsiTheme="majorHAnsi"/>
          <w:sz w:val="20"/>
          <w:szCs w:val="20"/>
          <w:lang w:val="es-ES"/>
        </w:rPr>
        <w:t xml:space="preserve"> </w:t>
      </w:r>
      <w:r w:rsidR="00C73E1A" w:rsidRPr="00574B7C">
        <w:rPr>
          <w:rFonts w:asciiTheme="majorHAnsi" w:hAnsiTheme="majorHAnsi"/>
          <w:bCs/>
          <w:sz w:val="20"/>
          <w:szCs w:val="20"/>
          <w:lang w:val="es-UY"/>
        </w:rPr>
        <w:t xml:space="preserve">artículos 5 (integridad personal), </w:t>
      </w:r>
      <w:r w:rsidR="00C73E1A">
        <w:rPr>
          <w:rFonts w:asciiTheme="majorHAnsi" w:hAnsiTheme="majorHAnsi"/>
          <w:bCs/>
          <w:sz w:val="20"/>
          <w:szCs w:val="20"/>
          <w:lang w:val="es-UY"/>
        </w:rPr>
        <w:t xml:space="preserve">7 (libertad personal), </w:t>
      </w:r>
      <w:r w:rsidR="00C73E1A" w:rsidRPr="00574B7C">
        <w:rPr>
          <w:rFonts w:asciiTheme="majorHAnsi" w:hAnsiTheme="majorHAnsi"/>
          <w:bCs/>
          <w:sz w:val="20"/>
          <w:szCs w:val="20"/>
          <w:lang w:val="es-UY"/>
        </w:rPr>
        <w:t>8</w:t>
      </w:r>
      <w:r w:rsidR="00C73E1A">
        <w:rPr>
          <w:rFonts w:asciiTheme="majorHAnsi" w:hAnsiTheme="majorHAnsi"/>
          <w:bCs/>
          <w:sz w:val="20"/>
          <w:szCs w:val="20"/>
          <w:lang w:val="es-UY"/>
        </w:rPr>
        <w:t xml:space="preserve"> </w:t>
      </w:r>
      <w:r w:rsidR="00C73E1A" w:rsidRPr="00574B7C">
        <w:rPr>
          <w:rFonts w:asciiTheme="majorHAnsi" w:hAnsiTheme="majorHAnsi"/>
          <w:bCs/>
          <w:sz w:val="20"/>
          <w:szCs w:val="20"/>
          <w:lang w:val="es-UY"/>
        </w:rPr>
        <w:t>(garantías judiciales)</w:t>
      </w:r>
      <w:r w:rsidR="00C73E1A">
        <w:rPr>
          <w:rFonts w:asciiTheme="majorHAnsi" w:hAnsiTheme="majorHAnsi"/>
          <w:bCs/>
          <w:sz w:val="20"/>
          <w:szCs w:val="20"/>
          <w:lang w:val="es-UY"/>
        </w:rPr>
        <w:t>, 22 (derecho de circulación y residencia), 21 (propiedad privada), 24 (igualdad ante la ley)</w:t>
      </w:r>
      <w:r w:rsidR="00C73E1A" w:rsidRPr="00574B7C">
        <w:rPr>
          <w:rFonts w:asciiTheme="majorHAnsi" w:hAnsiTheme="majorHAnsi"/>
          <w:bCs/>
          <w:sz w:val="20"/>
          <w:szCs w:val="20"/>
          <w:lang w:val="es-UY"/>
        </w:rPr>
        <w:t xml:space="preserve"> y 25 (protección judicial) de la Convención</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14:paraId="570DA61C" w14:textId="598EB347" w:rsidR="000419AD" w:rsidRDefault="000419AD" w:rsidP="00C73E1A">
      <w:pPr>
        <w:pStyle w:val="ListParagraph"/>
        <w:numPr>
          <w:ilvl w:val="0"/>
          <w:numId w:val="55"/>
        </w:numPr>
        <w:jc w:val="both"/>
        <w:rPr>
          <w:rFonts w:eastAsia="Arial Unicode MS" w:cs="Times New Roman"/>
          <w:color w:val="auto"/>
          <w:sz w:val="20"/>
          <w:szCs w:val="20"/>
          <w:lang w:val="es-ES" w:eastAsia="en-US"/>
        </w:rPr>
      </w:pPr>
      <w:r w:rsidRPr="00895FD1">
        <w:rPr>
          <w:rFonts w:eastAsia="Arial Unicode MS" w:cs="Times New Roman"/>
          <w:color w:val="auto"/>
          <w:sz w:val="20"/>
          <w:szCs w:val="20"/>
          <w:lang w:val="es-ES" w:eastAsia="en-US"/>
        </w:rPr>
        <w:t xml:space="preserve">Declarar inadmisible la </w:t>
      </w:r>
      <w:r w:rsidRPr="000419AD">
        <w:rPr>
          <w:rFonts w:eastAsia="Arial Unicode MS" w:cs="Times New Roman"/>
          <w:color w:val="auto"/>
          <w:sz w:val="20"/>
          <w:szCs w:val="20"/>
          <w:lang w:val="es-ES" w:eastAsia="en-US"/>
        </w:rPr>
        <w:t xml:space="preserve">presente petición en relación </w:t>
      </w:r>
      <w:r w:rsidR="00C73E1A">
        <w:rPr>
          <w:rFonts w:eastAsia="Arial Unicode MS" w:cs="Times New Roman"/>
          <w:color w:val="auto"/>
          <w:sz w:val="20"/>
          <w:szCs w:val="20"/>
          <w:lang w:val="es-ES" w:eastAsia="en-US"/>
        </w:rPr>
        <w:t xml:space="preserve">con los </w:t>
      </w:r>
      <w:r w:rsidR="00C73E1A">
        <w:rPr>
          <w:bCs/>
          <w:sz w:val="20"/>
          <w:szCs w:val="20"/>
          <w:lang w:val="es-ES"/>
        </w:rPr>
        <w:t>artículos 4 (derecho a la vida)10 (derecho a indemnización), 11 (protección de la honra y de la dignidad) y 17 (protección a la familia), de la Convención</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7CD4DFBD" w14:textId="7E7A3E58" w:rsidR="003239B8" w:rsidRDefault="004A6A54" w:rsidP="00C73E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3F73718" w14:textId="25E69F45" w:rsidR="00187BC4" w:rsidRPr="00407104" w:rsidRDefault="00187BC4" w:rsidP="00187BC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t>Aprobado por la Comisión Interamericana de Derechos Humanos a los 7 días del mes de junio de 2023.  (Firmado): Esmeralda Arosemena de Troitiño, Primer</w:t>
      </w:r>
      <w:r w:rsidR="00D11635">
        <w:rPr>
          <w:rStyle w:val="normaltextrun"/>
          <w:rFonts w:ascii="Cambria" w:eastAsia="Trebuchet MS" w:hAnsi="Cambria" w:cs="Segoe UI"/>
          <w:sz w:val="20"/>
          <w:szCs w:val="20"/>
          <w:lang w:val="es-CL"/>
        </w:rPr>
        <w:t>a</w:t>
      </w:r>
      <w:r>
        <w:rPr>
          <w:rStyle w:val="normaltextrun"/>
          <w:rFonts w:ascii="Cambria" w:eastAsia="Trebuchet MS" w:hAnsi="Cambria" w:cs="Segoe UI"/>
          <w:sz w:val="20"/>
          <w:szCs w:val="20"/>
          <w:lang w:val="es-CL"/>
        </w:rPr>
        <w:t xml:space="preserve"> Vicepresident</w:t>
      </w:r>
      <w:r w:rsidR="00D11635">
        <w:rPr>
          <w:rStyle w:val="normaltextrun"/>
          <w:rFonts w:ascii="Cambria" w:eastAsia="Trebuchet MS" w:hAnsi="Cambria" w:cs="Segoe UI"/>
          <w:sz w:val="20"/>
          <w:szCs w:val="20"/>
          <w:lang w:val="es-CL"/>
        </w:rPr>
        <w:t>a</w:t>
      </w:r>
      <w:r>
        <w:rPr>
          <w:rStyle w:val="normaltextrun"/>
          <w:rFonts w:ascii="Cambria" w:eastAsia="Trebuchet MS" w:hAnsi="Cambria" w:cs="Segoe UI"/>
          <w:sz w:val="20"/>
          <w:szCs w:val="20"/>
          <w:lang w:val="es-CL"/>
        </w:rPr>
        <w:t xml:space="preserve">; Joel Hernández García, Julissa Mantilla Falcón y Stuardo Ralón Orellana, </w:t>
      </w:r>
      <w:r w:rsidR="00D11635">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p w14:paraId="517C6A29" w14:textId="43D5F322" w:rsidR="00895FD1" w:rsidRDefault="00187BC4"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r w:rsidRPr="00407104">
        <w:rPr>
          <w:rStyle w:val="eop"/>
          <w:rFonts w:ascii="Cambria" w:eastAsia="Trebuchet MS" w:hAnsi="Cambria" w:cs="Segoe UI"/>
          <w:sz w:val="20"/>
          <w:szCs w:val="20"/>
          <w:lang w:val="es-ES"/>
        </w:rPr>
        <w:t> </w:t>
      </w:r>
    </w:p>
    <w:p w14:paraId="1ED3BF61" w14:textId="77777777" w:rsidR="00D11635" w:rsidRDefault="00D11635"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0C7A8725" w14:textId="77777777" w:rsidR="00D11635" w:rsidRDefault="00D11635"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211D0B75" w14:textId="77777777" w:rsidR="00D11635" w:rsidRDefault="00D11635"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1CB0893F" w14:textId="77777777" w:rsidR="00D11635" w:rsidRDefault="00D11635"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52D331B1" w14:textId="77777777" w:rsidR="00D11635" w:rsidRDefault="00D11635"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538A4525" w14:textId="77777777" w:rsidR="00D11635" w:rsidRDefault="00D11635"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544DEDEE" w14:textId="77777777" w:rsidR="00D11635" w:rsidRDefault="00D11635"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3C195D67" w14:textId="77777777" w:rsidR="00D11635" w:rsidRDefault="00D11635"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739E0175" w14:textId="77777777" w:rsidR="00D11635" w:rsidRDefault="00D11635"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274FC421" w14:textId="77777777" w:rsidR="00D11635" w:rsidRDefault="00D11635"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0CED154F" w14:textId="77777777" w:rsidR="00D11635" w:rsidRDefault="00D11635" w:rsidP="00D11635">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740E6D43" w14:textId="77777777" w:rsidR="00D11635" w:rsidRPr="00D11635" w:rsidRDefault="00D11635" w:rsidP="00D11635">
      <w:pPr>
        <w:pStyle w:val="paragraph"/>
        <w:spacing w:before="0" w:beforeAutospacing="0" w:after="0" w:afterAutospacing="0"/>
        <w:ind w:firstLine="720"/>
        <w:jc w:val="both"/>
        <w:textAlignment w:val="baseline"/>
        <w:rPr>
          <w:rFonts w:ascii="Segoe UI" w:hAnsi="Segoe UI" w:cs="Segoe UI"/>
          <w:sz w:val="18"/>
          <w:szCs w:val="18"/>
          <w:lang w:val="es-ES"/>
        </w:rPr>
      </w:pPr>
    </w:p>
    <w:p w14:paraId="457FFFB9" w14:textId="77777777" w:rsidR="00895FD1" w:rsidRPr="00C73E1A" w:rsidRDefault="00895FD1" w:rsidP="00895F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6AC80CA6" w14:textId="7CD0FEB2" w:rsidR="00722C9F" w:rsidRDefault="00BA1490" w:rsidP="00BA1490">
      <w:pPr>
        <w:jc w:val="center"/>
        <w:rPr>
          <w:rFonts w:asciiTheme="majorHAnsi" w:hAnsiTheme="majorHAnsi"/>
          <w:b/>
          <w:bCs/>
          <w:sz w:val="20"/>
          <w:szCs w:val="20"/>
          <w:u w:val="single"/>
          <w:lang w:val="es-ES"/>
        </w:rPr>
      </w:pPr>
      <w:r w:rsidRPr="00BA1490">
        <w:rPr>
          <w:rFonts w:asciiTheme="majorHAnsi" w:hAnsiTheme="majorHAnsi"/>
          <w:b/>
          <w:bCs/>
          <w:sz w:val="20"/>
          <w:szCs w:val="20"/>
          <w:u w:val="single"/>
          <w:lang w:val="es-ES"/>
        </w:rPr>
        <w:lastRenderedPageBreak/>
        <w:t>Anexo 1: Listado de presuntas víctimas y familiares</w:t>
      </w:r>
    </w:p>
    <w:p w14:paraId="78C7FCC1" w14:textId="2B386F53" w:rsidR="00BA1490" w:rsidRDefault="00BA1490" w:rsidP="00BA1490">
      <w:pPr>
        <w:rPr>
          <w:rFonts w:asciiTheme="majorHAnsi" w:hAnsiTheme="majorHAnsi"/>
          <w:b/>
          <w:bCs/>
          <w:sz w:val="20"/>
          <w:szCs w:val="20"/>
          <w:u w:val="single"/>
          <w:lang w:val="es-ES"/>
        </w:rPr>
      </w:pPr>
    </w:p>
    <w:p w14:paraId="2F139CB1" w14:textId="35B69CEA" w:rsidR="00BA1490" w:rsidRDefault="00BA1490" w:rsidP="00DE6885">
      <w:pPr>
        <w:pStyle w:val="ListParagraph"/>
        <w:numPr>
          <w:ilvl w:val="0"/>
          <w:numId w:val="57"/>
        </w:numPr>
        <w:rPr>
          <w:rFonts w:cs="Calibri"/>
          <w:sz w:val="20"/>
          <w:szCs w:val="20"/>
          <w:lang w:val="es-ES"/>
        </w:rPr>
      </w:pPr>
      <w:r w:rsidRPr="00BA1490">
        <w:rPr>
          <w:rFonts w:cs="Calibri"/>
          <w:sz w:val="20"/>
          <w:szCs w:val="20"/>
          <w:lang w:val="es-ES"/>
        </w:rPr>
        <w:t>Mil</w:t>
      </w:r>
      <w:r w:rsidR="00214258">
        <w:rPr>
          <w:rFonts w:cs="Calibri"/>
          <w:sz w:val="20"/>
          <w:szCs w:val="20"/>
          <w:lang w:val="es-ES"/>
        </w:rPr>
        <w:t>l</w:t>
      </w:r>
      <w:r w:rsidRPr="00BA1490">
        <w:rPr>
          <w:rFonts w:cs="Calibri"/>
          <w:sz w:val="20"/>
          <w:szCs w:val="20"/>
          <w:lang w:val="es-ES"/>
        </w:rPr>
        <w:t>er Andrés Rodríguez Ortiz</w:t>
      </w:r>
    </w:p>
    <w:p w14:paraId="0911F512" w14:textId="4A9FBC9E" w:rsidR="00BA1490" w:rsidRDefault="00BA1490" w:rsidP="00DE6885">
      <w:pPr>
        <w:pStyle w:val="ListParagraph"/>
        <w:numPr>
          <w:ilvl w:val="1"/>
          <w:numId w:val="57"/>
        </w:numPr>
        <w:rPr>
          <w:rFonts w:cs="Calibri"/>
          <w:sz w:val="20"/>
          <w:szCs w:val="20"/>
          <w:lang w:val="es-ES"/>
        </w:rPr>
      </w:pPr>
      <w:r>
        <w:rPr>
          <w:rFonts w:cs="Calibri"/>
          <w:sz w:val="20"/>
          <w:szCs w:val="20"/>
          <w:lang w:val="es-ES"/>
        </w:rPr>
        <w:t>Elvia Ortiz (madre)</w:t>
      </w:r>
    </w:p>
    <w:p w14:paraId="6D13DF00" w14:textId="1576B748" w:rsidR="00BA1490" w:rsidRDefault="00BA1490" w:rsidP="00DE6885">
      <w:pPr>
        <w:pStyle w:val="ListParagraph"/>
        <w:numPr>
          <w:ilvl w:val="1"/>
          <w:numId w:val="57"/>
        </w:numPr>
        <w:rPr>
          <w:rFonts w:cs="Calibri"/>
          <w:sz w:val="20"/>
          <w:szCs w:val="20"/>
          <w:lang w:val="es-ES"/>
        </w:rPr>
      </w:pPr>
      <w:r>
        <w:rPr>
          <w:rFonts w:cs="Calibri"/>
          <w:sz w:val="20"/>
          <w:szCs w:val="20"/>
          <w:lang w:val="es-ES"/>
        </w:rPr>
        <w:t>Emira Rodríguez Ortiz (hermana)</w:t>
      </w:r>
    </w:p>
    <w:p w14:paraId="0661FA82" w14:textId="5B1BC2BB" w:rsidR="00BA1490" w:rsidRDefault="00BA1490" w:rsidP="00DE6885">
      <w:pPr>
        <w:pStyle w:val="ListParagraph"/>
        <w:numPr>
          <w:ilvl w:val="1"/>
          <w:numId w:val="57"/>
        </w:numPr>
        <w:rPr>
          <w:rFonts w:cs="Calibri"/>
          <w:sz w:val="20"/>
          <w:szCs w:val="20"/>
          <w:lang w:val="es-ES"/>
        </w:rPr>
      </w:pPr>
      <w:r>
        <w:rPr>
          <w:rFonts w:cs="Calibri"/>
          <w:sz w:val="20"/>
          <w:szCs w:val="20"/>
          <w:lang w:val="es-ES"/>
        </w:rPr>
        <w:t>Gerlenis Rodríguez Ortiz (hermana)</w:t>
      </w:r>
    </w:p>
    <w:p w14:paraId="530A7053" w14:textId="62EE57CC" w:rsidR="00BA1490" w:rsidRDefault="00BA1490" w:rsidP="00DE6885">
      <w:pPr>
        <w:pStyle w:val="ListParagraph"/>
        <w:numPr>
          <w:ilvl w:val="1"/>
          <w:numId w:val="57"/>
        </w:numPr>
        <w:rPr>
          <w:rFonts w:cs="Calibri"/>
          <w:sz w:val="20"/>
          <w:szCs w:val="20"/>
          <w:lang w:val="es-US"/>
        </w:rPr>
      </w:pPr>
      <w:r w:rsidRPr="00BA1490">
        <w:rPr>
          <w:rFonts w:cs="Calibri"/>
          <w:sz w:val="20"/>
          <w:szCs w:val="20"/>
          <w:lang w:val="es-US"/>
        </w:rPr>
        <w:t>Maby Elvira Rodríguez Ortiz (her</w:t>
      </w:r>
      <w:r>
        <w:rPr>
          <w:rFonts w:cs="Calibri"/>
          <w:sz w:val="20"/>
          <w:szCs w:val="20"/>
          <w:lang w:val="es-US"/>
        </w:rPr>
        <w:t>mana)</w:t>
      </w:r>
    </w:p>
    <w:p w14:paraId="6CAB0BAB" w14:textId="71844527" w:rsidR="00BA1490" w:rsidRDefault="00BA1490" w:rsidP="00DE6885">
      <w:pPr>
        <w:pStyle w:val="ListParagraph"/>
        <w:numPr>
          <w:ilvl w:val="1"/>
          <w:numId w:val="57"/>
        </w:numPr>
        <w:rPr>
          <w:rFonts w:cs="Calibri"/>
          <w:sz w:val="20"/>
          <w:szCs w:val="20"/>
          <w:lang w:val="pt-BR"/>
        </w:rPr>
      </w:pPr>
      <w:r w:rsidRPr="00BA1490">
        <w:rPr>
          <w:rFonts w:cs="Calibri"/>
          <w:sz w:val="20"/>
          <w:szCs w:val="20"/>
          <w:lang w:val="pt-BR"/>
        </w:rPr>
        <w:t>Maria Dionela Valencia Ortiz (h</w:t>
      </w:r>
      <w:r>
        <w:rPr>
          <w:rFonts w:cs="Calibri"/>
          <w:sz w:val="20"/>
          <w:szCs w:val="20"/>
          <w:lang w:val="pt-BR"/>
        </w:rPr>
        <w:t>ermana)</w:t>
      </w:r>
    </w:p>
    <w:p w14:paraId="7A5DEBFD" w14:textId="1F0E31CE" w:rsidR="00BA1490" w:rsidRDefault="00BA1490" w:rsidP="00DE6885">
      <w:pPr>
        <w:pStyle w:val="ListParagraph"/>
        <w:numPr>
          <w:ilvl w:val="1"/>
          <w:numId w:val="57"/>
        </w:numPr>
        <w:rPr>
          <w:rFonts w:cs="Calibri"/>
          <w:sz w:val="20"/>
          <w:szCs w:val="20"/>
          <w:lang w:val="es-US"/>
        </w:rPr>
      </w:pPr>
      <w:r w:rsidRPr="00BA1490">
        <w:rPr>
          <w:rFonts w:cs="Calibri"/>
          <w:sz w:val="20"/>
          <w:szCs w:val="20"/>
          <w:lang w:val="es-US"/>
        </w:rPr>
        <w:t>Meily Amparo Valencia Ortiz (he</w:t>
      </w:r>
      <w:r>
        <w:rPr>
          <w:rFonts w:cs="Calibri"/>
          <w:sz w:val="20"/>
          <w:szCs w:val="20"/>
          <w:lang w:val="es-US"/>
        </w:rPr>
        <w:t>rmana)</w:t>
      </w:r>
    </w:p>
    <w:p w14:paraId="7E997E7A" w14:textId="1144086C" w:rsidR="00BA1490" w:rsidRDefault="00BA1490" w:rsidP="00DE6885">
      <w:pPr>
        <w:pStyle w:val="ListParagraph"/>
        <w:numPr>
          <w:ilvl w:val="1"/>
          <w:numId w:val="57"/>
        </w:numPr>
        <w:rPr>
          <w:rFonts w:cs="Calibri"/>
          <w:sz w:val="20"/>
          <w:szCs w:val="20"/>
          <w:lang w:val="es-US"/>
        </w:rPr>
      </w:pPr>
      <w:r>
        <w:rPr>
          <w:rFonts w:cs="Calibri"/>
          <w:sz w:val="20"/>
          <w:szCs w:val="20"/>
          <w:lang w:val="es-US"/>
        </w:rPr>
        <w:t>Rinson Valencia Ortiz (hermano)</w:t>
      </w:r>
    </w:p>
    <w:p w14:paraId="7A03C52A" w14:textId="4AC9104B" w:rsidR="00BA1490" w:rsidRDefault="00BA1490" w:rsidP="00DE6885">
      <w:pPr>
        <w:pStyle w:val="ListParagraph"/>
        <w:numPr>
          <w:ilvl w:val="1"/>
          <w:numId w:val="57"/>
        </w:numPr>
        <w:rPr>
          <w:rFonts w:cs="Calibri"/>
          <w:sz w:val="20"/>
          <w:szCs w:val="20"/>
          <w:lang w:val="pt-BR"/>
        </w:rPr>
      </w:pPr>
      <w:r w:rsidRPr="00BA1490">
        <w:rPr>
          <w:rFonts w:cs="Calibri"/>
          <w:sz w:val="20"/>
          <w:szCs w:val="20"/>
          <w:lang w:val="pt-BR"/>
        </w:rPr>
        <w:t>Oster Armando Valencia Ortiz (</w:t>
      </w:r>
      <w:r w:rsidR="00BD0005">
        <w:rPr>
          <w:rFonts w:cs="Calibri"/>
          <w:sz w:val="20"/>
          <w:szCs w:val="20"/>
          <w:lang w:val="pt-BR"/>
        </w:rPr>
        <w:t>hermano)</w:t>
      </w:r>
    </w:p>
    <w:p w14:paraId="1E82E464" w14:textId="77777777" w:rsidR="00BD0005" w:rsidRPr="00BD0005" w:rsidRDefault="00BD0005" w:rsidP="00BD0005">
      <w:pPr>
        <w:rPr>
          <w:rFonts w:cs="Calibri"/>
          <w:sz w:val="20"/>
          <w:szCs w:val="20"/>
          <w:lang w:val="pt-BR"/>
        </w:rPr>
      </w:pPr>
    </w:p>
    <w:p w14:paraId="5629926C" w14:textId="75E86425" w:rsidR="00BA1490" w:rsidRDefault="00BA1490" w:rsidP="00DE6885">
      <w:pPr>
        <w:pStyle w:val="ListParagraph"/>
        <w:numPr>
          <w:ilvl w:val="0"/>
          <w:numId w:val="57"/>
        </w:numPr>
        <w:rPr>
          <w:rFonts w:cs="Calibri"/>
          <w:sz w:val="20"/>
          <w:szCs w:val="20"/>
          <w:lang w:val="pt-BR"/>
        </w:rPr>
      </w:pPr>
      <w:r>
        <w:rPr>
          <w:rFonts w:cs="Calibri"/>
          <w:sz w:val="20"/>
          <w:szCs w:val="20"/>
          <w:lang w:val="pt-BR"/>
        </w:rPr>
        <w:t>Arvey Congo Angulo</w:t>
      </w:r>
    </w:p>
    <w:p w14:paraId="70DD4522" w14:textId="77777777" w:rsidR="00BA1490" w:rsidRDefault="00BA1490" w:rsidP="00DE6885">
      <w:pPr>
        <w:pStyle w:val="ListParagraph"/>
        <w:numPr>
          <w:ilvl w:val="1"/>
          <w:numId w:val="57"/>
        </w:numPr>
        <w:rPr>
          <w:rFonts w:cs="Calibri"/>
          <w:sz w:val="20"/>
          <w:szCs w:val="20"/>
          <w:lang w:val="es-US"/>
        </w:rPr>
      </w:pPr>
      <w:r w:rsidRPr="00BA1490">
        <w:rPr>
          <w:rFonts w:cs="Calibri"/>
          <w:sz w:val="20"/>
          <w:szCs w:val="20"/>
          <w:lang w:val="es-US"/>
        </w:rPr>
        <w:t>Jefry Andrés Congo García (hijo</w:t>
      </w:r>
      <w:r>
        <w:rPr>
          <w:rFonts w:cs="Calibri"/>
          <w:sz w:val="20"/>
          <w:szCs w:val="20"/>
          <w:lang w:val="es-US"/>
        </w:rPr>
        <w:t>)</w:t>
      </w:r>
    </w:p>
    <w:p w14:paraId="73B22727" w14:textId="1148021E" w:rsidR="00BA1490" w:rsidRDefault="00BA1490" w:rsidP="00DE6885">
      <w:pPr>
        <w:pStyle w:val="ListParagraph"/>
        <w:numPr>
          <w:ilvl w:val="1"/>
          <w:numId w:val="57"/>
        </w:numPr>
        <w:rPr>
          <w:rFonts w:cs="Calibri"/>
          <w:sz w:val="20"/>
          <w:szCs w:val="20"/>
          <w:lang w:val="es-US"/>
        </w:rPr>
      </w:pPr>
      <w:r>
        <w:rPr>
          <w:rFonts w:cs="Calibri"/>
          <w:sz w:val="20"/>
          <w:szCs w:val="20"/>
          <w:lang w:val="es-US"/>
        </w:rPr>
        <w:t>Martina Angulo Balanta (madre)</w:t>
      </w:r>
    </w:p>
    <w:p w14:paraId="128601CF" w14:textId="77777777" w:rsidR="00BD0005" w:rsidRPr="00BD0005" w:rsidRDefault="00BD0005" w:rsidP="00BD0005">
      <w:pPr>
        <w:rPr>
          <w:rFonts w:cs="Calibri"/>
          <w:sz w:val="20"/>
          <w:szCs w:val="20"/>
          <w:lang w:val="es-US"/>
        </w:rPr>
      </w:pPr>
    </w:p>
    <w:p w14:paraId="6F56D2AE" w14:textId="1F74D0A7" w:rsidR="00BA1490" w:rsidRDefault="00BA1490" w:rsidP="00DE6885">
      <w:pPr>
        <w:pStyle w:val="ListParagraph"/>
        <w:numPr>
          <w:ilvl w:val="0"/>
          <w:numId w:val="57"/>
        </w:numPr>
        <w:rPr>
          <w:rFonts w:cs="Calibri"/>
          <w:sz w:val="20"/>
          <w:szCs w:val="20"/>
          <w:lang w:val="pt-BR"/>
        </w:rPr>
      </w:pPr>
      <w:r>
        <w:rPr>
          <w:rFonts w:cs="Calibri"/>
          <w:sz w:val="20"/>
          <w:szCs w:val="20"/>
          <w:lang w:val="pt-BR"/>
        </w:rPr>
        <w:t>Moises Rodrigo Caballero Cardenas</w:t>
      </w:r>
    </w:p>
    <w:p w14:paraId="5F755C0D" w14:textId="485D9213" w:rsidR="00BA1490" w:rsidRDefault="00BA1490" w:rsidP="00DE6885">
      <w:pPr>
        <w:pStyle w:val="ListParagraph"/>
        <w:numPr>
          <w:ilvl w:val="1"/>
          <w:numId w:val="57"/>
        </w:numPr>
        <w:rPr>
          <w:rFonts w:cs="Calibri"/>
          <w:sz w:val="20"/>
          <w:szCs w:val="20"/>
          <w:lang w:val="pt-BR"/>
        </w:rPr>
      </w:pPr>
      <w:r>
        <w:rPr>
          <w:rFonts w:cs="Calibri"/>
          <w:sz w:val="20"/>
          <w:szCs w:val="20"/>
          <w:lang w:val="pt-BR"/>
        </w:rPr>
        <w:t>Evangelina Cardenas (madre)</w:t>
      </w:r>
    </w:p>
    <w:p w14:paraId="63EEA278" w14:textId="0D7EFF53" w:rsidR="00BA1490" w:rsidRDefault="00BA1490" w:rsidP="00DE6885">
      <w:pPr>
        <w:pStyle w:val="ListParagraph"/>
        <w:numPr>
          <w:ilvl w:val="1"/>
          <w:numId w:val="57"/>
        </w:numPr>
        <w:rPr>
          <w:rFonts w:cs="Calibri"/>
          <w:sz w:val="20"/>
          <w:szCs w:val="20"/>
          <w:lang w:val="pt-BR"/>
        </w:rPr>
      </w:pPr>
      <w:r>
        <w:rPr>
          <w:rFonts w:cs="Calibri"/>
          <w:sz w:val="20"/>
          <w:szCs w:val="20"/>
          <w:lang w:val="pt-BR"/>
        </w:rPr>
        <w:t>Elias Josue Caballero Cardenas (hermano)</w:t>
      </w:r>
    </w:p>
    <w:p w14:paraId="5C15DC6E" w14:textId="77CC9AD6" w:rsidR="00BA1490" w:rsidRDefault="00BA1490" w:rsidP="00DE6885">
      <w:pPr>
        <w:pStyle w:val="ListParagraph"/>
        <w:numPr>
          <w:ilvl w:val="1"/>
          <w:numId w:val="57"/>
        </w:numPr>
        <w:rPr>
          <w:rFonts w:cs="Calibri"/>
          <w:sz w:val="20"/>
          <w:szCs w:val="20"/>
          <w:lang w:val="pt-BR"/>
        </w:rPr>
      </w:pPr>
      <w:r>
        <w:rPr>
          <w:rFonts w:cs="Calibri"/>
          <w:sz w:val="20"/>
          <w:szCs w:val="20"/>
          <w:lang w:val="pt-BR"/>
        </w:rPr>
        <w:t>Angel Isidro Caballero Cardenas (hermano)</w:t>
      </w:r>
    </w:p>
    <w:p w14:paraId="7F5CFD7F" w14:textId="5F667F9F" w:rsidR="00BA1490" w:rsidRDefault="00BA1490" w:rsidP="00DE6885">
      <w:pPr>
        <w:pStyle w:val="ListParagraph"/>
        <w:numPr>
          <w:ilvl w:val="1"/>
          <w:numId w:val="57"/>
        </w:numPr>
        <w:rPr>
          <w:rFonts w:cs="Calibri"/>
          <w:sz w:val="20"/>
          <w:szCs w:val="20"/>
          <w:lang w:val="pt-BR"/>
        </w:rPr>
      </w:pPr>
      <w:r>
        <w:rPr>
          <w:rFonts w:cs="Calibri"/>
          <w:sz w:val="20"/>
          <w:szCs w:val="20"/>
          <w:lang w:val="pt-BR"/>
        </w:rPr>
        <w:t>Jesús Ei Nazareno Caballero Cárdenas (hermano)</w:t>
      </w:r>
    </w:p>
    <w:p w14:paraId="7A3ADC36" w14:textId="5BAEC3BA" w:rsidR="00BA1490" w:rsidRDefault="00BA1490" w:rsidP="00DE6885">
      <w:pPr>
        <w:pStyle w:val="ListParagraph"/>
        <w:numPr>
          <w:ilvl w:val="1"/>
          <w:numId w:val="57"/>
        </w:numPr>
        <w:rPr>
          <w:rFonts w:cs="Calibri"/>
          <w:sz w:val="20"/>
          <w:szCs w:val="20"/>
          <w:lang w:val="es-US"/>
        </w:rPr>
      </w:pPr>
      <w:r w:rsidRPr="00BA1490">
        <w:rPr>
          <w:rFonts w:cs="Calibri"/>
          <w:sz w:val="20"/>
          <w:szCs w:val="20"/>
          <w:lang w:val="es-US"/>
        </w:rPr>
        <w:t>Miguel Gabriel Caballero Cárdenas (herman</w:t>
      </w:r>
      <w:r>
        <w:rPr>
          <w:rFonts w:cs="Calibri"/>
          <w:sz w:val="20"/>
          <w:szCs w:val="20"/>
          <w:lang w:val="es-US"/>
        </w:rPr>
        <w:t>o)</w:t>
      </w:r>
    </w:p>
    <w:p w14:paraId="5A979760" w14:textId="31CF579C" w:rsidR="00BA1490" w:rsidRDefault="00BA1490" w:rsidP="00DE6885">
      <w:pPr>
        <w:pStyle w:val="ListParagraph"/>
        <w:numPr>
          <w:ilvl w:val="1"/>
          <w:numId w:val="57"/>
        </w:numPr>
        <w:rPr>
          <w:rFonts w:cs="Calibri"/>
          <w:sz w:val="20"/>
          <w:szCs w:val="20"/>
          <w:lang w:val="pt-BR"/>
        </w:rPr>
      </w:pPr>
      <w:r w:rsidRPr="00BA1490">
        <w:rPr>
          <w:rFonts w:cs="Calibri"/>
          <w:sz w:val="20"/>
          <w:szCs w:val="20"/>
          <w:lang w:val="pt-BR"/>
        </w:rPr>
        <w:t>José David Caballero Cárdenas (h</w:t>
      </w:r>
      <w:r>
        <w:rPr>
          <w:rFonts w:cs="Calibri"/>
          <w:sz w:val="20"/>
          <w:szCs w:val="20"/>
          <w:lang w:val="pt-BR"/>
        </w:rPr>
        <w:t>ermano)</w:t>
      </w:r>
    </w:p>
    <w:p w14:paraId="7A60BAE8" w14:textId="53DE6EB2" w:rsidR="00BA1490" w:rsidRDefault="00BA1490" w:rsidP="00DE6885">
      <w:pPr>
        <w:pStyle w:val="ListParagraph"/>
        <w:numPr>
          <w:ilvl w:val="1"/>
          <w:numId w:val="57"/>
        </w:numPr>
        <w:rPr>
          <w:rFonts w:cs="Calibri"/>
          <w:sz w:val="20"/>
          <w:szCs w:val="20"/>
          <w:lang w:val="es-US"/>
        </w:rPr>
      </w:pPr>
      <w:r w:rsidRPr="00BA1490">
        <w:rPr>
          <w:rFonts w:cs="Calibri"/>
          <w:sz w:val="20"/>
          <w:szCs w:val="20"/>
          <w:lang w:val="es-US"/>
        </w:rPr>
        <w:t>Juan Pablo Caballero Cárdenas (h</w:t>
      </w:r>
      <w:r>
        <w:rPr>
          <w:rFonts w:cs="Calibri"/>
          <w:sz w:val="20"/>
          <w:szCs w:val="20"/>
          <w:lang w:val="es-US"/>
        </w:rPr>
        <w:t>ermano)</w:t>
      </w:r>
    </w:p>
    <w:p w14:paraId="17498845" w14:textId="77609F6F" w:rsidR="00BA1490" w:rsidRDefault="00BA1490" w:rsidP="00DE6885">
      <w:pPr>
        <w:pStyle w:val="ListParagraph"/>
        <w:numPr>
          <w:ilvl w:val="1"/>
          <w:numId w:val="57"/>
        </w:numPr>
        <w:rPr>
          <w:rFonts w:cs="Calibri"/>
          <w:sz w:val="20"/>
          <w:szCs w:val="20"/>
          <w:lang w:val="es-US"/>
        </w:rPr>
      </w:pPr>
      <w:r>
        <w:rPr>
          <w:rFonts w:cs="Calibri"/>
          <w:sz w:val="20"/>
          <w:szCs w:val="20"/>
          <w:lang w:val="es-US"/>
        </w:rPr>
        <w:t>Lazaro De Dios Caballero Cárdenas (hermano)</w:t>
      </w:r>
    </w:p>
    <w:p w14:paraId="50D1533E" w14:textId="12754822" w:rsidR="00BA1490" w:rsidRDefault="00BA1490" w:rsidP="00DE6885">
      <w:pPr>
        <w:pStyle w:val="ListParagraph"/>
        <w:numPr>
          <w:ilvl w:val="1"/>
          <w:numId w:val="57"/>
        </w:numPr>
        <w:rPr>
          <w:rFonts w:cs="Calibri"/>
          <w:sz w:val="20"/>
          <w:szCs w:val="20"/>
          <w:lang w:val="pt-BR"/>
        </w:rPr>
      </w:pPr>
      <w:r w:rsidRPr="00BA1490">
        <w:rPr>
          <w:rFonts w:cs="Calibri"/>
          <w:sz w:val="20"/>
          <w:szCs w:val="20"/>
          <w:lang w:val="pt-BR"/>
        </w:rPr>
        <w:t>Eva Sandra Caballero Cárdenas (h</w:t>
      </w:r>
      <w:r>
        <w:rPr>
          <w:rFonts w:cs="Calibri"/>
          <w:sz w:val="20"/>
          <w:szCs w:val="20"/>
          <w:lang w:val="pt-BR"/>
        </w:rPr>
        <w:t>ermana)</w:t>
      </w:r>
    </w:p>
    <w:p w14:paraId="385D0849" w14:textId="77777777" w:rsidR="00BD0005" w:rsidRPr="00BD0005" w:rsidRDefault="00BD0005" w:rsidP="00BD0005">
      <w:pPr>
        <w:rPr>
          <w:rFonts w:cs="Calibri"/>
          <w:sz w:val="20"/>
          <w:szCs w:val="20"/>
          <w:lang w:val="pt-BR"/>
        </w:rPr>
      </w:pPr>
    </w:p>
    <w:p w14:paraId="1E51BADE" w14:textId="6FAEA410" w:rsidR="00BA1490" w:rsidRDefault="00BD0005" w:rsidP="00DE6885">
      <w:pPr>
        <w:pStyle w:val="ListParagraph"/>
        <w:numPr>
          <w:ilvl w:val="0"/>
          <w:numId w:val="57"/>
        </w:numPr>
        <w:rPr>
          <w:rFonts w:cs="Calibri"/>
          <w:sz w:val="20"/>
          <w:szCs w:val="20"/>
          <w:lang w:val="pt-BR"/>
        </w:rPr>
      </w:pPr>
      <w:r>
        <w:rPr>
          <w:rFonts w:cs="Calibri"/>
          <w:sz w:val="20"/>
          <w:szCs w:val="20"/>
          <w:lang w:val="pt-BR"/>
        </w:rPr>
        <w:t>Luis Alfonso Viveros Medina</w:t>
      </w:r>
    </w:p>
    <w:p w14:paraId="7C26A643" w14:textId="633075DD" w:rsidR="00BA1490" w:rsidRPr="00BD0005" w:rsidRDefault="00BD0005" w:rsidP="00DE6885">
      <w:pPr>
        <w:pStyle w:val="ListParagraph"/>
        <w:numPr>
          <w:ilvl w:val="1"/>
          <w:numId w:val="57"/>
        </w:numPr>
        <w:rPr>
          <w:rFonts w:cs="Calibri"/>
          <w:sz w:val="20"/>
          <w:szCs w:val="20"/>
          <w:lang w:val="pt-BR"/>
        </w:rPr>
      </w:pPr>
      <w:r>
        <w:rPr>
          <w:rFonts w:cs="Calibri"/>
          <w:sz w:val="20"/>
          <w:szCs w:val="20"/>
          <w:lang w:val="pt-BR"/>
        </w:rPr>
        <w:t>Sofia Medina Viveros (madre)</w:t>
      </w:r>
    </w:p>
    <w:p w14:paraId="6BEA90AE" w14:textId="77777777" w:rsidR="00BA1490" w:rsidRDefault="00BA1490" w:rsidP="00DE6885">
      <w:pPr>
        <w:pStyle w:val="ListParagraph"/>
        <w:numPr>
          <w:ilvl w:val="1"/>
          <w:numId w:val="57"/>
        </w:numPr>
        <w:rPr>
          <w:rFonts w:cs="Calibri"/>
          <w:sz w:val="20"/>
          <w:szCs w:val="20"/>
          <w:lang w:val="pt-BR"/>
        </w:rPr>
      </w:pPr>
      <w:r w:rsidRPr="00BA1490">
        <w:rPr>
          <w:rFonts w:cs="Calibri"/>
          <w:sz w:val="20"/>
          <w:szCs w:val="20"/>
          <w:lang w:val="pt-BR"/>
        </w:rPr>
        <w:t>Sandra Patricia Viveros Medina (h</w:t>
      </w:r>
      <w:r>
        <w:rPr>
          <w:rFonts w:cs="Calibri"/>
          <w:sz w:val="20"/>
          <w:szCs w:val="20"/>
          <w:lang w:val="pt-BR"/>
        </w:rPr>
        <w:t>ermana)</w:t>
      </w:r>
    </w:p>
    <w:p w14:paraId="20BD551B" w14:textId="77777777" w:rsidR="00BA1490" w:rsidRDefault="00BA1490" w:rsidP="00DE6885">
      <w:pPr>
        <w:pStyle w:val="ListParagraph"/>
        <w:numPr>
          <w:ilvl w:val="1"/>
          <w:numId w:val="57"/>
        </w:numPr>
        <w:rPr>
          <w:rFonts w:cs="Calibri"/>
          <w:sz w:val="20"/>
          <w:szCs w:val="20"/>
          <w:lang w:val="pt-BR"/>
        </w:rPr>
      </w:pPr>
      <w:r>
        <w:rPr>
          <w:rFonts w:cs="Calibri"/>
          <w:sz w:val="20"/>
          <w:szCs w:val="20"/>
          <w:lang w:val="pt-BR"/>
        </w:rPr>
        <w:t>Leidy Yohana Viveros Medina (hermana)</w:t>
      </w:r>
    </w:p>
    <w:p w14:paraId="1A76A3E2" w14:textId="77777777" w:rsidR="00BA1490" w:rsidRDefault="00BA1490" w:rsidP="00DE6885">
      <w:pPr>
        <w:pStyle w:val="ListParagraph"/>
        <w:numPr>
          <w:ilvl w:val="1"/>
          <w:numId w:val="57"/>
        </w:numPr>
        <w:rPr>
          <w:rFonts w:cs="Calibri"/>
          <w:sz w:val="20"/>
          <w:szCs w:val="20"/>
          <w:lang w:val="pt-BR"/>
        </w:rPr>
      </w:pPr>
      <w:r>
        <w:rPr>
          <w:rFonts w:cs="Calibri"/>
          <w:sz w:val="20"/>
          <w:szCs w:val="20"/>
          <w:lang w:val="pt-BR"/>
        </w:rPr>
        <w:t>Aleidys Viveros Medina (hermana)</w:t>
      </w:r>
    </w:p>
    <w:p w14:paraId="5479DBFC" w14:textId="77777777" w:rsidR="00BA1490" w:rsidRDefault="00BA1490" w:rsidP="00DE6885">
      <w:pPr>
        <w:pStyle w:val="ListParagraph"/>
        <w:numPr>
          <w:ilvl w:val="1"/>
          <w:numId w:val="57"/>
        </w:numPr>
        <w:rPr>
          <w:rFonts w:cs="Calibri"/>
          <w:sz w:val="20"/>
          <w:szCs w:val="20"/>
          <w:lang w:val="es-US"/>
        </w:rPr>
      </w:pPr>
      <w:r w:rsidRPr="00BA1490">
        <w:rPr>
          <w:rFonts w:cs="Calibri"/>
          <w:sz w:val="20"/>
          <w:szCs w:val="20"/>
          <w:lang w:val="es-US"/>
        </w:rPr>
        <w:t>Claudia Lida Rodallega Ramos (compañera permanen</w:t>
      </w:r>
      <w:r>
        <w:rPr>
          <w:rFonts w:cs="Calibri"/>
          <w:sz w:val="20"/>
          <w:szCs w:val="20"/>
          <w:lang w:val="es-US"/>
        </w:rPr>
        <w:t>te)</w:t>
      </w:r>
    </w:p>
    <w:p w14:paraId="61F925F1" w14:textId="77777777" w:rsidR="00BA1490" w:rsidRDefault="00BA1490" w:rsidP="00DE6885">
      <w:pPr>
        <w:pStyle w:val="ListParagraph"/>
        <w:numPr>
          <w:ilvl w:val="1"/>
          <w:numId w:val="57"/>
        </w:numPr>
        <w:rPr>
          <w:rFonts w:cs="Calibri"/>
          <w:sz w:val="20"/>
          <w:szCs w:val="20"/>
          <w:lang w:val="es-US"/>
        </w:rPr>
      </w:pPr>
      <w:r>
        <w:rPr>
          <w:rFonts w:cs="Calibri"/>
          <w:sz w:val="20"/>
          <w:szCs w:val="20"/>
          <w:lang w:val="es-US"/>
        </w:rPr>
        <w:t>Gina Pamela Viveros (hija)</w:t>
      </w:r>
    </w:p>
    <w:p w14:paraId="2E316EC3" w14:textId="77777777" w:rsidR="00BA1490" w:rsidRPr="00BA1490" w:rsidRDefault="00BA1490" w:rsidP="00DE6885">
      <w:pPr>
        <w:pStyle w:val="ListParagraph"/>
        <w:numPr>
          <w:ilvl w:val="1"/>
          <w:numId w:val="57"/>
        </w:numPr>
        <w:rPr>
          <w:rFonts w:cs="Calibri"/>
          <w:sz w:val="20"/>
          <w:szCs w:val="20"/>
          <w:lang w:val="es-US"/>
        </w:rPr>
      </w:pPr>
      <w:r>
        <w:rPr>
          <w:rFonts w:cs="Calibri"/>
          <w:sz w:val="20"/>
          <w:szCs w:val="20"/>
          <w:lang w:val="es-US"/>
        </w:rPr>
        <w:t>Elsy Viveros Medina (hermana)</w:t>
      </w:r>
    </w:p>
    <w:p w14:paraId="4371482C" w14:textId="77777777" w:rsidR="00BA1490" w:rsidRPr="00BD0005" w:rsidRDefault="00BA1490" w:rsidP="00BD0005">
      <w:pPr>
        <w:rPr>
          <w:rFonts w:cs="Calibri"/>
          <w:sz w:val="20"/>
          <w:szCs w:val="20"/>
          <w:lang w:val="pt-BR"/>
        </w:rPr>
      </w:pPr>
    </w:p>
    <w:p w14:paraId="52248635" w14:textId="79E292A7" w:rsidR="00BA1490" w:rsidRPr="00BD0005" w:rsidRDefault="00BA1490" w:rsidP="00DE6885">
      <w:pPr>
        <w:pStyle w:val="ListParagraph"/>
        <w:numPr>
          <w:ilvl w:val="0"/>
          <w:numId w:val="57"/>
        </w:numPr>
        <w:rPr>
          <w:rFonts w:cs="Calibri"/>
          <w:sz w:val="20"/>
          <w:szCs w:val="20"/>
          <w:lang w:val="pt-BR"/>
        </w:rPr>
      </w:pPr>
      <w:r w:rsidRPr="00BD0005">
        <w:rPr>
          <w:rFonts w:cs="Calibri"/>
          <w:sz w:val="20"/>
          <w:szCs w:val="20"/>
          <w:lang w:val="es-US"/>
        </w:rPr>
        <w:t xml:space="preserve">Nelson Andrés Rodríguez </w:t>
      </w:r>
      <w:r w:rsidR="00BD0005" w:rsidRPr="00BD0005">
        <w:rPr>
          <w:rFonts w:cs="Calibri"/>
          <w:sz w:val="20"/>
          <w:szCs w:val="20"/>
          <w:lang w:val="es-US"/>
        </w:rPr>
        <w:t>Zúñiga</w:t>
      </w:r>
    </w:p>
    <w:p w14:paraId="5E3A2085" w14:textId="69D291C4" w:rsidR="00BA1490" w:rsidRDefault="00BA1490" w:rsidP="00DE6885">
      <w:pPr>
        <w:pStyle w:val="ListParagraph"/>
        <w:numPr>
          <w:ilvl w:val="1"/>
          <w:numId w:val="57"/>
        </w:numPr>
        <w:rPr>
          <w:rFonts w:cs="Calibri"/>
          <w:sz w:val="20"/>
          <w:szCs w:val="20"/>
          <w:lang w:val="es-US"/>
        </w:rPr>
      </w:pPr>
      <w:r>
        <w:rPr>
          <w:rFonts w:cs="Calibri"/>
          <w:sz w:val="20"/>
          <w:szCs w:val="20"/>
          <w:lang w:val="es-US"/>
        </w:rPr>
        <w:t xml:space="preserve">María Irma Rodríguez de </w:t>
      </w:r>
      <w:r w:rsidR="00BD0005">
        <w:rPr>
          <w:rFonts w:cs="Calibri"/>
          <w:sz w:val="20"/>
          <w:szCs w:val="20"/>
          <w:lang w:val="es-US"/>
        </w:rPr>
        <w:t>Zúñiga</w:t>
      </w:r>
      <w:r>
        <w:rPr>
          <w:rFonts w:cs="Calibri"/>
          <w:sz w:val="20"/>
          <w:szCs w:val="20"/>
          <w:lang w:val="es-US"/>
        </w:rPr>
        <w:t xml:space="preserve"> (madre)</w:t>
      </w:r>
    </w:p>
    <w:p w14:paraId="06E6860D" w14:textId="7D01704F" w:rsidR="00BA1490" w:rsidRDefault="00BD0005" w:rsidP="00DE6885">
      <w:pPr>
        <w:pStyle w:val="ListParagraph"/>
        <w:numPr>
          <w:ilvl w:val="1"/>
          <w:numId w:val="57"/>
        </w:numPr>
        <w:rPr>
          <w:rFonts w:cs="Calibri"/>
          <w:sz w:val="20"/>
          <w:szCs w:val="20"/>
          <w:lang w:val="es-US"/>
        </w:rPr>
      </w:pPr>
      <w:r>
        <w:rPr>
          <w:rFonts w:cs="Calibri"/>
          <w:sz w:val="20"/>
          <w:szCs w:val="20"/>
          <w:lang w:val="es-US"/>
        </w:rPr>
        <w:t>Rubén</w:t>
      </w:r>
      <w:r w:rsidR="00BA1490">
        <w:rPr>
          <w:rFonts w:cs="Calibri"/>
          <w:sz w:val="20"/>
          <w:szCs w:val="20"/>
          <w:lang w:val="es-US"/>
        </w:rPr>
        <w:t xml:space="preserve"> Oswaldo </w:t>
      </w:r>
      <w:r>
        <w:rPr>
          <w:rFonts w:cs="Calibri"/>
          <w:sz w:val="20"/>
          <w:szCs w:val="20"/>
          <w:lang w:val="es-US"/>
        </w:rPr>
        <w:t>Zúñiga</w:t>
      </w:r>
      <w:r w:rsidR="00BA1490">
        <w:rPr>
          <w:rFonts w:cs="Calibri"/>
          <w:sz w:val="20"/>
          <w:szCs w:val="20"/>
          <w:lang w:val="es-US"/>
        </w:rPr>
        <w:t xml:space="preserve"> Rodríguez (hermano)</w:t>
      </w:r>
    </w:p>
    <w:p w14:paraId="1AB90D28" w14:textId="68E96C6F" w:rsidR="00BA1490" w:rsidRDefault="00BA1490" w:rsidP="00DE6885">
      <w:pPr>
        <w:pStyle w:val="ListParagraph"/>
        <w:numPr>
          <w:ilvl w:val="1"/>
          <w:numId w:val="57"/>
        </w:numPr>
        <w:rPr>
          <w:rFonts w:cs="Calibri"/>
          <w:sz w:val="20"/>
          <w:szCs w:val="20"/>
          <w:lang w:val="es-US"/>
        </w:rPr>
      </w:pPr>
      <w:r w:rsidRPr="00BA1490">
        <w:rPr>
          <w:rFonts w:cs="Calibri"/>
          <w:sz w:val="20"/>
          <w:szCs w:val="20"/>
          <w:lang w:val="es-US"/>
        </w:rPr>
        <w:t xml:space="preserve">Elsa </w:t>
      </w:r>
      <w:r w:rsidR="00BD0005" w:rsidRPr="00BA1490">
        <w:rPr>
          <w:rFonts w:cs="Calibri"/>
          <w:sz w:val="20"/>
          <w:szCs w:val="20"/>
          <w:lang w:val="es-US"/>
        </w:rPr>
        <w:t>Rocío</w:t>
      </w:r>
      <w:r w:rsidRPr="00BA1490">
        <w:rPr>
          <w:rFonts w:cs="Calibri"/>
          <w:sz w:val="20"/>
          <w:szCs w:val="20"/>
          <w:lang w:val="es-US"/>
        </w:rPr>
        <w:t xml:space="preserve"> </w:t>
      </w:r>
      <w:r w:rsidR="00BD0005" w:rsidRPr="00BA1490">
        <w:rPr>
          <w:rFonts w:cs="Calibri"/>
          <w:sz w:val="20"/>
          <w:szCs w:val="20"/>
          <w:lang w:val="es-US"/>
        </w:rPr>
        <w:t>Zúñiga</w:t>
      </w:r>
      <w:r w:rsidRPr="00BA1490">
        <w:rPr>
          <w:rFonts w:cs="Calibri"/>
          <w:sz w:val="20"/>
          <w:szCs w:val="20"/>
          <w:lang w:val="es-US"/>
        </w:rPr>
        <w:t xml:space="preserve"> Rodríguez (herm</w:t>
      </w:r>
      <w:r>
        <w:rPr>
          <w:rFonts w:cs="Calibri"/>
          <w:sz w:val="20"/>
          <w:szCs w:val="20"/>
          <w:lang w:val="es-US"/>
        </w:rPr>
        <w:t>ana)</w:t>
      </w:r>
    </w:p>
    <w:p w14:paraId="1E32920C" w14:textId="1F499CE1" w:rsidR="00BA1490" w:rsidRDefault="00BA1490" w:rsidP="00DE6885">
      <w:pPr>
        <w:pStyle w:val="ListParagraph"/>
        <w:numPr>
          <w:ilvl w:val="1"/>
          <w:numId w:val="57"/>
        </w:numPr>
        <w:rPr>
          <w:rFonts w:cs="Calibri"/>
          <w:sz w:val="20"/>
          <w:szCs w:val="20"/>
          <w:lang w:val="es-US"/>
        </w:rPr>
      </w:pPr>
      <w:r w:rsidRPr="00BA1490">
        <w:rPr>
          <w:rFonts w:cs="Calibri"/>
          <w:sz w:val="20"/>
          <w:szCs w:val="20"/>
          <w:lang w:val="es-US"/>
        </w:rPr>
        <w:t xml:space="preserve">Milta Honory </w:t>
      </w:r>
      <w:r w:rsidR="00BD0005" w:rsidRPr="00BA1490">
        <w:rPr>
          <w:rFonts w:cs="Calibri"/>
          <w:sz w:val="20"/>
          <w:szCs w:val="20"/>
          <w:lang w:val="es-US"/>
        </w:rPr>
        <w:t>Zúñiga</w:t>
      </w:r>
      <w:r w:rsidRPr="00BA1490">
        <w:rPr>
          <w:rFonts w:cs="Calibri"/>
          <w:sz w:val="20"/>
          <w:szCs w:val="20"/>
          <w:lang w:val="es-US"/>
        </w:rPr>
        <w:t xml:space="preserve"> Rodríguez (her</w:t>
      </w:r>
      <w:r>
        <w:rPr>
          <w:rFonts w:cs="Calibri"/>
          <w:sz w:val="20"/>
          <w:szCs w:val="20"/>
          <w:lang w:val="es-US"/>
        </w:rPr>
        <w:t>mana)</w:t>
      </w:r>
    </w:p>
    <w:p w14:paraId="2A782F87" w14:textId="2BD6EA23" w:rsidR="00BA1490" w:rsidRDefault="00BA1490" w:rsidP="00DE6885">
      <w:pPr>
        <w:pStyle w:val="ListParagraph"/>
        <w:numPr>
          <w:ilvl w:val="1"/>
          <w:numId w:val="57"/>
        </w:numPr>
        <w:rPr>
          <w:rFonts w:cs="Calibri"/>
          <w:sz w:val="20"/>
          <w:szCs w:val="20"/>
          <w:lang w:val="es-US"/>
        </w:rPr>
      </w:pPr>
      <w:r>
        <w:rPr>
          <w:rFonts w:cs="Calibri"/>
          <w:sz w:val="20"/>
          <w:szCs w:val="20"/>
          <w:lang w:val="es-US"/>
        </w:rPr>
        <w:t xml:space="preserve">Yeni Edilma </w:t>
      </w:r>
      <w:r w:rsidR="00BD0005">
        <w:rPr>
          <w:rFonts w:cs="Calibri"/>
          <w:sz w:val="20"/>
          <w:szCs w:val="20"/>
          <w:lang w:val="es-US"/>
        </w:rPr>
        <w:t>Zúñiga</w:t>
      </w:r>
      <w:r>
        <w:rPr>
          <w:rFonts w:cs="Calibri"/>
          <w:sz w:val="20"/>
          <w:szCs w:val="20"/>
          <w:lang w:val="es-US"/>
        </w:rPr>
        <w:t xml:space="preserve"> (hermana)</w:t>
      </w:r>
    </w:p>
    <w:p w14:paraId="4D5704A8" w14:textId="32D6B82E" w:rsidR="00BD0005" w:rsidRDefault="00BD0005" w:rsidP="00DE6885">
      <w:pPr>
        <w:pStyle w:val="ListParagraph"/>
        <w:numPr>
          <w:ilvl w:val="1"/>
          <w:numId w:val="57"/>
        </w:numPr>
        <w:rPr>
          <w:rFonts w:cs="Calibri"/>
          <w:sz w:val="20"/>
          <w:szCs w:val="20"/>
          <w:lang w:val="es-US"/>
        </w:rPr>
      </w:pPr>
      <w:r>
        <w:rPr>
          <w:rFonts w:cs="Calibri"/>
          <w:sz w:val="20"/>
          <w:szCs w:val="20"/>
          <w:lang w:val="es-US"/>
        </w:rPr>
        <w:t>Lorena Yazmin Campo Rodríguez</w:t>
      </w:r>
    </w:p>
    <w:p w14:paraId="72648790" w14:textId="77777777" w:rsidR="00C00443" w:rsidRPr="00C00443" w:rsidRDefault="00C00443" w:rsidP="00C00443">
      <w:pPr>
        <w:pStyle w:val="ListParagraph"/>
        <w:ind w:left="792"/>
        <w:rPr>
          <w:rFonts w:cs="Calibri"/>
          <w:sz w:val="20"/>
          <w:szCs w:val="20"/>
          <w:lang w:val="es-US"/>
        </w:rPr>
      </w:pPr>
    </w:p>
    <w:p w14:paraId="05B95298" w14:textId="49777297" w:rsidR="00BD0005" w:rsidRDefault="00BD0005" w:rsidP="00DE6885">
      <w:pPr>
        <w:pStyle w:val="ListParagraph"/>
        <w:numPr>
          <w:ilvl w:val="0"/>
          <w:numId w:val="57"/>
        </w:numPr>
        <w:rPr>
          <w:rFonts w:cs="Calibri"/>
          <w:sz w:val="20"/>
          <w:szCs w:val="20"/>
          <w:lang w:val="es-US"/>
        </w:rPr>
      </w:pPr>
      <w:r>
        <w:rPr>
          <w:rFonts w:cs="Calibri"/>
          <w:sz w:val="20"/>
          <w:szCs w:val="20"/>
          <w:lang w:val="es-US"/>
        </w:rPr>
        <w:t>Edgar Adolfo Mera Castillo</w:t>
      </w:r>
    </w:p>
    <w:p w14:paraId="0673E154" w14:textId="49E073D5" w:rsidR="00BD0005" w:rsidRDefault="00BD0005" w:rsidP="00DE6885">
      <w:pPr>
        <w:pStyle w:val="ListParagraph"/>
        <w:numPr>
          <w:ilvl w:val="1"/>
          <w:numId w:val="57"/>
        </w:numPr>
        <w:rPr>
          <w:rFonts w:cs="Calibri"/>
          <w:sz w:val="20"/>
          <w:szCs w:val="20"/>
          <w:lang w:val="es-US"/>
        </w:rPr>
      </w:pPr>
      <w:r>
        <w:rPr>
          <w:rFonts w:cs="Calibri"/>
          <w:sz w:val="20"/>
          <w:szCs w:val="20"/>
          <w:lang w:val="es-US"/>
        </w:rPr>
        <w:t>Ana Silvia Castillo de Mera (madre)</w:t>
      </w:r>
    </w:p>
    <w:p w14:paraId="42C89AFB" w14:textId="67474F16" w:rsidR="00BD0005" w:rsidRDefault="00BD0005" w:rsidP="00DE6885">
      <w:pPr>
        <w:pStyle w:val="ListParagraph"/>
        <w:numPr>
          <w:ilvl w:val="1"/>
          <w:numId w:val="57"/>
        </w:numPr>
        <w:rPr>
          <w:rFonts w:cs="Calibri"/>
          <w:sz w:val="20"/>
          <w:szCs w:val="20"/>
          <w:lang w:val="es-US"/>
        </w:rPr>
      </w:pPr>
      <w:r>
        <w:rPr>
          <w:rFonts w:cs="Calibri"/>
          <w:sz w:val="20"/>
          <w:szCs w:val="20"/>
          <w:lang w:val="es-US"/>
        </w:rPr>
        <w:t>Emma Cecilia Mera Castillo (hermana)</w:t>
      </w:r>
    </w:p>
    <w:p w14:paraId="46401396" w14:textId="35B1FBC0" w:rsidR="00BD0005" w:rsidRDefault="00BD0005" w:rsidP="00DE6885">
      <w:pPr>
        <w:pStyle w:val="ListParagraph"/>
        <w:numPr>
          <w:ilvl w:val="1"/>
          <w:numId w:val="57"/>
        </w:numPr>
        <w:rPr>
          <w:rFonts w:cs="Calibri"/>
          <w:sz w:val="20"/>
          <w:szCs w:val="20"/>
          <w:lang w:val="es-US"/>
        </w:rPr>
      </w:pPr>
      <w:r>
        <w:rPr>
          <w:rFonts w:cs="Calibri"/>
          <w:sz w:val="20"/>
          <w:szCs w:val="20"/>
          <w:lang w:val="es-US"/>
        </w:rPr>
        <w:t xml:space="preserve">Maria Esperanza Mera Castillo (hermana) </w:t>
      </w:r>
    </w:p>
    <w:p w14:paraId="0813B8CA" w14:textId="679A21B9" w:rsidR="00BD0005" w:rsidRDefault="00BD0005" w:rsidP="00DE6885">
      <w:pPr>
        <w:pStyle w:val="ListParagraph"/>
        <w:numPr>
          <w:ilvl w:val="1"/>
          <w:numId w:val="57"/>
        </w:numPr>
        <w:rPr>
          <w:rFonts w:cs="Calibri"/>
          <w:sz w:val="20"/>
          <w:szCs w:val="20"/>
          <w:lang w:val="es-US"/>
        </w:rPr>
      </w:pPr>
      <w:r>
        <w:rPr>
          <w:rFonts w:cs="Calibri"/>
          <w:sz w:val="20"/>
          <w:szCs w:val="20"/>
          <w:lang w:val="es-US"/>
        </w:rPr>
        <w:t>Fabio Ernesto Mera Castillo (hermano)</w:t>
      </w:r>
    </w:p>
    <w:p w14:paraId="1F0CAF25" w14:textId="0727FC41" w:rsidR="00BD0005" w:rsidRDefault="00BD0005" w:rsidP="00DE6885">
      <w:pPr>
        <w:pStyle w:val="ListParagraph"/>
        <w:numPr>
          <w:ilvl w:val="1"/>
          <w:numId w:val="57"/>
        </w:numPr>
        <w:rPr>
          <w:rFonts w:cs="Calibri"/>
          <w:sz w:val="20"/>
          <w:szCs w:val="20"/>
          <w:lang w:val="es-US"/>
        </w:rPr>
      </w:pPr>
      <w:r>
        <w:rPr>
          <w:rFonts w:cs="Calibri"/>
          <w:sz w:val="20"/>
          <w:szCs w:val="20"/>
          <w:lang w:val="es-US"/>
        </w:rPr>
        <w:t>Elizabeth Yovana Muñoz Mera (hermana)</w:t>
      </w:r>
    </w:p>
    <w:p w14:paraId="24050778" w14:textId="0BBAB9C6" w:rsidR="00BD0005" w:rsidRDefault="00BD0005" w:rsidP="00DE6885">
      <w:pPr>
        <w:pStyle w:val="ListParagraph"/>
        <w:numPr>
          <w:ilvl w:val="1"/>
          <w:numId w:val="57"/>
        </w:numPr>
        <w:rPr>
          <w:rFonts w:cs="Calibri"/>
          <w:sz w:val="20"/>
          <w:szCs w:val="20"/>
          <w:lang w:val="es-US"/>
        </w:rPr>
      </w:pPr>
      <w:r>
        <w:rPr>
          <w:rFonts w:cs="Calibri"/>
          <w:sz w:val="20"/>
          <w:szCs w:val="20"/>
          <w:lang w:val="es-US"/>
        </w:rPr>
        <w:t>Edwar Antonio Zalazar Mera (sobrino)</w:t>
      </w:r>
    </w:p>
    <w:p w14:paraId="15759947" w14:textId="5B86030C" w:rsidR="00BD0005" w:rsidRDefault="00BD0005" w:rsidP="00BD0005">
      <w:pPr>
        <w:pStyle w:val="ListParagraph"/>
        <w:ind w:left="792"/>
        <w:rPr>
          <w:rFonts w:cs="Calibri"/>
          <w:sz w:val="20"/>
          <w:szCs w:val="20"/>
          <w:lang w:val="es-US"/>
        </w:rPr>
      </w:pPr>
    </w:p>
    <w:p w14:paraId="6457402A" w14:textId="77777777" w:rsidR="00C00443" w:rsidRDefault="00C00443" w:rsidP="00DE6885">
      <w:pPr>
        <w:pStyle w:val="ListParagraph"/>
        <w:numPr>
          <w:ilvl w:val="0"/>
          <w:numId w:val="57"/>
        </w:numPr>
        <w:rPr>
          <w:rFonts w:cs="Calibri"/>
          <w:sz w:val="20"/>
          <w:szCs w:val="20"/>
          <w:lang w:val="es-US"/>
        </w:rPr>
      </w:pPr>
      <w:r>
        <w:rPr>
          <w:rFonts w:cs="Calibri"/>
          <w:sz w:val="20"/>
          <w:szCs w:val="20"/>
          <w:lang w:val="es-US"/>
        </w:rPr>
        <w:t>Jhon Jairo Gutiérrez Céspedes</w:t>
      </w:r>
    </w:p>
    <w:p w14:paraId="0245883E" w14:textId="54789372" w:rsidR="00C00443" w:rsidRPr="00BD0005" w:rsidRDefault="00C00443" w:rsidP="00DE6885">
      <w:pPr>
        <w:pStyle w:val="ListParagraph"/>
        <w:numPr>
          <w:ilvl w:val="1"/>
          <w:numId w:val="57"/>
        </w:numPr>
        <w:rPr>
          <w:rFonts w:cs="Calibri"/>
          <w:sz w:val="20"/>
          <w:szCs w:val="20"/>
          <w:lang w:val="es-US"/>
        </w:rPr>
      </w:pPr>
      <w:r w:rsidRPr="00BD0005">
        <w:rPr>
          <w:rFonts w:cs="Calibri"/>
          <w:sz w:val="20"/>
          <w:szCs w:val="20"/>
          <w:lang w:val="es-US"/>
        </w:rPr>
        <w:t>Heidy Tatiana Gutiérrez Castellanos (hij</w:t>
      </w:r>
      <w:r>
        <w:rPr>
          <w:rFonts w:cs="Calibri"/>
          <w:sz w:val="20"/>
          <w:szCs w:val="20"/>
          <w:lang w:val="es-US"/>
        </w:rPr>
        <w:t>a</w:t>
      </w:r>
      <w:r w:rsidR="00E505C0">
        <w:rPr>
          <w:rFonts w:cs="Calibri"/>
          <w:sz w:val="20"/>
          <w:szCs w:val="20"/>
          <w:lang w:val="es-US"/>
        </w:rPr>
        <w:t>)</w:t>
      </w:r>
    </w:p>
    <w:p w14:paraId="4088651A" w14:textId="77777777" w:rsidR="00C00443" w:rsidRPr="00BD0005" w:rsidRDefault="00C00443" w:rsidP="00DE6885">
      <w:pPr>
        <w:pStyle w:val="ListParagraph"/>
        <w:numPr>
          <w:ilvl w:val="1"/>
          <w:numId w:val="57"/>
        </w:numPr>
        <w:rPr>
          <w:rFonts w:cs="Calibri"/>
          <w:sz w:val="20"/>
          <w:szCs w:val="20"/>
          <w:lang w:val="pt-BR"/>
        </w:rPr>
      </w:pPr>
      <w:r w:rsidRPr="00BD0005">
        <w:rPr>
          <w:rFonts w:cs="Calibri"/>
          <w:sz w:val="20"/>
          <w:szCs w:val="20"/>
          <w:lang w:val="pt-BR"/>
        </w:rPr>
        <w:t>Ilda Flor Céspedes Ramírez (m</w:t>
      </w:r>
      <w:r>
        <w:rPr>
          <w:rFonts w:cs="Calibri"/>
          <w:sz w:val="20"/>
          <w:szCs w:val="20"/>
          <w:lang w:val="pt-BR"/>
        </w:rPr>
        <w:t>adre)</w:t>
      </w:r>
    </w:p>
    <w:p w14:paraId="4B9B613A" w14:textId="77777777" w:rsidR="00C00443" w:rsidRDefault="00C00443" w:rsidP="00DE6885">
      <w:pPr>
        <w:pStyle w:val="ListParagraph"/>
        <w:numPr>
          <w:ilvl w:val="1"/>
          <w:numId w:val="57"/>
        </w:numPr>
        <w:rPr>
          <w:rFonts w:cs="Calibri"/>
          <w:sz w:val="20"/>
          <w:szCs w:val="20"/>
          <w:lang w:val="es-US"/>
        </w:rPr>
      </w:pPr>
      <w:r>
        <w:rPr>
          <w:rFonts w:cs="Calibri"/>
          <w:sz w:val="20"/>
          <w:szCs w:val="20"/>
          <w:lang w:val="es-US"/>
        </w:rPr>
        <w:lastRenderedPageBreak/>
        <w:t>Enrique Céspedes (hermano)</w:t>
      </w:r>
    </w:p>
    <w:p w14:paraId="22EDC331" w14:textId="77777777" w:rsidR="00C00443" w:rsidRPr="00BD0005" w:rsidRDefault="00C00443" w:rsidP="00DE6885">
      <w:pPr>
        <w:pStyle w:val="ListParagraph"/>
        <w:numPr>
          <w:ilvl w:val="1"/>
          <w:numId w:val="57"/>
        </w:numPr>
        <w:rPr>
          <w:rFonts w:cs="Calibri"/>
          <w:sz w:val="20"/>
          <w:szCs w:val="20"/>
          <w:lang w:val="pt-BR"/>
        </w:rPr>
      </w:pPr>
      <w:r w:rsidRPr="00BD0005">
        <w:rPr>
          <w:rFonts w:cs="Calibri"/>
          <w:sz w:val="20"/>
          <w:szCs w:val="20"/>
          <w:lang w:val="pt-BR"/>
        </w:rPr>
        <w:t>Sandra Milena Gutiérrez Céspedes (</w:t>
      </w:r>
      <w:r>
        <w:rPr>
          <w:rFonts w:cs="Calibri"/>
          <w:sz w:val="20"/>
          <w:szCs w:val="20"/>
          <w:lang w:val="pt-BR"/>
        </w:rPr>
        <w:t>hermana)</w:t>
      </w:r>
    </w:p>
    <w:p w14:paraId="1665EF77" w14:textId="77777777" w:rsidR="00C00443" w:rsidRPr="00BD0005" w:rsidRDefault="00C00443" w:rsidP="00DE6885">
      <w:pPr>
        <w:pStyle w:val="ListParagraph"/>
        <w:numPr>
          <w:ilvl w:val="1"/>
          <w:numId w:val="57"/>
        </w:numPr>
        <w:rPr>
          <w:rFonts w:cs="Calibri"/>
          <w:sz w:val="20"/>
          <w:szCs w:val="20"/>
          <w:lang w:val="pt-BR"/>
        </w:rPr>
      </w:pPr>
      <w:r w:rsidRPr="00BD0005">
        <w:rPr>
          <w:rFonts w:cs="Calibri"/>
          <w:sz w:val="20"/>
          <w:szCs w:val="20"/>
          <w:lang w:val="pt-BR"/>
        </w:rPr>
        <w:t>Deissy Johana Gutiérrez Céspedes (h</w:t>
      </w:r>
      <w:r>
        <w:rPr>
          <w:rFonts w:cs="Calibri"/>
          <w:sz w:val="20"/>
          <w:szCs w:val="20"/>
          <w:lang w:val="pt-BR"/>
        </w:rPr>
        <w:t>ermana)</w:t>
      </w:r>
    </w:p>
    <w:p w14:paraId="5FA078B4" w14:textId="77777777" w:rsidR="00C00443" w:rsidRDefault="00C00443" w:rsidP="00DE6885">
      <w:pPr>
        <w:pStyle w:val="ListParagraph"/>
        <w:numPr>
          <w:ilvl w:val="1"/>
          <w:numId w:val="57"/>
        </w:numPr>
        <w:rPr>
          <w:rFonts w:cs="Calibri"/>
          <w:sz w:val="20"/>
          <w:szCs w:val="20"/>
          <w:lang w:val="es-US"/>
        </w:rPr>
      </w:pPr>
      <w:r w:rsidRPr="00BD0005">
        <w:rPr>
          <w:rFonts w:cs="Calibri"/>
          <w:sz w:val="20"/>
          <w:szCs w:val="20"/>
          <w:lang w:val="es-US"/>
        </w:rPr>
        <w:t>Cuelo Rocío Gutiérrez Céspedes (herm</w:t>
      </w:r>
      <w:r>
        <w:rPr>
          <w:rFonts w:cs="Calibri"/>
          <w:sz w:val="20"/>
          <w:szCs w:val="20"/>
          <w:lang w:val="es-US"/>
        </w:rPr>
        <w:t>ana)</w:t>
      </w:r>
    </w:p>
    <w:p w14:paraId="23DEFE97" w14:textId="77777777" w:rsidR="00BD0005" w:rsidRPr="00BA1490" w:rsidRDefault="00BD0005" w:rsidP="00BD0005">
      <w:pPr>
        <w:pStyle w:val="ListParagraph"/>
        <w:ind w:left="792"/>
        <w:rPr>
          <w:rFonts w:cs="Calibri"/>
          <w:sz w:val="20"/>
          <w:szCs w:val="20"/>
          <w:lang w:val="es-US"/>
        </w:rPr>
      </w:pPr>
    </w:p>
    <w:sectPr w:rsidR="00BD0005" w:rsidRPr="00BA149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8715" w14:textId="77777777" w:rsidR="0014750F" w:rsidRDefault="0014750F">
      <w:r>
        <w:separator/>
      </w:r>
    </w:p>
  </w:endnote>
  <w:endnote w:type="continuationSeparator" w:id="0">
    <w:p w14:paraId="60F5EEB1" w14:textId="77777777" w:rsidR="0014750F" w:rsidRDefault="0014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7977" w14:textId="77777777" w:rsidR="0014750F" w:rsidRPr="000F35ED" w:rsidRDefault="0014750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3FB8CE" w14:textId="77777777" w:rsidR="0014750F" w:rsidRPr="000F35ED" w:rsidRDefault="0014750F" w:rsidP="000F35ED">
      <w:pPr>
        <w:rPr>
          <w:rFonts w:asciiTheme="majorHAnsi" w:hAnsiTheme="majorHAnsi"/>
          <w:sz w:val="16"/>
          <w:szCs w:val="16"/>
        </w:rPr>
      </w:pPr>
      <w:r w:rsidRPr="000F35ED">
        <w:rPr>
          <w:rFonts w:asciiTheme="majorHAnsi" w:hAnsiTheme="majorHAnsi"/>
          <w:sz w:val="16"/>
          <w:szCs w:val="16"/>
        </w:rPr>
        <w:separator/>
      </w:r>
    </w:p>
    <w:p w14:paraId="2FA16C90" w14:textId="77777777" w:rsidR="0014750F" w:rsidRPr="000F35ED" w:rsidRDefault="0014750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4FE7E68" w14:textId="77777777" w:rsidR="0014750F" w:rsidRPr="000F35ED" w:rsidRDefault="0014750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EF83A1" w14:textId="6956D3AA" w:rsidR="00531ED3" w:rsidRPr="00531ED3" w:rsidRDefault="00531ED3" w:rsidP="00EB1A32">
      <w:pPr>
        <w:pStyle w:val="FootnoteText"/>
        <w:ind w:firstLine="720"/>
        <w:jc w:val="both"/>
        <w:rPr>
          <w:rFonts w:asciiTheme="majorHAnsi" w:hAnsiTheme="majorHAnsi"/>
          <w:sz w:val="16"/>
          <w:szCs w:val="16"/>
          <w:lang w:val="es-PE"/>
        </w:rPr>
      </w:pPr>
      <w:r w:rsidRPr="00531ED3">
        <w:rPr>
          <w:rStyle w:val="FootnoteReference"/>
          <w:rFonts w:asciiTheme="majorHAnsi" w:hAnsiTheme="majorHAnsi"/>
          <w:sz w:val="16"/>
          <w:szCs w:val="16"/>
        </w:rPr>
        <w:footnoteRef/>
      </w:r>
      <w:r w:rsidRPr="00531ED3">
        <w:rPr>
          <w:rFonts w:asciiTheme="majorHAnsi" w:hAnsiTheme="majorHAnsi"/>
          <w:sz w:val="16"/>
          <w:szCs w:val="16"/>
          <w:lang w:val="es-PE"/>
        </w:rPr>
        <w:t xml:space="preserve"> </w:t>
      </w:r>
      <w:r>
        <w:rPr>
          <w:rFonts w:asciiTheme="majorHAnsi" w:hAnsiTheme="majorHAnsi"/>
          <w:sz w:val="16"/>
          <w:szCs w:val="16"/>
          <w:lang w:val="es-PE"/>
        </w:rPr>
        <w:t xml:space="preserve">Las presuntas víctimas están detalladas en el Anexo 1 del presente documento. </w:t>
      </w:r>
    </w:p>
  </w:footnote>
  <w:footnote w:id="3">
    <w:p w14:paraId="221C6128" w14:textId="77777777" w:rsidR="002C7F2F" w:rsidRPr="00BD586A" w:rsidRDefault="002C7F2F" w:rsidP="00EB1A32">
      <w:pPr>
        <w:pStyle w:val="FootnoteText"/>
        <w:ind w:firstLine="720"/>
        <w:jc w:val="both"/>
        <w:rPr>
          <w:rFonts w:asciiTheme="majorHAnsi" w:hAnsiTheme="majorHAnsi"/>
          <w:sz w:val="16"/>
          <w:szCs w:val="16"/>
          <w:lang w:val="es-ES"/>
        </w:rPr>
      </w:pPr>
      <w:r w:rsidRPr="00531ED3">
        <w:rPr>
          <w:rStyle w:val="FootnoteReference"/>
          <w:rFonts w:asciiTheme="majorHAnsi" w:hAnsiTheme="majorHAnsi"/>
          <w:sz w:val="16"/>
          <w:szCs w:val="16"/>
        </w:rPr>
        <w:footnoteRef/>
      </w:r>
      <w:r w:rsidRPr="00531ED3">
        <w:rPr>
          <w:rFonts w:asciiTheme="majorHAnsi" w:hAnsiTheme="majorHAnsi"/>
          <w:sz w:val="16"/>
          <w:szCs w:val="16"/>
          <w:lang w:val="es-ES"/>
        </w:rPr>
        <w:t xml:space="preserve"> Conforme</w:t>
      </w:r>
      <w:r>
        <w:rPr>
          <w:rFonts w:asciiTheme="majorHAnsi" w:hAnsiTheme="majorHAnsi"/>
          <w:sz w:val="16"/>
          <w:szCs w:val="16"/>
          <w:lang w:val="es-ES"/>
        </w:rPr>
        <w:t xml:space="preserve"> a lo dispuesto en el artículo 17.2.a del Reglamento de la Comisión, el Comisionado Carlos Bernal Pulido, de nacionalidad colombiana, no participó en el debate ni en la decisión del </w:t>
      </w:r>
      <w:r w:rsidRPr="00BD586A">
        <w:rPr>
          <w:rFonts w:asciiTheme="majorHAnsi" w:hAnsiTheme="majorHAnsi"/>
          <w:sz w:val="16"/>
          <w:szCs w:val="16"/>
          <w:lang w:val="es-ES"/>
        </w:rPr>
        <w:t>presente asunto.</w:t>
      </w:r>
    </w:p>
  </w:footnote>
  <w:footnote w:id="4">
    <w:p w14:paraId="6FEA0E58" w14:textId="672DA4E0" w:rsidR="00BD586A" w:rsidRPr="00BD586A" w:rsidRDefault="00BD586A" w:rsidP="00EB1A32">
      <w:pPr>
        <w:pStyle w:val="FootnoteText"/>
        <w:ind w:firstLine="720"/>
        <w:jc w:val="both"/>
        <w:rPr>
          <w:lang w:val="es-US"/>
        </w:rPr>
      </w:pPr>
      <w:r w:rsidRPr="00BD586A">
        <w:rPr>
          <w:rStyle w:val="FootnoteReference"/>
          <w:rFonts w:asciiTheme="majorHAnsi" w:hAnsiTheme="majorHAnsi"/>
          <w:sz w:val="16"/>
          <w:szCs w:val="16"/>
        </w:rPr>
        <w:footnoteRef/>
      </w:r>
      <w:r w:rsidRPr="00BD586A">
        <w:rPr>
          <w:rFonts w:asciiTheme="majorHAnsi" w:hAnsiTheme="majorHAnsi"/>
          <w:sz w:val="16"/>
          <w:szCs w:val="16"/>
          <w:lang w:val="es-US"/>
        </w:rPr>
        <w:t xml:space="preserve"> En adelante, “la Convención Americana” o “la Convención”</w:t>
      </w:r>
    </w:p>
  </w:footnote>
  <w:footnote w:id="5">
    <w:p w14:paraId="79F07139" w14:textId="106328D8" w:rsidR="008E3BFE" w:rsidRPr="00932B22" w:rsidRDefault="008E3BFE" w:rsidP="00EB1A32">
      <w:pPr>
        <w:pStyle w:val="FootnoteText"/>
        <w:spacing w:after="120"/>
        <w:ind w:firstLine="720"/>
        <w:jc w:val="both"/>
        <w:rPr>
          <w:rFonts w:asciiTheme="majorHAnsi" w:hAnsiTheme="majorHAnsi"/>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r w:rsidR="00D4457A">
        <w:rPr>
          <w:rFonts w:ascii="Cambria" w:hAnsi="Cambria"/>
          <w:sz w:val="16"/>
          <w:szCs w:val="16"/>
          <w:lang w:val="es-ES"/>
        </w:rPr>
        <w:t xml:space="preserve"> </w:t>
      </w:r>
    </w:p>
  </w:footnote>
  <w:footnote w:id="6">
    <w:p w14:paraId="5E3D64A9" w14:textId="1F19674F" w:rsidR="00944151" w:rsidRPr="00944151" w:rsidRDefault="00944151" w:rsidP="00412A97">
      <w:pPr>
        <w:pStyle w:val="FootnoteText"/>
        <w:ind w:firstLine="720"/>
        <w:jc w:val="both"/>
        <w:rPr>
          <w:rFonts w:asciiTheme="majorHAnsi" w:hAnsiTheme="majorHAnsi"/>
          <w:sz w:val="16"/>
          <w:szCs w:val="16"/>
          <w:lang w:val="es-US"/>
        </w:rPr>
      </w:pPr>
      <w:r w:rsidRPr="00944151">
        <w:rPr>
          <w:rStyle w:val="FootnoteReference"/>
          <w:rFonts w:asciiTheme="majorHAnsi" w:hAnsiTheme="majorHAnsi"/>
          <w:sz w:val="16"/>
          <w:szCs w:val="16"/>
        </w:rPr>
        <w:footnoteRef/>
      </w:r>
      <w:r w:rsidRPr="00944151">
        <w:rPr>
          <w:rFonts w:asciiTheme="majorHAnsi" w:hAnsiTheme="majorHAnsi"/>
          <w:sz w:val="16"/>
          <w:szCs w:val="16"/>
          <w:lang w:val="es-US"/>
        </w:rPr>
        <w:t xml:space="preserve"> </w:t>
      </w:r>
      <w:r w:rsidR="00412A97">
        <w:rPr>
          <w:rFonts w:asciiTheme="majorHAnsi" w:hAnsiTheme="majorHAnsi"/>
          <w:sz w:val="16"/>
          <w:szCs w:val="16"/>
          <w:lang w:val="es-US"/>
        </w:rPr>
        <w:t xml:space="preserve">CIDH, Informe 214/22, Admisibilidad, Petición 867-09, Aberlardo Árevalo Choque y otros, Bolivia, 13 de agosto de 2022; Informe 303/22, Admisibilidad, Petición 958-15, John Sotomayor Pinuer, Chile, 8 de noviembre de 2022; e Informe </w:t>
      </w:r>
      <w:r w:rsidR="00412A97" w:rsidRPr="00412A97">
        <w:rPr>
          <w:rFonts w:asciiTheme="majorHAnsi" w:hAnsiTheme="majorHAnsi"/>
          <w:sz w:val="16"/>
          <w:szCs w:val="16"/>
          <w:lang w:val="es-US"/>
        </w:rPr>
        <w:t>378/21</w:t>
      </w:r>
      <w:r w:rsidR="00EC2D24">
        <w:rPr>
          <w:rFonts w:asciiTheme="majorHAnsi" w:hAnsiTheme="majorHAnsi"/>
          <w:sz w:val="16"/>
          <w:szCs w:val="16"/>
          <w:lang w:val="es-US"/>
        </w:rPr>
        <w:t xml:space="preserve">, Admisibilidad, Petición 1835-14, Juan Antonio Miralles Fernández y E.L.M.F., Ecuador, 1 de diciembre de 2021. </w:t>
      </w:r>
    </w:p>
  </w:footnote>
  <w:footnote w:id="7">
    <w:p w14:paraId="130EDB58" w14:textId="270F4E27" w:rsidR="00944151" w:rsidRPr="00944151" w:rsidRDefault="00944151" w:rsidP="00412A97">
      <w:pPr>
        <w:pStyle w:val="FootnoteText"/>
        <w:ind w:firstLine="720"/>
        <w:jc w:val="both"/>
        <w:rPr>
          <w:lang w:val="es-US"/>
        </w:rPr>
      </w:pPr>
      <w:r>
        <w:rPr>
          <w:rStyle w:val="FootnoteReference"/>
        </w:rPr>
        <w:footnoteRef/>
      </w:r>
      <w:r w:rsidRPr="00944151">
        <w:rPr>
          <w:lang w:val="es-US"/>
        </w:rPr>
        <w:t xml:space="preserve"> </w:t>
      </w:r>
      <w:r>
        <w:rPr>
          <w:rFonts w:asciiTheme="majorHAnsi" w:hAnsiTheme="majorHAnsi"/>
          <w:sz w:val="16"/>
          <w:szCs w:val="16"/>
          <w:lang w:val="es-US"/>
        </w:rPr>
        <w:t xml:space="preserve">CIDH, Informe 403/20, Admisibilidad, Petición 1295-12, Familiares de Domingo Bartolomé Tarrés, Chile, 10 de diciembre de 2020; e Informe 57/21, Admisibilidad, Petición 2185-12, Celia de los Ángeles Martínez Chao y Priscila de las Nieves Guido Martínez, Argentina, 17 de marzo de 2021. </w:t>
      </w:r>
    </w:p>
  </w:footnote>
  <w:footnote w:id="8">
    <w:p w14:paraId="559EC4CC" w14:textId="449FF33F" w:rsidR="00041CA5" w:rsidRPr="00421CCB" w:rsidRDefault="00041CA5" w:rsidP="00412A97">
      <w:pPr>
        <w:pStyle w:val="FootnoteText"/>
        <w:ind w:firstLine="720"/>
        <w:jc w:val="both"/>
        <w:rPr>
          <w:rFonts w:asciiTheme="majorHAnsi" w:hAnsiTheme="majorHAnsi"/>
          <w:sz w:val="16"/>
          <w:szCs w:val="16"/>
          <w:lang w:val="es-US"/>
        </w:rPr>
      </w:pPr>
      <w:r w:rsidRPr="00D918D1">
        <w:rPr>
          <w:rStyle w:val="FootnoteReference"/>
          <w:rFonts w:asciiTheme="majorHAnsi" w:hAnsiTheme="majorHAnsi"/>
          <w:sz w:val="16"/>
          <w:szCs w:val="16"/>
        </w:rPr>
        <w:footnoteRef/>
      </w:r>
      <w:r w:rsidRPr="00421CCB">
        <w:rPr>
          <w:rFonts w:asciiTheme="majorHAnsi" w:hAnsiTheme="majorHAnsi"/>
          <w:sz w:val="16"/>
          <w:szCs w:val="16"/>
          <w:lang w:val="es-US"/>
        </w:rPr>
        <w:t xml:space="preserve"> </w:t>
      </w:r>
      <w:r w:rsidR="00421CCB" w:rsidRPr="00421CCB">
        <w:rPr>
          <w:rFonts w:asciiTheme="majorHAnsi" w:hAnsiTheme="majorHAnsi"/>
          <w:sz w:val="16"/>
          <w:szCs w:val="16"/>
          <w:lang w:val="es-US"/>
        </w:rPr>
        <w:t>CIDH, Informe 420/21, Admisibilidad, Petición 1564-1</w:t>
      </w:r>
      <w:r w:rsidR="00421CCB">
        <w:rPr>
          <w:rFonts w:asciiTheme="majorHAnsi" w:hAnsiTheme="majorHAnsi"/>
          <w:sz w:val="16"/>
          <w:szCs w:val="16"/>
          <w:lang w:val="es-US"/>
        </w:rPr>
        <w:t>4, J.Z y S.Z, Brasil, 31 de diciembre de 2021</w:t>
      </w:r>
      <w:r w:rsidR="00412A97">
        <w:rPr>
          <w:rFonts w:asciiTheme="majorHAnsi" w:hAnsiTheme="majorHAnsi"/>
          <w:sz w:val="16"/>
          <w:szCs w:val="16"/>
          <w:lang w:val="es-US"/>
        </w:rPr>
        <w:t xml:space="preserve">; e Informe 46/22, Admisibilidad, Petición 1009-13, Silvestre González Pedrotti, México, 9 de marzo de 2022. </w:t>
      </w:r>
    </w:p>
  </w:footnote>
  <w:footnote w:id="9">
    <w:p w14:paraId="2EE0708B" w14:textId="77777777" w:rsidR="002F0A15" w:rsidRPr="00D918D1" w:rsidRDefault="002F0A15" w:rsidP="00412A97">
      <w:pPr>
        <w:pStyle w:val="FootnoteText"/>
        <w:ind w:firstLine="720"/>
        <w:jc w:val="both"/>
        <w:rPr>
          <w:rFonts w:asciiTheme="majorHAnsi" w:hAnsiTheme="majorHAnsi"/>
          <w:color w:val="auto"/>
          <w:sz w:val="16"/>
          <w:szCs w:val="16"/>
          <w:lang w:val="es-ES"/>
        </w:rPr>
      </w:pPr>
      <w:r w:rsidRPr="00D918D1">
        <w:rPr>
          <w:rStyle w:val="FootnoteReference"/>
          <w:rFonts w:asciiTheme="majorHAnsi" w:hAnsiTheme="majorHAnsi"/>
          <w:color w:val="auto"/>
          <w:sz w:val="16"/>
          <w:szCs w:val="16"/>
        </w:rPr>
        <w:footnoteRef/>
      </w:r>
      <w:r w:rsidRPr="00421CCB">
        <w:rPr>
          <w:rFonts w:asciiTheme="majorHAnsi" w:hAnsiTheme="majorHAnsi"/>
          <w:color w:val="auto"/>
          <w:sz w:val="16"/>
          <w:szCs w:val="16"/>
          <w:lang w:val="es-US"/>
        </w:rPr>
        <w:t xml:space="preserve"> Corte IDH. </w:t>
      </w:r>
      <w:r w:rsidRPr="00D918D1">
        <w:rPr>
          <w:rFonts w:asciiTheme="majorHAnsi" w:hAnsiTheme="majorHAnsi"/>
          <w:color w:val="auto"/>
          <w:sz w:val="16"/>
          <w:szCs w:val="16"/>
          <w:lang w:val="es-ES"/>
        </w:rPr>
        <w:t>Caso La Cantuta Vs. Perú. Fondo, Reparaciones y Costas. Sentencia de 29 de noviembre de 2006. Serie C No. 162. Párr. 226.</w:t>
      </w:r>
    </w:p>
  </w:footnote>
  <w:footnote w:id="10">
    <w:p w14:paraId="734A5B09" w14:textId="77777777" w:rsidR="002F0A15" w:rsidRPr="002138F6" w:rsidRDefault="002F0A15" w:rsidP="00412A97">
      <w:pPr>
        <w:pStyle w:val="FootnoteText"/>
        <w:ind w:firstLine="720"/>
        <w:jc w:val="both"/>
        <w:rPr>
          <w:rFonts w:asciiTheme="majorHAnsi" w:hAnsiTheme="majorHAnsi"/>
          <w:color w:val="auto"/>
          <w:sz w:val="16"/>
          <w:szCs w:val="16"/>
          <w:lang w:val="es-ES"/>
        </w:rPr>
      </w:pPr>
      <w:r w:rsidRPr="00D918D1">
        <w:rPr>
          <w:rStyle w:val="FootnoteReference"/>
          <w:rFonts w:asciiTheme="majorHAnsi" w:hAnsiTheme="majorHAnsi"/>
          <w:color w:val="auto"/>
          <w:sz w:val="16"/>
          <w:szCs w:val="16"/>
        </w:rPr>
        <w:footnoteRef/>
      </w:r>
      <w:r w:rsidRPr="00D918D1">
        <w:rPr>
          <w:rFonts w:asciiTheme="majorHAnsi" w:hAnsiTheme="majorHAnsi"/>
          <w:color w:val="auto"/>
          <w:sz w:val="16"/>
          <w:szCs w:val="16"/>
          <w:lang w:val="es-ES"/>
        </w:rPr>
        <w:t xml:space="preserve"> Corte IDH. Caso</w:t>
      </w:r>
      <w:r w:rsidRPr="002138F6">
        <w:rPr>
          <w:rFonts w:asciiTheme="majorHAnsi" w:hAnsiTheme="majorHAnsi"/>
          <w:color w:val="auto"/>
          <w:sz w:val="16"/>
          <w:szCs w:val="16"/>
          <w:lang w:val="es-ES"/>
        </w:rPr>
        <w:t xml:space="preserve"> Órdenes Guerra y otros Vs. Chile. Fondo, Reparaciones y Costas. Sentencia de 29 de noviembre de 2018. Serie C No. 372, párr. 89. </w:t>
      </w:r>
    </w:p>
  </w:footnote>
  <w:footnote w:id="11">
    <w:p w14:paraId="0693609C" w14:textId="77777777" w:rsidR="002F0A15" w:rsidRPr="00421CCB" w:rsidRDefault="002F0A15" w:rsidP="00412A97">
      <w:pPr>
        <w:pStyle w:val="FootnoteText"/>
        <w:ind w:firstLine="720"/>
        <w:jc w:val="both"/>
        <w:rPr>
          <w:rFonts w:asciiTheme="majorHAnsi" w:hAnsiTheme="majorHAnsi"/>
          <w:color w:val="auto"/>
          <w:sz w:val="16"/>
          <w:szCs w:val="16"/>
          <w:lang w:val="es-PE"/>
        </w:rPr>
      </w:pPr>
      <w:r w:rsidRPr="002138F6">
        <w:rPr>
          <w:rStyle w:val="FootnoteReference"/>
          <w:rFonts w:asciiTheme="majorHAnsi" w:hAnsiTheme="majorHAnsi"/>
          <w:color w:val="auto"/>
          <w:sz w:val="16"/>
          <w:szCs w:val="16"/>
          <w:lang w:val="es-PE"/>
        </w:rPr>
        <w:footnoteRef/>
      </w:r>
      <w:r w:rsidRPr="002138F6">
        <w:rPr>
          <w:rFonts w:asciiTheme="majorHAnsi" w:hAnsiTheme="majorHAnsi"/>
          <w:color w:val="auto"/>
          <w:sz w:val="16"/>
          <w:szCs w:val="16"/>
          <w:lang w:val="es-PE"/>
        </w:rPr>
        <w:t xml:space="preserve"> </w:t>
      </w:r>
      <w:r w:rsidRPr="002138F6">
        <w:rPr>
          <w:rFonts w:asciiTheme="majorHAnsi" w:hAnsiTheme="majorHAnsi" w:cs="Open Sans"/>
          <w:color w:val="auto"/>
          <w:sz w:val="16"/>
          <w:szCs w:val="16"/>
          <w:shd w:val="clear" w:color="auto" w:fill="FFFFFF"/>
          <w:lang w:val="es-PE"/>
        </w:rPr>
        <w:t xml:space="preserve">Corte </w:t>
      </w:r>
      <w:r w:rsidRPr="00421CCB">
        <w:rPr>
          <w:rFonts w:asciiTheme="majorHAnsi" w:hAnsiTheme="majorHAnsi" w:cs="Open Sans"/>
          <w:color w:val="auto"/>
          <w:sz w:val="16"/>
          <w:szCs w:val="16"/>
          <w:shd w:val="clear" w:color="auto" w:fill="FFFFFF"/>
          <w:lang w:val="es-PE"/>
        </w:rPr>
        <w:t>IDH. Caso Vera Vera y otra Vs. Ecuador. Excepción Preliminar, Fondo, Reparaciones y Costas. Sentencia de 19 de mayo de 2011. Serie C No. 226, párr. 118.</w:t>
      </w:r>
    </w:p>
  </w:footnote>
  <w:footnote w:id="12">
    <w:p w14:paraId="44DB0F14" w14:textId="230B98D1" w:rsidR="00421CCB" w:rsidRPr="00421CCB" w:rsidRDefault="00421CCB" w:rsidP="00412A97">
      <w:pPr>
        <w:pStyle w:val="FootnoteText"/>
        <w:ind w:firstLine="720"/>
        <w:jc w:val="both"/>
        <w:rPr>
          <w:rFonts w:asciiTheme="majorHAnsi" w:hAnsiTheme="majorHAnsi"/>
          <w:sz w:val="16"/>
          <w:szCs w:val="16"/>
          <w:lang w:val="es-US"/>
        </w:rPr>
      </w:pPr>
      <w:r w:rsidRPr="00421CCB">
        <w:rPr>
          <w:rStyle w:val="FootnoteReference"/>
          <w:rFonts w:asciiTheme="majorHAnsi" w:hAnsiTheme="majorHAnsi"/>
          <w:sz w:val="16"/>
          <w:szCs w:val="16"/>
        </w:rPr>
        <w:footnoteRef/>
      </w:r>
      <w:r w:rsidRPr="00421CCB">
        <w:rPr>
          <w:rFonts w:asciiTheme="majorHAnsi" w:hAnsiTheme="majorHAnsi"/>
          <w:sz w:val="16"/>
          <w:szCs w:val="16"/>
          <w:lang w:val="es-US"/>
        </w:rPr>
        <w:t xml:space="preserve"> </w:t>
      </w:r>
      <w:r w:rsidR="00944151">
        <w:rPr>
          <w:rFonts w:asciiTheme="majorHAnsi" w:hAnsiTheme="majorHAnsi"/>
          <w:sz w:val="16"/>
          <w:szCs w:val="16"/>
          <w:lang w:val="es-US"/>
        </w:rPr>
        <w:t xml:space="preserve">CIDH, Informe 403/20, Admisibilidad, Petición 1295-12, Familiares de Domingo Bartolomé Tarrés, Chile, 10 de diciembre de 2020; Informe 41/20, Petición 4-10, Familiares de Modesta Carolina del Carmen Wiff Sepulveda, Chile, 13 de marzo de 2020; e Informe 288/20, Petición 1967-12, Familiares de Jorge Rodrigo Muñoz Mella, Chile, 12 de octubre de 2020. </w:t>
      </w:r>
    </w:p>
  </w:footnote>
  <w:footnote w:id="13">
    <w:p w14:paraId="5B1D42CD" w14:textId="6A8458DF" w:rsidR="00DE6885" w:rsidRPr="00DE6885" w:rsidRDefault="00DE6885" w:rsidP="00412A97">
      <w:pPr>
        <w:pStyle w:val="FootnoteText"/>
        <w:ind w:firstLine="720"/>
        <w:jc w:val="both"/>
        <w:rPr>
          <w:lang w:val="es-PE"/>
        </w:rPr>
      </w:pPr>
      <w:r w:rsidRPr="00421CCB">
        <w:rPr>
          <w:rStyle w:val="FootnoteReference"/>
          <w:rFonts w:asciiTheme="majorHAnsi" w:hAnsiTheme="majorHAnsi"/>
          <w:sz w:val="16"/>
          <w:szCs w:val="16"/>
        </w:rPr>
        <w:footnoteRef/>
      </w:r>
      <w:r w:rsidRPr="00421CCB">
        <w:rPr>
          <w:rFonts w:asciiTheme="majorHAnsi" w:hAnsiTheme="majorHAnsi"/>
          <w:sz w:val="16"/>
          <w:szCs w:val="16"/>
          <w:lang w:val="es-PE"/>
        </w:rPr>
        <w:t xml:space="preserve"> </w:t>
      </w:r>
      <w:r w:rsidR="00932B22" w:rsidRPr="00421CCB">
        <w:rPr>
          <w:rFonts w:asciiTheme="majorHAnsi" w:hAnsiTheme="majorHAnsi"/>
          <w:sz w:val="16"/>
          <w:szCs w:val="16"/>
          <w:lang w:val="es-PE"/>
        </w:rPr>
        <w:t xml:space="preserve">CIDH, Informe </w:t>
      </w:r>
      <w:r w:rsidR="003315EB" w:rsidRPr="00421CCB">
        <w:rPr>
          <w:rFonts w:asciiTheme="majorHAnsi" w:hAnsiTheme="majorHAnsi"/>
          <w:sz w:val="16"/>
          <w:szCs w:val="16"/>
          <w:lang w:val="es-PE"/>
        </w:rPr>
        <w:t xml:space="preserve">352/22, Admisibilidad, Petición 1523-08, José Patricio Tolentino Rojas y otros, Perú, 26 de septiembre de 2022, párr. </w:t>
      </w:r>
      <w:r w:rsidR="005001A0" w:rsidRPr="00421CCB">
        <w:rPr>
          <w:rFonts w:asciiTheme="majorHAnsi" w:hAnsiTheme="majorHAnsi"/>
          <w:sz w:val="16"/>
          <w:szCs w:val="16"/>
          <w:lang w:val="es-PE"/>
        </w:rPr>
        <w:t>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B7CF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B742DFB6"/>
    <w:lvl w:ilvl="0" w:tplc="FFB2FBDA">
      <w:start w:val="1"/>
      <w:numFmt w:val="decimal"/>
      <w:lvlText w:val="%1."/>
      <w:lvlJc w:val="left"/>
      <w:pPr>
        <w:tabs>
          <w:tab w:val="num" w:pos="720"/>
        </w:tabs>
        <w:ind w:left="0" w:firstLine="720"/>
      </w:pPr>
      <w:rPr>
        <w:rFonts w:asciiTheme="majorHAnsi" w:hAnsiTheme="majorHAnsi" w:hint="default"/>
        <w:b w:val="0"/>
        <w:bCs w:val="0"/>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9758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72813378">
    <w:abstractNumId w:val="3"/>
  </w:num>
  <w:num w:numId="2" w16cid:durableId="1813330237">
    <w:abstractNumId w:val="5"/>
  </w:num>
  <w:num w:numId="3" w16cid:durableId="1532187907">
    <w:abstractNumId w:val="52"/>
  </w:num>
  <w:num w:numId="4" w16cid:durableId="1933658824">
    <w:abstractNumId w:val="21"/>
  </w:num>
  <w:num w:numId="5" w16cid:durableId="102309653">
    <w:abstractNumId w:val="45"/>
  </w:num>
  <w:num w:numId="6" w16cid:durableId="119616561">
    <w:abstractNumId w:val="26"/>
  </w:num>
  <w:num w:numId="7" w16cid:durableId="1374312286">
    <w:abstractNumId w:val="7"/>
  </w:num>
  <w:num w:numId="8" w16cid:durableId="1356929234">
    <w:abstractNumId w:val="17"/>
  </w:num>
  <w:num w:numId="9" w16cid:durableId="382481005">
    <w:abstractNumId w:val="36"/>
  </w:num>
  <w:num w:numId="10" w16cid:durableId="1767651536">
    <w:abstractNumId w:val="40"/>
  </w:num>
  <w:num w:numId="11" w16cid:durableId="993338501">
    <w:abstractNumId w:val="0"/>
  </w:num>
  <w:num w:numId="12" w16cid:durableId="783113306">
    <w:abstractNumId w:val="35"/>
  </w:num>
  <w:num w:numId="13" w16cid:durableId="906108081">
    <w:abstractNumId w:val="42"/>
  </w:num>
  <w:num w:numId="14" w16cid:durableId="1662195483">
    <w:abstractNumId w:val="1"/>
  </w:num>
  <w:num w:numId="15" w16cid:durableId="1422067352">
    <w:abstractNumId w:val="2"/>
  </w:num>
  <w:num w:numId="16" w16cid:durableId="728697696">
    <w:abstractNumId w:val="8"/>
  </w:num>
  <w:num w:numId="17" w16cid:durableId="532697137">
    <w:abstractNumId w:val="9"/>
  </w:num>
  <w:num w:numId="18" w16cid:durableId="1882203984">
    <w:abstractNumId w:val="10"/>
  </w:num>
  <w:num w:numId="19" w16cid:durableId="1351371818">
    <w:abstractNumId w:val="11"/>
  </w:num>
  <w:num w:numId="20" w16cid:durableId="1675113195">
    <w:abstractNumId w:val="12"/>
  </w:num>
  <w:num w:numId="21" w16cid:durableId="1955670201">
    <w:abstractNumId w:val="13"/>
  </w:num>
  <w:num w:numId="22" w16cid:durableId="574364452">
    <w:abstractNumId w:val="14"/>
  </w:num>
  <w:num w:numId="23" w16cid:durableId="223028224">
    <w:abstractNumId w:val="15"/>
  </w:num>
  <w:num w:numId="24" w16cid:durableId="839083034">
    <w:abstractNumId w:val="16"/>
  </w:num>
  <w:num w:numId="25" w16cid:durableId="1048453737">
    <w:abstractNumId w:val="18"/>
  </w:num>
  <w:num w:numId="26" w16cid:durableId="1026640194">
    <w:abstractNumId w:val="19"/>
  </w:num>
  <w:num w:numId="27" w16cid:durableId="1329288156">
    <w:abstractNumId w:val="22"/>
  </w:num>
  <w:num w:numId="28" w16cid:durableId="1809085151">
    <w:abstractNumId w:val="23"/>
  </w:num>
  <w:num w:numId="29" w16cid:durableId="1080827732">
    <w:abstractNumId w:val="24"/>
  </w:num>
  <w:num w:numId="30" w16cid:durableId="2036301683">
    <w:abstractNumId w:val="25"/>
  </w:num>
  <w:num w:numId="31" w16cid:durableId="126708259">
    <w:abstractNumId w:val="27"/>
  </w:num>
  <w:num w:numId="32" w16cid:durableId="2058167483">
    <w:abstractNumId w:val="28"/>
  </w:num>
  <w:num w:numId="33" w16cid:durableId="2058311766">
    <w:abstractNumId w:val="29"/>
  </w:num>
  <w:num w:numId="34" w16cid:durableId="410128829">
    <w:abstractNumId w:val="30"/>
  </w:num>
  <w:num w:numId="35" w16cid:durableId="1761218776">
    <w:abstractNumId w:val="31"/>
  </w:num>
  <w:num w:numId="36" w16cid:durableId="1781222947">
    <w:abstractNumId w:val="32"/>
  </w:num>
  <w:num w:numId="37" w16cid:durableId="1311638866">
    <w:abstractNumId w:val="33"/>
  </w:num>
  <w:num w:numId="38" w16cid:durableId="1285455016">
    <w:abstractNumId w:val="34"/>
  </w:num>
  <w:num w:numId="39" w16cid:durableId="1160926393">
    <w:abstractNumId w:val="37"/>
  </w:num>
  <w:num w:numId="40" w16cid:durableId="1364018377">
    <w:abstractNumId w:val="38"/>
  </w:num>
  <w:num w:numId="41" w16cid:durableId="80612354">
    <w:abstractNumId w:val="44"/>
  </w:num>
  <w:num w:numId="42" w16cid:durableId="1691254366">
    <w:abstractNumId w:val="46"/>
  </w:num>
  <w:num w:numId="43" w16cid:durableId="580339032">
    <w:abstractNumId w:val="48"/>
  </w:num>
  <w:num w:numId="44" w16cid:durableId="379717792">
    <w:abstractNumId w:val="50"/>
  </w:num>
  <w:num w:numId="45" w16cid:durableId="1044066421">
    <w:abstractNumId w:val="51"/>
  </w:num>
  <w:num w:numId="46" w16cid:durableId="2091930067">
    <w:abstractNumId w:val="53"/>
  </w:num>
  <w:num w:numId="47" w16cid:durableId="532546517">
    <w:abstractNumId w:val="54"/>
  </w:num>
  <w:num w:numId="48" w16cid:durableId="414666162">
    <w:abstractNumId w:val="55"/>
  </w:num>
  <w:num w:numId="49" w16cid:durableId="1269311212">
    <w:abstractNumId w:val="56"/>
  </w:num>
  <w:num w:numId="50" w16cid:durableId="1631939513">
    <w:abstractNumId w:val="57"/>
  </w:num>
  <w:num w:numId="51" w16cid:durableId="1834564849">
    <w:abstractNumId w:val="20"/>
  </w:num>
  <w:num w:numId="52" w16cid:durableId="205724164">
    <w:abstractNumId w:val="39"/>
  </w:num>
  <w:num w:numId="53" w16cid:durableId="949429864">
    <w:abstractNumId w:val="49"/>
  </w:num>
  <w:num w:numId="54" w16cid:durableId="952714129">
    <w:abstractNumId w:val="43"/>
  </w:num>
  <w:num w:numId="55" w16cid:durableId="546839422">
    <w:abstractNumId w:val="41"/>
  </w:num>
  <w:num w:numId="56" w16cid:durableId="691958680">
    <w:abstractNumId w:val="47"/>
  </w:num>
  <w:num w:numId="57" w16cid:durableId="660279236">
    <w:abstractNumId w:val="6"/>
  </w:num>
  <w:num w:numId="58" w16cid:durableId="691802992">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1CA5"/>
    <w:rsid w:val="000433C9"/>
    <w:rsid w:val="00045B19"/>
    <w:rsid w:val="000716C5"/>
    <w:rsid w:val="00075E23"/>
    <w:rsid w:val="0009344A"/>
    <w:rsid w:val="000940B6"/>
    <w:rsid w:val="00097307"/>
    <w:rsid w:val="000A392E"/>
    <w:rsid w:val="000A575F"/>
    <w:rsid w:val="000A79B1"/>
    <w:rsid w:val="000D05CB"/>
    <w:rsid w:val="000D10DB"/>
    <w:rsid w:val="000E5EB5"/>
    <w:rsid w:val="000F19C2"/>
    <w:rsid w:val="000F31F3"/>
    <w:rsid w:val="000F35ED"/>
    <w:rsid w:val="00102E1D"/>
    <w:rsid w:val="00103F6D"/>
    <w:rsid w:val="00107131"/>
    <w:rsid w:val="0010736F"/>
    <w:rsid w:val="00113F73"/>
    <w:rsid w:val="00117596"/>
    <w:rsid w:val="00121CC2"/>
    <w:rsid w:val="00131425"/>
    <w:rsid w:val="00131A21"/>
    <w:rsid w:val="00133EE5"/>
    <w:rsid w:val="0014750F"/>
    <w:rsid w:val="001559F6"/>
    <w:rsid w:val="001560F7"/>
    <w:rsid w:val="00167A34"/>
    <w:rsid w:val="001850CC"/>
    <w:rsid w:val="00187BC4"/>
    <w:rsid w:val="00190A87"/>
    <w:rsid w:val="001A7870"/>
    <w:rsid w:val="001B3A00"/>
    <w:rsid w:val="001C1B41"/>
    <w:rsid w:val="001D2B09"/>
    <w:rsid w:val="001D4409"/>
    <w:rsid w:val="001D65EF"/>
    <w:rsid w:val="001E49E7"/>
    <w:rsid w:val="001F7201"/>
    <w:rsid w:val="00207797"/>
    <w:rsid w:val="00213107"/>
    <w:rsid w:val="00214258"/>
    <w:rsid w:val="00223A29"/>
    <w:rsid w:val="002250A3"/>
    <w:rsid w:val="00235217"/>
    <w:rsid w:val="00246D1F"/>
    <w:rsid w:val="00247403"/>
    <w:rsid w:val="00247542"/>
    <w:rsid w:val="002517B2"/>
    <w:rsid w:val="00251A82"/>
    <w:rsid w:val="00255CE1"/>
    <w:rsid w:val="00266B61"/>
    <w:rsid w:val="0026712A"/>
    <w:rsid w:val="00267D79"/>
    <w:rsid w:val="002704DB"/>
    <w:rsid w:val="00270D16"/>
    <w:rsid w:val="00277F6C"/>
    <w:rsid w:val="00291463"/>
    <w:rsid w:val="002A0AAE"/>
    <w:rsid w:val="002A5820"/>
    <w:rsid w:val="002A5EE1"/>
    <w:rsid w:val="002B4477"/>
    <w:rsid w:val="002C7F2F"/>
    <w:rsid w:val="002D2B26"/>
    <w:rsid w:val="002D473E"/>
    <w:rsid w:val="002D7EA2"/>
    <w:rsid w:val="002E187C"/>
    <w:rsid w:val="002F0A15"/>
    <w:rsid w:val="00302733"/>
    <w:rsid w:val="0030274F"/>
    <w:rsid w:val="00304862"/>
    <w:rsid w:val="00314078"/>
    <w:rsid w:val="0031535D"/>
    <w:rsid w:val="00321033"/>
    <w:rsid w:val="003239B8"/>
    <w:rsid w:val="003315EB"/>
    <w:rsid w:val="0033169F"/>
    <w:rsid w:val="00333042"/>
    <w:rsid w:val="00344977"/>
    <w:rsid w:val="00346C95"/>
    <w:rsid w:val="0035029C"/>
    <w:rsid w:val="00356185"/>
    <w:rsid w:val="00360380"/>
    <w:rsid w:val="00360E76"/>
    <w:rsid w:val="0037519E"/>
    <w:rsid w:val="00386CF0"/>
    <w:rsid w:val="0039782E"/>
    <w:rsid w:val="003A72B2"/>
    <w:rsid w:val="003B0C18"/>
    <w:rsid w:val="003B329A"/>
    <w:rsid w:val="003B70FB"/>
    <w:rsid w:val="003C0F4B"/>
    <w:rsid w:val="003C676B"/>
    <w:rsid w:val="003D3BC2"/>
    <w:rsid w:val="003E2E7B"/>
    <w:rsid w:val="003E5CDC"/>
    <w:rsid w:val="003E6CA1"/>
    <w:rsid w:val="003F680A"/>
    <w:rsid w:val="00401D83"/>
    <w:rsid w:val="00405F9C"/>
    <w:rsid w:val="004065A8"/>
    <w:rsid w:val="00406D7B"/>
    <w:rsid w:val="00410A47"/>
    <w:rsid w:val="00412A97"/>
    <w:rsid w:val="004165C2"/>
    <w:rsid w:val="00421CCB"/>
    <w:rsid w:val="00434766"/>
    <w:rsid w:val="00441ECB"/>
    <w:rsid w:val="00445193"/>
    <w:rsid w:val="00445C2D"/>
    <w:rsid w:val="00453D87"/>
    <w:rsid w:val="004560EB"/>
    <w:rsid w:val="00462C1B"/>
    <w:rsid w:val="00467B7E"/>
    <w:rsid w:val="00473BB4"/>
    <w:rsid w:val="0047535A"/>
    <w:rsid w:val="00477592"/>
    <w:rsid w:val="00486F1C"/>
    <w:rsid w:val="0049419D"/>
    <w:rsid w:val="00496B92"/>
    <w:rsid w:val="004A47CF"/>
    <w:rsid w:val="004A6A54"/>
    <w:rsid w:val="004C20D2"/>
    <w:rsid w:val="004C2312"/>
    <w:rsid w:val="004C4B62"/>
    <w:rsid w:val="004C54C9"/>
    <w:rsid w:val="004D1D4E"/>
    <w:rsid w:val="004D4ABA"/>
    <w:rsid w:val="004D6025"/>
    <w:rsid w:val="004E2649"/>
    <w:rsid w:val="004F626F"/>
    <w:rsid w:val="005001A0"/>
    <w:rsid w:val="00500F96"/>
    <w:rsid w:val="00501399"/>
    <w:rsid w:val="005026E4"/>
    <w:rsid w:val="0050633D"/>
    <w:rsid w:val="00507BC4"/>
    <w:rsid w:val="00511138"/>
    <w:rsid w:val="005128E4"/>
    <w:rsid w:val="005133DB"/>
    <w:rsid w:val="00514504"/>
    <w:rsid w:val="00525560"/>
    <w:rsid w:val="00531ED3"/>
    <w:rsid w:val="005329B7"/>
    <w:rsid w:val="005433A7"/>
    <w:rsid w:val="00544C49"/>
    <w:rsid w:val="00546EA5"/>
    <w:rsid w:val="005516A1"/>
    <w:rsid w:val="005559EF"/>
    <w:rsid w:val="00556D27"/>
    <w:rsid w:val="00563557"/>
    <w:rsid w:val="0057402A"/>
    <w:rsid w:val="00574B7C"/>
    <w:rsid w:val="00576FAE"/>
    <w:rsid w:val="005771D0"/>
    <w:rsid w:val="005835C4"/>
    <w:rsid w:val="0059191A"/>
    <w:rsid w:val="005921FF"/>
    <w:rsid w:val="00596508"/>
    <w:rsid w:val="005A1DD8"/>
    <w:rsid w:val="005A24ED"/>
    <w:rsid w:val="005A2ADE"/>
    <w:rsid w:val="005A6D0E"/>
    <w:rsid w:val="005B4D9D"/>
    <w:rsid w:val="005B52B0"/>
    <w:rsid w:val="005B6806"/>
    <w:rsid w:val="005C1A13"/>
    <w:rsid w:val="005C4225"/>
    <w:rsid w:val="005D3612"/>
    <w:rsid w:val="005D38F9"/>
    <w:rsid w:val="005F0DAD"/>
    <w:rsid w:val="005F0F33"/>
    <w:rsid w:val="005F1919"/>
    <w:rsid w:val="00600DEB"/>
    <w:rsid w:val="00601D8A"/>
    <w:rsid w:val="0062770E"/>
    <w:rsid w:val="00627C9F"/>
    <w:rsid w:val="006311E9"/>
    <w:rsid w:val="00631B27"/>
    <w:rsid w:val="006322C8"/>
    <w:rsid w:val="00632354"/>
    <w:rsid w:val="00635421"/>
    <w:rsid w:val="00642810"/>
    <w:rsid w:val="00652333"/>
    <w:rsid w:val="0068009E"/>
    <w:rsid w:val="00684BFC"/>
    <w:rsid w:val="00687736"/>
    <w:rsid w:val="00692219"/>
    <w:rsid w:val="00694CAD"/>
    <w:rsid w:val="00696EB6"/>
    <w:rsid w:val="006A17D2"/>
    <w:rsid w:val="006A73E6"/>
    <w:rsid w:val="006A7CDF"/>
    <w:rsid w:val="006B2D5C"/>
    <w:rsid w:val="006B7CF4"/>
    <w:rsid w:val="006C4EB1"/>
    <w:rsid w:val="006D43DA"/>
    <w:rsid w:val="006D76BB"/>
    <w:rsid w:val="006E0166"/>
    <w:rsid w:val="006E2FFB"/>
    <w:rsid w:val="006E327C"/>
    <w:rsid w:val="006E7B34"/>
    <w:rsid w:val="0070697F"/>
    <w:rsid w:val="0072199C"/>
    <w:rsid w:val="00722C9F"/>
    <w:rsid w:val="007251C9"/>
    <w:rsid w:val="007253B8"/>
    <w:rsid w:val="0073684B"/>
    <w:rsid w:val="0073741F"/>
    <w:rsid w:val="00747E4D"/>
    <w:rsid w:val="00757373"/>
    <w:rsid w:val="00757AF3"/>
    <w:rsid w:val="00765BB1"/>
    <w:rsid w:val="0076643F"/>
    <w:rsid w:val="007711A2"/>
    <w:rsid w:val="00777F63"/>
    <w:rsid w:val="0078356B"/>
    <w:rsid w:val="0079081B"/>
    <w:rsid w:val="00790CDD"/>
    <w:rsid w:val="007A20DA"/>
    <w:rsid w:val="007A5817"/>
    <w:rsid w:val="007B05C4"/>
    <w:rsid w:val="007B60E9"/>
    <w:rsid w:val="007B6CC3"/>
    <w:rsid w:val="007B6EBB"/>
    <w:rsid w:val="007B76D3"/>
    <w:rsid w:val="007C1E20"/>
    <w:rsid w:val="007C3334"/>
    <w:rsid w:val="007D2B98"/>
    <w:rsid w:val="007D471C"/>
    <w:rsid w:val="007E21BC"/>
    <w:rsid w:val="007E7C82"/>
    <w:rsid w:val="007F2AA1"/>
    <w:rsid w:val="007F588D"/>
    <w:rsid w:val="007F64AA"/>
    <w:rsid w:val="00800BDB"/>
    <w:rsid w:val="00803F1C"/>
    <w:rsid w:val="0080600E"/>
    <w:rsid w:val="0080754C"/>
    <w:rsid w:val="008116EC"/>
    <w:rsid w:val="00814688"/>
    <w:rsid w:val="00817612"/>
    <w:rsid w:val="008338A4"/>
    <w:rsid w:val="00834D49"/>
    <w:rsid w:val="00837C45"/>
    <w:rsid w:val="00840541"/>
    <w:rsid w:val="00844730"/>
    <w:rsid w:val="008457C2"/>
    <w:rsid w:val="00850C28"/>
    <w:rsid w:val="00857A82"/>
    <w:rsid w:val="0086205C"/>
    <w:rsid w:val="00873836"/>
    <w:rsid w:val="008804EF"/>
    <w:rsid w:val="00885737"/>
    <w:rsid w:val="008869E1"/>
    <w:rsid w:val="00886B43"/>
    <w:rsid w:val="00890650"/>
    <w:rsid w:val="00895FD1"/>
    <w:rsid w:val="00897E12"/>
    <w:rsid w:val="008A7E0F"/>
    <w:rsid w:val="008B12F5"/>
    <w:rsid w:val="008C32EF"/>
    <w:rsid w:val="008C5E2D"/>
    <w:rsid w:val="008D768D"/>
    <w:rsid w:val="008E1B9A"/>
    <w:rsid w:val="008E3759"/>
    <w:rsid w:val="008E3BFE"/>
    <w:rsid w:val="008F1912"/>
    <w:rsid w:val="008F1EAB"/>
    <w:rsid w:val="0090270B"/>
    <w:rsid w:val="009041DC"/>
    <w:rsid w:val="0091212D"/>
    <w:rsid w:val="00917B5A"/>
    <w:rsid w:val="00920A58"/>
    <w:rsid w:val="00920A8C"/>
    <w:rsid w:val="00932B22"/>
    <w:rsid w:val="00934A2C"/>
    <w:rsid w:val="00944151"/>
    <w:rsid w:val="009470AE"/>
    <w:rsid w:val="00950FF1"/>
    <w:rsid w:val="0095311D"/>
    <w:rsid w:val="00953D4F"/>
    <w:rsid w:val="0096706E"/>
    <w:rsid w:val="00974491"/>
    <w:rsid w:val="00975C4E"/>
    <w:rsid w:val="00975EE7"/>
    <w:rsid w:val="00981FBA"/>
    <w:rsid w:val="00984C00"/>
    <w:rsid w:val="00993761"/>
    <w:rsid w:val="009975DB"/>
    <w:rsid w:val="00997BC5"/>
    <w:rsid w:val="009A4F41"/>
    <w:rsid w:val="009B381B"/>
    <w:rsid w:val="009B594B"/>
    <w:rsid w:val="009C7535"/>
    <w:rsid w:val="009D1753"/>
    <w:rsid w:val="009D7611"/>
    <w:rsid w:val="009E099A"/>
    <w:rsid w:val="009E0B61"/>
    <w:rsid w:val="009E53DE"/>
    <w:rsid w:val="009F4C2C"/>
    <w:rsid w:val="009F5884"/>
    <w:rsid w:val="009F7FA3"/>
    <w:rsid w:val="00A11212"/>
    <w:rsid w:val="00A11E44"/>
    <w:rsid w:val="00A207CA"/>
    <w:rsid w:val="00A22A23"/>
    <w:rsid w:val="00A30100"/>
    <w:rsid w:val="00A328B3"/>
    <w:rsid w:val="00A37117"/>
    <w:rsid w:val="00A50FCF"/>
    <w:rsid w:val="00A528D1"/>
    <w:rsid w:val="00A610CD"/>
    <w:rsid w:val="00A749EE"/>
    <w:rsid w:val="00A758AA"/>
    <w:rsid w:val="00A776EE"/>
    <w:rsid w:val="00A932F2"/>
    <w:rsid w:val="00A95678"/>
    <w:rsid w:val="00AA09A2"/>
    <w:rsid w:val="00AA2300"/>
    <w:rsid w:val="00AA7996"/>
    <w:rsid w:val="00AA7A57"/>
    <w:rsid w:val="00AB7A93"/>
    <w:rsid w:val="00AC19CB"/>
    <w:rsid w:val="00AD7FEA"/>
    <w:rsid w:val="00AE5488"/>
    <w:rsid w:val="00AE6A9A"/>
    <w:rsid w:val="00AE6F91"/>
    <w:rsid w:val="00AF5571"/>
    <w:rsid w:val="00B07341"/>
    <w:rsid w:val="00B14F7F"/>
    <w:rsid w:val="00B17BFE"/>
    <w:rsid w:val="00B211EE"/>
    <w:rsid w:val="00B30539"/>
    <w:rsid w:val="00B314DB"/>
    <w:rsid w:val="00B361F2"/>
    <w:rsid w:val="00B3718B"/>
    <w:rsid w:val="00B3745F"/>
    <w:rsid w:val="00B4632A"/>
    <w:rsid w:val="00B530F1"/>
    <w:rsid w:val="00B66807"/>
    <w:rsid w:val="00B738F2"/>
    <w:rsid w:val="00B80487"/>
    <w:rsid w:val="00B82E09"/>
    <w:rsid w:val="00BA1490"/>
    <w:rsid w:val="00BA276C"/>
    <w:rsid w:val="00BB306F"/>
    <w:rsid w:val="00BD0005"/>
    <w:rsid w:val="00BD4B89"/>
    <w:rsid w:val="00BD586A"/>
    <w:rsid w:val="00BD5922"/>
    <w:rsid w:val="00BE145B"/>
    <w:rsid w:val="00BF02CB"/>
    <w:rsid w:val="00BF0387"/>
    <w:rsid w:val="00BF5C95"/>
    <w:rsid w:val="00BF6FD8"/>
    <w:rsid w:val="00BF7E0A"/>
    <w:rsid w:val="00C00443"/>
    <w:rsid w:val="00C03680"/>
    <w:rsid w:val="00C03E18"/>
    <w:rsid w:val="00C054DF"/>
    <w:rsid w:val="00C10942"/>
    <w:rsid w:val="00C17788"/>
    <w:rsid w:val="00C21762"/>
    <w:rsid w:val="00C21FEF"/>
    <w:rsid w:val="00C23BA4"/>
    <w:rsid w:val="00C24543"/>
    <w:rsid w:val="00C256A2"/>
    <w:rsid w:val="00C25ADB"/>
    <w:rsid w:val="00C35BCA"/>
    <w:rsid w:val="00C51515"/>
    <w:rsid w:val="00C54B87"/>
    <w:rsid w:val="00C5660B"/>
    <w:rsid w:val="00C66B72"/>
    <w:rsid w:val="00C73E1A"/>
    <w:rsid w:val="00C852B1"/>
    <w:rsid w:val="00C87AC4"/>
    <w:rsid w:val="00C9567A"/>
    <w:rsid w:val="00C97FF0"/>
    <w:rsid w:val="00CA0A1B"/>
    <w:rsid w:val="00CB212D"/>
    <w:rsid w:val="00CB2660"/>
    <w:rsid w:val="00CC5E90"/>
    <w:rsid w:val="00CC6939"/>
    <w:rsid w:val="00CD046C"/>
    <w:rsid w:val="00CE076C"/>
    <w:rsid w:val="00CE2642"/>
    <w:rsid w:val="00CE5199"/>
    <w:rsid w:val="00CE66D5"/>
    <w:rsid w:val="00CF0CAB"/>
    <w:rsid w:val="00CF3848"/>
    <w:rsid w:val="00CF637A"/>
    <w:rsid w:val="00D059DE"/>
    <w:rsid w:val="00D05ABD"/>
    <w:rsid w:val="00D11635"/>
    <w:rsid w:val="00D13FCE"/>
    <w:rsid w:val="00D14811"/>
    <w:rsid w:val="00D218CD"/>
    <w:rsid w:val="00D27C4F"/>
    <w:rsid w:val="00D306D1"/>
    <w:rsid w:val="00D30800"/>
    <w:rsid w:val="00D34786"/>
    <w:rsid w:val="00D36F52"/>
    <w:rsid w:val="00D37BFC"/>
    <w:rsid w:val="00D4457A"/>
    <w:rsid w:val="00D47A8E"/>
    <w:rsid w:val="00D52D14"/>
    <w:rsid w:val="00D712D3"/>
    <w:rsid w:val="00D71422"/>
    <w:rsid w:val="00D72AA9"/>
    <w:rsid w:val="00D72DC6"/>
    <w:rsid w:val="00D7558D"/>
    <w:rsid w:val="00D81D92"/>
    <w:rsid w:val="00D83D7F"/>
    <w:rsid w:val="00D866B1"/>
    <w:rsid w:val="00D876F9"/>
    <w:rsid w:val="00D918D1"/>
    <w:rsid w:val="00DA7B5F"/>
    <w:rsid w:val="00DB0297"/>
    <w:rsid w:val="00DC11E7"/>
    <w:rsid w:val="00DC24E3"/>
    <w:rsid w:val="00DC7023"/>
    <w:rsid w:val="00DC769A"/>
    <w:rsid w:val="00DD26B8"/>
    <w:rsid w:val="00DD2EBA"/>
    <w:rsid w:val="00DD3D86"/>
    <w:rsid w:val="00DD4AD2"/>
    <w:rsid w:val="00DE6885"/>
    <w:rsid w:val="00DF197B"/>
    <w:rsid w:val="00DF1EC4"/>
    <w:rsid w:val="00DF3C79"/>
    <w:rsid w:val="00E0340B"/>
    <w:rsid w:val="00E04A90"/>
    <w:rsid w:val="00E0551F"/>
    <w:rsid w:val="00E20A10"/>
    <w:rsid w:val="00E219C7"/>
    <w:rsid w:val="00E4118C"/>
    <w:rsid w:val="00E43157"/>
    <w:rsid w:val="00E461CE"/>
    <w:rsid w:val="00E505C0"/>
    <w:rsid w:val="00E573E4"/>
    <w:rsid w:val="00E64C3D"/>
    <w:rsid w:val="00E720CA"/>
    <w:rsid w:val="00E84EB5"/>
    <w:rsid w:val="00E85662"/>
    <w:rsid w:val="00E8789F"/>
    <w:rsid w:val="00E96FF6"/>
    <w:rsid w:val="00E97B71"/>
    <w:rsid w:val="00EA11BD"/>
    <w:rsid w:val="00EA3D34"/>
    <w:rsid w:val="00EA54A8"/>
    <w:rsid w:val="00EB1A32"/>
    <w:rsid w:val="00EB454D"/>
    <w:rsid w:val="00EC05D0"/>
    <w:rsid w:val="00EC2D24"/>
    <w:rsid w:val="00ED3190"/>
    <w:rsid w:val="00ED549D"/>
    <w:rsid w:val="00ED76BE"/>
    <w:rsid w:val="00EE00E9"/>
    <w:rsid w:val="00EE052E"/>
    <w:rsid w:val="00EE6FD2"/>
    <w:rsid w:val="00EF1AAA"/>
    <w:rsid w:val="00EF4E2B"/>
    <w:rsid w:val="00EF619B"/>
    <w:rsid w:val="00F00B55"/>
    <w:rsid w:val="00F02AD1"/>
    <w:rsid w:val="00F253CC"/>
    <w:rsid w:val="00F32B3B"/>
    <w:rsid w:val="00F3464C"/>
    <w:rsid w:val="00F37106"/>
    <w:rsid w:val="00F44E25"/>
    <w:rsid w:val="00F519CF"/>
    <w:rsid w:val="00F56BA5"/>
    <w:rsid w:val="00F60E22"/>
    <w:rsid w:val="00F70944"/>
    <w:rsid w:val="00F76E1D"/>
    <w:rsid w:val="00F7727A"/>
    <w:rsid w:val="00F81395"/>
    <w:rsid w:val="00F81BB8"/>
    <w:rsid w:val="00F90C64"/>
    <w:rsid w:val="00F91595"/>
    <w:rsid w:val="00F917D1"/>
    <w:rsid w:val="00F95026"/>
    <w:rsid w:val="00F9653B"/>
    <w:rsid w:val="00FB62CF"/>
    <w:rsid w:val="00FC5AF8"/>
    <w:rsid w:val="00FD3C3B"/>
    <w:rsid w:val="00FE07DD"/>
    <w:rsid w:val="00FE4F3C"/>
    <w:rsid w:val="00FE6B45"/>
    <w:rsid w:val="00FF0263"/>
    <w:rsid w:val="00FF3581"/>
    <w:rsid w:val="00FF389E"/>
    <w:rsid w:val="00FF55F3"/>
    <w:rsid w:val="00FF5851"/>
    <w:rsid w:val="00FF5F1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7B6EB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765BB1"/>
    <w:rPr>
      <w:sz w:val="16"/>
      <w:szCs w:val="16"/>
    </w:rPr>
  </w:style>
  <w:style w:type="paragraph" w:styleId="CommentText">
    <w:name w:val="annotation text"/>
    <w:basedOn w:val="Normal"/>
    <w:link w:val="CommentTextChar"/>
    <w:uiPriority w:val="99"/>
    <w:semiHidden/>
    <w:unhideWhenUsed/>
    <w:rsid w:val="00765BB1"/>
    <w:rPr>
      <w:sz w:val="20"/>
      <w:szCs w:val="20"/>
    </w:rPr>
  </w:style>
  <w:style w:type="character" w:customStyle="1" w:styleId="CommentTextChar">
    <w:name w:val="Comment Text Char"/>
    <w:basedOn w:val="DefaultParagraphFont"/>
    <w:link w:val="CommentText"/>
    <w:uiPriority w:val="99"/>
    <w:semiHidden/>
    <w:rsid w:val="00765BB1"/>
    <w:rPr>
      <w:lang w:val="en-US" w:eastAsia="en-US"/>
    </w:rPr>
  </w:style>
  <w:style w:type="paragraph" w:styleId="CommentSubject">
    <w:name w:val="annotation subject"/>
    <w:basedOn w:val="CommentText"/>
    <w:next w:val="CommentText"/>
    <w:link w:val="CommentSubjectChar"/>
    <w:uiPriority w:val="99"/>
    <w:semiHidden/>
    <w:unhideWhenUsed/>
    <w:rsid w:val="00765BB1"/>
    <w:rPr>
      <w:b/>
      <w:bCs/>
    </w:rPr>
  </w:style>
  <w:style w:type="character" w:customStyle="1" w:styleId="CommentSubjectChar">
    <w:name w:val="Comment Subject Char"/>
    <w:basedOn w:val="CommentTextChar"/>
    <w:link w:val="CommentSubject"/>
    <w:uiPriority w:val="99"/>
    <w:semiHidden/>
    <w:rsid w:val="00765BB1"/>
    <w:rPr>
      <w:b/>
      <w:bCs/>
      <w:lang w:val="en-US" w:eastAsia="en-US"/>
    </w:rPr>
  </w:style>
  <w:style w:type="paragraph" w:customStyle="1" w:styleId="paragraph">
    <w:name w:val="paragraph"/>
    <w:basedOn w:val="Normal"/>
    <w:rsid w:val="00187B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87BC4"/>
  </w:style>
  <w:style w:type="character" w:customStyle="1" w:styleId="eop">
    <w:name w:val="eop"/>
    <w:basedOn w:val="DefaultParagraphFont"/>
    <w:rsid w:val="0018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17343F"/>
    <w:rsid w:val="00200821"/>
    <w:rsid w:val="0025245B"/>
    <w:rsid w:val="002A3923"/>
    <w:rsid w:val="00394049"/>
    <w:rsid w:val="003A4E66"/>
    <w:rsid w:val="00400546"/>
    <w:rsid w:val="00470FD2"/>
    <w:rsid w:val="004B5BBB"/>
    <w:rsid w:val="004F2DF8"/>
    <w:rsid w:val="00612B17"/>
    <w:rsid w:val="006F24A1"/>
    <w:rsid w:val="00886A41"/>
    <w:rsid w:val="00887DAC"/>
    <w:rsid w:val="009A261B"/>
    <w:rsid w:val="00AA2E17"/>
    <w:rsid w:val="00AC15A4"/>
    <w:rsid w:val="00B0336C"/>
    <w:rsid w:val="00C806CB"/>
    <w:rsid w:val="00D241E9"/>
    <w:rsid w:val="00D7750D"/>
    <w:rsid w:val="00E104B6"/>
    <w:rsid w:val="00E40BA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4083</Words>
  <Characters>23276</Characters>
  <Application>Microsoft Office Word</Application>
  <DocSecurity>0</DocSecurity>
  <Lines>193</Lines>
  <Paragraphs>54</Paragraphs>
  <ScaleCrop>false</ScaleCrop>
  <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2023-07-10T21:35:00Z</dcterms:created>
  <dcterms:modified xsi:type="dcterms:W3CDTF">2023-07-10T21:35:00Z</dcterms:modified>
</cp:coreProperties>
</file>