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54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1A0D6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30FD">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037D64">
                              <w:rPr>
                                <w:rFonts w:asciiTheme="majorHAnsi" w:hAnsiTheme="majorHAnsi" w:cs="Arial"/>
                                <w:b/>
                                <w:bCs/>
                                <w:color w:val="0D0D0D" w:themeColor="text1" w:themeTint="F2"/>
                                <w:sz w:val="36"/>
                                <w:szCs w:val="22"/>
                                <w:lang w:val="es-ES_tradnl"/>
                              </w:rPr>
                              <w:t>2</w:t>
                            </w:r>
                            <w:r w:rsidR="006330FD">
                              <w:rPr>
                                <w:rFonts w:asciiTheme="majorHAnsi" w:hAnsiTheme="majorHAnsi" w:cs="Arial"/>
                                <w:b/>
                                <w:bCs/>
                                <w:color w:val="0D0D0D" w:themeColor="text1" w:themeTint="F2"/>
                                <w:sz w:val="36"/>
                                <w:szCs w:val="22"/>
                                <w:lang w:val="es-ES_tradnl"/>
                              </w:rPr>
                              <w:t>3</w:t>
                            </w:r>
                          </w:p>
                          <w:p w14:paraId="45F30ECA" w14:textId="64D4EB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7D64">
                              <w:rPr>
                                <w:rFonts w:asciiTheme="majorHAnsi" w:hAnsiTheme="majorHAnsi" w:cs="Arial"/>
                                <w:b/>
                                <w:color w:val="0D0D0D" w:themeColor="text1" w:themeTint="F2"/>
                                <w:sz w:val="36"/>
                                <w:szCs w:val="22"/>
                                <w:lang w:val="es-ES_tradnl"/>
                              </w:rPr>
                              <w:t>367-13</w:t>
                            </w:r>
                            <w:r w:rsidR="00246D1F" w:rsidRPr="004E2649">
                              <w:rPr>
                                <w:rFonts w:asciiTheme="majorHAnsi" w:hAnsiTheme="majorHAnsi" w:cs="Arial"/>
                                <w:b/>
                                <w:color w:val="0D0D0D" w:themeColor="text1" w:themeTint="F2"/>
                                <w:sz w:val="36"/>
                                <w:szCs w:val="22"/>
                                <w:lang w:val="es-ES_tradnl"/>
                              </w:rPr>
                              <w:t xml:space="preserve"> </w:t>
                            </w:r>
                          </w:p>
                          <w:p w14:paraId="188B4303" w14:textId="574DCA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A091EB0" w:rsidR="005B52B0" w:rsidRPr="0010736F" w:rsidRDefault="00037D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GERARDO PIAMBA CASTRO Y FAMILIA </w:t>
                            </w:r>
                          </w:p>
                          <w:bookmarkEnd w:id="0"/>
                          <w:p w14:paraId="0B9F7D22" w14:textId="032146EA" w:rsidR="005B52B0" w:rsidRPr="00F56ECB" w:rsidRDefault="00037D6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1A0D6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30FD">
                        <w:rPr>
                          <w:rFonts w:asciiTheme="majorHAnsi" w:hAnsiTheme="majorHAnsi" w:cs="Arial"/>
                          <w:b/>
                          <w:bCs/>
                          <w:color w:val="0D0D0D" w:themeColor="text1" w:themeTint="F2"/>
                          <w:sz w:val="36"/>
                          <w:szCs w:val="22"/>
                          <w:lang w:val="es-ES_tradnl"/>
                        </w:rPr>
                        <w:t>9</w:t>
                      </w:r>
                      <w:r w:rsidR="007B05C4">
                        <w:rPr>
                          <w:rFonts w:asciiTheme="majorHAnsi" w:hAnsiTheme="majorHAnsi" w:cs="Arial"/>
                          <w:b/>
                          <w:bCs/>
                          <w:color w:val="0D0D0D" w:themeColor="text1" w:themeTint="F2"/>
                          <w:sz w:val="36"/>
                          <w:szCs w:val="22"/>
                          <w:lang w:val="es-ES_tradnl"/>
                        </w:rPr>
                        <w:t>/</w:t>
                      </w:r>
                      <w:r w:rsidR="00037D64">
                        <w:rPr>
                          <w:rFonts w:asciiTheme="majorHAnsi" w:hAnsiTheme="majorHAnsi" w:cs="Arial"/>
                          <w:b/>
                          <w:bCs/>
                          <w:color w:val="0D0D0D" w:themeColor="text1" w:themeTint="F2"/>
                          <w:sz w:val="36"/>
                          <w:szCs w:val="22"/>
                          <w:lang w:val="es-ES_tradnl"/>
                        </w:rPr>
                        <w:t>2</w:t>
                      </w:r>
                      <w:r w:rsidR="006330FD">
                        <w:rPr>
                          <w:rFonts w:asciiTheme="majorHAnsi" w:hAnsiTheme="majorHAnsi" w:cs="Arial"/>
                          <w:b/>
                          <w:bCs/>
                          <w:color w:val="0D0D0D" w:themeColor="text1" w:themeTint="F2"/>
                          <w:sz w:val="36"/>
                          <w:szCs w:val="22"/>
                          <w:lang w:val="es-ES_tradnl"/>
                        </w:rPr>
                        <w:t>3</w:t>
                      </w:r>
                    </w:p>
                    <w:p w14:paraId="45F30ECA" w14:textId="64D4EB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7D64">
                        <w:rPr>
                          <w:rFonts w:asciiTheme="majorHAnsi" w:hAnsiTheme="majorHAnsi" w:cs="Arial"/>
                          <w:b/>
                          <w:color w:val="0D0D0D" w:themeColor="text1" w:themeTint="F2"/>
                          <w:sz w:val="36"/>
                          <w:szCs w:val="22"/>
                          <w:lang w:val="es-ES_tradnl"/>
                        </w:rPr>
                        <w:t>367-13</w:t>
                      </w:r>
                      <w:r w:rsidR="00246D1F" w:rsidRPr="004E2649">
                        <w:rPr>
                          <w:rFonts w:asciiTheme="majorHAnsi" w:hAnsiTheme="majorHAnsi" w:cs="Arial"/>
                          <w:b/>
                          <w:color w:val="0D0D0D" w:themeColor="text1" w:themeTint="F2"/>
                          <w:sz w:val="36"/>
                          <w:szCs w:val="22"/>
                          <w:lang w:val="es-ES_tradnl"/>
                        </w:rPr>
                        <w:t xml:space="preserve"> </w:t>
                      </w:r>
                    </w:p>
                    <w:p w14:paraId="188B4303" w14:textId="574DCAC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A091EB0" w:rsidR="005B52B0" w:rsidRPr="0010736F" w:rsidRDefault="00037D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GERARDO PIAMBA CASTRO Y FAMILIA </w:t>
                      </w:r>
                    </w:p>
                    <w:bookmarkEnd w:id="1"/>
                    <w:p w14:paraId="0B9F7D22" w14:textId="032146EA" w:rsidR="005B52B0" w:rsidRPr="00F56ECB" w:rsidRDefault="00037D6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A810733" w:rsidR="00627C9F" w:rsidRPr="00C256AF" w:rsidRDefault="00834D49" w:rsidP="007A5817">
                            <w:pPr>
                              <w:spacing w:line="276" w:lineRule="auto"/>
                              <w:jc w:val="right"/>
                              <w:rPr>
                                <w:rFonts w:asciiTheme="minorHAnsi" w:hAnsiTheme="minorHAnsi"/>
                                <w:color w:val="FFFFFF" w:themeColor="background1"/>
                                <w:sz w:val="22"/>
                                <w:lang w:val="es-ES"/>
                              </w:rPr>
                            </w:pPr>
                            <w:r w:rsidRPr="00C256AF">
                              <w:rPr>
                                <w:rFonts w:asciiTheme="minorHAnsi" w:hAnsiTheme="minorHAnsi"/>
                                <w:color w:val="FFFFFF" w:themeColor="background1"/>
                                <w:sz w:val="22"/>
                                <w:lang w:val="es-ES"/>
                              </w:rPr>
                              <w:t>OEA/Ser.L/V/II</w:t>
                            </w:r>
                          </w:p>
                          <w:p w14:paraId="71D2D5D2" w14:textId="065D0E34" w:rsidR="00627C9F" w:rsidRPr="00C256AF" w:rsidRDefault="00627C9F" w:rsidP="007A5817">
                            <w:pPr>
                              <w:spacing w:line="276" w:lineRule="auto"/>
                              <w:jc w:val="right"/>
                              <w:rPr>
                                <w:rFonts w:asciiTheme="minorHAnsi" w:hAnsiTheme="minorHAnsi"/>
                                <w:color w:val="FFFFFF" w:themeColor="background1"/>
                                <w:sz w:val="22"/>
                                <w:lang w:val="es-ES"/>
                              </w:rPr>
                            </w:pPr>
                            <w:r w:rsidRPr="00C256AF">
                              <w:rPr>
                                <w:rFonts w:asciiTheme="minorHAnsi" w:hAnsiTheme="minorHAnsi"/>
                                <w:color w:val="FFFFFF" w:themeColor="background1"/>
                                <w:sz w:val="22"/>
                                <w:lang w:val="es-ES"/>
                              </w:rPr>
                              <w:t xml:space="preserve">Doc. </w:t>
                            </w:r>
                            <w:r w:rsidR="007C5871" w:rsidRPr="00C256AF">
                              <w:rPr>
                                <w:rFonts w:asciiTheme="minorHAnsi" w:hAnsiTheme="minorHAnsi"/>
                                <w:color w:val="FFFFFF" w:themeColor="background1"/>
                                <w:sz w:val="22"/>
                                <w:lang w:val="es-ES"/>
                              </w:rPr>
                              <w:t>11</w:t>
                            </w:r>
                          </w:p>
                          <w:p w14:paraId="4061DBBD" w14:textId="55DD58D9" w:rsidR="00627C9F" w:rsidRPr="00C25ADB" w:rsidRDefault="007C587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A810733" w:rsidR="00627C9F" w:rsidRPr="00C256AF" w:rsidRDefault="00834D49" w:rsidP="007A5817">
                      <w:pPr>
                        <w:spacing w:line="276" w:lineRule="auto"/>
                        <w:jc w:val="right"/>
                        <w:rPr>
                          <w:rFonts w:asciiTheme="minorHAnsi" w:hAnsiTheme="minorHAnsi"/>
                          <w:color w:val="FFFFFF" w:themeColor="background1"/>
                          <w:sz w:val="22"/>
                          <w:lang w:val="es-ES"/>
                        </w:rPr>
                      </w:pPr>
                      <w:r w:rsidRPr="00C256AF">
                        <w:rPr>
                          <w:rFonts w:asciiTheme="minorHAnsi" w:hAnsiTheme="minorHAnsi"/>
                          <w:color w:val="FFFFFF" w:themeColor="background1"/>
                          <w:sz w:val="22"/>
                          <w:lang w:val="es-ES"/>
                        </w:rPr>
                        <w:t>OEA/Ser.L/V/II</w:t>
                      </w:r>
                    </w:p>
                    <w:p w14:paraId="71D2D5D2" w14:textId="065D0E34" w:rsidR="00627C9F" w:rsidRPr="00C256AF" w:rsidRDefault="00627C9F" w:rsidP="007A5817">
                      <w:pPr>
                        <w:spacing w:line="276" w:lineRule="auto"/>
                        <w:jc w:val="right"/>
                        <w:rPr>
                          <w:rFonts w:asciiTheme="minorHAnsi" w:hAnsiTheme="minorHAnsi"/>
                          <w:color w:val="FFFFFF" w:themeColor="background1"/>
                          <w:sz w:val="22"/>
                          <w:lang w:val="es-ES"/>
                        </w:rPr>
                      </w:pPr>
                      <w:r w:rsidRPr="00C256AF">
                        <w:rPr>
                          <w:rFonts w:asciiTheme="minorHAnsi" w:hAnsiTheme="minorHAnsi"/>
                          <w:color w:val="FFFFFF" w:themeColor="background1"/>
                          <w:sz w:val="22"/>
                          <w:lang w:val="es-ES"/>
                        </w:rPr>
                        <w:t xml:space="preserve">Doc. </w:t>
                      </w:r>
                      <w:r w:rsidR="007C5871" w:rsidRPr="00C256AF">
                        <w:rPr>
                          <w:rFonts w:asciiTheme="minorHAnsi" w:hAnsiTheme="minorHAnsi"/>
                          <w:color w:val="FFFFFF" w:themeColor="background1"/>
                          <w:sz w:val="22"/>
                          <w:lang w:val="es-ES"/>
                        </w:rPr>
                        <w:t>11</w:t>
                      </w:r>
                    </w:p>
                    <w:p w14:paraId="4061DBBD" w14:textId="55DD58D9" w:rsidR="00627C9F" w:rsidRPr="00C25ADB" w:rsidRDefault="007C587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70128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C587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7C587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17A06">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70128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C587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7C587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17A06">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FC042" w14:textId="43CB9F94" w:rsidR="00C256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C256A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Informe No. </w:t>
                            </w:r>
                            <w:r w:rsidR="00817A06" w:rsidRPr="00817A06">
                              <w:rPr>
                                <w:rFonts w:asciiTheme="majorHAnsi" w:hAnsiTheme="majorHAnsi"/>
                                <w:color w:val="595959" w:themeColor="text1" w:themeTint="A6"/>
                                <w:sz w:val="18"/>
                                <w:szCs w:val="18"/>
                                <w:lang w:val="pt-BR"/>
                              </w:rPr>
                              <w:t>9</w:t>
                            </w:r>
                            <w:r w:rsidR="007B05C4" w:rsidRPr="00817A06">
                              <w:rPr>
                                <w:rFonts w:asciiTheme="majorHAnsi" w:hAnsiTheme="majorHAnsi"/>
                                <w:color w:val="595959" w:themeColor="text1" w:themeTint="A6"/>
                                <w:sz w:val="18"/>
                                <w:szCs w:val="18"/>
                                <w:lang w:val="pt-BR"/>
                              </w:rPr>
                              <w:t>/</w:t>
                            </w:r>
                            <w:r w:rsidR="007463A3" w:rsidRPr="00817A06">
                              <w:rPr>
                                <w:rFonts w:asciiTheme="majorHAnsi" w:hAnsiTheme="majorHAnsi"/>
                                <w:color w:val="595959" w:themeColor="text1" w:themeTint="A6"/>
                                <w:sz w:val="18"/>
                                <w:szCs w:val="18"/>
                                <w:lang w:val="pt-BR"/>
                              </w:rPr>
                              <w:t>2</w:t>
                            </w:r>
                            <w:r w:rsidR="00817A06" w:rsidRPr="00817A06">
                              <w:rPr>
                                <w:rFonts w:asciiTheme="majorHAnsi" w:hAnsiTheme="majorHAnsi"/>
                                <w:color w:val="595959" w:themeColor="text1" w:themeTint="A6"/>
                                <w:sz w:val="18"/>
                                <w:szCs w:val="18"/>
                                <w:lang w:val="pt-BR"/>
                              </w:rPr>
                              <w:t>3</w:t>
                            </w:r>
                            <w:r w:rsidRPr="00817A06">
                              <w:rPr>
                                <w:rFonts w:asciiTheme="majorHAnsi" w:hAnsiTheme="majorHAnsi"/>
                                <w:color w:val="595959" w:themeColor="text1" w:themeTint="A6"/>
                                <w:sz w:val="18"/>
                                <w:szCs w:val="18"/>
                                <w:lang w:val="pt-BR"/>
                              </w:rPr>
                              <w:t>.</w:t>
                            </w:r>
                            <w:r w:rsidR="00C256AF">
                              <w:rPr>
                                <w:rFonts w:asciiTheme="majorHAnsi" w:hAnsiTheme="majorHAnsi"/>
                                <w:color w:val="595959" w:themeColor="text1" w:themeTint="A6"/>
                                <w:sz w:val="18"/>
                                <w:szCs w:val="18"/>
                                <w:lang w:val="pt-BR"/>
                              </w:rPr>
                              <w:t xml:space="preserve"> </w:t>
                            </w:r>
                            <w:r w:rsidRPr="00817A0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C256AF">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007463A3">
                              <w:rPr>
                                <w:rFonts w:asciiTheme="majorHAnsi" w:hAnsiTheme="majorHAnsi"/>
                                <w:color w:val="595959" w:themeColor="text1" w:themeTint="A6"/>
                                <w:sz w:val="18"/>
                                <w:szCs w:val="18"/>
                                <w:lang w:val="es-ES"/>
                              </w:rPr>
                              <w:t>367</w:t>
                            </w:r>
                            <w:r w:rsidR="000433C9">
                              <w:rPr>
                                <w:rFonts w:asciiTheme="majorHAnsi" w:hAnsiTheme="majorHAnsi"/>
                                <w:color w:val="595959" w:themeColor="text1" w:themeTint="A6"/>
                                <w:sz w:val="18"/>
                                <w:szCs w:val="18"/>
                                <w:lang w:val="es-ES"/>
                              </w:rPr>
                              <w:t>-</w:t>
                            </w:r>
                            <w:r w:rsidR="007463A3">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w:t>
                            </w:r>
                            <w:r w:rsidR="00C256AF">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7463A3">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p>
                          <w:p w14:paraId="7FD77785" w14:textId="470978E5" w:rsidR="00113F73" w:rsidRPr="007B05C4" w:rsidRDefault="007463A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José Gerardo Piamba Castro y </w:t>
                            </w:r>
                            <w:r w:rsidR="002F23EA">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w:t>
                            </w:r>
                            <w:r w:rsidR="007D41B4">
                              <w:rPr>
                                <w:rFonts w:asciiTheme="majorHAnsi" w:hAnsiTheme="majorHAnsi"/>
                                <w:color w:val="595959" w:themeColor="text1" w:themeTint="A6"/>
                                <w:sz w:val="18"/>
                                <w:szCs w:val="18"/>
                                <w:lang w:val="es-ES_tradnl"/>
                              </w:rPr>
                              <w:t>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2F23EA">
                              <w:rPr>
                                <w:rFonts w:asciiTheme="majorHAnsi" w:hAnsiTheme="majorHAnsi"/>
                                <w:color w:val="595959" w:themeColor="text1" w:themeTint="A6"/>
                                <w:sz w:val="18"/>
                                <w:szCs w:val="18"/>
                                <w:lang w:val="es-ES"/>
                              </w:rPr>
                              <w:t>24 de febrero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6FC042" w14:textId="43CB9F94" w:rsidR="00C256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C256A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Informe No. </w:t>
                      </w:r>
                      <w:r w:rsidR="00817A06" w:rsidRPr="00817A06">
                        <w:rPr>
                          <w:rFonts w:asciiTheme="majorHAnsi" w:hAnsiTheme="majorHAnsi"/>
                          <w:color w:val="595959" w:themeColor="text1" w:themeTint="A6"/>
                          <w:sz w:val="18"/>
                          <w:szCs w:val="18"/>
                          <w:lang w:val="pt-BR"/>
                        </w:rPr>
                        <w:t>9</w:t>
                      </w:r>
                      <w:r w:rsidR="007B05C4" w:rsidRPr="00817A06">
                        <w:rPr>
                          <w:rFonts w:asciiTheme="majorHAnsi" w:hAnsiTheme="majorHAnsi"/>
                          <w:color w:val="595959" w:themeColor="text1" w:themeTint="A6"/>
                          <w:sz w:val="18"/>
                          <w:szCs w:val="18"/>
                          <w:lang w:val="pt-BR"/>
                        </w:rPr>
                        <w:t>/</w:t>
                      </w:r>
                      <w:r w:rsidR="007463A3" w:rsidRPr="00817A06">
                        <w:rPr>
                          <w:rFonts w:asciiTheme="majorHAnsi" w:hAnsiTheme="majorHAnsi"/>
                          <w:color w:val="595959" w:themeColor="text1" w:themeTint="A6"/>
                          <w:sz w:val="18"/>
                          <w:szCs w:val="18"/>
                          <w:lang w:val="pt-BR"/>
                        </w:rPr>
                        <w:t>2</w:t>
                      </w:r>
                      <w:r w:rsidR="00817A06" w:rsidRPr="00817A06">
                        <w:rPr>
                          <w:rFonts w:asciiTheme="majorHAnsi" w:hAnsiTheme="majorHAnsi"/>
                          <w:color w:val="595959" w:themeColor="text1" w:themeTint="A6"/>
                          <w:sz w:val="18"/>
                          <w:szCs w:val="18"/>
                          <w:lang w:val="pt-BR"/>
                        </w:rPr>
                        <w:t>3</w:t>
                      </w:r>
                      <w:r w:rsidRPr="00817A06">
                        <w:rPr>
                          <w:rFonts w:asciiTheme="majorHAnsi" w:hAnsiTheme="majorHAnsi"/>
                          <w:color w:val="595959" w:themeColor="text1" w:themeTint="A6"/>
                          <w:sz w:val="18"/>
                          <w:szCs w:val="18"/>
                          <w:lang w:val="pt-BR"/>
                        </w:rPr>
                        <w:t>.</w:t>
                      </w:r>
                      <w:r w:rsidR="00C256AF">
                        <w:rPr>
                          <w:rFonts w:asciiTheme="majorHAnsi" w:hAnsiTheme="majorHAnsi"/>
                          <w:color w:val="595959" w:themeColor="text1" w:themeTint="A6"/>
                          <w:sz w:val="18"/>
                          <w:szCs w:val="18"/>
                          <w:lang w:val="pt-BR"/>
                        </w:rPr>
                        <w:t xml:space="preserve"> </w:t>
                      </w:r>
                      <w:r w:rsidRPr="00817A0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C256AF">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007463A3">
                        <w:rPr>
                          <w:rFonts w:asciiTheme="majorHAnsi" w:hAnsiTheme="majorHAnsi"/>
                          <w:color w:val="595959" w:themeColor="text1" w:themeTint="A6"/>
                          <w:sz w:val="18"/>
                          <w:szCs w:val="18"/>
                          <w:lang w:val="es-ES"/>
                        </w:rPr>
                        <w:t>367</w:t>
                      </w:r>
                      <w:r w:rsidR="000433C9">
                        <w:rPr>
                          <w:rFonts w:asciiTheme="majorHAnsi" w:hAnsiTheme="majorHAnsi"/>
                          <w:color w:val="595959" w:themeColor="text1" w:themeTint="A6"/>
                          <w:sz w:val="18"/>
                          <w:szCs w:val="18"/>
                          <w:lang w:val="es-ES"/>
                        </w:rPr>
                        <w:t>-</w:t>
                      </w:r>
                      <w:r w:rsidR="007463A3">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w:t>
                      </w:r>
                      <w:r w:rsidR="00C256AF">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7463A3">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p>
                    <w:p w14:paraId="7FD77785" w14:textId="470978E5" w:rsidR="00113F73" w:rsidRPr="007B05C4" w:rsidRDefault="007463A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José Gerardo Piamba Castro y </w:t>
                      </w:r>
                      <w:r w:rsidR="002F23EA">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w:t>
                      </w:r>
                      <w:r w:rsidR="007D41B4">
                        <w:rPr>
                          <w:rFonts w:asciiTheme="majorHAnsi" w:hAnsiTheme="majorHAnsi"/>
                          <w:color w:val="595959" w:themeColor="text1" w:themeTint="A6"/>
                          <w:sz w:val="18"/>
                          <w:szCs w:val="18"/>
                          <w:lang w:val="es-ES_tradnl"/>
                        </w:rPr>
                        <w:t>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2F23EA">
                        <w:rPr>
                          <w:rFonts w:asciiTheme="majorHAnsi" w:hAnsiTheme="majorHAnsi"/>
                          <w:color w:val="595959" w:themeColor="text1" w:themeTint="A6"/>
                          <w:sz w:val="18"/>
                          <w:szCs w:val="18"/>
                          <w:lang w:val="es-ES"/>
                        </w:rPr>
                        <w:t>24 de febrero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40EA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9E10600" w:rsidR="003239B8" w:rsidRPr="00940EAD" w:rsidRDefault="007463A3" w:rsidP="008D2290">
            <w:pPr>
              <w:jc w:val="both"/>
              <w:rPr>
                <w:rFonts w:ascii="Cambria" w:hAnsi="Cambria"/>
                <w:bCs/>
                <w:sz w:val="20"/>
                <w:szCs w:val="20"/>
                <w:lang w:val="es-PA"/>
              </w:rPr>
            </w:pPr>
            <w:r w:rsidRPr="00940EAD">
              <w:rPr>
                <w:rFonts w:ascii="Cambria" w:hAnsi="Cambria"/>
                <w:bCs/>
                <w:sz w:val="20"/>
                <w:szCs w:val="20"/>
                <w:lang w:val="es-PA"/>
              </w:rPr>
              <w:t>José Gerardo Piamba Castro</w:t>
            </w:r>
            <w:r w:rsidR="00940EAD" w:rsidRPr="00940EAD">
              <w:rPr>
                <w:rFonts w:ascii="Cambria" w:hAnsi="Cambria"/>
                <w:bCs/>
                <w:sz w:val="20"/>
                <w:szCs w:val="20"/>
                <w:lang w:val="es-PA"/>
              </w:rPr>
              <w:t xml:space="preserve"> y</w:t>
            </w:r>
            <w:r w:rsidR="00940EAD">
              <w:rPr>
                <w:rFonts w:ascii="Cambria" w:hAnsi="Cambria"/>
                <w:bCs/>
                <w:sz w:val="20"/>
                <w:szCs w:val="20"/>
                <w:lang w:val="es-PA"/>
              </w:rPr>
              <w:t xml:space="preserve"> Jorge Mario Gómez Restrepo</w:t>
            </w:r>
          </w:p>
        </w:tc>
      </w:tr>
      <w:tr w:rsidR="003239B8" w:rsidRPr="00120B2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DF087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D233D81" w:rsidR="003239B8" w:rsidRPr="000D05CB" w:rsidRDefault="007463A3" w:rsidP="008D2290">
            <w:pPr>
              <w:jc w:val="both"/>
              <w:rPr>
                <w:rFonts w:ascii="Cambria" w:hAnsi="Cambria"/>
                <w:bCs/>
                <w:sz w:val="20"/>
                <w:szCs w:val="20"/>
                <w:lang w:val="es-ES"/>
              </w:rPr>
            </w:pPr>
            <w:r>
              <w:rPr>
                <w:rFonts w:ascii="Cambria" w:hAnsi="Cambria"/>
                <w:bCs/>
                <w:sz w:val="20"/>
                <w:szCs w:val="20"/>
                <w:lang w:val="es-ES"/>
              </w:rPr>
              <w:t xml:space="preserve">José Gerardo Piamba Castro y familia </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93A2411" w:rsidR="003239B8" w:rsidRPr="000D05CB" w:rsidRDefault="007463A3"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FE301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E0636F3" w:rsidR="00223A29" w:rsidRPr="00A11089" w:rsidRDefault="007463A3" w:rsidP="008D2290">
            <w:pPr>
              <w:jc w:val="both"/>
              <w:rPr>
                <w:rFonts w:ascii="Cambria" w:hAnsi="Cambria"/>
                <w:bCs/>
                <w:sz w:val="20"/>
                <w:szCs w:val="20"/>
                <w:lang w:val="es-PA"/>
              </w:rPr>
            </w:pPr>
            <w:r w:rsidRPr="00A11089">
              <w:rPr>
                <w:rFonts w:ascii="Cambria" w:hAnsi="Cambria"/>
                <w:bCs/>
                <w:sz w:val="20"/>
                <w:szCs w:val="20"/>
                <w:lang w:val="es-PA"/>
              </w:rPr>
              <w:t xml:space="preserve">Artículos </w:t>
            </w:r>
            <w:r w:rsidR="00A11089" w:rsidRPr="00A11089">
              <w:rPr>
                <w:rFonts w:ascii="Cambria" w:hAnsi="Cambria"/>
                <w:bCs/>
                <w:sz w:val="20"/>
                <w:szCs w:val="20"/>
                <w:lang w:val="es-PA"/>
              </w:rPr>
              <w:t xml:space="preserve">5 (integridad personal), 7 (libertad </w:t>
            </w:r>
            <w:r w:rsidR="00A11089">
              <w:rPr>
                <w:rFonts w:ascii="Cambria" w:hAnsi="Cambria"/>
                <w:bCs/>
                <w:sz w:val="20"/>
                <w:szCs w:val="20"/>
                <w:lang w:val="es-PA"/>
              </w:rPr>
              <w:t>personal), 8 (garantías judiciales), 11 (honra y dignidad), 17 (protección a la familia) y 24 (igualdad ante la ley) de la Convención Americana sobre Derechos Humanos</w:t>
            </w:r>
            <w:r w:rsidR="00A11089">
              <w:rPr>
                <w:rStyle w:val="FootnoteReference"/>
                <w:rFonts w:ascii="Cambria" w:hAnsi="Cambria"/>
                <w:bCs/>
                <w:sz w:val="20"/>
                <w:szCs w:val="20"/>
                <w:lang w:val="es-PA"/>
              </w:rPr>
              <w:footnoteReference w:id="3"/>
            </w:r>
            <w:r w:rsidR="00FE301F">
              <w:rPr>
                <w:rFonts w:ascii="Cambria" w:hAnsi="Cambria"/>
                <w:bCs/>
                <w:sz w:val="20"/>
                <w:szCs w:val="20"/>
                <w:lang w:val="es-PA"/>
              </w:rPr>
              <w:t>,</w:t>
            </w:r>
            <w:r w:rsidR="00A11089">
              <w:rPr>
                <w:rFonts w:ascii="Cambria" w:hAnsi="Cambria"/>
                <w:bCs/>
                <w:sz w:val="20"/>
                <w:szCs w:val="20"/>
                <w:lang w:val="es-PA"/>
              </w:rPr>
              <w:t xml:space="preserve">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FD70B72" w:rsidR="004C2312" w:rsidRPr="003239B8" w:rsidRDefault="009221C9" w:rsidP="002625EA">
            <w:pPr>
              <w:jc w:val="both"/>
              <w:rPr>
                <w:rFonts w:ascii="Cambria" w:hAnsi="Cambria"/>
                <w:bCs/>
                <w:sz w:val="20"/>
                <w:szCs w:val="20"/>
                <w:lang w:val="es-ES"/>
              </w:rPr>
            </w:pPr>
            <w:r>
              <w:rPr>
                <w:rFonts w:ascii="Cambria" w:hAnsi="Cambria"/>
                <w:bCs/>
                <w:sz w:val="20"/>
                <w:szCs w:val="20"/>
                <w:lang w:val="es-ES"/>
              </w:rPr>
              <w:t>4 de marzo de 2013</w:t>
            </w:r>
          </w:p>
        </w:tc>
      </w:tr>
      <w:tr w:rsidR="00131425" w:rsidRPr="00037D6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531EF52" w:rsidR="00131425" w:rsidRPr="003239B8" w:rsidRDefault="00940EAD" w:rsidP="002625EA">
            <w:pPr>
              <w:jc w:val="both"/>
              <w:rPr>
                <w:rFonts w:ascii="Cambria" w:hAnsi="Cambria"/>
                <w:bCs/>
                <w:sz w:val="20"/>
                <w:szCs w:val="20"/>
                <w:lang w:val="es-ES"/>
              </w:rPr>
            </w:pPr>
            <w:r>
              <w:rPr>
                <w:rFonts w:ascii="Cambria" w:hAnsi="Cambria"/>
                <w:bCs/>
                <w:sz w:val="20"/>
                <w:szCs w:val="20"/>
                <w:lang w:val="es-ES"/>
              </w:rPr>
              <w:t>30 de noviembre de 2015</w:t>
            </w:r>
          </w:p>
        </w:tc>
      </w:tr>
      <w:tr w:rsidR="004C2312" w:rsidRPr="00037D6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3EF6263" w:rsidR="004C2312" w:rsidRPr="003239B8" w:rsidRDefault="00940EAD" w:rsidP="008D2290">
            <w:pPr>
              <w:jc w:val="both"/>
              <w:rPr>
                <w:rFonts w:ascii="Cambria" w:hAnsi="Cambria"/>
                <w:bCs/>
                <w:sz w:val="20"/>
                <w:szCs w:val="20"/>
                <w:lang w:val="es-ES"/>
              </w:rPr>
            </w:pPr>
            <w:r>
              <w:rPr>
                <w:rFonts w:ascii="Cambria" w:hAnsi="Cambria"/>
                <w:bCs/>
                <w:sz w:val="20"/>
                <w:szCs w:val="20"/>
                <w:lang w:val="es-ES"/>
              </w:rPr>
              <w:t>29 de marzo de 2016</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25B14345" w:rsidR="004C2312" w:rsidRPr="003239B8" w:rsidRDefault="00940EAD" w:rsidP="008D2290">
            <w:pPr>
              <w:jc w:val="both"/>
              <w:rPr>
                <w:rFonts w:ascii="Cambria" w:hAnsi="Cambria"/>
                <w:bCs/>
                <w:sz w:val="20"/>
                <w:szCs w:val="20"/>
                <w:lang w:val="es-ES"/>
              </w:rPr>
            </w:pPr>
            <w:r>
              <w:rPr>
                <w:rFonts w:ascii="Cambria" w:hAnsi="Cambria"/>
                <w:bCs/>
                <w:sz w:val="20"/>
                <w:szCs w:val="20"/>
                <w:lang w:val="es-ES"/>
              </w:rPr>
              <w:t>2 de junio de 2017</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4876E7C4" w:rsidR="001E49E7" w:rsidRPr="003239B8" w:rsidRDefault="00940EAD" w:rsidP="002625EA">
            <w:pPr>
              <w:jc w:val="both"/>
              <w:rPr>
                <w:rFonts w:ascii="Cambria" w:hAnsi="Cambria"/>
                <w:bCs/>
                <w:sz w:val="20"/>
                <w:szCs w:val="20"/>
                <w:lang w:val="es-ES"/>
              </w:rPr>
            </w:pPr>
            <w:r>
              <w:rPr>
                <w:rFonts w:ascii="Cambria" w:hAnsi="Cambria"/>
                <w:bCs/>
                <w:sz w:val="20"/>
                <w:szCs w:val="20"/>
                <w:lang w:val="es-ES"/>
              </w:rPr>
              <w:t>18 de septiembre de 2020</w:t>
            </w:r>
          </w:p>
        </w:tc>
      </w:tr>
      <w:tr w:rsidR="001E49E7" w:rsidRPr="00037D64"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6E684CFD" w:rsidR="001E49E7" w:rsidRPr="003239B8" w:rsidRDefault="00940EAD" w:rsidP="002625EA">
            <w:pPr>
              <w:jc w:val="both"/>
              <w:rPr>
                <w:rFonts w:ascii="Cambria" w:hAnsi="Cambria"/>
                <w:bCs/>
                <w:sz w:val="20"/>
                <w:szCs w:val="20"/>
                <w:lang w:val="es-ES"/>
              </w:rPr>
            </w:pPr>
            <w:r>
              <w:rPr>
                <w:rFonts w:ascii="Cambria" w:hAnsi="Cambria"/>
                <w:bCs/>
                <w:sz w:val="20"/>
                <w:szCs w:val="20"/>
                <w:lang w:val="es-ES"/>
              </w:rPr>
              <w:t>16 de febrero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A7927B8" w:rsidR="003239B8" w:rsidRPr="00B3745F" w:rsidRDefault="00940EAD"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0387EAD" w:rsidR="003239B8" w:rsidRPr="00B3745F" w:rsidRDefault="00940EAD"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7EEC811" w:rsidR="003239B8" w:rsidRPr="00B3745F" w:rsidRDefault="00940EAD" w:rsidP="008D2290">
            <w:pPr>
              <w:rPr>
                <w:rFonts w:ascii="Cambria" w:hAnsi="Cambria"/>
                <w:bCs/>
                <w:sz w:val="20"/>
                <w:szCs w:val="20"/>
              </w:rPr>
            </w:pPr>
            <w:r>
              <w:rPr>
                <w:rFonts w:ascii="Cambria" w:hAnsi="Cambria"/>
                <w:bCs/>
                <w:sz w:val="20"/>
                <w:szCs w:val="20"/>
              </w:rPr>
              <w:t>Sí</w:t>
            </w:r>
          </w:p>
        </w:tc>
      </w:tr>
      <w:tr w:rsidR="003239B8" w:rsidRPr="00120B2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18771D7" w:rsidR="003239B8" w:rsidRPr="00B3745F" w:rsidRDefault="00940EAD"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w:t>
            </w:r>
            <w:r w:rsidR="000F30B8">
              <w:rPr>
                <w:rFonts w:ascii="Cambria" w:hAnsi="Cambria"/>
                <w:bCs/>
                <w:sz w:val="20"/>
                <w:szCs w:val="20"/>
                <w:lang w:val="es-ES"/>
              </w:rPr>
              <w:t>ratificación realizado el 31 de julio de 1973)</w:t>
            </w:r>
          </w:p>
        </w:tc>
      </w:tr>
    </w:tbl>
    <w:p w14:paraId="299A3868" w14:textId="3ADA709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E301F" w:rsidRPr="003239B8">
        <w:rPr>
          <w:rFonts w:asciiTheme="majorHAnsi" w:hAnsiTheme="majorHAnsi"/>
          <w:b/>
          <w:bCs/>
          <w:sz w:val="20"/>
          <w:szCs w:val="20"/>
          <w:lang w:val="es-ES"/>
        </w:rPr>
        <w:t>INTERNACIONAL</w:t>
      </w:r>
      <w:r w:rsidR="00FE301F">
        <w:rPr>
          <w:rFonts w:asciiTheme="majorHAnsi" w:hAnsiTheme="majorHAnsi"/>
          <w:b/>
          <w:bCs/>
          <w:sz w:val="20"/>
          <w:szCs w:val="20"/>
          <w:lang w:val="es-ES"/>
        </w:rPr>
        <w:t xml:space="preserve">, </w:t>
      </w:r>
      <w:r w:rsidR="00FE301F"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37D6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806F667" w:rsidR="00EE00E9" w:rsidRPr="00DC24E3" w:rsidRDefault="000F30B8" w:rsidP="008D2290">
            <w:pPr>
              <w:jc w:val="both"/>
              <w:rPr>
                <w:rFonts w:ascii="Cambria" w:hAnsi="Cambria"/>
                <w:bCs/>
                <w:sz w:val="20"/>
                <w:szCs w:val="20"/>
                <w:lang w:val="es-ES"/>
              </w:rPr>
            </w:pPr>
            <w:r>
              <w:rPr>
                <w:rFonts w:ascii="Cambria" w:hAnsi="Cambria"/>
                <w:bCs/>
                <w:sz w:val="20"/>
                <w:szCs w:val="20"/>
                <w:lang w:val="es-ES"/>
              </w:rPr>
              <w:t>No</w:t>
            </w:r>
          </w:p>
        </w:tc>
      </w:tr>
      <w:tr w:rsidR="003239B8" w:rsidRPr="00120B2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F90D019" w:rsidR="003239B8" w:rsidRPr="000F30B8" w:rsidRDefault="000F30B8" w:rsidP="008D2290">
            <w:pPr>
              <w:jc w:val="both"/>
              <w:rPr>
                <w:rFonts w:ascii="Cambria" w:hAnsi="Cambria"/>
                <w:bCs/>
                <w:sz w:val="20"/>
                <w:szCs w:val="20"/>
                <w:lang w:val="es-PA"/>
              </w:rPr>
            </w:pPr>
            <w:r w:rsidRPr="000F30B8">
              <w:rPr>
                <w:rFonts w:ascii="Cambria" w:hAnsi="Cambria"/>
                <w:bCs/>
                <w:sz w:val="20"/>
                <w:szCs w:val="20"/>
                <w:lang w:val="es-PA"/>
              </w:rPr>
              <w:t>Artículos 7 (libertad personal), 8 (garantías j</w:t>
            </w:r>
            <w:r>
              <w:rPr>
                <w:rFonts w:ascii="Cambria" w:hAnsi="Cambria"/>
                <w:bCs/>
                <w:sz w:val="20"/>
                <w:szCs w:val="20"/>
                <w:lang w:val="es-PA"/>
              </w:rPr>
              <w:t>udiciales), 24 (igualdad ante la ley) y 25 (protección judicial) de la Convención Americana en relación con sus artículos 1.1. (obligación de respetar los derechos) y 2 (deber de adoptar disposiciones de derecho interno)</w:t>
            </w:r>
          </w:p>
        </w:tc>
      </w:tr>
      <w:tr w:rsidR="003239B8" w:rsidRPr="00120B2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507DC7C" w:rsidR="003239B8" w:rsidRPr="00DC24E3" w:rsidRDefault="000F30B8" w:rsidP="008D2290">
            <w:pPr>
              <w:rPr>
                <w:rFonts w:ascii="Cambria" w:hAnsi="Cambria"/>
                <w:bCs/>
                <w:sz w:val="20"/>
                <w:szCs w:val="20"/>
                <w:lang w:val="es-ES"/>
              </w:rPr>
            </w:pPr>
            <w:r>
              <w:rPr>
                <w:rFonts w:ascii="Cambria" w:hAnsi="Cambria"/>
                <w:bCs/>
                <w:sz w:val="20"/>
                <w:szCs w:val="20"/>
                <w:lang w:val="es-ES"/>
              </w:rPr>
              <w:t xml:space="preserve">Sí, </w:t>
            </w:r>
            <w:r w:rsidR="006912F8">
              <w:rPr>
                <w:rFonts w:ascii="Cambria" w:hAnsi="Cambria"/>
                <w:bCs/>
                <w:sz w:val="20"/>
                <w:szCs w:val="20"/>
                <w:lang w:val="es-ES"/>
              </w:rPr>
              <w:t>aplica la excepción del artículo 46.</w:t>
            </w:r>
            <w:r w:rsidR="00617488">
              <w:rPr>
                <w:rFonts w:ascii="Cambria" w:hAnsi="Cambria"/>
                <w:bCs/>
                <w:sz w:val="20"/>
                <w:szCs w:val="20"/>
                <w:lang w:val="es-ES"/>
              </w:rPr>
              <w:t>2</w:t>
            </w:r>
            <w:r w:rsidR="006912F8">
              <w:rPr>
                <w:rFonts w:ascii="Cambria" w:hAnsi="Cambria"/>
                <w:bCs/>
                <w:sz w:val="20"/>
                <w:szCs w:val="20"/>
                <w:lang w:val="es-ES"/>
              </w:rPr>
              <w:t>.a) de la Convención</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3ED831D" w:rsidR="003239B8" w:rsidRPr="00DC24E3" w:rsidRDefault="000F30B8" w:rsidP="008D2290">
            <w:pPr>
              <w:rPr>
                <w:rFonts w:ascii="Cambria" w:hAnsi="Cambria"/>
                <w:bCs/>
                <w:sz w:val="20"/>
                <w:szCs w:val="20"/>
              </w:rPr>
            </w:pPr>
            <w:r>
              <w:rPr>
                <w:rFonts w:ascii="Cambria" w:hAnsi="Cambria"/>
                <w:bCs/>
                <w:sz w:val="20"/>
                <w:szCs w:val="20"/>
              </w:rPr>
              <w:t>Sí</w:t>
            </w:r>
          </w:p>
        </w:tc>
      </w:tr>
    </w:tbl>
    <w:p w14:paraId="56FD5D57" w14:textId="3BD0EFD6" w:rsidR="003239B8" w:rsidRPr="004E6391" w:rsidRDefault="00223A29" w:rsidP="00FE301F">
      <w:pPr>
        <w:spacing w:before="240" w:after="240"/>
        <w:ind w:firstLine="720"/>
        <w:jc w:val="both"/>
        <w:rPr>
          <w:rFonts w:asciiTheme="majorHAnsi" w:hAnsiTheme="majorHAnsi"/>
          <w:b/>
          <w:sz w:val="20"/>
          <w:szCs w:val="20"/>
          <w:lang w:val="es-ES_tradnl"/>
        </w:rPr>
      </w:pPr>
      <w:r w:rsidRPr="004E6391">
        <w:rPr>
          <w:rFonts w:asciiTheme="majorHAnsi" w:hAnsiTheme="majorHAnsi"/>
          <w:b/>
          <w:sz w:val="20"/>
          <w:szCs w:val="20"/>
          <w:lang w:val="es-ES_tradnl"/>
        </w:rPr>
        <w:t xml:space="preserve">V. </w:t>
      </w:r>
      <w:r w:rsidRPr="004E6391">
        <w:rPr>
          <w:rFonts w:asciiTheme="majorHAnsi" w:hAnsiTheme="majorHAnsi"/>
          <w:b/>
          <w:sz w:val="20"/>
          <w:szCs w:val="20"/>
          <w:lang w:val="es-ES_tradnl"/>
        </w:rPr>
        <w:tab/>
      </w:r>
      <w:r w:rsidR="004241A0" w:rsidRPr="004E6391">
        <w:rPr>
          <w:rFonts w:asciiTheme="majorHAnsi" w:hAnsiTheme="majorHAnsi"/>
          <w:b/>
          <w:sz w:val="20"/>
          <w:szCs w:val="20"/>
          <w:lang w:val="es-ES_tradnl"/>
        </w:rPr>
        <w:t>POSICIÓN DE LAS PARTES</w:t>
      </w:r>
      <w:r w:rsidR="003239B8" w:rsidRPr="004E6391">
        <w:rPr>
          <w:rFonts w:asciiTheme="majorHAnsi" w:hAnsiTheme="majorHAnsi"/>
          <w:b/>
          <w:sz w:val="20"/>
          <w:szCs w:val="20"/>
          <w:lang w:val="es-ES_tradnl"/>
        </w:rPr>
        <w:t xml:space="preserve"> </w:t>
      </w:r>
    </w:p>
    <w:p w14:paraId="0270FA96" w14:textId="7629D346" w:rsidR="001B478B" w:rsidRPr="004E6391" w:rsidRDefault="000F30B8" w:rsidP="005246D4">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La petición </w:t>
      </w:r>
      <w:r w:rsidR="009B6BFE" w:rsidRPr="004E6391">
        <w:rPr>
          <w:rFonts w:asciiTheme="majorHAnsi" w:hAnsiTheme="majorHAnsi"/>
          <w:bCs/>
          <w:sz w:val="20"/>
          <w:szCs w:val="20"/>
          <w:lang w:val="es-ES_tradnl"/>
        </w:rPr>
        <w:t xml:space="preserve">denuncia que la presunta víctima fue </w:t>
      </w:r>
      <w:r w:rsidR="00965DF2" w:rsidRPr="004E6391">
        <w:rPr>
          <w:rFonts w:asciiTheme="majorHAnsi" w:hAnsiTheme="majorHAnsi"/>
          <w:bCs/>
          <w:sz w:val="20"/>
          <w:szCs w:val="20"/>
          <w:lang w:val="es-ES_tradnl"/>
        </w:rPr>
        <w:t>condenada</w:t>
      </w:r>
      <w:r w:rsidR="009B6BFE" w:rsidRPr="004E6391">
        <w:rPr>
          <w:rFonts w:asciiTheme="majorHAnsi" w:hAnsiTheme="majorHAnsi"/>
          <w:bCs/>
          <w:sz w:val="20"/>
          <w:szCs w:val="20"/>
          <w:lang w:val="es-ES_tradnl"/>
        </w:rPr>
        <w:t xml:space="preserve"> penalmente mediante un proceso parcializado en el que se ignoraron las pruebas de descargo y se dio como ciertas pruebas de cargo que </w:t>
      </w:r>
      <w:r w:rsidR="009B6BFE" w:rsidRPr="004E6391">
        <w:rPr>
          <w:rFonts w:asciiTheme="majorHAnsi" w:hAnsiTheme="majorHAnsi"/>
          <w:bCs/>
          <w:sz w:val="20"/>
          <w:szCs w:val="20"/>
          <w:lang w:val="es-ES_tradnl"/>
        </w:rPr>
        <w:lastRenderedPageBreak/>
        <w:t xml:space="preserve">adolecían de graves indicios de falsedad. También reclama que la presunta víctima fue sometido injustificadamente a un proceso especial de única instancia solo por su condición de congresista. </w:t>
      </w:r>
    </w:p>
    <w:p w14:paraId="657E864C" w14:textId="06CF0CD7" w:rsidR="005246D4" w:rsidRPr="004E6391" w:rsidRDefault="005246D4" w:rsidP="00776F85">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Según relata la petición, </w:t>
      </w:r>
      <w:r w:rsidR="00180DF6" w:rsidRPr="004E6391">
        <w:rPr>
          <w:rFonts w:asciiTheme="majorHAnsi" w:hAnsiTheme="majorHAnsi"/>
          <w:bCs/>
          <w:sz w:val="20"/>
          <w:szCs w:val="20"/>
          <w:lang w:val="es-ES_tradnl"/>
        </w:rPr>
        <w:t>en el 2004</w:t>
      </w:r>
      <w:r w:rsidR="008F17F1" w:rsidRPr="004E6391">
        <w:rPr>
          <w:rFonts w:asciiTheme="majorHAnsi" w:hAnsiTheme="majorHAnsi"/>
          <w:bCs/>
          <w:sz w:val="20"/>
          <w:szCs w:val="20"/>
          <w:lang w:val="es-ES_tradnl"/>
        </w:rPr>
        <w:t xml:space="preserve"> la entonces esposa de la presunta víctima </w:t>
      </w:r>
      <w:r w:rsidR="00180DF6" w:rsidRPr="004E6391">
        <w:rPr>
          <w:rFonts w:asciiTheme="majorHAnsi" w:hAnsiTheme="majorHAnsi"/>
          <w:bCs/>
          <w:sz w:val="20"/>
          <w:szCs w:val="20"/>
          <w:lang w:val="es-ES_tradnl"/>
        </w:rPr>
        <w:t>estuvo involucrada en unos proyectos privados para el desarrollo de viviendas subsidiadas con recursos de fuentes internacionales</w:t>
      </w:r>
      <w:r w:rsidR="001E1087" w:rsidRPr="004E6391">
        <w:rPr>
          <w:rFonts w:asciiTheme="majorHAnsi" w:hAnsiTheme="majorHAnsi"/>
          <w:bCs/>
          <w:sz w:val="20"/>
          <w:szCs w:val="20"/>
          <w:lang w:val="es-ES_tradnl"/>
        </w:rPr>
        <w:t xml:space="preserve">. La presunta víctima se opuso a dicha actividad de su entonces esposa, causando problemas entre la pareja los que conllevaron a su separación definitiva. En 2005 </w:t>
      </w:r>
      <w:r w:rsidR="00656ADA" w:rsidRPr="004E6391">
        <w:rPr>
          <w:rFonts w:asciiTheme="majorHAnsi" w:hAnsiTheme="majorHAnsi"/>
          <w:bCs/>
          <w:sz w:val="20"/>
          <w:szCs w:val="20"/>
          <w:lang w:val="es-ES_tradnl"/>
        </w:rPr>
        <w:t>empezaron a circular rumores sobre que uno de los proyectos se trataba de una estafa, en los que se involucró el nombre de la presunta víctima (en ese momento representante a la Cámara en el Congreso de la República)</w:t>
      </w:r>
      <w:r w:rsidR="00DF722C" w:rsidRPr="004E6391">
        <w:rPr>
          <w:rFonts w:asciiTheme="majorHAnsi" w:hAnsiTheme="majorHAnsi"/>
          <w:bCs/>
          <w:sz w:val="20"/>
          <w:szCs w:val="20"/>
          <w:lang w:val="es-ES_tradnl"/>
        </w:rPr>
        <w:t>, según se alega,</w:t>
      </w:r>
      <w:r w:rsidR="00656ADA" w:rsidRPr="004E6391">
        <w:rPr>
          <w:rFonts w:asciiTheme="majorHAnsi" w:hAnsiTheme="majorHAnsi"/>
          <w:bCs/>
          <w:sz w:val="20"/>
          <w:szCs w:val="20"/>
          <w:lang w:val="es-ES_tradnl"/>
        </w:rPr>
        <w:t xml:space="preserve"> solo por la participación que su entonces esposa había tenido en </w:t>
      </w:r>
      <w:r w:rsidR="00DF722C" w:rsidRPr="004E6391">
        <w:rPr>
          <w:rFonts w:asciiTheme="majorHAnsi" w:hAnsiTheme="majorHAnsi"/>
          <w:bCs/>
          <w:sz w:val="20"/>
          <w:szCs w:val="20"/>
          <w:lang w:val="es-ES_tradnl"/>
        </w:rPr>
        <w:t>tales</w:t>
      </w:r>
      <w:r w:rsidR="00656ADA" w:rsidRPr="004E6391">
        <w:rPr>
          <w:rFonts w:asciiTheme="majorHAnsi" w:hAnsiTheme="majorHAnsi"/>
          <w:bCs/>
          <w:sz w:val="20"/>
          <w:szCs w:val="20"/>
          <w:lang w:val="es-ES_tradnl"/>
        </w:rPr>
        <w:t xml:space="preserve"> proyectos. La presunta víctima rechazó públicamente cualquier tipo de vinculación o respaldo de su parte </w:t>
      </w:r>
      <w:r w:rsidR="00DF722C" w:rsidRPr="004E6391">
        <w:rPr>
          <w:rFonts w:asciiTheme="majorHAnsi" w:hAnsiTheme="majorHAnsi"/>
          <w:bCs/>
          <w:sz w:val="20"/>
          <w:szCs w:val="20"/>
          <w:lang w:val="es-ES_tradnl"/>
        </w:rPr>
        <w:t>en</w:t>
      </w:r>
      <w:r w:rsidR="00656ADA" w:rsidRPr="004E6391">
        <w:rPr>
          <w:rFonts w:asciiTheme="majorHAnsi" w:hAnsiTheme="majorHAnsi"/>
          <w:bCs/>
          <w:sz w:val="20"/>
          <w:szCs w:val="20"/>
          <w:lang w:val="es-ES_tradnl"/>
        </w:rPr>
        <w:t xml:space="preserve"> los proyectos</w:t>
      </w:r>
      <w:r w:rsidR="00776F85" w:rsidRPr="004E6391">
        <w:rPr>
          <w:rFonts w:asciiTheme="majorHAnsi" w:hAnsiTheme="majorHAnsi"/>
          <w:bCs/>
          <w:sz w:val="20"/>
          <w:szCs w:val="20"/>
          <w:lang w:val="es-ES_tradnl"/>
        </w:rPr>
        <w:t>. Sin embargo, a solicitud de múltiple</w:t>
      </w:r>
      <w:r w:rsidR="00C80625" w:rsidRPr="004E6391">
        <w:rPr>
          <w:rFonts w:asciiTheme="majorHAnsi" w:hAnsiTheme="majorHAnsi"/>
          <w:bCs/>
          <w:sz w:val="20"/>
          <w:szCs w:val="20"/>
          <w:lang w:val="es-ES_tradnl"/>
        </w:rPr>
        <w:t>s</w:t>
      </w:r>
      <w:r w:rsidR="00776F85" w:rsidRPr="004E6391">
        <w:rPr>
          <w:rFonts w:asciiTheme="majorHAnsi" w:hAnsiTheme="majorHAnsi"/>
          <w:bCs/>
          <w:sz w:val="20"/>
          <w:szCs w:val="20"/>
          <w:lang w:val="es-ES_tradnl"/>
        </w:rPr>
        <w:t xml:space="preserve"> sectores sociales, intercedió ante la Federación Nacional de Cafeteros de Colombia a fin </w:t>
      </w:r>
      <w:r w:rsidR="00C80625" w:rsidRPr="004E6391">
        <w:rPr>
          <w:rFonts w:asciiTheme="majorHAnsi" w:hAnsiTheme="majorHAnsi"/>
          <w:bCs/>
          <w:sz w:val="20"/>
          <w:szCs w:val="20"/>
          <w:lang w:val="es-ES_tradnl"/>
        </w:rPr>
        <w:t>de que se le concediera a una empresa promotora una prórroga del plazo para el pago de un lote.</w:t>
      </w:r>
    </w:p>
    <w:p w14:paraId="51CE7C29" w14:textId="6686AF50" w:rsidR="00C80625" w:rsidRPr="004E6391" w:rsidRDefault="00C80625" w:rsidP="00776F85">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Conforme continúa el relato, las empresas promotoras no llegaron a recibir fondos del extranjero y finalmente no cumplieron con sus proyectos, por lo que sus representantes legales </w:t>
      </w:r>
      <w:r w:rsidR="00A05191" w:rsidRPr="004E6391">
        <w:rPr>
          <w:rFonts w:asciiTheme="majorHAnsi" w:hAnsiTheme="majorHAnsi"/>
          <w:bCs/>
          <w:sz w:val="20"/>
          <w:szCs w:val="20"/>
          <w:lang w:val="es-ES_tradnl"/>
        </w:rPr>
        <w:t xml:space="preserve">fueron condenados a penas de prisión. </w:t>
      </w:r>
      <w:r w:rsidR="000053DC" w:rsidRPr="004E6391">
        <w:rPr>
          <w:rFonts w:asciiTheme="majorHAnsi" w:hAnsiTheme="majorHAnsi"/>
          <w:bCs/>
          <w:sz w:val="20"/>
          <w:szCs w:val="20"/>
          <w:lang w:val="es-ES_tradnl"/>
        </w:rPr>
        <w:t xml:space="preserve">Años después, </w:t>
      </w:r>
      <w:r w:rsidR="00DF722C" w:rsidRPr="004E6391">
        <w:rPr>
          <w:rFonts w:asciiTheme="majorHAnsi" w:hAnsiTheme="majorHAnsi"/>
          <w:bCs/>
          <w:sz w:val="20"/>
          <w:szCs w:val="20"/>
          <w:lang w:val="es-ES_tradnl"/>
        </w:rPr>
        <w:t xml:space="preserve">–la petición no especifica en qué momento inició la investigación contra la presunta víctima– </w:t>
      </w:r>
      <w:r w:rsidR="000053DC" w:rsidRPr="004E6391">
        <w:rPr>
          <w:rFonts w:asciiTheme="majorHAnsi" w:hAnsiTheme="majorHAnsi"/>
          <w:bCs/>
          <w:sz w:val="20"/>
          <w:szCs w:val="20"/>
          <w:lang w:val="es-ES_tradnl"/>
        </w:rPr>
        <w:t xml:space="preserve">el ente investigador dedujo contra la presunta víctima la teoría de que éste había participado de un acuerdo de voluntades junto con su entonces esposa y el gerente de una empresa promotora con la finalidad de estafar a un “sin número de personas” que habían pagado para un programa de vivienda. Estos señalamientos llevaron a que el 1 de junio de 2011 la presunta víctima fuera capturado en su domicilio y luego privado de libertad con base en una orden emitida </w:t>
      </w:r>
      <w:r w:rsidR="00BF6B41" w:rsidRPr="004E6391">
        <w:rPr>
          <w:rFonts w:asciiTheme="majorHAnsi" w:hAnsiTheme="majorHAnsi"/>
          <w:bCs/>
          <w:sz w:val="20"/>
          <w:szCs w:val="20"/>
          <w:lang w:val="es-ES_tradnl"/>
        </w:rPr>
        <w:t xml:space="preserve">por la Sala Penal de la Corte Suprema de Justicia. </w:t>
      </w:r>
      <w:bookmarkStart w:id="2" w:name="_Hlk105281452"/>
      <w:r w:rsidR="00BF6B41" w:rsidRPr="004E6391">
        <w:rPr>
          <w:rFonts w:asciiTheme="majorHAnsi" w:hAnsiTheme="majorHAnsi"/>
          <w:bCs/>
          <w:sz w:val="20"/>
          <w:szCs w:val="20"/>
          <w:lang w:val="es-ES_tradnl"/>
        </w:rPr>
        <w:t xml:space="preserve">Luego, el 5 de septiembre de 2012 la Sala de Casación Penal de la Corte Suprema de Justicia proferiría sentencia </w:t>
      </w:r>
      <w:bookmarkEnd w:id="2"/>
      <w:r w:rsidR="00BF6B41" w:rsidRPr="004E6391">
        <w:rPr>
          <w:rFonts w:asciiTheme="majorHAnsi" w:hAnsiTheme="majorHAnsi"/>
          <w:bCs/>
          <w:sz w:val="20"/>
          <w:szCs w:val="20"/>
          <w:lang w:val="es-ES_tradnl"/>
        </w:rPr>
        <w:t xml:space="preserve">inapelable de única instancia condenando a la presunta víctima a ciento veintiséis meses de prisión por encontrarle responsable de delitos de urbanización ilegal y estafa agravada. </w:t>
      </w:r>
    </w:p>
    <w:p w14:paraId="45F79079" w14:textId="553FA310" w:rsidR="00D62960" w:rsidRPr="004E6391" w:rsidRDefault="00E061AC" w:rsidP="00776F85">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La petición alega que el proceso penal que conllevó a la condena </w:t>
      </w:r>
      <w:r w:rsidR="000E0CD8" w:rsidRPr="004E6391">
        <w:rPr>
          <w:rFonts w:asciiTheme="majorHAnsi" w:hAnsiTheme="majorHAnsi"/>
          <w:bCs/>
          <w:sz w:val="20"/>
          <w:szCs w:val="20"/>
          <w:lang w:val="es-ES_tradnl"/>
        </w:rPr>
        <w:t>de</w:t>
      </w:r>
      <w:r w:rsidRPr="004E6391">
        <w:rPr>
          <w:rFonts w:asciiTheme="majorHAnsi" w:hAnsiTheme="majorHAnsi"/>
          <w:bCs/>
          <w:sz w:val="20"/>
          <w:szCs w:val="20"/>
          <w:lang w:val="es-ES_tradnl"/>
        </w:rPr>
        <w:t xml:space="preserve"> la presunta víctima fue parcializado, políticamente motivado y contrario a su presunción de inocencia. </w:t>
      </w:r>
      <w:r w:rsidR="000E0CD8" w:rsidRPr="004E6391">
        <w:rPr>
          <w:rFonts w:asciiTheme="majorHAnsi" w:hAnsiTheme="majorHAnsi"/>
          <w:bCs/>
          <w:sz w:val="20"/>
          <w:szCs w:val="20"/>
          <w:lang w:val="es-ES_tradnl"/>
        </w:rPr>
        <w:t>R</w:t>
      </w:r>
      <w:r w:rsidR="00B1408E" w:rsidRPr="004E6391">
        <w:rPr>
          <w:rFonts w:asciiTheme="majorHAnsi" w:hAnsiTheme="majorHAnsi"/>
          <w:bCs/>
          <w:sz w:val="20"/>
          <w:szCs w:val="20"/>
          <w:lang w:val="es-ES_tradnl"/>
        </w:rPr>
        <w:t>eclama que</w:t>
      </w:r>
      <w:r w:rsidR="00E76CBF" w:rsidRPr="004E6391">
        <w:rPr>
          <w:rFonts w:asciiTheme="majorHAnsi" w:hAnsiTheme="majorHAnsi"/>
          <w:bCs/>
          <w:sz w:val="20"/>
          <w:szCs w:val="20"/>
          <w:lang w:val="es-ES_tradnl"/>
        </w:rPr>
        <w:t xml:space="preserve"> la sentencia condenatoria dio por acreditado que la sede de una promotora y de la campaña política de la presunta víctima operaron desde la residencia que éste mantenía con su entonces esposa, pese a múltiples testimonios, incluso de testigos de cargo, que desmentían esa hipótesis;</w:t>
      </w:r>
      <w:r w:rsidR="0023347B" w:rsidRPr="004E6391">
        <w:rPr>
          <w:rFonts w:asciiTheme="majorHAnsi" w:hAnsiTheme="majorHAnsi"/>
          <w:bCs/>
          <w:sz w:val="20"/>
          <w:szCs w:val="20"/>
          <w:lang w:val="es-ES_tradnl"/>
        </w:rPr>
        <w:t xml:space="preserve"> responsabilizó a la presunta víctima por promocionar los program</w:t>
      </w:r>
      <w:r w:rsidR="00775325" w:rsidRPr="004E6391">
        <w:rPr>
          <w:rFonts w:asciiTheme="majorHAnsi" w:hAnsiTheme="majorHAnsi"/>
          <w:bCs/>
          <w:sz w:val="20"/>
          <w:szCs w:val="20"/>
          <w:lang w:val="es-ES_tradnl"/>
        </w:rPr>
        <w:t>as</w:t>
      </w:r>
      <w:r w:rsidR="0023347B" w:rsidRPr="004E6391">
        <w:rPr>
          <w:rFonts w:asciiTheme="majorHAnsi" w:hAnsiTheme="majorHAnsi"/>
          <w:bCs/>
          <w:sz w:val="20"/>
          <w:szCs w:val="20"/>
          <w:lang w:val="es-ES_tradnl"/>
        </w:rPr>
        <w:t xml:space="preserve"> de vivienda y beneficiarse con el voto de los usuarios de esos proyectos, ignorando la evidencia y testimonios </w:t>
      </w:r>
      <w:r w:rsidR="00775325" w:rsidRPr="004E6391">
        <w:rPr>
          <w:rFonts w:asciiTheme="majorHAnsi" w:hAnsiTheme="majorHAnsi"/>
          <w:bCs/>
          <w:sz w:val="20"/>
          <w:szCs w:val="20"/>
          <w:lang w:val="es-ES_tradnl"/>
        </w:rPr>
        <w:t xml:space="preserve">que acreditaban que él había advertido a través de los medios masivos que no tenía ninguna vinculación con esos proyectos; </w:t>
      </w:r>
      <w:r w:rsidR="00D62960" w:rsidRPr="004E6391">
        <w:rPr>
          <w:rFonts w:asciiTheme="majorHAnsi" w:hAnsiTheme="majorHAnsi"/>
          <w:bCs/>
          <w:sz w:val="20"/>
          <w:szCs w:val="20"/>
          <w:lang w:val="es-ES_tradnl"/>
        </w:rPr>
        <w:t xml:space="preserve">y </w:t>
      </w:r>
      <w:r w:rsidR="00775325" w:rsidRPr="004E6391">
        <w:rPr>
          <w:rFonts w:asciiTheme="majorHAnsi" w:hAnsiTheme="majorHAnsi"/>
          <w:bCs/>
          <w:sz w:val="20"/>
          <w:szCs w:val="20"/>
          <w:lang w:val="es-ES_tradnl"/>
        </w:rPr>
        <w:t xml:space="preserve">valoró en contra de la presunta víctima las gestiones que este realizó ante la Federación Nacional de Cafeteros, </w:t>
      </w:r>
      <w:r w:rsidR="00603CF9" w:rsidRPr="004E6391">
        <w:rPr>
          <w:rFonts w:asciiTheme="majorHAnsi" w:hAnsiTheme="majorHAnsi"/>
          <w:bCs/>
          <w:sz w:val="20"/>
          <w:szCs w:val="20"/>
          <w:lang w:val="es-ES_tradnl"/>
        </w:rPr>
        <w:t>ignorando declaraciones juradas de los directivos concernidos que confirmaban que éste no había derivado ningún beneficio personal de esas gestiones</w:t>
      </w:r>
      <w:r w:rsidR="00D62960" w:rsidRPr="004E6391">
        <w:rPr>
          <w:rFonts w:asciiTheme="majorHAnsi" w:hAnsiTheme="majorHAnsi"/>
          <w:bCs/>
          <w:sz w:val="20"/>
          <w:szCs w:val="20"/>
          <w:lang w:val="es-ES_tradnl"/>
        </w:rPr>
        <w:t>.</w:t>
      </w:r>
    </w:p>
    <w:p w14:paraId="0F52CB72" w14:textId="2523C321" w:rsidR="00BF6B41" w:rsidRPr="004E6391" w:rsidRDefault="00752A22" w:rsidP="00776F85">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Cuestiona además la petición</w:t>
      </w:r>
      <w:r w:rsidR="00561C13" w:rsidRPr="004E6391">
        <w:rPr>
          <w:rFonts w:asciiTheme="majorHAnsi" w:hAnsiTheme="majorHAnsi"/>
          <w:bCs/>
          <w:sz w:val="20"/>
          <w:szCs w:val="20"/>
          <w:lang w:val="es-ES_tradnl"/>
        </w:rPr>
        <w:t xml:space="preserve"> que la sentencia condenatoria </w:t>
      </w:r>
      <w:r w:rsidR="00C5438A" w:rsidRPr="004E6391">
        <w:rPr>
          <w:rFonts w:asciiTheme="majorHAnsi" w:hAnsiTheme="majorHAnsi"/>
          <w:bCs/>
          <w:sz w:val="20"/>
          <w:szCs w:val="20"/>
          <w:lang w:val="es-ES_tradnl"/>
        </w:rPr>
        <w:t>dio validez al testimonio de una declarante qu</w:t>
      </w:r>
      <w:r w:rsidR="00437A37" w:rsidRPr="004E6391">
        <w:rPr>
          <w:rFonts w:asciiTheme="majorHAnsi" w:hAnsiTheme="majorHAnsi"/>
          <w:bCs/>
          <w:sz w:val="20"/>
          <w:szCs w:val="20"/>
          <w:lang w:val="es-ES_tradnl"/>
        </w:rPr>
        <w:t>e</w:t>
      </w:r>
      <w:r w:rsidR="00C5438A" w:rsidRPr="004E6391">
        <w:rPr>
          <w:rFonts w:asciiTheme="majorHAnsi" w:hAnsiTheme="majorHAnsi"/>
          <w:bCs/>
          <w:sz w:val="20"/>
          <w:szCs w:val="20"/>
          <w:lang w:val="es-ES_tradnl"/>
        </w:rPr>
        <w:t xml:space="preserve"> indicó haber sido vecina de la presunta víctima por treinta y cinco años, pese a haberse demostrado que esto era falso</w:t>
      </w:r>
      <w:r w:rsidR="00437A37" w:rsidRPr="004E6391">
        <w:rPr>
          <w:rFonts w:asciiTheme="majorHAnsi" w:hAnsiTheme="majorHAnsi"/>
          <w:bCs/>
          <w:sz w:val="20"/>
          <w:szCs w:val="20"/>
          <w:lang w:val="es-ES_tradnl"/>
        </w:rPr>
        <w:t>,</w:t>
      </w:r>
      <w:r w:rsidR="00C5438A" w:rsidRPr="004E6391">
        <w:rPr>
          <w:rFonts w:asciiTheme="majorHAnsi" w:hAnsiTheme="majorHAnsi"/>
          <w:bCs/>
          <w:sz w:val="20"/>
          <w:szCs w:val="20"/>
          <w:lang w:val="es-ES_tradnl"/>
        </w:rPr>
        <w:t xml:space="preserve"> pues en ese tiempo la presunta víctima había vivido en México y en otras ciudades en Colombia distintas a la que habitaba la declarante</w:t>
      </w:r>
      <w:r w:rsidR="00561C13" w:rsidRPr="004E6391">
        <w:rPr>
          <w:rFonts w:asciiTheme="majorHAnsi" w:hAnsiTheme="majorHAnsi"/>
          <w:bCs/>
          <w:sz w:val="20"/>
          <w:szCs w:val="20"/>
          <w:lang w:val="es-ES_tradnl"/>
        </w:rPr>
        <w:t>. También</w:t>
      </w:r>
      <w:r w:rsidRPr="004E6391">
        <w:rPr>
          <w:rFonts w:asciiTheme="majorHAnsi" w:hAnsiTheme="majorHAnsi"/>
          <w:bCs/>
          <w:sz w:val="20"/>
          <w:szCs w:val="20"/>
          <w:lang w:val="es-ES_tradnl"/>
        </w:rPr>
        <w:t>, que</w:t>
      </w:r>
      <w:r w:rsidR="00561C13" w:rsidRPr="004E6391">
        <w:rPr>
          <w:rFonts w:asciiTheme="majorHAnsi" w:hAnsiTheme="majorHAnsi"/>
          <w:bCs/>
          <w:sz w:val="20"/>
          <w:szCs w:val="20"/>
          <w:lang w:val="es-ES_tradnl"/>
        </w:rPr>
        <w:t xml:space="preserve"> dio validez a los dichos de esa declarante respecto a que la presunta víctima había continuado conviviendo con su entonces esposa y que la separación de la pareja se trataba de una maniobra para evadir responsabilidad</w:t>
      </w:r>
      <w:r w:rsidR="00437A37" w:rsidRPr="004E6391">
        <w:rPr>
          <w:rFonts w:asciiTheme="majorHAnsi" w:hAnsiTheme="majorHAnsi"/>
          <w:bCs/>
          <w:sz w:val="20"/>
          <w:szCs w:val="20"/>
          <w:lang w:val="es-ES_tradnl"/>
        </w:rPr>
        <w:t>. Además</w:t>
      </w:r>
      <w:r w:rsidR="00561C13" w:rsidRPr="004E6391">
        <w:rPr>
          <w:rFonts w:asciiTheme="majorHAnsi" w:hAnsiTheme="majorHAnsi"/>
          <w:bCs/>
          <w:sz w:val="20"/>
          <w:szCs w:val="20"/>
          <w:lang w:val="es-ES_tradnl"/>
        </w:rPr>
        <w:t xml:space="preserve">, que la sentencia condenatoria </w:t>
      </w:r>
      <w:r w:rsidRPr="004E6391">
        <w:rPr>
          <w:rFonts w:asciiTheme="majorHAnsi" w:hAnsiTheme="majorHAnsi"/>
          <w:bCs/>
          <w:sz w:val="20"/>
          <w:szCs w:val="20"/>
          <w:lang w:val="es-ES_tradnl"/>
        </w:rPr>
        <w:t>ignoró que el laboratorio de la Policía Nacional había concluido que</w:t>
      </w:r>
      <w:r w:rsidR="00561C13" w:rsidRPr="004E6391">
        <w:rPr>
          <w:rFonts w:asciiTheme="majorHAnsi" w:hAnsiTheme="majorHAnsi"/>
          <w:bCs/>
          <w:sz w:val="20"/>
          <w:szCs w:val="20"/>
          <w:lang w:val="es-ES_tradnl"/>
        </w:rPr>
        <w:t xml:space="preserve"> </w:t>
      </w:r>
      <w:r w:rsidRPr="004E6391">
        <w:rPr>
          <w:rFonts w:asciiTheme="majorHAnsi" w:hAnsiTheme="majorHAnsi"/>
          <w:bCs/>
          <w:sz w:val="20"/>
          <w:szCs w:val="20"/>
          <w:lang w:val="es-ES_tradnl"/>
        </w:rPr>
        <w:t>la firma de la presunta víctima había sido falsificada en un acta de una empresa promotora</w:t>
      </w:r>
      <w:r w:rsidR="00437A37" w:rsidRPr="004E6391">
        <w:rPr>
          <w:rFonts w:asciiTheme="majorHAnsi" w:hAnsiTheme="majorHAnsi"/>
          <w:bCs/>
          <w:sz w:val="20"/>
          <w:szCs w:val="20"/>
          <w:lang w:val="es-ES_tradnl"/>
        </w:rPr>
        <w:t>,</w:t>
      </w:r>
      <w:r w:rsidRPr="004E6391">
        <w:rPr>
          <w:rFonts w:asciiTheme="majorHAnsi" w:hAnsiTheme="majorHAnsi"/>
          <w:bCs/>
          <w:sz w:val="20"/>
          <w:szCs w:val="20"/>
          <w:lang w:val="es-ES_tradnl"/>
        </w:rPr>
        <w:t xml:space="preserve"> y que esto evidenciaba la existencia de una conspiración para incriminarlo falsamente. </w:t>
      </w:r>
    </w:p>
    <w:p w14:paraId="47F48BC5" w14:textId="3A6B2790" w:rsidR="00E41D85" w:rsidRPr="004E6391" w:rsidRDefault="00E41D85" w:rsidP="007F3F0E">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Los peticionarios alegan además que </w:t>
      </w:r>
      <w:r w:rsidR="00752A22" w:rsidRPr="004E6391">
        <w:rPr>
          <w:rFonts w:asciiTheme="majorHAnsi" w:hAnsiTheme="majorHAnsi"/>
          <w:bCs/>
          <w:sz w:val="20"/>
          <w:szCs w:val="20"/>
          <w:lang w:val="es-ES_tradnl"/>
        </w:rPr>
        <w:t>el proceso contra la presunta víctima haya sido de única instancia</w:t>
      </w:r>
      <w:r w:rsidRPr="004E6391">
        <w:rPr>
          <w:rFonts w:asciiTheme="majorHAnsi" w:hAnsiTheme="majorHAnsi"/>
          <w:bCs/>
          <w:sz w:val="20"/>
          <w:szCs w:val="20"/>
          <w:lang w:val="es-ES_tradnl"/>
        </w:rPr>
        <w:t>,</w:t>
      </w:r>
      <w:r w:rsidR="00752A22" w:rsidRPr="004E6391">
        <w:rPr>
          <w:rFonts w:asciiTheme="majorHAnsi" w:hAnsiTheme="majorHAnsi"/>
          <w:bCs/>
          <w:sz w:val="20"/>
          <w:szCs w:val="20"/>
          <w:lang w:val="es-ES_tradnl"/>
        </w:rPr>
        <w:t xml:space="preserve"> priv</w:t>
      </w:r>
      <w:r w:rsidRPr="004E6391">
        <w:rPr>
          <w:rFonts w:asciiTheme="majorHAnsi" w:hAnsiTheme="majorHAnsi"/>
          <w:bCs/>
          <w:sz w:val="20"/>
          <w:szCs w:val="20"/>
          <w:lang w:val="es-ES_tradnl"/>
        </w:rPr>
        <w:t>á</w:t>
      </w:r>
      <w:r w:rsidR="00752A22" w:rsidRPr="004E6391">
        <w:rPr>
          <w:rFonts w:asciiTheme="majorHAnsi" w:hAnsiTheme="majorHAnsi"/>
          <w:bCs/>
          <w:sz w:val="20"/>
          <w:szCs w:val="20"/>
          <w:lang w:val="es-ES_tradnl"/>
        </w:rPr>
        <w:t>ndo</w:t>
      </w:r>
      <w:r w:rsidRPr="004E6391">
        <w:rPr>
          <w:rFonts w:asciiTheme="majorHAnsi" w:hAnsiTheme="majorHAnsi"/>
          <w:bCs/>
          <w:sz w:val="20"/>
          <w:szCs w:val="20"/>
          <w:lang w:val="es-ES_tradnl"/>
        </w:rPr>
        <w:t>lo</w:t>
      </w:r>
      <w:r w:rsidR="00752A22" w:rsidRPr="004E6391">
        <w:rPr>
          <w:rFonts w:asciiTheme="majorHAnsi" w:hAnsiTheme="majorHAnsi"/>
          <w:bCs/>
          <w:sz w:val="20"/>
          <w:szCs w:val="20"/>
          <w:lang w:val="es-ES_tradnl"/>
        </w:rPr>
        <w:t xml:space="preserve"> de la posibilidad de apelar la sentencia condenatoria. </w:t>
      </w:r>
      <w:r w:rsidRPr="004E6391">
        <w:rPr>
          <w:rFonts w:asciiTheme="majorHAnsi" w:hAnsiTheme="majorHAnsi"/>
          <w:bCs/>
          <w:sz w:val="20"/>
          <w:szCs w:val="20"/>
          <w:lang w:val="es-ES_tradnl"/>
        </w:rPr>
        <w:t>E</w:t>
      </w:r>
      <w:r w:rsidR="00752A22" w:rsidRPr="004E6391">
        <w:rPr>
          <w:rFonts w:asciiTheme="majorHAnsi" w:hAnsiTheme="majorHAnsi"/>
          <w:bCs/>
          <w:sz w:val="20"/>
          <w:szCs w:val="20"/>
          <w:lang w:val="es-ES_tradnl"/>
        </w:rPr>
        <w:t>xplica</w:t>
      </w:r>
      <w:r w:rsidRPr="004E6391">
        <w:rPr>
          <w:rFonts w:asciiTheme="majorHAnsi" w:hAnsiTheme="majorHAnsi"/>
          <w:bCs/>
          <w:sz w:val="20"/>
          <w:szCs w:val="20"/>
          <w:lang w:val="es-ES_tradnl"/>
        </w:rPr>
        <w:t>n</w:t>
      </w:r>
      <w:r w:rsidR="00752A22" w:rsidRPr="004E6391">
        <w:rPr>
          <w:rFonts w:asciiTheme="majorHAnsi" w:hAnsiTheme="majorHAnsi"/>
          <w:bCs/>
          <w:sz w:val="20"/>
          <w:szCs w:val="20"/>
          <w:lang w:val="es-ES_tradnl"/>
        </w:rPr>
        <w:t xml:space="preserve"> que esto se debió </w:t>
      </w:r>
      <w:r w:rsidR="00257BF9" w:rsidRPr="004E6391">
        <w:rPr>
          <w:rFonts w:asciiTheme="majorHAnsi" w:hAnsiTheme="majorHAnsi"/>
          <w:bCs/>
          <w:sz w:val="20"/>
          <w:szCs w:val="20"/>
          <w:lang w:val="es-ES_tradnl"/>
        </w:rPr>
        <w:t xml:space="preserve">a que el peticionario fue sometido a un proceso especial por el solo hecho de que ostentaba la calidad de congresista en el momento en que habrían ocurrido los supuestos hechos delictivos. </w:t>
      </w:r>
      <w:r w:rsidRPr="004E6391">
        <w:rPr>
          <w:rFonts w:asciiTheme="majorHAnsi" w:hAnsiTheme="majorHAnsi"/>
          <w:bCs/>
          <w:sz w:val="20"/>
          <w:szCs w:val="20"/>
          <w:lang w:val="es-ES_tradnl"/>
        </w:rPr>
        <w:t>A</w:t>
      </w:r>
      <w:r w:rsidR="00257BF9" w:rsidRPr="004E6391">
        <w:rPr>
          <w:rFonts w:asciiTheme="majorHAnsi" w:hAnsiTheme="majorHAnsi"/>
          <w:bCs/>
          <w:sz w:val="20"/>
          <w:szCs w:val="20"/>
          <w:lang w:val="es-ES_tradnl"/>
        </w:rPr>
        <w:t>rgumenta</w:t>
      </w:r>
      <w:r w:rsidRPr="004E6391">
        <w:rPr>
          <w:rFonts w:asciiTheme="majorHAnsi" w:hAnsiTheme="majorHAnsi"/>
          <w:bCs/>
          <w:sz w:val="20"/>
          <w:szCs w:val="20"/>
          <w:lang w:val="es-ES_tradnl"/>
        </w:rPr>
        <w:t>n</w:t>
      </w:r>
      <w:r w:rsidR="00257BF9" w:rsidRPr="004E6391">
        <w:rPr>
          <w:rFonts w:asciiTheme="majorHAnsi" w:hAnsiTheme="majorHAnsi"/>
          <w:bCs/>
          <w:sz w:val="20"/>
          <w:szCs w:val="20"/>
          <w:lang w:val="es-ES_tradnl"/>
        </w:rPr>
        <w:t xml:space="preserve"> que dicha circunstancia no constituye justificación razonable para el trato diferenciado desventajoso </w:t>
      </w:r>
      <w:r w:rsidR="00E2619B" w:rsidRPr="004E6391">
        <w:rPr>
          <w:rFonts w:asciiTheme="majorHAnsi" w:hAnsiTheme="majorHAnsi"/>
          <w:bCs/>
          <w:sz w:val="20"/>
          <w:szCs w:val="20"/>
          <w:lang w:val="es-ES_tradnl"/>
        </w:rPr>
        <w:t>dado a la presunta víctima.</w:t>
      </w:r>
      <w:r w:rsidR="001C7AD1" w:rsidRPr="004E6391">
        <w:rPr>
          <w:rFonts w:asciiTheme="majorHAnsi" w:hAnsiTheme="majorHAnsi"/>
          <w:bCs/>
          <w:sz w:val="20"/>
          <w:szCs w:val="20"/>
          <w:lang w:val="es-ES_tradnl"/>
        </w:rPr>
        <w:t xml:space="preserve"> De igual forma</w:t>
      </w:r>
      <w:r w:rsidRPr="004E6391">
        <w:rPr>
          <w:rFonts w:asciiTheme="majorHAnsi" w:hAnsiTheme="majorHAnsi"/>
          <w:bCs/>
          <w:sz w:val="20"/>
          <w:szCs w:val="20"/>
          <w:lang w:val="es-ES_tradnl"/>
        </w:rPr>
        <w:t>n</w:t>
      </w:r>
      <w:r w:rsidR="001C7AD1" w:rsidRPr="004E6391">
        <w:rPr>
          <w:rFonts w:asciiTheme="majorHAnsi" w:hAnsiTheme="majorHAnsi"/>
          <w:bCs/>
          <w:sz w:val="20"/>
          <w:szCs w:val="20"/>
          <w:lang w:val="es-ES_tradnl"/>
        </w:rPr>
        <w:t xml:space="preserve"> </w:t>
      </w:r>
      <w:r w:rsidR="009E7CA3" w:rsidRPr="004E6391">
        <w:rPr>
          <w:rFonts w:asciiTheme="majorHAnsi" w:hAnsiTheme="majorHAnsi"/>
          <w:bCs/>
          <w:sz w:val="20"/>
          <w:szCs w:val="20"/>
          <w:lang w:val="es-ES_tradnl"/>
        </w:rPr>
        <w:t>sostiene</w:t>
      </w:r>
      <w:r w:rsidR="001C7AD1" w:rsidRPr="004E6391">
        <w:rPr>
          <w:rFonts w:asciiTheme="majorHAnsi" w:hAnsiTheme="majorHAnsi"/>
          <w:bCs/>
          <w:sz w:val="20"/>
          <w:szCs w:val="20"/>
          <w:lang w:val="es-ES_tradnl"/>
        </w:rPr>
        <w:t xml:space="preserve"> que la presunta víctima agotó todos los recursos que tenía a su disposición a nivel doméstico en el marco del proceso penal especial de única instancia al que fue sometido.</w:t>
      </w:r>
      <w:r w:rsidR="007F3F0E" w:rsidRPr="004E6391">
        <w:rPr>
          <w:rFonts w:asciiTheme="majorHAnsi" w:hAnsiTheme="majorHAnsi"/>
          <w:bCs/>
          <w:sz w:val="20"/>
          <w:szCs w:val="20"/>
          <w:lang w:val="es-ES_tradnl"/>
        </w:rPr>
        <w:t xml:space="preserve"> </w:t>
      </w:r>
      <w:r w:rsidRPr="004E6391">
        <w:rPr>
          <w:rFonts w:asciiTheme="majorHAnsi" w:hAnsiTheme="majorHAnsi"/>
          <w:bCs/>
          <w:sz w:val="20"/>
          <w:szCs w:val="20"/>
          <w:lang w:val="es-ES_tradnl"/>
        </w:rPr>
        <w:t xml:space="preserve">Los peticionarios consideran que </w:t>
      </w:r>
      <w:r w:rsidRPr="004E6391">
        <w:rPr>
          <w:rFonts w:asciiTheme="majorHAnsi" w:hAnsiTheme="majorHAnsi"/>
          <w:bCs/>
          <w:sz w:val="20"/>
          <w:szCs w:val="20"/>
          <w:lang w:val="es-ES_tradnl"/>
        </w:rPr>
        <w:lastRenderedPageBreak/>
        <w:t xml:space="preserve">el hecho </w:t>
      </w:r>
      <w:r w:rsidR="007F3F0E" w:rsidRPr="004E6391">
        <w:rPr>
          <w:rFonts w:asciiTheme="majorHAnsi" w:hAnsiTheme="majorHAnsi"/>
          <w:bCs/>
          <w:sz w:val="20"/>
          <w:szCs w:val="20"/>
          <w:lang w:val="es-ES_tradnl"/>
        </w:rPr>
        <w:t>de que el Sr. José Gerardo Piamba</w:t>
      </w:r>
      <w:r w:rsidRPr="004E6391">
        <w:rPr>
          <w:rFonts w:asciiTheme="majorHAnsi" w:hAnsiTheme="majorHAnsi"/>
          <w:bCs/>
          <w:sz w:val="20"/>
          <w:szCs w:val="20"/>
          <w:lang w:val="es-ES_tradnl"/>
        </w:rPr>
        <w:t xml:space="preserve"> fuera condenado a manera de una extensión de la responsabilidad penal de su cónyuge violó el principio de “incomunicabilidad de la responsabilidad penal”.</w:t>
      </w:r>
    </w:p>
    <w:p w14:paraId="732A800B" w14:textId="2B37FA9A" w:rsidR="009E7CA3" w:rsidRPr="004E6391" w:rsidRDefault="009E7CA3" w:rsidP="00C97F23">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El Estado, por su parte, </w:t>
      </w:r>
      <w:r w:rsidR="002226F1" w:rsidRPr="004E6391">
        <w:rPr>
          <w:rFonts w:asciiTheme="majorHAnsi" w:hAnsiTheme="majorHAnsi"/>
          <w:bCs/>
          <w:sz w:val="20"/>
          <w:szCs w:val="20"/>
          <w:lang w:val="es-ES_tradnl"/>
        </w:rPr>
        <w:t xml:space="preserve">considera que la petición debe ser inadmitida porque </w:t>
      </w:r>
      <w:r w:rsidR="00232608" w:rsidRPr="004E6391">
        <w:rPr>
          <w:rFonts w:asciiTheme="majorHAnsi" w:hAnsiTheme="majorHAnsi"/>
          <w:bCs/>
          <w:sz w:val="20"/>
          <w:szCs w:val="20"/>
          <w:lang w:val="es-ES_tradnl"/>
        </w:rPr>
        <w:t>la presunta víctima no agotó los recursos internos con respecto a algunos de sus extremos; porque algunos de sus alegatos son manifiestamente infundados</w:t>
      </w:r>
      <w:r w:rsidR="009B1124" w:rsidRPr="004E6391">
        <w:rPr>
          <w:rFonts w:asciiTheme="majorHAnsi" w:hAnsiTheme="majorHAnsi"/>
          <w:bCs/>
          <w:sz w:val="20"/>
          <w:szCs w:val="20"/>
          <w:lang w:val="es-ES_tradnl"/>
        </w:rPr>
        <w:t>,</w:t>
      </w:r>
      <w:r w:rsidR="00232608" w:rsidRPr="004E6391">
        <w:rPr>
          <w:rFonts w:asciiTheme="majorHAnsi" w:hAnsiTheme="majorHAnsi"/>
          <w:bCs/>
          <w:sz w:val="20"/>
          <w:szCs w:val="20"/>
          <w:lang w:val="es-ES_tradnl"/>
        </w:rPr>
        <w:t xml:space="preserve"> y otros pretenden que la Comisión actúe fuera de sus competencias como si fuer</w:t>
      </w:r>
      <w:r w:rsidR="009B1124" w:rsidRPr="004E6391">
        <w:rPr>
          <w:rFonts w:asciiTheme="majorHAnsi" w:hAnsiTheme="majorHAnsi"/>
          <w:bCs/>
          <w:sz w:val="20"/>
          <w:szCs w:val="20"/>
          <w:lang w:val="es-ES_tradnl"/>
        </w:rPr>
        <w:t>a</w:t>
      </w:r>
      <w:r w:rsidR="00232608" w:rsidRPr="004E6391">
        <w:rPr>
          <w:rFonts w:asciiTheme="majorHAnsi" w:hAnsiTheme="majorHAnsi"/>
          <w:bCs/>
          <w:sz w:val="20"/>
          <w:szCs w:val="20"/>
          <w:lang w:val="es-ES_tradnl"/>
        </w:rPr>
        <w:t xml:space="preserve"> un tribunal de cuarta instancia</w:t>
      </w:r>
      <w:r w:rsidR="009B1124" w:rsidRPr="004E6391">
        <w:rPr>
          <w:rFonts w:asciiTheme="majorHAnsi" w:hAnsiTheme="majorHAnsi"/>
          <w:bCs/>
          <w:sz w:val="20"/>
          <w:szCs w:val="20"/>
          <w:lang w:val="es-ES_tradnl"/>
        </w:rPr>
        <w:t xml:space="preserve">. </w:t>
      </w:r>
    </w:p>
    <w:p w14:paraId="71F5427E" w14:textId="43BF473C" w:rsidR="002700F4" w:rsidRPr="004E6391" w:rsidRDefault="00C70B76" w:rsidP="005246D4">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El Estado </w:t>
      </w:r>
      <w:r w:rsidR="00C15D3A" w:rsidRPr="004E6391">
        <w:rPr>
          <w:rFonts w:asciiTheme="majorHAnsi" w:hAnsiTheme="majorHAnsi"/>
          <w:bCs/>
          <w:sz w:val="20"/>
          <w:szCs w:val="20"/>
          <w:lang w:val="es-ES_tradnl"/>
        </w:rPr>
        <w:t>expone, como en otros casos similares,</w:t>
      </w:r>
      <w:r w:rsidRPr="004E6391">
        <w:rPr>
          <w:rFonts w:asciiTheme="majorHAnsi" w:hAnsiTheme="majorHAnsi"/>
          <w:bCs/>
          <w:sz w:val="20"/>
          <w:szCs w:val="20"/>
          <w:lang w:val="es-ES_tradnl"/>
        </w:rPr>
        <w:t xml:space="preserve"> que conforme la jurisprudencia de la Corte Constitucional la acción de tutela procede contra providencia judiciales, entre otras causas, </w:t>
      </w:r>
      <w:r w:rsidR="005B283F" w:rsidRPr="004E6391">
        <w:rPr>
          <w:rFonts w:asciiTheme="majorHAnsi" w:hAnsiTheme="majorHAnsi"/>
          <w:bCs/>
          <w:sz w:val="20"/>
          <w:szCs w:val="20"/>
          <w:lang w:val="es-ES_tradnl"/>
        </w:rPr>
        <w:t xml:space="preserve">cuando </w:t>
      </w:r>
      <w:r w:rsidR="00C15D3A" w:rsidRPr="004E6391">
        <w:rPr>
          <w:rFonts w:asciiTheme="majorHAnsi" w:hAnsiTheme="majorHAnsi"/>
          <w:bCs/>
          <w:sz w:val="20"/>
          <w:szCs w:val="20"/>
          <w:lang w:val="es-ES_tradnl"/>
        </w:rPr>
        <w:t>é</w:t>
      </w:r>
      <w:r w:rsidR="005B283F" w:rsidRPr="004E6391">
        <w:rPr>
          <w:rFonts w:asciiTheme="majorHAnsi" w:hAnsiTheme="majorHAnsi"/>
          <w:bCs/>
          <w:sz w:val="20"/>
          <w:szCs w:val="20"/>
          <w:lang w:val="es-ES_tradnl"/>
        </w:rPr>
        <w:t>stas adolecen de defecto fáctico o de decisión sin motivación. Por ello,</w:t>
      </w:r>
      <w:r w:rsidR="00C15D3A" w:rsidRPr="004E6391">
        <w:rPr>
          <w:rFonts w:asciiTheme="majorHAnsi" w:hAnsiTheme="majorHAnsi"/>
          <w:bCs/>
          <w:sz w:val="20"/>
          <w:szCs w:val="20"/>
          <w:lang w:val="es-ES_tradnl"/>
        </w:rPr>
        <w:t xml:space="preserve"> considera que</w:t>
      </w:r>
      <w:r w:rsidR="005B283F" w:rsidRPr="004E6391">
        <w:rPr>
          <w:rFonts w:asciiTheme="majorHAnsi" w:hAnsiTheme="majorHAnsi"/>
          <w:bCs/>
          <w:sz w:val="20"/>
          <w:szCs w:val="20"/>
          <w:lang w:val="es-ES_tradnl"/>
        </w:rPr>
        <w:t xml:space="preserve"> la acción de tutela era una vía idónea para que la presunta víctima planteara sus reclamaciones sobre la supuesta </w:t>
      </w:r>
      <w:r w:rsidR="002700F4" w:rsidRPr="004E6391">
        <w:rPr>
          <w:rFonts w:asciiTheme="majorHAnsi" w:hAnsiTheme="majorHAnsi"/>
          <w:bCs/>
          <w:sz w:val="20"/>
          <w:szCs w:val="20"/>
          <w:lang w:val="es-ES_tradnl"/>
        </w:rPr>
        <w:t>“invisibilización” de las pruebas que le favorecían o supuestas violaciones a su garantía de presunción de inocencia.</w:t>
      </w:r>
    </w:p>
    <w:p w14:paraId="34E710F7" w14:textId="42C82B66" w:rsidR="005246D4" w:rsidRPr="004E6391" w:rsidRDefault="002700F4" w:rsidP="005246D4">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 </w:t>
      </w:r>
      <w:r w:rsidR="00D34EB2" w:rsidRPr="004E6391">
        <w:rPr>
          <w:rFonts w:asciiTheme="majorHAnsi" w:hAnsiTheme="majorHAnsi"/>
          <w:bCs/>
          <w:sz w:val="20"/>
          <w:szCs w:val="20"/>
          <w:lang w:val="es-ES_tradnl"/>
        </w:rPr>
        <w:t>D</w:t>
      </w:r>
      <w:r w:rsidRPr="004E6391">
        <w:rPr>
          <w:rFonts w:asciiTheme="majorHAnsi" w:hAnsiTheme="majorHAnsi"/>
          <w:bCs/>
          <w:sz w:val="20"/>
          <w:szCs w:val="20"/>
          <w:lang w:val="es-ES_tradnl"/>
        </w:rPr>
        <w:t xml:space="preserve">estaca que la acción de tutela constituía un recurso idóneo para impugnar tanto el fallo condenatorio como </w:t>
      </w:r>
      <w:r w:rsidR="00D56309" w:rsidRPr="004E6391">
        <w:rPr>
          <w:rFonts w:asciiTheme="majorHAnsi" w:hAnsiTheme="majorHAnsi"/>
          <w:bCs/>
          <w:sz w:val="20"/>
          <w:szCs w:val="20"/>
          <w:lang w:val="es-ES_tradnl"/>
        </w:rPr>
        <w:t xml:space="preserve">los recursos de reposición que fueron resueltos contra las pretensiones de la presunta víctima en el desarrollo del proceso en su contra. También destaca que </w:t>
      </w:r>
      <w:r w:rsidR="0048369A" w:rsidRPr="004E6391">
        <w:rPr>
          <w:rFonts w:asciiTheme="majorHAnsi" w:hAnsiTheme="majorHAnsi"/>
          <w:bCs/>
          <w:sz w:val="20"/>
          <w:szCs w:val="20"/>
          <w:lang w:val="es-ES_tradnl"/>
        </w:rPr>
        <w:t>en los casos en que una acción de tutela presentada contra una sentencia de la Corte Suprema de Justicia es rechazada, la normativa permite que la persona interesada vuelva a presentar la acción de tutela ante cualquier juez de la República o radi</w:t>
      </w:r>
      <w:r w:rsidR="00062B31" w:rsidRPr="004E6391">
        <w:rPr>
          <w:rFonts w:asciiTheme="majorHAnsi" w:hAnsiTheme="majorHAnsi"/>
          <w:bCs/>
          <w:sz w:val="20"/>
          <w:szCs w:val="20"/>
          <w:lang w:val="es-ES_tradnl"/>
        </w:rPr>
        <w:t>c</w:t>
      </w:r>
      <w:r w:rsidR="0048369A" w:rsidRPr="004E6391">
        <w:rPr>
          <w:rFonts w:asciiTheme="majorHAnsi" w:hAnsiTheme="majorHAnsi"/>
          <w:bCs/>
          <w:sz w:val="20"/>
          <w:szCs w:val="20"/>
          <w:lang w:val="es-ES_tradnl"/>
        </w:rPr>
        <w:t xml:space="preserve">ar el expediente ante la Corte Constitucional para que se adelante el trámite de selección para su eventual revisión. A esto, el Estado agrega que la propia parte peticionaria reconoció en uno de sus escritos </w:t>
      </w:r>
      <w:r w:rsidR="004D327F" w:rsidRPr="004E6391">
        <w:rPr>
          <w:rFonts w:asciiTheme="majorHAnsi" w:hAnsiTheme="majorHAnsi"/>
          <w:bCs/>
          <w:sz w:val="20"/>
          <w:szCs w:val="20"/>
          <w:lang w:val="es-ES_tradnl"/>
        </w:rPr>
        <w:t>que la acción de tutela era en principio un recurso idóneo para la protección de las garantías que la petición alega como vulneradas; atacando la efectividad de ese recurso solo con base en la supuesta existencia</w:t>
      </w:r>
      <w:r w:rsidR="00062B31" w:rsidRPr="004E6391">
        <w:rPr>
          <w:rFonts w:asciiTheme="majorHAnsi" w:hAnsiTheme="majorHAnsi"/>
          <w:bCs/>
          <w:sz w:val="20"/>
          <w:szCs w:val="20"/>
          <w:lang w:val="es-ES_tradnl"/>
        </w:rPr>
        <w:t xml:space="preserve"> de una</w:t>
      </w:r>
      <w:r w:rsidR="004D327F" w:rsidRPr="004E6391">
        <w:rPr>
          <w:rFonts w:asciiTheme="majorHAnsi" w:hAnsiTheme="majorHAnsi"/>
          <w:bCs/>
          <w:sz w:val="20"/>
          <w:szCs w:val="20"/>
          <w:lang w:val="es-ES_tradnl"/>
        </w:rPr>
        <w:t xml:space="preserve"> práctica sistemática de rechaz</w:t>
      </w:r>
      <w:r w:rsidR="00062B31" w:rsidRPr="004E6391">
        <w:rPr>
          <w:rFonts w:asciiTheme="majorHAnsi" w:hAnsiTheme="majorHAnsi"/>
          <w:bCs/>
          <w:sz w:val="20"/>
          <w:szCs w:val="20"/>
          <w:lang w:val="es-ES_tradnl"/>
        </w:rPr>
        <w:t xml:space="preserve">o, la </w:t>
      </w:r>
      <w:r w:rsidR="004D327F" w:rsidRPr="004E6391">
        <w:rPr>
          <w:rFonts w:asciiTheme="majorHAnsi" w:hAnsiTheme="majorHAnsi"/>
          <w:bCs/>
          <w:sz w:val="20"/>
          <w:szCs w:val="20"/>
          <w:lang w:val="es-ES_tradnl"/>
        </w:rPr>
        <w:t xml:space="preserve">que no sustentó con ninguna evidencia. </w:t>
      </w:r>
    </w:p>
    <w:p w14:paraId="4A9F2B6D" w14:textId="7421B070" w:rsidR="008042B0" w:rsidRPr="004E6391" w:rsidRDefault="009B107F" w:rsidP="009B107F">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Señala</w:t>
      </w:r>
      <w:r w:rsidR="00683836" w:rsidRPr="004E6391">
        <w:rPr>
          <w:rFonts w:asciiTheme="majorHAnsi" w:hAnsiTheme="majorHAnsi"/>
          <w:bCs/>
          <w:sz w:val="20"/>
          <w:szCs w:val="20"/>
          <w:lang w:val="es-ES_tradnl"/>
        </w:rPr>
        <w:t xml:space="preserve"> el Estado</w:t>
      </w:r>
      <w:r w:rsidR="008042B0" w:rsidRPr="004E6391">
        <w:rPr>
          <w:rFonts w:asciiTheme="majorHAnsi" w:hAnsiTheme="majorHAnsi"/>
          <w:bCs/>
          <w:sz w:val="20"/>
          <w:szCs w:val="20"/>
          <w:lang w:val="es-ES_tradnl"/>
        </w:rPr>
        <w:t xml:space="preserve"> que el ordenamiento colombian</w:t>
      </w:r>
      <w:r w:rsidR="00683836" w:rsidRPr="004E6391">
        <w:rPr>
          <w:rFonts w:asciiTheme="majorHAnsi" w:hAnsiTheme="majorHAnsi"/>
          <w:bCs/>
          <w:sz w:val="20"/>
          <w:szCs w:val="20"/>
          <w:lang w:val="es-ES_tradnl"/>
        </w:rPr>
        <w:t>o</w:t>
      </w:r>
      <w:r w:rsidR="008042B0" w:rsidRPr="004E6391">
        <w:rPr>
          <w:rFonts w:asciiTheme="majorHAnsi" w:hAnsiTheme="majorHAnsi"/>
          <w:bCs/>
          <w:sz w:val="20"/>
          <w:szCs w:val="20"/>
          <w:lang w:val="es-ES_tradnl"/>
        </w:rPr>
        <w:t xml:space="preserve"> permite que las sentencias condenatorias de instancia única que se emit</w:t>
      </w:r>
      <w:r w:rsidR="00683836" w:rsidRPr="004E6391">
        <w:rPr>
          <w:rFonts w:asciiTheme="majorHAnsi" w:hAnsiTheme="majorHAnsi"/>
          <w:bCs/>
          <w:sz w:val="20"/>
          <w:szCs w:val="20"/>
          <w:lang w:val="es-ES_tradnl"/>
        </w:rPr>
        <w:t>e</w:t>
      </w:r>
      <w:r w:rsidR="008042B0" w:rsidRPr="004E6391">
        <w:rPr>
          <w:rFonts w:asciiTheme="majorHAnsi" w:hAnsiTheme="majorHAnsi"/>
          <w:bCs/>
          <w:sz w:val="20"/>
          <w:szCs w:val="20"/>
          <w:lang w:val="es-ES_tradnl"/>
        </w:rPr>
        <w:t xml:space="preserve">n en el marco de </w:t>
      </w:r>
      <w:r w:rsidR="00683836" w:rsidRPr="004E6391">
        <w:rPr>
          <w:rFonts w:asciiTheme="majorHAnsi" w:hAnsiTheme="majorHAnsi"/>
          <w:bCs/>
          <w:sz w:val="20"/>
          <w:szCs w:val="20"/>
          <w:lang w:val="es-ES_tradnl"/>
        </w:rPr>
        <w:t xml:space="preserve">los referidos procesos especiales sean </w:t>
      </w:r>
      <w:r w:rsidRPr="004E6391">
        <w:rPr>
          <w:rFonts w:asciiTheme="majorHAnsi" w:hAnsiTheme="majorHAnsi"/>
          <w:bCs/>
          <w:sz w:val="20"/>
          <w:szCs w:val="20"/>
          <w:lang w:val="es-ES_tradnl"/>
        </w:rPr>
        <w:t>impugnadas</w:t>
      </w:r>
      <w:r w:rsidR="008042B0" w:rsidRPr="004E6391">
        <w:rPr>
          <w:rFonts w:asciiTheme="majorHAnsi" w:hAnsiTheme="majorHAnsi"/>
          <w:bCs/>
          <w:sz w:val="20"/>
          <w:szCs w:val="20"/>
          <w:lang w:val="es-ES_tradnl"/>
        </w:rPr>
        <w:t xml:space="preserve"> mediante las acciones de re</w:t>
      </w:r>
      <w:r w:rsidR="005D3D35" w:rsidRPr="004E6391">
        <w:rPr>
          <w:rFonts w:asciiTheme="majorHAnsi" w:hAnsiTheme="majorHAnsi"/>
          <w:bCs/>
          <w:sz w:val="20"/>
          <w:szCs w:val="20"/>
          <w:lang w:val="es-ES_tradnl"/>
        </w:rPr>
        <w:t>visión y de tutela</w:t>
      </w:r>
      <w:r w:rsidRPr="004E6391">
        <w:rPr>
          <w:rFonts w:asciiTheme="majorHAnsi" w:hAnsiTheme="majorHAnsi"/>
          <w:bCs/>
          <w:sz w:val="20"/>
          <w:szCs w:val="20"/>
          <w:lang w:val="es-ES_tradnl"/>
        </w:rPr>
        <w:t>. El Estado destaca que</w:t>
      </w:r>
      <w:r w:rsidR="005D3D35" w:rsidRPr="004E6391">
        <w:rPr>
          <w:rFonts w:asciiTheme="majorHAnsi" w:hAnsiTheme="majorHAnsi"/>
          <w:bCs/>
          <w:sz w:val="20"/>
          <w:szCs w:val="20"/>
          <w:lang w:val="es-ES_tradnl"/>
        </w:rPr>
        <w:t xml:space="preserve"> ambas de </w:t>
      </w:r>
      <w:r w:rsidRPr="004E6391">
        <w:rPr>
          <w:rFonts w:asciiTheme="majorHAnsi" w:hAnsiTheme="majorHAnsi"/>
          <w:bCs/>
          <w:sz w:val="20"/>
          <w:szCs w:val="20"/>
          <w:lang w:val="es-ES_tradnl"/>
        </w:rPr>
        <w:t>esas acciones</w:t>
      </w:r>
      <w:r w:rsidR="005D3D35" w:rsidRPr="004E6391">
        <w:rPr>
          <w:rFonts w:asciiTheme="majorHAnsi" w:hAnsiTheme="majorHAnsi"/>
          <w:bCs/>
          <w:sz w:val="20"/>
          <w:szCs w:val="20"/>
          <w:lang w:val="es-ES_tradnl"/>
        </w:rPr>
        <w:t xml:space="preserve"> permiten controvertir aspectos procesales, sustanciales y fácticos del fallo condenatorio</w:t>
      </w:r>
      <w:r w:rsidR="003076E3" w:rsidRPr="004E6391">
        <w:rPr>
          <w:rFonts w:asciiTheme="majorHAnsi" w:hAnsiTheme="majorHAnsi"/>
          <w:bCs/>
          <w:sz w:val="20"/>
          <w:szCs w:val="20"/>
          <w:lang w:val="es-ES_tradnl"/>
        </w:rPr>
        <w:t xml:space="preserve"> ante </w:t>
      </w:r>
      <w:r w:rsidR="00262492" w:rsidRPr="004E6391">
        <w:rPr>
          <w:rFonts w:asciiTheme="majorHAnsi" w:hAnsiTheme="majorHAnsi"/>
          <w:bCs/>
          <w:sz w:val="20"/>
          <w:szCs w:val="20"/>
          <w:lang w:val="es-ES_tradnl"/>
        </w:rPr>
        <w:t>juzgadores distintos cumpliéndose</w:t>
      </w:r>
      <w:r w:rsidR="00642CCA" w:rsidRPr="004E6391">
        <w:rPr>
          <w:rFonts w:asciiTheme="majorHAnsi" w:hAnsiTheme="majorHAnsi"/>
          <w:bCs/>
          <w:sz w:val="20"/>
          <w:szCs w:val="20"/>
          <w:lang w:val="es-ES_tradnl"/>
        </w:rPr>
        <w:t xml:space="preserve"> así </w:t>
      </w:r>
      <w:r w:rsidR="00D7237A" w:rsidRPr="004E6391">
        <w:rPr>
          <w:rFonts w:asciiTheme="majorHAnsi" w:hAnsiTheme="majorHAnsi"/>
          <w:bCs/>
          <w:sz w:val="20"/>
          <w:szCs w:val="20"/>
          <w:lang w:val="es-ES_tradnl"/>
        </w:rPr>
        <w:t xml:space="preserve">con </w:t>
      </w:r>
      <w:r w:rsidR="00642CCA" w:rsidRPr="004E6391">
        <w:rPr>
          <w:rFonts w:asciiTheme="majorHAnsi" w:hAnsiTheme="majorHAnsi"/>
          <w:bCs/>
          <w:sz w:val="20"/>
          <w:szCs w:val="20"/>
          <w:lang w:val="es-ES_tradnl"/>
        </w:rPr>
        <w:t xml:space="preserve">la garantía </w:t>
      </w:r>
      <w:r w:rsidR="00D7237A" w:rsidRPr="004E6391">
        <w:rPr>
          <w:rFonts w:asciiTheme="majorHAnsi" w:hAnsiTheme="majorHAnsi"/>
          <w:bCs/>
          <w:sz w:val="20"/>
          <w:szCs w:val="20"/>
          <w:lang w:val="es-ES_tradnl"/>
        </w:rPr>
        <w:t>de la doble instancia</w:t>
      </w:r>
      <w:r w:rsidR="00642CCA" w:rsidRPr="004E6391">
        <w:rPr>
          <w:rFonts w:asciiTheme="majorHAnsi" w:hAnsiTheme="majorHAnsi"/>
          <w:bCs/>
          <w:sz w:val="20"/>
          <w:szCs w:val="20"/>
          <w:lang w:val="es-ES_tradnl"/>
        </w:rPr>
        <w:t xml:space="preserve"> </w:t>
      </w:r>
      <w:r w:rsidR="00D7237A" w:rsidRPr="004E6391">
        <w:rPr>
          <w:rFonts w:asciiTheme="majorHAnsi" w:hAnsiTheme="majorHAnsi"/>
          <w:bCs/>
          <w:sz w:val="20"/>
          <w:szCs w:val="20"/>
          <w:lang w:val="es-ES_tradnl"/>
        </w:rPr>
        <w:t xml:space="preserve">prevista </w:t>
      </w:r>
      <w:r w:rsidR="00642CCA" w:rsidRPr="004E6391">
        <w:rPr>
          <w:rFonts w:asciiTheme="majorHAnsi" w:hAnsiTheme="majorHAnsi"/>
          <w:bCs/>
          <w:sz w:val="20"/>
          <w:szCs w:val="20"/>
          <w:lang w:val="es-ES_tradnl"/>
        </w:rPr>
        <w:t>en el artículo 8.2</w:t>
      </w:r>
      <w:r w:rsidR="00D7237A" w:rsidRPr="004E6391">
        <w:rPr>
          <w:rFonts w:asciiTheme="majorHAnsi" w:hAnsiTheme="majorHAnsi"/>
          <w:bCs/>
          <w:sz w:val="20"/>
          <w:szCs w:val="20"/>
          <w:lang w:val="es-ES_tradnl"/>
        </w:rPr>
        <w:t xml:space="preserve">. </w:t>
      </w:r>
      <w:r w:rsidR="00642CCA" w:rsidRPr="004E6391">
        <w:rPr>
          <w:rFonts w:asciiTheme="majorHAnsi" w:hAnsiTheme="majorHAnsi"/>
          <w:bCs/>
          <w:sz w:val="20"/>
          <w:szCs w:val="20"/>
          <w:lang w:val="es-ES_tradnl"/>
        </w:rPr>
        <w:t xml:space="preserve">h) de la Convención Americana. </w:t>
      </w:r>
    </w:p>
    <w:p w14:paraId="4F292E44" w14:textId="2016ACFA" w:rsidR="00262492" w:rsidRPr="004E6391" w:rsidRDefault="00262492" w:rsidP="00262492">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También </w:t>
      </w:r>
      <w:r w:rsidR="00D7237A" w:rsidRPr="004E6391">
        <w:rPr>
          <w:rFonts w:asciiTheme="majorHAnsi" w:hAnsiTheme="majorHAnsi"/>
          <w:bCs/>
          <w:sz w:val="20"/>
          <w:szCs w:val="20"/>
          <w:lang w:val="es-ES_tradnl"/>
        </w:rPr>
        <w:t>aduce</w:t>
      </w:r>
      <w:r w:rsidRPr="004E6391">
        <w:rPr>
          <w:rFonts w:asciiTheme="majorHAnsi" w:hAnsiTheme="majorHAnsi"/>
          <w:bCs/>
          <w:sz w:val="20"/>
          <w:szCs w:val="20"/>
          <w:lang w:val="es-ES_tradnl"/>
        </w:rPr>
        <w:t xml:space="preserve"> el Estado que la presunta víctima no agotó la acción de reparación directa por hecho del legislador, la cual constituía un recurso idóneo para que éste planteara reclamaciones tales como las supuestas consecuencias de un sistema legal que no permitiría la doble instancia, y para que este obtuviera reparación integral de llegar a probar los perjuicios. El Estado resalta que la declaración de inconstitucionalidad de la norma cuestionada no constituía requisito para la presentación o el éxito de una acción de reparación directa por hecho del legislador. Por ello, el Estado estima que el no agotamiento de la referida acción implica que la petición es inadmisible en lo pertinente a sus pretensiones reparatorias. </w:t>
      </w:r>
    </w:p>
    <w:p w14:paraId="3BF69A89" w14:textId="3FE4D0F8" w:rsidR="0055092C" w:rsidRPr="004E6391" w:rsidRDefault="00D7237A" w:rsidP="00532771">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Con relación a otros derechos, alega</w:t>
      </w:r>
      <w:r w:rsidR="000B60A9" w:rsidRPr="004E6391">
        <w:rPr>
          <w:rFonts w:asciiTheme="majorHAnsi" w:hAnsiTheme="majorHAnsi"/>
          <w:bCs/>
          <w:sz w:val="20"/>
          <w:szCs w:val="20"/>
          <w:lang w:val="es-ES_tradnl"/>
        </w:rPr>
        <w:t xml:space="preserve"> </w:t>
      </w:r>
      <w:r w:rsidRPr="004E6391">
        <w:rPr>
          <w:rFonts w:asciiTheme="majorHAnsi" w:hAnsiTheme="majorHAnsi"/>
          <w:bCs/>
          <w:sz w:val="20"/>
          <w:szCs w:val="20"/>
          <w:lang w:val="es-ES_tradnl"/>
        </w:rPr>
        <w:t xml:space="preserve">que los peticionarios invocan </w:t>
      </w:r>
      <w:r w:rsidR="000B60A9" w:rsidRPr="004E6391">
        <w:rPr>
          <w:rFonts w:asciiTheme="majorHAnsi" w:hAnsiTheme="majorHAnsi"/>
          <w:bCs/>
          <w:sz w:val="20"/>
          <w:szCs w:val="20"/>
          <w:lang w:val="es-ES_tradnl"/>
        </w:rPr>
        <w:t>violaciones al derecho a la libertad personal, pero sin un</w:t>
      </w:r>
      <w:r w:rsidR="00355B8F" w:rsidRPr="004E6391">
        <w:rPr>
          <w:rFonts w:asciiTheme="majorHAnsi" w:hAnsiTheme="majorHAnsi"/>
          <w:bCs/>
          <w:sz w:val="20"/>
          <w:szCs w:val="20"/>
          <w:lang w:val="es-ES_tradnl"/>
        </w:rPr>
        <w:t xml:space="preserve">a </w:t>
      </w:r>
      <w:r w:rsidR="000B60A9" w:rsidRPr="004E6391">
        <w:rPr>
          <w:rFonts w:asciiTheme="majorHAnsi" w:hAnsiTheme="majorHAnsi"/>
          <w:bCs/>
          <w:sz w:val="20"/>
          <w:szCs w:val="20"/>
          <w:lang w:val="es-ES_tradnl"/>
        </w:rPr>
        <w:t>elaboración legal ni de pruebas que demuestren la ilegalidad o arbitrariedad de la detención preventiva o de la privación de libertad conforme la sentencia condenatoria</w:t>
      </w:r>
      <w:r w:rsidR="0055092C" w:rsidRPr="004E6391">
        <w:rPr>
          <w:rFonts w:asciiTheme="majorHAnsi" w:hAnsiTheme="majorHAnsi"/>
          <w:bCs/>
          <w:sz w:val="20"/>
          <w:szCs w:val="20"/>
          <w:lang w:val="es-ES_tradnl"/>
        </w:rPr>
        <w:t xml:space="preserve">. </w:t>
      </w:r>
      <w:r w:rsidR="007205F9" w:rsidRPr="004E6391">
        <w:rPr>
          <w:rFonts w:asciiTheme="majorHAnsi" w:hAnsiTheme="majorHAnsi"/>
          <w:bCs/>
          <w:sz w:val="20"/>
          <w:szCs w:val="20"/>
          <w:lang w:val="es-ES_tradnl"/>
        </w:rPr>
        <w:t xml:space="preserve">A esto agrega que las alegadas violaciones a la integridad personal de la presunta víctima se refieren únicamente a las consecuencias de su detención </w:t>
      </w:r>
      <w:r w:rsidR="0071271C" w:rsidRPr="004E6391">
        <w:rPr>
          <w:rFonts w:asciiTheme="majorHAnsi" w:hAnsiTheme="majorHAnsi"/>
          <w:bCs/>
          <w:sz w:val="20"/>
          <w:szCs w:val="20"/>
          <w:lang w:val="es-ES_tradnl"/>
        </w:rPr>
        <w:t xml:space="preserve">sin que </w:t>
      </w:r>
      <w:r w:rsidRPr="004E6391">
        <w:rPr>
          <w:rFonts w:asciiTheme="majorHAnsi" w:hAnsiTheme="majorHAnsi"/>
          <w:bCs/>
          <w:sz w:val="20"/>
          <w:szCs w:val="20"/>
          <w:lang w:val="es-ES_tradnl"/>
        </w:rPr>
        <w:t>se aporten</w:t>
      </w:r>
      <w:r w:rsidR="0071271C" w:rsidRPr="004E6391">
        <w:rPr>
          <w:rFonts w:asciiTheme="majorHAnsi" w:hAnsiTheme="majorHAnsi"/>
          <w:bCs/>
          <w:sz w:val="20"/>
          <w:szCs w:val="20"/>
          <w:lang w:val="es-ES_tradnl"/>
        </w:rPr>
        <w:t xml:space="preserve"> elemento</w:t>
      </w:r>
      <w:r w:rsidRPr="004E6391">
        <w:rPr>
          <w:rFonts w:asciiTheme="majorHAnsi" w:hAnsiTheme="majorHAnsi"/>
          <w:bCs/>
          <w:sz w:val="20"/>
          <w:szCs w:val="20"/>
          <w:lang w:val="es-ES_tradnl"/>
        </w:rPr>
        <w:t>s</w:t>
      </w:r>
      <w:r w:rsidR="0071271C" w:rsidRPr="004E6391">
        <w:rPr>
          <w:rFonts w:asciiTheme="majorHAnsi" w:hAnsiTheme="majorHAnsi"/>
          <w:bCs/>
          <w:sz w:val="20"/>
          <w:szCs w:val="20"/>
          <w:lang w:val="es-ES_tradnl"/>
        </w:rPr>
        <w:t xml:space="preserve"> </w:t>
      </w:r>
      <w:r w:rsidRPr="004E6391">
        <w:rPr>
          <w:rFonts w:asciiTheme="majorHAnsi" w:hAnsiTheme="majorHAnsi"/>
          <w:bCs/>
          <w:sz w:val="20"/>
          <w:szCs w:val="20"/>
          <w:lang w:val="es-ES_tradnl"/>
        </w:rPr>
        <w:t xml:space="preserve">que sustenten </w:t>
      </w:r>
      <w:r w:rsidR="0071271C" w:rsidRPr="004E6391">
        <w:rPr>
          <w:rFonts w:asciiTheme="majorHAnsi" w:hAnsiTheme="majorHAnsi"/>
          <w:bCs/>
          <w:sz w:val="20"/>
          <w:szCs w:val="20"/>
          <w:lang w:val="es-ES_tradnl"/>
        </w:rPr>
        <w:t>la caracterización de una violación a</w:t>
      </w:r>
      <w:r w:rsidR="0055092C" w:rsidRPr="004E6391">
        <w:rPr>
          <w:rFonts w:asciiTheme="majorHAnsi" w:hAnsiTheme="majorHAnsi"/>
          <w:bCs/>
          <w:sz w:val="20"/>
          <w:szCs w:val="20"/>
          <w:lang w:val="es-ES_tradnl"/>
        </w:rPr>
        <w:t xml:space="preserve"> ese derecho. </w:t>
      </w:r>
    </w:p>
    <w:p w14:paraId="7CE12C54" w14:textId="5241EA3D" w:rsidR="005246D4" w:rsidRPr="004E6391" w:rsidRDefault="00C07F2B" w:rsidP="00532771">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El</w:t>
      </w:r>
      <w:r w:rsidR="0055092C" w:rsidRPr="004E6391">
        <w:rPr>
          <w:rFonts w:asciiTheme="majorHAnsi" w:hAnsiTheme="majorHAnsi"/>
          <w:bCs/>
          <w:sz w:val="20"/>
          <w:szCs w:val="20"/>
          <w:lang w:val="es-ES_tradnl"/>
        </w:rPr>
        <w:t xml:space="preserve"> Estado </w:t>
      </w:r>
      <w:r w:rsidRPr="004E6391">
        <w:rPr>
          <w:rFonts w:asciiTheme="majorHAnsi" w:hAnsiTheme="majorHAnsi"/>
          <w:bCs/>
          <w:sz w:val="20"/>
          <w:szCs w:val="20"/>
          <w:lang w:val="es-ES_tradnl"/>
        </w:rPr>
        <w:t xml:space="preserve">alega además </w:t>
      </w:r>
      <w:r w:rsidR="0055092C" w:rsidRPr="004E6391">
        <w:rPr>
          <w:rFonts w:asciiTheme="majorHAnsi" w:hAnsiTheme="majorHAnsi"/>
          <w:bCs/>
          <w:sz w:val="20"/>
          <w:szCs w:val="20"/>
          <w:lang w:val="es-ES_tradnl"/>
        </w:rPr>
        <w:t>que la parte peticionaria pretende que la Comisión revise decisiones judiciales domésticas</w:t>
      </w:r>
      <w:r w:rsidRPr="004E6391">
        <w:rPr>
          <w:rFonts w:asciiTheme="majorHAnsi" w:hAnsiTheme="majorHAnsi"/>
          <w:bCs/>
          <w:sz w:val="20"/>
          <w:szCs w:val="20"/>
          <w:lang w:val="es-ES_tradnl"/>
        </w:rPr>
        <w:t>,</w:t>
      </w:r>
      <w:r w:rsidR="0055092C" w:rsidRPr="004E6391">
        <w:rPr>
          <w:rFonts w:asciiTheme="majorHAnsi" w:hAnsiTheme="majorHAnsi"/>
          <w:bCs/>
          <w:sz w:val="20"/>
          <w:szCs w:val="20"/>
          <w:lang w:val="es-ES_tradnl"/>
        </w:rPr>
        <w:t xml:space="preserve"> en contravención al principio de subsidiaridad y la “fórmula de la cuarta instancia”. Así sostiene </w:t>
      </w:r>
      <w:r w:rsidR="00684A4E" w:rsidRPr="004E6391">
        <w:rPr>
          <w:rFonts w:asciiTheme="majorHAnsi" w:hAnsiTheme="majorHAnsi"/>
          <w:bCs/>
          <w:sz w:val="20"/>
          <w:szCs w:val="20"/>
          <w:lang w:val="es-ES_tradnl"/>
        </w:rPr>
        <w:t xml:space="preserve">que </w:t>
      </w:r>
      <w:r w:rsidR="0055092C" w:rsidRPr="004E6391">
        <w:rPr>
          <w:rFonts w:asciiTheme="majorHAnsi" w:hAnsiTheme="majorHAnsi"/>
          <w:bCs/>
          <w:sz w:val="20"/>
          <w:szCs w:val="20"/>
          <w:lang w:val="es-ES_tradnl"/>
        </w:rPr>
        <w:t>la Sala Penal de la Corte Suprema de Justicia fundamentó debidamente la decisión que</w:t>
      </w:r>
      <w:r w:rsidR="00B06C48" w:rsidRPr="004E6391">
        <w:rPr>
          <w:rFonts w:asciiTheme="majorHAnsi" w:hAnsiTheme="majorHAnsi"/>
          <w:bCs/>
          <w:sz w:val="20"/>
          <w:szCs w:val="20"/>
          <w:lang w:val="es-ES_tradnl"/>
        </w:rPr>
        <w:t xml:space="preserve"> finalmente resolvió la situación jurídica de la presunta víctima, así como las que emitió en materia de pruebas durante el desarrollo del proceso</w:t>
      </w:r>
      <w:r w:rsidRPr="004E6391">
        <w:rPr>
          <w:rFonts w:asciiTheme="majorHAnsi" w:hAnsiTheme="majorHAnsi"/>
          <w:bCs/>
          <w:sz w:val="20"/>
          <w:szCs w:val="20"/>
          <w:lang w:val="es-ES_tradnl"/>
        </w:rPr>
        <w:t>;</w:t>
      </w:r>
      <w:r w:rsidR="00B06C48" w:rsidRPr="004E6391">
        <w:rPr>
          <w:rFonts w:asciiTheme="majorHAnsi" w:hAnsiTheme="majorHAnsi"/>
          <w:bCs/>
          <w:sz w:val="20"/>
          <w:szCs w:val="20"/>
          <w:lang w:val="es-ES_tradnl"/>
        </w:rPr>
        <w:t xml:space="preserve"> la que</w:t>
      </w:r>
      <w:r w:rsidR="0055092C" w:rsidRPr="004E6391">
        <w:rPr>
          <w:rFonts w:asciiTheme="majorHAnsi" w:hAnsiTheme="majorHAnsi"/>
          <w:bCs/>
          <w:sz w:val="20"/>
          <w:szCs w:val="20"/>
          <w:lang w:val="es-ES_tradnl"/>
        </w:rPr>
        <w:t xml:space="preserve"> determinó </w:t>
      </w:r>
      <w:r w:rsidRPr="004E6391">
        <w:rPr>
          <w:rFonts w:asciiTheme="majorHAnsi" w:hAnsiTheme="majorHAnsi"/>
          <w:bCs/>
          <w:sz w:val="20"/>
          <w:szCs w:val="20"/>
          <w:lang w:val="es-ES_tradnl"/>
        </w:rPr>
        <w:t>su</w:t>
      </w:r>
      <w:r w:rsidR="0055092C" w:rsidRPr="004E6391">
        <w:rPr>
          <w:rFonts w:asciiTheme="majorHAnsi" w:hAnsiTheme="majorHAnsi"/>
          <w:bCs/>
          <w:sz w:val="20"/>
          <w:szCs w:val="20"/>
          <w:lang w:val="es-ES_tradnl"/>
        </w:rPr>
        <w:t xml:space="preserve"> detención preventiva</w:t>
      </w:r>
      <w:r w:rsidRPr="004E6391">
        <w:rPr>
          <w:rFonts w:asciiTheme="majorHAnsi" w:hAnsiTheme="majorHAnsi"/>
          <w:bCs/>
          <w:sz w:val="20"/>
          <w:szCs w:val="20"/>
          <w:lang w:val="es-ES_tradnl"/>
        </w:rPr>
        <w:t>;</w:t>
      </w:r>
      <w:r w:rsidR="0055092C" w:rsidRPr="004E6391">
        <w:rPr>
          <w:rFonts w:asciiTheme="majorHAnsi" w:hAnsiTheme="majorHAnsi"/>
          <w:bCs/>
          <w:sz w:val="20"/>
          <w:szCs w:val="20"/>
          <w:lang w:val="es-ES_tradnl"/>
        </w:rPr>
        <w:t xml:space="preserve"> la que le neg</w:t>
      </w:r>
      <w:r w:rsidR="003970D4" w:rsidRPr="004E6391">
        <w:rPr>
          <w:rFonts w:asciiTheme="majorHAnsi" w:hAnsiTheme="majorHAnsi"/>
          <w:bCs/>
          <w:sz w:val="20"/>
          <w:szCs w:val="20"/>
          <w:lang w:val="es-ES_tradnl"/>
        </w:rPr>
        <w:t>ó</w:t>
      </w:r>
      <w:r w:rsidR="0055092C" w:rsidRPr="004E6391">
        <w:rPr>
          <w:rFonts w:asciiTheme="majorHAnsi" w:hAnsiTheme="majorHAnsi"/>
          <w:bCs/>
          <w:sz w:val="20"/>
          <w:szCs w:val="20"/>
          <w:lang w:val="es-ES_tradnl"/>
        </w:rPr>
        <w:t xml:space="preserve"> </w:t>
      </w:r>
      <w:r w:rsidRPr="004E6391">
        <w:rPr>
          <w:rFonts w:asciiTheme="majorHAnsi" w:hAnsiTheme="majorHAnsi"/>
          <w:bCs/>
          <w:sz w:val="20"/>
          <w:szCs w:val="20"/>
          <w:lang w:val="es-ES_tradnl"/>
        </w:rPr>
        <w:t>su</w:t>
      </w:r>
      <w:r w:rsidR="0055092C" w:rsidRPr="004E6391">
        <w:rPr>
          <w:rFonts w:asciiTheme="majorHAnsi" w:hAnsiTheme="majorHAnsi"/>
          <w:bCs/>
          <w:sz w:val="20"/>
          <w:szCs w:val="20"/>
          <w:lang w:val="es-ES_tradnl"/>
        </w:rPr>
        <w:t xml:space="preserve"> libertad provisional</w:t>
      </w:r>
      <w:r w:rsidRPr="004E6391">
        <w:rPr>
          <w:rFonts w:asciiTheme="majorHAnsi" w:hAnsiTheme="majorHAnsi"/>
          <w:bCs/>
          <w:sz w:val="20"/>
          <w:szCs w:val="20"/>
          <w:lang w:val="es-ES_tradnl"/>
        </w:rPr>
        <w:t xml:space="preserve">; </w:t>
      </w:r>
      <w:r w:rsidR="0055092C" w:rsidRPr="004E6391">
        <w:rPr>
          <w:rFonts w:asciiTheme="majorHAnsi" w:hAnsiTheme="majorHAnsi"/>
          <w:bCs/>
          <w:sz w:val="20"/>
          <w:szCs w:val="20"/>
          <w:lang w:val="es-ES_tradnl"/>
        </w:rPr>
        <w:t>y la</w:t>
      </w:r>
      <w:r w:rsidR="003970D4" w:rsidRPr="004E6391">
        <w:rPr>
          <w:rFonts w:asciiTheme="majorHAnsi" w:hAnsiTheme="majorHAnsi"/>
          <w:bCs/>
          <w:sz w:val="20"/>
          <w:szCs w:val="20"/>
          <w:lang w:val="es-ES_tradnl"/>
        </w:rPr>
        <w:t xml:space="preserve"> que le negó la</w:t>
      </w:r>
      <w:r w:rsidR="0055092C" w:rsidRPr="004E6391">
        <w:rPr>
          <w:rFonts w:asciiTheme="majorHAnsi" w:hAnsiTheme="majorHAnsi"/>
          <w:bCs/>
          <w:sz w:val="20"/>
          <w:szCs w:val="20"/>
          <w:lang w:val="es-ES_tradnl"/>
        </w:rPr>
        <w:t xml:space="preserve"> excarcelación y sustitución de la detención intramural</w:t>
      </w:r>
      <w:r w:rsidR="00AC2A34" w:rsidRPr="004E6391">
        <w:rPr>
          <w:rFonts w:asciiTheme="majorHAnsi" w:hAnsiTheme="majorHAnsi"/>
          <w:bCs/>
          <w:sz w:val="20"/>
          <w:szCs w:val="20"/>
          <w:lang w:val="es-ES_tradnl"/>
        </w:rPr>
        <w:t xml:space="preserve">. </w:t>
      </w:r>
    </w:p>
    <w:p w14:paraId="45C40325" w14:textId="496A4489" w:rsidR="00C07F2B" w:rsidRPr="004E6391" w:rsidRDefault="00C07F2B" w:rsidP="00C07F2B">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Por otro lado, Colombia explica que el juzgamiento de congresistas en única instancia ante el tribunal de cierre de la jurisdicción penal responde a los principios de separación de poderes y de frenos y contrapesos; y constituye un privilegio protector de la investidura que garantiza que la corporación judicial </w:t>
      </w:r>
      <w:r w:rsidRPr="004E6391">
        <w:rPr>
          <w:rFonts w:asciiTheme="majorHAnsi" w:hAnsiTheme="majorHAnsi"/>
          <w:bCs/>
          <w:sz w:val="20"/>
          <w:szCs w:val="20"/>
          <w:lang w:val="es-ES_tradnl"/>
        </w:rPr>
        <w:lastRenderedPageBreak/>
        <w:t xml:space="preserve">que juzgue al congresista sea la mejor capacitada para analizar y resolver los problemas jurídicos que involucra su judicialización. El Estado también destaca que su jurisprudencia constitucional doméstica ha establecido de manera consolidada, pacífica y permanente que juzgar a los altos dignatarios del Estado en procesos de instancia única no implica un desconocimiento del derecho al debido proceso ni contraviene estándares internacionales. </w:t>
      </w:r>
    </w:p>
    <w:p w14:paraId="51F68C92" w14:textId="6A1D5B00" w:rsidR="003239B8" w:rsidRPr="004E6391"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4E6391">
        <w:rPr>
          <w:rFonts w:asciiTheme="majorHAnsi" w:eastAsia="Cambria" w:hAnsiTheme="majorHAnsi" w:cs="Cambria"/>
          <w:b/>
          <w:bCs/>
          <w:color w:val="000000"/>
          <w:sz w:val="20"/>
          <w:szCs w:val="20"/>
          <w:u w:color="000000"/>
          <w:lang w:val="es-ES_tradnl" w:eastAsia="es-ES"/>
        </w:rPr>
        <w:t>VI.</w:t>
      </w:r>
      <w:r w:rsidRPr="004E6391">
        <w:rPr>
          <w:rFonts w:asciiTheme="majorHAnsi" w:eastAsia="Cambria" w:hAnsiTheme="majorHAnsi" w:cs="Cambria"/>
          <w:b/>
          <w:bCs/>
          <w:color w:val="000000"/>
          <w:sz w:val="20"/>
          <w:szCs w:val="20"/>
          <w:u w:color="000000"/>
          <w:lang w:val="es-ES_tradnl" w:eastAsia="es-ES"/>
        </w:rPr>
        <w:tab/>
      </w:r>
      <w:r w:rsidR="004A6A54" w:rsidRPr="004E6391">
        <w:rPr>
          <w:rFonts w:asciiTheme="majorHAnsi" w:hAnsiTheme="majorHAnsi"/>
          <w:b/>
          <w:bCs/>
          <w:sz w:val="20"/>
          <w:szCs w:val="20"/>
          <w:lang w:val="es-ES_tradnl"/>
        </w:rPr>
        <w:t xml:space="preserve">ANÁLISIS DE </w:t>
      </w:r>
      <w:r w:rsidR="00C21FEF" w:rsidRPr="004E6391">
        <w:rPr>
          <w:rFonts w:asciiTheme="majorHAnsi" w:hAnsiTheme="majorHAnsi"/>
          <w:b/>
          <w:sz w:val="20"/>
          <w:szCs w:val="20"/>
          <w:lang w:val="es-ES_tradnl"/>
        </w:rPr>
        <w:t>AGOTAMIENTO DE LOS RECURSOS INTERNOS Y PLAZO DE PRESENTACIÓN</w:t>
      </w:r>
      <w:r w:rsidR="00C21FEF" w:rsidRPr="004E6391">
        <w:rPr>
          <w:rFonts w:asciiTheme="majorHAnsi" w:eastAsia="Cambria" w:hAnsiTheme="majorHAnsi" w:cs="Cambria"/>
          <w:b/>
          <w:bCs/>
          <w:color w:val="000000"/>
          <w:sz w:val="20"/>
          <w:szCs w:val="20"/>
          <w:u w:color="000000"/>
          <w:lang w:val="es-ES_tradnl" w:eastAsia="es-ES"/>
        </w:rPr>
        <w:t xml:space="preserve"> </w:t>
      </w:r>
    </w:p>
    <w:p w14:paraId="3D2BE508" w14:textId="76557E26" w:rsidR="006912F8" w:rsidRPr="00904645" w:rsidRDefault="006912F8" w:rsidP="00904645">
      <w:pPr>
        <w:pStyle w:val="ListParagraph"/>
        <w:numPr>
          <w:ilvl w:val="0"/>
          <w:numId w:val="59"/>
        </w:numPr>
        <w:spacing w:before="240" w:after="240"/>
        <w:ind w:left="0" w:firstLine="720"/>
        <w:jc w:val="both"/>
        <w:rPr>
          <w:rFonts w:asciiTheme="majorHAnsi" w:hAnsiTheme="majorHAnsi"/>
          <w:bCs/>
          <w:sz w:val="20"/>
          <w:szCs w:val="20"/>
          <w:lang w:val="es-ES_tradnl"/>
        </w:rPr>
      </w:pPr>
      <w:r w:rsidRPr="00904645">
        <w:rPr>
          <w:rFonts w:asciiTheme="majorHAnsi" w:hAnsiTheme="majorHAnsi"/>
          <w:bCs/>
          <w:sz w:val="20"/>
          <w:szCs w:val="20"/>
          <w:lang w:val="es-ES_tradnl"/>
        </w:rPr>
        <w:t>En el presente caso el señor Piamba optó por no recurrir a ninguno de esos dos mecanismos extraordinarios de defensa judicial para controvertir la sentencia de la Sala</w:t>
      </w:r>
      <w:r w:rsidR="0003478B" w:rsidRPr="00904645">
        <w:rPr>
          <w:rFonts w:asciiTheme="majorHAnsi" w:hAnsiTheme="majorHAnsi"/>
          <w:bCs/>
          <w:sz w:val="20"/>
          <w:szCs w:val="20"/>
          <w:lang w:val="es-ES_tradnl"/>
        </w:rPr>
        <w:t xml:space="preserve"> de Casación</w:t>
      </w:r>
      <w:r w:rsidRPr="00904645">
        <w:rPr>
          <w:rFonts w:asciiTheme="majorHAnsi" w:hAnsiTheme="majorHAnsi"/>
          <w:bCs/>
          <w:sz w:val="20"/>
          <w:szCs w:val="20"/>
          <w:lang w:val="es-ES_tradnl"/>
        </w:rPr>
        <w:t xml:space="preserve"> Penal de la Corte Suprema dictada en su contra. Por lo tanto, al ser esta decisión esencialmente de única instancia, sin contar con la posibilidad de recursos ordinarios, la última decisión judicial adoptada en su caso es la decisión adoptada por la Corte Suprema de Justicia el </w:t>
      </w:r>
      <w:r w:rsidR="0003478B" w:rsidRPr="00904645">
        <w:rPr>
          <w:rFonts w:asciiTheme="majorHAnsi" w:hAnsiTheme="majorHAnsi"/>
          <w:bCs/>
          <w:sz w:val="20"/>
          <w:szCs w:val="20"/>
          <w:lang w:val="es-ES_tradnl"/>
        </w:rPr>
        <w:t>5</w:t>
      </w:r>
      <w:r w:rsidRPr="00904645">
        <w:rPr>
          <w:rFonts w:asciiTheme="majorHAnsi" w:hAnsiTheme="majorHAnsi"/>
          <w:bCs/>
          <w:sz w:val="20"/>
          <w:szCs w:val="20"/>
          <w:lang w:val="es-ES_tradnl"/>
        </w:rPr>
        <w:t xml:space="preserve"> de </w:t>
      </w:r>
      <w:r w:rsidR="0003478B" w:rsidRPr="00904645">
        <w:rPr>
          <w:rFonts w:asciiTheme="majorHAnsi" w:hAnsiTheme="majorHAnsi"/>
          <w:bCs/>
          <w:sz w:val="20"/>
          <w:szCs w:val="20"/>
          <w:lang w:val="es-ES_tradnl"/>
        </w:rPr>
        <w:t>septiembre</w:t>
      </w:r>
      <w:r w:rsidRPr="00904645">
        <w:rPr>
          <w:rFonts w:asciiTheme="majorHAnsi" w:hAnsiTheme="majorHAnsi"/>
          <w:bCs/>
          <w:sz w:val="20"/>
          <w:szCs w:val="20"/>
          <w:lang w:val="es-ES_tradnl"/>
        </w:rPr>
        <w:t xml:space="preserve"> de 201</w:t>
      </w:r>
      <w:r w:rsidR="0003478B" w:rsidRPr="00904645">
        <w:rPr>
          <w:rFonts w:asciiTheme="majorHAnsi" w:hAnsiTheme="majorHAnsi"/>
          <w:bCs/>
          <w:sz w:val="20"/>
          <w:szCs w:val="20"/>
          <w:lang w:val="es-ES_tradnl"/>
        </w:rPr>
        <w:t>2</w:t>
      </w:r>
      <w:r w:rsidRPr="00904645">
        <w:rPr>
          <w:rFonts w:asciiTheme="majorHAnsi" w:hAnsiTheme="majorHAnsi"/>
          <w:bCs/>
          <w:sz w:val="20"/>
          <w:szCs w:val="20"/>
          <w:lang w:val="es-ES_tradnl"/>
        </w:rPr>
        <w:t xml:space="preserve">. </w:t>
      </w:r>
    </w:p>
    <w:p w14:paraId="57FE36DA" w14:textId="0E80F1C4" w:rsidR="006912F8" w:rsidRPr="008C3E7E" w:rsidRDefault="006912F8" w:rsidP="008C3E7E">
      <w:pPr>
        <w:pStyle w:val="ListParagraph"/>
        <w:numPr>
          <w:ilvl w:val="0"/>
          <w:numId w:val="59"/>
        </w:numPr>
        <w:spacing w:before="240" w:after="240"/>
        <w:ind w:left="0" w:firstLine="720"/>
        <w:jc w:val="both"/>
        <w:rPr>
          <w:rFonts w:asciiTheme="majorHAnsi" w:hAnsiTheme="majorHAnsi"/>
          <w:bCs/>
          <w:sz w:val="20"/>
          <w:szCs w:val="20"/>
          <w:lang w:val="es-ES_tradnl"/>
        </w:rPr>
      </w:pPr>
      <w:r w:rsidRPr="008C3E7E">
        <w:rPr>
          <w:rFonts w:asciiTheme="majorHAnsi" w:hAnsiTheme="majorHAnsi"/>
          <w:bCs/>
          <w:sz w:val="20"/>
          <w:szCs w:val="20"/>
          <w:lang w:val="es-ES_tradnl"/>
        </w:rPr>
        <w:t xml:space="preserve">La CIDH también toma en consideración que, según lo explicó el Estado en su contestación, bajo el ordenamiento jurídico colombiano sí es posible interponer dos tipos de recursos judiciales extraordinarios contra tales fallos de única instancia, a saber, la acción extraordinaria de revisión y la acción de tutela. Esta última vía judicial,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como también lo es la acción de revisión. El Estado ha alegado adicionalmente que en relación con el reclamo del señor Ramírez por indebida fundamentación probatoria del fallo condenatorio, se pudo haber recurrido a la acción de tutela, que estaba disponible para este preciso propósito a la luz de la jurisprudencia constitucional. </w:t>
      </w:r>
    </w:p>
    <w:p w14:paraId="4E8B3CF5" w14:textId="70C496F4" w:rsidR="006912F8" w:rsidRPr="008C3E7E" w:rsidRDefault="006912F8" w:rsidP="008C3E7E">
      <w:pPr>
        <w:pStyle w:val="ListParagraph"/>
        <w:numPr>
          <w:ilvl w:val="0"/>
          <w:numId w:val="59"/>
        </w:numPr>
        <w:spacing w:before="240" w:after="240"/>
        <w:ind w:left="0" w:firstLine="720"/>
        <w:jc w:val="both"/>
        <w:rPr>
          <w:rFonts w:asciiTheme="majorHAnsi" w:hAnsiTheme="majorHAnsi"/>
          <w:bCs/>
          <w:sz w:val="20"/>
          <w:szCs w:val="20"/>
          <w:lang w:val="es-ES_tradnl"/>
        </w:rPr>
      </w:pPr>
      <w:r w:rsidRPr="008C3E7E">
        <w:rPr>
          <w:rFonts w:asciiTheme="majorHAnsi" w:hAnsiTheme="majorHAnsi"/>
          <w:bCs/>
          <w:sz w:val="20"/>
          <w:szCs w:val="20"/>
          <w:lang w:val="es-ES_tradnl"/>
        </w:rPr>
        <w:t xml:space="preserve">A este respecto, la Comisión observa, en primer lugar, que el sistema jurídico colombiano no provee recursos ordinarios (como la apelación) para controvertir los fallos adoptados por la Corte Suprema de Justicia en única instancia, asunto que constituye uno de los problemas jurídicos de fondo que habrán de resolverse en la etapa correspondiente del presente procedimiento interamericano, a la luz de los precedentes relevantes tanto de la Comisión como de la Corte Interamericana, y sobre el cual no se adopta pronunciamiento alguno en el presente informe de admisibilidad. </w:t>
      </w:r>
    </w:p>
    <w:p w14:paraId="4EAE7532" w14:textId="12ABD6FC" w:rsidR="006912F8" w:rsidRPr="004E6391" w:rsidRDefault="006912F8" w:rsidP="008C3E7E">
      <w:pPr>
        <w:pStyle w:val="ListParagraph"/>
        <w:numPr>
          <w:ilvl w:val="0"/>
          <w:numId w:val="59"/>
        </w:numPr>
        <w:spacing w:before="240" w:after="240"/>
        <w:ind w:left="0" w:firstLine="720"/>
        <w:jc w:val="both"/>
        <w:rPr>
          <w:rFonts w:asciiTheme="majorHAnsi" w:hAnsiTheme="majorHAnsi"/>
          <w:sz w:val="20"/>
          <w:szCs w:val="20"/>
          <w:lang w:val="es-ES_tradnl"/>
        </w:rPr>
      </w:pPr>
      <w:r w:rsidRPr="008C3E7E">
        <w:rPr>
          <w:rFonts w:asciiTheme="majorHAnsi" w:hAnsiTheme="majorHAnsi"/>
          <w:bCs/>
          <w:sz w:val="20"/>
          <w:szCs w:val="20"/>
          <w:lang w:val="es-ES_tradnl"/>
        </w:rPr>
        <w:t>Asimismo, recuerda que, si bien en algunos casos los recursos extraordinarios pueden ser adecuados para enfrentar violaciones de derechos humanos, como norma general los únicos recursos que es necesario agotar son aquellos cuyas funciones dentro del sistema jurídico los hace apropiados para remediar una infracción de determinado derecho legal. En principio, se trata de recursos ordinarios y no extraordinarios</w:t>
      </w:r>
      <w:r w:rsidRPr="004E6391">
        <w:rPr>
          <w:rStyle w:val="FootnoteReference"/>
          <w:rFonts w:cs="Calibri"/>
          <w:sz w:val="20"/>
          <w:szCs w:val="20"/>
          <w:lang w:val="es-ES_tradnl"/>
        </w:rPr>
        <w:footnoteReference w:id="5"/>
      </w:r>
      <w:r w:rsidRPr="004E6391">
        <w:rPr>
          <w:rFonts w:cs="Calibri"/>
          <w:sz w:val="20"/>
          <w:szCs w:val="20"/>
          <w:lang w:val="es-ES_tradnl"/>
        </w:rPr>
        <w:t xml:space="preserve">. </w:t>
      </w:r>
      <w:r w:rsidRPr="004E6391">
        <w:rPr>
          <w:rFonts w:asciiTheme="majorHAnsi" w:hAnsiTheme="majorHAnsi"/>
          <w:sz w:val="20"/>
          <w:szCs w:val="20"/>
          <w:lang w:val="es-ES_tradnl"/>
        </w:rPr>
        <w:t>Asimismo, para efectos de la regla de agotamiento de los recursos internos, no son recursos idóneos para ventilar reclamos por violaciones de las garantías judiciales los recursos de tipo extraordinario que el peticionario no haya decidido voluntariamente interponer</w:t>
      </w:r>
      <w:r w:rsidRPr="004E6391">
        <w:rPr>
          <w:rStyle w:val="FootnoteReference"/>
          <w:rFonts w:asciiTheme="majorHAnsi" w:hAnsiTheme="majorHAnsi"/>
          <w:sz w:val="20"/>
          <w:szCs w:val="20"/>
          <w:lang w:val="es-ES_tradnl"/>
        </w:rPr>
        <w:footnoteReference w:id="6"/>
      </w:r>
      <w:r w:rsidRPr="004E6391">
        <w:rPr>
          <w:rFonts w:asciiTheme="majorHAnsi" w:hAnsiTheme="majorHAnsi"/>
          <w:sz w:val="20"/>
          <w:szCs w:val="20"/>
          <w:lang w:val="es-ES_tradnl"/>
        </w:rPr>
        <w:t>. En el presente caso los recursos que alega el Estado debía agotar el peticionario son, a juicio de la Comisión, de naturaleza extraordinaria. Así, en atención a las particularidades del presente caso la CIDH no considera que aquel debió agotarlos como requisito para acudir al Sistema Interamericana. Por lo tanto, frente al cuestionamiento del Estado relativo a la falta de agotamiento de los recursos internos la Comisión considera aplicable la excepción establecida en el artículo 46.2.a) de la Convención Americana</w:t>
      </w:r>
      <w:r w:rsidR="0093595A" w:rsidRPr="004E6391">
        <w:rPr>
          <w:rStyle w:val="FootnoteReference"/>
          <w:rFonts w:asciiTheme="majorHAnsi" w:hAnsiTheme="majorHAnsi"/>
          <w:sz w:val="20"/>
          <w:szCs w:val="20"/>
          <w:lang w:val="es-ES_tradnl"/>
        </w:rPr>
        <w:footnoteReference w:id="7"/>
      </w:r>
      <w:r w:rsidRPr="004E6391">
        <w:rPr>
          <w:rFonts w:asciiTheme="majorHAnsi" w:hAnsiTheme="majorHAnsi"/>
          <w:sz w:val="20"/>
          <w:szCs w:val="20"/>
          <w:lang w:val="es-ES_tradnl"/>
        </w:rPr>
        <w:t xml:space="preserve">. </w:t>
      </w:r>
    </w:p>
    <w:p w14:paraId="15D2D21D" w14:textId="59761C7A" w:rsidR="006912F8" w:rsidRPr="004E6391" w:rsidRDefault="006912F8" w:rsidP="00FD4D29">
      <w:pPr>
        <w:pStyle w:val="ListParagraph"/>
        <w:numPr>
          <w:ilvl w:val="0"/>
          <w:numId w:val="59"/>
        </w:numPr>
        <w:spacing w:before="240" w:after="240"/>
        <w:ind w:left="0" w:firstLine="720"/>
        <w:jc w:val="both"/>
        <w:rPr>
          <w:rFonts w:asciiTheme="majorHAnsi" w:hAnsiTheme="majorHAnsi"/>
          <w:sz w:val="20"/>
          <w:szCs w:val="20"/>
          <w:lang w:val="es-ES_tradnl"/>
        </w:rPr>
      </w:pPr>
      <w:r w:rsidRPr="004E6391">
        <w:rPr>
          <w:rFonts w:asciiTheme="majorHAnsi" w:hAnsiTheme="majorHAnsi"/>
          <w:sz w:val="20"/>
          <w:szCs w:val="20"/>
          <w:lang w:val="es-ES_tradnl"/>
        </w:rPr>
        <w:lastRenderedPageBreak/>
        <w:t xml:space="preserve">Asimismo, en atención a que la última decisión judicial adoptada en el proceso penal seguido contra el </w:t>
      </w:r>
      <w:r w:rsidR="002A43CF" w:rsidRPr="004E6391">
        <w:rPr>
          <w:rFonts w:asciiTheme="majorHAnsi" w:hAnsiTheme="majorHAnsi"/>
          <w:sz w:val="20"/>
          <w:szCs w:val="20"/>
          <w:lang w:val="es-ES_tradnl"/>
        </w:rPr>
        <w:t>Sr. Piamba</w:t>
      </w:r>
      <w:r w:rsidRPr="004E6391">
        <w:rPr>
          <w:rFonts w:asciiTheme="majorHAnsi" w:hAnsiTheme="majorHAnsi"/>
          <w:sz w:val="20"/>
          <w:szCs w:val="20"/>
          <w:lang w:val="es-ES_tradnl"/>
        </w:rPr>
        <w:t xml:space="preserve"> fue adoptada el </w:t>
      </w:r>
      <w:r w:rsidR="002A43CF" w:rsidRPr="004E6391">
        <w:rPr>
          <w:rFonts w:asciiTheme="majorHAnsi" w:hAnsiTheme="majorHAnsi"/>
          <w:sz w:val="20"/>
          <w:szCs w:val="20"/>
          <w:lang w:val="es-ES_tradnl"/>
        </w:rPr>
        <w:t>5</w:t>
      </w:r>
      <w:r w:rsidRPr="004E6391">
        <w:rPr>
          <w:rFonts w:asciiTheme="majorHAnsi" w:hAnsiTheme="majorHAnsi"/>
          <w:sz w:val="20"/>
          <w:szCs w:val="20"/>
          <w:lang w:val="es-ES_tradnl"/>
        </w:rPr>
        <w:t xml:space="preserve"> de </w:t>
      </w:r>
      <w:r w:rsidR="002A43CF" w:rsidRPr="004E6391">
        <w:rPr>
          <w:rFonts w:asciiTheme="majorHAnsi" w:hAnsiTheme="majorHAnsi"/>
          <w:sz w:val="20"/>
          <w:szCs w:val="20"/>
          <w:lang w:val="es-ES_tradnl"/>
        </w:rPr>
        <w:t>septiembre</w:t>
      </w:r>
      <w:r w:rsidRPr="004E6391">
        <w:rPr>
          <w:rFonts w:asciiTheme="majorHAnsi" w:hAnsiTheme="majorHAnsi"/>
          <w:sz w:val="20"/>
          <w:szCs w:val="20"/>
          <w:lang w:val="es-ES_tradnl"/>
        </w:rPr>
        <w:t xml:space="preserve"> de 201</w:t>
      </w:r>
      <w:r w:rsidR="002A43CF" w:rsidRPr="004E6391">
        <w:rPr>
          <w:rFonts w:asciiTheme="majorHAnsi" w:hAnsiTheme="majorHAnsi"/>
          <w:sz w:val="20"/>
          <w:szCs w:val="20"/>
          <w:lang w:val="es-ES_tradnl"/>
        </w:rPr>
        <w:t>2</w:t>
      </w:r>
      <w:r w:rsidRPr="004E6391">
        <w:rPr>
          <w:rFonts w:asciiTheme="majorHAnsi" w:hAnsiTheme="majorHAnsi"/>
          <w:sz w:val="20"/>
          <w:szCs w:val="20"/>
          <w:lang w:val="es-ES_tradnl"/>
        </w:rPr>
        <w:t xml:space="preserve">, y la petición presentada en la CIDH el </w:t>
      </w:r>
      <w:r w:rsidR="002A43CF" w:rsidRPr="004E6391">
        <w:rPr>
          <w:rFonts w:asciiTheme="majorHAnsi" w:hAnsiTheme="majorHAnsi"/>
          <w:sz w:val="20"/>
          <w:szCs w:val="20"/>
          <w:lang w:val="es-ES_tradnl"/>
        </w:rPr>
        <w:t>4</w:t>
      </w:r>
      <w:r w:rsidRPr="004E6391">
        <w:rPr>
          <w:rFonts w:asciiTheme="majorHAnsi" w:hAnsiTheme="majorHAnsi"/>
          <w:sz w:val="20"/>
          <w:szCs w:val="20"/>
          <w:lang w:val="es-ES_tradnl"/>
        </w:rPr>
        <w:t xml:space="preserve"> de </w:t>
      </w:r>
      <w:r w:rsidR="002A43CF" w:rsidRPr="004E6391">
        <w:rPr>
          <w:rFonts w:asciiTheme="majorHAnsi" w:hAnsiTheme="majorHAnsi"/>
          <w:sz w:val="20"/>
          <w:szCs w:val="20"/>
          <w:lang w:val="es-ES_tradnl"/>
        </w:rPr>
        <w:t>marzo</w:t>
      </w:r>
      <w:r w:rsidRPr="004E6391">
        <w:rPr>
          <w:rFonts w:asciiTheme="majorHAnsi" w:hAnsiTheme="majorHAnsi"/>
          <w:sz w:val="20"/>
          <w:szCs w:val="20"/>
          <w:lang w:val="es-ES_tradnl"/>
        </w:rPr>
        <w:t xml:space="preserve"> de 201</w:t>
      </w:r>
      <w:r w:rsidR="002A43CF" w:rsidRPr="004E6391">
        <w:rPr>
          <w:rFonts w:asciiTheme="majorHAnsi" w:hAnsiTheme="majorHAnsi"/>
          <w:sz w:val="20"/>
          <w:szCs w:val="20"/>
          <w:lang w:val="es-ES_tradnl"/>
        </w:rPr>
        <w:t>3</w:t>
      </w:r>
      <w:r w:rsidRPr="004E6391">
        <w:rPr>
          <w:rFonts w:asciiTheme="majorHAnsi" w:hAnsiTheme="majorHAnsi"/>
          <w:sz w:val="20"/>
          <w:szCs w:val="20"/>
          <w:lang w:val="es-ES_tradnl"/>
        </w:rPr>
        <w:t>, la Comisión considera que esta fue presentada en cumplimiento del artículo 32.2 de su Reglamento.</w:t>
      </w:r>
    </w:p>
    <w:p w14:paraId="53D358EF" w14:textId="3B0D079A" w:rsidR="006912F8" w:rsidRPr="004E6391" w:rsidRDefault="006912F8" w:rsidP="00FD4D29">
      <w:pPr>
        <w:pStyle w:val="ListParagraph"/>
        <w:numPr>
          <w:ilvl w:val="0"/>
          <w:numId w:val="59"/>
        </w:numPr>
        <w:spacing w:before="240" w:after="240"/>
        <w:ind w:left="0" w:firstLine="720"/>
        <w:jc w:val="both"/>
        <w:rPr>
          <w:rFonts w:asciiTheme="majorHAnsi" w:hAnsiTheme="majorHAnsi" w:cs="Calibri"/>
          <w:sz w:val="20"/>
          <w:szCs w:val="20"/>
          <w:lang w:val="es-ES_tradnl"/>
        </w:rPr>
      </w:pPr>
      <w:r w:rsidRPr="004E6391">
        <w:rPr>
          <w:rFonts w:asciiTheme="majorHAnsi" w:hAnsiTheme="majorHAnsi"/>
          <w:sz w:val="20"/>
          <w:szCs w:val="20"/>
          <w:lang w:val="es-ES_tradnl"/>
        </w:rPr>
        <w:t xml:space="preserve">Es importante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Pr="00FD4D29">
        <w:rPr>
          <w:rFonts w:asciiTheme="majorHAnsi" w:hAnsiTheme="majorHAnsi"/>
          <w:sz w:val="20"/>
          <w:szCs w:val="20"/>
          <w:lang w:val="es-ES_tradnl"/>
        </w:rPr>
        <w:t>Esta determinación constituye un análisis primario, que no implica prejuzgar sobre el fondo del asunto</w:t>
      </w:r>
      <w:r w:rsidRPr="004E6391">
        <w:rPr>
          <w:rStyle w:val="FootnoteReference"/>
          <w:rFonts w:asciiTheme="majorHAnsi" w:hAnsiTheme="majorHAnsi" w:cs="Calibri"/>
          <w:sz w:val="20"/>
          <w:szCs w:val="20"/>
          <w:lang w:val="es-ES_tradnl"/>
        </w:rPr>
        <w:footnoteReference w:id="8"/>
      </w:r>
      <w:r w:rsidRPr="004E6391">
        <w:rPr>
          <w:rFonts w:asciiTheme="majorHAnsi" w:hAnsiTheme="majorHAnsi" w:cs="Calibri"/>
          <w:sz w:val="20"/>
          <w:szCs w:val="20"/>
          <w:lang w:val="es-ES_tradnl"/>
        </w:rPr>
        <w:t xml:space="preserve">. </w:t>
      </w:r>
    </w:p>
    <w:p w14:paraId="1855FEBA" w14:textId="710E5250" w:rsidR="006B740C" w:rsidRPr="004E6391" w:rsidRDefault="006B740C" w:rsidP="006B740C">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bCs/>
          <w:sz w:val="20"/>
          <w:szCs w:val="20"/>
          <w:lang w:val="es-ES_tradnl"/>
        </w:rPr>
        <w:t xml:space="preserve">Finalmente, con respecto al alegato del Estado según el cual la pretensión reparatoria de la parte peticionaria sería inadmisible por que la presunta víctima no interpuso una acción de reparación directa por hecho del legislador para solicitar reparación por la normativa que sometió a la presunta víctima a un proceso penal especial de instancia única. Al respecto, la Comisión observa que en la presente petición la pretensión reparatoria es accesoria e indivisible de la pretensión principal; y que la acción de reparación directa por hecho de legislador no constituía un recurso idóneo para procurar la revisión o revocatoria de la condena proferida contra la presunta víctima. </w:t>
      </w:r>
    </w:p>
    <w:p w14:paraId="673598AF" w14:textId="77777777" w:rsidR="003239B8" w:rsidRPr="004E6391" w:rsidRDefault="003239B8" w:rsidP="003239B8">
      <w:pPr>
        <w:pStyle w:val="ListParagraph"/>
        <w:spacing w:before="240" w:after="240"/>
        <w:jc w:val="both"/>
        <w:rPr>
          <w:rFonts w:asciiTheme="majorHAnsi" w:hAnsiTheme="majorHAnsi"/>
          <w:b/>
          <w:sz w:val="20"/>
          <w:szCs w:val="20"/>
          <w:lang w:val="es-ES_tradnl"/>
        </w:rPr>
      </w:pPr>
      <w:r w:rsidRPr="004E6391">
        <w:rPr>
          <w:rFonts w:asciiTheme="majorHAnsi" w:hAnsiTheme="majorHAnsi"/>
          <w:b/>
          <w:bCs/>
          <w:sz w:val="20"/>
          <w:szCs w:val="20"/>
          <w:lang w:val="es-ES_tradnl"/>
        </w:rPr>
        <w:t>VII.</w:t>
      </w:r>
      <w:r w:rsidRPr="004E6391">
        <w:rPr>
          <w:rFonts w:asciiTheme="majorHAnsi" w:hAnsiTheme="majorHAnsi"/>
          <w:b/>
          <w:bCs/>
          <w:sz w:val="20"/>
          <w:szCs w:val="20"/>
          <w:lang w:val="es-ES_tradnl"/>
        </w:rPr>
        <w:tab/>
      </w:r>
      <w:r w:rsidR="004A6A54" w:rsidRPr="004E6391">
        <w:rPr>
          <w:rFonts w:asciiTheme="majorHAnsi" w:hAnsiTheme="majorHAnsi"/>
          <w:b/>
          <w:bCs/>
          <w:sz w:val="20"/>
          <w:szCs w:val="20"/>
          <w:lang w:val="es-ES_tradnl"/>
        </w:rPr>
        <w:t xml:space="preserve">ANÁLISIS DE </w:t>
      </w:r>
      <w:r w:rsidR="00C21FEF" w:rsidRPr="004E6391">
        <w:rPr>
          <w:rFonts w:asciiTheme="majorHAnsi" w:hAnsiTheme="majorHAnsi"/>
          <w:b/>
          <w:bCs/>
          <w:sz w:val="20"/>
          <w:szCs w:val="20"/>
          <w:lang w:val="es-ES_tradnl"/>
        </w:rPr>
        <w:t>CARACTERIZACIÓN DE LOS HECHOS ALEGADOS</w:t>
      </w:r>
    </w:p>
    <w:p w14:paraId="0C18FF27" w14:textId="2E5895C1" w:rsidR="00196824" w:rsidRPr="004E6391" w:rsidRDefault="00196824" w:rsidP="0019682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4E6391">
        <w:rPr>
          <w:rFonts w:asciiTheme="majorHAnsi" w:hAnsiTheme="majorHAnsi"/>
          <w:sz w:val="20"/>
          <w:szCs w:val="20"/>
          <w:lang w:val="es-ES_tradnl"/>
        </w:rPr>
        <w:t xml:space="preserve">Preliminarmente y dado que el Estado ha presentado argumentos relacionados con la fórmula de la “cuarta instancia”, </w:t>
      </w:r>
      <w:r w:rsidRPr="004E6391">
        <w:rPr>
          <w:sz w:val="20"/>
          <w:szCs w:val="20"/>
          <w:lang w:val="es-ES_tradnl"/>
        </w:rPr>
        <w:t xml:space="preserve">la Comisión reitera que </w:t>
      </w:r>
      <w:r w:rsidR="00E466EB" w:rsidRPr="004E6391">
        <w:rPr>
          <w:sz w:val="20"/>
          <w:szCs w:val="20"/>
          <w:lang w:val="es-ES_tradnl"/>
        </w:rPr>
        <w:t>–</w:t>
      </w:r>
      <w:r w:rsidRPr="004E6391">
        <w:rPr>
          <w:sz w:val="20"/>
          <w:szCs w:val="20"/>
          <w:lang w:val="es-ES_tradnl"/>
        </w:rPr>
        <w:t>a efectos de la admisibilidad</w:t>
      </w:r>
      <w:r w:rsidR="00E466EB" w:rsidRPr="004E6391">
        <w:rPr>
          <w:sz w:val="20"/>
          <w:szCs w:val="20"/>
          <w:lang w:val="es-ES_tradnl"/>
        </w:rPr>
        <w:t>–</w:t>
      </w:r>
      <w:r w:rsidRPr="004E6391">
        <w:rPr>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4E6391">
        <w:rPr>
          <w:i/>
          <w:iCs/>
          <w:sz w:val="20"/>
          <w:szCs w:val="20"/>
          <w:lang w:val="es-ES_tradnl"/>
        </w:rPr>
        <w:t>prima facie</w:t>
      </w:r>
      <w:r w:rsidRPr="004E6391">
        <w:rPr>
          <w:sz w:val="20"/>
          <w:szCs w:val="20"/>
          <w:lang w:val="es-ES_tradnl"/>
        </w:rPr>
        <w:t xml:space="preserve"> violaciones a la Convención Americana</w:t>
      </w:r>
      <w:r w:rsidRPr="004E6391">
        <w:rPr>
          <w:rStyle w:val="FootnoteReference"/>
          <w:rFonts w:cs="Calibri"/>
          <w:sz w:val="20"/>
          <w:szCs w:val="20"/>
          <w:lang w:val="es-ES_tradnl"/>
        </w:rPr>
        <w:footnoteReference w:id="9"/>
      </w:r>
      <w:r w:rsidRPr="004E6391">
        <w:rPr>
          <w:sz w:val="20"/>
          <w:szCs w:val="20"/>
          <w:lang w:val="es-ES_tradnl"/>
        </w:rPr>
        <w:t>.</w:t>
      </w:r>
    </w:p>
    <w:p w14:paraId="446EE9D8" w14:textId="271F5994" w:rsidR="00196824" w:rsidRPr="004E6391" w:rsidRDefault="00196824" w:rsidP="00196824">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 xml:space="preserve">La presente petición incluye alegaciones respecto a que la presunta víctima fue </w:t>
      </w:r>
      <w:r w:rsidR="001D1D5D" w:rsidRPr="004E6391">
        <w:rPr>
          <w:rFonts w:asciiTheme="majorHAnsi" w:hAnsiTheme="majorHAnsi"/>
          <w:bCs/>
          <w:sz w:val="20"/>
          <w:szCs w:val="20"/>
          <w:lang w:val="es-ES_tradnl"/>
        </w:rPr>
        <w:t xml:space="preserve">condenado </w:t>
      </w:r>
      <w:r w:rsidRPr="004E6391">
        <w:rPr>
          <w:rFonts w:asciiTheme="majorHAnsi" w:hAnsiTheme="majorHAnsi"/>
          <w:bCs/>
          <w:sz w:val="20"/>
          <w:szCs w:val="20"/>
          <w:lang w:val="es-ES_tradnl"/>
        </w:rPr>
        <w:t>penalmente en un proceso especial de instancia única</w:t>
      </w:r>
      <w:r w:rsidR="001D1D5D" w:rsidRPr="004E6391">
        <w:rPr>
          <w:rFonts w:asciiTheme="majorHAnsi" w:hAnsiTheme="majorHAnsi"/>
          <w:bCs/>
          <w:sz w:val="20"/>
          <w:szCs w:val="20"/>
          <w:lang w:val="es-ES_tradnl"/>
        </w:rPr>
        <w:t xml:space="preserve"> luego de lo </w:t>
      </w:r>
      <w:r w:rsidRPr="004E6391">
        <w:rPr>
          <w:rFonts w:asciiTheme="majorHAnsi" w:hAnsiTheme="majorHAnsi"/>
          <w:bCs/>
          <w:sz w:val="20"/>
          <w:szCs w:val="20"/>
          <w:lang w:val="es-ES_tradnl"/>
        </w:rPr>
        <w:t xml:space="preserve">que no ha tenido acceso a un recurso ordinario para procurar la revisión de </w:t>
      </w:r>
      <w:r w:rsidR="007D3042" w:rsidRPr="004E6391">
        <w:rPr>
          <w:rFonts w:asciiTheme="majorHAnsi" w:hAnsiTheme="majorHAnsi"/>
          <w:bCs/>
          <w:sz w:val="20"/>
          <w:szCs w:val="20"/>
          <w:lang w:val="es-ES_tradnl"/>
        </w:rPr>
        <w:t xml:space="preserve">la sentencia condenatoria. </w:t>
      </w:r>
    </w:p>
    <w:p w14:paraId="0A082234" w14:textId="77777777" w:rsidR="00FB579C" w:rsidRPr="004E6391" w:rsidRDefault="004D3157" w:rsidP="00537E28">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sz w:val="20"/>
          <w:szCs w:val="20"/>
          <w:lang w:val="es-ES_tradnl"/>
        </w:rPr>
        <w:t>La Corte Interamericana ha reconocido que “</w:t>
      </w:r>
      <w:r w:rsidRPr="004E6391">
        <w:rPr>
          <w:rFonts w:asciiTheme="majorHAnsi" w:hAnsiTheme="majorHAnsi"/>
          <w:i/>
          <w:iCs/>
          <w:sz w:val="20"/>
          <w:szCs w:val="20"/>
          <w:lang w:val="es-ES_tradnl"/>
        </w:rPr>
        <w:t>la designación del máximo órgano de justicia, a efectos del juzgamiento penal de altos funcionarios públicos, no es per se, contraria al artículo 8.2(h) de la Convención Americana</w:t>
      </w:r>
      <w:r w:rsidRPr="004E6391">
        <w:rPr>
          <w:rFonts w:asciiTheme="majorHAnsi" w:hAnsiTheme="majorHAnsi"/>
          <w:sz w:val="20"/>
          <w:szCs w:val="20"/>
          <w:lang w:val="es-ES_tradnl"/>
        </w:rPr>
        <w:t>”</w:t>
      </w:r>
      <w:r w:rsidRPr="004E6391">
        <w:rPr>
          <w:rStyle w:val="FootnoteReference"/>
          <w:rFonts w:asciiTheme="majorHAnsi" w:hAnsiTheme="majorHAnsi"/>
          <w:sz w:val="20"/>
          <w:szCs w:val="20"/>
          <w:lang w:val="es-ES_tradnl"/>
        </w:rPr>
        <w:t xml:space="preserve"> </w:t>
      </w:r>
      <w:r w:rsidRPr="004E6391">
        <w:rPr>
          <w:rStyle w:val="FootnoteReference"/>
          <w:rFonts w:asciiTheme="majorHAnsi" w:hAnsiTheme="majorHAnsi"/>
          <w:sz w:val="20"/>
          <w:szCs w:val="20"/>
          <w:lang w:val="es-ES_tradnl"/>
        </w:rPr>
        <w:footnoteReference w:id="10"/>
      </w:r>
      <w:r w:rsidRPr="004E6391">
        <w:rPr>
          <w:rFonts w:asciiTheme="majorHAnsi" w:hAnsiTheme="majorHAnsi"/>
          <w:sz w:val="20"/>
          <w:szCs w:val="20"/>
          <w:lang w:val="es-ES_tradnl"/>
        </w:rPr>
        <w:t>. Sin embargo, dicho tribunal también ha advertido que “</w:t>
      </w:r>
      <w:r w:rsidRPr="004E6391">
        <w:rPr>
          <w:rFonts w:asciiTheme="majorHAnsi" w:hAnsiTheme="majorHAnsi"/>
          <w:i/>
          <w:iCs/>
          <w:sz w:val="20"/>
          <w:szCs w:val="20"/>
          <w:lang w:val="es-ES_tradnl"/>
        </w:rPr>
        <w:t>el rango del tribunal que juzga no puede garantizar que el fallo en instancia única será dictado sin errores o vicios</w:t>
      </w:r>
      <w:r w:rsidRPr="004E6391">
        <w:rPr>
          <w:rFonts w:asciiTheme="majorHAnsi" w:hAnsiTheme="majorHAnsi"/>
          <w:sz w:val="20"/>
          <w:szCs w:val="20"/>
          <w:lang w:val="es-ES_tradnl"/>
        </w:rPr>
        <w:t>”</w:t>
      </w:r>
      <w:r w:rsidRPr="004E6391">
        <w:rPr>
          <w:rStyle w:val="FootnoteReference"/>
          <w:rFonts w:asciiTheme="majorHAnsi" w:hAnsiTheme="majorHAnsi"/>
          <w:sz w:val="20"/>
          <w:szCs w:val="20"/>
          <w:lang w:val="es-ES_tradnl"/>
        </w:rPr>
        <w:t xml:space="preserve"> </w:t>
      </w:r>
      <w:r w:rsidRPr="004E6391">
        <w:rPr>
          <w:rStyle w:val="FootnoteReference"/>
          <w:rFonts w:asciiTheme="majorHAnsi" w:hAnsiTheme="majorHAnsi"/>
          <w:sz w:val="20"/>
          <w:szCs w:val="20"/>
          <w:lang w:val="es-ES_tradnl"/>
        </w:rPr>
        <w:footnoteReference w:id="11"/>
      </w:r>
      <w:r w:rsidRPr="004E6391">
        <w:rPr>
          <w:rFonts w:asciiTheme="majorHAnsi" w:hAnsiTheme="majorHAnsi"/>
          <w:sz w:val="20"/>
          <w:szCs w:val="20"/>
          <w:lang w:val="es-ES_tradnl"/>
        </w:rPr>
        <w:t xml:space="preserve">. La Corte Interamericana ha ratificado igualmente “la importancia de la existencia de un recurso que permita la revisión de una sentencia condenatoria” en los casos de juzgamiento penales en instancia única de quienes ocupan altas investiduras </w:t>
      </w:r>
      <w:r w:rsidRPr="004E6391">
        <w:rPr>
          <w:rFonts w:asciiTheme="majorHAnsi" w:hAnsiTheme="majorHAnsi"/>
          <w:sz w:val="20"/>
          <w:szCs w:val="20"/>
          <w:lang w:val="es-ES_tradnl"/>
        </w:rPr>
        <w:lastRenderedPageBreak/>
        <w:t>públicas</w:t>
      </w:r>
      <w:r w:rsidRPr="004E6391">
        <w:rPr>
          <w:rStyle w:val="FootnoteReference"/>
          <w:rFonts w:asciiTheme="majorHAnsi" w:hAnsiTheme="majorHAnsi"/>
          <w:sz w:val="20"/>
          <w:szCs w:val="20"/>
          <w:lang w:val="es-ES_tradnl"/>
        </w:rPr>
        <w:footnoteReference w:id="12"/>
      </w:r>
      <w:r w:rsidRPr="004E6391">
        <w:rPr>
          <w:rFonts w:asciiTheme="majorHAnsi" w:hAnsiTheme="majorHAnsi"/>
          <w:sz w:val="20"/>
          <w:szCs w:val="20"/>
          <w:lang w:val="es-ES_tradnl"/>
        </w:rPr>
        <w:t xml:space="preserve">. </w:t>
      </w:r>
      <w:r w:rsidR="00E210AE" w:rsidRPr="004E6391">
        <w:rPr>
          <w:rFonts w:asciiTheme="majorHAnsi" w:hAnsiTheme="majorHAnsi"/>
          <w:sz w:val="20"/>
          <w:szCs w:val="20"/>
          <w:lang w:val="es-ES_tradnl"/>
        </w:rPr>
        <w:t xml:space="preserve">La Corte Interamericana también ha determinado que la garantía prevista en el artículo 8.2 (h) de la Convención Americana </w:t>
      </w:r>
      <w:r w:rsidR="00572343" w:rsidRPr="004E6391">
        <w:rPr>
          <w:rFonts w:asciiTheme="majorHAnsi" w:hAnsiTheme="majorHAnsi"/>
          <w:sz w:val="20"/>
          <w:szCs w:val="20"/>
          <w:lang w:val="es-ES_tradnl"/>
        </w:rPr>
        <w:t>se refiere a un recurso ordinario</w:t>
      </w:r>
      <w:r w:rsidR="00572343" w:rsidRPr="004E6391">
        <w:rPr>
          <w:rStyle w:val="FootnoteReference"/>
          <w:rFonts w:asciiTheme="majorHAnsi" w:hAnsiTheme="majorHAnsi"/>
          <w:sz w:val="20"/>
          <w:szCs w:val="20"/>
          <w:lang w:val="es-ES_tradnl"/>
        </w:rPr>
        <w:footnoteReference w:id="13"/>
      </w:r>
      <w:r w:rsidR="00572343" w:rsidRPr="004E6391">
        <w:rPr>
          <w:rFonts w:asciiTheme="majorHAnsi" w:hAnsiTheme="majorHAnsi"/>
          <w:sz w:val="20"/>
          <w:szCs w:val="20"/>
          <w:lang w:val="es-ES_tradnl"/>
        </w:rPr>
        <w:t>.</w:t>
      </w:r>
      <w:r w:rsidR="00537E28" w:rsidRPr="004E6391">
        <w:rPr>
          <w:rFonts w:asciiTheme="majorHAnsi" w:hAnsiTheme="majorHAnsi"/>
          <w:sz w:val="20"/>
          <w:szCs w:val="20"/>
          <w:lang w:val="es-ES_tradnl"/>
        </w:rPr>
        <w:t xml:space="preserve"> </w:t>
      </w:r>
    </w:p>
    <w:p w14:paraId="173A4AA1" w14:textId="744462A0" w:rsidR="00EC377A" w:rsidRPr="004E6391" w:rsidRDefault="00FB579C" w:rsidP="00537E28">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sz w:val="20"/>
          <w:szCs w:val="20"/>
          <w:lang w:val="es-ES_tradnl"/>
        </w:rPr>
        <w:t xml:space="preserve">La Comisión no encuentra en el expediente elementos que permitan tachar </w:t>
      </w:r>
      <w:r w:rsidR="002203F1" w:rsidRPr="004E6391">
        <w:rPr>
          <w:rFonts w:asciiTheme="majorHAnsi" w:hAnsiTheme="majorHAnsi"/>
          <w:i/>
          <w:iCs/>
          <w:sz w:val="20"/>
          <w:szCs w:val="20"/>
          <w:lang w:val="es-ES_tradnl"/>
        </w:rPr>
        <w:t>prima facie</w:t>
      </w:r>
      <w:r w:rsidR="002203F1" w:rsidRPr="004E6391">
        <w:rPr>
          <w:rFonts w:asciiTheme="majorHAnsi" w:hAnsiTheme="majorHAnsi"/>
          <w:sz w:val="20"/>
          <w:szCs w:val="20"/>
          <w:lang w:val="es-ES_tradnl"/>
        </w:rPr>
        <w:t xml:space="preserve"> de manifiestamente infundados los alegatos respecto a que la presunta víctima no tuvo acceso a un recurso </w:t>
      </w:r>
      <w:r w:rsidR="006733B3" w:rsidRPr="004E6391">
        <w:rPr>
          <w:rFonts w:asciiTheme="majorHAnsi" w:hAnsiTheme="majorHAnsi"/>
          <w:sz w:val="20"/>
          <w:szCs w:val="20"/>
          <w:lang w:val="es-ES_tradnl"/>
        </w:rPr>
        <w:t xml:space="preserve">que cumpliera que los requisitos del artículo 8.2(h) de la Convención Americana. </w:t>
      </w:r>
      <w:r w:rsidR="00E466EB" w:rsidRPr="004E6391">
        <w:rPr>
          <w:rFonts w:asciiTheme="majorHAnsi" w:hAnsiTheme="majorHAnsi"/>
          <w:sz w:val="20"/>
          <w:szCs w:val="20"/>
          <w:lang w:val="es-ES_tradnl"/>
        </w:rPr>
        <w:t xml:space="preserve">Circunstancia </w:t>
      </w:r>
      <w:r w:rsidR="004E6391" w:rsidRPr="004E6391">
        <w:rPr>
          <w:rFonts w:asciiTheme="majorHAnsi" w:hAnsiTheme="majorHAnsi"/>
          <w:sz w:val="20"/>
          <w:szCs w:val="20"/>
          <w:lang w:val="es-ES_tradnl"/>
        </w:rPr>
        <w:t>está</w:t>
      </w:r>
      <w:r w:rsidR="00E466EB" w:rsidRPr="004E6391">
        <w:rPr>
          <w:rFonts w:asciiTheme="majorHAnsi" w:hAnsiTheme="majorHAnsi"/>
          <w:sz w:val="20"/>
          <w:szCs w:val="20"/>
          <w:lang w:val="es-ES_tradnl"/>
        </w:rPr>
        <w:t xml:space="preserve"> estrechamente ligada al goce de su derecho a la libertad personal, toda vez que fue privado de libertad como resultado de dicha condena.</w:t>
      </w:r>
    </w:p>
    <w:p w14:paraId="3B8A0CB8" w14:textId="3C5583E9" w:rsidR="00EC377A" w:rsidRPr="004E6391" w:rsidRDefault="00EC377A" w:rsidP="00FB579C">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cs="Arial"/>
          <w:sz w:val="20"/>
          <w:szCs w:val="20"/>
          <w:lang w:val="es-ES_tradnl"/>
        </w:rPr>
        <w:t xml:space="preserve">En atención a estas consideraciones y tras examinar los elementos de hecho y de derecho expuestos por las partes, </w:t>
      </w:r>
      <w:r w:rsidR="00E466EB" w:rsidRPr="004E6391">
        <w:rPr>
          <w:rFonts w:asciiTheme="majorHAnsi" w:hAnsiTheme="majorHAnsi" w:cs="Arial"/>
          <w:sz w:val="20"/>
          <w:szCs w:val="20"/>
          <w:lang w:val="es-ES_tradnl"/>
        </w:rPr>
        <w:t xml:space="preserve">y los numerosos precedentes de la CIDH relativos a la admisibilidad de peticiones presentadas por congresistas juzgados en instancia única en Colombia, </w:t>
      </w:r>
      <w:r w:rsidRPr="004E6391">
        <w:rPr>
          <w:rFonts w:asciiTheme="majorHAnsi" w:hAnsiTheme="majorHAnsi" w:cs="Arial"/>
          <w:sz w:val="20"/>
          <w:szCs w:val="20"/>
          <w:lang w:val="es-ES_tradnl"/>
        </w:rPr>
        <w:t xml:space="preserve">la Comisión estima que las alegaciones de la parte peticionaria no resultan manifiestamente infundadas y requieren un estudio de fondo pues los hechos alegados, de corroborarse como ciertos, podrían caracterizar violaciones a los artículos </w:t>
      </w:r>
      <w:r w:rsidRPr="004E6391">
        <w:rPr>
          <w:rFonts w:asciiTheme="majorHAnsi" w:hAnsiTheme="majorHAnsi"/>
          <w:bCs/>
          <w:sz w:val="20"/>
          <w:szCs w:val="20"/>
          <w:lang w:val="es-ES_tradnl"/>
        </w:rPr>
        <w:t>7 (libertad personal), 8 (garantías judiciales)</w:t>
      </w:r>
      <w:r w:rsidR="00FB579C" w:rsidRPr="004E6391">
        <w:rPr>
          <w:rFonts w:asciiTheme="majorHAnsi" w:hAnsiTheme="majorHAnsi"/>
          <w:bCs/>
          <w:sz w:val="20"/>
          <w:szCs w:val="20"/>
          <w:lang w:val="es-ES_tradnl"/>
        </w:rPr>
        <w:t xml:space="preserve">, 24 (igualdad ante la ley) </w:t>
      </w:r>
      <w:r w:rsidRPr="004E6391">
        <w:rPr>
          <w:rFonts w:asciiTheme="majorHAnsi" w:hAnsiTheme="majorHAnsi"/>
          <w:bCs/>
          <w:sz w:val="20"/>
          <w:szCs w:val="20"/>
          <w:lang w:val="es-ES_tradnl"/>
        </w:rPr>
        <w:t>y 25 (protección judicial) de la Convención Americana en relación con sus artículos 1.1. (obligación de respetar los derechos) y 2 (deber de adoptar disposiciones de derecho interno)</w:t>
      </w:r>
      <w:r w:rsidR="000351B5" w:rsidRPr="004E6391">
        <w:rPr>
          <w:rFonts w:asciiTheme="majorHAnsi" w:hAnsiTheme="majorHAnsi"/>
          <w:bCs/>
          <w:sz w:val="20"/>
          <w:szCs w:val="20"/>
          <w:lang w:val="es-ES_tradnl"/>
        </w:rPr>
        <w:t>; en perjuicio del señor José Gerardo Piamba Castro</w:t>
      </w:r>
      <w:r w:rsidRPr="004E6391">
        <w:rPr>
          <w:rFonts w:asciiTheme="majorHAnsi" w:hAnsiTheme="majorHAnsi"/>
          <w:bCs/>
          <w:sz w:val="20"/>
          <w:szCs w:val="20"/>
          <w:lang w:val="es-ES_tradnl"/>
        </w:rPr>
        <w:t>.</w:t>
      </w:r>
    </w:p>
    <w:p w14:paraId="554F71D3" w14:textId="21F5266D" w:rsidR="00273D6D" w:rsidRPr="004E6391" w:rsidRDefault="001D1D5D" w:rsidP="00273D6D">
      <w:pPr>
        <w:pStyle w:val="ListParagraph"/>
        <w:numPr>
          <w:ilvl w:val="0"/>
          <w:numId w:val="59"/>
        </w:numPr>
        <w:spacing w:before="240" w:after="240"/>
        <w:ind w:left="0" w:firstLine="720"/>
        <w:jc w:val="both"/>
        <w:rPr>
          <w:rFonts w:asciiTheme="majorHAnsi" w:hAnsiTheme="majorHAnsi"/>
          <w:bCs/>
          <w:sz w:val="20"/>
          <w:szCs w:val="20"/>
          <w:lang w:val="es-ES_tradnl"/>
        </w:rPr>
      </w:pPr>
      <w:r w:rsidRPr="004E6391">
        <w:rPr>
          <w:rFonts w:asciiTheme="majorHAnsi" w:hAnsiTheme="majorHAnsi"/>
          <w:bCs/>
          <w:sz w:val="20"/>
          <w:szCs w:val="20"/>
          <w:lang w:val="es-ES_tradnl"/>
        </w:rPr>
        <w:t>En cuanto a las alegadas violaciones a los artículos</w:t>
      </w:r>
      <w:r w:rsidRPr="004E6391">
        <w:rPr>
          <w:bCs/>
          <w:sz w:val="20"/>
          <w:szCs w:val="20"/>
          <w:lang w:val="es-ES_tradnl"/>
        </w:rPr>
        <w:t xml:space="preserve"> 5 (integridad personal), 11 (honra y dignidad) y 17 (protección a la familia) de la Convención Americana </w:t>
      </w:r>
      <w:r w:rsidR="00273D6D" w:rsidRPr="004E6391">
        <w:rPr>
          <w:sz w:val="20"/>
          <w:szCs w:val="20"/>
          <w:lang w:val="es-ES_tradnl"/>
        </w:rPr>
        <w:t xml:space="preserve">la Comisión observa que la parte peticionaria no ha ofrecido ni surgen del expediente alegatos o sustento suficiente que permita considerar </w:t>
      </w:r>
      <w:r w:rsidR="00273D6D" w:rsidRPr="004E6391">
        <w:rPr>
          <w:i/>
          <w:sz w:val="20"/>
          <w:szCs w:val="20"/>
          <w:lang w:val="es-ES_tradnl"/>
        </w:rPr>
        <w:t>prima facie</w:t>
      </w:r>
      <w:r w:rsidR="00273D6D" w:rsidRPr="004E6391">
        <w:rPr>
          <w:sz w:val="20"/>
          <w:szCs w:val="20"/>
          <w:lang w:val="es-ES_tradnl"/>
        </w:rPr>
        <w:t xml:space="preserve"> su posible violación.</w:t>
      </w:r>
    </w:p>
    <w:p w14:paraId="445BF42E" w14:textId="77777777" w:rsidR="003239B8" w:rsidRPr="004E6391" w:rsidRDefault="003239B8" w:rsidP="003239B8">
      <w:pPr>
        <w:pStyle w:val="ListParagraph"/>
        <w:spacing w:before="240" w:after="240"/>
        <w:jc w:val="both"/>
        <w:rPr>
          <w:rFonts w:asciiTheme="majorHAnsi" w:hAnsiTheme="majorHAnsi"/>
          <w:b/>
          <w:bCs/>
          <w:sz w:val="20"/>
          <w:szCs w:val="20"/>
          <w:lang w:val="es-ES_tradnl"/>
        </w:rPr>
      </w:pPr>
      <w:r w:rsidRPr="004E6391">
        <w:rPr>
          <w:rFonts w:asciiTheme="majorHAnsi" w:hAnsiTheme="majorHAnsi"/>
          <w:b/>
          <w:bCs/>
          <w:sz w:val="20"/>
          <w:szCs w:val="20"/>
          <w:lang w:val="es-ES_tradnl"/>
        </w:rPr>
        <w:t xml:space="preserve">VIII. </w:t>
      </w:r>
      <w:r w:rsidRPr="004E6391">
        <w:rPr>
          <w:rFonts w:asciiTheme="majorHAnsi" w:hAnsiTheme="majorHAnsi"/>
          <w:b/>
          <w:bCs/>
          <w:sz w:val="20"/>
          <w:szCs w:val="20"/>
          <w:lang w:val="es-ES_tradnl"/>
        </w:rPr>
        <w:tab/>
        <w:t>DECISIÓN</w:t>
      </w:r>
    </w:p>
    <w:p w14:paraId="16B36F97" w14:textId="55691875" w:rsidR="003239B8" w:rsidRPr="004E6391" w:rsidRDefault="003239B8" w:rsidP="006B74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E6391">
        <w:rPr>
          <w:rFonts w:asciiTheme="majorHAnsi" w:hAnsiTheme="majorHAnsi"/>
          <w:sz w:val="20"/>
          <w:szCs w:val="20"/>
          <w:lang w:val="es-ES_tradnl"/>
        </w:rPr>
        <w:t>Declarar admisible la presente petición en relación con</w:t>
      </w:r>
      <w:r w:rsidR="001D7F96" w:rsidRPr="004E6391">
        <w:rPr>
          <w:rFonts w:asciiTheme="majorHAnsi" w:hAnsiTheme="majorHAnsi"/>
          <w:sz w:val="20"/>
          <w:szCs w:val="20"/>
          <w:lang w:val="es-ES_tradnl"/>
        </w:rPr>
        <w:t xml:space="preserve"> </w:t>
      </w:r>
      <w:r w:rsidR="000351B5" w:rsidRPr="004E6391">
        <w:rPr>
          <w:rFonts w:asciiTheme="majorHAnsi" w:hAnsiTheme="majorHAnsi"/>
          <w:sz w:val="20"/>
          <w:szCs w:val="20"/>
          <w:lang w:val="es-ES_tradnl"/>
        </w:rPr>
        <w:t>los artículos 7, 8, 24 y 25 de la Convención Americana en relación con sus artículos 1.1. y 2</w:t>
      </w:r>
      <w:r w:rsidR="00BD4E62">
        <w:rPr>
          <w:rFonts w:asciiTheme="majorHAnsi" w:hAnsiTheme="majorHAnsi"/>
          <w:sz w:val="20"/>
          <w:szCs w:val="20"/>
          <w:lang w:val="es-ES_tradnl"/>
        </w:rPr>
        <w:t>;</w:t>
      </w:r>
    </w:p>
    <w:p w14:paraId="7CCCB663" w14:textId="66E7BE73" w:rsidR="000419AD" w:rsidRPr="004E6391" w:rsidRDefault="000419AD" w:rsidP="006B740C">
      <w:pPr>
        <w:pStyle w:val="ListParagraph"/>
        <w:numPr>
          <w:ilvl w:val="0"/>
          <w:numId w:val="55"/>
        </w:numPr>
        <w:jc w:val="both"/>
        <w:rPr>
          <w:rFonts w:eastAsia="Arial Unicode MS" w:cs="Times New Roman"/>
          <w:color w:val="auto"/>
          <w:sz w:val="20"/>
          <w:szCs w:val="20"/>
          <w:lang w:val="es-ES_tradnl" w:eastAsia="en-US"/>
        </w:rPr>
      </w:pPr>
      <w:r w:rsidRPr="004E6391">
        <w:rPr>
          <w:rFonts w:eastAsia="Arial Unicode MS" w:cs="Times New Roman"/>
          <w:color w:val="auto"/>
          <w:sz w:val="20"/>
          <w:szCs w:val="20"/>
          <w:lang w:val="es-ES_tradnl" w:eastAsia="en-US"/>
        </w:rPr>
        <w:t xml:space="preserve">Declarar inadmisible la presente petición en relación con </w:t>
      </w:r>
      <w:r w:rsidR="000351B5" w:rsidRPr="004E6391">
        <w:rPr>
          <w:rFonts w:eastAsia="Arial Unicode MS" w:cs="Times New Roman"/>
          <w:color w:val="auto"/>
          <w:sz w:val="20"/>
          <w:szCs w:val="20"/>
          <w:lang w:val="es-ES_tradnl" w:eastAsia="en-US"/>
        </w:rPr>
        <w:t>los artículos 5</w:t>
      </w:r>
      <w:r w:rsidR="00E466EB" w:rsidRPr="004E6391">
        <w:rPr>
          <w:rFonts w:eastAsia="Arial Unicode MS" w:cs="Times New Roman"/>
          <w:color w:val="auto"/>
          <w:sz w:val="20"/>
          <w:szCs w:val="20"/>
          <w:lang w:val="es-ES_tradnl" w:eastAsia="en-US"/>
        </w:rPr>
        <w:t>,</w:t>
      </w:r>
      <w:r w:rsidR="000351B5" w:rsidRPr="004E6391">
        <w:rPr>
          <w:rFonts w:eastAsia="Arial Unicode MS" w:cs="Times New Roman"/>
          <w:color w:val="auto"/>
          <w:sz w:val="20"/>
          <w:szCs w:val="20"/>
          <w:lang w:val="es-ES_tradnl" w:eastAsia="en-US"/>
        </w:rPr>
        <w:t xml:space="preserve"> 11 y 17 de la Convención Americana</w:t>
      </w:r>
      <w:r w:rsidR="00BD4E62">
        <w:rPr>
          <w:rFonts w:eastAsia="Arial Unicode MS" w:cs="Times New Roman"/>
          <w:color w:val="auto"/>
          <w:sz w:val="20"/>
          <w:szCs w:val="20"/>
          <w:lang w:val="es-ES_tradnl" w:eastAsia="en-US"/>
        </w:rPr>
        <w:t>, y;</w:t>
      </w:r>
    </w:p>
    <w:p w14:paraId="547DFF8E" w14:textId="77777777" w:rsidR="000419AD" w:rsidRPr="004E6391" w:rsidRDefault="000419AD" w:rsidP="006B740C">
      <w:pPr>
        <w:pStyle w:val="ListParagraph"/>
        <w:jc w:val="both"/>
        <w:rPr>
          <w:rFonts w:eastAsia="Arial Unicode MS" w:cs="Times New Roman"/>
          <w:color w:val="auto"/>
          <w:sz w:val="20"/>
          <w:szCs w:val="20"/>
          <w:lang w:val="es-ES_tradnl" w:eastAsia="en-US"/>
        </w:rPr>
      </w:pPr>
    </w:p>
    <w:p w14:paraId="00C1D3B7" w14:textId="68ADC0A5" w:rsidR="008D768D" w:rsidRDefault="004A6A54" w:rsidP="006B74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E6391">
        <w:rPr>
          <w:rFonts w:asciiTheme="majorHAnsi" w:hAnsiTheme="majorHAnsi"/>
          <w:sz w:val="20"/>
          <w:szCs w:val="20"/>
          <w:lang w:val="es-ES_tradnl"/>
        </w:rPr>
        <w:t xml:space="preserve">Notificar a las partes la presente decisión; </w:t>
      </w:r>
      <w:r w:rsidR="000351B5" w:rsidRPr="004E6391">
        <w:rPr>
          <w:rFonts w:asciiTheme="majorHAnsi" w:hAnsiTheme="majorHAnsi"/>
          <w:sz w:val="20"/>
          <w:szCs w:val="20"/>
          <w:lang w:val="es-ES_tradnl"/>
        </w:rPr>
        <w:t xml:space="preserve">proceder al análisis del fondo de la cuestión </w:t>
      </w:r>
      <w:r w:rsidRPr="004E6391">
        <w:rPr>
          <w:rFonts w:asciiTheme="majorHAnsi" w:hAnsiTheme="majorHAnsi"/>
          <w:sz w:val="20"/>
          <w:szCs w:val="20"/>
          <w:lang w:val="es-ES_tradnl"/>
        </w:rPr>
        <w:t>y publicar esta decisión e incluirla en su Informe Anual a la Asamblea General de la Organización de los Estados Americanos.</w:t>
      </w:r>
    </w:p>
    <w:p w14:paraId="0B03F1EB" w14:textId="61B92CC2" w:rsidR="00120B21" w:rsidRPr="00120B21" w:rsidRDefault="00943519" w:rsidP="00120B2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F5075">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FB0581">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  (Firmado): Julissa Mantilla Falcón, Presidenta; Stuardo Ralón Orellana, Primer Vicepresidente; Esmeralda Arosemena de Troitiño</w:t>
      </w:r>
      <w:r w:rsidR="00FB0581">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120B2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02C904B2" w14:textId="62EC6621" w:rsidR="009A56CE" w:rsidRPr="004E6391" w:rsidRDefault="009A56CE" w:rsidP="00111338">
      <w:pPr>
        <w:pStyle w:val="paragraph"/>
        <w:spacing w:before="0" w:beforeAutospacing="0" w:after="0" w:afterAutospacing="0"/>
        <w:jc w:val="center"/>
        <w:textAlignment w:val="baseline"/>
        <w:rPr>
          <w:rFonts w:ascii="Cambria" w:hAnsi="Cambria" w:cs="Calibri"/>
          <w:sz w:val="20"/>
          <w:szCs w:val="20"/>
          <w:lang w:val="es-ES_tradnl"/>
        </w:rPr>
      </w:pPr>
    </w:p>
    <w:sectPr w:rsidR="009A56CE" w:rsidRPr="004E63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7325" w14:textId="77777777" w:rsidR="00060625" w:rsidRDefault="00060625">
      <w:r>
        <w:separator/>
      </w:r>
    </w:p>
  </w:endnote>
  <w:endnote w:type="continuationSeparator" w:id="0">
    <w:p w14:paraId="3BC4A124" w14:textId="77777777" w:rsidR="00060625" w:rsidRDefault="0006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BE4F" w14:textId="77777777" w:rsidR="00060625" w:rsidRPr="000F35ED" w:rsidRDefault="000606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42F1E8" w14:textId="77777777" w:rsidR="00060625" w:rsidRPr="000F35ED" w:rsidRDefault="00060625" w:rsidP="000F35ED">
      <w:pPr>
        <w:rPr>
          <w:rFonts w:asciiTheme="majorHAnsi" w:hAnsiTheme="majorHAnsi"/>
          <w:sz w:val="16"/>
          <w:szCs w:val="16"/>
        </w:rPr>
      </w:pPr>
      <w:r w:rsidRPr="000F35ED">
        <w:rPr>
          <w:rFonts w:asciiTheme="majorHAnsi" w:hAnsiTheme="majorHAnsi"/>
          <w:sz w:val="16"/>
          <w:szCs w:val="16"/>
        </w:rPr>
        <w:separator/>
      </w:r>
    </w:p>
    <w:p w14:paraId="0F4743ED" w14:textId="77777777" w:rsidR="00060625" w:rsidRPr="000F35ED" w:rsidRDefault="0006062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BB73506" w14:textId="77777777" w:rsidR="00060625" w:rsidRPr="000F35ED" w:rsidRDefault="000606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2576E9C" w:rsidR="004A6A54" w:rsidRPr="004E6391" w:rsidRDefault="004A6A54"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Conforme a lo dispuesto en el artículo 17.2.a del Reglamento de la Comisión, el Comisionado </w:t>
      </w:r>
      <w:r w:rsidR="007463A3" w:rsidRPr="004E6391">
        <w:rPr>
          <w:rFonts w:asciiTheme="majorHAnsi" w:hAnsiTheme="majorHAnsi"/>
          <w:sz w:val="16"/>
          <w:szCs w:val="16"/>
          <w:lang w:val="es-ES_tradnl"/>
        </w:rPr>
        <w:t>Carlos Bernal Pulido</w:t>
      </w:r>
      <w:r w:rsidRPr="004E6391">
        <w:rPr>
          <w:rFonts w:asciiTheme="majorHAnsi" w:hAnsiTheme="majorHAnsi"/>
          <w:sz w:val="16"/>
          <w:szCs w:val="16"/>
          <w:lang w:val="es-ES_tradnl"/>
        </w:rPr>
        <w:t xml:space="preserve">, de nacionalidad </w:t>
      </w:r>
      <w:r w:rsidR="007463A3" w:rsidRPr="004E6391">
        <w:rPr>
          <w:rFonts w:asciiTheme="majorHAnsi" w:hAnsiTheme="majorHAnsi"/>
          <w:sz w:val="16"/>
          <w:szCs w:val="16"/>
          <w:lang w:val="es-ES_tradnl"/>
        </w:rPr>
        <w:t>Colombiana</w:t>
      </w:r>
      <w:r w:rsidRPr="004E6391">
        <w:rPr>
          <w:rFonts w:asciiTheme="majorHAnsi" w:hAnsiTheme="majorHAnsi"/>
          <w:sz w:val="16"/>
          <w:szCs w:val="16"/>
          <w:lang w:val="es-ES_tradnl"/>
        </w:rPr>
        <w:t>, no participó en el debate ni en la decisión del presente asunto.</w:t>
      </w:r>
    </w:p>
  </w:footnote>
  <w:footnote w:id="3">
    <w:p w14:paraId="0FE20F95" w14:textId="61919FBD" w:rsidR="00A11089" w:rsidRPr="004E6391" w:rsidRDefault="00A11089"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En adelante “la Convención Americana”</w:t>
      </w:r>
    </w:p>
  </w:footnote>
  <w:footnote w:id="4">
    <w:p w14:paraId="1AFEF3B0" w14:textId="5960791A" w:rsidR="008E3BFE" w:rsidRPr="004E6391" w:rsidRDefault="008E3BFE"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Las observaciones de cada parte fueron debidamente trasladadas a la parte contraria.</w:t>
      </w:r>
    </w:p>
  </w:footnote>
  <w:footnote w:id="5">
    <w:p w14:paraId="353A6DF7" w14:textId="77777777" w:rsidR="006912F8" w:rsidRPr="004E6391" w:rsidRDefault="006912F8" w:rsidP="001D6A4E">
      <w:pPr>
        <w:pStyle w:val="FootnoteText"/>
        <w:jc w:val="both"/>
        <w:rPr>
          <w:rFonts w:asciiTheme="majorHAnsi" w:hAnsiTheme="majorHAnsi"/>
          <w:sz w:val="16"/>
          <w:szCs w:val="16"/>
          <w:lang w:val="es-ES_tradnl"/>
        </w:rPr>
      </w:pPr>
      <w:r w:rsidRPr="004E6391">
        <w:rPr>
          <w:rFonts w:asciiTheme="majorHAnsi" w:hAnsiTheme="majorHAnsi"/>
          <w:sz w:val="16"/>
          <w:szCs w:val="16"/>
          <w:lang w:val="es-ES_tradnl"/>
        </w:rPr>
        <w:tab/>
      </w: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161/17, Petición 29-07. Admisibilidad. </w:t>
      </w:r>
      <w:r w:rsidRPr="006330FD">
        <w:rPr>
          <w:rFonts w:asciiTheme="majorHAnsi" w:hAnsiTheme="majorHAnsi"/>
          <w:sz w:val="16"/>
          <w:szCs w:val="16"/>
        </w:rPr>
        <w:t xml:space="preserve">Andy Williams Garcés Suárez y familia. </w:t>
      </w:r>
      <w:r w:rsidRPr="004E6391">
        <w:rPr>
          <w:rFonts w:asciiTheme="majorHAnsi" w:hAnsiTheme="majorHAnsi"/>
          <w:sz w:val="16"/>
          <w:szCs w:val="16"/>
          <w:lang w:val="es-ES_tradnl"/>
        </w:rPr>
        <w:t>Perú. 30 de noviembre de 2017, párr. 12.</w:t>
      </w:r>
    </w:p>
  </w:footnote>
  <w:footnote w:id="6">
    <w:p w14:paraId="1D997992" w14:textId="77777777" w:rsidR="006912F8" w:rsidRPr="004E6391" w:rsidRDefault="006912F8"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7">
    <w:p w14:paraId="271D9569" w14:textId="219846FA" w:rsidR="0093595A" w:rsidRPr="004E6391" w:rsidRDefault="0093595A" w:rsidP="00E466EB">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A este respecto, véase entre otros: </w:t>
      </w:r>
      <w:r w:rsidR="00E466EB" w:rsidRPr="004E6391">
        <w:rPr>
          <w:rFonts w:asciiTheme="majorHAnsi" w:hAnsiTheme="majorHAnsi"/>
          <w:sz w:val="16"/>
          <w:szCs w:val="16"/>
          <w:lang w:val="es-ES_tradnl"/>
        </w:rPr>
        <w:t>CIDH, Informe No. 46/21. Petición 1165-11. Admisibilidad. Ciro Ramírez Pinzón. Colombia. 9 de marzo de 2021, párrs. 18 al 23.</w:t>
      </w:r>
    </w:p>
  </w:footnote>
  <w:footnote w:id="8">
    <w:p w14:paraId="23D98B8A" w14:textId="77777777" w:rsidR="006912F8" w:rsidRPr="004E6391" w:rsidRDefault="006912F8"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69/08, Petición 681-00. Admisibilidad. Guillermo Patricio Lynn. Argentina. 16 de octubre de 2008, párr. 48.</w:t>
      </w:r>
    </w:p>
  </w:footnote>
  <w:footnote w:id="9">
    <w:p w14:paraId="3601322B" w14:textId="77777777" w:rsidR="00196824" w:rsidRPr="004E6391" w:rsidRDefault="00196824"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143/18, Petición 940-08. Admisibilidad. Luis Américo Ayala Gonzales. Perú. 4 de diciembre de 2018, párr. 12.</w:t>
      </w:r>
    </w:p>
  </w:footnote>
  <w:footnote w:id="10">
    <w:p w14:paraId="5EE08FFA" w14:textId="77777777" w:rsidR="004D3157" w:rsidRPr="006330FD" w:rsidRDefault="004D3157" w:rsidP="001D6A4E">
      <w:pPr>
        <w:pStyle w:val="FootnoteText"/>
        <w:ind w:firstLine="720"/>
        <w:jc w:val="both"/>
        <w:rPr>
          <w:rFonts w:asciiTheme="majorHAnsi" w:hAnsiTheme="majorHAnsi"/>
          <w:sz w:val="16"/>
          <w:szCs w:val="16"/>
          <w:lang w:val="pt-BR"/>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Corte IDH. Caso Liakat Ali Alibux vs. Suriname. Excepción Preliminar, Fondo, Reparaciones y Costas. </w:t>
      </w:r>
      <w:r w:rsidRPr="006330FD">
        <w:rPr>
          <w:rFonts w:asciiTheme="majorHAnsi" w:hAnsiTheme="majorHAnsi"/>
          <w:sz w:val="16"/>
          <w:szCs w:val="16"/>
          <w:lang w:val="pt-BR"/>
        </w:rPr>
        <w:t>Sentencia de 30 de enero de 2014 (“Corte IDH Sentencia Liakat Ali Alibux”), párr. 88.</w:t>
      </w:r>
    </w:p>
  </w:footnote>
  <w:footnote w:id="11">
    <w:p w14:paraId="6800557D" w14:textId="77777777" w:rsidR="004D3157" w:rsidRPr="006330FD" w:rsidRDefault="004D3157" w:rsidP="001D6A4E">
      <w:pPr>
        <w:pStyle w:val="FootnoteText"/>
        <w:ind w:firstLine="720"/>
        <w:jc w:val="both"/>
        <w:rPr>
          <w:rFonts w:asciiTheme="majorHAnsi" w:hAnsiTheme="majorHAnsi"/>
          <w:sz w:val="16"/>
          <w:szCs w:val="16"/>
          <w:lang w:val="pt-BR"/>
        </w:rPr>
      </w:pPr>
      <w:r w:rsidRPr="004E6391">
        <w:rPr>
          <w:rStyle w:val="FootnoteReference"/>
          <w:rFonts w:asciiTheme="majorHAnsi" w:hAnsiTheme="majorHAnsi"/>
          <w:sz w:val="16"/>
          <w:szCs w:val="16"/>
          <w:lang w:val="es-ES_tradnl"/>
        </w:rPr>
        <w:footnoteRef/>
      </w:r>
      <w:r w:rsidRPr="006330FD">
        <w:rPr>
          <w:rFonts w:asciiTheme="majorHAnsi" w:hAnsiTheme="majorHAnsi"/>
          <w:sz w:val="16"/>
          <w:szCs w:val="16"/>
          <w:lang w:val="pt-BR"/>
        </w:rPr>
        <w:t xml:space="preserve"> Corte IDH Sentencia Liakat Ali Alibux, párr. 103.</w:t>
      </w:r>
    </w:p>
  </w:footnote>
  <w:footnote w:id="12">
    <w:p w14:paraId="6FDC9D49" w14:textId="77777777" w:rsidR="004D3157" w:rsidRPr="006330FD" w:rsidRDefault="004D3157" w:rsidP="001D6A4E">
      <w:pPr>
        <w:pStyle w:val="FootnoteText"/>
        <w:ind w:firstLine="720"/>
        <w:jc w:val="both"/>
        <w:rPr>
          <w:rFonts w:asciiTheme="majorHAnsi" w:hAnsiTheme="majorHAnsi"/>
          <w:sz w:val="16"/>
          <w:szCs w:val="16"/>
          <w:lang w:val="pt-BR"/>
        </w:rPr>
      </w:pPr>
      <w:r w:rsidRPr="004E6391">
        <w:rPr>
          <w:rStyle w:val="FootnoteReference"/>
          <w:rFonts w:asciiTheme="majorHAnsi" w:hAnsiTheme="majorHAnsi"/>
          <w:sz w:val="16"/>
          <w:szCs w:val="16"/>
          <w:lang w:val="es-ES_tradnl"/>
        </w:rPr>
        <w:footnoteRef/>
      </w:r>
      <w:r w:rsidRPr="006330FD">
        <w:rPr>
          <w:rFonts w:asciiTheme="majorHAnsi" w:hAnsiTheme="majorHAnsi"/>
          <w:sz w:val="16"/>
          <w:szCs w:val="16"/>
          <w:lang w:val="pt-BR"/>
        </w:rPr>
        <w:t xml:space="preserve"> Corte IDH Sentencia Liakat Ali Alibux, párr. 104.</w:t>
      </w:r>
    </w:p>
  </w:footnote>
  <w:footnote w:id="13">
    <w:p w14:paraId="638459F8" w14:textId="44F36283" w:rsidR="00572343" w:rsidRPr="004E6391" w:rsidRDefault="00572343" w:rsidP="001D6A4E">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color w:val="auto"/>
          <w:sz w:val="16"/>
          <w:szCs w:val="16"/>
          <w:lang w:val="es-ES_tradnl"/>
        </w:rPr>
        <w:footnoteRef/>
      </w:r>
      <w:r w:rsidRPr="006330FD">
        <w:rPr>
          <w:rFonts w:asciiTheme="majorHAnsi" w:hAnsiTheme="majorHAnsi"/>
          <w:color w:val="auto"/>
          <w:sz w:val="16"/>
          <w:szCs w:val="16"/>
          <w:lang w:val="pt-BR"/>
        </w:rPr>
        <w:t xml:space="preserve"> </w:t>
      </w:r>
      <w:r w:rsidR="00537E28" w:rsidRPr="006330FD">
        <w:rPr>
          <w:rFonts w:asciiTheme="majorHAnsi" w:hAnsiTheme="majorHAnsi" w:cs="Open Sans"/>
          <w:color w:val="auto"/>
          <w:sz w:val="16"/>
          <w:szCs w:val="16"/>
          <w:shd w:val="clear" w:color="auto" w:fill="FFFFFF"/>
          <w:lang w:val="pt-BR"/>
        </w:rPr>
        <w:t xml:space="preserve">Corte IDH. Caso Gorigoitía Vs. </w:t>
      </w:r>
      <w:r w:rsidR="00537E28" w:rsidRPr="004E6391">
        <w:rPr>
          <w:rFonts w:asciiTheme="majorHAnsi" w:hAnsiTheme="majorHAnsi" w:cs="Open Sans"/>
          <w:color w:val="auto"/>
          <w:sz w:val="16"/>
          <w:szCs w:val="16"/>
          <w:shd w:val="clear" w:color="auto" w:fill="FFFFFF"/>
          <w:lang w:val="es-ES_tradnl"/>
        </w:rPr>
        <w:t xml:space="preserve">Argentina. Excepción Preliminar, Fondo, Reparaciones y Costas. Sentencia de 2 de septiembre de 2019. Serie C No. 382, párr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F087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3364BF"/>
    <w:multiLevelType w:val="hybridMultilevel"/>
    <w:tmpl w:val="8482F598"/>
    <w:lvl w:ilvl="0" w:tplc="58C4C316">
      <w:start w:val="1"/>
      <w:numFmt w:val="decimal"/>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83310E"/>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24890528">
    <w:abstractNumId w:val="3"/>
  </w:num>
  <w:num w:numId="2" w16cid:durableId="2018187646">
    <w:abstractNumId w:val="4"/>
  </w:num>
  <w:num w:numId="3" w16cid:durableId="470102060">
    <w:abstractNumId w:val="53"/>
  </w:num>
  <w:num w:numId="4" w16cid:durableId="2111467789">
    <w:abstractNumId w:val="20"/>
  </w:num>
  <w:num w:numId="5" w16cid:durableId="47189466">
    <w:abstractNumId w:val="47"/>
  </w:num>
  <w:num w:numId="6" w16cid:durableId="1943956862">
    <w:abstractNumId w:val="27"/>
  </w:num>
  <w:num w:numId="7" w16cid:durableId="562449641">
    <w:abstractNumId w:val="5"/>
  </w:num>
  <w:num w:numId="8" w16cid:durableId="1417943420">
    <w:abstractNumId w:val="16"/>
  </w:num>
  <w:num w:numId="9" w16cid:durableId="647175404">
    <w:abstractNumId w:val="42"/>
  </w:num>
  <w:num w:numId="10" w16cid:durableId="601188839">
    <w:abstractNumId w:val="0"/>
  </w:num>
  <w:num w:numId="11" w16cid:durableId="873233834">
    <w:abstractNumId w:val="37"/>
  </w:num>
  <w:num w:numId="12" w16cid:durableId="1272129495">
    <w:abstractNumId w:val="38"/>
  </w:num>
  <w:num w:numId="13" w16cid:durableId="505940197">
    <w:abstractNumId w:val="44"/>
  </w:num>
  <w:num w:numId="14" w16cid:durableId="737360731">
    <w:abstractNumId w:val="1"/>
  </w:num>
  <w:num w:numId="15" w16cid:durableId="2129230942">
    <w:abstractNumId w:val="2"/>
  </w:num>
  <w:num w:numId="16" w16cid:durableId="1293101235">
    <w:abstractNumId w:val="6"/>
  </w:num>
  <w:num w:numId="17" w16cid:durableId="1314673984">
    <w:abstractNumId w:val="7"/>
  </w:num>
  <w:num w:numId="18" w16cid:durableId="272369535">
    <w:abstractNumId w:val="8"/>
  </w:num>
  <w:num w:numId="19" w16cid:durableId="1320843792">
    <w:abstractNumId w:val="9"/>
  </w:num>
  <w:num w:numId="20" w16cid:durableId="1241480797">
    <w:abstractNumId w:val="10"/>
  </w:num>
  <w:num w:numId="21" w16cid:durableId="2028556475">
    <w:abstractNumId w:val="12"/>
  </w:num>
  <w:num w:numId="22" w16cid:durableId="853105552">
    <w:abstractNumId w:val="13"/>
  </w:num>
  <w:num w:numId="23" w16cid:durableId="394552276">
    <w:abstractNumId w:val="14"/>
  </w:num>
  <w:num w:numId="24" w16cid:durableId="1669559415">
    <w:abstractNumId w:val="15"/>
  </w:num>
  <w:num w:numId="25" w16cid:durableId="1503274548">
    <w:abstractNumId w:val="17"/>
  </w:num>
  <w:num w:numId="26" w16cid:durableId="1770349372">
    <w:abstractNumId w:val="18"/>
  </w:num>
  <w:num w:numId="27" w16cid:durableId="1356226052">
    <w:abstractNumId w:val="21"/>
  </w:num>
  <w:num w:numId="28" w16cid:durableId="684136848">
    <w:abstractNumId w:val="22"/>
  </w:num>
  <w:num w:numId="29" w16cid:durableId="1482966675">
    <w:abstractNumId w:val="23"/>
  </w:num>
  <w:num w:numId="30" w16cid:durableId="493885575">
    <w:abstractNumId w:val="25"/>
  </w:num>
  <w:num w:numId="31" w16cid:durableId="224529383">
    <w:abstractNumId w:val="28"/>
  </w:num>
  <w:num w:numId="32" w16cid:durableId="1646548070">
    <w:abstractNumId w:val="29"/>
  </w:num>
  <w:num w:numId="33" w16cid:durableId="214394726">
    <w:abstractNumId w:val="30"/>
  </w:num>
  <w:num w:numId="34" w16cid:durableId="2133084533">
    <w:abstractNumId w:val="31"/>
  </w:num>
  <w:num w:numId="35" w16cid:durableId="1247961083">
    <w:abstractNumId w:val="32"/>
  </w:num>
  <w:num w:numId="36" w16cid:durableId="768817123">
    <w:abstractNumId w:val="33"/>
  </w:num>
  <w:num w:numId="37" w16cid:durableId="1983076598">
    <w:abstractNumId w:val="34"/>
  </w:num>
  <w:num w:numId="38" w16cid:durableId="669067153">
    <w:abstractNumId w:val="35"/>
  </w:num>
  <w:num w:numId="39" w16cid:durableId="395932880">
    <w:abstractNumId w:val="39"/>
  </w:num>
  <w:num w:numId="40" w16cid:durableId="1004937869">
    <w:abstractNumId w:val="40"/>
  </w:num>
  <w:num w:numId="41" w16cid:durableId="1738092929">
    <w:abstractNumId w:val="46"/>
  </w:num>
  <w:num w:numId="42" w16cid:durableId="42558677">
    <w:abstractNumId w:val="48"/>
  </w:num>
  <w:num w:numId="43" w16cid:durableId="1980916559">
    <w:abstractNumId w:val="49"/>
  </w:num>
  <w:num w:numId="44" w16cid:durableId="65417682">
    <w:abstractNumId w:val="51"/>
  </w:num>
  <w:num w:numId="45" w16cid:durableId="737441077">
    <w:abstractNumId w:val="52"/>
  </w:num>
  <w:num w:numId="46" w16cid:durableId="772476993">
    <w:abstractNumId w:val="54"/>
  </w:num>
  <w:num w:numId="47" w16cid:durableId="92167221">
    <w:abstractNumId w:val="55"/>
  </w:num>
  <w:num w:numId="48" w16cid:durableId="1238395792">
    <w:abstractNumId w:val="56"/>
  </w:num>
  <w:num w:numId="49" w16cid:durableId="1162818035">
    <w:abstractNumId w:val="58"/>
  </w:num>
  <w:num w:numId="50" w16cid:durableId="800194676">
    <w:abstractNumId w:val="59"/>
  </w:num>
  <w:num w:numId="51" w16cid:durableId="716900381">
    <w:abstractNumId w:val="19"/>
  </w:num>
  <w:num w:numId="52" w16cid:durableId="198276790">
    <w:abstractNumId w:val="41"/>
  </w:num>
  <w:num w:numId="53" w16cid:durableId="1932615963">
    <w:abstractNumId w:val="50"/>
  </w:num>
  <w:num w:numId="54" w16cid:durableId="560605801">
    <w:abstractNumId w:val="45"/>
  </w:num>
  <w:num w:numId="55" w16cid:durableId="1157304640">
    <w:abstractNumId w:val="43"/>
  </w:num>
  <w:num w:numId="56" w16cid:durableId="1723748338">
    <w:abstractNumId w:val="26"/>
  </w:num>
  <w:num w:numId="57" w16cid:durableId="712271590">
    <w:abstractNumId w:val="24"/>
  </w:num>
  <w:num w:numId="58" w16cid:durableId="838690818">
    <w:abstractNumId w:val="36"/>
  </w:num>
  <w:num w:numId="59" w16cid:durableId="1794977771">
    <w:abstractNumId w:val="11"/>
  </w:num>
  <w:num w:numId="60" w16cid:durableId="275527186">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3DC"/>
    <w:rsid w:val="00006E1F"/>
    <w:rsid w:val="000070D7"/>
    <w:rsid w:val="0001788C"/>
    <w:rsid w:val="000337EF"/>
    <w:rsid w:val="0003478B"/>
    <w:rsid w:val="000351B5"/>
    <w:rsid w:val="000364C6"/>
    <w:rsid w:val="00037D64"/>
    <w:rsid w:val="00040C3A"/>
    <w:rsid w:val="000419AD"/>
    <w:rsid w:val="000433C9"/>
    <w:rsid w:val="00060625"/>
    <w:rsid w:val="00062B31"/>
    <w:rsid w:val="00071174"/>
    <w:rsid w:val="000716C5"/>
    <w:rsid w:val="00074D96"/>
    <w:rsid w:val="00075E23"/>
    <w:rsid w:val="000829EE"/>
    <w:rsid w:val="0009344A"/>
    <w:rsid w:val="000A392E"/>
    <w:rsid w:val="000A575F"/>
    <w:rsid w:val="000B60A9"/>
    <w:rsid w:val="000D05CB"/>
    <w:rsid w:val="000D10DB"/>
    <w:rsid w:val="000E0CD8"/>
    <w:rsid w:val="000E5EB5"/>
    <w:rsid w:val="000F30B8"/>
    <w:rsid w:val="000F35ED"/>
    <w:rsid w:val="001004FE"/>
    <w:rsid w:val="00107131"/>
    <w:rsid w:val="0010736F"/>
    <w:rsid w:val="00111338"/>
    <w:rsid w:val="00113F73"/>
    <w:rsid w:val="00120B21"/>
    <w:rsid w:val="00121CC2"/>
    <w:rsid w:val="00131425"/>
    <w:rsid w:val="00133EE5"/>
    <w:rsid w:val="00167A34"/>
    <w:rsid w:val="00180DF6"/>
    <w:rsid w:val="00196824"/>
    <w:rsid w:val="001A520D"/>
    <w:rsid w:val="001A7870"/>
    <w:rsid w:val="001B3490"/>
    <w:rsid w:val="001B3A00"/>
    <w:rsid w:val="001B478B"/>
    <w:rsid w:val="001C1B41"/>
    <w:rsid w:val="001C7AD1"/>
    <w:rsid w:val="001D1D5D"/>
    <w:rsid w:val="001D1E31"/>
    <w:rsid w:val="001D65EF"/>
    <w:rsid w:val="001D6A4E"/>
    <w:rsid w:val="001D7F96"/>
    <w:rsid w:val="001E1087"/>
    <w:rsid w:val="001E49E7"/>
    <w:rsid w:val="001F5075"/>
    <w:rsid w:val="001F7201"/>
    <w:rsid w:val="00201C70"/>
    <w:rsid w:val="002203F1"/>
    <w:rsid w:val="002226F1"/>
    <w:rsid w:val="00223A29"/>
    <w:rsid w:val="002250A3"/>
    <w:rsid w:val="00232608"/>
    <w:rsid w:val="0023347B"/>
    <w:rsid w:val="00235217"/>
    <w:rsid w:val="00246D1F"/>
    <w:rsid w:val="00247403"/>
    <w:rsid w:val="00247542"/>
    <w:rsid w:val="002509C5"/>
    <w:rsid w:val="00257BF9"/>
    <w:rsid w:val="00262492"/>
    <w:rsid w:val="00266B61"/>
    <w:rsid w:val="0026712A"/>
    <w:rsid w:val="002700F4"/>
    <w:rsid w:val="002704DB"/>
    <w:rsid w:val="00273D6D"/>
    <w:rsid w:val="00297E31"/>
    <w:rsid w:val="002A0AAE"/>
    <w:rsid w:val="002A43CF"/>
    <w:rsid w:val="002A5820"/>
    <w:rsid w:val="002D2B26"/>
    <w:rsid w:val="002D7EA2"/>
    <w:rsid w:val="002E187C"/>
    <w:rsid w:val="002F23EA"/>
    <w:rsid w:val="00302733"/>
    <w:rsid w:val="00305835"/>
    <w:rsid w:val="00306F33"/>
    <w:rsid w:val="003076E3"/>
    <w:rsid w:val="00314078"/>
    <w:rsid w:val="0031535D"/>
    <w:rsid w:val="003239B8"/>
    <w:rsid w:val="0033169F"/>
    <w:rsid w:val="00344977"/>
    <w:rsid w:val="00346C95"/>
    <w:rsid w:val="00355B8F"/>
    <w:rsid w:val="00356185"/>
    <w:rsid w:val="00360380"/>
    <w:rsid w:val="0037519E"/>
    <w:rsid w:val="00386CF0"/>
    <w:rsid w:val="00394073"/>
    <w:rsid w:val="003970D4"/>
    <w:rsid w:val="003B70FB"/>
    <w:rsid w:val="003C676B"/>
    <w:rsid w:val="003D3BC2"/>
    <w:rsid w:val="003D53C6"/>
    <w:rsid w:val="003E6CA1"/>
    <w:rsid w:val="003F5154"/>
    <w:rsid w:val="00405F9C"/>
    <w:rsid w:val="004065A8"/>
    <w:rsid w:val="004165C2"/>
    <w:rsid w:val="004241A0"/>
    <w:rsid w:val="00437A37"/>
    <w:rsid w:val="00441ECB"/>
    <w:rsid w:val="004432D5"/>
    <w:rsid w:val="00445193"/>
    <w:rsid w:val="004451DD"/>
    <w:rsid w:val="00462C1B"/>
    <w:rsid w:val="00467B7E"/>
    <w:rsid w:val="00473BB4"/>
    <w:rsid w:val="00477592"/>
    <w:rsid w:val="004826A9"/>
    <w:rsid w:val="0048369A"/>
    <w:rsid w:val="00486F1C"/>
    <w:rsid w:val="0049419D"/>
    <w:rsid w:val="004A057B"/>
    <w:rsid w:val="004A6A54"/>
    <w:rsid w:val="004B421C"/>
    <w:rsid w:val="004C20D2"/>
    <w:rsid w:val="004C2312"/>
    <w:rsid w:val="004C4B62"/>
    <w:rsid w:val="004C54C9"/>
    <w:rsid w:val="004D3157"/>
    <w:rsid w:val="004D327F"/>
    <w:rsid w:val="004D365C"/>
    <w:rsid w:val="004D4ABA"/>
    <w:rsid w:val="004D6025"/>
    <w:rsid w:val="004E2649"/>
    <w:rsid w:val="004E6391"/>
    <w:rsid w:val="004F4264"/>
    <w:rsid w:val="004F626F"/>
    <w:rsid w:val="00501399"/>
    <w:rsid w:val="005047ED"/>
    <w:rsid w:val="0050633D"/>
    <w:rsid w:val="00507BC4"/>
    <w:rsid w:val="005128E4"/>
    <w:rsid w:val="005133DB"/>
    <w:rsid w:val="00514504"/>
    <w:rsid w:val="00521E1F"/>
    <w:rsid w:val="005246D4"/>
    <w:rsid w:val="00525560"/>
    <w:rsid w:val="005338FD"/>
    <w:rsid w:val="00537E28"/>
    <w:rsid w:val="00544C49"/>
    <w:rsid w:val="0055092C"/>
    <w:rsid w:val="005516A1"/>
    <w:rsid w:val="005559EF"/>
    <w:rsid w:val="00561C13"/>
    <w:rsid w:val="00563557"/>
    <w:rsid w:val="00572343"/>
    <w:rsid w:val="0057402A"/>
    <w:rsid w:val="005771D0"/>
    <w:rsid w:val="0059191A"/>
    <w:rsid w:val="005921FF"/>
    <w:rsid w:val="005A24ED"/>
    <w:rsid w:val="005A6D0E"/>
    <w:rsid w:val="005B283F"/>
    <w:rsid w:val="005B52B0"/>
    <w:rsid w:val="005B6806"/>
    <w:rsid w:val="005C3F9D"/>
    <w:rsid w:val="005C4225"/>
    <w:rsid w:val="005D3D35"/>
    <w:rsid w:val="005F0DAD"/>
    <w:rsid w:val="005F0F33"/>
    <w:rsid w:val="00600DEB"/>
    <w:rsid w:val="00603CF9"/>
    <w:rsid w:val="00612E5B"/>
    <w:rsid w:val="00617488"/>
    <w:rsid w:val="00627C9F"/>
    <w:rsid w:val="006311E9"/>
    <w:rsid w:val="00632354"/>
    <w:rsid w:val="006330FD"/>
    <w:rsid w:val="00635421"/>
    <w:rsid w:val="00642810"/>
    <w:rsid w:val="00642CCA"/>
    <w:rsid w:val="00652333"/>
    <w:rsid w:val="00656ADA"/>
    <w:rsid w:val="006733B3"/>
    <w:rsid w:val="006757BB"/>
    <w:rsid w:val="0068009E"/>
    <w:rsid w:val="00683836"/>
    <w:rsid w:val="00684A4E"/>
    <w:rsid w:val="006912F8"/>
    <w:rsid w:val="00692219"/>
    <w:rsid w:val="006A17D2"/>
    <w:rsid w:val="006A73E6"/>
    <w:rsid w:val="006B2D5C"/>
    <w:rsid w:val="006B740C"/>
    <w:rsid w:val="006C0ECF"/>
    <w:rsid w:val="006C4EB1"/>
    <w:rsid w:val="006D1703"/>
    <w:rsid w:val="006D2725"/>
    <w:rsid w:val="006E0166"/>
    <w:rsid w:val="006E2FFB"/>
    <w:rsid w:val="006E7B34"/>
    <w:rsid w:val="0070697F"/>
    <w:rsid w:val="007103C4"/>
    <w:rsid w:val="0071271C"/>
    <w:rsid w:val="00715216"/>
    <w:rsid w:val="007205F9"/>
    <w:rsid w:val="0072199C"/>
    <w:rsid w:val="00722C9F"/>
    <w:rsid w:val="007253B8"/>
    <w:rsid w:val="0073741F"/>
    <w:rsid w:val="007463A3"/>
    <w:rsid w:val="00752A22"/>
    <w:rsid w:val="0076643F"/>
    <w:rsid w:val="00770140"/>
    <w:rsid w:val="00775325"/>
    <w:rsid w:val="00776F85"/>
    <w:rsid w:val="00777F63"/>
    <w:rsid w:val="007A5817"/>
    <w:rsid w:val="007B05C4"/>
    <w:rsid w:val="007B60E9"/>
    <w:rsid w:val="007B6CC3"/>
    <w:rsid w:val="007B76D3"/>
    <w:rsid w:val="007C3334"/>
    <w:rsid w:val="007C5871"/>
    <w:rsid w:val="007D2B98"/>
    <w:rsid w:val="007D3042"/>
    <w:rsid w:val="007D41B4"/>
    <w:rsid w:val="007E21BC"/>
    <w:rsid w:val="007E7C82"/>
    <w:rsid w:val="007F2AA1"/>
    <w:rsid w:val="007F3F0E"/>
    <w:rsid w:val="007F588D"/>
    <w:rsid w:val="00803F1C"/>
    <w:rsid w:val="008042B0"/>
    <w:rsid w:val="0080600E"/>
    <w:rsid w:val="00814688"/>
    <w:rsid w:val="00817612"/>
    <w:rsid w:val="00817A06"/>
    <w:rsid w:val="00823C4A"/>
    <w:rsid w:val="008338A4"/>
    <w:rsid w:val="00834D49"/>
    <w:rsid w:val="00837C45"/>
    <w:rsid w:val="00844730"/>
    <w:rsid w:val="008457C2"/>
    <w:rsid w:val="00845808"/>
    <w:rsid w:val="00857A82"/>
    <w:rsid w:val="00864DBF"/>
    <w:rsid w:val="00873836"/>
    <w:rsid w:val="00876FAB"/>
    <w:rsid w:val="00885737"/>
    <w:rsid w:val="00890650"/>
    <w:rsid w:val="008944DC"/>
    <w:rsid w:val="00897E12"/>
    <w:rsid w:val="008A7E0F"/>
    <w:rsid w:val="008B127C"/>
    <w:rsid w:val="008B12F5"/>
    <w:rsid w:val="008C3E7E"/>
    <w:rsid w:val="008C5E2D"/>
    <w:rsid w:val="008D768D"/>
    <w:rsid w:val="008E3759"/>
    <w:rsid w:val="008E3BFE"/>
    <w:rsid w:val="008F17F1"/>
    <w:rsid w:val="008F1912"/>
    <w:rsid w:val="0090270B"/>
    <w:rsid w:val="009041DC"/>
    <w:rsid w:val="00904645"/>
    <w:rsid w:val="00917B5A"/>
    <w:rsid w:val="00920A58"/>
    <w:rsid w:val="00920A8C"/>
    <w:rsid w:val="009221C9"/>
    <w:rsid w:val="00934A2C"/>
    <w:rsid w:val="0093595A"/>
    <w:rsid w:val="00940EAD"/>
    <w:rsid w:val="00942585"/>
    <w:rsid w:val="00943519"/>
    <w:rsid w:val="00965DF2"/>
    <w:rsid w:val="0096706E"/>
    <w:rsid w:val="00974491"/>
    <w:rsid w:val="00975C4E"/>
    <w:rsid w:val="00981FBA"/>
    <w:rsid w:val="00997BC5"/>
    <w:rsid w:val="009A4F41"/>
    <w:rsid w:val="009A56CE"/>
    <w:rsid w:val="009B107F"/>
    <w:rsid w:val="009B1124"/>
    <w:rsid w:val="009B381B"/>
    <w:rsid w:val="009B6BFE"/>
    <w:rsid w:val="009C357E"/>
    <w:rsid w:val="009D1753"/>
    <w:rsid w:val="009D7611"/>
    <w:rsid w:val="009E0036"/>
    <w:rsid w:val="009E0104"/>
    <w:rsid w:val="009E0B61"/>
    <w:rsid w:val="009E53DE"/>
    <w:rsid w:val="009E7CA3"/>
    <w:rsid w:val="009F23C4"/>
    <w:rsid w:val="00A05191"/>
    <w:rsid w:val="00A11089"/>
    <w:rsid w:val="00A11212"/>
    <w:rsid w:val="00A11E44"/>
    <w:rsid w:val="00A15562"/>
    <w:rsid w:val="00A30100"/>
    <w:rsid w:val="00A328B3"/>
    <w:rsid w:val="00A44663"/>
    <w:rsid w:val="00A50FCF"/>
    <w:rsid w:val="00A528D1"/>
    <w:rsid w:val="00A610CD"/>
    <w:rsid w:val="00A758AA"/>
    <w:rsid w:val="00A94107"/>
    <w:rsid w:val="00AA09A2"/>
    <w:rsid w:val="00AA7996"/>
    <w:rsid w:val="00AB4281"/>
    <w:rsid w:val="00AC19CB"/>
    <w:rsid w:val="00AC2A34"/>
    <w:rsid w:val="00AD093A"/>
    <w:rsid w:val="00AE5488"/>
    <w:rsid w:val="00AE6F91"/>
    <w:rsid w:val="00AF5571"/>
    <w:rsid w:val="00B04818"/>
    <w:rsid w:val="00B06C48"/>
    <w:rsid w:val="00B07341"/>
    <w:rsid w:val="00B1408E"/>
    <w:rsid w:val="00B30539"/>
    <w:rsid w:val="00B314DB"/>
    <w:rsid w:val="00B361F2"/>
    <w:rsid w:val="00B3718B"/>
    <w:rsid w:val="00B3745F"/>
    <w:rsid w:val="00B4632A"/>
    <w:rsid w:val="00B530F1"/>
    <w:rsid w:val="00B93D7F"/>
    <w:rsid w:val="00BA276C"/>
    <w:rsid w:val="00BB019D"/>
    <w:rsid w:val="00BB306F"/>
    <w:rsid w:val="00BD0FF5"/>
    <w:rsid w:val="00BD4B89"/>
    <w:rsid w:val="00BD4E62"/>
    <w:rsid w:val="00BD5922"/>
    <w:rsid w:val="00BF02CB"/>
    <w:rsid w:val="00BF6B41"/>
    <w:rsid w:val="00BF6FD8"/>
    <w:rsid w:val="00C03680"/>
    <w:rsid w:val="00C054DF"/>
    <w:rsid w:val="00C07F2B"/>
    <w:rsid w:val="00C15D3A"/>
    <w:rsid w:val="00C21762"/>
    <w:rsid w:val="00C21FEF"/>
    <w:rsid w:val="00C23BA4"/>
    <w:rsid w:val="00C24543"/>
    <w:rsid w:val="00C256A2"/>
    <w:rsid w:val="00C256AF"/>
    <w:rsid w:val="00C25ADB"/>
    <w:rsid w:val="00C51515"/>
    <w:rsid w:val="00C5438A"/>
    <w:rsid w:val="00C5660B"/>
    <w:rsid w:val="00C66B72"/>
    <w:rsid w:val="00C70B76"/>
    <w:rsid w:val="00C80625"/>
    <w:rsid w:val="00C87AC4"/>
    <w:rsid w:val="00C9567A"/>
    <w:rsid w:val="00CB212D"/>
    <w:rsid w:val="00CB2660"/>
    <w:rsid w:val="00CC5E90"/>
    <w:rsid w:val="00CD046C"/>
    <w:rsid w:val="00CE076C"/>
    <w:rsid w:val="00CE5199"/>
    <w:rsid w:val="00CE66D5"/>
    <w:rsid w:val="00CF637A"/>
    <w:rsid w:val="00D01A61"/>
    <w:rsid w:val="00D059DE"/>
    <w:rsid w:val="00D05ABD"/>
    <w:rsid w:val="00D13FCE"/>
    <w:rsid w:val="00D306D1"/>
    <w:rsid w:val="00D30800"/>
    <w:rsid w:val="00D34786"/>
    <w:rsid w:val="00D34EB2"/>
    <w:rsid w:val="00D37BFC"/>
    <w:rsid w:val="00D47A8E"/>
    <w:rsid w:val="00D52D14"/>
    <w:rsid w:val="00D56309"/>
    <w:rsid w:val="00D62960"/>
    <w:rsid w:val="00D66DCC"/>
    <w:rsid w:val="00D712D3"/>
    <w:rsid w:val="00D71422"/>
    <w:rsid w:val="00D7237A"/>
    <w:rsid w:val="00D72DC6"/>
    <w:rsid w:val="00D7558D"/>
    <w:rsid w:val="00D81D92"/>
    <w:rsid w:val="00D876F9"/>
    <w:rsid w:val="00DA7B5F"/>
    <w:rsid w:val="00DC11E7"/>
    <w:rsid w:val="00DC24E3"/>
    <w:rsid w:val="00DC7023"/>
    <w:rsid w:val="00DC769A"/>
    <w:rsid w:val="00DD3D86"/>
    <w:rsid w:val="00DD4AD2"/>
    <w:rsid w:val="00DE2862"/>
    <w:rsid w:val="00DF087C"/>
    <w:rsid w:val="00DF1EC4"/>
    <w:rsid w:val="00DF722C"/>
    <w:rsid w:val="00E0340B"/>
    <w:rsid w:val="00E04A90"/>
    <w:rsid w:val="00E0551F"/>
    <w:rsid w:val="00E061AC"/>
    <w:rsid w:val="00E210AE"/>
    <w:rsid w:val="00E219C7"/>
    <w:rsid w:val="00E2619B"/>
    <w:rsid w:val="00E4118C"/>
    <w:rsid w:val="00E41D85"/>
    <w:rsid w:val="00E43157"/>
    <w:rsid w:val="00E461CE"/>
    <w:rsid w:val="00E466EB"/>
    <w:rsid w:val="00E573E4"/>
    <w:rsid w:val="00E64C3D"/>
    <w:rsid w:val="00E65441"/>
    <w:rsid w:val="00E720CA"/>
    <w:rsid w:val="00E76CBF"/>
    <w:rsid w:val="00E84EB5"/>
    <w:rsid w:val="00E85662"/>
    <w:rsid w:val="00E8789F"/>
    <w:rsid w:val="00E97B71"/>
    <w:rsid w:val="00EA3D34"/>
    <w:rsid w:val="00EB454D"/>
    <w:rsid w:val="00EC377A"/>
    <w:rsid w:val="00ED549D"/>
    <w:rsid w:val="00ED5E10"/>
    <w:rsid w:val="00ED76BE"/>
    <w:rsid w:val="00EE00E9"/>
    <w:rsid w:val="00EF1AAA"/>
    <w:rsid w:val="00EF619B"/>
    <w:rsid w:val="00F00B55"/>
    <w:rsid w:val="00F02AD1"/>
    <w:rsid w:val="00F040FA"/>
    <w:rsid w:val="00F04E26"/>
    <w:rsid w:val="00F06353"/>
    <w:rsid w:val="00F21502"/>
    <w:rsid w:val="00F253CC"/>
    <w:rsid w:val="00F37106"/>
    <w:rsid w:val="00F44E25"/>
    <w:rsid w:val="00F519CF"/>
    <w:rsid w:val="00F56BA5"/>
    <w:rsid w:val="00F56ECB"/>
    <w:rsid w:val="00F60E22"/>
    <w:rsid w:val="00F81395"/>
    <w:rsid w:val="00F81BB8"/>
    <w:rsid w:val="00F90C64"/>
    <w:rsid w:val="00F917D1"/>
    <w:rsid w:val="00F9653B"/>
    <w:rsid w:val="00FB0581"/>
    <w:rsid w:val="00FB579C"/>
    <w:rsid w:val="00FB62CF"/>
    <w:rsid w:val="00FD3C3B"/>
    <w:rsid w:val="00FD4D29"/>
    <w:rsid w:val="00FE07DD"/>
    <w:rsid w:val="00FE301F"/>
    <w:rsid w:val="00FE568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9435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943519"/>
  </w:style>
  <w:style w:type="numbering" w:customStyle="1" w:styleId="List210">
    <w:name w:val="List 21"/>
    <w:basedOn w:val="NoList"/>
    <w:pPr>
      <w:numPr>
        <w:numId w:val="52"/>
      </w:numPr>
    </w:pPr>
  </w:style>
  <w:style w:type="character" w:customStyle="1" w:styleId="eop">
    <w:name w:val="eop"/>
    <w:basedOn w:val="DefaultParagraphFont"/>
    <w:rsid w:val="00943519"/>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D272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D53C6"/>
    <w:rPr>
      <w:sz w:val="16"/>
      <w:szCs w:val="16"/>
    </w:rPr>
  </w:style>
  <w:style w:type="paragraph" w:styleId="CommentText">
    <w:name w:val="annotation text"/>
    <w:basedOn w:val="Normal"/>
    <w:link w:val="CommentTextChar"/>
    <w:uiPriority w:val="99"/>
    <w:semiHidden/>
    <w:unhideWhenUsed/>
    <w:rsid w:val="003D53C6"/>
    <w:rPr>
      <w:sz w:val="20"/>
      <w:szCs w:val="20"/>
    </w:rPr>
  </w:style>
  <w:style w:type="character" w:customStyle="1" w:styleId="CommentTextChar">
    <w:name w:val="Comment Text Char"/>
    <w:basedOn w:val="DefaultParagraphFont"/>
    <w:link w:val="CommentText"/>
    <w:uiPriority w:val="99"/>
    <w:semiHidden/>
    <w:rsid w:val="003D53C6"/>
    <w:rPr>
      <w:lang w:val="en-US" w:eastAsia="en-US"/>
    </w:rPr>
  </w:style>
  <w:style w:type="paragraph" w:styleId="CommentSubject">
    <w:name w:val="annotation subject"/>
    <w:basedOn w:val="CommentText"/>
    <w:next w:val="CommentText"/>
    <w:link w:val="CommentSubjectChar"/>
    <w:uiPriority w:val="99"/>
    <w:semiHidden/>
    <w:unhideWhenUsed/>
    <w:rsid w:val="003D53C6"/>
    <w:rPr>
      <w:b/>
      <w:bCs/>
    </w:rPr>
  </w:style>
  <w:style w:type="character" w:customStyle="1" w:styleId="CommentSubjectChar">
    <w:name w:val="Comment Subject Char"/>
    <w:basedOn w:val="CommentTextChar"/>
    <w:link w:val="CommentSubject"/>
    <w:uiPriority w:val="99"/>
    <w:semiHidden/>
    <w:rsid w:val="003D53C6"/>
    <w:rPr>
      <w:b/>
      <w:bCs/>
      <w:lang w:val="en-US" w:eastAsia="en-US"/>
    </w:rPr>
  </w:style>
  <w:style w:type="paragraph" w:customStyle="1" w:styleId="Char2">
    <w:name w:val="Char2"/>
    <w:basedOn w:val="Normal"/>
    <w:rsid w:val="006912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5968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0CD1"/>
    <w:rsid w:val="00200821"/>
    <w:rsid w:val="0025245B"/>
    <w:rsid w:val="002A3923"/>
    <w:rsid w:val="00394049"/>
    <w:rsid w:val="003B0C71"/>
    <w:rsid w:val="004B5BBB"/>
    <w:rsid w:val="004F2DF8"/>
    <w:rsid w:val="00517E2A"/>
    <w:rsid w:val="006D3128"/>
    <w:rsid w:val="006F24A1"/>
    <w:rsid w:val="0080325A"/>
    <w:rsid w:val="00875B8A"/>
    <w:rsid w:val="008953BC"/>
    <w:rsid w:val="009A261B"/>
    <w:rsid w:val="00AA2E17"/>
    <w:rsid w:val="00AC15A4"/>
    <w:rsid w:val="00B0336C"/>
    <w:rsid w:val="00D241E9"/>
    <w:rsid w:val="00D7750D"/>
    <w:rsid w:val="00ED7BB4"/>
    <w:rsid w:val="00F0056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19107</Characters>
  <Application>Microsoft Office Word</Application>
  <DocSecurity>0</DocSecurity>
  <Lines>159</Lines>
  <Paragraphs>44</Paragraphs>
  <ScaleCrop>false</ScaleCrop>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2023-03-24T18:21:00Z</dcterms:created>
  <dcterms:modified xsi:type="dcterms:W3CDTF">2023-03-24T18:21:00Z</dcterms:modified>
</cp:coreProperties>
</file>