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188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7DBDBA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25DF">
                              <w:rPr>
                                <w:rFonts w:asciiTheme="majorHAnsi" w:hAnsiTheme="majorHAnsi" w:cs="Arial"/>
                                <w:b/>
                                <w:bCs/>
                                <w:color w:val="0D0D0D" w:themeColor="text1" w:themeTint="F2"/>
                                <w:sz w:val="36"/>
                                <w:szCs w:val="22"/>
                                <w:lang w:val="es-ES_tradnl"/>
                              </w:rPr>
                              <w:t>68</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8518F">
                              <w:rPr>
                                <w:rFonts w:asciiTheme="majorHAnsi" w:hAnsiTheme="majorHAnsi" w:cs="Arial"/>
                                <w:b/>
                                <w:bCs/>
                                <w:color w:val="0D0D0D" w:themeColor="text1" w:themeTint="F2"/>
                                <w:sz w:val="36"/>
                                <w:szCs w:val="22"/>
                                <w:lang w:val="es-ES_tradnl"/>
                              </w:rPr>
                              <w:t>3</w:t>
                            </w:r>
                          </w:p>
                          <w:p w14:paraId="45F30ECA" w14:textId="65E2A0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8518F">
                              <w:rPr>
                                <w:rFonts w:asciiTheme="majorHAnsi" w:hAnsiTheme="majorHAnsi" w:cs="Arial"/>
                                <w:b/>
                                <w:color w:val="0D0D0D" w:themeColor="text1" w:themeTint="F2"/>
                                <w:sz w:val="36"/>
                                <w:szCs w:val="22"/>
                                <w:lang w:val="es-ES_tradnl"/>
                              </w:rPr>
                              <w:t>398</w:t>
                            </w:r>
                            <w:r w:rsidR="001D21C7">
                              <w:rPr>
                                <w:rFonts w:asciiTheme="majorHAnsi" w:hAnsiTheme="majorHAnsi" w:cs="Arial"/>
                                <w:b/>
                                <w:color w:val="0D0D0D" w:themeColor="text1" w:themeTint="F2"/>
                                <w:sz w:val="36"/>
                                <w:szCs w:val="22"/>
                                <w:lang w:val="es-ES_tradnl"/>
                              </w:rPr>
                              <w:t>-1</w:t>
                            </w:r>
                            <w:r w:rsidR="0098518F">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4E840EF4" w:rsidR="00A72E93" w:rsidRDefault="0098518F"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GERMÁN VALENZUELA CARABALÍ Y OTROS</w:t>
                            </w:r>
                          </w:p>
                          <w:p w14:paraId="0B9F7D22" w14:textId="3EE347AF"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7DBDBA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25DF">
                        <w:rPr>
                          <w:rFonts w:asciiTheme="majorHAnsi" w:hAnsiTheme="majorHAnsi" w:cs="Arial"/>
                          <w:b/>
                          <w:bCs/>
                          <w:color w:val="0D0D0D" w:themeColor="text1" w:themeTint="F2"/>
                          <w:sz w:val="36"/>
                          <w:szCs w:val="22"/>
                          <w:lang w:val="es-ES_tradnl"/>
                        </w:rPr>
                        <w:t>68</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8518F">
                        <w:rPr>
                          <w:rFonts w:asciiTheme="majorHAnsi" w:hAnsiTheme="majorHAnsi" w:cs="Arial"/>
                          <w:b/>
                          <w:bCs/>
                          <w:color w:val="0D0D0D" w:themeColor="text1" w:themeTint="F2"/>
                          <w:sz w:val="36"/>
                          <w:szCs w:val="22"/>
                          <w:lang w:val="es-ES_tradnl"/>
                        </w:rPr>
                        <w:t>3</w:t>
                      </w:r>
                    </w:p>
                    <w:p w14:paraId="45F30ECA" w14:textId="65E2A0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8518F">
                        <w:rPr>
                          <w:rFonts w:asciiTheme="majorHAnsi" w:hAnsiTheme="majorHAnsi" w:cs="Arial"/>
                          <w:b/>
                          <w:color w:val="0D0D0D" w:themeColor="text1" w:themeTint="F2"/>
                          <w:sz w:val="36"/>
                          <w:szCs w:val="22"/>
                          <w:lang w:val="es-ES_tradnl"/>
                        </w:rPr>
                        <w:t>398</w:t>
                      </w:r>
                      <w:r w:rsidR="001D21C7">
                        <w:rPr>
                          <w:rFonts w:asciiTheme="majorHAnsi" w:hAnsiTheme="majorHAnsi" w:cs="Arial"/>
                          <w:b/>
                          <w:color w:val="0D0D0D" w:themeColor="text1" w:themeTint="F2"/>
                          <w:sz w:val="36"/>
                          <w:szCs w:val="22"/>
                          <w:lang w:val="es-ES_tradnl"/>
                        </w:rPr>
                        <w:t>-1</w:t>
                      </w:r>
                      <w:r w:rsidR="0098518F">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4E840EF4" w:rsidR="00A72E93" w:rsidRDefault="0098518F"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GERMÁN VALENZUELA CARABALÍ Y OTROS</w:t>
                      </w:r>
                    </w:p>
                    <w:p w14:paraId="0B9F7D22" w14:textId="3EE347AF"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E4BB88E" w:rsidR="00627C9F" w:rsidRPr="007F4A4A" w:rsidRDefault="00834D49" w:rsidP="007A5817">
                            <w:pPr>
                              <w:spacing w:line="276" w:lineRule="auto"/>
                              <w:jc w:val="right"/>
                              <w:rPr>
                                <w:rFonts w:asciiTheme="minorHAnsi" w:hAnsiTheme="minorHAnsi"/>
                                <w:color w:val="FFFFFF" w:themeColor="background1"/>
                                <w:sz w:val="22"/>
                                <w:lang w:val="es-AR"/>
                              </w:rPr>
                            </w:pPr>
                            <w:r w:rsidRPr="007F4A4A">
                              <w:rPr>
                                <w:rFonts w:asciiTheme="minorHAnsi" w:hAnsiTheme="minorHAnsi"/>
                                <w:color w:val="FFFFFF" w:themeColor="background1"/>
                                <w:sz w:val="22"/>
                                <w:lang w:val="es-AR"/>
                              </w:rPr>
                              <w:t>OEA/Ser.L/V/II</w:t>
                            </w:r>
                          </w:p>
                          <w:p w14:paraId="71D2D5D2" w14:textId="17D0B7FA" w:rsidR="00627C9F" w:rsidRPr="007F4A4A" w:rsidRDefault="00627C9F" w:rsidP="007A5817">
                            <w:pPr>
                              <w:spacing w:line="276" w:lineRule="auto"/>
                              <w:jc w:val="right"/>
                              <w:rPr>
                                <w:rFonts w:asciiTheme="minorHAnsi" w:hAnsiTheme="minorHAnsi"/>
                                <w:color w:val="FFFFFF" w:themeColor="background1"/>
                                <w:sz w:val="22"/>
                                <w:lang w:val="es-AR"/>
                              </w:rPr>
                            </w:pPr>
                            <w:r w:rsidRPr="007F4A4A">
                              <w:rPr>
                                <w:rFonts w:asciiTheme="minorHAnsi" w:hAnsiTheme="minorHAnsi"/>
                                <w:color w:val="FFFFFF" w:themeColor="background1"/>
                                <w:sz w:val="22"/>
                                <w:lang w:val="es-AR"/>
                              </w:rPr>
                              <w:t xml:space="preserve">Doc. </w:t>
                            </w:r>
                            <w:r w:rsidR="00126FAE" w:rsidRPr="007F4A4A">
                              <w:rPr>
                                <w:rFonts w:asciiTheme="minorHAnsi" w:hAnsiTheme="minorHAnsi"/>
                                <w:color w:val="FFFFFF" w:themeColor="background1"/>
                                <w:sz w:val="22"/>
                                <w:lang w:val="es-AR"/>
                              </w:rPr>
                              <w:t>76</w:t>
                            </w:r>
                          </w:p>
                          <w:p w14:paraId="4061DBBD" w14:textId="57F50555" w:rsidR="00627C9F" w:rsidRPr="00C25ADB" w:rsidRDefault="00126F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8518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E4BB88E" w:rsidR="00627C9F" w:rsidRPr="007F4A4A" w:rsidRDefault="00834D49" w:rsidP="007A5817">
                      <w:pPr>
                        <w:spacing w:line="276" w:lineRule="auto"/>
                        <w:jc w:val="right"/>
                        <w:rPr>
                          <w:rFonts w:asciiTheme="minorHAnsi" w:hAnsiTheme="minorHAnsi"/>
                          <w:color w:val="FFFFFF" w:themeColor="background1"/>
                          <w:sz w:val="22"/>
                          <w:lang w:val="es-AR"/>
                        </w:rPr>
                      </w:pPr>
                      <w:r w:rsidRPr="007F4A4A">
                        <w:rPr>
                          <w:rFonts w:asciiTheme="minorHAnsi" w:hAnsiTheme="minorHAnsi"/>
                          <w:color w:val="FFFFFF" w:themeColor="background1"/>
                          <w:sz w:val="22"/>
                          <w:lang w:val="es-AR"/>
                        </w:rPr>
                        <w:t>OEA/Ser.L/V/II</w:t>
                      </w:r>
                    </w:p>
                    <w:p w14:paraId="71D2D5D2" w14:textId="17D0B7FA" w:rsidR="00627C9F" w:rsidRPr="007F4A4A" w:rsidRDefault="00627C9F" w:rsidP="007A5817">
                      <w:pPr>
                        <w:spacing w:line="276" w:lineRule="auto"/>
                        <w:jc w:val="right"/>
                        <w:rPr>
                          <w:rFonts w:asciiTheme="minorHAnsi" w:hAnsiTheme="minorHAnsi"/>
                          <w:color w:val="FFFFFF" w:themeColor="background1"/>
                          <w:sz w:val="22"/>
                          <w:lang w:val="es-AR"/>
                        </w:rPr>
                      </w:pPr>
                      <w:r w:rsidRPr="007F4A4A">
                        <w:rPr>
                          <w:rFonts w:asciiTheme="minorHAnsi" w:hAnsiTheme="minorHAnsi"/>
                          <w:color w:val="FFFFFF" w:themeColor="background1"/>
                          <w:sz w:val="22"/>
                          <w:lang w:val="es-AR"/>
                        </w:rPr>
                        <w:t xml:space="preserve">Doc. </w:t>
                      </w:r>
                      <w:r w:rsidR="00126FAE" w:rsidRPr="007F4A4A">
                        <w:rPr>
                          <w:rFonts w:asciiTheme="minorHAnsi" w:hAnsiTheme="minorHAnsi"/>
                          <w:color w:val="FFFFFF" w:themeColor="background1"/>
                          <w:sz w:val="22"/>
                          <w:lang w:val="es-AR"/>
                        </w:rPr>
                        <w:t>76</w:t>
                      </w:r>
                    </w:p>
                    <w:p w14:paraId="4061DBBD" w14:textId="57F50555" w:rsidR="00627C9F" w:rsidRPr="00C25ADB" w:rsidRDefault="00126F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8518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873F0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25DF">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C125DF">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8518F">
                              <w:rPr>
                                <w:rFonts w:asciiTheme="majorHAnsi" w:hAnsiTheme="majorHAnsi"/>
                                <w:color w:val="0D0D0D" w:themeColor="text1" w:themeTint="F2"/>
                                <w:sz w:val="18"/>
                                <w:szCs w:val="22"/>
                                <w:lang w:val="es-ES"/>
                              </w:rPr>
                              <w:t>3</w:t>
                            </w:r>
                            <w:r w:rsidR="00C125D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873F0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25DF">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C125DF">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8518F">
                        <w:rPr>
                          <w:rFonts w:asciiTheme="majorHAnsi" w:hAnsiTheme="majorHAnsi"/>
                          <w:color w:val="0D0D0D" w:themeColor="text1" w:themeTint="F2"/>
                          <w:sz w:val="18"/>
                          <w:szCs w:val="22"/>
                          <w:lang w:val="es-ES"/>
                        </w:rPr>
                        <w:t>3</w:t>
                      </w:r>
                      <w:r w:rsidR="00C125D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1A7AF" w14:textId="77777777" w:rsidR="00C125D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25DF" w:rsidRPr="00C125DF">
                              <w:rPr>
                                <w:rFonts w:asciiTheme="majorHAnsi" w:hAnsiTheme="majorHAnsi"/>
                                <w:color w:val="595959" w:themeColor="text1" w:themeTint="A6"/>
                                <w:sz w:val="18"/>
                                <w:szCs w:val="18"/>
                                <w:lang w:val="pt-BR"/>
                              </w:rPr>
                              <w:t>68</w:t>
                            </w:r>
                            <w:r w:rsidR="007B05C4" w:rsidRPr="00C125DF">
                              <w:rPr>
                                <w:rFonts w:asciiTheme="majorHAnsi" w:hAnsiTheme="majorHAnsi"/>
                                <w:color w:val="595959" w:themeColor="text1" w:themeTint="A6"/>
                                <w:sz w:val="18"/>
                                <w:szCs w:val="18"/>
                                <w:lang w:val="pt-BR"/>
                              </w:rPr>
                              <w:t>/</w:t>
                            </w:r>
                            <w:r w:rsidR="00C125DF" w:rsidRPr="00C125DF">
                              <w:rPr>
                                <w:rFonts w:asciiTheme="majorHAnsi" w:hAnsiTheme="majorHAnsi"/>
                                <w:color w:val="595959" w:themeColor="text1" w:themeTint="A6"/>
                                <w:sz w:val="18"/>
                                <w:szCs w:val="18"/>
                                <w:lang w:val="pt-BR"/>
                              </w:rPr>
                              <w:t>23</w:t>
                            </w:r>
                            <w:r w:rsidRPr="00C125D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8518F">
                              <w:rPr>
                                <w:rFonts w:asciiTheme="majorHAnsi" w:hAnsiTheme="majorHAnsi"/>
                                <w:color w:val="595959" w:themeColor="text1" w:themeTint="A6"/>
                                <w:sz w:val="18"/>
                                <w:szCs w:val="18"/>
                                <w:lang w:val="es-ES"/>
                              </w:rPr>
                              <w:t>398</w:t>
                            </w:r>
                            <w:r w:rsidR="001D21C7">
                              <w:rPr>
                                <w:rFonts w:asciiTheme="majorHAnsi" w:hAnsiTheme="majorHAnsi"/>
                                <w:color w:val="595959" w:themeColor="text1" w:themeTint="A6"/>
                                <w:sz w:val="18"/>
                                <w:szCs w:val="18"/>
                                <w:lang w:val="es-ES"/>
                              </w:rPr>
                              <w:t>-1</w:t>
                            </w:r>
                            <w:r w:rsidR="0098518F">
                              <w:rPr>
                                <w:rFonts w:asciiTheme="majorHAnsi" w:hAnsiTheme="majorHAnsi"/>
                                <w:color w:val="595959" w:themeColor="text1" w:themeTint="A6"/>
                                <w:sz w:val="18"/>
                                <w:szCs w:val="18"/>
                                <w:lang w:val="es-ES"/>
                              </w:rPr>
                              <w:t>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6F06A89" w:rsidR="00113F73" w:rsidRPr="007B05C4" w:rsidRDefault="0098518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Germán Valenzuela Carabalí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C125DF">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281A7AF" w14:textId="77777777" w:rsidR="00C125D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25DF" w:rsidRPr="00C125DF">
                        <w:rPr>
                          <w:rFonts w:asciiTheme="majorHAnsi" w:hAnsiTheme="majorHAnsi"/>
                          <w:color w:val="595959" w:themeColor="text1" w:themeTint="A6"/>
                          <w:sz w:val="18"/>
                          <w:szCs w:val="18"/>
                          <w:lang w:val="pt-BR"/>
                        </w:rPr>
                        <w:t>68</w:t>
                      </w:r>
                      <w:r w:rsidR="007B05C4" w:rsidRPr="00C125DF">
                        <w:rPr>
                          <w:rFonts w:asciiTheme="majorHAnsi" w:hAnsiTheme="majorHAnsi"/>
                          <w:color w:val="595959" w:themeColor="text1" w:themeTint="A6"/>
                          <w:sz w:val="18"/>
                          <w:szCs w:val="18"/>
                          <w:lang w:val="pt-BR"/>
                        </w:rPr>
                        <w:t>/</w:t>
                      </w:r>
                      <w:r w:rsidR="00C125DF" w:rsidRPr="00C125DF">
                        <w:rPr>
                          <w:rFonts w:asciiTheme="majorHAnsi" w:hAnsiTheme="majorHAnsi"/>
                          <w:color w:val="595959" w:themeColor="text1" w:themeTint="A6"/>
                          <w:sz w:val="18"/>
                          <w:szCs w:val="18"/>
                          <w:lang w:val="pt-BR"/>
                        </w:rPr>
                        <w:t>23</w:t>
                      </w:r>
                      <w:r w:rsidRPr="00C125D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8518F">
                        <w:rPr>
                          <w:rFonts w:asciiTheme="majorHAnsi" w:hAnsiTheme="majorHAnsi"/>
                          <w:color w:val="595959" w:themeColor="text1" w:themeTint="A6"/>
                          <w:sz w:val="18"/>
                          <w:szCs w:val="18"/>
                          <w:lang w:val="es-ES"/>
                        </w:rPr>
                        <w:t>398</w:t>
                      </w:r>
                      <w:r w:rsidR="001D21C7">
                        <w:rPr>
                          <w:rFonts w:asciiTheme="majorHAnsi" w:hAnsiTheme="majorHAnsi"/>
                          <w:color w:val="595959" w:themeColor="text1" w:themeTint="A6"/>
                          <w:sz w:val="18"/>
                          <w:szCs w:val="18"/>
                          <w:lang w:val="es-ES"/>
                        </w:rPr>
                        <w:t>-1</w:t>
                      </w:r>
                      <w:r w:rsidR="0098518F">
                        <w:rPr>
                          <w:rFonts w:asciiTheme="majorHAnsi" w:hAnsiTheme="majorHAnsi"/>
                          <w:color w:val="595959" w:themeColor="text1" w:themeTint="A6"/>
                          <w:sz w:val="18"/>
                          <w:szCs w:val="18"/>
                          <w:lang w:val="es-ES"/>
                        </w:rPr>
                        <w:t>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6F06A89" w:rsidR="00113F73" w:rsidRPr="007B05C4" w:rsidRDefault="0098518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Germán Valenzuela Carabalí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C125DF">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83856A2" w:rsidR="00D72DC6" w:rsidRPr="00D72DC6" w:rsidRDefault="00EA2DEF" w:rsidP="00F02AD1">
                            <w:pPr>
                              <w:rPr>
                                <w:color w:val="FFFFFF" w:themeColor="background1"/>
                                <w14:textFill>
                                  <w14:noFill/>
                                </w14:textFill>
                              </w:rPr>
                            </w:pPr>
                            <w:r>
                              <w:rPr>
                                <w:noProof/>
                                <w:color w:val="FFFFFF" w:themeColor="background1"/>
                              </w:rPr>
                              <w:drawing>
                                <wp:inline distT="0" distB="0" distL="0" distR="0" wp14:anchorId="4460340E" wp14:editId="39B9E78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183856A2" w:rsidR="00D72DC6" w:rsidRPr="00D72DC6" w:rsidRDefault="00EA2DEF" w:rsidP="00F02AD1">
                      <w:pPr>
                        <w:rPr>
                          <w:color w:val="FFFFFF" w:themeColor="background1"/>
                          <w14:textFill>
                            <w14:noFill/>
                          </w14:textFill>
                        </w:rPr>
                      </w:pPr>
                      <w:r>
                        <w:rPr>
                          <w:noProof/>
                          <w:color w:val="FFFFFF" w:themeColor="background1"/>
                        </w:rPr>
                        <w:drawing>
                          <wp:inline distT="0" distB="0" distL="0" distR="0" wp14:anchorId="4460340E" wp14:editId="39B9E78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F4A4A"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Parte peticionaria:</w:t>
            </w:r>
          </w:p>
        </w:tc>
        <w:tc>
          <w:tcPr>
            <w:tcW w:w="5760" w:type="dxa"/>
            <w:vAlign w:val="center"/>
          </w:tcPr>
          <w:p w14:paraId="07DAAE2E" w14:textId="43452D2C" w:rsidR="003239B8" w:rsidRPr="0098518F" w:rsidRDefault="0098518F" w:rsidP="008D2290">
            <w:pPr>
              <w:jc w:val="both"/>
              <w:rPr>
                <w:rFonts w:ascii="Cambria" w:hAnsi="Cambria"/>
                <w:bCs/>
                <w:sz w:val="20"/>
                <w:szCs w:val="20"/>
                <w:lang w:val="es-ES"/>
              </w:rPr>
            </w:pPr>
            <w:r w:rsidRPr="0098518F">
              <w:rPr>
                <w:rFonts w:ascii="Cambria" w:hAnsi="Cambria"/>
                <w:bCs/>
                <w:sz w:val="20"/>
                <w:szCs w:val="20"/>
                <w:lang w:val="es-ES"/>
              </w:rPr>
              <w:t>Sofía López Mera, Alexander Montaña</w:t>
            </w:r>
            <w:r>
              <w:rPr>
                <w:rFonts w:ascii="Cambria" w:hAnsi="Cambria"/>
                <w:bCs/>
                <w:sz w:val="20"/>
                <w:szCs w:val="20"/>
                <w:lang w:val="es-ES"/>
              </w:rPr>
              <w:t>, Asociación Movimiento Campesino de Cajibío, Asociación para el Desarrollo Alternativo Minga, Corporación Justicia y Dignidad</w:t>
            </w:r>
          </w:p>
        </w:tc>
      </w:tr>
      <w:tr w:rsidR="003239B8" w:rsidRPr="00615A60"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91191E" w:rsidRDefault="0089705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91191E">
                  <w:rPr>
                    <w:rFonts w:ascii="Cambria" w:hAnsi="Cambria"/>
                    <w:b/>
                    <w:bCs/>
                    <w:color w:val="FFFFFF" w:themeColor="background1"/>
                    <w:sz w:val="20"/>
                    <w:szCs w:val="20"/>
                  </w:rPr>
                  <w:t>Presunta víctima</w:t>
                </w:r>
              </w:sdtContent>
            </w:sdt>
            <w:r w:rsidR="003239B8" w:rsidRPr="0091191E">
              <w:rPr>
                <w:rFonts w:ascii="Cambria" w:hAnsi="Cambria"/>
                <w:b/>
                <w:bCs/>
                <w:color w:val="FFFFFF" w:themeColor="background1"/>
                <w:sz w:val="20"/>
                <w:szCs w:val="20"/>
              </w:rPr>
              <w:t>:</w:t>
            </w:r>
          </w:p>
        </w:tc>
        <w:tc>
          <w:tcPr>
            <w:tcW w:w="5760" w:type="dxa"/>
            <w:vAlign w:val="center"/>
          </w:tcPr>
          <w:p w14:paraId="143D44A8" w14:textId="4AC72CDC" w:rsidR="00615A60" w:rsidRPr="00615A60" w:rsidRDefault="0098518F" w:rsidP="00615A60">
            <w:pPr>
              <w:jc w:val="both"/>
              <w:rPr>
                <w:rFonts w:ascii="Cambria" w:hAnsi="Cambria"/>
                <w:bCs/>
                <w:sz w:val="20"/>
                <w:szCs w:val="20"/>
              </w:rPr>
            </w:pPr>
            <w:r w:rsidRPr="00615A60">
              <w:rPr>
                <w:rFonts w:ascii="Cambria" w:hAnsi="Cambria"/>
                <w:bCs/>
                <w:sz w:val="20"/>
                <w:szCs w:val="20"/>
              </w:rPr>
              <w:t>Germán Valenzuela Carabalí,</w:t>
            </w:r>
            <w:r w:rsidR="00615A60">
              <w:rPr>
                <w:rFonts w:ascii="Cambria" w:hAnsi="Cambria"/>
                <w:bCs/>
                <w:sz w:val="20"/>
                <w:szCs w:val="20"/>
              </w:rPr>
              <w:t xml:space="preserve"> </w:t>
            </w:r>
            <w:r w:rsidR="00615A60" w:rsidRPr="00F02C09">
              <w:rPr>
                <w:rFonts w:ascii="Cambria" w:eastAsia="Cambria" w:hAnsi="Cambria" w:cs="Cambria"/>
                <w:sz w:val="20"/>
                <w:szCs w:val="20"/>
                <w:u w:color="000000"/>
                <w:lang w:eastAsia="es-ES"/>
              </w:rPr>
              <w:t>Adolfo Benalcazar</w:t>
            </w:r>
            <w:r w:rsidR="00615A60">
              <w:rPr>
                <w:rFonts w:ascii="Cambria" w:eastAsia="Cambria" w:hAnsi="Cambria" w:cs="Cambria"/>
                <w:sz w:val="20"/>
                <w:szCs w:val="20"/>
                <w:u w:color="000000"/>
                <w:lang w:eastAsia="es-ES"/>
              </w:rPr>
              <w:t>,</w:t>
            </w:r>
            <w:r w:rsidRPr="00615A60">
              <w:rPr>
                <w:rFonts w:ascii="Cambria" w:hAnsi="Cambria"/>
                <w:bCs/>
                <w:sz w:val="20"/>
                <w:szCs w:val="20"/>
              </w:rPr>
              <w:t xml:space="preserve"> Eri</w:t>
            </w:r>
            <w:r w:rsidR="00F21B2A">
              <w:rPr>
                <w:rFonts w:ascii="Cambria" w:hAnsi="Cambria"/>
                <w:bCs/>
                <w:sz w:val="20"/>
                <w:szCs w:val="20"/>
              </w:rPr>
              <w:t>s</w:t>
            </w:r>
            <w:r w:rsidRPr="00615A60">
              <w:rPr>
                <w:rFonts w:ascii="Cambria" w:hAnsi="Cambria"/>
                <w:bCs/>
                <w:sz w:val="20"/>
                <w:szCs w:val="20"/>
              </w:rPr>
              <w:t xml:space="preserve"> </w:t>
            </w:r>
            <w:r w:rsidR="00615A60">
              <w:rPr>
                <w:rFonts w:ascii="Cambria" w:hAnsi="Cambria"/>
                <w:bCs/>
                <w:sz w:val="20"/>
                <w:szCs w:val="20"/>
              </w:rPr>
              <w:t xml:space="preserve">Arturo </w:t>
            </w:r>
            <w:r w:rsidRPr="00615A60">
              <w:rPr>
                <w:rFonts w:ascii="Cambria" w:hAnsi="Cambria"/>
                <w:bCs/>
                <w:sz w:val="20"/>
                <w:szCs w:val="20"/>
              </w:rPr>
              <w:t xml:space="preserve">Camayo Gueitio, </w:t>
            </w:r>
            <w:r w:rsidR="00615A60" w:rsidRPr="00F02C09">
              <w:rPr>
                <w:rFonts w:ascii="Cambria" w:eastAsia="Cambria" w:hAnsi="Cambria" w:cs="Cambria"/>
                <w:sz w:val="20"/>
                <w:szCs w:val="20"/>
                <w:u w:color="000000"/>
                <w:lang w:eastAsia="es-ES"/>
              </w:rPr>
              <w:t>Dagoberto Velasco Chaguendo</w:t>
            </w:r>
            <w:r w:rsidRPr="00615A60">
              <w:rPr>
                <w:rFonts w:ascii="Cambria" w:hAnsi="Cambria"/>
                <w:bCs/>
                <w:sz w:val="20"/>
                <w:szCs w:val="20"/>
              </w:rPr>
              <w:t>,</w:t>
            </w:r>
            <w:r w:rsidR="00615A60" w:rsidRPr="00615A60">
              <w:rPr>
                <w:rFonts w:ascii="Cambria" w:hAnsi="Cambria"/>
                <w:bCs/>
                <w:sz w:val="20"/>
                <w:szCs w:val="20"/>
              </w:rPr>
              <w:t xml:space="preserve"> </w:t>
            </w:r>
            <w:r w:rsidR="00615A60" w:rsidRPr="00F02C09">
              <w:rPr>
                <w:rFonts w:ascii="Cambria" w:eastAsia="Cambria" w:hAnsi="Cambria" w:cs="Cambria"/>
                <w:sz w:val="20"/>
                <w:szCs w:val="20"/>
                <w:u w:color="000000"/>
                <w:lang w:eastAsia="es-ES"/>
              </w:rPr>
              <w:t>Silvio Velasco</w:t>
            </w:r>
            <w:r w:rsidR="00615A60" w:rsidRPr="00615A60">
              <w:rPr>
                <w:rFonts w:ascii="Cambria" w:eastAsia="Cambria" w:hAnsi="Cambria" w:cs="Cambria"/>
                <w:sz w:val="20"/>
                <w:szCs w:val="20"/>
                <w:u w:color="000000"/>
                <w:lang w:eastAsia="es-ES"/>
              </w:rPr>
              <w:t>,</w:t>
            </w:r>
            <w:r w:rsidRPr="00615A60">
              <w:rPr>
                <w:rFonts w:ascii="Cambria" w:hAnsi="Cambria"/>
                <w:bCs/>
                <w:sz w:val="20"/>
                <w:szCs w:val="20"/>
              </w:rPr>
              <w:t xml:space="preserve"> Diego Arnulfo Camayo Gueitio</w:t>
            </w:r>
            <w:r w:rsidR="00615A60">
              <w:rPr>
                <w:rFonts w:ascii="Cambria" w:hAnsi="Cambria"/>
                <w:bCs/>
                <w:sz w:val="20"/>
                <w:szCs w:val="20"/>
              </w:rPr>
              <w:t>, Bernardo Valencia</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Estado denunciado:</w:t>
            </w:r>
          </w:p>
        </w:tc>
        <w:tc>
          <w:tcPr>
            <w:tcW w:w="5760" w:type="dxa"/>
            <w:vAlign w:val="center"/>
          </w:tcPr>
          <w:p w14:paraId="5D0EC05D" w14:textId="6E3E6556" w:rsidR="003239B8" w:rsidRPr="0091191E" w:rsidRDefault="00E2321A" w:rsidP="008D2290">
            <w:pPr>
              <w:jc w:val="both"/>
              <w:rPr>
                <w:rFonts w:ascii="Cambria" w:hAnsi="Cambria"/>
                <w:bCs/>
                <w:sz w:val="20"/>
                <w:szCs w:val="20"/>
              </w:rPr>
            </w:pPr>
            <w:r w:rsidRPr="0091191E">
              <w:rPr>
                <w:rFonts w:ascii="Cambria" w:hAnsi="Cambria"/>
                <w:bCs/>
                <w:sz w:val="20"/>
                <w:szCs w:val="20"/>
              </w:rPr>
              <w:t>Colombia</w:t>
            </w:r>
            <w:r w:rsidR="004A6A54" w:rsidRPr="0091191E">
              <w:rPr>
                <w:rStyle w:val="FootnoteReference"/>
                <w:rFonts w:ascii="Cambria" w:hAnsi="Cambria"/>
                <w:bCs/>
                <w:sz w:val="20"/>
                <w:szCs w:val="20"/>
              </w:rPr>
              <w:footnoteReference w:id="2"/>
            </w:r>
          </w:p>
        </w:tc>
      </w:tr>
      <w:tr w:rsidR="00223A29" w:rsidRPr="007F4A4A"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91191E" w:rsidRDefault="001B3A00" w:rsidP="00E4118C">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 xml:space="preserve">Derechos </w:t>
            </w:r>
            <w:r w:rsidR="00E4118C" w:rsidRPr="0091191E">
              <w:rPr>
                <w:rFonts w:ascii="Cambria" w:hAnsi="Cambria"/>
                <w:b/>
                <w:bCs/>
                <w:color w:val="FFFFFF" w:themeColor="background1"/>
                <w:sz w:val="20"/>
                <w:szCs w:val="20"/>
              </w:rPr>
              <w:t>invocados</w:t>
            </w:r>
            <w:r w:rsidRPr="0091191E">
              <w:rPr>
                <w:rFonts w:ascii="Cambria" w:hAnsi="Cambria"/>
                <w:b/>
                <w:bCs/>
                <w:color w:val="FFFFFF" w:themeColor="background1"/>
                <w:sz w:val="20"/>
                <w:szCs w:val="20"/>
              </w:rPr>
              <w:t>:</w:t>
            </w:r>
          </w:p>
        </w:tc>
        <w:tc>
          <w:tcPr>
            <w:tcW w:w="5760" w:type="dxa"/>
            <w:vAlign w:val="center"/>
          </w:tcPr>
          <w:p w14:paraId="52B28392" w14:textId="360A0262" w:rsidR="00223A29" w:rsidRPr="0091191E" w:rsidRDefault="00E153B0" w:rsidP="00C766C2">
            <w:pPr>
              <w:jc w:val="both"/>
              <w:rPr>
                <w:rFonts w:ascii="Cambria" w:hAnsi="Cambria"/>
                <w:bCs/>
                <w:sz w:val="20"/>
                <w:szCs w:val="20"/>
                <w:lang w:val="es-ES"/>
              </w:rPr>
            </w:pPr>
            <w:r w:rsidRPr="00E153B0">
              <w:rPr>
                <w:rFonts w:ascii="Cambria" w:hAnsi="Cambria"/>
                <w:bCs/>
                <w:sz w:val="20"/>
                <w:szCs w:val="20"/>
                <w:lang w:val="es-ES" w:bidi="es-ES"/>
              </w:rPr>
              <w:t>A</w:t>
            </w:r>
            <w:r w:rsidR="00A34797" w:rsidRPr="0091191E">
              <w:rPr>
                <w:rFonts w:ascii="Cambria" w:hAnsi="Cambria"/>
                <w:bCs/>
                <w:sz w:val="20"/>
                <w:szCs w:val="20"/>
                <w:lang w:val="es-ES" w:bidi="es-ES"/>
              </w:rPr>
              <w:t>rtículos 4 (vida)</w:t>
            </w:r>
            <w:r w:rsidR="00614A9D" w:rsidRPr="0091191E">
              <w:rPr>
                <w:rFonts w:ascii="Cambria" w:hAnsi="Cambria"/>
                <w:bCs/>
                <w:sz w:val="20"/>
                <w:szCs w:val="20"/>
                <w:lang w:val="es-ES" w:bidi="es-ES"/>
              </w:rPr>
              <w:t>,</w:t>
            </w:r>
            <w:r w:rsidR="00C766C2">
              <w:rPr>
                <w:rFonts w:ascii="Cambria" w:hAnsi="Cambria"/>
                <w:bCs/>
                <w:sz w:val="20"/>
                <w:szCs w:val="20"/>
                <w:lang w:val="es-ES" w:bidi="es-ES"/>
              </w:rPr>
              <w:t xml:space="preserve"> 5 (integridad personal),</w:t>
            </w:r>
            <w:r w:rsidR="00614A9D" w:rsidRPr="0091191E">
              <w:rPr>
                <w:rFonts w:ascii="Cambria" w:hAnsi="Cambria"/>
                <w:bCs/>
                <w:sz w:val="20"/>
                <w:szCs w:val="20"/>
                <w:lang w:val="es-ES" w:bidi="es-ES"/>
              </w:rPr>
              <w:t xml:space="preserve"> 8 (garantías judiciales) y 25</w:t>
            </w:r>
            <w:r w:rsidR="00C64E07" w:rsidRPr="0091191E">
              <w:rPr>
                <w:rFonts w:ascii="Cambria" w:hAnsi="Cambria"/>
                <w:bCs/>
                <w:sz w:val="20"/>
                <w:szCs w:val="20"/>
                <w:lang w:val="es-ES" w:bidi="es-ES"/>
              </w:rPr>
              <w:t xml:space="preserve"> (protección judicial)</w:t>
            </w:r>
            <w:r w:rsidR="00614A9D" w:rsidRPr="0091191E">
              <w:rPr>
                <w:rFonts w:ascii="Cambria" w:hAnsi="Cambria"/>
                <w:bCs/>
                <w:sz w:val="20"/>
                <w:szCs w:val="20"/>
                <w:lang w:val="es-ES" w:bidi="es-ES"/>
              </w:rPr>
              <w:t xml:space="preserve"> </w:t>
            </w:r>
            <w:r w:rsidR="00A34797" w:rsidRPr="0091191E">
              <w:rPr>
                <w:rFonts w:ascii="Cambria" w:hAnsi="Cambria"/>
                <w:bCs/>
                <w:sz w:val="20"/>
                <w:szCs w:val="20"/>
                <w:lang w:val="es-ES" w:bidi="es-ES"/>
              </w:rPr>
              <w:t>de la Convención Americana sobre Derechos Humanos</w:t>
            </w:r>
            <w:r>
              <w:rPr>
                <w:rStyle w:val="FootnoteReference"/>
                <w:rFonts w:ascii="Cambria" w:hAnsi="Cambria"/>
                <w:bCs/>
                <w:sz w:val="20"/>
                <w:szCs w:val="20"/>
                <w:lang w:val="es-ES" w:bidi="es-ES"/>
              </w:rPr>
              <w:footnoteReference w:id="3"/>
            </w:r>
            <w:r w:rsidR="00C64E07" w:rsidRPr="0091191E">
              <w:rPr>
                <w:rFonts w:ascii="Cambria" w:hAnsi="Cambria"/>
                <w:bCs/>
                <w:sz w:val="20"/>
                <w:szCs w:val="20"/>
                <w:lang w:val="es-ES" w:bidi="es-ES"/>
              </w:rPr>
              <w:t>, en relación con su artículo 1.1</w:t>
            </w:r>
            <w:r w:rsidR="004F391C">
              <w:rPr>
                <w:rFonts w:ascii="Cambria" w:hAnsi="Cambria"/>
                <w:bCs/>
                <w:sz w:val="20"/>
                <w:szCs w:val="20"/>
                <w:lang w:val="es-ES" w:bidi="es-ES"/>
              </w:rPr>
              <w:t xml:space="preserve">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8518F"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98518F" w:rsidRPr="0091191E" w:rsidRDefault="0098518F" w:rsidP="0098518F">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Presentación de la petición:</w:t>
            </w:r>
          </w:p>
        </w:tc>
        <w:tc>
          <w:tcPr>
            <w:tcW w:w="5760" w:type="dxa"/>
            <w:vAlign w:val="center"/>
          </w:tcPr>
          <w:p w14:paraId="6883A5F8" w14:textId="7F687D69" w:rsidR="0098518F" w:rsidRPr="0091191E" w:rsidRDefault="0098518F" w:rsidP="0098518F">
            <w:pPr>
              <w:jc w:val="both"/>
              <w:rPr>
                <w:rFonts w:ascii="Cambria" w:hAnsi="Cambria"/>
                <w:bCs/>
                <w:sz w:val="20"/>
                <w:szCs w:val="20"/>
                <w:lang w:val="es-ES"/>
              </w:rPr>
            </w:pPr>
            <w:r>
              <w:rPr>
                <w:rFonts w:ascii="Cambria" w:hAnsi="Cambria"/>
                <w:bCs/>
                <w:sz w:val="20"/>
                <w:szCs w:val="20"/>
                <w:lang w:val="es-ES"/>
              </w:rPr>
              <w:t>29 de marzo de 2011</w:t>
            </w:r>
          </w:p>
        </w:tc>
      </w:tr>
      <w:tr w:rsidR="0098518F" w:rsidRPr="0098518F" w14:paraId="0B60A10D" w14:textId="77777777" w:rsidTr="004A6A54">
        <w:tc>
          <w:tcPr>
            <w:tcW w:w="3600" w:type="dxa"/>
            <w:tcBorders>
              <w:top w:val="single" w:sz="6" w:space="0" w:color="auto"/>
              <w:bottom w:val="single" w:sz="6" w:space="0" w:color="auto"/>
            </w:tcBorders>
            <w:shd w:val="clear" w:color="auto" w:fill="386294"/>
            <w:vAlign w:val="center"/>
          </w:tcPr>
          <w:p w14:paraId="76E33519" w14:textId="61F14A3A" w:rsidR="0098518F" w:rsidRPr="0091191E" w:rsidRDefault="0098518F" w:rsidP="0098518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en la etapa de estudio:</w:t>
            </w:r>
          </w:p>
        </w:tc>
        <w:tc>
          <w:tcPr>
            <w:tcW w:w="5760" w:type="dxa"/>
            <w:vAlign w:val="center"/>
          </w:tcPr>
          <w:p w14:paraId="0578EE75" w14:textId="5CE8B291" w:rsidR="0098518F" w:rsidRDefault="0098518F" w:rsidP="0098518F">
            <w:pPr>
              <w:jc w:val="both"/>
              <w:rPr>
                <w:rFonts w:ascii="Cambria" w:hAnsi="Cambria"/>
                <w:bCs/>
                <w:sz w:val="20"/>
                <w:szCs w:val="20"/>
                <w:lang w:val="es-ES"/>
              </w:rPr>
            </w:pPr>
            <w:r>
              <w:rPr>
                <w:rFonts w:ascii="Cambria" w:hAnsi="Cambria"/>
                <w:bCs/>
                <w:sz w:val="20"/>
                <w:szCs w:val="20"/>
                <w:lang w:val="es-ES"/>
              </w:rPr>
              <w:t>15 de marzo de 2018</w:t>
            </w:r>
          </w:p>
        </w:tc>
      </w:tr>
      <w:tr w:rsidR="0098518F" w:rsidRPr="0098518F"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98518F" w:rsidRPr="0091191E" w:rsidRDefault="0098518F" w:rsidP="0098518F">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Notificación de la petición al Estado:</w:t>
            </w:r>
          </w:p>
        </w:tc>
        <w:tc>
          <w:tcPr>
            <w:tcW w:w="5760" w:type="dxa"/>
            <w:vAlign w:val="center"/>
          </w:tcPr>
          <w:p w14:paraId="58485921" w14:textId="773D5E6B" w:rsidR="0098518F" w:rsidRPr="0091191E" w:rsidRDefault="0098518F" w:rsidP="0098518F">
            <w:pPr>
              <w:jc w:val="both"/>
              <w:rPr>
                <w:rFonts w:ascii="Cambria" w:hAnsi="Cambria"/>
                <w:bCs/>
                <w:sz w:val="20"/>
                <w:szCs w:val="20"/>
                <w:lang w:val="es-ES"/>
              </w:rPr>
            </w:pPr>
            <w:r>
              <w:rPr>
                <w:rFonts w:ascii="Cambria" w:hAnsi="Cambria"/>
                <w:bCs/>
                <w:sz w:val="20"/>
                <w:szCs w:val="20"/>
                <w:lang w:val="es-ES"/>
              </w:rPr>
              <w:t>3 de agosto de 2018</w:t>
            </w:r>
          </w:p>
        </w:tc>
      </w:tr>
      <w:tr w:rsidR="0098518F" w:rsidRPr="00F7531D" w14:paraId="67B8C608" w14:textId="77777777" w:rsidTr="004A6A54">
        <w:tc>
          <w:tcPr>
            <w:tcW w:w="3600" w:type="dxa"/>
            <w:tcBorders>
              <w:top w:val="single" w:sz="6" w:space="0" w:color="auto"/>
              <w:bottom w:val="single" w:sz="6" w:space="0" w:color="auto"/>
            </w:tcBorders>
            <w:shd w:val="clear" w:color="auto" w:fill="386294"/>
            <w:vAlign w:val="center"/>
          </w:tcPr>
          <w:p w14:paraId="29E601A1" w14:textId="59148EF6" w:rsidR="0098518F" w:rsidRPr="0091191E" w:rsidRDefault="0098518F" w:rsidP="0098518F">
            <w:pPr>
              <w:jc w:val="center"/>
              <w:rPr>
                <w:rFonts w:ascii="Cambria" w:hAnsi="Cambria"/>
                <w:b/>
                <w:color w:val="FFFFFF" w:themeColor="background1"/>
                <w:sz w:val="20"/>
                <w:szCs w:val="20"/>
                <w:lang w:val="es-ES"/>
              </w:rPr>
            </w:pPr>
            <w:r w:rsidRPr="0091191E">
              <w:rPr>
                <w:rFonts w:ascii="Cambria" w:hAnsi="Cambria"/>
                <w:b/>
                <w:color w:val="FFFFFF" w:themeColor="background1"/>
                <w:sz w:val="20"/>
                <w:szCs w:val="20"/>
                <w:lang w:val="es-ES"/>
              </w:rPr>
              <w:t>Solicitud de prórroga:</w:t>
            </w:r>
          </w:p>
        </w:tc>
        <w:tc>
          <w:tcPr>
            <w:tcW w:w="5760" w:type="dxa"/>
            <w:vAlign w:val="center"/>
          </w:tcPr>
          <w:p w14:paraId="77D955AD" w14:textId="6C15FDF8" w:rsidR="0098518F" w:rsidRPr="0091191E" w:rsidRDefault="0098518F" w:rsidP="0098518F">
            <w:pPr>
              <w:jc w:val="both"/>
              <w:rPr>
                <w:rFonts w:ascii="Cambria" w:hAnsi="Cambria"/>
                <w:bCs/>
                <w:sz w:val="20"/>
                <w:szCs w:val="20"/>
                <w:lang w:val="es-ES"/>
              </w:rPr>
            </w:pPr>
            <w:r>
              <w:rPr>
                <w:rFonts w:ascii="Cambria" w:hAnsi="Cambria"/>
                <w:bCs/>
                <w:sz w:val="20"/>
                <w:szCs w:val="20"/>
                <w:lang w:val="es-ES"/>
              </w:rPr>
              <w:t>16 de noviembre de 2018</w:t>
            </w:r>
          </w:p>
        </w:tc>
      </w:tr>
      <w:tr w:rsidR="0098518F"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98518F" w:rsidRPr="0091191E" w:rsidRDefault="0098518F" w:rsidP="0098518F">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Primera respuesta del Estado:</w:t>
            </w:r>
          </w:p>
        </w:tc>
        <w:tc>
          <w:tcPr>
            <w:tcW w:w="5760" w:type="dxa"/>
            <w:vAlign w:val="center"/>
          </w:tcPr>
          <w:p w14:paraId="6B47064C" w14:textId="5F84DDE2" w:rsidR="0098518F" w:rsidRPr="0091191E" w:rsidRDefault="0098518F" w:rsidP="0098518F">
            <w:pPr>
              <w:jc w:val="both"/>
              <w:rPr>
                <w:rFonts w:ascii="Cambria" w:hAnsi="Cambria"/>
                <w:bCs/>
                <w:sz w:val="20"/>
                <w:szCs w:val="20"/>
                <w:lang w:val="es-ES"/>
              </w:rPr>
            </w:pPr>
            <w:r>
              <w:rPr>
                <w:rFonts w:ascii="Cambria" w:hAnsi="Cambria"/>
                <w:bCs/>
                <w:sz w:val="20"/>
                <w:szCs w:val="20"/>
                <w:lang w:val="es-ES"/>
              </w:rPr>
              <w:t>21 de mayo de 2019</w:t>
            </w:r>
          </w:p>
        </w:tc>
      </w:tr>
      <w:tr w:rsidR="0098518F" w:rsidRPr="001D21C7"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98518F" w:rsidRPr="0091191E" w:rsidRDefault="0098518F" w:rsidP="0098518F">
            <w:pPr>
              <w:jc w:val="center"/>
              <w:rPr>
                <w:rFonts w:ascii="Cambria" w:hAnsi="Cambria"/>
                <w:b/>
                <w:color w:val="FFFFFF" w:themeColor="background1"/>
                <w:sz w:val="20"/>
                <w:szCs w:val="20"/>
                <w:lang w:val="es-ES"/>
              </w:rPr>
            </w:pPr>
            <w:r w:rsidRPr="0091191E">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13132366" w:rsidR="0098518F" w:rsidRPr="0091191E" w:rsidRDefault="0098518F" w:rsidP="0098518F">
            <w:pPr>
              <w:jc w:val="both"/>
              <w:rPr>
                <w:rFonts w:ascii="Cambria" w:hAnsi="Cambria"/>
                <w:bCs/>
                <w:sz w:val="20"/>
                <w:szCs w:val="20"/>
                <w:lang w:val="es-ES"/>
              </w:rPr>
            </w:pPr>
            <w:r>
              <w:rPr>
                <w:rFonts w:ascii="Cambria" w:hAnsi="Cambria"/>
                <w:bCs/>
                <w:sz w:val="20"/>
                <w:szCs w:val="20"/>
                <w:lang w:val="es-ES"/>
              </w:rPr>
              <w:t>18 de marzo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1A2B21">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54503A4F" w14:textId="77777777" w:rsidTr="001A2B21">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loci</w:t>
            </w:r>
            <w:r w:rsidRPr="0091191E">
              <w:rPr>
                <w:rFonts w:ascii="Cambria" w:hAnsi="Cambria"/>
                <w:b/>
                <w:bCs/>
                <w:color w:val="FFFFFF" w:themeColor="background1"/>
                <w:sz w:val="20"/>
                <w:szCs w:val="20"/>
              </w:rPr>
              <w:t>:</w:t>
            </w:r>
          </w:p>
        </w:tc>
        <w:tc>
          <w:tcPr>
            <w:tcW w:w="5776" w:type="dxa"/>
            <w:vAlign w:val="center"/>
          </w:tcPr>
          <w:p w14:paraId="77C8256A" w14:textId="5E819D9D"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6618D96A" w14:textId="77777777" w:rsidTr="001A2B21">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temporis</w:t>
            </w:r>
            <w:r w:rsidRPr="0091191E">
              <w:rPr>
                <w:rFonts w:ascii="Cambria" w:hAnsi="Cambria"/>
                <w:b/>
                <w:bCs/>
                <w:color w:val="FFFFFF" w:themeColor="background1"/>
                <w:sz w:val="20"/>
                <w:szCs w:val="20"/>
              </w:rPr>
              <w:t>:</w:t>
            </w:r>
          </w:p>
        </w:tc>
        <w:tc>
          <w:tcPr>
            <w:tcW w:w="5776" w:type="dxa"/>
            <w:vAlign w:val="center"/>
          </w:tcPr>
          <w:p w14:paraId="523F6BD6" w14:textId="69B6757A"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7F4A4A" w14:paraId="34C2A0A9" w14:textId="77777777" w:rsidTr="001A2B21">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materia</w:t>
            </w:r>
            <w:r w:rsidR="00EE00E9" w:rsidRPr="0091191E">
              <w:rPr>
                <w:rFonts w:ascii="Cambria" w:hAnsi="Cambria"/>
                <w:b/>
                <w:bCs/>
                <w:i/>
                <w:color w:val="FFFFFF" w:themeColor="background1"/>
                <w:sz w:val="20"/>
                <w:szCs w:val="20"/>
              </w:rPr>
              <w:t>e</w:t>
            </w:r>
            <w:r w:rsidRPr="0091191E">
              <w:rPr>
                <w:rFonts w:ascii="Cambria" w:hAnsi="Cambria"/>
                <w:b/>
                <w:bCs/>
                <w:color w:val="FFFFFF" w:themeColor="background1"/>
                <w:sz w:val="20"/>
                <w:szCs w:val="20"/>
              </w:rPr>
              <w:t>:</w:t>
            </w:r>
          </w:p>
        </w:tc>
        <w:tc>
          <w:tcPr>
            <w:tcW w:w="5776" w:type="dxa"/>
            <w:vAlign w:val="center"/>
          </w:tcPr>
          <w:p w14:paraId="257C8337" w14:textId="5EB2AD71" w:rsidR="003239B8" w:rsidRPr="0091191E" w:rsidRDefault="00A004BB" w:rsidP="008D2290">
            <w:pPr>
              <w:jc w:val="both"/>
              <w:rPr>
                <w:rFonts w:ascii="Cambria" w:hAnsi="Cambria"/>
                <w:bCs/>
                <w:sz w:val="20"/>
                <w:szCs w:val="20"/>
                <w:lang w:val="es-ES"/>
              </w:rPr>
            </w:pPr>
            <w:r w:rsidRPr="0091191E">
              <w:rPr>
                <w:rFonts w:ascii="Cambria" w:hAnsi="Cambria"/>
                <w:bCs/>
                <w:sz w:val="20"/>
                <w:szCs w:val="20"/>
                <w:lang w:val="es-ES" w:bidi="es-ES"/>
              </w:rPr>
              <w:t xml:space="preserve">Sí, </w:t>
            </w:r>
            <w:r w:rsidRPr="00AD2609">
              <w:rPr>
                <w:rFonts w:ascii="Cambria" w:hAnsi="Cambria"/>
                <w:bCs/>
                <w:sz w:val="20"/>
                <w:szCs w:val="20"/>
                <w:lang w:val="es-ES" w:bidi="es-ES"/>
              </w:rPr>
              <w:t>Convención Americana (depósito de instrumento realizado el 31 de julio de 1973)</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3E51E9" w14:paraId="161C8568" w14:textId="77777777" w:rsidTr="001A2B21">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91191E" w:rsidRDefault="00EE00E9"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Duplicación de procedimientos y cosa juzgada internacional:</w:t>
            </w:r>
          </w:p>
        </w:tc>
        <w:tc>
          <w:tcPr>
            <w:tcW w:w="5772" w:type="dxa"/>
            <w:vAlign w:val="center"/>
          </w:tcPr>
          <w:p w14:paraId="764D7F60" w14:textId="003B40D1" w:rsidR="00EE00E9" w:rsidRPr="0091191E" w:rsidRDefault="00A004BB" w:rsidP="008D2290">
            <w:pPr>
              <w:jc w:val="both"/>
              <w:rPr>
                <w:rFonts w:ascii="Cambria" w:hAnsi="Cambria"/>
                <w:bCs/>
                <w:sz w:val="20"/>
                <w:szCs w:val="20"/>
                <w:lang w:val="es-ES"/>
              </w:rPr>
            </w:pPr>
            <w:r w:rsidRPr="0091191E">
              <w:rPr>
                <w:rFonts w:ascii="Cambria" w:hAnsi="Cambria"/>
                <w:bCs/>
                <w:sz w:val="20"/>
                <w:szCs w:val="20"/>
                <w:lang w:val="es-ES"/>
              </w:rPr>
              <w:t>No</w:t>
            </w:r>
          </w:p>
        </w:tc>
      </w:tr>
      <w:tr w:rsidR="003239B8" w:rsidRPr="007F4A4A" w14:paraId="3ED57BF3" w14:textId="77777777" w:rsidTr="001A2B21">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Derechos declarados admisibles</w:t>
            </w:r>
            <w:r w:rsidRPr="0091191E">
              <w:rPr>
                <w:rFonts w:ascii="Cambria" w:hAnsi="Cambria"/>
                <w:b/>
                <w:bCs/>
                <w:i/>
                <w:color w:val="FFFFFF" w:themeColor="background1"/>
                <w:sz w:val="20"/>
                <w:szCs w:val="20"/>
              </w:rPr>
              <w:t>:</w:t>
            </w:r>
          </w:p>
        </w:tc>
        <w:tc>
          <w:tcPr>
            <w:tcW w:w="5772" w:type="dxa"/>
            <w:vAlign w:val="center"/>
          </w:tcPr>
          <w:p w14:paraId="4DAE9D4D" w14:textId="678A6CC9" w:rsidR="003239B8" w:rsidRPr="0091191E" w:rsidRDefault="0091191E" w:rsidP="008D2290">
            <w:pPr>
              <w:jc w:val="both"/>
              <w:rPr>
                <w:rFonts w:ascii="Cambria" w:hAnsi="Cambria"/>
                <w:bCs/>
                <w:sz w:val="20"/>
                <w:szCs w:val="20"/>
                <w:lang w:val="es-ES" w:bidi="es-ES"/>
              </w:rPr>
            </w:pPr>
            <w:r w:rsidRPr="00AD2609">
              <w:rPr>
                <w:rFonts w:ascii="Cambria" w:hAnsi="Cambria"/>
                <w:bCs/>
                <w:sz w:val="20"/>
                <w:szCs w:val="20"/>
                <w:lang w:val="es-ES" w:bidi="es-ES"/>
              </w:rPr>
              <w:t xml:space="preserve">Artículos 4 (vida), </w:t>
            </w:r>
            <w:r w:rsidR="00B70730" w:rsidRPr="00B70730">
              <w:rPr>
                <w:rFonts w:ascii="Cambria" w:hAnsi="Cambria"/>
                <w:bCs/>
                <w:sz w:val="20"/>
                <w:szCs w:val="20"/>
                <w:lang w:val="es-ES" w:bidi="es-ES"/>
              </w:rPr>
              <w:t>5 (integridad personal),</w:t>
            </w:r>
            <w:r w:rsidR="00E021FA">
              <w:rPr>
                <w:rFonts w:ascii="Cambria" w:hAnsi="Cambria"/>
                <w:bCs/>
                <w:sz w:val="20"/>
                <w:szCs w:val="20"/>
                <w:lang w:val="es-ES" w:bidi="es-ES"/>
              </w:rPr>
              <w:t xml:space="preserve"> 7 (libertad personal),</w:t>
            </w:r>
            <w:r w:rsidR="00B70730" w:rsidRPr="00B70730">
              <w:rPr>
                <w:rFonts w:ascii="Cambria" w:hAnsi="Cambria"/>
                <w:bCs/>
                <w:sz w:val="20"/>
                <w:szCs w:val="20"/>
                <w:lang w:val="es-ES" w:bidi="es-ES"/>
              </w:rPr>
              <w:t xml:space="preserve"> </w:t>
            </w:r>
            <w:r w:rsidRPr="00AD2609">
              <w:rPr>
                <w:rFonts w:ascii="Cambria" w:hAnsi="Cambria"/>
                <w:bCs/>
                <w:sz w:val="20"/>
                <w:szCs w:val="20"/>
                <w:lang w:val="es-ES" w:bidi="es-ES"/>
              </w:rPr>
              <w:t>8 (garantías judiciales)</w:t>
            </w:r>
            <w:r w:rsidRPr="00944C3A">
              <w:rPr>
                <w:rFonts w:ascii="Cambria" w:hAnsi="Cambria"/>
                <w:bCs/>
                <w:sz w:val="20"/>
                <w:szCs w:val="20"/>
                <w:lang w:val="es-ES" w:bidi="es-ES"/>
              </w:rPr>
              <w:t xml:space="preserve"> y 25 (protección judicial) de la Convención Americana, en relación con su artículo 1.1</w:t>
            </w:r>
            <w:r w:rsidR="004F391C">
              <w:rPr>
                <w:rFonts w:ascii="Cambria" w:hAnsi="Cambria"/>
                <w:bCs/>
                <w:sz w:val="20"/>
                <w:szCs w:val="20"/>
                <w:lang w:val="es-ES" w:bidi="es-ES"/>
              </w:rPr>
              <w:t xml:space="preserve"> (obligación de respetar los derechos)</w:t>
            </w:r>
          </w:p>
        </w:tc>
      </w:tr>
      <w:tr w:rsidR="003239B8" w:rsidRPr="007F4A4A" w14:paraId="5702249F" w14:textId="77777777" w:rsidTr="001A2B21">
        <w:trPr>
          <w:cantSplit/>
        </w:trPr>
        <w:tc>
          <w:tcPr>
            <w:tcW w:w="3565" w:type="dxa"/>
            <w:tcBorders>
              <w:top w:val="single" w:sz="6" w:space="0" w:color="auto"/>
              <w:bottom w:val="single" w:sz="6" w:space="0" w:color="auto"/>
            </w:tcBorders>
            <w:shd w:val="clear" w:color="auto" w:fill="386294"/>
            <w:vAlign w:val="center"/>
          </w:tcPr>
          <w:p w14:paraId="1F00DF1D" w14:textId="77777777" w:rsidR="003239B8" w:rsidRPr="0091191E" w:rsidRDefault="003239B8"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Agotamiento de recursos internos</w:t>
            </w:r>
            <w:r w:rsidR="00EE00E9" w:rsidRPr="0091191E">
              <w:rPr>
                <w:rFonts w:ascii="Cambria" w:hAnsi="Cambria"/>
                <w:b/>
                <w:bCs/>
                <w:color w:val="FFFFFF" w:themeColor="background1"/>
                <w:sz w:val="20"/>
                <w:szCs w:val="20"/>
                <w:lang w:val="es-ES"/>
              </w:rPr>
              <w:t xml:space="preserve"> o procedencia de una excepción</w:t>
            </w:r>
            <w:r w:rsidRPr="0091191E">
              <w:rPr>
                <w:rFonts w:ascii="Cambria" w:hAnsi="Cambria"/>
                <w:b/>
                <w:bCs/>
                <w:color w:val="FFFFFF" w:themeColor="background1"/>
                <w:sz w:val="20"/>
                <w:szCs w:val="20"/>
                <w:lang w:val="es-ES"/>
              </w:rPr>
              <w:t>:</w:t>
            </w:r>
          </w:p>
        </w:tc>
        <w:tc>
          <w:tcPr>
            <w:tcW w:w="5772" w:type="dxa"/>
            <w:vAlign w:val="center"/>
          </w:tcPr>
          <w:p w14:paraId="7F7C1A19" w14:textId="6CA6DC79"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 xml:space="preserve">Sí, </w:t>
            </w:r>
            <w:r w:rsidR="0091191E" w:rsidRPr="0091191E">
              <w:rPr>
                <w:rFonts w:ascii="Cambria" w:hAnsi="Cambria"/>
                <w:bCs/>
                <w:sz w:val="20"/>
                <w:szCs w:val="20"/>
                <w:lang w:val="es-ES" w:bidi="es-ES"/>
              </w:rPr>
              <w:t>aplica la excepción del Artículo 46.2</w:t>
            </w:r>
            <w:r w:rsidR="004F391C">
              <w:rPr>
                <w:rFonts w:ascii="Cambria" w:hAnsi="Cambria"/>
                <w:bCs/>
                <w:sz w:val="20"/>
                <w:szCs w:val="20"/>
                <w:lang w:val="es-ES" w:bidi="es-ES"/>
              </w:rPr>
              <w:t>.</w:t>
            </w:r>
            <w:r w:rsidR="0091191E" w:rsidRPr="0091191E">
              <w:rPr>
                <w:rFonts w:ascii="Cambria" w:hAnsi="Cambria"/>
                <w:bCs/>
                <w:sz w:val="20"/>
                <w:szCs w:val="20"/>
                <w:lang w:val="es-ES" w:bidi="es-ES"/>
              </w:rPr>
              <w:t>c) de la Convención Americana</w:t>
            </w:r>
          </w:p>
        </w:tc>
      </w:tr>
      <w:tr w:rsidR="003239B8" w:rsidRPr="007F4A4A" w14:paraId="7A101B89" w14:textId="77777777" w:rsidTr="001A2B21">
        <w:trPr>
          <w:cantSplit/>
        </w:trPr>
        <w:tc>
          <w:tcPr>
            <w:tcW w:w="3565" w:type="dxa"/>
            <w:tcBorders>
              <w:top w:val="single" w:sz="6" w:space="0" w:color="auto"/>
              <w:bottom w:val="single" w:sz="6" w:space="0" w:color="auto"/>
            </w:tcBorders>
            <w:shd w:val="clear" w:color="auto" w:fill="386294"/>
            <w:vAlign w:val="center"/>
          </w:tcPr>
          <w:p w14:paraId="0843C533"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Presentación dentro de plazo:</w:t>
            </w:r>
          </w:p>
        </w:tc>
        <w:tc>
          <w:tcPr>
            <w:tcW w:w="5772" w:type="dxa"/>
            <w:vAlign w:val="center"/>
          </w:tcPr>
          <w:p w14:paraId="2AF0FC69" w14:textId="613F26D8"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Sí, en los términos de la sección VI</w:t>
            </w:r>
          </w:p>
        </w:tc>
      </w:tr>
    </w:tbl>
    <w:p w14:paraId="18406838" w14:textId="77777777" w:rsidR="002213C3" w:rsidRDefault="002213C3" w:rsidP="003239B8">
      <w:pPr>
        <w:spacing w:before="240" w:after="240"/>
        <w:ind w:firstLine="720"/>
        <w:jc w:val="both"/>
        <w:rPr>
          <w:rFonts w:asciiTheme="majorHAnsi" w:hAnsiTheme="majorHAnsi"/>
          <w:b/>
          <w:sz w:val="20"/>
          <w:szCs w:val="20"/>
          <w:lang w:val="es-UY"/>
        </w:rPr>
      </w:pPr>
    </w:p>
    <w:p w14:paraId="56FD5D57" w14:textId="202EB630" w:rsidR="003239B8" w:rsidRDefault="00223A29" w:rsidP="00E153B0">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02ABDF56" w14:textId="69DF41B3" w:rsidR="002213C3" w:rsidRPr="002213C3" w:rsidRDefault="002213C3" w:rsidP="00E153B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419"/>
        </w:rPr>
      </w:pPr>
      <w:r w:rsidRPr="002213C3">
        <w:rPr>
          <w:i/>
          <w:iCs/>
          <w:sz w:val="20"/>
          <w:szCs w:val="20"/>
          <w:lang w:val="es-419"/>
        </w:rPr>
        <w:t>Posición de la parte peticionaria</w:t>
      </w:r>
    </w:p>
    <w:p w14:paraId="141315ED" w14:textId="259A2DA4" w:rsidR="008E2546" w:rsidRPr="002213C3" w:rsidRDefault="008E2546"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385533">
        <w:rPr>
          <w:sz w:val="20"/>
          <w:szCs w:val="20"/>
          <w:lang w:val="es-419"/>
        </w:rPr>
        <w:t xml:space="preserve">La parte </w:t>
      </w:r>
      <w:r w:rsidRPr="00077F99">
        <w:rPr>
          <w:sz w:val="20"/>
          <w:szCs w:val="20"/>
          <w:lang w:val="es-419"/>
        </w:rPr>
        <w:t>peticionaria</w:t>
      </w:r>
      <w:r w:rsidRPr="00385533">
        <w:rPr>
          <w:sz w:val="20"/>
          <w:szCs w:val="20"/>
          <w:lang w:val="es-419"/>
        </w:rPr>
        <w:t xml:space="preserve"> </w:t>
      </w:r>
      <w:r w:rsidR="00615A60">
        <w:rPr>
          <w:sz w:val="20"/>
          <w:szCs w:val="20"/>
          <w:lang w:val="es-419"/>
        </w:rPr>
        <w:t>sostiene</w:t>
      </w:r>
      <w:r w:rsidRPr="00385533">
        <w:rPr>
          <w:sz w:val="20"/>
          <w:szCs w:val="20"/>
          <w:lang w:val="es-419"/>
        </w:rPr>
        <w:t xml:space="preserve"> que el Estado de Colombia es responsable </w:t>
      </w:r>
      <w:r w:rsidRPr="005627DD">
        <w:rPr>
          <w:color w:val="auto"/>
          <w:sz w:val="20"/>
          <w:szCs w:val="20"/>
          <w:lang w:val="es-419"/>
        </w:rPr>
        <w:t xml:space="preserve">por </w:t>
      </w:r>
      <w:r w:rsidR="00615A60">
        <w:rPr>
          <w:color w:val="auto"/>
          <w:sz w:val="20"/>
          <w:szCs w:val="20"/>
          <w:lang w:val="es-419"/>
        </w:rPr>
        <w:t xml:space="preserve">la detención arbitraria, agresiones y asesinato de campesinos durante la </w:t>
      </w:r>
      <w:r w:rsidR="002213C3">
        <w:rPr>
          <w:bCs/>
          <w:sz w:val="20"/>
          <w:szCs w:val="20"/>
          <w:lang w:val="es-ES"/>
        </w:rPr>
        <w:t>Masacre de la Pedregosa</w:t>
      </w:r>
      <w:r w:rsidR="00A004BB" w:rsidRPr="005627DD">
        <w:rPr>
          <w:color w:val="auto"/>
          <w:sz w:val="20"/>
          <w:szCs w:val="20"/>
          <w:lang w:val="es-ES"/>
        </w:rPr>
        <w:t>,</w:t>
      </w:r>
      <w:r w:rsidRPr="005627DD">
        <w:rPr>
          <w:color w:val="auto"/>
          <w:sz w:val="20"/>
          <w:szCs w:val="20"/>
          <w:lang w:val="es-ES"/>
        </w:rPr>
        <w:t xml:space="preserve"> así como por la impunidad </w:t>
      </w:r>
      <w:r w:rsidR="00A004BB" w:rsidRPr="005627DD">
        <w:rPr>
          <w:color w:val="auto"/>
          <w:sz w:val="20"/>
          <w:szCs w:val="20"/>
          <w:lang w:val="es-ES"/>
        </w:rPr>
        <w:t xml:space="preserve">y falta de reparación integral </w:t>
      </w:r>
      <w:r w:rsidRPr="005627DD">
        <w:rPr>
          <w:color w:val="auto"/>
          <w:sz w:val="20"/>
          <w:szCs w:val="20"/>
          <w:lang w:val="es-ES"/>
        </w:rPr>
        <w:t>de los hechos hasta el presente</w:t>
      </w:r>
      <w:r w:rsidR="00A934E3">
        <w:rPr>
          <w:color w:val="auto"/>
          <w:sz w:val="20"/>
          <w:szCs w:val="20"/>
          <w:lang w:val="es-ES"/>
        </w:rPr>
        <w:t>, en perjuicio de sus familiares.</w:t>
      </w:r>
    </w:p>
    <w:p w14:paraId="293A92FD" w14:textId="710D195C" w:rsidR="00F02C09" w:rsidRPr="00F02C09" w:rsidRDefault="00256399"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Pr>
          <w:sz w:val="20"/>
          <w:szCs w:val="20"/>
          <w:lang w:val="es-ES"/>
        </w:rPr>
        <w:t>La parte peticionaria narra que e</w:t>
      </w:r>
      <w:r w:rsidR="00F02C09" w:rsidRPr="00F02C09">
        <w:rPr>
          <w:sz w:val="20"/>
          <w:szCs w:val="20"/>
          <w:lang w:val="es-ES"/>
        </w:rPr>
        <w:t>l 16 de noviembre de 2000 el comandante de policía del Municipio de Morales fue informado sobre la presencia de grupos paramilitares en algunas zonas aledañas al municipio, de la versión de los pobladores según la cual se dirigía al vecino municipio de Cajibío en dirección a la vereda La Pedregosa. Estos hechos fueron informados por el comandante de policía al alcalde del Municipio de Morales mediante oficio fechado, el 16 de noviembre de 2000, y radicado con el No 213.</w:t>
      </w:r>
    </w:p>
    <w:p w14:paraId="4725B3AD" w14:textId="0C9843D4" w:rsidR="00F02C09" w:rsidRPr="00F02C09" w:rsidRDefault="00F02C09" w:rsidP="00E153B0">
      <w:pPr>
        <w:pStyle w:val="ListParagraph"/>
        <w:widowControl w:val="0"/>
        <w:numPr>
          <w:ilvl w:val="0"/>
          <w:numId w:val="59"/>
        </w:numPr>
        <w:spacing w:before="240" w:after="240"/>
        <w:ind w:left="0" w:firstLine="720"/>
        <w:jc w:val="both"/>
        <w:rPr>
          <w:sz w:val="20"/>
          <w:szCs w:val="20"/>
          <w:lang w:val="es-ES"/>
        </w:rPr>
      </w:pPr>
      <w:r w:rsidRPr="00F02C09">
        <w:rPr>
          <w:sz w:val="20"/>
          <w:szCs w:val="20"/>
          <w:lang w:val="es-ES"/>
        </w:rPr>
        <w:t xml:space="preserve">El 20 de noviembre 2000, en la ciudad de Popayán, ante la delicada situación de orden público y las recurrentes masacres y homicidios selectivos acaecidos en el departamento de Cauca a partir del segundo semestre del 2000, las autoridades civiles, militares y policiales, convocaron a un consejo de seguridad para evaluar la situación de orden público en el departamento. En dicho consejo de seguridad el señor alcalde del municipio de Morales señaló con claridad sobre la presencia de grupos paramilitares en su municipio y la movilización de estos grupos criminales hacia las zonas rurales del vecino municipio de Cajibío. </w:t>
      </w:r>
    </w:p>
    <w:p w14:paraId="0C6ABD6E" w14:textId="50E38A5E" w:rsidR="00F02C09" w:rsidRPr="00F02C09" w:rsidRDefault="00F02C09" w:rsidP="00E153B0">
      <w:pPr>
        <w:pStyle w:val="ListParagraph"/>
        <w:widowControl w:val="0"/>
        <w:numPr>
          <w:ilvl w:val="0"/>
          <w:numId w:val="59"/>
        </w:numPr>
        <w:spacing w:before="240" w:after="240"/>
        <w:ind w:left="0" w:firstLine="720"/>
        <w:jc w:val="both"/>
        <w:rPr>
          <w:sz w:val="20"/>
          <w:szCs w:val="20"/>
          <w:lang w:val="es-ES"/>
        </w:rPr>
      </w:pPr>
      <w:r w:rsidRPr="00F02C09">
        <w:rPr>
          <w:sz w:val="20"/>
          <w:szCs w:val="20"/>
          <w:lang w:val="es-ES"/>
        </w:rPr>
        <w:t xml:space="preserve">El 23 de noviembre de 2000 en horas de la noche un grupo de paramilitares que portaban insignias de las Autodefensas Unidas de Colombia (AUC), algunos con los rostros cubiertos con pasamontañas llegaron a la casa de la familia Camayo, ubicada en la vereda Santa Catalina, perteneciente al corregimiento de la Pedregosa. En este lugar los paramilitares revisaron las viviendas argumentando que en el lugar existía armamento oculto y propaganda subversiva, posteriormente retuvieron y llevaron a los hermanos Eris Arturo Camayo y Diego Arnulfo Camayo, quienes vivían en casas contiguas. Durante toda la noche los sometieron a intensos interrogatorios y los acusaron de ser </w:t>
      </w:r>
      <w:r w:rsidR="003563CD">
        <w:rPr>
          <w:sz w:val="20"/>
          <w:szCs w:val="20"/>
          <w:lang w:val="es-ES"/>
        </w:rPr>
        <w:t>colaboradores</w:t>
      </w:r>
      <w:r w:rsidRPr="00F02C09">
        <w:rPr>
          <w:sz w:val="20"/>
          <w:szCs w:val="20"/>
          <w:lang w:val="es-ES"/>
        </w:rPr>
        <w:t xml:space="preserve"> de grupos guerrilleros. </w:t>
      </w:r>
    </w:p>
    <w:p w14:paraId="75F1E6AC" w14:textId="6A3781F6" w:rsidR="00F02C09" w:rsidRPr="00F02C09" w:rsidRDefault="00F02C09" w:rsidP="00E153B0">
      <w:pPr>
        <w:pStyle w:val="ListParagraph"/>
        <w:widowControl w:val="0"/>
        <w:numPr>
          <w:ilvl w:val="0"/>
          <w:numId w:val="59"/>
        </w:numPr>
        <w:spacing w:before="240" w:after="240"/>
        <w:ind w:left="0" w:firstLine="720"/>
        <w:jc w:val="both"/>
        <w:rPr>
          <w:sz w:val="20"/>
          <w:szCs w:val="20"/>
          <w:lang w:val="es-ES"/>
        </w:rPr>
      </w:pPr>
      <w:r w:rsidRPr="00F02C09">
        <w:rPr>
          <w:sz w:val="20"/>
          <w:szCs w:val="20"/>
          <w:lang w:val="es-ES"/>
        </w:rPr>
        <w:t>A las 6</w:t>
      </w:r>
      <w:r w:rsidR="002D3EA7">
        <w:rPr>
          <w:sz w:val="20"/>
          <w:szCs w:val="20"/>
          <w:lang w:val="es-ES"/>
        </w:rPr>
        <w:t>:00</w:t>
      </w:r>
      <w:r w:rsidRPr="00F02C09">
        <w:rPr>
          <w:sz w:val="20"/>
          <w:szCs w:val="20"/>
          <w:lang w:val="es-ES"/>
        </w:rPr>
        <w:t xml:space="preserve"> de la mañana del 24 de noviembre de 2000 el grupo de paramilitares </w:t>
      </w:r>
      <w:r w:rsidR="0045200B">
        <w:rPr>
          <w:sz w:val="20"/>
          <w:szCs w:val="20"/>
          <w:lang w:val="es-ES"/>
        </w:rPr>
        <w:t>llevó</w:t>
      </w:r>
      <w:r w:rsidRPr="00F02C09">
        <w:rPr>
          <w:sz w:val="20"/>
          <w:szCs w:val="20"/>
          <w:lang w:val="es-ES"/>
        </w:rPr>
        <w:t xml:space="preserve"> a los hermanos Eris Arturo Camayo y Diego Arnulfo Camayo hasta la cabecera urbana de la vereda la Pedregosa. Una vez allí, instalaron un retén </w:t>
      </w:r>
      <w:r w:rsidR="0087592F">
        <w:rPr>
          <w:sz w:val="20"/>
          <w:szCs w:val="20"/>
          <w:lang w:val="es-ES"/>
        </w:rPr>
        <w:t>en</w:t>
      </w:r>
      <w:r w:rsidRPr="00F02C09">
        <w:rPr>
          <w:sz w:val="20"/>
          <w:szCs w:val="20"/>
          <w:lang w:val="es-ES"/>
        </w:rPr>
        <w:t xml:space="preserve"> la entrada y </w:t>
      </w:r>
      <w:r w:rsidR="0087592F">
        <w:rPr>
          <w:sz w:val="20"/>
          <w:szCs w:val="20"/>
          <w:lang w:val="es-ES"/>
        </w:rPr>
        <w:t xml:space="preserve">la </w:t>
      </w:r>
      <w:r w:rsidRPr="00F02C09">
        <w:rPr>
          <w:sz w:val="20"/>
          <w:szCs w:val="20"/>
          <w:lang w:val="es-ES"/>
        </w:rPr>
        <w:t>salida del lugar</w:t>
      </w:r>
      <w:r w:rsidR="003E0C2E">
        <w:rPr>
          <w:sz w:val="20"/>
          <w:szCs w:val="20"/>
          <w:lang w:val="es-ES"/>
        </w:rPr>
        <w:t>,</w:t>
      </w:r>
      <w:r w:rsidRPr="00F02C09">
        <w:rPr>
          <w:sz w:val="20"/>
          <w:szCs w:val="20"/>
          <w:lang w:val="es-ES"/>
        </w:rPr>
        <w:t xml:space="preserve"> entre los paramilitares que se encontraban en el retén había tres que tenían sus cara</w:t>
      </w:r>
      <w:r w:rsidR="00480466">
        <w:rPr>
          <w:sz w:val="20"/>
          <w:szCs w:val="20"/>
          <w:lang w:val="es-ES"/>
        </w:rPr>
        <w:t>s</w:t>
      </w:r>
      <w:r w:rsidRPr="00F02C09">
        <w:rPr>
          <w:sz w:val="20"/>
          <w:szCs w:val="20"/>
          <w:lang w:val="es-ES"/>
        </w:rPr>
        <w:t xml:space="preserve"> cubiertas con pasamontañas. En el lugar del retén requisaron a todas las personas que transitaban por el lugar, reteniendo motocicletas, pidiendo documentos de identificación e interrogándolos sobre la presencia de la guerrilla en el sector. Entre las personas que retuvieron se encontraban los señores Adolfo Benalcazar y Germ</w:t>
      </w:r>
      <w:r w:rsidR="00633308">
        <w:rPr>
          <w:sz w:val="20"/>
          <w:szCs w:val="20"/>
          <w:lang w:val="es-ES"/>
        </w:rPr>
        <w:t>á</w:t>
      </w:r>
      <w:r w:rsidRPr="00F02C09">
        <w:rPr>
          <w:sz w:val="20"/>
          <w:szCs w:val="20"/>
          <w:lang w:val="es-ES"/>
        </w:rPr>
        <w:t xml:space="preserve">n Valenzuela Carabali, quienes llegaron procedentes de la vereda Buena Vista en una motocicleta. Los paramilitares les pidieron los documentos de identificación. Una vez verificados, </w:t>
      </w:r>
      <w:r w:rsidR="00633308">
        <w:rPr>
          <w:sz w:val="20"/>
          <w:szCs w:val="20"/>
          <w:lang w:val="es-ES"/>
        </w:rPr>
        <w:t>Germán</w:t>
      </w:r>
      <w:r w:rsidRPr="00F02C09">
        <w:rPr>
          <w:sz w:val="20"/>
          <w:szCs w:val="20"/>
          <w:lang w:val="es-ES"/>
        </w:rPr>
        <w:t xml:space="preserve"> Valenzuela le preguntó a los paramilitares si podían seguir, uno de los paramilitares le dijo que no, y </w:t>
      </w:r>
      <w:r w:rsidR="00633308">
        <w:rPr>
          <w:sz w:val="20"/>
          <w:szCs w:val="20"/>
          <w:lang w:val="es-ES"/>
        </w:rPr>
        <w:t>Germán</w:t>
      </w:r>
      <w:r w:rsidRPr="00F02C09">
        <w:rPr>
          <w:sz w:val="20"/>
          <w:szCs w:val="20"/>
          <w:lang w:val="es-ES"/>
        </w:rPr>
        <w:t xml:space="preserve"> contestó: “</w:t>
      </w:r>
      <w:r w:rsidR="00BA1AB7">
        <w:rPr>
          <w:sz w:val="20"/>
          <w:szCs w:val="20"/>
          <w:lang w:val="es-ES"/>
        </w:rPr>
        <w:t>¿</w:t>
      </w:r>
      <w:r w:rsidRPr="00F02C09">
        <w:rPr>
          <w:sz w:val="20"/>
          <w:szCs w:val="20"/>
          <w:lang w:val="es-ES"/>
        </w:rPr>
        <w:t>Por qué no me dejan seguir si estamos en un país libre?” Los paramilitares se molestaron con la</w:t>
      </w:r>
      <w:r w:rsidR="001B7B98">
        <w:rPr>
          <w:sz w:val="20"/>
          <w:szCs w:val="20"/>
          <w:lang w:val="es-ES"/>
        </w:rPr>
        <w:t>s</w:t>
      </w:r>
      <w:r w:rsidRPr="00F02C09">
        <w:rPr>
          <w:sz w:val="20"/>
          <w:szCs w:val="20"/>
          <w:lang w:val="es-ES"/>
        </w:rPr>
        <w:t xml:space="preserve"> afirmaciones de </w:t>
      </w:r>
      <w:r w:rsidR="00633308">
        <w:rPr>
          <w:sz w:val="20"/>
          <w:szCs w:val="20"/>
          <w:lang w:val="es-ES"/>
        </w:rPr>
        <w:t>Germán</w:t>
      </w:r>
      <w:r w:rsidRPr="00F02C09">
        <w:rPr>
          <w:sz w:val="20"/>
          <w:szCs w:val="20"/>
          <w:lang w:val="es-ES"/>
        </w:rPr>
        <w:t xml:space="preserve"> y de inmediato lo amarraron, lo golpearon</w:t>
      </w:r>
      <w:r w:rsidR="00E369C5">
        <w:rPr>
          <w:sz w:val="20"/>
          <w:szCs w:val="20"/>
          <w:lang w:val="es-ES"/>
        </w:rPr>
        <w:t>,</w:t>
      </w:r>
      <w:r w:rsidRPr="00F02C09">
        <w:rPr>
          <w:sz w:val="20"/>
          <w:szCs w:val="20"/>
          <w:lang w:val="es-ES"/>
        </w:rPr>
        <w:t xml:space="preserve"> y estando vivo le quemaron la cara con ácido. La motocicleta de </w:t>
      </w:r>
      <w:r w:rsidR="00633308">
        <w:rPr>
          <w:sz w:val="20"/>
          <w:szCs w:val="20"/>
          <w:lang w:val="es-ES"/>
        </w:rPr>
        <w:t>Germán</w:t>
      </w:r>
      <w:r w:rsidRPr="00F02C09">
        <w:rPr>
          <w:sz w:val="20"/>
          <w:szCs w:val="20"/>
          <w:lang w:val="es-ES"/>
        </w:rPr>
        <w:t xml:space="preserve"> fue incinerada. </w:t>
      </w:r>
    </w:p>
    <w:p w14:paraId="5C2B39C9" w14:textId="304FF9F8" w:rsidR="00F02C09" w:rsidRPr="00F02C09" w:rsidRDefault="00F02C09" w:rsidP="00E153B0">
      <w:pPr>
        <w:pStyle w:val="ListParagraph"/>
        <w:widowControl w:val="0"/>
        <w:numPr>
          <w:ilvl w:val="0"/>
          <w:numId w:val="59"/>
        </w:numPr>
        <w:spacing w:before="240" w:after="240"/>
        <w:ind w:left="0" w:firstLine="720"/>
        <w:jc w:val="both"/>
        <w:rPr>
          <w:sz w:val="20"/>
          <w:szCs w:val="20"/>
          <w:lang w:val="es-ES"/>
        </w:rPr>
      </w:pPr>
      <w:r w:rsidRPr="00F02C09">
        <w:rPr>
          <w:sz w:val="20"/>
          <w:szCs w:val="20"/>
          <w:lang w:val="es-ES"/>
        </w:rPr>
        <w:t xml:space="preserve">Posteriormente retuvieron al señor Dagoberto Velasco Chaguendo y a su padre, el señor Silvio Velasco, y los unieron al grupo de </w:t>
      </w:r>
      <w:r w:rsidR="00633308">
        <w:rPr>
          <w:sz w:val="20"/>
          <w:szCs w:val="20"/>
          <w:lang w:val="es-ES"/>
        </w:rPr>
        <w:t>Germán</w:t>
      </w:r>
      <w:r w:rsidRPr="00F02C09">
        <w:rPr>
          <w:sz w:val="20"/>
          <w:szCs w:val="20"/>
          <w:lang w:val="es-ES"/>
        </w:rPr>
        <w:t xml:space="preserve"> Valenzuela Carabali, Adolfo Benalcazar, Eri</w:t>
      </w:r>
      <w:r w:rsidR="00F21B2A">
        <w:rPr>
          <w:sz w:val="20"/>
          <w:szCs w:val="20"/>
          <w:lang w:val="es-ES"/>
        </w:rPr>
        <w:t>s</w:t>
      </w:r>
      <w:r w:rsidRPr="00F02C09">
        <w:rPr>
          <w:sz w:val="20"/>
          <w:szCs w:val="20"/>
          <w:lang w:val="es-ES"/>
        </w:rPr>
        <w:t xml:space="preserve"> Arturo Camayo, Diego Arnulfo Camayo y Bernardo Valencia. </w:t>
      </w:r>
      <w:r w:rsidR="005E312F">
        <w:rPr>
          <w:sz w:val="20"/>
          <w:szCs w:val="20"/>
          <w:lang w:val="es-ES"/>
        </w:rPr>
        <w:t>Lo</w:t>
      </w:r>
      <w:r w:rsidRPr="00F02C09">
        <w:rPr>
          <w:sz w:val="20"/>
          <w:szCs w:val="20"/>
          <w:lang w:val="es-ES"/>
        </w:rPr>
        <w:t xml:space="preserve">s amarraron de pies y de manos y las trasladaron unos </w:t>
      </w:r>
      <w:r w:rsidR="005E312F">
        <w:rPr>
          <w:sz w:val="20"/>
          <w:szCs w:val="20"/>
          <w:lang w:val="es-ES"/>
        </w:rPr>
        <w:t>ciento veinte</w:t>
      </w:r>
      <w:r w:rsidRPr="00F02C09">
        <w:rPr>
          <w:sz w:val="20"/>
          <w:szCs w:val="20"/>
          <w:lang w:val="es-ES"/>
        </w:rPr>
        <w:t xml:space="preserve"> metros adelante cerca de la capilla del corregimiento</w:t>
      </w:r>
      <w:r w:rsidR="00EA2DEF">
        <w:rPr>
          <w:sz w:val="20"/>
          <w:szCs w:val="20"/>
          <w:lang w:val="es-ES"/>
        </w:rPr>
        <w:t>.</w:t>
      </w:r>
      <w:r w:rsidRPr="00F02C09">
        <w:rPr>
          <w:sz w:val="20"/>
          <w:szCs w:val="20"/>
          <w:lang w:val="es-ES"/>
        </w:rPr>
        <w:t xml:space="preserve"> </w:t>
      </w:r>
    </w:p>
    <w:p w14:paraId="0154C40B" w14:textId="3B9D05F5" w:rsidR="00F02C09" w:rsidRPr="00F02C09" w:rsidRDefault="00F02C09" w:rsidP="00E153B0">
      <w:pPr>
        <w:pStyle w:val="ListParagraph"/>
        <w:widowControl w:val="0"/>
        <w:numPr>
          <w:ilvl w:val="0"/>
          <w:numId w:val="59"/>
        </w:numPr>
        <w:spacing w:before="240" w:after="240"/>
        <w:ind w:left="0" w:firstLine="720"/>
        <w:jc w:val="both"/>
        <w:rPr>
          <w:sz w:val="20"/>
          <w:szCs w:val="20"/>
          <w:lang w:val="es-ES"/>
        </w:rPr>
      </w:pPr>
      <w:r w:rsidRPr="00F02C09">
        <w:rPr>
          <w:sz w:val="20"/>
          <w:szCs w:val="20"/>
          <w:lang w:val="es-ES"/>
        </w:rPr>
        <w:t>Hacia las 10</w:t>
      </w:r>
      <w:r w:rsidR="00BA1AB7">
        <w:rPr>
          <w:sz w:val="20"/>
          <w:szCs w:val="20"/>
          <w:lang w:val="es-ES"/>
        </w:rPr>
        <w:t>:00</w:t>
      </w:r>
      <w:r w:rsidRPr="00F02C09">
        <w:rPr>
          <w:sz w:val="20"/>
          <w:szCs w:val="20"/>
          <w:lang w:val="es-ES"/>
        </w:rPr>
        <w:t xml:space="preserve"> de la mañana miembros de la guerrilla de las FARC incursionaron en el lugar donde se encontraban las personas retenidas por los paramilitares. Bernardo Valencia, Adolfo Benalcazar y Silvio Velasco lograron escapar entre los matojos en tanto el enfrentamiento continuaba. A</w:t>
      </w:r>
      <w:r w:rsidR="00DC60CD">
        <w:rPr>
          <w:sz w:val="20"/>
          <w:szCs w:val="20"/>
          <w:lang w:val="es-ES"/>
        </w:rPr>
        <w:t xml:space="preserve"> todo esto,</w:t>
      </w:r>
      <w:r w:rsidRPr="00F02C09">
        <w:rPr>
          <w:sz w:val="20"/>
          <w:szCs w:val="20"/>
          <w:lang w:val="es-ES"/>
        </w:rPr>
        <w:t xml:space="preserve"> Dagoberto Velasco Chaguendo, Luis </w:t>
      </w:r>
      <w:r w:rsidR="00633308">
        <w:rPr>
          <w:sz w:val="20"/>
          <w:szCs w:val="20"/>
          <w:lang w:val="es-ES"/>
        </w:rPr>
        <w:t>Germán</w:t>
      </w:r>
      <w:r w:rsidRPr="00F02C09">
        <w:rPr>
          <w:sz w:val="20"/>
          <w:szCs w:val="20"/>
          <w:lang w:val="es-ES"/>
        </w:rPr>
        <w:t xml:space="preserve"> Valenzuela Carabali, Eri</w:t>
      </w:r>
      <w:r w:rsidR="00F21B2A">
        <w:rPr>
          <w:sz w:val="20"/>
          <w:szCs w:val="20"/>
          <w:lang w:val="es-ES"/>
        </w:rPr>
        <w:t>s</w:t>
      </w:r>
      <w:r w:rsidRPr="00F02C09">
        <w:rPr>
          <w:sz w:val="20"/>
          <w:szCs w:val="20"/>
          <w:lang w:val="es-ES"/>
        </w:rPr>
        <w:t xml:space="preserve"> Arturo Camayo y Diego Arnulfo Camayo fueron </w:t>
      </w:r>
      <w:r w:rsidR="00E83A70">
        <w:rPr>
          <w:sz w:val="20"/>
          <w:szCs w:val="20"/>
          <w:lang w:val="es-ES"/>
        </w:rPr>
        <w:t>asesinados</w:t>
      </w:r>
      <w:r w:rsidRPr="00F02C09">
        <w:rPr>
          <w:sz w:val="20"/>
          <w:szCs w:val="20"/>
          <w:lang w:val="es-ES"/>
        </w:rPr>
        <w:t xml:space="preserve"> por los paramilitares en la iglesia del poblado. </w:t>
      </w:r>
    </w:p>
    <w:p w14:paraId="7139486A" w14:textId="4D5A2434" w:rsidR="00F02C09" w:rsidRPr="007A6D06" w:rsidRDefault="007A6D06" w:rsidP="007A6D06">
      <w:pPr>
        <w:pStyle w:val="ListParagraph"/>
        <w:widowControl w:val="0"/>
        <w:numPr>
          <w:ilvl w:val="0"/>
          <w:numId w:val="59"/>
        </w:numPr>
        <w:spacing w:before="240" w:after="240"/>
        <w:ind w:left="0" w:firstLine="720"/>
        <w:jc w:val="both"/>
        <w:rPr>
          <w:sz w:val="20"/>
          <w:szCs w:val="20"/>
          <w:lang w:val="es-ES"/>
        </w:rPr>
      </w:pPr>
      <w:r w:rsidRPr="007A6D06">
        <w:rPr>
          <w:sz w:val="20"/>
          <w:szCs w:val="20"/>
          <w:lang w:val="es-ES"/>
        </w:rPr>
        <w:t xml:space="preserve">Durante el enfrentamiento con la guerrilla los paramilitares recibieron apoyo terrestre de unos treinta hombres del Ejército Nacional quienes entraron por la vereda de Santa Catalina, y apoyo aéreo por </w:t>
      </w:r>
      <w:r w:rsidRPr="007A6D06">
        <w:rPr>
          <w:sz w:val="20"/>
          <w:szCs w:val="20"/>
          <w:lang w:val="es-ES"/>
        </w:rPr>
        <w:lastRenderedPageBreak/>
        <w:t>medio de helicóptero de la fuerza aérea. Los paramilitares que participaron de la acción señalan que intercambiaron municiones con los efectivos militares y fueron estos quienes los ayudaron a salir de la zona.</w:t>
      </w:r>
      <w:r>
        <w:rPr>
          <w:sz w:val="20"/>
          <w:szCs w:val="20"/>
          <w:lang w:val="es-ES"/>
        </w:rPr>
        <w:t xml:space="preserve"> </w:t>
      </w:r>
      <w:r w:rsidRPr="007A6D06">
        <w:rPr>
          <w:sz w:val="20"/>
          <w:szCs w:val="20"/>
          <w:lang w:val="es-ES"/>
        </w:rPr>
        <w:t>Los</w:t>
      </w:r>
      <w:r w:rsidR="00F02C09" w:rsidRPr="007A6D06">
        <w:rPr>
          <w:sz w:val="20"/>
          <w:szCs w:val="20"/>
          <w:lang w:val="es-ES"/>
        </w:rPr>
        <w:t xml:space="preserve"> paramilitares salieron del sitio en donde cometieron la masacre sin que las autoridades militares y de policía lograran reprimir la acción criminal. E</w:t>
      </w:r>
      <w:r w:rsidR="00D24E3F" w:rsidRPr="007A6D06">
        <w:rPr>
          <w:sz w:val="20"/>
          <w:szCs w:val="20"/>
          <w:lang w:val="es-ES"/>
        </w:rPr>
        <w:t>n el</w:t>
      </w:r>
      <w:r w:rsidR="00F02C09" w:rsidRPr="007A6D06">
        <w:rPr>
          <w:sz w:val="20"/>
          <w:szCs w:val="20"/>
          <w:lang w:val="es-ES"/>
        </w:rPr>
        <w:t xml:space="preserve"> casco urbano del municipio de Cajibío se encontraban miembros del Ejército, y autoridades policiales, y la distancia entre </w:t>
      </w:r>
      <w:r w:rsidR="00C10092" w:rsidRPr="007A6D06">
        <w:rPr>
          <w:sz w:val="20"/>
          <w:szCs w:val="20"/>
          <w:lang w:val="es-ES"/>
        </w:rPr>
        <w:t>e</w:t>
      </w:r>
      <w:r w:rsidR="00F02C09" w:rsidRPr="007A6D06">
        <w:rPr>
          <w:sz w:val="20"/>
          <w:szCs w:val="20"/>
          <w:lang w:val="es-ES"/>
        </w:rPr>
        <w:t xml:space="preserve">ste lugar y el corregimiento de la Pedregosa es solo de </w:t>
      </w:r>
      <w:r w:rsidR="00480466" w:rsidRPr="007A6D06">
        <w:rPr>
          <w:sz w:val="20"/>
          <w:szCs w:val="20"/>
          <w:lang w:val="es-ES"/>
        </w:rPr>
        <w:t>quince</w:t>
      </w:r>
      <w:r w:rsidR="00F02C09" w:rsidRPr="007A6D06">
        <w:rPr>
          <w:sz w:val="20"/>
          <w:szCs w:val="20"/>
          <w:lang w:val="es-ES"/>
        </w:rPr>
        <w:t xml:space="preserve"> kilómetros.</w:t>
      </w:r>
    </w:p>
    <w:p w14:paraId="3D9C04A4" w14:textId="4DE0D8C0" w:rsidR="00F02C09" w:rsidRPr="00F02C09" w:rsidRDefault="00F02C09" w:rsidP="00E153B0">
      <w:pPr>
        <w:pStyle w:val="ListParagraph"/>
        <w:widowControl w:val="0"/>
        <w:numPr>
          <w:ilvl w:val="0"/>
          <w:numId w:val="59"/>
        </w:numPr>
        <w:spacing w:before="240" w:after="240"/>
        <w:ind w:left="0" w:firstLine="720"/>
        <w:jc w:val="both"/>
        <w:rPr>
          <w:sz w:val="20"/>
          <w:szCs w:val="20"/>
          <w:lang w:val="es-ES"/>
        </w:rPr>
      </w:pPr>
      <w:r w:rsidRPr="00F02C09">
        <w:rPr>
          <w:sz w:val="20"/>
          <w:szCs w:val="20"/>
          <w:lang w:val="es-ES"/>
        </w:rPr>
        <w:t xml:space="preserve">Los </w:t>
      </w:r>
      <w:r w:rsidR="0095594E">
        <w:rPr>
          <w:sz w:val="20"/>
          <w:szCs w:val="20"/>
          <w:lang w:val="es-ES"/>
        </w:rPr>
        <w:t>cadáveres</w:t>
      </w:r>
      <w:r w:rsidRPr="00F02C09">
        <w:rPr>
          <w:sz w:val="20"/>
          <w:szCs w:val="20"/>
          <w:lang w:val="es-ES"/>
        </w:rPr>
        <w:t xml:space="preserve"> de Dagoberto Velasco Chaguendo, Luis </w:t>
      </w:r>
      <w:r w:rsidR="00633308">
        <w:rPr>
          <w:sz w:val="20"/>
          <w:szCs w:val="20"/>
          <w:lang w:val="es-ES"/>
        </w:rPr>
        <w:t>Germán</w:t>
      </w:r>
      <w:r w:rsidRPr="00F02C09">
        <w:rPr>
          <w:sz w:val="20"/>
          <w:szCs w:val="20"/>
          <w:lang w:val="es-ES"/>
        </w:rPr>
        <w:t xml:space="preserve"> Valenzuela Carabali, Eris Arturo Camayo, y Diego Arnulfo Camayo </w:t>
      </w:r>
      <w:r w:rsidR="00BF416A">
        <w:rPr>
          <w:sz w:val="20"/>
          <w:szCs w:val="20"/>
          <w:lang w:val="es-ES"/>
        </w:rPr>
        <w:t>fueron recogidos al día siguiente por miembros</w:t>
      </w:r>
      <w:r w:rsidRPr="00F02C09">
        <w:rPr>
          <w:sz w:val="20"/>
          <w:szCs w:val="20"/>
          <w:lang w:val="es-ES"/>
        </w:rPr>
        <w:t xml:space="preserve"> </w:t>
      </w:r>
      <w:r w:rsidR="00BF416A">
        <w:rPr>
          <w:sz w:val="20"/>
          <w:szCs w:val="20"/>
          <w:lang w:val="es-ES"/>
        </w:rPr>
        <w:t>de</w:t>
      </w:r>
      <w:r w:rsidRPr="00F02C09">
        <w:rPr>
          <w:sz w:val="20"/>
          <w:szCs w:val="20"/>
          <w:lang w:val="es-ES"/>
        </w:rPr>
        <w:t xml:space="preserve"> la comunidad la Pedregosa que tuvo que llevarlos hasta el casco urbano del municipio de Cajibío para que las autoridades formalizaran el levantamiento de los cadáveres. </w:t>
      </w:r>
    </w:p>
    <w:p w14:paraId="10C99260" w14:textId="33B3A07B" w:rsidR="00F02C09" w:rsidRPr="00F02C09" w:rsidRDefault="00F02C09" w:rsidP="00E153B0">
      <w:pPr>
        <w:pStyle w:val="ListParagraph"/>
        <w:widowControl w:val="0"/>
        <w:numPr>
          <w:ilvl w:val="0"/>
          <w:numId w:val="59"/>
        </w:numPr>
        <w:spacing w:before="240" w:after="240"/>
        <w:ind w:left="0" w:firstLine="720"/>
        <w:jc w:val="both"/>
        <w:rPr>
          <w:sz w:val="20"/>
          <w:szCs w:val="20"/>
          <w:lang w:val="es-ES"/>
        </w:rPr>
      </w:pPr>
      <w:r w:rsidRPr="00F02C09">
        <w:rPr>
          <w:sz w:val="20"/>
          <w:szCs w:val="20"/>
          <w:lang w:val="es-ES"/>
        </w:rPr>
        <w:t>Los hechos de la masacre originaron el desplazamiento forzado de los campesinos de las veredas del corregimiento de la Pedregosa y de veredas aledañas hacia las ciudades de Popayán, Cali y los municipios de Morales y Piendam</w:t>
      </w:r>
      <w:r w:rsidR="006443B1">
        <w:rPr>
          <w:sz w:val="20"/>
          <w:szCs w:val="20"/>
          <w:lang w:val="es-ES"/>
        </w:rPr>
        <w:t>ó</w:t>
      </w:r>
      <w:r w:rsidRPr="00F02C09">
        <w:rPr>
          <w:sz w:val="20"/>
          <w:szCs w:val="20"/>
          <w:lang w:val="es-ES"/>
        </w:rPr>
        <w:t>.</w:t>
      </w:r>
    </w:p>
    <w:p w14:paraId="59FC5627" w14:textId="7E05296E" w:rsidR="00B86C69" w:rsidRPr="001268DF" w:rsidRDefault="008C7A17" w:rsidP="001268DF">
      <w:pPr>
        <w:pStyle w:val="ListParagraph"/>
        <w:widowControl w:val="0"/>
        <w:numPr>
          <w:ilvl w:val="0"/>
          <w:numId w:val="59"/>
        </w:numPr>
        <w:spacing w:before="240" w:after="240"/>
        <w:ind w:left="0" w:firstLine="720"/>
        <w:jc w:val="both"/>
        <w:rPr>
          <w:sz w:val="20"/>
          <w:szCs w:val="20"/>
          <w:lang w:val="es-ES"/>
        </w:rPr>
      </w:pPr>
      <w:bookmarkStart w:id="2" w:name="_Hlk130911624"/>
      <w:r w:rsidRPr="008C7A17">
        <w:rPr>
          <w:sz w:val="20"/>
          <w:szCs w:val="20"/>
          <w:lang w:val="es-ES"/>
        </w:rPr>
        <w:t>La parte peticionaria argumenta que los hechos de la masacre de la Pedregosa fueron conocidos por el Estado, que ha impulsado una investigación judicial. Sin embargo, dicha investigación no logró establecer y sancionar los responsables. Según la parte peticionaria, en resumen</w:t>
      </w:r>
      <w:r w:rsidR="002B7391">
        <w:rPr>
          <w:sz w:val="20"/>
          <w:szCs w:val="20"/>
          <w:lang w:val="es-ES"/>
        </w:rPr>
        <w:t>:</w:t>
      </w:r>
      <w:r w:rsidRPr="008C7A17">
        <w:rPr>
          <w:sz w:val="20"/>
          <w:szCs w:val="20"/>
          <w:lang w:val="es-ES"/>
        </w:rPr>
        <w:t xml:space="preserve"> </w:t>
      </w:r>
      <w:r w:rsidRPr="001268DF">
        <w:rPr>
          <w:sz w:val="20"/>
          <w:szCs w:val="20"/>
          <w:lang w:val="es-ES"/>
        </w:rPr>
        <w:t xml:space="preserve">i) los hechos fueron objeto de investigación de la Fiscalía 55 Especializada adscrita a la Unidad Nacional de Derechos Humanos con sede en la ciudad de Cali, bajo el radicado No 1779; ii) en marzo de 2018 el proceso continuaba en etapa de instrucción; iii) la Fiscalía ha vinculado, mediante indagatoria, solo a algunos de los paramilitares; a pesar de que en diferentes declaraciones se ha hecho alusión a los integrantes del “Bloque Héroes de Ortega”, o “Autodefensas de Ortega”, grupo paramilitar que tenía permanencia en el municipio desde los años 1980, cuyos integrantes fueron indultados por el decreto 128 de 2003, la Fiscalía no ha </w:t>
      </w:r>
      <w:r w:rsidR="00B9608B" w:rsidRPr="001268DF">
        <w:rPr>
          <w:sz w:val="20"/>
          <w:szCs w:val="20"/>
          <w:lang w:val="es-ES"/>
        </w:rPr>
        <w:t>individualizado a</w:t>
      </w:r>
      <w:r w:rsidRPr="001268DF">
        <w:rPr>
          <w:sz w:val="20"/>
          <w:szCs w:val="20"/>
          <w:lang w:val="es-ES"/>
        </w:rPr>
        <w:t xml:space="preserve"> todos los integrantes de este grupo; iv) la inminencia de la masacre era conocida por los funcionarios públicos de las administraciones municipales de Cajibío y Morales</w:t>
      </w:r>
      <w:r w:rsidR="00B86C69" w:rsidRPr="001268DF">
        <w:rPr>
          <w:sz w:val="20"/>
          <w:szCs w:val="20"/>
          <w:lang w:val="es-ES"/>
        </w:rPr>
        <w:t>;</w:t>
      </w:r>
      <w:r w:rsidRPr="001268DF">
        <w:rPr>
          <w:sz w:val="20"/>
          <w:szCs w:val="20"/>
          <w:lang w:val="es-ES"/>
        </w:rPr>
        <w:t xml:space="preserve"> de hecho, señala la parte peticionaria, el papel de los paramilitares en la región había sido objeto de un Consejo Departamental de Seguridad cuatro días antes de los hechos</w:t>
      </w:r>
      <w:r w:rsidR="00B86C69" w:rsidRPr="001268DF">
        <w:rPr>
          <w:sz w:val="20"/>
          <w:szCs w:val="20"/>
          <w:lang w:val="es-ES"/>
        </w:rPr>
        <w:t>; v) a pesar de lo anterior,</w:t>
      </w:r>
      <w:r w:rsidRPr="001268DF">
        <w:rPr>
          <w:sz w:val="20"/>
          <w:szCs w:val="20"/>
          <w:lang w:val="es-ES"/>
        </w:rPr>
        <w:t xml:space="preserve"> la Fiscalía no ha investigado adecuadamente qu</w:t>
      </w:r>
      <w:r w:rsidR="006C0535" w:rsidRPr="001268DF">
        <w:rPr>
          <w:sz w:val="20"/>
          <w:szCs w:val="20"/>
          <w:lang w:val="es-ES"/>
        </w:rPr>
        <w:t>é</w:t>
      </w:r>
      <w:r w:rsidRPr="001268DF">
        <w:rPr>
          <w:sz w:val="20"/>
          <w:szCs w:val="20"/>
          <w:lang w:val="es-ES"/>
        </w:rPr>
        <w:t xml:space="preserve"> tipo de alianzas existieron y existen entre funcionario</w:t>
      </w:r>
      <w:r w:rsidR="00387E9A" w:rsidRPr="001268DF">
        <w:rPr>
          <w:sz w:val="20"/>
          <w:szCs w:val="20"/>
          <w:lang w:val="es-ES"/>
        </w:rPr>
        <w:t>s</w:t>
      </w:r>
      <w:r w:rsidRPr="001268DF">
        <w:rPr>
          <w:sz w:val="20"/>
          <w:szCs w:val="20"/>
          <w:lang w:val="es-ES"/>
        </w:rPr>
        <w:t xml:space="preserve"> públicos civiles y militares con los grupos paramilitares; v</w:t>
      </w:r>
      <w:r w:rsidR="00B86C69" w:rsidRPr="001268DF">
        <w:rPr>
          <w:sz w:val="20"/>
          <w:szCs w:val="20"/>
          <w:lang w:val="es-ES"/>
        </w:rPr>
        <w:t>i</w:t>
      </w:r>
      <w:r w:rsidRPr="001268DF">
        <w:rPr>
          <w:sz w:val="20"/>
          <w:szCs w:val="20"/>
          <w:lang w:val="es-ES"/>
        </w:rPr>
        <w:t>) la Fiscalía tampoco ha</w:t>
      </w:r>
      <w:r w:rsidR="006D7C9F" w:rsidRPr="001268DF">
        <w:rPr>
          <w:sz w:val="20"/>
          <w:szCs w:val="20"/>
          <w:lang w:val="es-ES"/>
        </w:rPr>
        <w:t>bría</w:t>
      </w:r>
      <w:r w:rsidRPr="001268DF">
        <w:rPr>
          <w:sz w:val="20"/>
          <w:szCs w:val="20"/>
          <w:lang w:val="es-ES"/>
        </w:rPr>
        <w:t xml:space="preserve"> mostrado avance alguno </w:t>
      </w:r>
      <w:r w:rsidR="00B86C69" w:rsidRPr="001268DF">
        <w:rPr>
          <w:sz w:val="20"/>
          <w:szCs w:val="20"/>
          <w:lang w:val="es-ES"/>
        </w:rPr>
        <w:t>con respecto a</w:t>
      </w:r>
      <w:r w:rsidRPr="001268DF">
        <w:rPr>
          <w:sz w:val="20"/>
          <w:szCs w:val="20"/>
          <w:lang w:val="es-ES"/>
        </w:rPr>
        <w:t xml:space="preserve"> los militares que participaron en apoyo de los paramilitares el día de la masacre. </w:t>
      </w:r>
    </w:p>
    <w:p w14:paraId="2E90510D" w14:textId="29A94B49" w:rsidR="003A4B2B" w:rsidRDefault="00B86C69" w:rsidP="00B86C69">
      <w:pPr>
        <w:pStyle w:val="ListParagraph"/>
        <w:widowControl w:val="0"/>
        <w:numPr>
          <w:ilvl w:val="0"/>
          <w:numId w:val="59"/>
        </w:numPr>
        <w:spacing w:before="240" w:after="240"/>
        <w:ind w:left="0" w:firstLine="720"/>
        <w:jc w:val="both"/>
        <w:rPr>
          <w:sz w:val="20"/>
          <w:szCs w:val="20"/>
          <w:lang w:val="es-ES"/>
        </w:rPr>
      </w:pPr>
      <w:r>
        <w:rPr>
          <w:sz w:val="20"/>
          <w:szCs w:val="20"/>
          <w:lang w:val="es-ES"/>
        </w:rPr>
        <w:t>Asimismo, l</w:t>
      </w:r>
      <w:r w:rsidR="008C7A17" w:rsidRPr="008C7A17">
        <w:rPr>
          <w:sz w:val="20"/>
          <w:szCs w:val="20"/>
          <w:lang w:val="es-ES"/>
        </w:rPr>
        <w:t xml:space="preserve">a parte peticionaria </w:t>
      </w:r>
      <w:r w:rsidR="00BB3304">
        <w:rPr>
          <w:sz w:val="20"/>
          <w:szCs w:val="20"/>
          <w:lang w:val="es-ES"/>
        </w:rPr>
        <w:t>ha indicado, en su escrito de marzo de 2018,</w:t>
      </w:r>
      <w:r w:rsidR="008C7A17" w:rsidRPr="008C7A17">
        <w:rPr>
          <w:sz w:val="20"/>
          <w:szCs w:val="20"/>
          <w:lang w:val="es-ES"/>
        </w:rPr>
        <w:t xml:space="preserve"> que el proceso penal fue suspendido</w:t>
      </w:r>
      <w:r w:rsidR="00932588">
        <w:rPr>
          <w:sz w:val="20"/>
          <w:szCs w:val="20"/>
          <w:lang w:val="es-ES"/>
        </w:rPr>
        <w:t>,</w:t>
      </w:r>
      <w:r w:rsidR="008C7A17" w:rsidRPr="008C7A17">
        <w:rPr>
          <w:sz w:val="20"/>
          <w:szCs w:val="20"/>
          <w:lang w:val="es-ES"/>
        </w:rPr>
        <w:t xml:space="preserve"> y que a partir de agosto de 2014 quedaron en libertad los paramilitares postulados en </w:t>
      </w:r>
      <w:r w:rsidR="00614533">
        <w:rPr>
          <w:sz w:val="20"/>
          <w:szCs w:val="20"/>
          <w:lang w:val="es-ES"/>
        </w:rPr>
        <w:t xml:space="preserve">el marco de </w:t>
      </w:r>
      <w:r w:rsidR="008C7A17" w:rsidRPr="008C7A17">
        <w:rPr>
          <w:sz w:val="20"/>
          <w:szCs w:val="20"/>
          <w:lang w:val="es-ES"/>
        </w:rPr>
        <w:t>la Ley de Justicia y Paz</w:t>
      </w:r>
      <w:r w:rsidR="007F6C4B">
        <w:rPr>
          <w:sz w:val="20"/>
          <w:szCs w:val="20"/>
          <w:lang w:val="es-ES"/>
        </w:rPr>
        <w:t>;</w:t>
      </w:r>
      <w:r w:rsidR="00BB3304">
        <w:rPr>
          <w:sz w:val="20"/>
          <w:szCs w:val="20"/>
          <w:lang w:val="es-ES"/>
        </w:rPr>
        <w:t xml:space="preserve"> </w:t>
      </w:r>
      <w:r w:rsidR="007F6C4B">
        <w:rPr>
          <w:sz w:val="20"/>
          <w:szCs w:val="20"/>
          <w:lang w:val="es-ES"/>
        </w:rPr>
        <w:t xml:space="preserve">y </w:t>
      </w:r>
      <w:r w:rsidR="0072340D">
        <w:rPr>
          <w:sz w:val="20"/>
          <w:szCs w:val="20"/>
          <w:lang w:val="es-ES"/>
        </w:rPr>
        <w:t>denuncian</w:t>
      </w:r>
      <w:r w:rsidR="00BB3304">
        <w:rPr>
          <w:sz w:val="20"/>
          <w:szCs w:val="20"/>
          <w:lang w:val="es-ES"/>
        </w:rPr>
        <w:t xml:space="preserve"> que no se produjo condena penal ni en la justicia ordinaria, </w:t>
      </w:r>
      <w:r w:rsidR="006D75EF">
        <w:rPr>
          <w:sz w:val="20"/>
          <w:szCs w:val="20"/>
          <w:lang w:val="es-ES"/>
        </w:rPr>
        <w:t>ni en la jurisdicción</w:t>
      </w:r>
      <w:r w:rsidR="00BB3304">
        <w:rPr>
          <w:sz w:val="20"/>
          <w:szCs w:val="20"/>
          <w:lang w:val="es-ES"/>
        </w:rPr>
        <w:t xml:space="preserve"> </w:t>
      </w:r>
      <w:r w:rsidR="006D75EF">
        <w:rPr>
          <w:sz w:val="20"/>
          <w:szCs w:val="20"/>
          <w:lang w:val="es-ES"/>
        </w:rPr>
        <w:t>de</w:t>
      </w:r>
      <w:r w:rsidR="00BB3304">
        <w:rPr>
          <w:sz w:val="20"/>
          <w:szCs w:val="20"/>
          <w:lang w:val="es-ES"/>
        </w:rPr>
        <w:t xml:space="preserve"> Justicia y Paz.</w:t>
      </w:r>
      <w:r w:rsidR="00C74004">
        <w:rPr>
          <w:sz w:val="20"/>
          <w:szCs w:val="20"/>
          <w:lang w:val="es-ES"/>
        </w:rPr>
        <w:t xml:space="preserve"> </w:t>
      </w:r>
    </w:p>
    <w:bookmarkEnd w:id="2"/>
    <w:p w14:paraId="59C46DEF" w14:textId="11D3A019" w:rsidR="00DA4343" w:rsidRPr="005419C8" w:rsidRDefault="00C74004" w:rsidP="00DA4343">
      <w:pPr>
        <w:pStyle w:val="ListParagraph"/>
        <w:widowControl w:val="0"/>
        <w:numPr>
          <w:ilvl w:val="0"/>
          <w:numId w:val="59"/>
        </w:numPr>
        <w:spacing w:before="240" w:after="240"/>
        <w:ind w:left="0" w:firstLine="720"/>
        <w:jc w:val="both"/>
        <w:rPr>
          <w:sz w:val="20"/>
          <w:szCs w:val="20"/>
          <w:lang w:val="es-ES"/>
        </w:rPr>
      </w:pPr>
      <w:r w:rsidRPr="00C74004">
        <w:rPr>
          <w:rFonts w:asciiTheme="majorHAnsi" w:hAnsiTheme="majorHAnsi"/>
          <w:sz w:val="20"/>
          <w:szCs w:val="20"/>
          <w:lang w:val="es-ES"/>
        </w:rPr>
        <w:t>La parte peticionaria considera que el camino que han realizado las presuntas víctimas en la jurisdicción ordinaria ha resultado revictimizante, pues se trata</w:t>
      </w:r>
      <w:r w:rsidR="0072340D">
        <w:rPr>
          <w:rFonts w:asciiTheme="majorHAnsi" w:hAnsiTheme="majorHAnsi"/>
          <w:sz w:val="20"/>
          <w:szCs w:val="20"/>
          <w:lang w:val="es-ES"/>
        </w:rPr>
        <w:t>ría</w:t>
      </w:r>
      <w:r w:rsidRPr="00C74004">
        <w:rPr>
          <w:rFonts w:asciiTheme="majorHAnsi" w:hAnsiTheme="majorHAnsi"/>
          <w:sz w:val="20"/>
          <w:szCs w:val="20"/>
          <w:lang w:val="es-ES"/>
        </w:rPr>
        <w:t xml:space="preserve"> de una justicia tardía</w:t>
      </w:r>
      <w:r w:rsidR="001340F9">
        <w:rPr>
          <w:rFonts w:asciiTheme="majorHAnsi" w:hAnsiTheme="majorHAnsi"/>
          <w:sz w:val="20"/>
          <w:szCs w:val="20"/>
          <w:lang w:val="es-ES"/>
        </w:rPr>
        <w:t>;</w:t>
      </w:r>
      <w:r w:rsidRPr="00C74004">
        <w:rPr>
          <w:rFonts w:asciiTheme="majorHAnsi" w:hAnsiTheme="majorHAnsi"/>
          <w:sz w:val="20"/>
          <w:szCs w:val="20"/>
          <w:lang w:val="es-ES"/>
        </w:rPr>
        <w:t xml:space="preserve"> llena de dilaciones por parte de las instituciones</w:t>
      </w:r>
      <w:r w:rsidR="001340F9">
        <w:rPr>
          <w:rFonts w:asciiTheme="majorHAnsi" w:hAnsiTheme="majorHAnsi"/>
          <w:sz w:val="20"/>
          <w:szCs w:val="20"/>
          <w:lang w:val="es-ES"/>
        </w:rPr>
        <w:t>;</w:t>
      </w:r>
      <w:r w:rsidRPr="00C74004">
        <w:rPr>
          <w:rFonts w:asciiTheme="majorHAnsi" w:hAnsiTheme="majorHAnsi"/>
          <w:sz w:val="20"/>
          <w:szCs w:val="20"/>
          <w:lang w:val="es-ES"/>
        </w:rPr>
        <w:t xml:space="preserve"> que no cumple sus deberes de investigación</w:t>
      </w:r>
      <w:r w:rsidR="001340F9">
        <w:rPr>
          <w:rFonts w:asciiTheme="majorHAnsi" w:hAnsiTheme="majorHAnsi"/>
          <w:sz w:val="20"/>
          <w:szCs w:val="20"/>
          <w:lang w:val="es-ES"/>
        </w:rPr>
        <w:t>;</w:t>
      </w:r>
      <w:r w:rsidRPr="00C74004">
        <w:rPr>
          <w:rFonts w:asciiTheme="majorHAnsi" w:hAnsiTheme="majorHAnsi"/>
          <w:sz w:val="20"/>
          <w:szCs w:val="20"/>
          <w:lang w:val="es-ES"/>
        </w:rPr>
        <w:t xml:space="preserve"> y que provoca desesperanza para </w:t>
      </w:r>
      <w:r w:rsidR="00692806">
        <w:rPr>
          <w:rFonts w:asciiTheme="majorHAnsi" w:hAnsiTheme="majorHAnsi"/>
          <w:sz w:val="20"/>
          <w:szCs w:val="20"/>
          <w:lang w:val="es-ES"/>
        </w:rPr>
        <w:t>quienes</w:t>
      </w:r>
      <w:r w:rsidRPr="00C74004">
        <w:rPr>
          <w:rFonts w:asciiTheme="majorHAnsi" w:hAnsiTheme="majorHAnsi"/>
          <w:sz w:val="20"/>
          <w:szCs w:val="20"/>
          <w:lang w:val="es-ES"/>
        </w:rPr>
        <w:t xml:space="preserve"> </w:t>
      </w:r>
      <w:r w:rsidR="00692806">
        <w:rPr>
          <w:rFonts w:asciiTheme="majorHAnsi" w:hAnsiTheme="majorHAnsi"/>
          <w:sz w:val="20"/>
          <w:szCs w:val="20"/>
          <w:lang w:val="es-ES"/>
        </w:rPr>
        <w:t>b</w:t>
      </w:r>
      <w:r w:rsidRPr="00C74004">
        <w:rPr>
          <w:rFonts w:asciiTheme="majorHAnsi" w:hAnsiTheme="majorHAnsi"/>
          <w:sz w:val="20"/>
          <w:szCs w:val="20"/>
          <w:lang w:val="es-ES"/>
        </w:rPr>
        <w:t>uscan un ideal de justicia en este proceso. Asimismo, considera que la llamada Jurisdicción Especial para la Paz tampoco ayuda al propósito de satisfacer los derechos de las víctimas, pues se trata, según la parte peticionaria, de una justicia parcial y representativa de la impunidad, ya que cargada de beneficios penales y premiaciones de penas alternativas a los responsables, amnistías, indultos, renuncia a la persecución penal y disminución de penas. A la luz del expuesto, la parte peticionaria expresa, en su escrito de marzo de 2022, que preferiría que el proceso fuera juzgado en la jurisdicción ordinaria.</w:t>
      </w:r>
    </w:p>
    <w:p w14:paraId="41BFE62A" w14:textId="492409FC" w:rsidR="008C7A17" w:rsidRPr="00F02C09" w:rsidRDefault="008C7A17" w:rsidP="00E153B0">
      <w:pPr>
        <w:pStyle w:val="ListParagraph"/>
        <w:widowControl w:val="0"/>
        <w:spacing w:before="240" w:after="240"/>
        <w:jc w:val="both"/>
        <w:rPr>
          <w:i/>
          <w:iCs/>
          <w:sz w:val="20"/>
          <w:szCs w:val="20"/>
          <w:lang w:val="es-ES"/>
        </w:rPr>
      </w:pPr>
      <w:r w:rsidRPr="008C7A17">
        <w:rPr>
          <w:i/>
          <w:iCs/>
          <w:sz w:val="20"/>
          <w:szCs w:val="20"/>
          <w:lang w:val="es-ES"/>
        </w:rPr>
        <w:t>Posición del Estado</w:t>
      </w:r>
      <w:r w:rsidR="00C6045A">
        <w:rPr>
          <w:i/>
          <w:iCs/>
          <w:sz w:val="20"/>
          <w:szCs w:val="20"/>
          <w:lang w:val="es-ES"/>
        </w:rPr>
        <w:t xml:space="preserve"> colombiano</w:t>
      </w:r>
    </w:p>
    <w:p w14:paraId="246F8DEA" w14:textId="60E9FD50" w:rsidR="00F21B2A" w:rsidRDefault="009E6A26"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bookmarkStart w:id="3" w:name="_Hlk130912174"/>
      <w:r w:rsidRPr="009E6A26">
        <w:rPr>
          <w:rFonts w:asciiTheme="majorHAnsi" w:hAnsiTheme="majorHAnsi"/>
          <w:sz w:val="20"/>
          <w:szCs w:val="20"/>
          <w:lang w:val="es-ES"/>
        </w:rPr>
        <w:t xml:space="preserve">Colombia, tras presentar su resumen de los alegatos de la parte peticionaria, informa que por los hechos ocurridos el 23 y 24 de noviembre de 2000 en el corregimiento de La Pedregosa, se adelantó el proceso penal Radicado No. 1779. Este proceso estaría </w:t>
      </w:r>
      <w:r w:rsidR="006F37FE">
        <w:rPr>
          <w:rFonts w:asciiTheme="majorHAnsi" w:hAnsiTheme="majorHAnsi"/>
          <w:sz w:val="20"/>
          <w:szCs w:val="20"/>
          <w:lang w:val="es-ES"/>
        </w:rPr>
        <w:t>actualmente</w:t>
      </w:r>
      <w:r w:rsidRPr="009E6A26">
        <w:rPr>
          <w:rFonts w:asciiTheme="majorHAnsi" w:hAnsiTheme="majorHAnsi"/>
          <w:sz w:val="20"/>
          <w:szCs w:val="20"/>
          <w:lang w:val="es-ES"/>
        </w:rPr>
        <w:t xml:space="preserve"> asignado al Fiscal No. 75 adscrito a la Dirección Especializada contra Violaciones a los Derechos Humanos (DECVDH).</w:t>
      </w:r>
    </w:p>
    <w:p w14:paraId="36220365" w14:textId="77777777" w:rsidR="00116C8C" w:rsidRDefault="00116C8C" w:rsidP="00116C8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p>
    <w:p w14:paraId="3D987349" w14:textId="686AB069" w:rsidR="00F21B2A" w:rsidRPr="00F21B2A" w:rsidRDefault="00F21B2A"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21B2A">
        <w:rPr>
          <w:rFonts w:asciiTheme="majorHAnsi" w:hAnsiTheme="majorHAnsi"/>
          <w:sz w:val="20"/>
          <w:szCs w:val="20"/>
          <w:lang w:val="es-ES"/>
        </w:rPr>
        <w:lastRenderedPageBreak/>
        <w:t>En el marco de dicho proceso</w:t>
      </w:r>
      <w:r w:rsidR="00F148AF">
        <w:rPr>
          <w:rFonts w:asciiTheme="majorHAnsi" w:hAnsiTheme="majorHAnsi"/>
          <w:sz w:val="20"/>
          <w:szCs w:val="20"/>
          <w:lang w:val="es-ES"/>
        </w:rPr>
        <w:t>,</w:t>
      </w:r>
      <w:r w:rsidRPr="00F21B2A">
        <w:rPr>
          <w:rFonts w:asciiTheme="majorHAnsi" w:hAnsiTheme="majorHAnsi"/>
          <w:sz w:val="20"/>
          <w:szCs w:val="20"/>
          <w:lang w:val="es-ES"/>
        </w:rPr>
        <w:t xml:space="preserve"> el 14 de febrero de 2018 se cerró parcialmente la investigación seguida en contra de José Mar</w:t>
      </w:r>
      <w:r w:rsidR="00126391">
        <w:rPr>
          <w:rFonts w:asciiTheme="majorHAnsi" w:hAnsiTheme="majorHAnsi"/>
          <w:sz w:val="20"/>
          <w:szCs w:val="20"/>
          <w:lang w:val="es-ES"/>
        </w:rPr>
        <w:t>í</w:t>
      </w:r>
      <w:r w:rsidRPr="00F21B2A">
        <w:rPr>
          <w:rFonts w:asciiTheme="majorHAnsi" w:hAnsiTheme="majorHAnsi"/>
          <w:sz w:val="20"/>
          <w:szCs w:val="20"/>
          <w:lang w:val="es-ES"/>
        </w:rPr>
        <w:t>a Erazo Sarmiento. Esta decisión fue revocada el 23 de abril de 2018</w:t>
      </w:r>
      <w:r>
        <w:rPr>
          <w:rFonts w:asciiTheme="majorHAnsi" w:hAnsiTheme="majorHAnsi"/>
          <w:sz w:val="20"/>
          <w:szCs w:val="20"/>
          <w:lang w:val="es-ES"/>
        </w:rPr>
        <w:t xml:space="preserve">. </w:t>
      </w:r>
      <w:r w:rsidRPr="00F21B2A">
        <w:rPr>
          <w:rFonts w:asciiTheme="majorHAnsi" w:hAnsiTheme="majorHAnsi"/>
          <w:sz w:val="20"/>
          <w:szCs w:val="20"/>
          <w:lang w:val="es-ES"/>
        </w:rPr>
        <w:t xml:space="preserve">El 20 de abril de 2018, la Fiscalía 75 DECVDH precluyó la investigación seguida en contra de Jorge Enrique Julio Hoyos. Igualmente, en </w:t>
      </w:r>
      <w:r w:rsidR="00126391">
        <w:rPr>
          <w:rFonts w:asciiTheme="majorHAnsi" w:hAnsiTheme="majorHAnsi"/>
          <w:sz w:val="20"/>
          <w:szCs w:val="20"/>
          <w:lang w:val="es-ES"/>
        </w:rPr>
        <w:t>esa</w:t>
      </w:r>
      <w:r w:rsidRPr="00F21B2A">
        <w:rPr>
          <w:rFonts w:asciiTheme="majorHAnsi" w:hAnsiTheme="majorHAnsi"/>
          <w:sz w:val="20"/>
          <w:szCs w:val="20"/>
          <w:lang w:val="es-ES"/>
        </w:rPr>
        <w:t xml:space="preserve"> fecha se</w:t>
      </w:r>
      <w:r>
        <w:rPr>
          <w:rFonts w:asciiTheme="majorHAnsi" w:hAnsiTheme="majorHAnsi"/>
          <w:sz w:val="20"/>
          <w:szCs w:val="20"/>
          <w:lang w:val="es-ES"/>
        </w:rPr>
        <w:t xml:space="preserve"> </w:t>
      </w:r>
      <w:r w:rsidRPr="00F21B2A">
        <w:rPr>
          <w:rFonts w:asciiTheme="majorHAnsi" w:hAnsiTheme="majorHAnsi"/>
          <w:sz w:val="20"/>
          <w:szCs w:val="20"/>
          <w:lang w:val="es-ES"/>
        </w:rPr>
        <w:t>cerró parcialmente la investigación seguida en contra</w:t>
      </w:r>
      <w:r w:rsidR="00B0730A">
        <w:rPr>
          <w:rFonts w:asciiTheme="majorHAnsi" w:hAnsiTheme="majorHAnsi"/>
          <w:sz w:val="20"/>
          <w:szCs w:val="20"/>
          <w:lang w:val="es-ES"/>
        </w:rPr>
        <w:t xml:space="preserve"> de</w:t>
      </w:r>
      <w:r w:rsidRPr="00F21B2A">
        <w:rPr>
          <w:rFonts w:asciiTheme="majorHAnsi" w:hAnsiTheme="majorHAnsi"/>
          <w:sz w:val="20"/>
          <w:szCs w:val="20"/>
          <w:lang w:val="es-ES"/>
        </w:rPr>
        <w:t xml:space="preserve"> Rubinder Becoche Sánchez</w:t>
      </w:r>
      <w:r>
        <w:rPr>
          <w:rFonts w:asciiTheme="majorHAnsi" w:hAnsiTheme="majorHAnsi"/>
          <w:sz w:val="20"/>
          <w:szCs w:val="20"/>
          <w:lang w:val="es-ES"/>
        </w:rPr>
        <w:t xml:space="preserve">. </w:t>
      </w:r>
      <w:r w:rsidRPr="00F21B2A">
        <w:rPr>
          <w:rFonts w:asciiTheme="majorHAnsi" w:hAnsiTheme="majorHAnsi"/>
          <w:sz w:val="20"/>
          <w:szCs w:val="20"/>
          <w:lang w:val="es-ES"/>
        </w:rPr>
        <w:t>El 30 de mayo de 2018 el ente investigador suspendió la investigación seguida en contra de Elver Antonio Contreras Ortega, por haber confesado y ser postulado de la Ley de Justicia y Paz.</w:t>
      </w:r>
    </w:p>
    <w:p w14:paraId="5FC15706" w14:textId="1B210DBB" w:rsidR="009E6A26" w:rsidRPr="00B0730A" w:rsidRDefault="009E6A26" w:rsidP="0042086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0730A">
        <w:rPr>
          <w:rFonts w:asciiTheme="majorHAnsi" w:hAnsiTheme="majorHAnsi"/>
          <w:sz w:val="20"/>
          <w:szCs w:val="20"/>
          <w:lang w:val="es-ES"/>
        </w:rPr>
        <w:t>El 31 de mayo de 2018 la Fiscalía 75 DECVDH profirió resolución de acusación en contra de Rubinder Becoche Sánchez, alias “Mono”, por los delitos de terrorismo, secuestro simple y homicidio agravado.</w:t>
      </w:r>
      <w:r w:rsidR="00F21B2A" w:rsidRPr="00B0730A">
        <w:rPr>
          <w:rFonts w:asciiTheme="majorHAnsi" w:hAnsiTheme="majorHAnsi"/>
          <w:sz w:val="20"/>
          <w:szCs w:val="20"/>
          <w:lang w:val="es-ES"/>
        </w:rPr>
        <w:t xml:space="preserve"> En la resolución de calificación del mérito sumario, el Fiscal 75 hizo un análisis del acervo probatorio que conformaba del expediente de la investigación. Señaló entre los elementos probatorios recaudados los siguientes; actas de inspección del cadáver de las víctimas; registros de defunción de las víctimas; protocolos de necropsia de las víctimas; análisis de balística practicado por el CTI; más de </w:t>
      </w:r>
      <w:r w:rsidR="008F3C4B" w:rsidRPr="00B0730A">
        <w:rPr>
          <w:rFonts w:asciiTheme="majorHAnsi" w:hAnsiTheme="majorHAnsi"/>
          <w:sz w:val="20"/>
          <w:szCs w:val="20"/>
          <w:lang w:val="es-ES"/>
        </w:rPr>
        <w:t>treinta y un</w:t>
      </w:r>
      <w:r w:rsidR="00F21B2A" w:rsidRPr="00B0730A">
        <w:rPr>
          <w:rFonts w:asciiTheme="majorHAnsi" w:hAnsiTheme="majorHAnsi"/>
          <w:sz w:val="20"/>
          <w:szCs w:val="20"/>
          <w:lang w:val="es-ES"/>
        </w:rPr>
        <w:t xml:space="preserve"> informes investigativos; más de </w:t>
      </w:r>
      <w:r w:rsidR="008F3C4B" w:rsidRPr="00B0730A">
        <w:rPr>
          <w:rFonts w:asciiTheme="majorHAnsi" w:hAnsiTheme="majorHAnsi"/>
          <w:sz w:val="20"/>
          <w:szCs w:val="20"/>
          <w:lang w:val="es-ES"/>
        </w:rPr>
        <w:t>cincuenta</w:t>
      </w:r>
      <w:r w:rsidR="00F21B2A" w:rsidRPr="00B0730A">
        <w:rPr>
          <w:rFonts w:asciiTheme="majorHAnsi" w:hAnsiTheme="majorHAnsi"/>
          <w:sz w:val="20"/>
          <w:szCs w:val="20"/>
          <w:lang w:val="es-ES"/>
        </w:rPr>
        <w:t xml:space="preserve"> declaraciones; </w:t>
      </w:r>
      <w:r w:rsidR="008F3C4B" w:rsidRPr="00B0730A">
        <w:rPr>
          <w:rFonts w:asciiTheme="majorHAnsi" w:hAnsiTheme="majorHAnsi"/>
          <w:sz w:val="20"/>
          <w:szCs w:val="20"/>
          <w:lang w:val="es-ES"/>
        </w:rPr>
        <w:t>diecisiete</w:t>
      </w:r>
      <w:r w:rsidR="00F21B2A" w:rsidRPr="00B0730A">
        <w:rPr>
          <w:rFonts w:asciiTheme="majorHAnsi" w:hAnsiTheme="majorHAnsi"/>
          <w:sz w:val="20"/>
          <w:szCs w:val="20"/>
          <w:lang w:val="es-ES"/>
        </w:rPr>
        <w:t xml:space="preserve"> diligencias de indagatoria; entrevistas; cartillas dactilares; y decisiones de situación jurídica. Para el Estado, los elementos probatorios estudiados demuestran una surtida actividad procesal en el caso. En mayo de 2019, según informó el Estado, el proceso penal se encontraba </w:t>
      </w:r>
      <w:r w:rsidRPr="00B0730A">
        <w:rPr>
          <w:rFonts w:asciiTheme="majorHAnsi" w:hAnsiTheme="majorHAnsi"/>
          <w:sz w:val="20"/>
          <w:szCs w:val="20"/>
          <w:lang w:val="es-ES"/>
        </w:rPr>
        <w:t>en etapa de juicio contra el señor Rubinder Becoche Sánchez.</w:t>
      </w:r>
    </w:p>
    <w:p w14:paraId="2824264F" w14:textId="0C202E86" w:rsidR="003A4B2B" w:rsidRPr="003A4B2B" w:rsidRDefault="009E6A26" w:rsidP="00990A8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bookmarkStart w:id="4" w:name="_Hlk130912748"/>
      <w:bookmarkEnd w:id="3"/>
      <w:r w:rsidRPr="003A4B2B">
        <w:rPr>
          <w:rFonts w:asciiTheme="majorHAnsi" w:hAnsiTheme="majorHAnsi"/>
          <w:sz w:val="20"/>
          <w:szCs w:val="20"/>
          <w:lang w:val="es-ES"/>
        </w:rPr>
        <w:t xml:space="preserve">Adicionalmente, los hechos objeto de estudio fueron investigados en el marco de la Ley de Justicia y Paz. </w:t>
      </w:r>
      <w:r w:rsidR="00E722B0" w:rsidRPr="003A4B2B">
        <w:rPr>
          <w:rFonts w:asciiTheme="majorHAnsi" w:hAnsiTheme="majorHAnsi"/>
          <w:sz w:val="20"/>
          <w:szCs w:val="20"/>
          <w:lang w:val="es-ES"/>
        </w:rPr>
        <w:t>E</w:t>
      </w:r>
      <w:r w:rsidR="00E12F9D" w:rsidRPr="003A4B2B">
        <w:rPr>
          <w:rFonts w:asciiTheme="majorHAnsi" w:hAnsiTheme="majorHAnsi"/>
          <w:sz w:val="20"/>
          <w:szCs w:val="20"/>
          <w:lang w:val="es-ES"/>
        </w:rPr>
        <w:t>l Estado</w:t>
      </w:r>
      <w:r w:rsidR="00E722B0" w:rsidRPr="003A4B2B">
        <w:rPr>
          <w:rFonts w:asciiTheme="majorHAnsi" w:hAnsiTheme="majorHAnsi"/>
          <w:sz w:val="20"/>
          <w:szCs w:val="20"/>
          <w:lang w:val="es-ES"/>
        </w:rPr>
        <w:t xml:space="preserve"> indica que</w:t>
      </w:r>
      <w:r w:rsidRPr="003A4B2B">
        <w:rPr>
          <w:rFonts w:asciiTheme="majorHAnsi" w:hAnsiTheme="majorHAnsi"/>
          <w:sz w:val="20"/>
          <w:szCs w:val="20"/>
          <w:lang w:val="es-ES"/>
        </w:rPr>
        <w:t xml:space="preserve"> la Fiscalía General de la Nación informó que la masacre de la Pedregosa fue documentada por la Dirección de Justicia Transicional de Cali, en el marco del Plan Integral de Investigación Priorizada del año 2013 (patrones de </w:t>
      </w:r>
      <w:r w:rsidR="00130194" w:rsidRPr="003A4B2B">
        <w:rPr>
          <w:rFonts w:asciiTheme="majorHAnsi" w:hAnsiTheme="majorHAnsi"/>
          <w:sz w:val="20"/>
          <w:szCs w:val="20"/>
          <w:lang w:val="es-ES"/>
        </w:rPr>
        <w:t>macro criminalidad</w:t>
      </w:r>
      <w:r w:rsidRPr="003A4B2B">
        <w:rPr>
          <w:rFonts w:asciiTheme="majorHAnsi" w:hAnsiTheme="majorHAnsi"/>
          <w:sz w:val="20"/>
          <w:szCs w:val="20"/>
          <w:lang w:val="es-ES"/>
        </w:rPr>
        <w:t>) implementado por la Unidad Nacional de Fiscalías para la Justicia y la Paz. En el marco de este proceso de justicia transicional se llevaron a cabo imputaciones colectivas parciales de cargos e imposición de medida de aseguramiento, los días 15 de mayo de 2012 y 19 de septiembre de 2013. Las imputaciones colectivas se surtieron ante los Magistrados de la Sala de Justicia y Paz de la ciudad de Bogotá D.C, por los delitos de homicidio.</w:t>
      </w:r>
      <w:r w:rsidR="003A4B2B">
        <w:rPr>
          <w:rFonts w:asciiTheme="majorHAnsi" w:hAnsiTheme="majorHAnsi"/>
          <w:sz w:val="20"/>
          <w:szCs w:val="20"/>
          <w:lang w:val="es-ES"/>
        </w:rPr>
        <w:t xml:space="preserve"> </w:t>
      </w:r>
      <w:r w:rsidR="00E12F9D" w:rsidRPr="003A4B2B">
        <w:rPr>
          <w:rFonts w:asciiTheme="majorHAnsi" w:hAnsiTheme="majorHAnsi"/>
          <w:sz w:val="20"/>
          <w:szCs w:val="20"/>
          <w:lang w:val="es-ES"/>
        </w:rPr>
        <w:t>En mayo de 2019, según informó el Estado, el proceso se encontraba a la espera de proferir sentencia de primera instancia ante la Sala de Justicia y Paz del Tribunal Superior de Bogotá.</w:t>
      </w:r>
      <w:r w:rsidR="00B46D4F" w:rsidRPr="003A4B2B">
        <w:rPr>
          <w:rFonts w:asciiTheme="majorHAnsi" w:hAnsiTheme="majorHAnsi"/>
          <w:sz w:val="20"/>
          <w:szCs w:val="20"/>
          <w:lang w:val="es-ES"/>
        </w:rPr>
        <w:t xml:space="preserve"> </w:t>
      </w:r>
    </w:p>
    <w:bookmarkEnd w:id="4"/>
    <w:p w14:paraId="71E4317C" w14:textId="7AFFA80C" w:rsidR="007C74F0" w:rsidRDefault="00B46D4F"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7C74F0">
        <w:rPr>
          <w:rFonts w:asciiTheme="majorHAnsi" w:hAnsiTheme="majorHAnsi"/>
          <w:sz w:val="20"/>
          <w:szCs w:val="20"/>
          <w:lang w:val="es-ES"/>
        </w:rPr>
        <w:t>El Estado argumenta que la obligación de investigar, juzgar y sancionar las violaciones de derechos humanos es una obligación de medio, y no de resultado; y considera que todo lo anterior demuestra que el Estado ha ejercido, de manera diligente, la función investigativa.</w:t>
      </w:r>
      <w:r w:rsidR="007C74F0">
        <w:rPr>
          <w:rFonts w:asciiTheme="majorHAnsi" w:hAnsiTheme="majorHAnsi"/>
          <w:sz w:val="20"/>
          <w:szCs w:val="20"/>
          <w:lang w:val="es-ES"/>
        </w:rPr>
        <w:t xml:space="preserve"> </w:t>
      </w:r>
      <w:r w:rsidR="007C74F0" w:rsidRPr="007C74F0">
        <w:rPr>
          <w:rFonts w:asciiTheme="majorHAnsi" w:hAnsiTheme="majorHAnsi"/>
          <w:sz w:val="20"/>
          <w:szCs w:val="20"/>
          <w:lang w:val="es-ES"/>
        </w:rPr>
        <w:t xml:space="preserve">Asimismo, que la judicialización de los hechos no ha excedido el plazo razonable </w:t>
      </w:r>
      <w:r w:rsidR="007C74F0">
        <w:rPr>
          <w:rFonts w:asciiTheme="majorHAnsi" w:hAnsiTheme="majorHAnsi"/>
          <w:sz w:val="20"/>
          <w:szCs w:val="20"/>
          <w:lang w:val="es-ES"/>
        </w:rPr>
        <w:t>a la luz de las actuaciones diligentes de la jurisdicción nacional, así como frente a la</w:t>
      </w:r>
      <w:r w:rsidR="007C74F0" w:rsidRPr="007C74F0">
        <w:rPr>
          <w:rFonts w:asciiTheme="majorHAnsi" w:hAnsiTheme="majorHAnsi"/>
          <w:sz w:val="20"/>
          <w:szCs w:val="20"/>
          <w:lang w:val="es-ES"/>
        </w:rPr>
        <w:t xml:space="preserve"> complejidad del caso</w:t>
      </w:r>
      <w:r w:rsidR="007C74F0">
        <w:rPr>
          <w:rFonts w:asciiTheme="majorHAnsi" w:hAnsiTheme="majorHAnsi"/>
          <w:sz w:val="20"/>
          <w:szCs w:val="20"/>
          <w:lang w:val="es-ES"/>
        </w:rPr>
        <w:t>. Dicha complejidad se expresa en: i) las dificultades particulares de orden probatorio para determinar, más allá de toda duda razonable, las responsabilidades individuales en los hechos perpetrados; ii) la complejidad del contexto de conflicto armado colombiano y el número de violaciones a los derechos humanos cometidos por el Bloque Colima de las AUC; iii) el número plural de víctimas.</w:t>
      </w:r>
    </w:p>
    <w:p w14:paraId="63B17745" w14:textId="31FE026A" w:rsidR="00F561D3" w:rsidRDefault="007C74F0"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bookmarkStart w:id="5" w:name="_Hlk130912963"/>
      <w:r w:rsidRPr="007C74F0">
        <w:rPr>
          <w:rFonts w:asciiTheme="majorHAnsi" w:hAnsiTheme="majorHAnsi"/>
          <w:sz w:val="20"/>
          <w:szCs w:val="20"/>
          <w:lang w:val="es-ES"/>
        </w:rPr>
        <w:t xml:space="preserve">El Estado considera además que la parte peticionaria no ha agotado los recursos internos en relación con la acción de reparación directa. </w:t>
      </w:r>
      <w:r w:rsidR="00FB6891">
        <w:rPr>
          <w:rFonts w:asciiTheme="majorHAnsi" w:hAnsiTheme="majorHAnsi"/>
          <w:sz w:val="20"/>
          <w:szCs w:val="20"/>
          <w:lang w:val="es-ES"/>
        </w:rPr>
        <w:t>I</w:t>
      </w:r>
      <w:r w:rsidRPr="007C74F0">
        <w:rPr>
          <w:rFonts w:asciiTheme="majorHAnsi" w:hAnsiTheme="majorHAnsi"/>
          <w:sz w:val="20"/>
          <w:szCs w:val="20"/>
          <w:lang w:val="es-ES"/>
        </w:rPr>
        <w:t>nforma</w:t>
      </w:r>
      <w:r>
        <w:rPr>
          <w:rFonts w:asciiTheme="majorHAnsi" w:hAnsiTheme="majorHAnsi"/>
          <w:sz w:val="20"/>
          <w:szCs w:val="20"/>
          <w:lang w:val="es-ES"/>
        </w:rPr>
        <w:t xml:space="preserve"> que </w:t>
      </w:r>
      <w:r w:rsidRPr="007C74F0">
        <w:rPr>
          <w:rFonts w:asciiTheme="majorHAnsi" w:hAnsiTheme="majorHAnsi"/>
          <w:sz w:val="20"/>
          <w:szCs w:val="20"/>
          <w:lang w:val="es-ES"/>
        </w:rPr>
        <w:t xml:space="preserve">el 22 de noviembre de 2002 la acción de reparación directa </w:t>
      </w:r>
      <w:r w:rsidR="00B0730A">
        <w:rPr>
          <w:rFonts w:asciiTheme="majorHAnsi" w:hAnsiTheme="majorHAnsi"/>
          <w:sz w:val="20"/>
          <w:szCs w:val="20"/>
          <w:lang w:val="es-ES"/>
        </w:rPr>
        <w:t xml:space="preserve">fue interpuesta </w:t>
      </w:r>
      <w:r w:rsidRPr="007C74F0">
        <w:rPr>
          <w:rFonts w:asciiTheme="majorHAnsi" w:hAnsiTheme="majorHAnsi"/>
          <w:sz w:val="20"/>
          <w:szCs w:val="20"/>
          <w:lang w:val="es-ES"/>
        </w:rPr>
        <w:t>en contra de la Nación-Ministerio de Defensa Nacional-Policía Nacional. La demanda solicit</w:t>
      </w:r>
      <w:r w:rsidR="0006309F">
        <w:rPr>
          <w:rFonts w:asciiTheme="majorHAnsi" w:hAnsiTheme="majorHAnsi"/>
          <w:sz w:val="20"/>
          <w:szCs w:val="20"/>
          <w:lang w:val="es-ES"/>
        </w:rPr>
        <w:t>ó</w:t>
      </w:r>
      <w:r w:rsidRPr="007C74F0">
        <w:rPr>
          <w:rFonts w:asciiTheme="majorHAnsi" w:hAnsiTheme="majorHAnsi"/>
          <w:sz w:val="20"/>
          <w:szCs w:val="20"/>
          <w:lang w:val="es-ES"/>
        </w:rPr>
        <w:t xml:space="preserve"> que se declare administrativamente responsable a estas entidades por los prejuiciosos causados con motivo de la muerte de Luis Germán Valenzuela Carabalí, Dagoberto Velazco Changuendo, Eris Arturo Camayo Guetio y Diego Arnulfo Camayo</w:t>
      </w:r>
      <w:r>
        <w:rPr>
          <w:rFonts w:asciiTheme="majorHAnsi" w:hAnsiTheme="majorHAnsi"/>
          <w:sz w:val="20"/>
          <w:szCs w:val="20"/>
          <w:lang w:val="es-ES"/>
        </w:rPr>
        <w:t>. Sin embargo,</w:t>
      </w:r>
      <w:r w:rsidRPr="007C74F0">
        <w:rPr>
          <w:rFonts w:asciiTheme="majorHAnsi" w:hAnsiTheme="majorHAnsi"/>
          <w:sz w:val="20"/>
          <w:szCs w:val="20"/>
          <w:lang w:val="es-ES"/>
        </w:rPr>
        <w:t xml:space="preserve"> </w:t>
      </w:r>
      <w:r>
        <w:rPr>
          <w:rFonts w:asciiTheme="majorHAnsi" w:hAnsiTheme="majorHAnsi"/>
          <w:sz w:val="20"/>
          <w:szCs w:val="20"/>
          <w:lang w:val="es-ES"/>
        </w:rPr>
        <w:t>e</w:t>
      </w:r>
      <w:r w:rsidRPr="007C74F0">
        <w:rPr>
          <w:rFonts w:asciiTheme="majorHAnsi" w:hAnsiTheme="majorHAnsi"/>
          <w:sz w:val="20"/>
          <w:szCs w:val="20"/>
          <w:lang w:val="es-ES"/>
        </w:rPr>
        <w:t>l Tribunal Administrativo del Cauca emitió fallo de primera instancia el 7 de julio de 2011, negando las pretensiones de los demandantes</w:t>
      </w:r>
      <w:r w:rsidR="00F561D3">
        <w:rPr>
          <w:rFonts w:asciiTheme="majorHAnsi" w:hAnsiTheme="majorHAnsi"/>
          <w:sz w:val="20"/>
          <w:szCs w:val="20"/>
          <w:lang w:val="es-ES"/>
        </w:rPr>
        <w:t>.</w:t>
      </w:r>
    </w:p>
    <w:p w14:paraId="7209DA10" w14:textId="27502B7F" w:rsidR="00F561D3" w:rsidRDefault="00F561D3"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Ante el expuesto, l</w:t>
      </w:r>
      <w:r w:rsidR="007C74F0" w:rsidRPr="00F561D3">
        <w:rPr>
          <w:rFonts w:asciiTheme="majorHAnsi" w:hAnsiTheme="majorHAnsi"/>
          <w:sz w:val="20"/>
          <w:szCs w:val="20"/>
          <w:lang w:val="es-ES"/>
        </w:rPr>
        <w:t xml:space="preserve">os demandantes interpusieron </w:t>
      </w:r>
      <w:r w:rsidR="00C630A7">
        <w:rPr>
          <w:rFonts w:asciiTheme="majorHAnsi" w:hAnsiTheme="majorHAnsi"/>
          <w:sz w:val="20"/>
          <w:szCs w:val="20"/>
          <w:lang w:val="es-ES"/>
        </w:rPr>
        <w:t xml:space="preserve">un </w:t>
      </w:r>
      <w:r w:rsidR="007C74F0" w:rsidRPr="00F561D3">
        <w:rPr>
          <w:rFonts w:asciiTheme="majorHAnsi" w:hAnsiTheme="majorHAnsi"/>
          <w:sz w:val="20"/>
          <w:szCs w:val="20"/>
          <w:lang w:val="es-ES"/>
        </w:rPr>
        <w:t xml:space="preserve">recurso de apelación en contra del fallo de primera instancia. Recurso que fue admitido por el Consejo de Estado el 20 de abril de 2012. Los días 17 de octubre de 2012 y 27 de noviembre de 2012, </w:t>
      </w:r>
      <w:r>
        <w:rPr>
          <w:rFonts w:asciiTheme="majorHAnsi" w:hAnsiTheme="majorHAnsi"/>
          <w:sz w:val="20"/>
          <w:szCs w:val="20"/>
          <w:lang w:val="es-ES"/>
        </w:rPr>
        <w:t>fueron emitidos</w:t>
      </w:r>
      <w:r w:rsidR="007C74F0" w:rsidRPr="00F561D3">
        <w:rPr>
          <w:rFonts w:asciiTheme="majorHAnsi" w:hAnsiTheme="majorHAnsi"/>
          <w:sz w:val="20"/>
          <w:szCs w:val="20"/>
          <w:lang w:val="es-ES"/>
        </w:rPr>
        <w:t xml:space="preserve"> autos de solicitud de pruebas, entre las cuales se requieren los expedientes de las investigaciones penales desarrolladas por la Fiscalía 55 de la Unidad Nacional de Derechos Humanos y de Derecho Internacional Humanitario de Cali y por la Unidad de Justicia y Paz. El 23 de enero de 2013, </w:t>
      </w:r>
      <w:r>
        <w:rPr>
          <w:rFonts w:asciiTheme="majorHAnsi" w:hAnsiTheme="majorHAnsi"/>
          <w:sz w:val="20"/>
          <w:szCs w:val="20"/>
          <w:lang w:val="es-ES"/>
        </w:rPr>
        <w:t>fueron recibidas</w:t>
      </w:r>
      <w:r w:rsidR="007C74F0" w:rsidRPr="00F561D3">
        <w:rPr>
          <w:rFonts w:asciiTheme="majorHAnsi" w:hAnsiTheme="majorHAnsi"/>
          <w:sz w:val="20"/>
          <w:szCs w:val="20"/>
          <w:lang w:val="es-ES"/>
        </w:rPr>
        <w:t xml:space="preserve"> copias de la investigación penal adelantada por la Fiscalía 55 de la Unidad Nacional de Derechos Humanos y de Derecho Internacional Humanitario. El 5 de febrero de 2013, se emitió oficio requiriendo a la Fiscalía General de la Nación. El 6 de marzo de 2013, </w:t>
      </w:r>
      <w:r>
        <w:rPr>
          <w:rFonts w:asciiTheme="majorHAnsi" w:hAnsiTheme="majorHAnsi"/>
          <w:sz w:val="20"/>
          <w:szCs w:val="20"/>
          <w:lang w:val="es-ES"/>
        </w:rPr>
        <w:t>fue emitido</w:t>
      </w:r>
      <w:r w:rsidR="007C74F0" w:rsidRPr="00F561D3">
        <w:rPr>
          <w:rFonts w:asciiTheme="majorHAnsi" w:hAnsiTheme="majorHAnsi"/>
          <w:sz w:val="20"/>
          <w:szCs w:val="20"/>
          <w:lang w:val="es-ES"/>
        </w:rPr>
        <w:t xml:space="preserve"> auto de traslado a las partes de los documentos remitidos por la Fiscalía General de la Nación. El 20 de marzo de 2013, </w:t>
      </w:r>
      <w:r>
        <w:rPr>
          <w:rFonts w:asciiTheme="majorHAnsi" w:hAnsiTheme="majorHAnsi"/>
          <w:sz w:val="20"/>
          <w:szCs w:val="20"/>
          <w:lang w:val="es-ES"/>
        </w:rPr>
        <w:t xml:space="preserve">fue recibido </w:t>
      </w:r>
      <w:r>
        <w:rPr>
          <w:rFonts w:asciiTheme="majorHAnsi" w:hAnsiTheme="majorHAnsi"/>
          <w:sz w:val="20"/>
          <w:szCs w:val="20"/>
          <w:lang w:val="es-ES"/>
        </w:rPr>
        <w:lastRenderedPageBreak/>
        <w:t>el</w:t>
      </w:r>
      <w:r w:rsidR="007C74F0" w:rsidRPr="00F561D3">
        <w:rPr>
          <w:rFonts w:asciiTheme="majorHAnsi" w:hAnsiTheme="majorHAnsi"/>
          <w:sz w:val="20"/>
          <w:szCs w:val="20"/>
          <w:lang w:val="es-ES"/>
        </w:rPr>
        <w:t xml:space="preserve"> memorial de la Fiscal 40 delegada ante el Tribunal Superior de Bogotá, Sala de Justicia y Paz. El 21 de febrero de 2014, </w:t>
      </w:r>
      <w:r>
        <w:rPr>
          <w:rFonts w:asciiTheme="majorHAnsi" w:hAnsiTheme="majorHAnsi"/>
          <w:sz w:val="20"/>
          <w:szCs w:val="20"/>
          <w:lang w:val="es-ES"/>
        </w:rPr>
        <w:t xml:space="preserve">diferentes documentos fueron trasladados a las partes </w:t>
      </w:r>
      <w:r w:rsidR="007C74F0" w:rsidRPr="00F561D3">
        <w:rPr>
          <w:rFonts w:asciiTheme="majorHAnsi" w:hAnsiTheme="majorHAnsi"/>
          <w:sz w:val="20"/>
          <w:szCs w:val="20"/>
          <w:lang w:val="es-ES"/>
        </w:rPr>
        <w:t>para que estas ejercieran su derecho de contradicción</w:t>
      </w:r>
      <w:r w:rsidRPr="00F561D3">
        <w:rPr>
          <w:rFonts w:asciiTheme="majorHAnsi" w:hAnsiTheme="majorHAnsi"/>
          <w:sz w:val="20"/>
          <w:szCs w:val="20"/>
          <w:lang w:val="es-ES"/>
        </w:rPr>
        <w:t>. El 4 de abril de 2014 se corrió traslado a las partes para que se presentaran los alegatos de conclusión. Posteriormente, el 26 mayo de 2016 el proceso pas</w:t>
      </w:r>
      <w:r>
        <w:rPr>
          <w:rFonts w:asciiTheme="majorHAnsi" w:hAnsiTheme="majorHAnsi"/>
          <w:sz w:val="20"/>
          <w:szCs w:val="20"/>
          <w:lang w:val="es-ES"/>
        </w:rPr>
        <w:t>ó</w:t>
      </w:r>
      <w:r w:rsidRPr="00F561D3">
        <w:rPr>
          <w:rFonts w:asciiTheme="majorHAnsi" w:hAnsiTheme="majorHAnsi"/>
          <w:sz w:val="20"/>
          <w:szCs w:val="20"/>
          <w:lang w:val="es-ES"/>
        </w:rPr>
        <w:t xml:space="preserve"> al despacho del magistrado ponente para fallo de segunda instancia, </w:t>
      </w:r>
      <w:r>
        <w:rPr>
          <w:rFonts w:asciiTheme="majorHAnsi" w:hAnsiTheme="majorHAnsi"/>
          <w:sz w:val="20"/>
          <w:szCs w:val="20"/>
          <w:lang w:val="es-ES"/>
        </w:rPr>
        <w:t>con el fin de resolver</w:t>
      </w:r>
      <w:r w:rsidRPr="00F561D3">
        <w:rPr>
          <w:rFonts w:asciiTheme="majorHAnsi" w:hAnsiTheme="majorHAnsi"/>
          <w:sz w:val="20"/>
          <w:szCs w:val="20"/>
          <w:lang w:val="es-ES"/>
        </w:rPr>
        <w:t xml:space="preserve"> recurso de apelación. </w:t>
      </w:r>
    </w:p>
    <w:p w14:paraId="376E5B0A" w14:textId="5CE9BE97" w:rsidR="00F561D3" w:rsidRDefault="00F561D3"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61D3">
        <w:rPr>
          <w:rFonts w:asciiTheme="majorHAnsi" w:hAnsiTheme="majorHAnsi"/>
          <w:sz w:val="20"/>
          <w:szCs w:val="20"/>
          <w:lang w:val="es-ES"/>
        </w:rPr>
        <w:t>Para el Estado, lo anterior demuestra que la Jurisdicción de lo Contencioso Administrativo ha obrado de manera diligente frente al trámite de la acción de reparación directa</w:t>
      </w:r>
      <w:r w:rsidR="00740190">
        <w:rPr>
          <w:rFonts w:asciiTheme="majorHAnsi" w:hAnsiTheme="majorHAnsi"/>
          <w:sz w:val="20"/>
          <w:szCs w:val="20"/>
          <w:lang w:val="es-ES"/>
        </w:rPr>
        <w:t>; y que esta</w:t>
      </w:r>
      <w:r w:rsidRPr="00F561D3">
        <w:rPr>
          <w:rFonts w:asciiTheme="majorHAnsi" w:hAnsiTheme="majorHAnsi"/>
          <w:sz w:val="20"/>
          <w:szCs w:val="20"/>
          <w:lang w:val="es-ES"/>
        </w:rPr>
        <w:t xml:space="preserve"> vía no había sido agotada, una vez que el recurso interpuesto por las presuntas víctimas aún se encontraba surtiendo trámite de segunda instancia ante el Consejo de Estado.</w:t>
      </w:r>
    </w:p>
    <w:bookmarkEnd w:id="5"/>
    <w:p w14:paraId="05376878" w14:textId="3CF108B3" w:rsidR="00F561D3" w:rsidRPr="00F561D3" w:rsidRDefault="00F561D3"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En conclusión, el Estado considera que los alegatos presentados por los peticionarios han sido estudiados por las instancias internas, de manera que la Comisión Interamericana no se enc</w:t>
      </w:r>
      <w:r w:rsidR="00E84368">
        <w:rPr>
          <w:rFonts w:asciiTheme="majorHAnsi" w:hAnsiTheme="majorHAnsi"/>
          <w:sz w:val="20"/>
          <w:szCs w:val="20"/>
          <w:lang w:val="es-ES"/>
        </w:rPr>
        <w:t>ontraría</w:t>
      </w:r>
      <w:r>
        <w:rPr>
          <w:rFonts w:asciiTheme="majorHAnsi" w:hAnsiTheme="majorHAnsi"/>
          <w:sz w:val="20"/>
          <w:szCs w:val="20"/>
          <w:lang w:val="es-ES"/>
        </w:rPr>
        <w:t xml:space="preserve"> facultada para estudiar los hechos sin convertirse, indebidamente, en un “tribunal de alzada” o “cuarta instancia” frente a los recursos internos.</w:t>
      </w:r>
    </w:p>
    <w:p w14:paraId="6B466593" w14:textId="23EAD031" w:rsidR="00B83158" w:rsidRPr="00B83158" w:rsidRDefault="00B83158" w:rsidP="00E153B0">
      <w:pPr>
        <w:spacing w:before="240" w:after="240"/>
        <w:ind w:firstLine="720"/>
        <w:jc w:val="both"/>
        <w:rPr>
          <w:rFonts w:ascii="Cambria" w:hAnsi="Cambria"/>
          <w:sz w:val="20"/>
          <w:szCs w:val="20"/>
          <w:lang w:val="es-UY"/>
        </w:rPr>
      </w:pPr>
      <w:r w:rsidRPr="00B83158">
        <w:rPr>
          <w:rFonts w:asciiTheme="majorHAnsi" w:hAnsiTheme="majorHAnsi"/>
          <w:b/>
          <w:sz w:val="20"/>
          <w:szCs w:val="20"/>
          <w:lang w:val="es-UY"/>
        </w:rPr>
        <w:t>V</w:t>
      </w:r>
      <w:r>
        <w:rPr>
          <w:rFonts w:asciiTheme="majorHAnsi" w:hAnsiTheme="majorHAnsi"/>
          <w:b/>
          <w:sz w:val="20"/>
          <w:szCs w:val="20"/>
          <w:lang w:val="es-UY"/>
        </w:rPr>
        <w:t>I</w:t>
      </w:r>
      <w:r w:rsidRPr="00B83158">
        <w:rPr>
          <w:rFonts w:asciiTheme="majorHAnsi" w:hAnsiTheme="majorHAnsi"/>
          <w:b/>
          <w:sz w:val="20"/>
          <w:szCs w:val="20"/>
          <w:lang w:val="es-UY"/>
        </w:rPr>
        <w:t xml:space="preserve">. </w:t>
      </w:r>
      <w:r w:rsidRPr="00B83158">
        <w:rPr>
          <w:rFonts w:asciiTheme="majorHAnsi" w:hAnsiTheme="majorHAnsi"/>
          <w:b/>
          <w:sz w:val="20"/>
          <w:szCs w:val="20"/>
          <w:lang w:val="es-UY"/>
        </w:rPr>
        <w:tab/>
      </w:r>
      <w:r w:rsidRPr="00E64C3D">
        <w:rPr>
          <w:rFonts w:asciiTheme="majorHAnsi" w:hAnsiTheme="majorHAnsi"/>
          <w:b/>
          <w:bCs/>
          <w:sz w:val="20"/>
          <w:szCs w:val="20"/>
          <w:lang w:val="es-ES_tradnl"/>
        </w:rPr>
        <w:t xml:space="preserve">ANÁLISIS DE </w:t>
      </w:r>
      <w:r w:rsidRPr="00E64C3D">
        <w:rPr>
          <w:rFonts w:asciiTheme="majorHAnsi" w:hAnsiTheme="majorHAnsi"/>
          <w:b/>
          <w:sz w:val="20"/>
          <w:szCs w:val="20"/>
          <w:lang w:val="es-ES"/>
        </w:rPr>
        <w:t>AGOTAMIENTO DE LOS RECURSOS INTERNOS Y PLAZO DE PRESENTACIÓN</w:t>
      </w:r>
      <w:r w:rsidRPr="00E64C3D">
        <w:rPr>
          <w:rFonts w:asciiTheme="majorHAnsi" w:eastAsia="Cambria" w:hAnsiTheme="majorHAnsi" w:cs="Cambria"/>
          <w:b/>
          <w:bCs/>
          <w:color w:val="000000"/>
          <w:sz w:val="20"/>
          <w:szCs w:val="20"/>
          <w:u w:color="000000"/>
          <w:lang w:val="es-ES" w:eastAsia="es-ES"/>
        </w:rPr>
        <w:t xml:space="preserve"> </w:t>
      </w:r>
    </w:p>
    <w:p w14:paraId="0FF8BD6A" w14:textId="393297FD" w:rsidR="002F2183" w:rsidRDefault="002F2183" w:rsidP="008F329A">
      <w:pPr>
        <w:pStyle w:val="ListParagraph"/>
        <w:widowControl w:val="0"/>
        <w:numPr>
          <w:ilvl w:val="0"/>
          <w:numId w:val="59"/>
        </w:numPr>
        <w:spacing w:before="240" w:after="240"/>
        <w:ind w:left="0" w:firstLine="720"/>
        <w:jc w:val="both"/>
        <w:rPr>
          <w:sz w:val="20"/>
          <w:szCs w:val="20"/>
          <w:lang w:val="es-ES"/>
        </w:rPr>
      </w:pPr>
      <w:r w:rsidRPr="002F2183">
        <w:rPr>
          <w:sz w:val="20"/>
          <w:szCs w:val="20"/>
          <w:lang w:val="es-ES"/>
        </w:rPr>
        <w:t>La CIDH recuerda que en casos de graves violaciones de derechos humanos,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2F2183">
        <w:rPr>
          <w:bCs/>
          <w:sz w:val="20"/>
          <w:szCs w:val="20"/>
          <w:vertAlign w:val="superscript"/>
        </w:rPr>
        <w:footnoteReference w:id="5"/>
      </w:r>
      <w:r w:rsidRPr="002F2183">
        <w:rPr>
          <w:sz w:val="20"/>
          <w:szCs w:val="20"/>
          <w:lang w:val="es-ES"/>
        </w:rPr>
        <w:t xml:space="preserve">. </w:t>
      </w:r>
    </w:p>
    <w:p w14:paraId="20B7A7A1" w14:textId="4C788900" w:rsidR="008F329A" w:rsidRPr="008F329A" w:rsidRDefault="008F329A" w:rsidP="008F329A">
      <w:pPr>
        <w:pStyle w:val="ListParagraph"/>
        <w:widowControl w:val="0"/>
        <w:numPr>
          <w:ilvl w:val="0"/>
          <w:numId w:val="59"/>
        </w:numPr>
        <w:spacing w:before="240" w:after="240"/>
        <w:ind w:left="0" w:firstLine="720"/>
        <w:jc w:val="both"/>
        <w:rPr>
          <w:sz w:val="20"/>
          <w:szCs w:val="20"/>
          <w:lang w:val="es-ES"/>
        </w:rPr>
      </w:pPr>
      <w:r w:rsidRPr="008F329A">
        <w:rPr>
          <w:sz w:val="20"/>
          <w:szCs w:val="20"/>
          <w:lang w:val="es-ES"/>
        </w:rPr>
        <w:t>En relación con el proceso penal ordinario, la parte peticionaria informa que el proceso continuaba en etapa de instrucción en marzo de 2018, y señala que las investigaciones habían sido insuficientes con respecto a todos los involucrados y la tolerancia y convivencia de funcionarios públicos civiles y militares. Asimismo, señala que el proceso fue suspendido</w:t>
      </w:r>
      <w:r w:rsidR="00F439E6">
        <w:rPr>
          <w:sz w:val="20"/>
          <w:szCs w:val="20"/>
          <w:lang w:val="es-ES"/>
        </w:rPr>
        <w:t>,</w:t>
      </w:r>
      <w:r w:rsidRPr="008F329A">
        <w:rPr>
          <w:sz w:val="20"/>
          <w:szCs w:val="20"/>
          <w:lang w:val="es-ES"/>
        </w:rPr>
        <w:t xml:space="preserve"> y que a partir de agosto de 2014 quedaron en libertad los paramilitares postulados en el marco de la Ley de Justicia y Paz. El Estado, de su parte, informa que el proceso penal ha tramitado hasta que, en febrero, abril y mayo de 2018, las investigaciones fueron cerradas </w:t>
      </w:r>
      <w:r w:rsidR="002244F1">
        <w:rPr>
          <w:sz w:val="20"/>
          <w:szCs w:val="20"/>
          <w:lang w:val="es-ES"/>
        </w:rPr>
        <w:t xml:space="preserve">respectivamente </w:t>
      </w:r>
      <w:r w:rsidRPr="008F329A">
        <w:rPr>
          <w:sz w:val="20"/>
          <w:szCs w:val="20"/>
          <w:lang w:val="es-ES"/>
        </w:rPr>
        <w:t>en contra del Sr. Hoyos; parcialmente cerradas en contra de Rubinder Becoche Sánchez; y suspendidas en contra de Elver Antonio Contreras Ortega, en virtud de la Ley de Justicia y Paz. Adicionalmente, el 31 de mayo de 2018 la Fiscalía profirió resolución de acusación en contra de Rubinder Becoche Sánchez por los delitos de terrorismo, secuestro simple y homicidio agravado. En mayo de 2019, el proceso penal se encontraba en etapa de juicio contra Rubinder Becoche Sánchez.</w:t>
      </w:r>
    </w:p>
    <w:p w14:paraId="40A69DC3" w14:textId="77777777" w:rsidR="008F329A" w:rsidRPr="008F329A" w:rsidRDefault="008F329A" w:rsidP="008F329A">
      <w:pPr>
        <w:pStyle w:val="ListParagraph"/>
        <w:widowControl w:val="0"/>
        <w:numPr>
          <w:ilvl w:val="0"/>
          <w:numId w:val="59"/>
        </w:numPr>
        <w:spacing w:before="240" w:after="240"/>
        <w:ind w:left="0" w:firstLine="720"/>
        <w:jc w:val="both"/>
        <w:rPr>
          <w:sz w:val="20"/>
          <w:szCs w:val="20"/>
          <w:lang w:val="es-ES"/>
        </w:rPr>
      </w:pPr>
      <w:r w:rsidRPr="008F329A">
        <w:rPr>
          <w:sz w:val="20"/>
          <w:szCs w:val="20"/>
          <w:lang w:val="es-ES"/>
        </w:rPr>
        <w:t>En cuanto al proceso de justicia y paz, la parte peticionaria informa, en marzo de 2022, que tampoco se concluyó, además de considerar la jurisdicción de justicia y paz como parcial y conducente a la impunidad. El Estado indica que en mayo de 2019 el proceso se encontraba a la espera de proferir sentencia de primera instancia ante la Sala de Justicia y Paz del Tribunal Superior de Bogotá.</w:t>
      </w:r>
    </w:p>
    <w:p w14:paraId="358435E9" w14:textId="52FF0640" w:rsidR="008F329A" w:rsidRDefault="008F329A" w:rsidP="008F329A">
      <w:pPr>
        <w:pStyle w:val="ListParagraph"/>
        <w:widowControl w:val="0"/>
        <w:numPr>
          <w:ilvl w:val="0"/>
          <w:numId w:val="59"/>
        </w:numPr>
        <w:spacing w:before="240" w:after="240"/>
        <w:ind w:left="0" w:firstLine="720"/>
        <w:jc w:val="both"/>
        <w:rPr>
          <w:sz w:val="20"/>
          <w:szCs w:val="20"/>
          <w:lang w:val="es-ES"/>
        </w:rPr>
      </w:pPr>
      <w:r w:rsidRPr="008F329A">
        <w:rPr>
          <w:sz w:val="20"/>
          <w:szCs w:val="20"/>
          <w:lang w:val="es-ES"/>
        </w:rPr>
        <w:t>Con respecto al proceso administrativo, el Estado informa que la acción de reparación directa fue interpuesta el 22 de noviembre de 2002 y rechazada por el Tribunal Administrativo del Cauca el 7 de julio de 2011. El recurso de apelación en contra de dicha decisión fue admitido el 20 de abril de 2012. La información más reciente presentada por el Estado indica que el proceso había pasado al despacho del magistrado ponente para fallo de segunda instancia el 26 de mayo de 2016.</w:t>
      </w:r>
    </w:p>
    <w:p w14:paraId="480C82E2" w14:textId="200E32E5" w:rsidR="002F2183" w:rsidRPr="00DA4343" w:rsidRDefault="002F2183" w:rsidP="004203F2">
      <w:pPr>
        <w:pStyle w:val="ListParagraph"/>
        <w:widowControl w:val="0"/>
        <w:numPr>
          <w:ilvl w:val="0"/>
          <w:numId w:val="59"/>
        </w:numPr>
        <w:spacing w:before="240" w:after="240"/>
        <w:ind w:left="0" w:firstLine="720"/>
        <w:jc w:val="both"/>
        <w:rPr>
          <w:sz w:val="20"/>
          <w:szCs w:val="20"/>
          <w:lang w:val="es-ES"/>
        </w:rPr>
      </w:pPr>
      <w:r w:rsidRPr="00DA4343">
        <w:rPr>
          <w:sz w:val="20"/>
          <w:szCs w:val="20"/>
          <w:lang w:val="es-ES"/>
        </w:rPr>
        <w:t xml:space="preserve">En ese sentido, la Comisión advierte que, pese a los aportes del Estado sobre los avances indicados alcanzados en los procesos internos, han transcurrido más de </w:t>
      </w:r>
      <w:r w:rsidR="00396D45" w:rsidRPr="00DA4343">
        <w:rPr>
          <w:sz w:val="20"/>
          <w:szCs w:val="20"/>
          <w:lang w:val="es-ES"/>
        </w:rPr>
        <w:t>veintidós</w:t>
      </w:r>
      <w:r w:rsidRPr="00DA4343">
        <w:rPr>
          <w:sz w:val="20"/>
          <w:szCs w:val="20"/>
          <w:lang w:val="es-ES"/>
        </w:rPr>
        <w:t xml:space="preserve"> años desde el momento en que ocurrieron los hechos, sin que el Estado lograra concluir los procesos penales</w:t>
      </w:r>
      <w:r w:rsidR="00A12C78">
        <w:rPr>
          <w:sz w:val="20"/>
          <w:szCs w:val="20"/>
          <w:lang w:val="es-ES"/>
        </w:rPr>
        <w:t>;</w:t>
      </w:r>
      <w:r w:rsidR="00CC6A83">
        <w:rPr>
          <w:sz w:val="20"/>
          <w:szCs w:val="20"/>
          <w:lang w:val="es-ES"/>
        </w:rPr>
        <w:t xml:space="preserve"> </w:t>
      </w:r>
      <w:r w:rsidR="00A12C78">
        <w:rPr>
          <w:sz w:val="20"/>
          <w:szCs w:val="20"/>
          <w:lang w:val="es-ES"/>
        </w:rPr>
        <w:t>y</w:t>
      </w:r>
      <w:r w:rsidR="00CC6A83">
        <w:rPr>
          <w:sz w:val="20"/>
          <w:szCs w:val="20"/>
          <w:lang w:val="es-ES"/>
        </w:rPr>
        <w:t xml:space="preserve"> que en general</w:t>
      </w:r>
      <w:r w:rsidR="00066490">
        <w:rPr>
          <w:sz w:val="20"/>
          <w:szCs w:val="20"/>
          <w:lang w:val="es-ES"/>
        </w:rPr>
        <w:t xml:space="preserve">, hasta la fecha no se han individualizado ni sancionado a los responsables. </w:t>
      </w:r>
    </w:p>
    <w:p w14:paraId="4C900B17" w14:textId="6685C4C8" w:rsidR="002F2183" w:rsidRPr="002F2183" w:rsidRDefault="002F2183"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805D5C">
        <w:rPr>
          <w:rFonts w:asciiTheme="majorHAnsi" w:hAnsiTheme="majorHAnsi"/>
          <w:sz w:val="20"/>
          <w:szCs w:val="20"/>
          <w:lang w:val="es-ES"/>
        </w:rPr>
        <w:lastRenderedPageBreak/>
        <w:t>El requisito del agotamiento previo no puede interpretarse de tal manera que produzca un impedimento prolongado o injustificado del acceso al sistema interamericano.</w:t>
      </w:r>
      <w:r>
        <w:rPr>
          <w:rFonts w:asciiTheme="majorHAnsi" w:hAnsiTheme="majorHAnsi"/>
          <w:sz w:val="20"/>
          <w:szCs w:val="20"/>
          <w:lang w:val="es-ES"/>
        </w:rPr>
        <w:t xml:space="preserve"> </w:t>
      </w:r>
      <w:r w:rsidRPr="002F2183">
        <w:rPr>
          <w:sz w:val="20"/>
          <w:szCs w:val="20"/>
          <w:lang w:val="es-ES"/>
        </w:rPr>
        <w:t>La CIDH ha determinado que, cuando se presentan elementos concretos de impunidad parcial en casos de graves violaciones de derechos humanos, como en el presente, resulta aplicable la excepción al agotamiento de los recursos internos prevista en el artículo 46.2.c) de la Convención Americana</w:t>
      </w:r>
      <w:r w:rsidRPr="002F2183">
        <w:rPr>
          <w:bCs/>
          <w:sz w:val="20"/>
          <w:szCs w:val="20"/>
          <w:vertAlign w:val="superscript"/>
        </w:rPr>
        <w:footnoteReference w:id="6"/>
      </w:r>
      <w:r>
        <w:rPr>
          <w:sz w:val="20"/>
          <w:szCs w:val="20"/>
          <w:lang w:val="es-ES"/>
        </w:rPr>
        <w:t>.</w:t>
      </w:r>
    </w:p>
    <w:p w14:paraId="54863B22" w14:textId="525AA138" w:rsidR="001D2879" w:rsidRDefault="00704306" w:rsidP="001D287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704306">
        <w:rPr>
          <w:rFonts w:asciiTheme="majorHAnsi" w:hAnsiTheme="majorHAnsi"/>
          <w:sz w:val="20"/>
          <w:szCs w:val="20"/>
          <w:lang w:val="es-ES"/>
        </w:rPr>
        <w:t xml:space="preserve">De acuerdo con el artículo 46.2 de la Convención, el plazo de presentación de seis meses no resulta aplicable en los casos en que procede una excepción al agotamiento de los recursos internos. En estos casos, la Comisión debe analizar en conformidad con el artículo 32.2 de su reglamento si la petición fue presentada dentro de un plazo razonable en atención a la fecha en que ocurrió la presunta violación y las circunstancias de cada caso. En el presente caso, la Comisión nota que </w:t>
      </w:r>
      <w:r w:rsidR="00E021FA">
        <w:rPr>
          <w:rFonts w:asciiTheme="majorHAnsi" w:hAnsiTheme="majorHAnsi"/>
          <w:sz w:val="20"/>
          <w:szCs w:val="20"/>
          <w:lang w:val="es-ES"/>
        </w:rPr>
        <w:t>las alegadas detenciones arbitrarias,</w:t>
      </w:r>
      <w:r w:rsidR="00E021FA" w:rsidRPr="00E021FA">
        <w:rPr>
          <w:color w:val="auto"/>
          <w:sz w:val="20"/>
          <w:szCs w:val="20"/>
          <w:lang w:val="es-419"/>
        </w:rPr>
        <w:t xml:space="preserve"> </w:t>
      </w:r>
      <w:r w:rsidR="00E021FA">
        <w:rPr>
          <w:color w:val="auto"/>
          <w:sz w:val="20"/>
          <w:szCs w:val="20"/>
          <w:lang w:val="es-419"/>
        </w:rPr>
        <w:t xml:space="preserve">agresiones y muerte de campesinos en el contexto de la llamada </w:t>
      </w:r>
      <w:r w:rsidR="00E021FA">
        <w:rPr>
          <w:bCs/>
          <w:sz w:val="20"/>
          <w:szCs w:val="20"/>
          <w:lang w:val="es-ES"/>
        </w:rPr>
        <w:t>Masacre de la Pedregosas se produjeron en noviembre de 2000,</w:t>
      </w:r>
      <w:r w:rsidRPr="00704306">
        <w:rPr>
          <w:rFonts w:asciiTheme="majorHAnsi" w:hAnsiTheme="majorHAnsi"/>
          <w:sz w:val="20"/>
          <w:szCs w:val="20"/>
          <w:lang w:val="es-ES"/>
        </w:rPr>
        <w:t xml:space="preserve"> y que la petición fue recibida el </w:t>
      </w:r>
      <w:r w:rsidR="00E021FA">
        <w:rPr>
          <w:rFonts w:asciiTheme="majorHAnsi" w:hAnsiTheme="majorHAnsi"/>
          <w:sz w:val="20"/>
          <w:szCs w:val="20"/>
          <w:lang w:val="es-ES"/>
        </w:rPr>
        <w:t>29 de marzo de 2011</w:t>
      </w:r>
      <w:r w:rsidRPr="00704306">
        <w:rPr>
          <w:rFonts w:asciiTheme="majorHAnsi" w:hAnsiTheme="majorHAnsi"/>
          <w:sz w:val="20"/>
          <w:szCs w:val="20"/>
          <w:lang w:val="es-ES"/>
        </w:rPr>
        <w:t xml:space="preserve"> mientras seguían los procesos internos de investigación. Observa también que la alegada denegación de justicia e impunidad se extiende hasta el presente, más de </w:t>
      </w:r>
      <w:r w:rsidR="00C86FA4">
        <w:rPr>
          <w:rFonts w:asciiTheme="majorHAnsi" w:hAnsiTheme="majorHAnsi"/>
          <w:sz w:val="20"/>
          <w:szCs w:val="20"/>
          <w:lang w:val="es-ES"/>
        </w:rPr>
        <w:t>veintidós</w:t>
      </w:r>
      <w:r w:rsidRPr="00704306">
        <w:rPr>
          <w:rFonts w:asciiTheme="majorHAnsi" w:hAnsiTheme="majorHAnsi"/>
          <w:sz w:val="20"/>
          <w:szCs w:val="20"/>
          <w:lang w:val="es-ES"/>
        </w:rPr>
        <w:t xml:space="preserve"> años después de la ocurrencia de los hechos. Por lo tanto, y </w:t>
      </w:r>
      <w:r w:rsidR="00AB6E56" w:rsidRPr="00704306">
        <w:rPr>
          <w:rFonts w:asciiTheme="majorHAnsi" w:hAnsiTheme="majorHAnsi"/>
          <w:sz w:val="20"/>
          <w:szCs w:val="20"/>
          <w:lang w:val="es-ES"/>
        </w:rPr>
        <w:t>debido al</w:t>
      </w:r>
      <w:r w:rsidRPr="00704306">
        <w:rPr>
          <w:rFonts w:asciiTheme="majorHAnsi" w:hAnsiTheme="majorHAnsi"/>
          <w:sz w:val="20"/>
          <w:szCs w:val="20"/>
          <w:lang w:val="es-ES"/>
        </w:rPr>
        <w:t xml:space="preserve"> contexto y las características del presente caso, la Comisión considera que la presente petición fue presentada dentro de plazo razonable.</w:t>
      </w:r>
      <w:bookmarkStart w:id="6" w:name="_Hlk117929164"/>
    </w:p>
    <w:p w14:paraId="3935BB97" w14:textId="4DE47F21" w:rsidR="00A1356A" w:rsidRPr="00182DAD" w:rsidRDefault="001D2879" w:rsidP="00182DA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182DAD">
        <w:rPr>
          <w:sz w:val="20"/>
          <w:szCs w:val="20"/>
          <w:lang w:val="es-ES_tradnl"/>
        </w:rPr>
        <w:t xml:space="preserve">A este respecto, </w:t>
      </w:r>
      <w:bookmarkStart w:id="7" w:name="_Hlk118123845"/>
      <w:r w:rsidRPr="00182DAD">
        <w:rPr>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8" w:name="_Hlk118122280"/>
      <w:r w:rsidRPr="00182DAD">
        <w:rPr>
          <w:sz w:val="20"/>
          <w:szCs w:val="20"/>
          <w:lang w:val="es-ES_tradnl"/>
        </w:rPr>
        <w:t xml:space="preserve">La CIDH también ha subrayado que no existen disposiciones convencionales o reglamentarias que regulen de modo específico el </w:t>
      </w:r>
      <w:r w:rsidR="00AB6E56" w:rsidRPr="00182DAD">
        <w:rPr>
          <w:sz w:val="20"/>
          <w:szCs w:val="20"/>
          <w:lang w:val="es-ES_tradnl"/>
        </w:rPr>
        <w:t>lapso</w:t>
      </w:r>
      <w:r w:rsidRPr="00182DAD">
        <w:rPr>
          <w:sz w:val="20"/>
          <w:szCs w:val="20"/>
          <w:lang w:val="es-ES_tradnl"/>
        </w:rPr>
        <w:t xml:space="preserve"> que constituye retardo injustificado, por lo cual la Comisión evalúa caso por caso para determinar si se configura dicho retardo</w:t>
      </w:r>
      <w:r w:rsidRPr="00182DAD">
        <w:rPr>
          <w:rStyle w:val="FootnoteReference"/>
          <w:sz w:val="20"/>
          <w:szCs w:val="20"/>
          <w:lang w:val="es-ES_tradnl"/>
        </w:rPr>
        <w:footnoteReference w:id="7"/>
      </w:r>
      <w:r w:rsidRPr="00182DAD">
        <w:rPr>
          <w:sz w:val="20"/>
          <w:szCs w:val="20"/>
          <w:lang w:val="es-ES_tradnl"/>
        </w:rPr>
        <w:t xml:space="preserve">. En esta línea, </w:t>
      </w:r>
      <w:r w:rsidRPr="00182DAD">
        <w:rPr>
          <w:sz w:val="20"/>
          <w:szCs w:val="20"/>
          <w:lang w:val="es-ES"/>
        </w:rPr>
        <w:t>la Corte Interamericana ha establecido como principio rector del análisis del eventual retardo injustificado como excepción a la regla del agotamiento de los recursos internos, que “</w:t>
      </w:r>
      <w:r w:rsidRPr="00182DAD">
        <w:rPr>
          <w:i/>
          <w:iCs/>
          <w:sz w:val="20"/>
          <w:szCs w:val="20"/>
          <w:lang w:val="es-ES"/>
        </w:rPr>
        <w:t>de ninguna manera la regla del previo agotamiento debe conducir a que se detenga o se demore hasta la inutilidad la actuación internacional en auxilio de la víctima indefensa</w:t>
      </w:r>
      <w:r w:rsidRPr="00182DAD">
        <w:rPr>
          <w:sz w:val="20"/>
          <w:szCs w:val="20"/>
          <w:lang w:val="es-ES"/>
        </w:rPr>
        <w:t>”</w:t>
      </w:r>
      <w:r w:rsidRPr="00182DAD">
        <w:rPr>
          <w:rStyle w:val="FootnoteReference"/>
          <w:sz w:val="20"/>
          <w:szCs w:val="20"/>
          <w:lang w:val="es-ES"/>
        </w:rPr>
        <w:footnoteReference w:id="8"/>
      </w:r>
      <w:r w:rsidRPr="00182DAD">
        <w:rPr>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6"/>
      <w:bookmarkEnd w:id="7"/>
      <w:bookmarkEnd w:id="8"/>
    </w:p>
    <w:p w14:paraId="4D519B32" w14:textId="0F7790E0" w:rsidR="00A1356A" w:rsidRPr="00704306" w:rsidRDefault="00A1356A" w:rsidP="00E153B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Finalmente</w:t>
      </w:r>
      <w:r w:rsidR="00735DB3">
        <w:rPr>
          <w:rFonts w:asciiTheme="majorHAnsi" w:hAnsiTheme="majorHAnsi"/>
          <w:sz w:val="20"/>
          <w:szCs w:val="20"/>
          <w:lang w:val="es-ES"/>
        </w:rPr>
        <w:t>,</w:t>
      </w:r>
      <w:r>
        <w:rPr>
          <w:rFonts w:asciiTheme="majorHAnsi" w:hAnsiTheme="majorHAnsi"/>
          <w:sz w:val="20"/>
          <w:szCs w:val="20"/>
          <w:lang w:val="es-ES"/>
        </w:rPr>
        <w:t xml:space="preserve"> con respecto </w:t>
      </w:r>
      <w:r w:rsidR="00735DB3">
        <w:rPr>
          <w:rFonts w:asciiTheme="majorHAnsi" w:hAnsiTheme="majorHAnsi"/>
          <w:sz w:val="20"/>
          <w:szCs w:val="20"/>
          <w:lang w:val="es-ES"/>
        </w:rPr>
        <w:t xml:space="preserve">a la acción de reparación directa </w:t>
      </w:r>
      <w:r w:rsidR="001726EA">
        <w:rPr>
          <w:rFonts w:asciiTheme="majorHAnsi" w:hAnsiTheme="majorHAnsi"/>
          <w:sz w:val="20"/>
          <w:szCs w:val="20"/>
          <w:lang w:val="es-ES"/>
        </w:rPr>
        <w:t xml:space="preserve">interpuesta en favor de algunas de las presuntas víctimas, el Estado ha planteado la falta de agotamiento de los recursos judiciales internos; a lo que la parte peticionaria no </w:t>
      </w:r>
      <w:r w:rsidR="00834190">
        <w:rPr>
          <w:rFonts w:asciiTheme="majorHAnsi" w:hAnsiTheme="majorHAnsi"/>
          <w:sz w:val="20"/>
          <w:szCs w:val="20"/>
          <w:lang w:val="es-ES"/>
        </w:rPr>
        <w:t xml:space="preserve">ha aportado información o argumentos que permitan establecer que dicho proceso se agotó o que sería procedente alguna excepción. En este sentido, </w:t>
      </w:r>
      <w:r w:rsidR="001B7876">
        <w:rPr>
          <w:rFonts w:asciiTheme="majorHAnsi" w:hAnsiTheme="majorHAnsi"/>
          <w:sz w:val="20"/>
          <w:szCs w:val="20"/>
          <w:lang w:val="es-ES"/>
        </w:rPr>
        <w:t>no puede establecerse el cumplimiento del requisito del agotamiento de los recursos internos respecto de este extremo de la petición, en los términos del artículo 46.1.a) de la Convención Americana, no siendo materia de fondo del presente asunto lo actuado por el Estado colombiano en dicho proceso</w:t>
      </w:r>
      <w:r w:rsidR="00AE5CA2">
        <w:rPr>
          <w:rStyle w:val="FootnoteReference"/>
          <w:rFonts w:asciiTheme="majorHAnsi" w:hAnsiTheme="majorHAnsi"/>
          <w:sz w:val="20"/>
          <w:szCs w:val="20"/>
          <w:lang w:val="es-ES"/>
        </w:rPr>
        <w:footnoteReference w:id="9"/>
      </w:r>
      <w:r w:rsidR="001B7876">
        <w:rPr>
          <w:rFonts w:asciiTheme="majorHAnsi" w:hAnsiTheme="majorHAnsi"/>
          <w:sz w:val="20"/>
          <w:szCs w:val="20"/>
          <w:lang w:val="es-ES"/>
        </w:rPr>
        <w:t>.</w:t>
      </w:r>
    </w:p>
    <w:p w14:paraId="07A4270D" w14:textId="77777777" w:rsidR="00116C8C" w:rsidRDefault="00116C8C" w:rsidP="00E153B0">
      <w:pPr>
        <w:pStyle w:val="ListParagraph"/>
        <w:spacing w:before="240" w:after="240"/>
        <w:ind w:left="758"/>
        <w:jc w:val="both"/>
        <w:rPr>
          <w:rFonts w:asciiTheme="majorHAnsi" w:hAnsiTheme="majorHAnsi"/>
          <w:b/>
          <w:sz w:val="20"/>
          <w:szCs w:val="20"/>
          <w:lang w:val="es-UY"/>
        </w:rPr>
      </w:pPr>
    </w:p>
    <w:p w14:paraId="2C613E54" w14:textId="7A46C297" w:rsidR="00C9124E" w:rsidRPr="00B83158" w:rsidRDefault="00C9124E" w:rsidP="00E153B0">
      <w:pPr>
        <w:pStyle w:val="ListParagraph"/>
        <w:spacing w:before="240" w:after="240"/>
        <w:ind w:left="758"/>
        <w:jc w:val="both"/>
        <w:rPr>
          <w:rFonts w:asciiTheme="majorHAnsi" w:hAnsiTheme="majorHAnsi"/>
          <w:b/>
          <w:sz w:val="20"/>
          <w:szCs w:val="20"/>
          <w:lang w:val="es-ES"/>
        </w:rPr>
      </w:pPr>
      <w:r w:rsidRPr="00B83158">
        <w:rPr>
          <w:rFonts w:asciiTheme="majorHAnsi" w:hAnsiTheme="majorHAnsi"/>
          <w:b/>
          <w:sz w:val="20"/>
          <w:szCs w:val="20"/>
          <w:lang w:val="es-UY"/>
        </w:rPr>
        <w:lastRenderedPageBreak/>
        <w:t>V</w:t>
      </w:r>
      <w:r>
        <w:rPr>
          <w:rFonts w:asciiTheme="majorHAnsi" w:hAnsiTheme="majorHAnsi"/>
          <w:b/>
          <w:sz w:val="20"/>
          <w:szCs w:val="20"/>
          <w:lang w:val="es-UY"/>
        </w:rPr>
        <w:t>I</w:t>
      </w:r>
      <w:r w:rsidRPr="00B83158">
        <w:rPr>
          <w:rFonts w:asciiTheme="majorHAnsi" w:hAnsiTheme="majorHAnsi"/>
          <w:b/>
          <w:sz w:val="20"/>
          <w:szCs w:val="20"/>
          <w:lang w:val="es-UY"/>
        </w:rPr>
        <w:t xml:space="preserve">I. </w:t>
      </w:r>
      <w:r w:rsidRPr="00B83158">
        <w:rPr>
          <w:rFonts w:asciiTheme="majorHAnsi" w:hAnsiTheme="majorHAnsi"/>
          <w:b/>
          <w:sz w:val="20"/>
          <w:szCs w:val="20"/>
          <w:lang w:val="es-UY"/>
        </w:rPr>
        <w:tab/>
      </w:r>
      <w:r w:rsidRPr="00E64C3D">
        <w:rPr>
          <w:rFonts w:asciiTheme="majorHAnsi" w:hAnsiTheme="majorHAnsi"/>
          <w:b/>
          <w:bCs/>
          <w:sz w:val="20"/>
          <w:szCs w:val="20"/>
          <w:lang w:val="es-ES_tradnl"/>
        </w:rPr>
        <w:t xml:space="preserve">ANÁLISIS DE </w:t>
      </w:r>
      <w:r w:rsidRPr="00E64C3D">
        <w:rPr>
          <w:rFonts w:asciiTheme="majorHAnsi" w:hAnsiTheme="majorHAnsi"/>
          <w:b/>
          <w:bCs/>
          <w:sz w:val="20"/>
          <w:szCs w:val="20"/>
          <w:lang w:val="es-ES"/>
        </w:rPr>
        <w:t xml:space="preserve">CARACTERIZACIÓN </w:t>
      </w:r>
      <w:r w:rsidRPr="00E64C3D">
        <w:rPr>
          <w:rFonts w:asciiTheme="majorHAnsi" w:hAnsiTheme="majorHAnsi"/>
          <w:b/>
          <w:bCs/>
          <w:sz w:val="20"/>
          <w:szCs w:val="20"/>
          <w:lang w:val="es-UY"/>
        </w:rPr>
        <w:t>DE LOS HECHOS ALEGADOS</w:t>
      </w:r>
    </w:p>
    <w:p w14:paraId="108AFBC4" w14:textId="77777777" w:rsidR="002F2183" w:rsidRPr="002F2183" w:rsidRDefault="00C9124E" w:rsidP="00E153B0">
      <w:pPr>
        <w:pStyle w:val="ListParagraph"/>
        <w:widowControl w:val="0"/>
        <w:numPr>
          <w:ilvl w:val="0"/>
          <w:numId w:val="59"/>
        </w:numPr>
        <w:spacing w:before="240" w:after="240"/>
        <w:ind w:left="0" w:firstLine="720"/>
        <w:jc w:val="both"/>
        <w:rPr>
          <w:sz w:val="20"/>
          <w:szCs w:val="20"/>
          <w:lang w:val="es-ES"/>
        </w:rPr>
      </w:pPr>
      <w:r>
        <w:rPr>
          <w:sz w:val="20"/>
          <w:szCs w:val="20"/>
          <w:lang w:val="es-ES"/>
        </w:rPr>
        <w:t xml:space="preserve">La Comisión Interamericana toma nota de que la presente petición incluye alegatos referentes </w:t>
      </w:r>
      <w:r w:rsidR="00E021FA">
        <w:rPr>
          <w:sz w:val="20"/>
          <w:szCs w:val="20"/>
          <w:lang w:val="es-ES"/>
        </w:rPr>
        <w:t xml:space="preserve">a las </w:t>
      </w:r>
      <w:r w:rsidR="00E021FA">
        <w:rPr>
          <w:rFonts w:asciiTheme="majorHAnsi" w:hAnsiTheme="majorHAnsi"/>
          <w:sz w:val="20"/>
          <w:szCs w:val="20"/>
          <w:lang w:val="es-ES"/>
        </w:rPr>
        <w:t>detenciones arbitrarias,</w:t>
      </w:r>
      <w:r w:rsidR="00E021FA" w:rsidRPr="00E021FA">
        <w:rPr>
          <w:color w:val="auto"/>
          <w:sz w:val="20"/>
          <w:szCs w:val="20"/>
          <w:lang w:val="es-419"/>
        </w:rPr>
        <w:t xml:space="preserve"> </w:t>
      </w:r>
      <w:r w:rsidR="00E021FA">
        <w:rPr>
          <w:color w:val="auto"/>
          <w:sz w:val="20"/>
          <w:szCs w:val="20"/>
          <w:lang w:val="es-419"/>
        </w:rPr>
        <w:t xml:space="preserve">agresiones y muerte de campesinos en el contexto de la llamada </w:t>
      </w:r>
      <w:r w:rsidR="00E021FA">
        <w:rPr>
          <w:bCs/>
          <w:sz w:val="20"/>
          <w:szCs w:val="20"/>
          <w:lang w:val="es-ES"/>
        </w:rPr>
        <w:t xml:space="preserve">Masacre de la Pedregosas, así como </w:t>
      </w:r>
      <w:r>
        <w:rPr>
          <w:sz w:val="20"/>
          <w:szCs w:val="20"/>
          <w:lang w:val="es-ES"/>
        </w:rPr>
        <w:t>la impunidad de los hechos y la falta de integral reparación de los daños asociados</w:t>
      </w:r>
      <w:r w:rsidR="00663CC3">
        <w:rPr>
          <w:rFonts w:asciiTheme="majorHAnsi" w:hAnsiTheme="majorHAnsi"/>
          <w:sz w:val="20"/>
          <w:szCs w:val="20"/>
          <w:lang w:val="es-ES"/>
        </w:rPr>
        <w:t>.</w:t>
      </w:r>
    </w:p>
    <w:p w14:paraId="22E0B21C" w14:textId="56782AB2" w:rsidR="002F2183" w:rsidRPr="00F07696" w:rsidRDefault="002F2183" w:rsidP="00E153B0">
      <w:pPr>
        <w:pStyle w:val="ListParagraph"/>
        <w:numPr>
          <w:ilvl w:val="0"/>
          <w:numId w:val="59"/>
        </w:numPr>
        <w:spacing w:before="240" w:after="240"/>
        <w:ind w:left="0" w:firstLine="720"/>
        <w:jc w:val="both"/>
        <w:rPr>
          <w:sz w:val="20"/>
          <w:szCs w:val="20"/>
          <w:lang w:val="es-ES"/>
        </w:rPr>
      </w:pPr>
      <w:r w:rsidRPr="002F2183">
        <w:rPr>
          <w:sz w:val="20"/>
          <w:szCs w:val="20"/>
          <w:lang w:val="es-ES"/>
        </w:rPr>
        <w:t>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w:t>
      </w:r>
      <w:r w:rsidR="00F07696" w:rsidRPr="00F07696">
        <w:rPr>
          <w:bCs/>
          <w:sz w:val="20"/>
          <w:szCs w:val="20"/>
          <w:vertAlign w:val="superscript"/>
        </w:rPr>
        <w:footnoteReference w:id="10"/>
      </w:r>
      <w:r w:rsidRPr="00F07696">
        <w:rPr>
          <w:sz w:val="20"/>
          <w:szCs w:val="20"/>
          <w:lang w:val="es-ES"/>
        </w:rPr>
        <w:t>. En este sentido, la Comisión observa los alegatos planteados por la parte peticionaria en su conjunto no resultan manifiestamente infundados, y que en gran medida se refieren a hechos ya conocidos en la jurisprudencia de los órganos del Sistema Interamericano.</w:t>
      </w:r>
    </w:p>
    <w:p w14:paraId="572B5895" w14:textId="2F873D8A" w:rsidR="00944C3A" w:rsidRPr="00F07696" w:rsidRDefault="00F07696" w:rsidP="00E153B0">
      <w:pPr>
        <w:pStyle w:val="ListParagraph"/>
        <w:widowControl w:val="0"/>
        <w:numPr>
          <w:ilvl w:val="0"/>
          <w:numId w:val="59"/>
        </w:numPr>
        <w:spacing w:before="240" w:after="240"/>
        <w:ind w:left="0" w:firstLine="720"/>
        <w:jc w:val="both"/>
        <w:rPr>
          <w:sz w:val="20"/>
          <w:szCs w:val="20"/>
          <w:lang w:val="es-ES"/>
        </w:rPr>
      </w:pPr>
      <w:r w:rsidRPr="00F07696">
        <w:rPr>
          <w:sz w:val="20"/>
          <w:szCs w:val="20"/>
          <w:lang w:val="es-ES"/>
        </w:rPr>
        <w:t>L</w:t>
      </w:r>
      <w:r w:rsidR="00F73D6F" w:rsidRPr="00F07696">
        <w:rPr>
          <w:sz w:val="20"/>
          <w:szCs w:val="20"/>
          <w:lang w:val="es-ES"/>
        </w:rPr>
        <w:t>a</w:t>
      </w:r>
      <w:r w:rsidR="00163F99" w:rsidRPr="00F07696">
        <w:rPr>
          <w:sz w:val="20"/>
          <w:szCs w:val="20"/>
          <w:lang w:val="es-ES"/>
        </w:rPr>
        <w:t xml:space="preserve"> información aportada indica posible negligencia, </w:t>
      </w:r>
      <w:r w:rsidR="00B53EAF" w:rsidRPr="00F07696">
        <w:rPr>
          <w:sz w:val="20"/>
          <w:szCs w:val="20"/>
          <w:lang w:val="es-ES"/>
        </w:rPr>
        <w:t>complicidad</w:t>
      </w:r>
      <w:r w:rsidR="00F73D6F" w:rsidRPr="00F07696">
        <w:rPr>
          <w:sz w:val="20"/>
          <w:szCs w:val="20"/>
          <w:lang w:val="es-ES"/>
        </w:rPr>
        <w:t xml:space="preserve"> o participación de agentes estatales en los </w:t>
      </w:r>
      <w:r w:rsidR="00E021FA" w:rsidRPr="00F07696">
        <w:rPr>
          <w:sz w:val="20"/>
          <w:szCs w:val="20"/>
          <w:lang w:val="es-ES"/>
        </w:rPr>
        <w:t>hechos narrados</w:t>
      </w:r>
      <w:r w:rsidR="00F73D6F" w:rsidRPr="00F07696">
        <w:rPr>
          <w:sz w:val="20"/>
          <w:szCs w:val="20"/>
          <w:lang w:val="es-ES"/>
        </w:rPr>
        <w:t xml:space="preserve">, lo que merita un análisis de fondo por posible violación a la integridad personal y a la vida. </w:t>
      </w:r>
      <w:r w:rsidR="0091191E" w:rsidRPr="00F07696">
        <w:rPr>
          <w:sz w:val="20"/>
          <w:szCs w:val="20"/>
          <w:lang w:val="es-ES"/>
        </w:rPr>
        <w:t>Adicionalmente, l</w:t>
      </w:r>
      <w:r w:rsidR="00704306" w:rsidRPr="00F07696">
        <w:rPr>
          <w:sz w:val="20"/>
          <w:szCs w:val="20"/>
          <w:lang w:val="es-ES"/>
        </w:rPr>
        <w:t>os alegatos referentes a los procesos internos</w:t>
      </w:r>
      <w:r w:rsidR="00E021FA" w:rsidRPr="00F07696">
        <w:rPr>
          <w:sz w:val="20"/>
          <w:szCs w:val="20"/>
          <w:lang w:val="es-ES"/>
        </w:rPr>
        <w:t xml:space="preserve"> </w:t>
      </w:r>
      <w:r w:rsidR="0091191E" w:rsidRPr="00F07696">
        <w:rPr>
          <w:sz w:val="20"/>
          <w:szCs w:val="20"/>
          <w:lang w:val="es-ES"/>
        </w:rPr>
        <w:t>podrían caracterizar posibles violaciones a las garantías y protección judiciales</w:t>
      </w:r>
      <w:r w:rsidR="00E021FA" w:rsidRPr="00F07696">
        <w:rPr>
          <w:sz w:val="20"/>
          <w:szCs w:val="20"/>
          <w:lang w:val="es-ES"/>
        </w:rPr>
        <w:t xml:space="preserve"> como consecuencia, </w:t>
      </w:r>
      <w:r w:rsidR="00E021FA" w:rsidRPr="00F07696">
        <w:rPr>
          <w:i/>
          <w:iCs/>
          <w:sz w:val="20"/>
          <w:szCs w:val="20"/>
          <w:lang w:val="es-ES"/>
        </w:rPr>
        <w:t>inter alia</w:t>
      </w:r>
      <w:r w:rsidR="00E021FA" w:rsidRPr="00F07696">
        <w:rPr>
          <w:sz w:val="20"/>
          <w:szCs w:val="20"/>
          <w:lang w:val="es-ES"/>
        </w:rPr>
        <w:t>, de demora irrazonable, falta de debida diligencia, impunidad y falta de reparación integral y oportuna</w:t>
      </w:r>
      <w:r w:rsidR="0091191E" w:rsidRPr="00F07696">
        <w:rPr>
          <w:sz w:val="20"/>
          <w:szCs w:val="20"/>
          <w:lang w:val="es-ES"/>
        </w:rPr>
        <w:t>.</w:t>
      </w:r>
      <w:r w:rsidR="00663CC3" w:rsidRPr="00F07696">
        <w:rPr>
          <w:sz w:val="20"/>
          <w:szCs w:val="20"/>
          <w:lang w:val="es-ES"/>
        </w:rPr>
        <w:t xml:space="preserve"> </w:t>
      </w:r>
    </w:p>
    <w:p w14:paraId="7F69A11B" w14:textId="21C8ECC3" w:rsidR="00982364" w:rsidRDefault="00982364" w:rsidP="00E153B0">
      <w:pPr>
        <w:pStyle w:val="ListParagraph"/>
        <w:widowControl w:val="0"/>
        <w:numPr>
          <w:ilvl w:val="0"/>
          <w:numId w:val="59"/>
        </w:numPr>
        <w:spacing w:before="240" w:after="240"/>
        <w:ind w:left="0" w:firstLine="720"/>
        <w:jc w:val="both"/>
        <w:rPr>
          <w:sz w:val="20"/>
          <w:szCs w:val="20"/>
          <w:lang w:val="es-ES"/>
        </w:rPr>
      </w:pPr>
      <w:r w:rsidRPr="00C9124E">
        <w:rPr>
          <w:sz w:val="20"/>
          <w:szCs w:val="20"/>
          <w:lang w:val="es-ES"/>
        </w:rPr>
        <w:t>La Comisión considera que</w:t>
      </w:r>
      <w:r>
        <w:rPr>
          <w:sz w:val="20"/>
          <w:szCs w:val="20"/>
          <w:lang w:val="es-ES"/>
        </w:rPr>
        <w:t>,</w:t>
      </w:r>
      <w:r w:rsidRPr="00C9124E">
        <w:rPr>
          <w:sz w:val="20"/>
          <w:szCs w:val="20"/>
          <w:lang w:val="es-ES"/>
        </w:rPr>
        <w:t xml:space="preserve"> de ser probad</w:t>
      </w:r>
      <w:r w:rsidR="00F80D59">
        <w:rPr>
          <w:sz w:val="20"/>
          <w:szCs w:val="20"/>
          <w:lang w:val="es-ES"/>
        </w:rPr>
        <w:t>o</w:t>
      </w:r>
      <w:r w:rsidR="00693EB9">
        <w:rPr>
          <w:sz w:val="20"/>
          <w:szCs w:val="20"/>
          <w:lang w:val="es-ES"/>
        </w:rPr>
        <w:t>s</w:t>
      </w:r>
      <w:r w:rsidRPr="00C9124E">
        <w:rPr>
          <w:sz w:val="20"/>
          <w:szCs w:val="20"/>
          <w:lang w:val="es-ES"/>
        </w:rPr>
        <w:t>,</w:t>
      </w:r>
      <w:r w:rsidR="00F80D59">
        <w:rPr>
          <w:sz w:val="20"/>
          <w:szCs w:val="20"/>
          <w:lang w:val="es-ES"/>
        </w:rPr>
        <w:t xml:space="preserve"> los alegatos</w:t>
      </w:r>
      <w:r w:rsidRPr="00C9124E">
        <w:rPr>
          <w:sz w:val="20"/>
          <w:szCs w:val="20"/>
          <w:lang w:val="es-ES"/>
        </w:rPr>
        <w:t xml:space="preserve"> podrían caracterizar posibles violaciones a los derechos consagrados en los artículos 4 (vida),</w:t>
      </w:r>
      <w:r w:rsidR="00F80D59">
        <w:rPr>
          <w:sz w:val="20"/>
          <w:szCs w:val="20"/>
          <w:lang w:val="es-ES"/>
        </w:rPr>
        <w:t xml:space="preserve"> 5 (integridad personal),</w:t>
      </w:r>
      <w:r w:rsidR="00E021FA">
        <w:rPr>
          <w:sz w:val="20"/>
          <w:szCs w:val="20"/>
          <w:lang w:val="es-ES"/>
        </w:rPr>
        <w:t xml:space="preserve"> 7 (libertad personal),</w:t>
      </w:r>
      <w:r>
        <w:rPr>
          <w:sz w:val="20"/>
          <w:szCs w:val="20"/>
          <w:lang w:val="es-ES"/>
        </w:rPr>
        <w:t xml:space="preserve"> </w:t>
      </w:r>
      <w:r w:rsidRPr="00C9124E">
        <w:rPr>
          <w:sz w:val="20"/>
          <w:szCs w:val="20"/>
          <w:lang w:val="es-ES"/>
        </w:rPr>
        <w:t>8 (garantías judiciales)</w:t>
      </w:r>
      <w:r w:rsidR="00663CC3">
        <w:rPr>
          <w:sz w:val="20"/>
          <w:szCs w:val="20"/>
          <w:lang w:val="es-ES"/>
        </w:rPr>
        <w:t xml:space="preserve">, </w:t>
      </w:r>
      <w:r w:rsidRPr="00C9124E">
        <w:rPr>
          <w:sz w:val="20"/>
          <w:szCs w:val="20"/>
          <w:lang w:val="es-ES"/>
        </w:rPr>
        <w:t xml:space="preserve">y 25 (protección judicial) de la Convención Americana, en perjuicio de </w:t>
      </w:r>
      <w:r w:rsidR="001808C4" w:rsidRPr="001808C4">
        <w:rPr>
          <w:bCs/>
          <w:sz w:val="20"/>
          <w:szCs w:val="20"/>
          <w:lang w:val="es-ES"/>
        </w:rPr>
        <w:t xml:space="preserve">Germán Valenzuela Carabalí, </w:t>
      </w:r>
      <w:r w:rsidR="001808C4" w:rsidRPr="00F02C09">
        <w:rPr>
          <w:sz w:val="20"/>
          <w:szCs w:val="20"/>
          <w:lang w:val="es-ES"/>
        </w:rPr>
        <w:t>Adolfo Benalcazar</w:t>
      </w:r>
      <w:r w:rsidR="001808C4" w:rsidRPr="001808C4">
        <w:rPr>
          <w:sz w:val="20"/>
          <w:szCs w:val="20"/>
          <w:lang w:val="es-ES"/>
        </w:rPr>
        <w:t>,</w:t>
      </w:r>
      <w:r w:rsidR="001808C4" w:rsidRPr="001808C4">
        <w:rPr>
          <w:bCs/>
          <w:sz w:val="20"/>
          <w:szCs w:val="20"/>
          <w:lang w:val="es-ES"/>
        </w:rPr>
        <w:t xml:space="preserve"> Eris Arturo Camayo Gueitio, </w:t>
      </w:r>
      <w:r w:rsidR="001808C4" w:rsidRPr="00F02C09">
        <w:rPr>
          <w:sz w:val="20"/>
          <w:szCs w:val="20"/>
          <w:lang w:val="es-ES"/>
        </w:rPr>
        <w:t>Dagoberto Velasco Chaguendo</w:t>
      </w:r>
      <w:r w:rsidR="001808C4" w:rsidRPr="001808C4">
        <w:rPr>
          <w:bCs/>
          <w:sz w:val="20"/>
          <w:szCs w:val="20"/>
          <w:lang w:val="es-ES"/>
        </w:rPr>
        <w:t xml:space="preserve">, </w:t>
      </w:r>
      <w:r w:rsidR="001808C4" w:rsidRPr="00F02C09">
        <w:rPr>
          <w:sz w:val="20"/>
          <w:szCs w:val="20"/>
          <w:lang w:val="es-ES"/>
        </w:rPr>
        <w:t>Silvio Velasco</w:t>
      </w:r>
      <w:r w:rsidR="001808C4" w:rsidRPr="001808C4">
        <w:rPr>
          <w:sz w:val="20"/>
          <w:szCs w:val="20"/>
          <w:lang w:val="es-ES"/>
        </w:rPr>
        <w:t>,</w:t>
      </w:r>
      <w:r w:rsidR="001808C4" w:rsidRPr="001808C4">
        <w:rPr>
          <w:bCs/>
          <w:sz w:val="20"/>
          <w:szCs w:val="20"/>
          <w:lang w:val="es-ES"/>
        </w:rPr>
        <w:t xml:space="preserve"> Diego Arnulfo Camayo Gueitio, Bernardo Valencia</w:t>
      </w:r>
      <w:r w:rsidR="001808C4">
        <w:rPr>
          <w:sz w:val="20"/>
          <w:szCs w:val="20"/>
          <w:lang w:val="es-ES"/>
        </w:rPr>
        <w:t xml:space="preserve"> </w:t>
      </w:r>
      <w:r w:rsidR="00E021FA">
        <w:rPr>
          <w:sz w:val="20"/>
          <w:szCs w:val="20"/>
          <w:lang w:val="es-ES"/>
        </w:rPr>
        <w:t xml:space="preserve">y </w:t>
      </w:r>
      <w:r w:rsidRPr="00C9124E">
        <w:rPr>
          <w:sz w:val="20"/>
          <w:szCs w:val="20"/>
          <w:lang w:val="es-ES"/>
        </w:rPr>
        <w:t>sus familiares,</w:t>
      </w:r>
      <w:r w:rsidR="00A610DF">
        <w:rPr>
          <w:sz w:val="20"/>
          <w:szCs w:val="20"/>
          <w:lang w:val="es-ES"/>
        </w:rPr>
        <w:t xml:space="preserve"> en los términos del presente informe,</w:t>
      </w:r>
      <w:r w:rsidRPr="00C9124E">
        <w:rPr>
          <w:sz w:val="20"/>
          <w:szCs w:val="20"/>
          <w:lang w:val="es-ES"/>
        </w:rPr>
        <w:t xml:space="preserve"> debidamente individualizados e</w:t>
      </w:r>
      <w:r>
        <w:rPr>
          <w:sz w:val="20"/>
          <w:szCs w:val="20"/>
          <w:lang w:val="es-ES"/>
        </w:rPr>
        <w:t>n</w:t>
      </w:r>
      <w:r w:rsidRPr="00C9124E">
        <w:rPr>
          <w:sz w:val="20"/>
          <w:szCs w:val="20"/>
          <w:lang w:val="es-ES"/>
        </w:rPr>
        <w:t xml:space="preserve"> la etapa de fondo; todo lo anterior en relación con el artículo 1.1 (obligación de respetar los derechos) de la Convención Americana.</w:t>
      </w:r>
    </w:p>
    <w:p w14:paraId="342C0EC6" w14:textId="00F4FC3B" w:rsidR="00DA4343" w:rsidRDefault="00DA4343" w:rsidP="00E153B0">
      <w:pPr>
        <w:pStyle w:val="ListParagraph"/>
        <w:widowControl w:val="0"/>
        <w:numPr>
          <w:ilvl w:val="0"/>
          <w:numId w:val="59"/>
        </w:numPr>
        <w:spacing w:before="240" w:after="240"/>
        <w:ind w:left="0" w:firstLine="720"/>
        <w:jc w:val="both"/>
        <w:rPr>
          <w:sz w:val="20"/>
          <w:szCs w:val="20"/>
          <w:lang w:val="es-ES"/>
        </w:rPr>
      </w:pPr>
      <w:r>
        <w:rPr>
          <w:sz w:val="20"/>
          <w:szCs w:val="20"/>
          <w:lang w:val="es-ES"/>
        </w:rPr>
        <w:t>En conclusión, a modo informativo, la Comisión recuerda que denuncias de masacres cometidas por paramilitares en Colombia</w:t>
      </w:r>
      <w:r w:rsidR="00BC5FCE">
        <w:rPr>
          <w:sz w:val="20"/>
          <w:szCs w:val="20"/>
          <w:lang w:val="es-ES"/>
        </w:rPr>
        <w:t xml:space="preserve"> asociados a las</w:t>
      </w:r>
      <w:r>
        <w:rPr>
          <w:sz w:val="20"/>
          <w:szCs w:val="20"/>
          <w:lang w:val="es-ES"/>
        </w:rPr>
        <w:t xml:space="preserve"> AUC,</w:t>
      </w:r>
      <w:r w:rsidR="00AD4A06">
        <w:rPr>
          <w:sz w:val="20"/>
          <w:szCs w:val="20"/>
          <w:lang w:val="es-ES"/>
        </w:rPr>
        <w:t xml:space="preserve"> fueron recogidas en distintos documentos adoptados por la CIDH</w:t>
      </w:r>
      <w:r w:rsidR="00AD4A06" w:rsidRPr="002F2183">
        <w:rPr>
          <w:bCs/>
          <w:sz w:val="20"/>
          <w:szCs w:val="20"/>
          <w:vertAlign w:val="superscript"/>
        </w:rPr>
        <w:footnoteReference w:id="11"/>
      </w:r>
      <w:r w:rsidR="00AD4A06">
        <w:rPr>
          <w:sz w:val="20"/>
          <w:szCs w:val="20"/>
          <w:lang w:val="es-ES"/>
        </w:rPr>
        <w:t>.</w:t>
      </w:r>
    </w:p>
    <w:p w14:paraId="40DABB4D" w14:textId="7F69AE0C" w:rsidR="006E3BAD" w:rsidRPr="004F391C" w:rsidRDefault="006E3BAD" w:rsidP="00E153B0">
      <w:pPr>
        <w:pStyle w:val="ListParagraph"/>
        <w:spacing w:before="240" w:after="240"/>
        <w:ind w:left="0" w:firstLine="709"/>
        <w:jc w:val="both"/>
        <w:rPr>
          <w:rFonts w:asciiTheme="majorHAnsi" w:hAnsiTheme="majorHAnsi"/>
          <w:b/>
          <w:sz w:val="20"/>
          <w:szCs w:val="20"/>
        </w:rPr>
      </w:pPr>
      <w:r w:rsidRPr="00B83158">
        <w:rPr>
          <w:rFonts w:asciiTheme="majorHAnsi" w:hAnsiTheme="majorHAnsi"/>
          <w:b/>
          <w:sz w:val="20"/>
          <w:szCs w:val="20"/>
          <w:lang w:val="es-UY"/>
        </w:rPr>
        <w:t>V</w:t>
      </w:r>
      <w:r>
        <w:rPr>
          <w:rFonts w:asciiTheme="majorHAnsi" w:hAnsiTheme="majorHAnsi"/>
          <w:b/>
          <w:sz w:val="20"/>
          <w:szCs w:val="20"/>
          <w:lang w:val="es-UY"/>
        </w:rPr>
        <w:t>II</w:t>
      </w:r>
      <w:r w:rsidRPr="00B83158">
        <w:rPr>
          <w:rFonts w:asciiTheme="majorHAnsi" w:hAnsiTheme="majorHAnsi"/>
          <w:b/>
          <w:sz w:val="20"/>
          <w:szCs w:val="20"/>
          <w:lang w:val="es-UY"/>
        </w:rPr>
        <w:t xml:space="preserve">I. </w:t>
      </w:r>
      <w:r w:rsidRPr="00B83158">
        <w:rPr>
          <w:rFonts w:asciiTheme="majorHAnsi" w:hAnsiTheme="majorHAnsi"/>
          <w:b/>
          <w:sz w:val="20"/>
          <w:szCs w:val="20"/>
          <w:lang w:val="es-UY"/>
        </w:rPr>
        <w:tab/>
      </w:r>
      <w:r>
        <w:rPr>
          <w:rFonts w:asciiTheme="majorHAnsi" w:hAnsiTheme="majorHAnsi"/>
          <w:b/>
          <w:bCs/>
          <w:sz w:val="20"/>
          <w:szCs w:val="20"/>
          <w:lang w:val="es-ES_tradnl"/>
        </w:rPr>
        <w:t>DECISIÓN</w:t>
      </w:r>
    </w:p>
    <w:p w14:paraId="776C2EB8" w14:textId="5E4396EF" w:rsidR="006E3BAD" w:rsidRPr="00280B37" w:rsidRDefault="006E3BAD" w:rsidP="00E153B0">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
        </w:rPr>
      </w:pPr>
      <w:r w:rsidRPr="006E3BAD">
        <w:rPr>
          <w:sz w:val="20"/>
          <w:szCs w:val="20"/>
          <w:lang w:val="es-ES"/>
        </w:rPr>
        <w:t>Declarar admisible la presente petición en relación con artículos 4, 5</w:t>
      </w:r>
      <w:r w:rsidR="00E021FA">
        <w:rPr>
          <w:sz w:val="20"/>
          <w:szCs w:val="20"/>
          <w:lang w:val="es-ES"/>
        </w:rPr>
        <w:t xml:space="preserve">, 7, 8 </w:t>
      </w:r>
      <w:r w:rsidRPr="00280B37">
        <w:rPr>
          <w:sz w:val="20"/>
          <w:szCs w:val="20"/>
          <w:lang w:val="es-ES"/>
        </w:rPr>
        <w:t>y 25 de la Convención Americana, en concordancia con su artículo 1.1</w:t>
      </w:r>
      <w:r w:rsidR="00A610DF">
        <w:rPr>
          <w:sz w:val="20"/>
          <w:szCs w:val="20"/>
          <w:lang w:val="es-ES"/>
        </w:rPr>
        <w:t>; y</w:t>
      </w:r>
    </w:p>
    <w:p w14:paraId="4EEF431D" w14:textId="4212D573" w:rsidR="00450DB0" w:rsidRPr="007F4A4A" w:rsidRDefault="006E3BAD" w:rsidP="00450DB0">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
        </w:rPr>
      </w:pPr>
      <w:r w:rsidRPr="006E3BAD">
        <w:rPr>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Pr>
          <w:sz w:val="20"/>
          <w:szCs w:val="20"/>
          <w:lang w:val="es-ES"/>
        </w:rPr>
        <w:t>.</w:t>
      </w:r>
    </w:p>
    <w:p w14:paraId="1827846A" w14:textId="7E1F6596" w:rsidR="00450DB0" w:rsidRPr="007F4A4A" w:rsidRDefault="00A032AC" w:rsidP="007F4A4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Aprobado por la Comisión Interamericana de Derechos Humanos a los 7 días del mes de junio de 2023.  (Firmado): Esmeralda Arosemena de Troitiño, Primer</w:t>
      </w:r>
      <w:r w:rsidR="007F4A4A">
        <w:rPr>
          <w:rStyle w:val="normaltextrun"/>
          <w:rFonts w:ascii="Cambria" w:eastAsia="Trebuchet MS" w:hAnsi="Cambria" w:cs="Segoe UI"/>
          <w:sz w:val="20"/>
          <w:szCs w:val="20"/>
          <w:lang w:val="es-CL"/>
        </w:rPr>
        <w:t>a</w:t>
      </w:r>
      <w:r>
        <w:rPr>
          <w:rStyle w:val="normaltextrun"/>
          <w:rFonts w:ascii="Cambria" w:eastAsia="Trebuchet MS" w:hAnsi="Cambria" w:cs="Segoe UI"/>
          <w:sz w:val="20"/>
          <w:szCs w:val="20"/>
          <w:lang w:val="es-CL"/>
        </w:rPr>
        <w:t xml:space="preserve"> Vicepresident</w:t>
      </w:r>
      <w:r w:rsidR="007F4A4A">
        <w:rPr>
          <w:rStyle w:val="normaltextrun"/>
          <w:rFonts w:ascii="Cambria" w:eastAsia="Trebuchet MS" w:hAnsi="Cambria" w:cs="Segoe UI"/>
          <w:sz w:val="20"/>
          <w:szCs w:val="20"/>
          <w:lang w:val="es-CL"/>
        </w:rPr>
        <w:t>a</w:t>
      </w:r>
      <w:r>
        <w:rPr>
          <w:rStyle w:val="normaltextrun"/>
          <w:rFonts w:ascii="Cambria" w:eastAsia="Trebuchet MS" w:hAnsi="Cambria" w:cs="Segoe UI"/>
          <w:sz w:val="20"/>
          <w:szCs w:val="20"/>
          <w:lang w:val="es-CL"/>
        </w:rPr>
        <w:t xml:space="preserve">; Joel Hernández García, Julissa Mantilla Falcón y Stuardo Ralón Orellana, </w:t>
      </w:r>
      <w:r w:rsidR="007F4A4A">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p>
    <w:sectPr w:rsidR="00450DB0" w:rsidRPr="007F4A4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6204" w14:textId="77777777" w:rsidR="004600D3" w:rsidRDefault="004600D3">
      <w:r>
        <w:separator/>
      </w:r>
    </w:p>
  </w:endnote>
  <w:endnote w:type="continuationSeparator" w:id="0">
    <w:p w14:paraId="26061BD6" w14:textId="77777777" w:rsidR="004600D3" w:rsidRDefault="0046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AE44" w14:textId="77777777" w:rsidR="004600D3" w:rsidRPr="000F35ED" w:rsidRDefault="004600D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545740" w14:textId="77777777" w:rsidR="004600D3" w:rsidRPr="000F35ED" w:rsidRDefault="004600D3" w:rsidP="000F35ED">
      <w:pPr>
        <w:rPr>
          <w:rFonts w:asciiTheme="majorHAnsi" w:hAnsiTheme="majorHAnsi"/>
          <w:sz w:val="16"/>
          <w:szCs w:val="16"/>
        </w:rPr>
      </w:pPr>
      <w:r w:rsidRPr="000F35ED">
        <w:rPr>
          <w:rFonts w:asciiTheme="majorHAnsi" w:hAnsiTheme="majorHAnsi"/>
          <w:sz w:val="16"/>
          <w:szCs w:val="16"/>
        </w:rPr>
        <w:separator/>
      </w:r>
    </w:p>
    <w:p w14:paraId="59A406EB" w14:textId="77777777" w:rsidR="004600D3" w:rsidRPr="000F35ED" w:rsidRDefault="004600D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3BD7B7B" w14:textId="77777777" w:rsidR="004600D3" w:rsidRPr="000F35ED" w:rsidRDefault="004600D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30675C" w:rsidRDefault="004A6A54" w:rsidP="0030675C">
      <w:pPr>
        <w:pStyle w:val="FootnoteText"/>
        <w:ind w:firstLine="720"/>
        <w:jc w:val="both"/>
        <w:rPr>
          <w:rFonts w:asciiTheme="majorHAnsi" w:hAnsiTheme="majorHAnsi"/>
          <w:sz w:val="16"/>
          <w:szCs w:val="16"/>
          <w:lang w:val="es-ES"/>
        </w:rPr>
      </w:pPr>
      <w:r w:rsidRPr="0030675C">
        <w:rPr>
          <w:rStyle w:val="FootnoteReference"/>
          <w:rFonts w:asciiTheme="majorHAnsi" w:hAnsiTheme="majorHAnsi"/>
          <w:sz w:val="16"/>
          <w:szCs w:val="16"/>
        </w:rPr>
        <w:footnoteRef/>
      </w:r>
      <w:r w:rsidRPr="0030675C">
        <w:rPr>
          <w:rFonts w:asciiTheme="majorHAnsi" w:hAnsiTheme="majorHAnsi"/>
          <w:sz w:val="16"/>
          <w:szCs w:val="16"/>
          <w:lang w:val="es-ES"/>
        </w:rPr>
        <w:t xml:space="preserve"> Conforme a lo dispuesto en el artículo 17.2.a del Reglamento de la Comisión, el Comisionado </w:t>
      </w:r>
      <w:r w:rsidR="00E2321A" w:rsidRPr="0030675C">
        <w:rPr>
          <w:rFonts w:asciiTheme="majorHAnsi" w:hAnsiTheme="majorHAnsi"/>
          <w:sz w:val="16"/>
          <w:szCs w:val="16"/>
          <w:lang w:val="es-ES"/>
        </w:rPr>
        <w:t>Carlos Bernal Pulido</w:t>
      </w:r>
      <w:r w:rsidRPr="0030675C">
        <w:rPr>
          <w:rFonts w:asciiTheme="majorHAnsi" w:hAnsiTheme="majorHAnsi"/>
          <w:sz w:val="16"/>
          <w:szCs w:val="16"/>
          <w:lang w:val="es-ES"/>
        </w:rPr>
        <w:t xml:space="preserve">, de nacionalidad </w:t>
      </w:r>
      <w:r w:rsidR="00E2321A" w:rsidRPr="0030675C">
        <w:rPr>
          <w:rFonts w:asciiTheme="majorHAnsi" w:hAnsiTheme="majorHAnsi"/>
          <w:sz w:val="16"/>
          <w:szCs w:val="16"/>
          <w:lang w:val="es-ES"/>
        </w:rPr>
        <w:t>colombiana</w:t>
      </w:r>
      <w:r w:rsidRPr="0030675C">
        <w:rPr>
          <w:rFonts w:asciiTheme="majorHAnsi" w:hAnsiTheme="majorHAnsi"/>
          <w:sz w:val="16"/>
          <w:szCs w:val="16"/>
          <w:lang w:val="es-ES"/>
        </w:rPr>
        <w:t>, no participó en el debate ni en la decisión del presente asunto.</w:t>
      </w:r>
    </w:p>
  </w:footnote>
  <w:footnote w:id="3">
    <w:p w14:paraId="6D2788ED" w14:textId="7A36B79B" w:rsidR="00E153B0" w:rsidRPr="0030675C" w:rsidRDefault="00E153B0" w:rsidP="0030675C">
      <w:pPr>
        <w:pStyle w:val="FootnoteText"/>
        <w:ind w:firstLine="720"/>
        <w:jc w:val="both"/>
        <w:rPr>
          <w:rFonts w:asciiTheme="majorHAnsi" w:hAnsiTheme="majorHAnsi"/>
          <w:sz w:val="16"/>
          <w:szCs w:val="16"/>
          <w:lang w:val="es-ES"/>
        </w:rPr>
      </w:pPr>
      <w:r w:rsidRPr="0030675C">
        <w:rPr>
          <w:rStyle w:val="FootnoteReference"/>
          <w:rFonts w:asciiTheme="majorHAnsi" w:hAnsiTheme="majorHAnsi"/>
          <w:sz w:val="16"/>
          <w:szCs w:val="16"/>
        </w:rPr>
        <w:footnoteRef/>
      </w:r>
      <w:r w:rsidRPr="0030675C">
        <w:rPr>
          <w:rFonts w:asciiTheme="majorHAnsi" w:hAnsiTheme="majorHAnsi"/>
          <w:sz w:val="16"/>
          <w:szCs w:val="16"/>
          <w:lang w:val="es-ES"/>
        </w:rPr>
        <w:t xml:space="preserve"> En adelante “la Convención Americana” o “la Convención”.</w:t>
      </w:r>
    </w:p>
  </w:footnote>
  <w:footnote w:id="4">
    <w:p w14:paraId="1AFEF3B0" w14:textId="77777777" w:rsidR="008E3BFE" w:rsidRPr="0030675C" w:rsidRDefault="008E3BFE" w:rsidP="0030675C">
      <w:pPr>
        <w:pStyle w:val="FootnoteText"/>
        <w:ind w:firstLine="720"/>
        <w:jc w:val="both"/>
        <w:rPr>
          <w:rFonts w:asciiTheme="majorHAnsi" w:hAnsiTheme="majorHAnsi"/>
          <w:sz w:val="16"/>
          <w:szCs w:val="16"/>
          <w:lang w:val="es-ES"/>
        </w:rPr>
      </w:pPr>
      <w:r w:rsidRPr="0030675C">
        <w:rPr>
          <w:rStyle w:val="FootnoteReference"/>
          <w:rFonts w:asciiTheme="majorHAnsi" w:hAnsiTheme="majorHAnsi"/>
          <w:sz w:val="16"/>
          <w:szCs w:val="16"/>
        </w:rPr>
        <w:footnoteRef/>
      </w:r>
      <w:r w:rsidRPr="0030675C">
        <w:rPr>
          <w:rFonts w:asciiTheme="majorHAnsi" w:hAnsiTheme="majorHAnsi"/>
          <w:sz w:val="16"/>
          <w:szCs w:val="16"/>
          <w:lang w:val="es-ES"/>
        </w:rPr>
        <w:t xml:space="preserve"> Las observaciones de cada parte fueron debidamente trasladadas a la parte contraria.</w:t>
      </w:r>
    </w:p>
  </w:footnote>
  <w:footnote w:id="5">
    <w:p w14:paraId="5C9C22A9" w14:textId="0C373CF9" w:rsidR="002F2183" w:rsidRPr="0030675C" w:rsidRDefault="002F2183" w:rsidP="0030675C">
      <w:pPr>
        <w:pStyle w:val="FootnoteText"/>
        <w:ind w:firstLine="720"/>
        <w:jc w:val="both"/>
        <w:rPr>
          <w:rFonts w:asciiTheme="majorHAnsi" w:hAnsiTheme="majorHAnsi"/>
          <w:sz w:val="16"/>
          <w:szCs w:val="16"/>
          <w:lang w:val="es-ES"/>
        </w:rPr>
      </w:pPr>
      <w:r w:rsidRPr="0030675C">
        <w:rPr>
          <w:rStyle w:val="FootnoteReference"/>
          <w:rFonts w:asciiTheme="majorHAnsi" w:hAnsiTheme="majorHAnsi"/>
          <w:sz w:val="16"/>
          <w:szCs w:val="16"/>
        </w:rPr>
        <w:footnoteRef/>
      </w:r>
      <w:r w:rsidRPr="0030675C">
        <w:rPr>
          <w:rFonts w:asciiTheme="majorHAnsi" w:hAnsiTheme="majorHAnsi"/>
          <w:sz w:val="16"/>
          <w:szCs w:val="16"/>
          <w:lang w:val="es-ES"/>
        </w:rPr>
        <w:t xml:space="preserve"> Similarmente: CIDH, Informe No. 296/22. Petición 1519-13. Admisibilidad. Marlene Zapata Borja y otros. Colombia. 19 de octubre de 2022, párrafo 28.</w:t>
      </w:r>
    </w:p>
  </w:footnote>
  <w:footnote w:id="6">
    <w:p w14:paraId="4836E106" w14:textId="54FB9279" w:rsidR="002F2183" w:rsidRPr="0030675C" w:rsidRDefault="002F2183" w:rsidP="0030675C">
      <w:pPr>
        <w:pStyle w:val="FootnoteText"/>
        <w:ind w:firstLine="720"/>
        <w:jc w:val="both"/>
        <w:rPr>
          <w:rFonts w:asciiTheme="majorHAnsi" w:hAnsiTheme="majorHAnsi"/>
          <w:sz w:val="16"/>
          <w:szCs w:val="16"/>
          <w:lang w:val="es-ES"/>
        </w:rPr>
      </w:pPr>
      <w:r w:rsidRPr="0030675C">
        <w:rPr>
          <w:rStyle w:val="FootnoteReference"/>
          <w:rFonts w:asciiTheme="majorHAnsi" w:hAnsiTheme="majorHAnsi"/>
          <w:sz w:val="16"/>
          <w:szCs w:val="16"/>
        </w:rPr>
        <w:footnoteRef/>
      </w:r>
      <w:r w:rsidRPr="0030675C">
        <w:rPr>
          <w:rFonts w:asciiTheme="majorHAnsi" w:hAnsiTheme="majorHAnsi"/>
          <w:sz w:val="16"/>
          <w:szCs w:val="16"/>
          <w:lang w:val="es-ES"/>
        </w:rPr>
        <w:t xml:space="preserve"> CIDH, Informe No. 296/22. Petición 1519-13. Admisibilidad. Marlene Zapata Borja y otros. Colombia. 19 de octubre de 2022, párrafo 29; CIDH, Informe No. 129/21. Petición 894-09. Admisibilidad. Alcira Pérez Melgar y otros. Perú. 14 de junio de 2021, párr. 9; CIDH, Informe No. 240/20. Petición 399-11. Admisibilidad. Over José Quila y otros (Masacre de la Rejoya). 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7">
    <w:p w14:paraId="6101D466" w14:textId="77777777" w:rsidR="001D2879" w:rsidRPr="0030675C" w:rsidRDefault="001D2879" w:rsidP="0030675C">
      <w:pPr>
        <w:pStyle w:val="FootnoteText"/>
        <w:ind w:firstLine="720"/>
        <w:jc w:val="both"/>
        <w:rPr>
          <w:rFonts w:asciiTheme="majorHAnsi" w:hAnsiTheme="majorHAnsi"/>
          <w:sz w:val="16"/>
          <w:szCs w:val="16"/>
          <w:lang w:val="es-MX"/>
        </w:rPr>
      </w:pPr>
      <w:r w:rsidRPr="0030675C">
        <w:rPr>
          <w:rStyle w:val="FootnoteReference"/>
          <w:rFonts w:asciiTheme="majorHAnsi" w:hAnsiTheme="majorHAnsi"/>
          <w:sz w:val="16"/>
          <w:szCs w:val="16"/>
        </w:rPr>
        <w:footnoteRef/>
      </w:r>
      <w:r w:rsidRPr="0030675C">
        <w:rPr>
          <w:rFonts w:asciiTheme="majorHAnsi" w:hAnsiTheme="majorHAnsi"/>
          <w:sz w:val="16"/>
          <w:szCs w:val="16"/>
          <w:lang w:val="es-MX"/>
        </w:rPr>
        <w:t xml:space="preserve"> </w:t>
      </w:r>
      <w:r w:rsidRPr="0030675C">
        <w:rPr>
          <w:rFonts w:asciiTheme="majorHAnsi" w:hAnsiTheme="majorHAnsi"/>
          <w:sz w:val="16"/>
          <w:szCs w:val="16"/>
          <w:lang w:val="es-ES"/>
        </w:rPr>
        <w:t>CIDH, Informe N° 14/08, Petición 652-04. Admisibilidad. Hugo Humberto Ruíz Fuentes. Guatemala. 5 de marzo de 2008, párr. 68.</w:t>
      </w:r>
    </w:p>
  </w:footnote>
  <w:footnote w:id="8">
    <w:p w14:paraId="1E3E40AC" w14:textId="77777777" w:rsidR="001D2879" w:rsidRPr="0030675C" w:rsidRDefault="001D2879" w:rsidP="0030675C">
      <w:pPr>
        <w:pStyle w:val="FootnoteText"/>
        <w:ind w:firstLine="720"/>
        <w:jc w:val="both"/>
        <w:rPr>
          <w:rFonts w:asciiTheme="majorHAnsi" w:hAnsiTheme="majorHAnsi"/>
          <w:sz w:val="16"/>
          <w:szCs w:val="16"/>
          <w:lang w:val="es-ES"/>
        </w:rPr>
      </w:pPr>
      <w:r w:rsidRPr="0030675C">
        <w:rPr>
          <w:rStyle w:val="FootnoteReference"/>
          <w:rFonts w:asciiTheme="majorHAnsi" w:hAnsiTheme="majorHAnsi"/>
          <w:sz w:val="16"/>
          <w:szCs w:val="16"/>
        </w:rPr>
        <w:footnoteRef/>
      </w:r>
      <w:r w:rsidRPr="0030675C">
        <w:rPr>
          <w:rFonts w:asciiTheme="majorHAnsi" w:hAnsiTheme="majorHAnsi"/>
          <w:sz w:val="16"/>
          <w:szCs w:val="16"/>
          <w:lang w:val="es-SV"/>
        </w:rPr>
        <w:t xml:space="preserve"> </w:t>
      </w:r>
      <w:r w:rsidRPr="0030675C">
        <w:rPr>
          <w:rFonts w:asciiTheme="majorHAnsi" w:hAnsiTheme="majorHAnsi"/>
          <w:sz w:val="16"/>
          <w:szCs w:val="16"/>
          <w:lang w:val="es-ES"/>
        </w:rPr>
        <w:t>Corte Interamericana de Derechos Humanos, Velásquez Rodríguez vs Honduras, Excepciones preliminares, sentencia del 26 de junio de 1987, párr. 93.</w:t>
      </w:r>
    </w:p>
  </w:footnote>
  <w:footnote w:id="9">
    <w:p w14:paraId="78FDA7E1" w14:textId="07220889" w:rsidR="00AE5CA2" w:rsidRPr="0030675C" w:rsidRDefault="00AE5CA2" w:rsidP="0030675C">
      <w:pPr>
        <w:pStyle w:val="FootnoteText"/>
        <w:ind w:firstLine="720"/>
        <w:jc w:val="both"/>
        <w:rPr>
          <w:rFonts w:asciiTheme="majorHAnsi" w:hAnsiTheme="majorHAnsi"/>
          <w:sz w:val="16"/>
          <w:szCs w:val="16"/>
          <w:lang w:val="es-ES"/>
        </w:rPr>
      </w:pPr>
      <w:r w:rsidRPr="0030675C">
        <w:rPr>
          <w:rStyle w:val="FootnoteReference"/>
          <w:rFonts w:asciiTheme="majorHAnsi" w:hAnsiTheme="majorHAnsi"/>
          <w:sz w:val="16"/>
          <w:szCs w:val="16"/>
        </w:rPr>
        <w:footnoteRef/>
      </w:r>
      <w:r w:rsidRPr="0030675C">
        <w:rPr>
          <w:rFonts w:asciiTheme="majorHAnsi" w:hAnsiTheme="majorHAnsi"/>
          <w:sz w:val="16"/>
          <w:szCs w:val="16"/>
          <w:lang w:val="es-ES"/>
        </w:rPr>
        <w:t xml:space="preserve"> De hecho, </w:t>
      </w:r>
      <w:r w:rsidR="00CF1FEB" w:rsidRPr="0030675C">
        <w:rPr>
          <w:rFonts w:asciiTheme="majorHAnsi" w:hAnsiTheme="majorHAnsi"/>
          <w:sz w:val="16"/>
          <w:szCs w:val="16"/>
          <w:lang w:val="es-ES"/>
        </w:rPr>
        <w:t xml:space="preserve">al momento de la redacción del presente informe los peticionarios </w:t>
      </w:r>
      <w:r w:rsidR="0030675C" w:rsidRPr="0030675C">
        <w:rPr>
          <w:rFonts w:asciiTheme="majorHAnsi" w:hAnsiTheme="majorHAnsi"/>
          <w:sz w:val="16"/>
          <w:szCs w:val="16"/>
          <w:lang w:val="es-ES"/>
        </w:rPr>
        <w:t>no habían presentado sus últimas observaciones, a pesar de que desde hacía varios meses se les había otorgado una prórroga.</w:t>
      </w:r>
    </w:p>
  </w:footnote>
  <w:footnote w:id="10">
    <w:p w14:paraId="170469D2" w14:textId="77777777" w:rsidR="00F07696" w:rsidRPr="0030675C" w:rsidRDefault="00F07696" w:rsidP="0030675C">
      <w:pPr>
        <w:pStyle w:val="FootnoteText"/>
        <w:ind w:firstLine="720"/>
        <w:jc w:val="both"/>
        <w:rPr>
          <w:rFonts w:asciiTheme="majorHAnsi" w:hAnsiTheme="majorHAnsi"/>
          <w:sz w:val="16"/>
          <w:szCs w:val="16"/>
          <w:lang w:val="es-ES"/>
        </w:rPr>
      </w:pPr>
      <w:r w:rsidRPr="0030675C">
        <w:rPr>
          <w:rStyle w:val="FootnoteReference"/>
          <w:rFonts w:asciiTheme="majorHAnsi" w:hAnsiTheme="majorHAnsi"/>
          <w:sz w:val="16"/>
          <w:szCs w:val="16"/>
        </w:rPr>
        <w:footnoteRef/>
      </w:r>
      <w:r w:rsidRPr="0030675C">
        <w:rPr>
          <w:rFonts w:asciiTheme="majorHAnsi" w:hAnsiTheme="majorHAnsi"/>
          <w:sz w:val="16"/>
          <w:szCs w:val="16"/>
          <w:lang w:val="es-ES"/>
        </w:rPr>
        <w:t xml:space="preserve"> CIDH, Informe No. 296/22. Petición 1519-13. Admisibilidad. Marlene Zapata Borja y otros. Colombia. 19 de octubre de 2022, párrafo 31.</w:t>
      </w:r>
    </w:p>
  </w:footnote>
  <w:footnote w:id="11">
    <w:p w14:paraId="038E4E9E" w14:textId="75F8C972" w:rsidR="00AD4A06" w:rsidRPr="0030675C" w:rsidRDefault="00AD4A06" w:rsidP="0030675C">
      <w:pPr>
        <w:pStyle w:val="FootnoteText"/>
        <w:ind w:firstLine="720"/>
        <w:jc w:val="both"/>
        <w:rPr>
          <w:rFonts w:asciiTheme="majorHAnsi" w:hAnsiTheme="majorHAnsi"/>
          <w:sz w:val="16"/>
          <w:szCs w:val="16"/>
          <w:lang w:val="es-ES"/>
        </w:rPr>
      </w:pPr>
      <w:r w:rsidRPr="0030675C">
        <w:rPr>
          <w:rStyle w:val="FootnoteReference"/>
          <w:rFonts w:asciiTheme="majorHAnsi" w:hAnsiTheme="majorHAnsi"/>
          <w:sz w:val="16"/>
          <w:szCs w:val="16"/>
        </w:rPr>
        <w:footnoteRef/>
      </w:r>
      <w:r w:rsidRPr="0030675C">
        <w:rPr>
          <w:rFonts w:asciiTheme="majorHAnsi" w:hAnsiTheme="majorHAnsi"/>
          <w:sz w:val="16"/>
          <w:szCs w:val="16"/>
          <w:lang w:val="es-ES"/>
        </w:rPr>
        <w:t xml:space="preserve"> </w:t>
      </w:r>
      <w:r w:rsidR="004A66E1" w:rsidRPr="0030675C">
        <w:rPr>
          <w:rFonts w:asciiTheme="majorHAnsi" w:hAnsiTheme="majorHAnsi"/>
          <w:sz w:val="16"/>
          <w:szCs w:val="16"/>
          <w:lang w:val="es-ES"/>
        </w:rPr>
        <w:t xml:space="preserve">Véase, </w:t>
      </w:r>
      <w:r w:rsidR="004A66E1" w:rsidRPr="0030675C">
        <w:rPr>
          <w:rFonts w:asciiTheme="majorHAnsi" w:hAnsiTheme="majorHAnsi"/>
          <w:i/>
          <w:iCs/>
          <w:sz w:val="16"/>
          <w:szCs w:val="16"/>
          <w:lang w:val="es-ES"/>
        </w:rPr>
        <w:t>v.g.</w:t>
      </w:r>
      <w:r w:rsidR="004A66E1" w:rsidRPr="0030675C">
        <w:rPr>
          <w:rFonts w:asciiTheme="majorHAnsi" w:hAnsiTheme="majorHAnsi"/>
          <w:sz w:val="16"/>
          <w:szCs w:val="16"/>
          <w:lang w:val="es-ES"/>
        </w:rPr>
        <w:t xml:space="preserve">, </w:t>
      </w:r>
      <w:r w:rsidR="00BC5FCE" w:rsidRPr="0030675C">
        <w:rPr>
          <w:rFonts w:asciiTheme="majorHAnsi" w:hAnsiTheme="majorHAnsi"/>
          <w:sz w:val="16"/>
          <w:szCs w:val="16"/>
          <w:lang w:val="es-ES"/>
        </w:rPr>
        <w:t>CIDH, Informe No. 76/22. Petición 1721-12. Admibisibilidad. Masacre de Pichilín. Colombia. 24 de abril de 2022; CIDH, Informe No. 8/22. Petición 1889-10. Admisibilidad. Jairo Rocha González y familia. Colombia. Jairo Rocha González y familia. 9 de febrero de 2022; CIDH, Informe No. 254/21. Petición 1846-11. Admisibilidad. Giovanni Guzmán Pérez y otros (Masacre de Puerto Patiño). Colombia. 26 de septiembre de 2021; CIDH, Informe No. 34/01. Caso 12.250. Admisibilidad. Masacre de Mapiripán. Colombia. 22 de febrero de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9705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7"/>
  </w:num>
  <w:num w:numId="3" w16cid:durableId="1663389590">
    <w:abstractNumId w:val="59"/>
  </w:num>
  <w:num w:numId="4" w16cid:durableId="82342866">
    <w:abstractNumId w:val="22"/>
  </w:num>
  <w:num w:numId="5" w16cid:durableId="1599026591">
    <w:abstractNumId w:val="51"/>
  </w:num>
  <w:num w:numId="6" w16cid:durableId="1795514418">
    <w:abstractNumId w:val="29"/>
  </w:num>
  <w:num w:numId="7" w16cid:durableId="396254">
    <w:abstractNumId w:val="8"/>
  </w:num>
  <w:num w:numId="8" w16cid:durableId="1302268258">
    <w:abstractNumId w:val="18"/>
  </w:num>
  <w:num w:numId="9" w16cid:durableId="669480169">
    <w:abstractNumId w:val="45"/>
  </w:num>
  <w:num w:numId="10" w16cid:durableId="275260533">
    <w:abstractNumId w:val="2"/>
  </w:num>
  <w:num w:numId="11" w16cid:durableId="866258526">
    <w:abstractNumId w:val="40"/>
  </w:num>
  <w:num w:numId="12" w16cid:durableId="171335598">
    <w:abstractNumId w:val="41"/>
  </w:num>
  <w:num w:numId="13" w16cid:durableId="752550714">
    <w:abstractNumId w:val="48"/>
  </w:num>
  <w:num w:numId="14" w16cid:durableId="728965123">
    <w:abstractNumId w:val="3"/>
  </w:num>
  <w:num w:numId="15" w16cid:durableId="1621453753">
    <w:abstractNumId w:val="4"/>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3"/>
  </w:num>
  <w:num w:numId="60" w16cid:durableId="712732366">
    <w:abstractNumId w:val="35"/>
  </w:num>
  <w:num w:numId="61" w16cid:durableId="1097671741">
    <w:abstractNumId w:val="47"/>
  </w:num>
  <w:num w:numId="62" w16cid:durableId="1840730130">
    <w:abstractNumId w:val="53"/>
  </w:num>
  <w:num w:numId="63" w16cid:durableId="369187513">
    <w:abstractNumId w:val="5"/>
  </w:num>
  <w:num w:numId="64" w16cid:durableId="1129082726">
    <w:abstractNumId w:val="57"/>
  </w:num>
  <w:num w:numId="65" w16cid:durableId="1375806805">
    <w:abstractNumId w:val="0"/>
  </w:num>
  <w:num w:numId="66" w16cid:durableId="1638342112">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337EF"/>
    <w:rsid w:val="00040C3A"/>
    <w:rsid w:val="000419AD"/>
    <w:rsid w:val="000433C9"/>
    <w:rsid w:val="000444E7"/>
    <w:rsid w:val="0006309F"/>
    <w:rsid w:val="00066490"/>
    <w:rsid w:val="00071174"/>
    <w:rsid w:val="000716C5"/>
    <w:rsid w:val="00075E23"/>
    <w:rsid w:val="00082AB6"/>
    <w:rsid w:val="0009344A"/>
    <w:rsid w:val="000970F4"/>
    <w:rsid w:val="000A1783"/>
    <w:rsid w:val="000A392E"/>
    <w:rsid w:val="000A575F"/>
    <w:rsid w:val="000B66F4"/>
    <w:rsid w:val="000B7730"/>
    <w:rsid w:val="000D05CB"/>
    <w:rsid w:val="000D10DB"/>
    <w:rsid w:val="000E5EB5"/>
    <w:rsid w:val="000F35ED"/>
    <w:rsid w:val="000F5E60"/>
    <w:rsid w:val="0010550C"/>
    <w:rsid w:val="00107131"/>
    <w:rsid w:val="0010736F"/>
    <w:rsid w:val="00113F73"/>
    <w:rsid w:val="00116C8C"/>
    <w:rsid w:val="00117739"/>
    <w:rsid w:val="00117F04"/>
    <w:rsid w:val="00120FB0"/>
    <w:rsid w:val="00121785"/>
    <w:rsid w:val="00121CC2"/>
    <w:rsid w:val="00124156"/>
    <w:rsid w:val="001253BC"/>
    <w:rsid w:val="00126391"/>
    <w:rsid w:val="001268DF"/>
    <w:rsid w:val="00126FAE"/>
    <w:rsid w:val="00130194"/>
    <w:rsid w:val="00131425"/>
    <w:rsid w:val="00133246"/>
    <w:rsid w:val="00133EE5"/>
    <w:rsid w:val="001340F9"/>
    <w:rsid w:val="0013676D"/>
    <w:rsid w:val="00163853"/>
    <w:rsid w:val="00163F99"/>
    <w:rsid w:val="00165562"/>
    <w:rsid w:val="00167A34"/>
    <w:rsid w:val="001726EA"/>
    <w:rsid w:val="001808C4"/>
    <w:rsid w:val="00180DE8"/>
    <w:rsid w:val="00182DAD"/>
    <w:rsid w:val="001A2B21"/>
    <w:rsid w:val="001A520D"/>
    <w:rsid w:val="001A7870"/>
    <w:rsid w:val="001A7D7B"/>
    <w:rsid w:val="001B3A00"/>
    <w:rsid w:val="001B5CFC"/>
    <w:rsid w:val="001B7876"/>
    <w:rsid w:val="001B7B98"/>
    <w:rsid w:val="001C1B41"/>
    <w:rsid w:val="001C689E"/>
    <w:rsid w:val="001D21C7"/>
    <w:rsid w:val="001D2879"/>
    <w:rsid w:val="001D65EF"/>
    <w:rsid w:val="001E142D"/>
    <w:rsid w:val="001E15E7"/>
    <w:rsid w:val="001E49E7"/>
    <w:rsid w:val="001F55FB"/>
    <w:rsid w:val="001F7201"/>
    <w:rsid w:val="0020080E"/>
    <w:rsid w:val="002213C3"/>
    <w:rsid w:val="00223A29"/>
    <w:rsid w:val="002244F1"/>
    <w:rsid w:val="002250A3"/>
    <w:rsid w:val="00226DF5"/>
    <w:rsid w:val="00234F71"/>
    <w:rsid w:val="00235217"/>
    <w:rsid w:val="00237C68"/>
    <w:rsid w:val="00240281"/>
    <w:rsid w:val="00246D1F"/>
    <w:rsid w:val="00247403"/>
    <w:rsid w:val="00247542"/>
    <w:rsid w:val="00256399"/>
    <w:rsid w:val="00266B61"/>
    <w:rsid w:val="0026712A"/>
    <w:rsid w:val="002704DB"/>
    <w:rsid w:val="00280B37"/>
    <w:rsid w:val="002840C1"/>
    <w:rsid w:val="002A0AAE"/>
    <w:rsid w:val="002A5820"/>
    <w:rsid w:val="002B1533"/>
    <w:rsid w:val="002B7391"/>
    <w:rsid w:val="002D2B26"/>
    <w:rsid w:val="002D3EA7"/>
    <w:rsid w:val="002D7EA2"/>
    <w:rsid w:val="002E187C"/>
    <w:rsid w:val="002F20AA"/>
    <w:rsid w:val="002F2183"/>
    <w:rsid w:val="002F3F8C"/>
    <w:rsid w:val="003009E4"/>
    <w:rsid w:val="00302733"/>
    <w:rsid w:val="00305835"/>
    <w:rsid w:val="0030675C"/>
    <w:rsid w:val="00306F33"/>
    <w:rsid w:val="00314078"/>
    <w:rsid w:val="0031535D"/>
    <w:rsid w:val="00323468"/>
    <w:rsid w:val="003239B8"/>
    <w:rsid w:val="0032708E"/>
    <w:rsid w:val="0033169F"/>
    <w:rsid w:val="0034209F"/>
    <w:rsid w:val="003447F5"/>
    <w:rsid w:val="00344977"/>
    <w:rsid w:val="003453FA"/>
    <w:rsid w:val="003459D0"/>
    <w:rsid w:val="00346C95"/>
    <w:rsid w:val="00347F0D"/>
    <w:rsid w:val="00353B70"/>
    <w:rsid w:val="00356185"/>
    <w:rsid w:val="003563CD"/>
    <w:rsid w:val="00360214"/>
    <w:rsid w:val="00360380"/>
    <w:rsid w:val="00364723"/>
    <w:rsid w:val="0037519E"/>
    <w:rsid w:val="00380295"/>
    <w:rsid w:val="00380AC4"/>
    <w:rsid w:val="00386CF0"/>
    <w:rsid w:val="00387E9A"/>
    <w:rsid w:val="00391FD5"/>
    <w:rsid w:val="00396D45"/>
    <w:rsid w:val="003A4B2B"/>
    <w:rsid w:val="003B70FB"/>
    <w:rsid w:val="003C676B"/>
    <w:rsid w:val="003D3BC2"/>
    <w:rsid w:val="003D67A9"/>
    <w:rsid w:val="003E0C2E"/>
    <w:rsid w:val="003E51E9"/>
    <w:rsid w:val="003E6CA1"/>
    <w:rsid w:val="003F5154"/>
    <w:rsid w:val="003F6767"/>
    <w:rsid w:val="00405184"/>
    <w:rsid w:val="00405F9C"/>
    <w:rsid w:val="004065A8"/>
    <w:rsid w:val="004165C2"/>
    <w:rsid w:val="004205D0"/>
    <w:rsid w:val="004241A0"/>
    <w:rsid w:val="00424FB5"/>
    <w:rsid w:val="00427B38"/>
    <w:rsid w:val="00441ECB"/>
    <w:rsid w:val="00445193"/>
    <w:rsid w:val="004469AA"/>
    <w:rsid w:val="00450DB0"/>
    <w:rsid w:val="0045200B"/>
    <w:rsid w:val="004528E6"/>
    <w:rsid w:val="00454A25"/>
    <w:rsid w:val="00457034"/>
    <w:rsid w:val="004600D3"/>
    <w:rsid w:val="0046139B"/>
    <w:rsid w:val="00462C1B"/>
    <w:rsid w:val="00467B7E"/>
    <w:rsid w:val="00473BB4"/>
    <w:rsid w:val="00473DE9"/>
    <w:rsid w:val="00477592"/>
    <w:rsid w:val="00480466"/>
    <w:rsid w:val="00486F1C"/>
    <w:rsid w:val="0049419D"/>
    <w:rsid w:val="004A057B"/>
    <w:rsid w:val="004A66E1"/>
    <w:rsid w:val="004A6A54"/>
    <w:rsid w:val="004B421C"/>
    <w:rsid w:val="004C20D2"/>
    <w:rsid w:val="004C2312"/>
    <w:rsid w:val="004C4B62"/>
    <w:rsid w:val="004C54C9"/>
    <w:rsid w:val="004D109B"/>
    <w:rsid w:val="004D4ABA"/>
    <w:rsid w:val="004D6025"/>
    <w:rsid w:val="004E013A"/>
    <w:rsid w:val="004E2649"/>
    <w:rsid w:val="004E3A90"/>
    <w:rsid w:val="004E4981"/>
    <w:rsid w:val="004F1840"/>
    <w:rsid w:val="004F1B17"/>
    <w:rsid w:val="004F391C"/>
    <w:rsid w:val="004F626F"/>
    <w:rsid w:val="00501399"/>
    <w:rsid w:val="005047ED"/>
    <w:rsid w:val="0050633D"/>
    <w:rsid w:val="0050662A"/>
    <w:rsid w:val="00507BC4"/>
    <w:rsid w:val="005128E4"/>
    <w:rsid w:val="005133DB"/>
    <w:rsid w:val="00514504"/>
    <w:rsid w:val="00521E1F"/>
    <w:rsid w:val="00522E0C"/>
    <w:rsid w:val="00525560"/>
    <w:rsid w:val="005419C8"/>
    <w:rsid w:val="00544C49"/>
    <w:rsid w:val="005451EB"/>
    <w:rsid w:val="005516A1"/>
    <w:rsid w:val="005559EF"/>
    <w:rsid w:val="005627DD"/>
    <w:rsid w:val="00563557"/>
    <w:rsid w:val="00571271"/>
    <w:rsid w:val="0057402A"/>
    <w:rsid w:val="005771D0"/>
    <w:rsid w:val="0059191A"/>
    <w:rsid w:val="005921FF"/>
    <w:rsid w:val="005A24ED"/>
    <w:rsid w:val="005A6D0E"/>
    <w:rsid w:val="005B039F"/>
    <w:rsid w:val="005B08F5"/>
    <w:rsid w:val="005B0EB6"/>
    <w:rsid w:val="005B3279"/>
    <w:rsid w:val="005B52B0"/>
    <w:rsid w:val="005B6806"/>
    <w:rsid w:val="005C4225"/>
    <w:rsid w:val="005C5C59"/>
    <w:rsid w:val="005C69D5"/>
    <w:rsid w:val="005D02D9"/>
    <w:rsid w:val="005E312F"/>
    <w:rsid w:val="005E7173"/>
    <w:rsid w:val="005F0DAD"/>
    <w:rsid w:val="005F0F33"/>
    <w:rsid w:val="00600DEB"/>
    <w:rsid w:val="00614533"/>
    <w:rsid w:val="00614A9D"/>
    <w:rsid w:val="00614FD6"/>
    <w:rsid w:val="00615A60"/>
    <w:rsid w:val="00621CA4"/>
    <w:rsid w:val="00627562"/>
    <w:rsid w:val="00627C9F"/>
    <w:rsid w:val="006311E9"/>
    <w:rsid w:val="00632354"/>
    <w:rsid w:val="00633308"/>
    <w:rsid w:val="00635421"/>
    <w:rsid w:val="00635B94"/>
    <w:rsid w:val="00642810"/>
    <w:rsid w:val="006443B1"/>
    <w:rsid w:val="00652333"/>
    <w:rsid w:val="00663CC3"/>
    <w:rsid w:val="006746F8"/>
    <w:rsid w:val="0068009E"/>
    <w:rsid w:val="00692219"/>
    <w:rsid w:val="00692806"/>
    <w:rsid w:val="00693EB9"/>
    <w:rsid w:val="006A17D2"/>
    <w:rsid w:val="006A73E6"/>
    <w:rsid w:val="006B2D5C"/>
    <w:rsid w:val="006B3225"/>
    <w:rsid w:val="006B4B71"/>
    <w:rsid w:val="006C0535"/>
    <w:rsid w:val="006C0ECF"/>
    <w:rsid w:val="006C4EB1"/>
    <w:rsid w:val="006C5E85"/>
    <w:rsid w:val="006D75EF"/>
    <w:rsid w:val="006D7C9F"/>
    <w:rsid w:val="006E0166"/>
    <w:rsid w:val="006E2FFB"/>
    <w:rsid w:val="006E3BAD"/>
    <w:rsid w:val="006E7B34"/>
    <w:rsid w:val="006F37FE"/>
    <w:rsid w:val="00704306"/>
    <w:rsid w:val="0070697F"/>
    <w:rsid w:val="007103C4"/>
    <w:rsid w:val="0072199C"/>
    <w:rsid w:val="00722529"/>
    <w:rsid w:val="00722C9F"/>
    <w:rsid w:val="0072340D"/>
    <w:rsid w:val="00723817"/>
    <w:rsid w:val="007253B8"/>
    <w:rsid w:val="00735DB3"/>
    <w:rsid w:val="0073741F"/>
    <w:rsid w:val="00740190"/>
    <w:rsid w:val="00751E29"/>
    <w:rsid w:val="0076643F"/>
    <w:rsid w:val="00776E24"/>
    <w:rsid w:val="00777F63"/>
    <w:rsid w:val="00784185"/>
    <w:rsid w:val="00791316"/>
    <w:rsid w:val="00793F1C"/>
    <w:rsid w:val="00794F46"/>
    <w:rsid w:val="007A5817"/>
    <w:rsid w:val="007A6D06"/>
    <w:rsid w:val="007B05C4"/>
    <w:rsid w:val="007B1823"/>
    <w:rsid w:val="007B60E9"/>
    <w:rsid w:val="007B6595"/>
    <w:rsid w:val="007B6CC3"/>
    <w:rsid w:val="007B76D3"/>
    <w:rsid w:val="007C282B"/>
    <w:rsid w:val="007C3334"/>
    <w:rsid w:val="007C74F0"/>
    <w:rsid w:val="007D2B98"/>
    <w:rsid w:val="007E21BC"/>
    <w:rsid w:val="007E5C97"/>
    <w:rsid w:val="007E6888"/>
    <w:rsid w:val="007E7C82"/>
    <w:rsid w:val="007F2AA1"/>
    <w:rsid w:val="007F4A4A"/>
    <w:rsid w:val="007F588D"/>
    <w:rsid w:val="007F6C4B"/>
    <w:rsid w:val="00803F1C"/>
    <w:rsid w:val="00805D5C"/>
    <w:rsid w:val="0080600E"/>
    <w:rsid w:val="0080671D"/>
    <w:rsid w:val="00814688"/>
    <w:rsid w:val="00817612"/>
    <w:rsid w:val="008338A4"/>
    <w:rsid w:val="00834190"/>
    <w:rsid w:val="00834D49"/>
    <w:rsid w:val="00837C45"/>
    <w:rsid w:val="00841CD0"/>
    <w:rsid w:val="00844730"/>
    <w:rsid w:val="008452B2"/>
    <w:rsid w:val="008457C2"/>
    <w:rsid w:val="0084636E"/>
    <w:rsid w:val="00857A82"/>
    <w:rsid w:val="00872CBE"/>
    <w:rsid w:val="00873836"/>
    <w:rsid w:val="0087592F"/>
    <w:rsid w:val="00885737"/>
    <w:rsid w:val="00890650"/>
    <w:rsid w:val="008944DC"/>
    <w:rsid w:val="00895F48"/>
    <w:rsid w:val="00897055"/>
    <w:rsid w:val="00897E12"/>
    <w:rsid w:val="008A6BBC"/>
    <w:rsid w:val="008A7E0F"/>
    <w:rsid w:val="008B12F5"/>
    <w:rsid w:val="008C5E2D"/>
    <w:rsid w:val="008C7A17"/>
    <w:rsid w:val="008D768D"/>
    <w:rsid w:val="008E2546"/>
    <w:rsid w:val="008E3759"/>
    <w:rsid w:val="008E3BFE"/>
    <w:rsid w:val="008F1912"/>
    <w:rsid w:val="008F288F"/>
    <w:rsid w:val="008F329A"/>
    <w:rsid w:val="008F3C4B"/>
    <w:rsid w:val="0090270B"/>
    <w:rsid w:val="009041DC"/>
    <w:rsid w:val="0091191E"/>
    <w:rsid w:val="00917B5A"/>
    <w:rsid w:val="00920A58"/>
    <w:rsid w:val="00920A8C"/>
    <w:rsid w:val="00927786"/>
    <w:rsid w:val="0093148F"/>
    <w:rsid w:val="00932588"/>
    <w:rsid w:val="00934A2C"/>
    <w:rsid w:val="00944B19"/>
    <w:rsid w:val="00944C3A"/>
    <w:rsid w:val="0095594E"/>
    <w:rsid w:val="00957C0E"/>
    <w:rsid w:val="0096706E"/>
    <w:rsid w:val="00974312"/>
    <w:rsid w:val="00974491"/>
    <w:rsid w:val="00975C4E"/>
    <w:rsid w:val="00981FBA"/>
    <w:rsid w:val="00982364"/>
    <w:rsid w:val="0098518F"/>
    <w:rsid w:val="00997BC5"/>
    <w:rsid w:val="009A4F41"/>
    <w:rsid w:val="009B03E1"/>
    <w:rsid w:val="009B1678"/>
    <w:rsid w:val="009B381B"/>
    <w:rsid w:val="009B5220"/>
    <w:rsid w:val="009D1753"/>
    <w:rsid w:val="009D2D7C"/>
    <w:rsid w:val="009D7611"/>
    <w:rsid w:val="009E0B61"/>
    <w:rsid w:val="009E481A"/>
    <w:rsid w:val="009E53DE"/>
    <w:rsid w:val="009E6A26"/>
    <w:rsid w:val="009E7F46"/>
    <w:rsid w:val="00A004BB"/>
    <w:rsid w:val="00A032AC"/>
    <w:rsid w:val="00A05B01"/>
    <w:rsid w:val="00A068E3"/>
    <w:rsid w:val="00A11212"/>
    <w:rsid w:val="00A11E44"/>
    <w:rsid w:val="00A12C78"/>
    <w:rsid w:val="00A1356A"/>
    <w:rsid w:val="00A231B3"/>
    <w:rsid w:val="00A2438F"/>
    <w:rsid w:val="00A24F3B"/>
    <w:rsid w:val="00A30100"/>
    <w:rsid w:val="00A328B3"/>
    <w:rsid w:val="00A34797"/>
    <w:rsid w:val="00A47319"/>
    <w:rsid w:val="00A50FCF"/>
    <w:rsid w:val="00A528D1"/>
    <w:rsid w:val="00A610CD"/>
    <w:rsid w:val="00A610DF"/>
    <w:rsid w:val="00A63C10"/>
    <w:rsid w:val="00A678DC"/>
    <w:rsid w:val="00A72E93"/>
    <w:rsid w:val="00A758AA"/>
    <w:rsid w:val="00A879E9"/>
    <w:rsid w:val="00A934E3"/>
    <w:rsid w:val="00AA09A2"/>
    <w:rsid w:val="00AA2D5C"/>
    <w:rsid w:val="00AA7996"/>
    <w:rsid w:val="00AB3141"/>
    <w:rsid w:val="00AB69CB"/>
    <w:rsid w:val="00AB6E56"/>
    <w:rsid w:val="00AC19CB"/>
    <w:rsid w:val="00AC4711"/>
    <w:rsid w:val="00AD2609"/>
    <w:rsid w:val="00AD4A06"/>
    <w:rsid w:val="00AE5488"/>
    <w:rsid w:val="00AE5CA2"/>
    <w:rsid w:val="00AE6F91"/>
    <w:rsid w:val="00AF1AF9"/>
    <w:rsid w:val="00AF47BA"/>
    <w:rsid w:val="00AF5571"/>
    <w:rsid w:val="00B0247A"/>
    <w:rsid w:val="00B0730A"/>
    <w:rsid w:val="00B07341"/>
    <w:rsid w:val="00B078C2"/>
    <w:rsid w:val="00B079D3"/>
    <w:rsid w:val="00B21119"/>
    <w:rsid w:val="00B30539"/>
    <w:rsid w:val="00B314DB"/>
    <w:rsid w:val="00B32801"/>
    <w:rsid w:val="00B35BFA"/>
    <w:rsid w:val="00B361F2"/>
    <w:rsid w:val="00B3718B"/>
    <w:rsid w:val="00B3745F"/>
    <w:rsid w:val="00B4632A"/>
    <w:rsid w:val="00B46D4F"/>
    <w:rsid w:val="00B530F1"/>
    <w:rsid w:val="00B53EAF"/>
    <w:rsid w:val="00B55A6C"/>
    <w:rsid w:val="00B653DB"/>
    <w:rsid w:val="00B70730"/>
    <w:rsid w:val="00B76BAC"/>
    <w:rsid w:val="00B7711D"/>
    <w:rsid w:val="00B83158"/>
    <w:rsid w:val="00B86C69"/>
    <w:rsid w:val="00B90063"/>
    <w:rsid w:val="00B93D7F"/>
    <w:rsid w:val="00B9608B"/>
    <w:rsid w:val="00BA1AB7"/>
    <w:rsid w:val="00BA2401"/>
    <w:rsid w:val="00BA276C"/>
    <w:rsid w:val="00BA27E4"/>
    <w:rsid w:val="00BB019D"/>
    <w:rsid w:val="00BB306F"/>
    <w:rsid w:val="00BB3304"/>
    <w:rsid w:val="00BB395B"/>
    <w:rsid w:val="00BB6B26"/>
    <w:rsid w:val="00BB79F8"/>
    <w:rsid w:val="00BC5FCE"/>
    <w:rsid w:val="00BC7236"/>
    <w:rsid w:val="00BD0FF5"/>
    <w:rsid w:val="00BD4B89"/>
    <w:rsid w:val="00BD5922"/>
    <w:rsid w:val="00BE571F"/>
    <w:rsid w:val="00BF02CB"/>
    <w:rsid w:val="00BF367E"/>
    <w:rsid w:val="00BF416A"/>
    <w:rsid w:val="00BF6FD8"/>
    <w:rsid w:val="00C03680"/>
    <w:rsid w:val="00C054DF"/>
    <w:rsid w:val="00C10092"/>
    <w:rsid w:val="00C125DF"/>
    <w:rsid w:val="00C21762"/>
    <w:rsid w:val="00C21FEF"/>
    <w:rsid w:val="00C23BA4"/>
    <w:rsid w:val="00C24543"/>
    <w:rsid w:val="00C256A2"/>
    <w:rsid w:val="00C25ADB"/>
    <w:rsid w:val="00C4173B"/>
    <w:rsid w:val="00C51515"/>
    <w:rsid w:val="00C5660B"/>
    <w:rsid w:val="00C56831"/>
    <w:rsid w:val="00C6045A"/>
    <w:rsid w:val="00C630A7"/>
    <w:rsid w:val="00C64E07"/>
    <w:rsid w:val="00C66B72"/>
    <w:rsid w:val="00C721DB"/>
    <w:rsid w:val="00C74004"/>
    <w:rsid w:val="00C766C2"/>
    <w:rsid w:val="00C8360D"/>
    <w:rsid w:val="00C86FA4"/>
    <w:rsid w:val="00C87AC4"/>
    <w:rsid w:val="00C9124E"/>
    <w:rsid w:val="00C92A2D"/>
    <w:rsid w:val="00C9567A"/>
    <w:rsid w:val="00C96F72"/>
    <w:rsid w:val="00CA43D7"/>
    <w:rsid w:val="00CA5205"/>
    <w:rsid w:val="00CA5848"/>
    <w:rsid w:val="00CB212D"/>
    <w:rsid w:val="00CB2660"/>
    <w:rsid w:val="00CC5E90"/>
    <w:rsid w:val="00CC6A83"/>
    <w:rsid w:val="00CC7AE4"/>
    <w:rsid w:val="00CD046C"/>
    <w:rsid w:val="00CD3896"/>
    <w:rsid w:val="00CE076C"/>
    <w:rsid w:val="00CE5199"/>
    <w:rsid w:val="00CE66D5"/>
    <w:rsid w:val="00CF1FEB"/>
    <w:rsid w:val="00CF28F3"/>
    <w:rsid w:val="00CF637A"/>
    <w:rsid w:val="00D059DE"/>
    <w:rsid w:val="00D05ABD"/>
    <w:rsid w:val="00D1064A"/>
    <w:rsid w:val="00D10D79"/>
    <w:rsid w:val="00D13FCE"/>
    <w:rsid w:val="00D24E3F"/>
    <w:rsid w:val="00D2719D"/>
    <w:rsid w:val="00D306D1"/>
    <w:rsid w:val="00D30800"/>
    <w:rsid w:val="00D34786"/>
    <w:rsid w:val="00D37BFC"/>
    <w:rsid w:val="00D471A2"/>
    <w:rsid w:val="00D47A8E"/>
    <w:rsid w:val="00D52D14"/>
    <w:rsid w:val="00D712D3"/>
    <w:rsid w:val="00D71422"/>
    <w:rsid w:val="00D72DC6"/>
    <w:rsid w:val="00D75503"/>
    <w:rsid w:val="00D7558D"/>
    <w:rsid w:val="00D81D92"/>
    <w:rsid w:val="00D876F9"/>
    <w:rsid w:val="00D92F63"/>
    <w:rsid w:val="00DA4343"/>
    <w:rsid w:val="00DA7598"/>
    <w:rsid w:val="00DA7B5F"/>
    <w:rsid w:val="00DB1E80"/>
    <w:rsid w:val="00DC11E7"/>
    <w:rsid w:val="00DC24E3"/>
    <w:rsid w:val="00DC60CD"/>
    <w:rsid w:val="00DC7023"/>
    <w:rsid w:val="00DC769A"/>
    <w:rsid w:val="00DD3D86"/>
    <w:rsid w:val="00DD4AD2"/>
    <w:rsid w:val="00DE0A58"/>
    <w:rsid w:val="00DE2862"/>
    <w:rsid w:val="00DF1EC4"/>
    <w:rsid w:val="00E021FA"/>
    <w:rsid w:val="00E0340B"/>
    <w:rsid w:val="00E04A90"/>
    <w:rsid w:val="00E0551F"/>
    <w:rsid w:val="00E12F9D"/>
    <w:rsid w:val="00E133F4"/>
    <w:rsid w:val="00E153B0"/>
    <w:rsid w:val="00E219C7"/>
    <w:rsid w:val="00E2321A"/>
    <w:rsid w:val="00E369C5"/>
    <w:rsid w:val="00E40E47"/>
    <w:rsid w:val="00E4118C"/>
    <w:rsid w:val="00E43157"/>
    <w:rsid w:val="00E461CE"/>
    <w:rsid w:val="00E46B7B"/>
    <w:rsid w:val="00E573E4"/>
    <w:rsid w:val="00E64C3D"/>
    <w:rsid w:val="00E66134"/>
    <w:rsid w:val="00E720CA"/>
    <w:rsid w:val="00E722B0"/>
    <w:rsid w:val="00E83A70"/>
    <w:rsid w:val="00E84368"/>
    <w:rsid w:val="00E84EB5"/>
    <w:rsid w:val="00E85662"/>
    <w:rsid w:val="00E8789F"/>
    <w:rsid w:val="00E97B71"/>
    <w:rsid w:val="00EA234C"/>
    <w:rsid w:val="00EA2DEF"/>
    <w:rsid w:val="00EA3726"/>
    <w:rsid w:val="00EA3D34"/>
    <w:rsid w:val="00EA7275"/>
    <w:rsid w:val="00EB454D"/>
    <w:rsid w:val="00EB77C7"/>
    <w:rsid w:val="00EC0975"/>
    <w:rsid w:val="00EC0B52"/>
    <w:rsid w:val="00ED549D"/>
    <w:rsid w:val="00ED5E10"/>
    <w:rsid w:val="00ED76BE"/>
    <w:rsid w:val="00EE00E9"/>
    <w:rsid w:val="00EE36C0"/>
    <w:rsid w:val="00EF1AAA"/>
    <w:rsid w:val="00EF619B"/>
    <w:rsid w:val="00F00B55"/>
    <w:rsid w:val="00F02AD1"/>
    <w:rsid w:val="00F02C09"/>
    <w:rsid w:val="00F07696"/>
    <w:rsid w:val="00F148AF"/>
    <w:rsid w:val="00F17870"/>
    <w:rsid w:val="00F21B2A"/>
    <w:rsid w:val="00F253CC"/>
    <w:rsid w:val="00F2549D"/>
    <w:rsid w:val="00F318DD"/>
    <w:rsid w:val="00F37106"/>
    <w:rsid w:val="00F40B35"/>
    <w:rsid w:val="00F439E6"/>
    <w:rsid w:val="00F44E25"/>
    <w:rsid w:val="00F519CF"/>
    <w:rsid w:val="00F561D3"/>
    <w:rsid w:val="00F56BA5"/>
    <w:rsid w:val="00F60C89"/>
    <w:rsid w:val="00F60E22"/>
    <w:rsid w:val="00F67E3B"/>
    <w:rsid w:val="00F73D6F"/>
    <w:rsid w:val="00F7531D"/>
    <w:rsid w:val="00F80D59"/>
    <w:rsid w:val="00F81395"/>
    <w:rsid w:val="00F81BB8"/>
    <w:rsid w:val="00F8227D"/>
    <w:rsid w:val="00F90C64"/>
    <w:rsid w:val="00F917D1"/>
    <w:rsid w:val="00F9653B"/>
    <w:rsid w:val="00FB62CF"/>
    <w:rsid w:val="00FB6891"/>
    <w:rsid w:val="00FC6219"/>
    <w:rsid w:val="00FC67EE"/>
    <w:rsid w:val="00FD3C3B"/>
    <w:rsid w:val="00FD414D"/>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ootnote text,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Char2">
    <w:name w:val="Char2"/>
    <w:basedOn w:val="Normal"/>
    <w:link w:val="FootnoteReference"/>
    <w:rsid w:val="001D287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A032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032AC"/>
  </w:style>
  <w:style w:type="character" w:customStyle="1" w:styleId="eop">
    <w:name w:val="eop"/>
    <w:basedOn w:val="DefaultParagraphFont"/>
    <w:rsid w:val="00A0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200821"/>
    <w:rsid w:val="0024346A"/>
    <w:rsid w:val="0025245B"/>
    <w:rsid w:val="002A3923"/>
    <w:rsid w:val="002A4C6B"/>
    <w:rsid w:val="00394049"/>
    <w:rsid w:val="003B0C71"/>
    <w:rsid w:val="004B5BBB"/>
    <w:rsid w:val="004F2DF8"/>
    <w:rsid w:val="0050257A"/>
    <w:rsid w:val="00517E2A"/>
    <w:rsid w:val="00636636"/>
    <w:rsid w:val="006D12AA"/>
    <w:rsid w:val="006F24A1"/>
    <w:rsid w:val="0072075B"/>
    <w:rsid w:val="00875B8A"/>
    <w:rsid w:val="009A261B"/>
    <w:rsid w:val="00AA2E17"/>
    <w:rsid w:val="00AC15A4"/>
    <w:rsid w:val="00B0336C"/>
    <w:rsid w:val="00B7496B"/>
    <w:rsid w:val="00BB38BA"/>
    <w:rsid w:val="00BB4DCF"/>
    <w:rsid w:val="00BE1AB1"/>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4039</Words>
  <Characters>23023</Characters>
  <Application>Microsoft Office Word</Application>
  <DocSecurity>0</DocSecurity>
  <Lines>191</Lines>
  <Paragraphs>54</Paragraphs>
  <ScaleCrop>false</ScaleCrop>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2023-07-10T21:36:00Z</dcterms:created>
  <dcterms:modified xsi:type="dcterms:W3CDTF">2023-07-10T21:36:00Z</dcterms:modified>
</cp:coreProperties>
</file>