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AB6CB4" w:rsidRDefault="00D306D1" w:rsidP="00627C9F">
      <w:pPr>
        <w:jc w:val="both"/>
        <w:rPr>
          <w:rFonts w:asciiTheme="majorHAnsi" w:hAnsiTheme="majorHAnsi" w:cs="Univers"/>
          <w:b/>
          <w:bCs/>
          <w:sz w:val="20"/>
          <w:szCs w:val="20"/>
          <w:lang w:val="es-ES_tradnl"/>
        </w:rPr>
      </w:pPr>
      <w:r w:rsidRPr="00AB6CB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598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B6CB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AB6CB4">
        <w:rPr>
          <w:rFonts w:asciiTheme="majorHAnsi" w:hAnsiTheme="majorHAnsi" w:cs="Univers"/>
          <w:b/>
          <w:bCs/>
          <w:sz w:val="20"/>
          <w:szCs w:val="20"/>
          <w:lang w:val="es-ES_tradnl"/>
        </w:rPr>
        <w:t xml:space="preserve"> </w:t>
      </w:r>
    </w:p>
    <w:p w14:paraId="751BC92D" w14:textId="77777777" w:rsidR="00040C3A" w:rsidRPr="00AB6CB4" w:rsidRDefault="00040C3A" w:rsidP="00040C3A">
      <w:pPr>
        <w:tabs>
          <w:tab w:val="center" w:pos="5400"/>
        </w:tabs>
        <w:suppressAutoHyphens/>
        <w:jc w:val="both"/>
        <w:rPr>
          <w:rFonts w:asciiTheme="majorHAnsi" w:hAnsiTheme="majorHAnsi"/>
          <w:sz w:val="20"/>
          <w:szCs w:val="20"/>
          <w:lang w:val="es-ES"/>
        </w:rPr>
      </w:pPr>
    </w:p>
    <w:p w14:paraId="4601B0E5" w14:textId="77777777" w:rsidR="00040C3A" w:rsidRPr="00AB6CB4" w:rsidRDefault="00040C3A" w:rsidP="00040C3A">
      <w:pPr>
        <w:tabs>
          <w:tab w:val="center" w:pos="5400"/>
        </w:tabs>
        <w:suppressAutoHyphens/>
        <w:jc w:val="both"/>
        <w:rPr>
          <w:rFonts w:asciiTheme="majorHAnsi" w:hAnsiTheme="majorHAnsi"/>
          <w:sz w:val="20"/>
          <w:szCs w:val="20"/>
          <w:lang w:val="es-ES"/>
        </w:rPr>
      </w:pPr>
    </w:p>
    <w:p w14:paraId="49EC0A3F" w14:textId="77777777" w:rsidR="005128E4" w:rsidRPr="00AB6CB4" w:rsidRDefault="005128E4" w:rsidP="00040C3A">
      <w:pPr>
        <w:tabs>
          <w:tab w:val="center" w:pos="5400"/>
        </w:tabs>
        <w:suppressAutoHyphens/>
        <w:rPr>
          <w:rFonts w:asciiTheme="majorHAnsi" w:hAnsiTheme="majorHAnsi"/>
          <w:sz w:val="20"/>
          <w:szCs w:val="20"/>
          <w:lang w:val="es-ES_tradnl"/>
        </w:rPr>
      </w:pPr>
    </w:p>
    <w:p w14:paraId="7F51F08B" w14:textId="77777777" w:rsidR="005128E4" w:rsidRPr="00AB6CB4" w:rsidRDefault="005128E4" w:rsidP="00040C3A">
      <w:pPr>
        <w:tabs>
          <w:tab w:val="center" w:pos="5400"/>
        </w:tabs>
        <w:suppressAutoHyphens/>
        <w:rPr>
          <w:rFonts w:asciiTheme="majorHAnsi" w:hAnsiTheme="majorHAnsi"/>
          <w:sz w:val="20"/>
          <w:szCs w:val="20"/>
          <w:lang w:val="es-ES_tradnl"/>
        </w:rPr>
      </w:pPr>
    </w:p>
    <w:p w14:paraId="058606A7" w14:textId="77777777" w:rsidR="005128E4" w:rsidRPr="00AB6CB4" w:rsidRDefault="005128E4" w:rsidP="00040C3A">
      <w:pPr>
        <w:tabs>
          <w:tab w:val="center" w:pos="5400"/>
        </w:tabs>
        <w:suppressAutoHyphens/>
        <w:rPr>
          <w:rFonts w:asciiTheme="majorHAnsi" w:hAnsiTheme="majorHAnsi"/>
          <w:sz w:val="20"/>
          <w:szCs w:val="20"/>
          <w:lang w:val="es-ES_tradnl"/>
        </w:rPr>
      </w:pPr>
    </w:p>
    <w:p w14:paraId="01B9D56A" w14:textId="77777777" w:rsidR="00040C3A" w:rsidRPr="00AB6CB4" w:rsidRDefault="00040C3A" w:rsidP="005128E4">
      <w:pPr>
        <w:tabs>
          <w:tab w:val="center" w:pos="5400"/>
        </w:tabs>
        <w:suppressAutoHyphens/>
        <w:jc w:val="center"/>
        <w:rPr>
          <w:rFonts w:asciiTheme="majorHAnsi" w:hAnsiTheme="majorHAnsi"/>
          <w:sz w:val="20"/>
          <w:szCs w:val="20"/>
          <w:lang w:val="es-ES_tradnl"/>
        </w:rPr>
      </w:pPr>
    </w:p>
    <w:p w14:paraId="513D0572" w14:textId="77777777" w:rsidR="00040C3A" w:rsidRPr="00AB6CB4" w:rsidRDefault="00040C3A" w:rsidP="005128E4">
      <w:pPr>
        <w:tabs>
          <w:tab w:val="center" w:pos="5400"/>
        </w:tabs>
        <w:suppressAutoHyphens/>
        <w:jc w:val="center"/>
        <w:rPr>
          <w:rFonts w:asciiTheme="majorHAnsi" w:hAnsiTheme="majorHAnsi"/>
          <w:sz w:val="20"/>
          <w:szCs w:val="20"/>
          <w:lang w:val="es-ES_tradnl"/>
        </w:rPr>
      </w:pPr>
    </w:p>
    <w:p w14:paraId="2D06BA43" w14:textId="77777777" w:rsidR="005B52B0" w:rsidRPr="00AB6CB4" w:rsidRDefault="005B52B0" w:rsidP="005128E4">
      <w:pPr>
        <w:tabs>
          <w:tab w:val="center" w:pos="5400"/>
        </w:tabs>
        <w:suppressAutoHyphens/>
        <w:jc w:val="center"/>
        <w:rPr>
          <w:rFonts w:asciiTheme="majorHAnsi" w:hAnsiTheme="majorHAnsi"/>
          <w:sz w:val="20"/>
          <w:szCs w:val="20"/>
          <w:lang w:val="es-ES_tradnl"/>
        </w:rPr>
      </w:pPr>
    </w:p>
    <w:p w14:paraId="762470A2" w14:textId="77777777" w:rsidR="005B52B0" w:rsidRPr="00AB6CB4" w:rsidRDefault="005B52B0" w:rsidP="005128E4">
      <w:pPr>
        <w:tabs>
          <w:tab w:val="center" w:pos="5400"/>
        </w:tabs>
        <w:suppressAutoHyphens/>
        <w:jc w:val="center"/>
        <w:rPr>
          <w:rFonts w:asciiTheme="majorHAnsi" w:hAnsiTheme="majorHAnsi"/>
          <w:sz w:val="20"/>
          <w:szCs w:val="20"/>
          <w:lang w:val="es-ES_tradnl"/>
        </w:rPr>
      </w:pPr>
    </w:p>
    <w:p w14:paraId="6F01DDF3" w14:textId="77777777" w:rsidR="005B52B0" w:rsidRPr="00AB6CB4" w:rsidRDefault="005B52B0" w:rsidP="005128E4">
      <w:pPr>
        <w:tabs>
          <w:tab w:val="center" w:pos="5400"/>
        </w:tabs>
        <w:suppressAutoHyphens/>
        <w:jc w:val="center"/>
        <w:rPr>
          <w:rFonts w:asciiTheme="majorHAnsi" w:hAnsiTheme="majorHAnsi"/>
          <w:sz w:val="20"/>
          <w:szCs w:val="20"/>
          <w:lang w:val="es-ES_tradnl"/>
        </w:rPr>
      </w:pPr>
    </w:p>
    <w:p w14:paraId="35ACB115" w14:textId="77777777" w:rsidR="00040C3A" w:rsidRPr="00AB6CB4" w:rsidRDefault="00040C3A" w:rsidP="00040C3A">
      <w:pPr>
        <w:tabs>
          <w:tab w:val="center" w:pos="5400"/>
        </w:tabs>
        <w:suppressAutoHyphens/>
        <w:jc w:val="center"/>
        <w:rPr>
          <w:rFonts w:asciiTheme="majorHAnsi" w:hAnsiTheme="majorHAnsi"/>
          <w:sz w:val="20"/>
          <w:szCs w:val="20"/>
          <w:lang w:val="es-ES_tradnl"/>
        </w:rPr>
      </w:pPr>
    </w:p>
    <w:p w14:paraId="3D124B92" w14:textId="77777777" w:rsidR="00040C3A" w:rsidRPr="00AB6CB4" w:rsidRDefault="00040C3A" w:rsidP="00040C3A">
      <w:pPr>
        <w:tabs>
          <w:tab w:val="center" w:pos="5400"/>
        </w:tabs>
        <w:suppressAutoHyphens/>
        <w:jc w:val="center"/>
        <w:rPr>
          <w:rFonts w:asciiTheme="majorHAnsi" w:hAnsiTheme="majorHAnsi"/>
          <w:sz w:val="20"/>
          <w:szCs w:val="20"/>
          <w:lang w:val="es-ES_tradnl"/>
        </w:rPr>
      </w:pPr>
    </w:p>
    <w:p w14:paraId="01E9EAD2" w14:textId="77777777" w:rsidR="00040C3A" w:rsidRPr="00AB6CB4" w:rsidRDefault="003D3BC2" w:rsidP="00040C3A">
      <w:pPr>
        <w:tabs>
          <w:tab w:val="center" w:pos="5400"/>
        </w:tabs>
        <w:suppressAutoHyphens/>
        <w:jc w:val="center"/>
        <w:rPr>
          <w:rFonts w:asciiTheme="majorHAnsi" w:hAnsiTheme="majorHAnsi"/>
          <w:sz w:val="20"/>
          <w:szCs w:val="20"/>
          <w:lang w:val="es-ES_tradnl"/>
        </w:rPr>
      </w:pPr>
      <w:r w:rsidRPr="00AB6CB4">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9997F5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A3DBE">
                              <w:rPr>
                                <w:rFonts w:asciiTheme="majorHAnsi" w:hAnsiTheme="majorHAnsi" w:cs="Arial"/>
                                <w:b/>
                                <w:bCs/>
                                <w:color w:val="0D0D0D" w:themeColor="text1" w:themeTint="F2"/>
                                <w:sz w:val="36"/>
                                <w:szCs w:val="22"/>
                                <w:lang w:val="es-ES_tradnl"/>
                              </w:rPr>
                              <w:t>15</w:t>
                            </w:r>
                            <w:r w:rsidR="007B05C4">
                              <w:rPr>
                                <w:rFonts w:asciiTheme="majorHAnsi" w:hAnsiTheme="majorHAnsi" w:cs="Arial"/>
                                <w:b/>
                                <w:bCs/>
                                <w:color w:val="0D0D0D" w:themeColor="text1" w:themeTint="F2"/>
                                <w:sz w:val="36"/>
                                <w:szCs w:val="22"/>
                                <w:lang w:val="es-ES_tradnl"/>
                              </w:rPr>
                              <w:t>/</w:t>
                            </w:r>
                            <w:r w:rsidR="00D83A40">
                              <w:rPr>
                                <w:rFonts w:asciiTheme="majorHAnsi" w:hAnsiTheme="majorHAnsi" w:cs="Arial"/>
                                <w:b/>
                                <w:bCs/>
                                <w:color w:val="0D0D0D" w:themeColor="text1" w:themeTint="F2"/>
                                <w:sz w:val="36"/>
                                <w:szCs w:val="22"/>
                                <w:lang w:val="es-ES_tradnl"/>
                              </w:rPr>
                              <w:t>23</w:t>
                            </w:r>
                          </w:p>
                          <w:p w14:paraId="45F30ECA" w14:textId="4133E61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001B9">
                              <w:rPr>
                                <w:rFonts w:asciiTheme="majorHAnsi" w:hAnsiTheme="majorHAnsi" w:cs="Arial"/>
                                <w:b/>
                                <w:color w:val="0D0D0D" w:themeColor="text1" w:themeTint="F2"/>
                                <w:sz w:val="36"/>
                                <w:szCs w:val="22"/>
                                <w:lang w:val="es-ES_tradnl"/>
                              </w:rPr>
                              <w:t>950</w:t>
                            </w:r>
                            <w:r w:rsidR="00246D1F" w:rsidRPr="004E2649">
                              <w:rPr>
                                <w:rFonts w:asciiTheme="majorHAnsi" w:hAnsiTheme="majorHAnsi" w:cs="Arial"/>
                                <w:b/>
                                <w:color w:val="0D0D0D" w:themeColor="text1" w:themeTint="F2"/>
                                <w:sz w:val="36"/>
                                <w:szCs w:val="22"/>
                                <w:lang w:val="es-ES_tradnl"/>
                              </w:rPr>
                              <w:t>-</w:t>
                            </w:r>
                            <w:r w:rsidR="001001B9">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44540D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1B64E85" w:rsidR="005B52B0" w:rsidRPr="0010736F" w:rsidRDefault="000C6EF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ENRIQUE ACUÑA ACEVEDO Y FAMILIA</w:t>
                            </w:r>
                          </w:p>
                          <w:bookmarkEnd w:id="0"/>
                          <w:p w14:paraId="0B9F7D22" w14:textId="53E87116" w:rsidR="005B52B0" w:rsidRPr="00F56ECB" w:rsidRDefault="001001B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9997F5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A3DBE">
                        <w:rPr>
                          <w:rFonts w:asciiTheme="majorHAnsi" w:hAnsiTheme="majorHAnsi" w:cs="Arial"/>
                          <w:b/>
                          <w:bCs/>
                          <w:color w:val="0D0D0D" w:themeColor="text1" w:themeTint="F2"/>
                          <w:sz w:val="36"/>
                          <w:szCs w:val="22"/>
                          <w:lang w:val="es-ES_tradnl"/>
                        </w:rPr>
                        <w:t>15</w:t>
                      </w:r>
                      <w:r w:rsidR="007B05C4">
                        <w:rPr>
                          <w:rFonts w:asciiTheme="majorHAnsi" w:hAnsiTheme="majorHAnsi" w:cs="Arial"/>
                          <w:b/>
                          <w:bCs/>
                          <w:color w:val="0D0D0D" w:themeColor="text1" w:themeTint="F2"/>
                          <w:sz w:val="36"/>
                          <w:szCs w:val="22"/>
                          <w:lang w:val="es-ES_tradnl"/>
                        </w:rPr>
                        <w:t>/</w:t>
                      </w:r>
                      <w:r w:rsidR="00D83A40">
                        <w:rPr>
                          <w:rFonts w:asciiTheme="majorHAnsi" w:hAnsiTheme="majorHAnsi" w:cs="Arial"/>
                          <w:b/>
                          <w:bCs/>
                          <w:color w:val="0D0D0D" w:themeColor="text1" w:themeTint="F2"/>
                          <w:sz w:val="36"/>
                          <w:szCs w:val="22"/>
                          <w:lang w:val="es-ES_tradnl"/>
                        </w:rPr>
                        <w:t>23</w:t>
                      </w:r>
                    </w:p>
                    <w:p w14:paraId="45F30ECA" w14:textId="4133E61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001B9">
                        <w:rPr>
                          <w:rFonts w:asciiTheme="majorHAnsi" w:hAnsiTheme="majorHAnsi" w:cs="Arial"/>
                          <w:b/>
                          <w:color w:val="0D0D0D" w:themeColor="text1" w:themeTint="F2"/>
                          <w:sz w:val="36"/>
                          <w:szCs w:val="22"/>
                          <w:lang w:val="es-ES_tradnl"/>
                        </w:rPr>
                        <w:t>950</w:t>
                      </w:r>
                      <w:r w:rsidR="00246D1F" w:rsidRPr="004E2649">
                        <w:rPr>
                          <w:rFonts w:asciiTheme="majorHAnsi" w:hAnsiTheme="majorHAnsi" w:cs="Arial"/>
                          <w:b/>
                          <w:color w:val="0D0D0D" w:themeColor="text1" w:themeTint="F2"/>
                          <w:sz w:val="36"/>
                          <w:szCs w:val="22"/>
                          <w:lang w:val="es-ES_tradnl"/>
                        </w:rPr>
                        <w:t>-</w:t>
                      </w:r>
                      <w:r w:rsidR="001001B9">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44540D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1B64E85" w:rsidR="005B52B0" w:rsidRPr="0010736F" w:rsidRDefault="000C6EF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ENRIQUE ACUÑA ACEVEDO Y FAMILIA</w:t>
                      </w:r>
                    </w:p>
                    <w:bookmarkEnd w:id="1"/>
                    <w:p w14:paraId="0B9F7D22" w14:textId="53E87116" w:rsidR="005B52B0" w:rsidRPr="00F56ECB" w:rsidRDefault="001001B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AB6CB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0B73E7D" w:rsidR="00627C9F" w:rsidRPr="00C47976" w:rsidRDefault="00834D49" w:rsidP="007A5817">
                            <w:pPr>
                              <w:spacing w:line="276" w:lineRule="auto"/>
                              <w:jc w:val="right"/>
                              <w:rPr>
                                <w:rFonts w:asciiTheme="minorHAnsi" w:hAnsiTheme="minorHAnsi"/>
                                <w:color w:val="FFFFFF" w:themeColor="background1"/>
                                <w:sz w:val="22"/>
                                <w:lang w:val="es-AR"/>
                              </w:rPr>
                            </w:pPr>
                            <w:r w:rsidRPr="00C47976">
                              <w:rPr>
                                <w:rFonts w:asciiTheme="minorHAnsi" w:hAnsiTheme="minorHAnsi"/>
                                <w:color w:val="FFFFFF" w:themeColor="background1"/>
                                <w:sz w:val="22"/>
                                <w:lang w:val="es-AR"/>
                              </w:rPr>
                              <w:t>OEA/Ser.L/V/II</w:t>
                            </w:r>
                          </w:p>
                          <w:p w14:paraId="71D2D5D2" w14:textId="08B94D01" w:rsidR="00627C9F" w:rsidRPr="00C47976" w:rsidRDefault="00627C9F" w:rsidP="007A5817">
                            <w:pPr>
                              <w:spacing w:line="276" w:lineRule="auto"/>
                              <w:jc w:val="right"/>
                              <w:rPr>
                                <w:rFonts w:asciiTheme="minorHAnsi" w:hAnsiTheme="minorHAnsi"/>
                                <w:color w:val="FFFFFF" w:themeColor="background1"/>
                                <w:sz w:val="22"/>
                                <w:lang w:val="es-AR"/>
                              </w:rPr>
                            </w:pPr>
                            <w:r w:rsidRPr="00C47976">
                              <w:rPr>
                                <w:rFonts w:asciiTheme="minorHAnsi" w:hAnsiTheme="minorHAnsi"/>
                                <w:color w:val="FFFFFF" w:themeColor="background1"/>
                                <w:sz w:val="22"/>
                                <w:lang w:val="es-AR"/>
                              </w:rPr>
                              <w:t xml:space="preserve">Doc. </w:t>
                            </w:r>
                            <w:r w:rsidR="009242FA" w:rsidRPr="00C47976">
                              <w:rPr>
                                <w:rFonts w:asciiTheme="minorHAnsi" w:hAnsiTheme="minorHAnsi"/>
                                <w:color w:val="FFFFFF" w:themeColor="background1"/>
                                <w:sz w:val="22"/>
                                <w:lang w:val="es-AR"/>
                              </w:rPr>
                              <w:t>17</w:t>
                            </w:r>
                          </w:p>
                          <w:p w14:paraId="4061DBBD" w14:textId="7766AC25" w:rsidR="00627C9F" w:rsidRPr="00C25ADB" w:rsidRDefault="009242F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D83A40">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0B73E7D" w:rsidR="00627C9F" w:rsidRPr="00C47976" w:rsidRDefault="00834D49" w:rsidP="007A5817">
                      <w:pPr>
                        <w:spacing w:line="276" w:lineRule="auto"/>
                        <w:jc w:val="right"/>
                        <w:rPr>
                          <w:rFonts w:asciiTheme="minorHAnsi" w:hAnsiTheme="minorHAnsi"/>
                          <w:color w:val="FFFFFF" w:themeColor="background1"/>
                          <w:sz w:val="22"/>
                          <w:lang w:val="es-AR"/>
                        </w:rPr>
                      </w:pPr>
                      <w:r w:rsidRPr="00C47976">
                        <w:rPr>
                          <w:rFonts w:asciiTheme="minorHAnsi" w:hAnsiTheme="minorHAnsi"/>
                          <w:color w:val="FFFFFF" w:themeColor="background1"/>
                          <w:sz w:val="22"/>
                          <w:lang w:val="es-AR"/>
                        </w:rPr>
                        <w:t>OEA/Ser.L/V/II</w:t>
                      </w:r>
                    </w:p>
                    <w:p w14:paraId="71D2D5D2" w14:textId="08B94D01" w:rsidR="00627C9F" w:rsidRPr="00C47976" w:rsidRDefault="00627C9F" w:rsidP="007A5817">
                      <w:pPr>
                        <w:spacing w:line="276" w:lineRule="auto"/>
                        <w:jc w:val="right"/>
                        <w:rPr>
                          <w:rFonts w:asciiTheme="minorHAnsi" w:hAnsiTheme="minorHAnsi"/>
                          <w:color w:val="FFFFFF" w:themeColor="background1"/>
                          <w:sz w:val="22"/>
                          <w:lang w:val="es-AR"/>
                        </w:rPr>
                      </w:pPr>
                      <w:r w:rsidRPr="00C47976">
                        <w:rPr>
                          <w:rFonts w:asciiTheme="minorHAnsi" w:hAnsiTheme="minorHAnsi"/>
                          <w:color w:val="FFFFFF" w:themeColor="background1"/>
                          <w:sz w:val="22"/>
                          <w:lang w:val="es-AR"/>
                        </w:rPr>
                        <w:t xml:space="preserve">Doc. </w:t>
                      </w:r>
                      <w:r w:rsidR="009242FA" w:rsidRPr="00C47976">
                        <w:rPr>
                          <w:rFonts w:asciiTheme="minorHAnsi" w:hAnsiTheme="minorHAnsi"/>
                          <w:color w:val="FFFFFF" w:themeColor="background1"/>
                          <w:sz w:val="22"/>
                          <w:lang w:val="es-AR"/>
                        </w:rPr>
                        <w:t>17</w:t>
                      </w:r>
                    </w:p>
                    <w:p w14:paraId="4061DBBD" w14:textId="7766AC25" w:rsidR="00627C9F" w:rsidRPr="00C25ADB" w:rsidRDefault="009242F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D83A40">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AB6CB4" w:rsidRDefault="00040C3A" w:rsidP="00040C3A">
      <w:pPr>
        <w:tabs>
          <w:tab w:val="center" w:pos="5400"/>
        </w:tabs>
        <w:suppressAutoHyphens/>
        <w:jc w:val="center"/>
        <w:rPr>
          <w:rFonts w:asciiTheme="majorHAnsi" w:hAnsiTheme="majorHAnsi"/>
          <w:sz w:val="20"/>
          <w:szCs w:val="20"/>
          <w:lang w:val="es-ES_tradnl"/>
        </w:rPr>
      </w:pPr>
    </w:p>
    <w:p w14:paraId="529AB783" w14:textId="77777777" w:rsidR="00040C3A" w:rsidRPr="00AB6CB4" w:rsidRDefault="00040C3A" w:rsidP="00040C3A">
      <w:pPr>
        <w:tabs>
          <w:tab w:val="center" w:pos="5400"/>
        </w:tabs>
        <w:suppressAutoHyphens/>
        <w:jc w:val="center"/>
        <w:rPr>
          <w:rFonts w:asciiTheme="majorHAnsi" w:hAnsiTheme="majorHAnsi"/>
          <w:sz w:val="20"/>
          <w:szCs w:val="20"/>
          <w:lang w:val="es-ES_tradnl"/>
        </w:rPr>
      </w:pPr>
    </w:p>
    <w:p w14:paraId="147F033C" w14:textId="77777777" w:rsidR="00040C3A" w:rsidRPr="00AB6CB4" w:rsidRDefault="00040C3A" w:rsidP="00040C3A">
      <w:pPr>
        <w:tabs>
          <w:tab w:val="center" w:pos="5400"/>
        </w:tabs>
        <w:suppressAutoHyphens/>
        <w:jc w:val="center"/>
        <w:rPr>
          <w:rFonts w:asciiTheme="majorHAnsi" w:hAnsiTheme="majorHAnsi" w:cs="Arial"/>
          <w:sz w:val="20"/>
          <w:szCs w:val="20"/>
          <w:lang w:val="es-ES_tradnl"/>
        </w:rPr>
      </w:pPr>
    </w:p>
    <w:p w14:paraId="67ABD981" w14:textId="77777777" w:rsidR="00040C3A" w:rsidRPr="00AB6CB4" w:rsidRDefault="00040C3A" w:rsidP="00040C3A">
      <w:pPr>
        <w:tabs>
          <w:tab w:val="center" w:pos="5400"/>
        </w:tabs>
        <w:suppressAutoHyphens/>
        <w:jc w:val="center"/>
        <w:rPr>
          <w:rFonts w:asciiTheme="majorHAnsi" w:hAnsiTheme="majorHAnsi"/>
          <w:sz w:val="20"/>
          <w:szCs w:val="20"/>
          <w:lang w:val="es-ES_tradnl"/>
        </w:rPr>
      </w:pPr>
    </w:p>
    <w:p w14:paraId="46C4195B" w14:textId="77777777" w:rsidR="00040C3A" w:rsidRPr="00AB6CB4" w:rsidRDefault="00040C3A" w:rsidP="00040C3A">
      <w:pPr>
        <w:tabs>
          <w:tab w:val="center" w:pos="5400"/>
        </w:tabs>
        <w:suppressAutoHyphens/>
        <w:jc w:val="center"/>
        <w:rPr>
          <w:rFonts w:asciiTheme="majorHAnsi" w:hAnsiTheme="majorHAnsi"/>
          <w:sz w:val="20"/>
          <w:szCs w:val="20"/>
          <w:lang w:val="es-ES_tradnl"/>
        </w:rPr>
      </w:pPr>
    </w:p>
    <w:p w14:paraId="6C0D9CAF" w14:textId="77777777" w:rsidR="00040C3A" w:rsidRPr="00AB6CB4" w:rsidRDefault="00040C3A" w:rsidP="00040C3A">
      <w:pPr>
        <w:tabs>
          <w:tab w:val="center" w:pos="5400"/>
        </w:tabs>
        <w:suppressAutoHyphens/>
        <w:jc w:val="center"/>
        <w:rPr>
          <w:rFonts w:asciiTheme="majorHAnsi" w:hAnsiTheme="majorHAnsi"/>
          <w:sz w:val="20"/>
          <w:szCs w:val="20"/>
          <w:lang w:val="es-ES_tradnl"/>
        </w:rPr>
      </w:pPr>
    </w:p>
    <w:p w14:paraId="6140E39A" w14:textId="77777777" w:rsidR="00040C3A" w:rsidRPr="00AB6CB4" w:rsidRDefault="00040C3A" w:rsidP="00040C3A">
      <w:pPr>
        <w:tabs>
          <w:tab w:val="center" w:pos="5400"/>
        </w:tabs>
        <w:suppressAutoHyphens/>
        <w:jc w:val="center"/>
        <w:rPr>
          <w:rFonts w:asciiTheme="majorHAnsi" w:hAnsiTheme="majorHAnsi"/>
          <w:sz w:val="20"/>
          <w:szCs w:val="20"/>
          <w:lang w:val="es-ES_tradnl"/>
        </w:rPr>
      </w:pPr>
    </w:p>
    <w:p w14:paraId="116878DE" w14:textId="77777777" w:rsidR="005128E4" w:rsidRPr="00AB6CB4" w:rsidRDefault="005128E4" w:rsidP="00040C3A">
      <w:pPr>
        <w:tabs>
          <w:tab w:val="center" w:pos="5400"/>
        </w:tabs>
        <w:suppressAutoHyphens/>
        <w:jc w:val="center"/>
        <w:rPr>
          <w:rFonts w:asciiTheme="majorHAnsi" w:hAnsiTheme="majorHAnsi"/>
          <w:sz w:val="20"/>
          <w:szCs w:val="20"/>
          <w:lang w:val="es-ES_tradnl"/>
        </w:rPr>
      </w:pPr>
    </w:p>
    <w:p w14:paraId="6FF1A208" w14:textId="77777777" w:rsidR="00040C3A" w:rsidRPr="00AB6CB4" w:rsidRDefault="00040C3A" w:rsidP="00040C3A">
      <w:pPr>
        <w:tabs>
          <w:tab w:val="center" w:pos="5400"/>
        </w:tabs>
        <w:suppressAutoHyphens/>
        <w:jc w:val="center"/>
        <w:rPr>
          <w:rFonts w:asciiTheme="majorHAnsi" w:hAnsiTheme="majorHAnsi"/>
          <w:sz w:val="20"/>
          <w:szCs w:val="20"/>
          <w:lang w:val="es-ES_tradnl"/>
        </w:rPr>
      </w:pPr>
    </w:p>
    <w:p w14:paraId="23E1EE64" w14:textId="77777777" w:rsidR="005128E4" w:rsidRPr="00AB6CB4" w:rsidRDefault="005128E4" w:rsidP="00040C3A">
      <w:pPr>
        <w:tabs>
          <w:tab w:val="center" w:pos="5400"/>
        </w:tabs>
        <w:suppressAutoHyphens/>
        <w:jc w:val="center"/>
        <w:rPr>
          <w:rFonts w:asciiTheme="majorHAnsi" w:hAnsiTheme="majorHAnsi"/>
          <w:sz w:val="20"/>
          <w:szCs w:val="20"/>
          <w:lang w:val="es-ES_tradnl"/>
        </w:rPr>
      </w:pPr>
    </w:p>
    <w:p w14:paraId="2D8331F2" w14:textId="77777777" w:rsidR="005128E4" w:rsidRPr="00AB6CB4" w:rsidRDefault="005128E4" w:rsidP="00040C3A">
      <w:pPr>
        <w:tabs>
          <w:tab w:val="center" w:pos="5400"/>
        </w:tabs>
        <w:suppressAutoHyphens/>
        <w:jc w:val="center"/>
        <w:rPr>
          <w:rFonts w:asciiTheme="majorHAnsi" w:hAnsiTheme="majorHAnsi"/>
          <w:sz w:val="20"/>
          <w:szCs w:val="20"/>
          <w:lang w:val="es-ES_tradnl"/>
        </w:rPr>
      </w:pPr>
    </w:p>
    <w:p w14:paraId="1D1FCC8F" w14:textId="77777777" w:rsidR="005128E4" w:rsidRPr="00AB6CB4" w:rsidRDefault="005128E4" w:rsidP="00040C3A">
      <w:pPr>
        <w:tabs>
          <w:tab w:val="center" w:pos="5400"/>
        </w:tabs>
        <w:suppressAutoHyphens/>
        <w:jc w:val="center"/>
        <w:rPr>
          <w:rFonts w:asciiTheme="majorHAnsi" w:hAnsiTheme="majorHAnsi"/>
          <w:sz w:val="20"/>
          <w:szCs w:val="20"/>
          <w:lang w:val="es-ES_tradnl"/>
        </w:rPr>
      </w:pPr>
    </w:p>
    <w:p w14:paraId="67F753E7" w14:textId="77777777" w:rsidR="00040C3A" w:rsidRPr="00AB6CB4" w:rsidRDefault="00040C3A" w:rsidP="00040C3A">
      <w:pPr>
        <w:tabs>
          <w:tab w:val="center" w:pos="5400"/>
        </w:tabs>
        <w:suppressAutoHyphens/>
        <w:jc w:val="center"/>
        <w:rPr>
          <w:rFonts w:asciiTheme="majorHAnsi" w:hAnsiTheme="majorHAnsi"/>
          <w:sz w:val="20"/>
          <w:szCs w:val="20"/>
          <w:lang w:val="es-ES_tradnl"/>
        </w:rPr>
      </w:pPr>
    </w:p>
    <w:p w14:paraId="165AA979" w14:textId="77777777" w:rsidR="00040C3A" w:rsidRPr="00AB6CB4" w:rsidRDefault="00040C3A" w:rsidP="00040C3A">
      <w:pPr>
        <w:tabs>
          <w:tab w:val="center" w:pos="5400"/>
        </w:tabs>
        <w:suppressAutoHyphens/>
        <w:jc w:val="center"/>
        <w:rPr>
          <w:rFonts w:asciiTheme="majorHAnsi" w:hAnsiTheme="majorHAnsi"/>
          <w:sz w:val="20"/>
          <w:szCs w:val="20"/>
          <w:lang w:val="es-ES_tradnl"/>
        </w:rPr>
      </w:pPr>
    </w:p>
    <w:p w14:paraId="2F2457A8"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20439390"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5B80B262"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734846D8"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36D2C63A"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4F0B7F5A"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07218933"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2C99136A"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078A9198"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6A001DA7"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217E7AAB"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0C34B449"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5CF516E8"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417C9993"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641C6754" w14:textId="77777777" w:rsidR="00A50FCF" w:rsidRPr="00AB6CB4" w:rsidRDefault="0090270B" w:rsidP="00040C3A">
      <w:pPr>
        <w:tabs>
          <w:tab w:val="center" w:pos="5400"/>
        </w:tabs>
        <w:suppressAutoHyphens/>
        <w:jc w:val="center"/>
        <w:rPr>
          <w:rFonts w:asciiTheme="majorHAnsi" w:hAnsiTheme="majorHAnsi"/>
          <w:sz w:val="20"/>
          <w:szCs w:val="20"/>
          <w:lang w:val="es-ES_tradnl"/>
        </w:rPr>
      </w:pPr>
      <w:r w:rsidRPr="00AB6CB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0A56B2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242FA">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9242FA">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83A40">
                              <w:rPr>
                                <w:rFonts w:asciiTheme="majorHAnsi" w:hAnsiTheme="majorHAnsi"/>
                                <w:color w:val="0D0D0D" w:themeColor="text1" w:themeTint="F2"/>
                                <w:sz w:val="18"/>
                                <w:szCs w:val="22"/>
                                <w:lang w:val="es-ES"/>
                              </w:rPr>
                              <w:t>3</w:t>
                            </w:r>
                            <w:r w:rsidR="009242F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0A56B2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242FA">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9242FA">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83A40">
                        <w:rPr>
                          <w:rFonts w:asciiTheme="majorHAnsi" w:hAnsiTheme="majorHAnsi"/>
                          <w:color w:val="0D0D0D" w:themeColor="text1" w:themeTint="F2"/>
                          <w:sz w:val="18"/>
                          <w:szCs w:val="22"/>
                          <w:lang w:val="es-ES"/>
                        </w:rPr>
                        <w:t>3</w:t>
                      </w:r>
                      <w:r w:rsidR="009242F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28FED950"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53E3A276"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5EDC5EE2"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4730F205" w14:textId="77777777" w:rsidR="00A50FCF" w:rsidRPr="00AB6CB4" w:rsidRDefault="0090270B" w:rsidP="00040C3A">
      <w:pPr>
        <w:tabs>
          <w:tab w:val="center" w:pos="5400"/>
        </w:tabs>
        <w:suppressAutoHyphens/>
        <w:jc w:val="center"/>
        <w:rPr>
          <w:rFonts w:asciiTheme="majorHAnsi" w:hAnsiTheme="majorHAnsi"/>
          <w:sz w:val="20"/>
          <w:szCs w:val="20"/>
          <w:lang w:val="es-ES_tradnl"/>
        </w:rPr>
      </w:pPr>
      <w:r w:rsidRPr="00AB6CB4">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612C89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242FA" w:rsidRPr="009242FA">
                              <w:rPr>
                                <w:rFonts w:asciiTheme="majorHAnsi" w:hAnsiTheme="majorHAnsi"/>
                                <w:color w:val="595959" w:themeColor="text1" w:themeTint="A6"/>
                                <w:sz w:val="18"/>
                                <w:szCs w:val="18"/>
                                <w:lang w:val="pt-BR"/>
                              </w:rPr>
                              <w:t>15</w:t>
                            </w:r>
                            <w:r w:rsidR="007B05C4" w:rsidRPr="009242FA">
                              <w:rPr>
                                <w:rFonts w:asciiTheme="majorHAnsi" w:hAnsiTheme="majorHAnsi"/>
                                <w:color w:val="595959" w:themeColor="text1" w:themeTint="A6"/>
                                <w:sz w:val="18"/>
                                <w:szCs w:val="18"/>
                                <w:lang w:val="pt-BR"/>
                              </w:rPr>
                              <w:t>/</w:t>
                            </w:r>
                            <w:r w:rsidR="009242FA" w:rsidRPr="009242FA">
                              <w:rPr>
                                <w:rFonts w:asciiTheme="majorHAnsi" w:hAnsiTheme="majorHAnsi"/>
                                <w:color w:val="595959" w:themeColor="text1" w:themeTint="A6"/>
                                <w:sz w:val="18"/>
                                <w:szCs w:val="18"/>
                                <w:lang w:val="pt-BR"/>
                              </w:rPr>
                              <w:t>23</w:t>
                            </w:r>
                            <w:r w:rsidRPr="009242F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001B9">
                              <w:rPr>
                                <w:rFonts w:asciiTheme="majorHAnsi" w:hAnsiTheme="majorHAnsi"/>
                                <w:color w:val="595959" w:themeColor="text1" w:themeTint="A6"/>
                                <w:sz w:val="18"/>
                                <w:szCs w:val="18"/>
                                <w:lang w:val="es-ES"/>
                              </w:rPr>
                              <w:t>950</w:t>
                            </w:r>
                            <w:r w:rsidR="000433C9">
                              <w:rPr>
                                <w:rFonts w:asciiTheme="majorHAnsi" w:hAnsiTheme="majorHAnsi"/>
                                <w:color w:val="595959" w:themeColor="text1" w:themeTint="A6"/>
                                <w:sz w:val="18"/>
                                <w:szCs w:val="18"/>
                                <w:lang w:val="es-ES"/>
                              </w:rPr>
                              <w:t>-</w:t>
                            </w:r>
                            <w:r w:rsidR="001001B9">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C6EF6">
                              <w:rPr>
                                <w:rFonts w:asciiTheme="majorHAnsi" w:hAnsiTheme="majorHAnsi"/>
                                <w:color w:val="595959" w:themeColor="text1" w:themeTint="A6"/>
                                <w:sz w:val="18"/>
                                <w:szCs w:val="18"/>
                                <w:lang w:val="es-ES_tradnl"/>
                              </w:rPr>
                              <w:t>Jorge Enrique Acuña Acevedo y familia</w:t>
                            </w:r>
                            <w:r w:rsidRPr="00890650">
                              <w:rPr>
                                <w:rFonts w:asciiTheme="majorHAnsi" w:hAnsiTheme="majorHAnsi"/>
                                <w:color w:val="595959" w:themeColor="text1" w:themeTint="A6"/>
                                <w:sz w:val="18"/>
                                <w:szCs w:val="18"/>
                                <w:lang w:val="es-ES_tradnl"/>
                              </w:rPr>
                              <w:t xml:space="preserve">. </w:t>
                            </w:r>
                            <w:r w:rsidR="001001B9">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67158">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4612C89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242FA" w:rsidRPr="009242FA">
                        <w:rPr>
                          <w:rFonts w:asciiTheme="majorHAnsi" w:hAnsiTheme="majorHAnsi"/>
                          <w:color w:val="595959" w:themeColor="text1" w:themeTint="A6"/>
                          <w:sz w:val="18"/>
                          <w:szCs w:val="18"/>
                          <w:lang w:val="pt-BR"/>
                        </w:rPr>
                        <w:t>15</w:t>
                      </w:r>
                      <w:r w:rsidR="007B05C4" w:rsidRPr="009242FA">
                        <w:rPr>
                          <w:rFonts w:asciiTheme="majorHAnsi" w:hAnsiTheme="majorHAnsi"/>
                          <w:color w:val="595959" w:themeColor="text1" w:themeTint="A6"/>
                          <w:sz w:val="18"/>
                          <w:szCs w:val="18"/>
                          <w:lang w:val="pt-BR"/>
                        </w:rPr>
                        <w:t>/</w:t>
                      </w:r>
                      <w:r w:rsidR="009242FA" w:rsidRPr="009242FA">
                        <w:rPr>
                          <w:rFonts w:asciiTheme="majorHAnsi" w:hAnsiTheme="majorHAnsi"/>
                          <w:color w:val="595959" w:themeColor="text1" w:themeTint="A6"/>
                          <w:sz w:val="18"/>
                          <w:szCs w:val="18"/>
                          <w:lang w:val="pt-BR"/>
                        </w:rPr>
                        <w:t>23</w:t>
                      </w:r>
                      <w:r w:rsidRPr="009242F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001B9">
                        <w:rPr>
                          <w:rFonts w:asciiTheme="majorHAnsi" w:hAnsiTheme="majorHAnsi"/>
                          <w:color w:val="595959" w:themeColor="text1" w:themeTint="A6"/>
                          <w:sz w:val="18"/>
                          <w:szCs w:val="18"/>
                          <w:lang w:val="es-ES"/>
                        </w:rPr>
                        <w:t>950</w:t>
                      </w:r>
                      <w:r w:rsidR="000433C9">
                        <w:rPr>
                          <w:rFonts w:asciiTheme="majorHAnsi" w:hAnsiTheme="majorHAnsi"/>
                          <w:color w:val="595959" w:themeColor="text1" w:themeTint="A6"/>
                          <w:sz w:val="18"/>
                          <w:szCs w:val="18"/>
                          <w:lang w:val="es-ES"/>
                        </w:rPr>
                        <w:t>-</w:t>
                      </w:r>
                      <w:r w:rsidR="001001B9">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C6EF6">
                        <w:rPr>
                          <w:rFonts w:asciiTheme="majorHAnsi" w:hAnsiTheme="majorHAnsi"/>
                          <w:color w:val="595959" w:themeColor="text1" w:themeTint="A6"/>
                          <w:sz w:val="18"/>
                          <w:szCs w:val="18"/>
                          <w:lang w:val="es-ES_tradnl"/>
                        </w:rPr>
                        <w:t>Jorge Enrique Acuña Acevedo y familia</w:t>
                      </w:r>
                      <w:r w:rsidRPr="00890650">
                        <w:rPr>
                          <w:rFonts w:asciiTheme="majorHAnsi" w:hAnsiTheme="majorHAnsi"/>
                          <w:color w:val="595959" w:themeColor="text1" w:themeTint="A6"/>
                          <w:sz w:val="18"/>
                          <w:szCs w:val="18"/>
                          <w:lang w:val="es-ES_tradnl"/>
                        </w:rPr>
                        <w:t xml:space="preserve">. </w:t>
                      </w:r>
                      <w:r w:rsidR="001001B9">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67158">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AB6CB4" w:rsidRDefault="00A50FCF" w:rsidP="00040C3A">
      <w:pPr>
        <w:tabs>
          <w:tab w:val="center" w:pos="5400"/>
        </w:tabs>
        <w:suppressAutoHyphens/>
        <w:jc w:val="center"/>
        <w:rPr>
          <w:rFonts w:asciiTheme="majorHAnsi" w:hAnsiTheme="majorHAnsi"/>
          <w:sz w:val="20"/>
          <w:szCs w:val="20"/>
          <w:lang w:val="es-ES_tradnl"/>
        </w:rPr>
      </w:pPr>
    </w:p>
    <w:p w14:paraId="0C9396CC" w14:textId="77777777" w:rsidR="0090270B" w:rsidRPr="00AB6CB4" w:rsidRDefault="00D306D1" w:rsidP="005516A1">
      <w:pPr>
        <w:tabs>
          <w:tab w:val="center" w:pos="5400"/>
        </w:tabs>
        <w:suppressAutoHyphens/>
        <w:jc w:val="center"/>
        <w:rPr>
          <w:rFonts w:asciiTheme="majorHAnsi" w:hAnsiTheme="majorHAnsi"/>
          <w:b/>
          <w:sz w:val="20"/>
          <w:szCs w:val="20"/>
          <w:lang w:val="es-ES_tradnl"/>
        </w:rPr>
      </w:pPr>
      <w:r w:rsidRPr="00AB6CB4">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AB6CB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AB6CB4" w:rsidRDefault="004A6A54" w:rsidP="005516A1">
      <w:pPr>
        <w:tabs>
          <w:tab w:val="center" w:pos="5400"/>
        </w:tabs>
        <w:suppressAutoHyphens/>
        <w:jc w:val="center"/>
        <w:rPr>
          <w:rFonts w:asciiTheme="majorHAnsi" w:hAnsiTheme="majorHAnsi"/>
          <w:b/>
          <w:sz w:val="20"/>
          <w:szCs w:val="20"/>
          <w:lang w:val="es-ES_tradnl"/>
        </w:rPr>
        <w:sectPr w:rsidR="0070697F" w:rsidRPr="00AB6CB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AB6CB4">
        <w:rPr>
          <w:rFonts w:asciiTheme="majorHAnsi" w:hAnsiTheme="majorHAnsi"/>
          <w:b/>
          <w:sz w:val="20"/>
          <w:szCs w:val="20"/>
          <w:lang w:val="es-ES_tradnl"/>
        </w:rPr>
        <w:tab/>
      </w:r>
    </w:p>
    <w:p w14:paraId="2786EE58" w14:textId="77777777" w:rsidR="003239B8" w:rsidRPr="00AB6CB4" w:rsidRDefault="003239B8" w:rsidP="004A6A54">
      <w:pPr>
        <w:spacing w:after="240"/>
        <w:ind w:firstLine="720"/>
        <w:jc w:val="both"/>
        <w:rPr>
          <w:rFonts w:asciiTheme="majorHAnsi" w:hAnsiTheme="majorHAnsi"/>
          <w:b/>
          <w:bCs/>
          <w:sz w:val="20"/>
          <w:szCs w:val="20"/>
          <w:lang w:val="es-ES"/>
        </w:rPr>
      </w:pPr>
      <w:r w:rsidRPr="00AB6CB4">
        <w:rPr>
          <w:rFonts w:asciiTheme="majorHAnsi" w:hAnsiTheme="majorHAnsi"/>
          <w:b/>
          <w:bCs/>
          <w:sz w:val="20"/>
          <w:szCs w:val="20"/>
          <w:lang w:val="es-ES"/>
        </w:rPr>
        <w:lastRenderedPageBreak/>
        <w:t>I.</w:t>
      </w:r>
      <w:r w:rsidRPr="00AB6CB4">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B6CB4"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AB6CB4" w:rsidRDefault="003239B8" w:rsidP="008D2290">
            <w:pPr>
              <w:jc w:val="center"/>
              <w:rPr>
                <w:rFonts w:asciiTheme="majorHAnsi" w:hAnsiTheme="majorHAnsi"/>
                <w:b/>
                <w:bCs/>
                <w:color w:val="FFFFFF" w:themeColor="background1"/>
                <w:sz w:val="20"/>
                <w:szCs w:val="20"/>
              </w:rPr>
            </w:pPr>
            <w:r w:rsidRPr="00AB6CB4">
              <w:rPr>
                <w:rFonts w:asciiTheme="majorHAnsi" w:hAnsiTheme="majorHAnsi"/>
                <w:b/>
                <w:bCs/>
                <w:color w:val="FFFFFF" w:themeColor="background1"/>
                <w:sz w:val="20"/>
                <w:szCs w:val="20"/>
              </w:rPr>
              <w:t>Parte peticionaria:</w:t>
            </w:r>
          </w:p>
        </w:tc>
        <w:tc>
          <w:tcPr>
            <w:tcW w:w="5647" w:type="dxa"/>
            <w:vAlign w:val="center"/>
          </w:tcPr>
          <w:p w14:paraId="07DAAE2E" w14:textId="5B42E63D" w:rsidR="003239B8" w:rsidRPr="00AB6CB4" w:rsidRDefault="00C22185" w:rsidP="008D2290">
            <w:pPr>
              <w:jc w:val="both"/>
              <w:rPr>
                <w:rFonts w:asciiTheme="majorHAnsi" w:hAnsiTheme="majorHAnsi"/>
                <w:bCs/>
                <w:sz w:val="20"/>
                <w:szCs w:val="20"/>
              </w:rPr>
            </w:pPr>
            <w:r w:rsidRPr="00AB6CB4">
              <w:rPr>
                <w:rFonts w:asciiTheme="majorHAnsi" w:hAnsiTheme="majorHAnsi"/>
                <w:bCs/>
                <w:sz w:val="20"/>
                <w:szCs w:val="20"/>
              </w:rPr>
              <w:t>Roberto Paz Salas</w:t>
            </w:r>
          </w:p>
        </w:tc>
      </w:tr>
      <w:tr w:rsidR="003239B8" w:rsidRPr="00AB6CB4"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AB6CB4" w:rsidRDefault="009423F9"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B6CB4">
                  <w:rPr>
                    <w:rFonts w:asciiTheme="majorHAnsi" w:hAnsiTheme="majorHAnsi"/>
                    <w:b/>
                    <w:bCs/>
                    <w:color w:val="FFFFFF" w:themeColor="background1"/>
                    <w:sz w:val="20"/>
                    <w:szCs w:val="20"/>
                  </w:rPr>
                  <w:t>Presunta víctima</w:t>
                </w:r>
              </w:sdtContent>
            </w:sdt>
            <w:r w:rsidR="003239B8" w:rsidRPr="00AB6CB4">
              <w:rPr>
                <w:rFonts w:asciiTheme="majorHAnsi" w:hAnsiTheme="majorHAnsi"/>
                <w:b/>
                <w:bCs/>
                <w:color w:val="FFFFFF" w:themeColor="background1"/>
                <w:sz w:val="20"/>
                <w:szCs w:val="20"/>
              </w:rPr>
              <w:t>:</w:t>
            </w:r>
          </w:p>
        </w:tc>
        <w:tc>
          <w:tcPr>
            <w:tcW w:w="5647" w:type="dxa"/>
            <w:vAlign w:val="center"/>
          </w:tcPr>
          <w:p w14:paraId="143D44A8" w14:textId="00600210" w:rsidR="003239B8" w:rsidRPr="00AB6CB4" w:rsidRDefault="00370D0C" w:rsidP="008D2290">
            <w:pPr>
              <w:jc w:val="both"/>
              <w:rPr>
                <w:rFonts w:asciiTheme="majorHAnsi" w:hAnsiTheme="majorHAnsi"/>
                <w:bCs/>
                <w:sz w:val="20"/>
                <w:szCs w:val="20"/>
                <w:lang w:val="es-ES"/>
              </w:rPr>
            </w:pPr>
            <w:r w:rsidRPr="00AB6CB4">
              <w:rPr>
                <w:rFonts w:asciiTheme="majorHAnsi" w:hAnsiTheme="majorHAnsi"/>
                <w:bCs/>
                <w:sz w:val="20"/>
                <w:szCs w:val="20"/>
                <w:lang w:val="es-UY"/>
              </w:rPr>
              <w:t xml:space="preserve">Jorge Enrique Acuña Acevedo </w:t>
            </w:r>
            <w:r w:rsidR="00C22185" w:rsidRPr="00AB6CB4">
              <w:rPr>
                <w:rFonts w:asciiTheme="majorHAnsi" w:hAnsiTheme="majorHAnsi"/>
                <w:bCs/>
                <w:sz w:val="20"/>
                <w:szCs w:val="20"/>
                <w:lang w:val="es-ES"/>
              </w:rPr>
              <w:t xml:space="preserve">y </w:t>
            </w:r>
            <w:r>
              <w:rPr>
                <w:rFonts w:asciiTheme="majorHAnsi" w:hAnsiTheme="majorHAnsi"/>
                <w:bCs/>
                <w:sz w:val="20"/>
                <w:szCs w:val="20"/>
                <w:lang w:val="es-ES"/>
              </w:rPr>
              <w:t>familia</w:t>
            </w:r>
            <w:r w:rsidR="00CB1938" w:rsidRPr="00AB6CB4">
              <w:rPr>
                <w:rStyle w:val="FootnoteReference"/>
                <w:rFonts w:asciiTheme="majorHAnsi" w:hAnsiTheme="majorHAnsi"/>
                <w:bCs/>
                <w:sz w:val="20"/>
                <w:szCs w:val="20"/>
                <w:lang w:val="es-ES"/>
              </w:rPr>
              <w:footnoteReference w:id="2"/>
            </w:r>
            <w:r w:rsidR="00C22185" w:rsidRPr="00AB6CB4">
              <w:rPr>
                <w:rFonts w:asciiTheme="majorHAnsi" w:hAnsiTheme="majorHAnsi"/>
                <w:bCs/>
                <w:sz w:val="20"/>
                <w:szCs w:val="20"/>
                <w:lang w:val="es-ES"/>
              </w:rPr>
              <w:t xml:space="preserve"> </w:t>
            </w:r>
          </w:p>
        </w:tc>
      </w:tr>
      <w:tr w:rsidR="003239B8" w:rsidRPr="00AB6CB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AB6CB4" w:rsidRDefault="003239B8" w:rsidP="008D2290">
            <w:pPr>
              <w:jc w:val="center"/>
              <w:rPr>
                <w:rFonts w:asciiTheme="majorHAnsi" w:hAnsiTheme="majorHAnsi"/>
                <w:b/>
                <w:bCs/>
                <w:color w:val="FFFFFF" w:themeColor="background1"/>
                <w:sz w:val="20"/>
                <w:szCs w:val="20"/>
              </w:rPr>
            </w:pPr>
            <w:r w:rsidRPr="00AB6CB4">
              <w:rPr>
                <w:rFonts w:asciiTheme="majorHAnsi" w:hAnsiTheme="majorHAnsi"/>
                <w:b/>
                <w:bCs/>
                <w:color w:val="FFFFFF" w:themeColor="background1"/>
                <w:sz w:val="20"/>
                <w:szCs w:val="20"/>
              </w:rPr>
              <w:t>Estado denunciado:</w:t>
            </w:r>
          </w:p>
        </w:tc>
        <w:tc>
          <w:tcPr>
            <w:tcW w:w="5647" w:type="dxa"/>
            <w:vAlign w:val="center"/>
          </w:tcPr>
          <w:p w14:paraId="5D0EC05D" w14:textId="48787703" w:rsidR="003239B8" w:rsidRPr="00AB6CB4" w:rsidRDefault="001001B9" w:rsidP="008D2290">
            <w:pPr>
              <w:jc w:val="both"/>
              <w:rPr>
                <w:rFonts w:asciiTheme="majorHAnsi" w:hAnsiTheme="majorHAnsi"/>
                <w:bCs/>
                <w:sz w:val="20"/>
                <w:szCs w:val="20"/>
              </w:rPr>
            </w:pPr>
            <w:r w:rsidRPr="00AB6CB4">
              <w:rPr>
                <w:rFonts w:asciiTheme="majorHAnsi" w:hAnsiTheme="majorHAnsi"/>
                <w:bCs/>
                <w:sz w:val="20"/>
                <w:szCs w:val="20"/>
              </w:rPr>
              <w:t>Colombia</w:t>
            </w:r>
            <w:r w:rsidR="004A6A54" w:rsidRPr="00AB6CB4">
              <w:rPr>
                <w:rStyle w:val="FootnoteReference"/>
                <w:rFonts w:asciiTheme="majorHAnsi" w:hAnsiTheme="majorHAnsi"/>
                <w:bCs/>
                <w:sz w:val="20"/>
                <w:szCs w:val="20"/>
              </w:rPr>
              <w:footnoteReference w:id="3"/>
            </w:r>
          </w:p>
        </w:tc>
      </w:tr>
      <w:tr w:rsidR="00223A29" w:rsidRPr="00C4797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AB6CB4" w:rsidRDefault="001B3A00" w:rsidP="00E4118C">
            <w:pPr>
              <w:jc w:val="center"/>
              <w:rPr>
                <w:rFonts w:asciiTheme="majorHAnsi" w:hAnsiTheme="majorHAnsi"/>
                <w:b/>
                <w:bCs/>
                <w:color w:val="FFFFFF" w:themeColor="background1"/>
                <w:sz w:val="20"/>
                <w:szCs w:val="20"/>
              </w:rPr>
            </w:pPr>
            <w:r w:rsidRPr="00AB6CB4">
              <w:rPr>
                <w:rFonts w:asciiTheme="majorHAnsi" w:hAnsiTheme="majorHAnsi"/>
                <w:b/>
                <w:bCs/>
                <w:color w:val="FFFFFF" w:themeColor="background1"/>
                <w:sz w:val="20"/>
                <w:szCs w:val="20"/>
              </w:rPr>
              <w:t xml:space="preserve">Derechos </w:t>
            </w:r>
            <w:r w:rsidR="00E4118C" w:rsidRPr="00AB6CB4">
              <w:rPr>
                <w:rFonts w:asciiTheme="majorHAnsi" w:hAnsiTheme="majorHAnsi"/>
                <w:b/>
                <w:bCs/>
                <w:color w:val="FFFFFF" w:themeColor="background1"/>
                <w:sz w:val="20"/>
                <w:szCs w:val="20"/>
              </w:rPr>
              <w:t>invocados</w:t>
            </w:r>
            <w:r w:rsidRPr="00AB6CB4">
              <w:rPr>
                <w:rFonts w:asciiTheme="majorHAnsi" w:hAnsiTheme="majorHAnsi"/>
                <w:b/>
                <w:bCs/>
                <w:color w:val="FFFFFF" w:themeColor="background1"/>
                <w:sz w:val="20"/>
                <w:szCs w:val="20"/>
              </w:rPr>
              <w:t>:</w:t>
            </w:r>
          </w:p>
        </w:tc>
        <w:tc>
          <w:tcPr>
            <w:tcW w:w="5647" w:type="dxa"/>
            <w:vAlign w:val="center"/>
          </w:tcPr>
          <w:p w14:paraId="52B28392" w14:textId="5A8E5BD4" w:rsidR="00223A29" w:rsidRPr="008C73AD" w:rsidRDefault="008C73AD" w:rsidP="008D2290">
            <w:pPr>
              <w:jc w:val="both"/>
              <w:rPr>
                <w:rFonts w:asciiTheme="majorHAnsi" w:hAnsiTheme="majorHAnsi"/>
                <w:bCs/>
                <w:sz w:val="20"/>
                <w:szCs w:val="20"/>
                <w:lang w:val="es-ES"/>
              </w:rPr>
            </w:pPr>
            <w:r w:rsidRPr="008C73AD">
              <w:rPr>
                <w:rFonts w:asciiTheme="majorHAnsi" w:hAnsiTheme="majorHAnsi"/>
                <w:bCs/>
                <w:sz w:val="20"/>
                <w:szCs w:val="20"/>
                <w:lang w:val="es-ES"/>
              </w:rPr>
              <w:t>No se especifican artículos de la</w:t>
            </w:r>
            <w:r>
              <w:rPr>
                <w:rFonts w:asciiTheme="majorHAnsi" w:hAnsiTheme="majorHAnsi"/>
                <w:bCs/>
                <w:sz w:val="20"/>
                <w:szCs w:val="20"/>
                <w:lang w:val="es-ES"/>
              </w:rPr>
              <w:t xml:space="preserve"> Convención Americana sobre Derechos Humanos</w:t>
            </w:r>
            <w:r>
              <w:rPr>
                <w:rStyle w:val="FootnoteReference"/>
                <w:rFonts w:asciiTheme="majorHAnsi" w:hAnsiTheme="majorHAnsi"/>
                <w:bCs/>
                <w:sz w:val="20"/>
                <w:szCs w:val="20"/>
                <w:lang w:val="es-ES"/>
              </w:rPr>
              <w:footnoteReference w:id="4"/>
            </w:r>
            <w:r>
              <w:rPr>
                <w:rFonts w:asciiTheme="majorHAnsi" w:hAnsiTheme="majorHAnsi"/>
                <w:bCs/>
                <w:sz w:val="20"/>
                <w:szCs w:val="20"/>
                <w:lang w:val="es-ES"/>
              </w:rPr>
              <w:t>;</w:t>
            </w:r>
            <w:r w:rsidRPr="008C73AD">
              <w:rPr>
                <w:rFonts w:asciiTheme="majorHAnsi" w:hAnsiTheme="majorHAnsi"/>
                <w:bCs/>
                <w:sz w:val="20"/>
                <w:szCs w:val="20"/>
                <w:lang w:val="es-ES"/>
              </w:rPr>
              <w:t xml:space="preserve"> </w:t>
            </w:r>
            <w:r>
              <w:rPr>
                <w:rFonts w:asciiTheme="majorHAnsi" w:hAnsiTheme="majorHAnsi"/>
                <w:bCs/>
                <w:sz w:val="20"/>
                <w:szCs w:val="20"/>
                <w:lang w:val="es-ES"/>
              </w:rPr>
              <w:t>o</w:t>
            </w:r>
            <w:r w:rsidR="00DA6966" w:rsidRPr="008C73AD">
              <w:rPr>
                <w:rFonts w:asciiTheme="majorHAnsi" w:hAnsiTheme="majorHAnsi"/>
                <w:bCs/>
                <w:sz w:val="20"/>
                <w:szCs w:val="20"/>
                <w:lang w:val="es-ES"/>
              </w:rPr>
              <w:t>tros tratados internacionales</w:t>
            </w:r>
            <w:r w:rsidR="00DA6966" w:rsidRPr="00AB6CB4">
              <w:rPr>
                <w:rStyle w:val="FootnoteReference"/>
                <w:rFonts w:asciiTheme="majorHAnsi" w:hAnsiTheme="majorHAnsi"/>
                <w:bCs/>
                <w:sz w:val="20"/>
                <w:szCs w:val="20"/>
              </w:rPr>
              <w:footnoteReference w:id="5"/>
            </w:r>
          </w:p>
        </w:tc>
      </w:tr>
    </w:tbl>
    <w:p w14:paraId="176FB213" w14:textId="77777777" w:rsidR="003239B8" w:rsidRPr="00AB6CB4" w:rsidRDefault="003239B8" w:rsidP="003239B8">
      <w:pPr>
        <w:spacing w:before="240" w:after="240"/>
        <w:ind w:firstLine="720"/>
        <w:jc w:val="both"/>
        <w:rPr>
          <w:rFonts w:asciiTheme="majorHAnsi" w:hAnsiTheme="majorHAnsi"/>
          <w:b/>
          <w:bCs/>
          <w:sz w:val="20"/>
          <w:szCs w:val="20"/>
          <w:lang w:val="es-ES"/>
        </w:rPr>
      </w:pPr>
      <w:r w:rsidRPr="00AB6CB4">
        <w:rPr>
          <w:rFonts w:asciiTheme="majorHAnsi" w:hAnsiTheme="majorHAnsi"/>
          <w:b/>
          <w:bCs/>
          <w:sz w:val="20"/>
          <w:szCs w:val="20"/>
          <w:lang w:val="es-ES"/>
        </w:rPr>
        <w:t>II.</w:t>
      </w:r>
      <w:r w:rsidRPr="00AB6CB4">
        <w:rPr>
          <w:rFonts w:asciiTheme="majorHAnsi" w:hAnsiTheme="majorHAnsi"/>
          <w:b/>
          <w:bCs/>
          <w:sz w:val="20"/>
          <w:szCs w:val="20"/>
          <w:lang w:val="es-ES"/>
        </w:rPr>
        <w:tab/>
        <w:t>TRÁMITE ANTE LA CIDH</w:t>
      </w:r>
      <w:r w:rsidR="008E3BFE" w:rsidRPr="00AB6CB4">
        <w:rPr>
          <w:rStyle w:val="FootnoteReference"/>
          <w:rFonts w:asciiTheme="majorHAnsi" w:hAnsiTheme="majorHAnsi"/>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AB6CB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AB6CB4" w:rsidRDefault="004A6A54" w:rsidP="004A6A54">
            <w:pPr>
              <w:jc w:val="center"/>
              <w:rPr>
                <w:rFonts w:asciiTheme="majorHAnsi" w:hAnsiTheme="majorHAnsi"/>
                <w:b/>
                <w:bCs/>
                <w:color w:val="FFFFFF" w:themeColor="background1"/>
                <w:sz w:val="20"/>
                <w:szCs w:val="20"/>
                <w:lang w:val="es-ES"/>
              </w:rPr>
            </w:pPr>
            <w:r w:rsidRPr="00AB6CB4">
              <w:rPr>
                <w:rFonts w:asciiTheme="majorHAnsi" w:hAnsiTheme="majorHAnsi"/>
                <w:b/>
                <w:bCs/>
                <w:color w:val="FFFFFF" w:themeColor="background1"/>
                <w:sz w:val="20"/>
                <w:szCs w:val="20"/>
                <w:lang w:val="es-ES"/>
              </w:rPr>
              <w:t>P</w:t>
            </w:r>
            <w:r w:rsidR="004C2312" w:rsidRPr="00AB6CB4">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43CAFCBA" w:rsidR="004C2312" w:rsidRPr="00AB6CB4" w:rsidRDefault="00C22185" w:rsidP="002625EA">
            <w:pPr>
              <w:jc w:val="both"/>
              <w:rPr>
                <w:rFonts w:asciiTheme="majorHAnsi" w:hAnsiTheme="majorHAnsi"/>
                <w:bCs/>
                <w:sz w:val="20"/>
                <w:szCs w:val="20"/>
                <w:lang w:val="es-ES"/>
              </w:rPr>
            </w:pPr>
            <w:r w:rsidRPr="00AB6CB4">
              <w:rPr>
                <w:rFonts w:asciiTheme="majorHAnsi" w:hAnsiTheme="majorHAnsi"/>
                <w:bCs/>
                <w:sz w:val="20"/>
                <w:szCs w:val="20"/>
                <w:lang w:val="es-ES"/>
              </w:rPr>
              <w:t>14 de mayo de 2012</w:t>
            </w:r>
          </w:p>
        </w:tc>
      </w:tr>
      <w:tr w:rsidR="00131425" w:rsidRPr="00AB6CB4"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AB6CB4" w:rsidRDefault="00131425" w:rsidP="004A6A54">
            <w:pPr>
              <w:jc w:val="center"/>
              <w:rPr>
                <w:rFonts w:asciiTheme="majorHAnsi" w:hAnsiTheme="majorHAnsi"/>
                <w:b/>
                <w:bCs/>
                <w:color w:val="FFFFFF" w:themeColor="background1"/>
                <w:sz w:val="20"/>
                <w:szCs w:val="20"/>
                <w:lang w:val="es-ES"/>
              </w:rPr>
            </w:pPr>
            <w:r w:rsidRPr="00AB6CB4">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2FB1AAE9" w:rsidR="00131425" w:rsidRPr="00AB6CB4" w:rsidRDefault="006619F8" w:rsidP="002625EA">
            <w:pPr>
              <w:jc w:val="both"/>
              <w:rPr>
                <w:rFonts w:asciiTheme="majorHAnsi" w:hAnsiTheme="majorHAnsi"/>
                <w:bCs/>
                <w:sz w:val="20"/>
                <w:szCs w:val="20"/>
                <w:lang w:val="es-ES"/>
              </w:rPr>
            </w:pPr>
            <w:r w:rsidRPr="00AB6CB4">
              <w:rPr>
                <w:rFonts w:asciiTheme="majorHAnsi" w:hAnsiTheme="majorHAnsi"/>
                <w:bCs/>
                <w:sz w:val="20"/>
                <w:szCs w:val="20"/>
                <w:lang w:val="es-ES"/>
              </w:rPr>
              <w:t>9 de agosto de 2013</w:t>
            </w:r>
          </w:p>
        </w:tc>
      </w:tr>
      <w:tr w:rsidR="004C2312" w:rsidRPr="00AB6CB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AB6CB4" w:rsidRDefault="004A6A54" w:rsidP="004A6A54">
            <w:pPr>
              <w:jc w:val="center"/>
              <w:rPr>
                <w:rFonts w:asciiTheme="majorHAnsi" w:hAnsiTheme="majorHAnsi"/>
                <w:b/>
                <w:bCs/>
                <w:color w:val="FFFFFF" w:themeColor="background1"/>
                <w:sz w:val="20"/>
                <w:szCs w:val="20"/>
                <w:lang w:val="es-ES"/>
              </w:rPr>
            </w:pPr>
            <w:r w:rsidRPr="00AB6CB4">
              <w:rPr>
                <w:rFonts w:asciiTheme="majorHAnsi" w:hAnsiTheme="majorHAnsi"/>
                <w:b/>
                <w:color w:val="FFFFFF" w:themeColor="background1"/>
                <w:sz w:val="20"/>
                <w:szCs w:val="20"/>
                <w:lang w:val="es-ES"/>
              </w:rPr>
              <w:t>N</w:t>
            </w:r>
            <w:r w:rsidR="004C2312" w:rsidRPr="00AB6CB4">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3836CF78" w:rsidR="004C2312" w:rsidRPr="00AB6CB4" w:rsidRDefault="00F21BFF" w:rsidP="008D2290">
            <w:pPr>
              <w:jc w:val="both"/>
              <w:rPr>
                <w:rFonts w:asciiTheme="majorHAnsi" w:hAnsiTheme="majorHAnsi"/>
                <w:bCs/>
                <w:sz w:val="20"/>
                <w:szCs w:val="20"/>
                <w:lang w:val="es-ES"/>
              </w:rPr>
            </w:pPr>
            <w:r w:rsidRPr="00AB6CB4">
              <w:rPr>
                <w:rFonts w:asciiTheme="majorHAnsi" w:hAnsiTheme="majorHAnsi"/>
                <w:bCs/>
                <w:sz w:val="20"/>
                <w:szCs w:val="20"/>
                <w:lang w:val="es-ES"/>
              </w:rPr>
              <w:t>24 de julio de 2017</w:t>
            </w:r>
          </w:p>
        </w:tc>
      </w:tr>
      <w:tr w:rsidR="004C2312" w:rsidRPr="00AB6CB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AB6CB4" w:rsidRDefault="004A6A54" w:rsidP="004A6A54">
            <w:pPr>
              <w:jc w:val="center"/>
              <w:rPr>
                <w:rFonts w:asciiTheme="majorHAnsi" w:hAnsiTheme="majorHAnsi"/>
                <w:b/>
                <w:bCs/>
                <w:color w:val="FFFFFF" w:themeColor="background1"/>
                <w:sz w:val="20"/>
                <w:szCs w:val="20"/>
                <w:lang w:val="es-ES"/>
              </w:rPr>
            </w:pPr>
            <w:r w:rsidRPr="00AB6CB4">
              <w:rPr>
                <w:rFonts w:asciiTheme="majorHAnsi" w:hAnsiTheme="majorHAnsi"/>
                <w:b/>
                <w:color w:val="FFFFFF" w:themeColor="background1"/>
                <w:sz w:val="20"/>
                <w:szCs w:val="20"/>
                <w:lang w:val="es-ES"/>
              </w:rPr>
              <w:t>P</w:t>
            </w:r>
            <w:r w:rsidR="004C2312" w:rsidRPr="00AB6CB4">
              <w:rPr>
                <w:rFonts w:asciiTheme="majorHAnsi" w:hAnsiTheme="majorHAnsi"/>
                <w:b/>
                <w:color w:val="FFFFFF" w:themeColor="background1"/>
                <w:sz w:val="20"/>
                <w:szCs w:val="20"/>
                <w:lang w:val="es-ES"/>
              </w:rPr>
              <w:t>rimera respuesta del Estado:</w:t>
            </w:r>
          </w:p>
        </w:tc>
        <w:tc>
          <w:tcPr>
            <w:tcW w:w="5647" w:type="dxa"/>
            <w:vAlign w:val="center"/>
          </w:tcPr>
          <w:p w14:paraId="6B47064C" w14:textId="38654E37" w:rsidR="004C2312" w:rsidRPr="00AB6CB4" w:rsidRDefault="00C3572A" w:rsidP="008D2290">
            <w:pPr>
              <w:jc w:val="both"/>
              <w:rPr>
                <w:rFonts w:asciiTheme="majorHAnsi" w:hAnsiTheme="majorHAnsi"/>
                <w:bCs/>
                <w:sz w:val="20"/>
                <w:szCs w:val="20"/>
                <w:lang w:val="es-ES"/>
              </w:rPr>
            </w:pPr>
            <w:r w:rsidRPr="00AB6CB4">
              <w:rPr>
                <w:rFonts w:asciiTheme="majorHAnsi" w:hAnsiTheme="majorHAnsi"/>
                <w:bCs/>
                <w:sz w:val="20"/>
                <w:szCs w:val="20"/>
                <w:lang w:val="es-ES"/>
              </w:rPr>
              <w:t>26 de julio de 2018</w:t>
            </w:r>
          </w:p>
        </w:tc>
      </w:tr>
      <w:tr w:rsidR="004C2312" w:rsidRPr="00AB6CB4"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AB6CB4" w:rsidRDefault="008E3BFE" w:rsidP="008E3BFE">
            <w:pPr>
              <w:jc w:val="center"/>
              <w:rPr>
                <w:rFonts w:asciiTheme="majorHAnsi" w:hAnsiTheme="majorHAnsi"/>
                <w:b/>
                <w:bCs/>
                <w:color w:val="FFFFFF" w:themeColor="background1"/>
                <w:sz w:val="20"/>
                <w:szCs w:val="20"/>
                <w:lang w:val="es-ES"/>
              </w:rPr>
            </w:pPr>
            <w:r w:rsidRPr="00AB6CB4">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4FBBD4FF" w:rsidR="004C2312" w:rsidRPr="00AB6CB4" w:rsidRDefault="00C3572A" w:rsidP="008D2290">
            <w:pPr>
              <w:jc w:val="both"/>
              <w:rPr>
                <w:rFonts w:asciiTheme="majorHAnsi" w:hAnsiTheme="majorHAnsi"/>
                <w:bCs/>
                <w:sz w:val="20"/>
                <w:szCs w:val="20"/>
                <w:lang w:val="es-ES"/>
              </w:rPr>
            </w:pPr>
            <w:r w:rsidRPr="00AB6CB4">
              <w:rPr>
                <w:rFonts w:asciiTheme="majorHAnsi" w:hAnsiTheme="majorHAnsi"/>
                <w:bCs/>
                <w:sz w:val="20"/>
                <w:szCs w:val="20"/>
                <w:lang w:val="es-ES"/>
              </w:rPr>
              <w:t>3 de septiembre de 2019</w:t>
            </w:r>
          </w:p>
        </w:tc>
      </w:tr>
    </w:tbl>
    <w:p w14:paraId="0FC6E9E8" w14:textId="77777777" w:rsidR="003239B8" w:rsidRPr="00AB6CB4" w:rsidRDefault="003239B8" w:rsidP="003239B8">
      <w:pPr>
        <w:spacing w:before="240" w:after="240"/>
        <w:ind w:firstLine="720"/>
        <w:jc w:val="both"/>
        <w:rPr>
          <w:rFonts w:asciiTheme="majorHAnsi" w:hAnsiTheme="majorHAnsi"/>
          <w:b/>
          <w:bCs/>
          <w:sz w:val="20"/>
          <w:szCs w:val="20"/>
          <w:lang w:val="es-ES"/>
        </w:rPr>
      </w:pPr>
      <w:r w:rsidRPr="00AB6CB4">
        <w:rPr>
          <w:rFonts w:asciiTheme="majorHAnsi" w:hAnsiTheme="majorHAnsi"/>
          <w:b/>
          <w:bCs/>
          <w:sz w:val="20"/>
          <w:szCs w:val="20"/>
          <w:lang w:val="es-ES"/>
        </w:rPr>
        <w:t xml:space="preserve">III. </w:t>
      </w:r>
      <w:r w:rsidRPr="00AB6CB4">
        <w:rPr>
          <w:rFonts w:asciiTheme="majorHAnsi" w:hAnsiTheme="majorHAnsi"/>
          <w:b/>
          <w:bCs/>
          <w:sz w:val="20"/>
          <w:szCs w:val="20"/>
          <w:lang w:val="es-ES"/>
        </w:rPr>
        <w:tab/>
        <w:t>COMPETENCIA</w:t>
      </w:r>
      <w:r w:rsidR="00EE00E9" w:rsidRPr="00AB6CB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B6CB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AB6CB4" w:rsidRDefault="003239B8" w:rsidP="008D2290">
            <w:pPr>
              <w:jc w:val="center"/>
              <w:rPr>
                <w:rFonts w:asciiTheme="majorHAnsi" w:hAnsiTheme="majorHAnsi"/>
                <w:b/>
                <w:bCs/>
                <w:i/>
                <w:color w:val="FFFFFF" w:themeColor="background1"/>
                <w:sz w:val="20"/>
                <w:szCs w:val="20"/>
              </w:rPr>
            </w:pPr>
            <w:r w:rsidRPr="00AB6CB4">
              <w:rPr>
                <w:rFonts w:asciiTheme="majorHAnsi" w:hAnsiTheme="majorHAnsi"/>
                <w:b/>
                <w:bCs/>
                <w:color w:val="FFFFFF" w:themeColor="background1"/>
                <w:sz w:val="20"/>
                <w:szCs w:val="20"/>
              </w:rPr>
              <w:t>Competencia</w:t>
            </w:r>
            <w:r w:rsidRPr="00AB6CB4">
              <w:rPr>
                <w:rFonts w:asciiTheme="majorHAnsi" w:hAnsiTheme="majorHAnsi"/>
                <w:b/>
                <w:bCs/>
                <w:i/>
                <w:color w:val="FFFFFF" w:themeColor="background1"/>
                <w:sz w:val="20"/>
                <w:szCs w:val="20"/>
              </w:rPr>
              <w:t xml:space="preserve"> Ratione personae:</w:t>
            </w:r>
          </w:p>
        </w:tc>
        <w:tc>
          <w:tcPr>
            <w:tcW w:w="5760" w:type="dxa"/>
            <w:vAlign w:val="center"/>
          </w:tcPr>
          <w:p w14:paraId="1E494D5D" w14:textId="366BB75D" w:rsidR="003239B8" w:rsidRPr="00AB6CB4" w:rsidRDefault="007A3912" w:rsidP="008D2290">
            <w:pPr>
              <w:rPr>
                <w:rFonts w:asciiTheme="majorHAnsi" w:hAnsiTheme="majorHAnsi"/>
                <w:bCs/>
                <w:sz w:val="20"/>
                <w:szCs w:val="20"/>
              </w:rPr>
            </w:pPr>
            <w:r w:rsidRPr="00AB6CB4">
              <w:rPr>
                <w:rFonts w:asciiTheme="majorHAnsi" w:hAnsiTheme="majorHAnsi"/>
                <w:bCs/>
                <w:sz w:val="20"/>
                <w:szCs w:val="20"/>
              </w:rPr>
              <w:t>Sí</w:t>
            </w:r>
          </w:p>
        </w:tc>
      </w:tr>
      <w:tr w:rsidR="003239B8" w:rsidRPr="00AB6CB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AB6CB4" w:rsidRDefault="003239B8" w:rsidP="008D2290">
            <w:pPr>
              <w:jc w:val="center"/>
              <w:rPr>
                <w:rFonts w:asciiTheme="majorHAnsi" w:hAnsiTheme="majorHAnsi"/>
                <w:b/>
                <w:bCs/>
                <w:color w:val="FFFFFF" w:themeColor="background1"/>
                <w:sz w:val="20"/>
                <w:szCs w:val="20"/>
              </w:rPr>
            </w:pPr>
            <w:r w:rsidRPr="00AB6CB4">
              <w:rPr>
                <w:rFonts w:asciiTheme="majorHAnsi" w:hAnsiTheme="majorHAnsi"/>
                <w:b/>
                <w:bCs/>
                <w:color w:val="FFFFFF" w:themeColor="background1"/>
                <w:sz w:val="20"/>
                <w:szCs w:val="20"/>
              </w:rPr>
              <w:t>Competencia</w:t>
            </w:r>
            <w:r w:rsidRPr="00AB6CB4">
              <w:rPr>
                <w:rFonts w:asciiTheme="majorHAnsi" w:hAnsiTheme="majorHAnsi"/>
                <w:b/>
                <w:bCs/>
                <w:i/>
                <w:color w:val="FFFFFF" w:themeColor="background1"/>
                <w:sz w:val="20"/>
                <w:szCs w:val="20"/>
              </w:rPr>
              <w:t xml:space="preserve"> Ratione loci</w:t>
            </w:r>
            <w:r w:rsidRPr="00AB6CB4">
              <w:rPr>
                <w:rFonts w:asciiTheme="majorHAnsi" w:hAnsiTheme="majorHAnsi"/>
                <w:b/>
                <w:bCs/>
                <w:color w:val="FFFFFF" w:themeColor="background1"/>
                <w:sz w:val="20"/>
                <w:szCs w:val="20"/>
              </w:rPr>
              <w:t>:</w:t>
            </w:r>
          </w:p>
        </w:tc>
        <w:tc>
          <w:tcPr>
            <w:tcW w:w="5760" w:type="dxa"/>
            <w:vAlign w:val="center"/>
          </w:tcPr>
          <w:p w14:paraId="77C8256A" w14:textId="144FA2E0" w:rsidR="003239B8" w:rsidRPr="00AB6CB4" w:rsidRDefault="007A3912" w:rsidP="008D2290">
            <w:pPr>
              <w:rPr>
                <w:rFonts w:asciiTheme="majorHAnsi" w:hAnsiTheme="majorHAnsi"/>
                <w:bCs/>
                <w:sz w:val="20"/>
                <w:szCs w:val="20"/>
              </w:rPr>
            </w:pPr>
            <w:r w:rsidRPr="00AB6CB4">
              <w:rPr>
                <w:rFonts w:asciiTheme="majorHAnsi" w:hAnsiTheme="majorHAnsi"/>
                <w:bCs/>
                <w:sz w:val="20"/>
                <w:szCs w:val="20"/>
              </w:rPr>
              <w:t>Sí</w:t>
            </w:r>
          </w:p>
        </w:tc>
      </w:tr>
      <w:tr w:rsidR="003239B8" w:rsidRPr="00AB6CB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AB6CB4" w:rsidRDefault="003239B8" w:rsidP="008D2290">
            <w:pPr>
              <w:jc w:val="center"/>
              <w:rPr>
                <w:rFonts w:asciiTheme="majorHAnsi" w:hAnsiTheme="majorHAnsi"/>
                <w:b/>
                <w:bCs/>
                <w:color w:val="FFFFFF" w:themeColor="background1"/>
                <w:sz w:val="20"/>
                <w:szCs w:val="20"/>
              </w:rPr>
            </w:pPr>
            <w:r w:rsidRPr="00AB6CB4">
              <w:rPr>
                <w:rFonts w:asciiTheme="majorHAnsi" w:hAnsiTheme="majorHAnsi"/>
                <w:b/>
                <w:bCs/>
                <w:color w:val="FFFFFF" w:themeColor="background1"/>
                <w:sz w:val="20"/>
                <w:szCs w:val="20"/>
              </w:rPr>
              <w:t>Competencia</w:t>
            </w:r>
            <w:r w:rsidRPr="00AB6CB4">
              <w:rPr>
                <w:rFonts w:asciiTheme="majorHAnsi" w:hAnsiTheme="majorHAnsi"/>
                <w:b/>
                <w:bCs/>
                <w:i/>
                <w:color w:val="FFFFFF" w:themeColor="background1"/>
                <w:sz w:val="20"/>
                <w:szCs w:val="20"/>
              </w:rPr>
              <w:t xml:space="preserve"> Ratione temporis</w:t>
            </w:r>
            <w:r w:rsidRPr="00AB6CB4">
              <w:rPr>
                <w:rFonts w:asciiTheme="majorHAnsi" w:hAnsiTheme="majorHAnsi"/>
                <w:b/>
                <w:bCs/>
                <w:color w:val="FFFFFF" w:themeColor="background1"/>
                <w:sz w:val="20"/>
                <w:szCs w:val="20"/>
              </w:rPr>
              <w:t>:</w:t>
            </w:r>
          </w:p>
        </w:tc>
        <w:tc>
          <w:tcPr>
            <w:tcW w:w="5760" w:type="dxa"/>
            <w:vAlign w:val="center"/>
          </w:tcPr>
          <w:p w14:paraId="523F6BD6" w14:textId="500DC4C1" w:rsidR="003239B8" w:rsidRPr="00AB6CB4" w:rsidRDefault="007A3912" w:rsidP="008D2290">
            <w:pPr>
              <w:rPr>
                <w:rFonts w:asciiTheme="majorHAnsi" w:hAnsiTheme="majorHAnsi"/>
                <w:bCs/>
                <w:sz w:val="20"/>
                <w:szCs w:val="20"/>
              </w:rPr>
            </w:pPr>
            <w:r w:rsidRPr="00AB6CB4">
              <w:rPr>
                <w:rFonts w:asciiTheme="majorHAnsi" w:hAnsiTheme="majorHAnsi"/>
                <w:bCs/>
                <w:sz w:val="20"/>
                <w:szCs w:val="20"/>
              </w:rPr>
              <w:t>Sí</w:t>
            </w:r>
          </w:p>
        </w:tc>
      </w:tr>
      <w:tr w:rsidR="003239B8" w:rsidRPr="00C4797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AB6CB4" w:rsidRDefault="003239B8" w:rsidP="008D2290">
            <w:pPr>
              <w:jc w:val="center"/>
              <w:rPr>
                <w:rFonts w:asciiTheme="majorHAnsi" w:hAnsiTheme="majorHAnsi"/>
                <w:b/>
                <w:bCs/>
                <w:color w:val="FFFFFF" w:themeColor="background1"/>
                <w:sz w:val="20"/>
                <w:szCs w:val="20"/>
              </w:rPr>
            </w:pPr>
            <w:r w:rsidRPr="00AB6CB4">
              <w:rPr>
                <w:rFonts w:asciiTheme="majorHAnsi" w:hAnsiTheme="majorHAnsi"/>
                <w:b/>
                <w:bCs/>
                <w:color w:val="FFFFFF" w:themeColor="background1"/>
                <w:sz w:val="20"/>
                <w:szCs w:val="20"/>
              </w:rPr>
              <w:t>Competencia</w:t>
            </w:r>
            <w:r w:rsidRPr="00AB6CB4">
              <w:rPr>
                <w:rFonts w:asciiTheme="majorHAnsi" w:hAnsiTheme="majorHAnsi"/>
                <w:b/>
                <w:bCs/>
                <w:i/>
                <w:color w:val="FFFFFF" w:themeColor="background1"/>
                <w:sz w:val="20"/>
                <w:szCs w:val="20"/>
              </w:rPr>
              <w:t xml:space="preserve"> Ratione materia</w:t>
            </w:r>
            <w:r w:rsidR="00EE00E9" w:rsidRPr="00AB6CB4">
              <w:rPr>
                <w:rFonts w:asciiTheme="majorHAnsi" w:hAnsiTheme="majorHAnsi"/>
                <w:b/>
                <w:bCs/>
                <w:i/>
                <w:color w:val="FFFFFF" w:themeColor="background1"/>
                <w:sz w:val="20"/>
                <w:szCs w:val="20"/>
              </w:rPr>
              <w:t>e</w:t>
            </w:r>
            <w:r w:rsidRPr="00AB6CB4">
              <w:rPr>
                <w:rFonts w:asciiTheme="majorHAnsi" w:hAnsiTheme="majorHAnsi"/>
                <w:b/>
                <w:bCs/>
                <w:color w:val="FFFFFF" w:themeColor="background1"/>
                <w:sz w:val="20"/>
                <w:szCs w:val="20"/>
              </w:rPr>
              <w:t>:</w:t>
            </w:r>
          </w:p>
        </w:tc>
        <w:tc>
          <w:tcPr>
            <w:tcW w:w="5760" w:type="dxa"/>
            <w:vAlign w:val="center"/>
          </w:tcPr>
          <w:p w14:paraId="257C8337" w14:textId="2265ACCF" w:rsidR="003239B8" w:rsidRPr="00AB6CB4" w:rsidRDefault="00370D0C" w:rsidP="008D2290">
            <w:pPr>
              <w:jc w:val="both"/>
              <w:rPr>
                <w:rFonts w:asciiTheme="majorHAnsi" w:hAnsiTheme="majorHAnsi"/>
                <w:bCs/>
                <w:sz w:val="20"/>
                <w:szCs w:val="20"/>
                <w:lang w:val="es-ES"/>
              </w:rPr>
            </w:pPr>
            <w:r>
              <w:rPr>
                <w:rFonts w:asciiTheme="majorHAnsi" w:hAnsiTheme="majorHAnsi"/>
                <w:bCs/>
                <w:sz w:val="20"/>
                <w:szCs w:val="20"/>
                <w:lang w:val="es-ES"/>
              </w:rPr>
              <w:t>Sí, Convención Americana (</w:t>
            </w:r>
            <w:r w:rsidR="00D957EA">
              <w:rPr>
                <w:rFonts w:asciiTheme="majorHAnsi" w:hAnsiTheme="majorHAnsi"/>
                <w:bCs/>
                <w:sz w:val="20"/>
                <w:szCs w:val="20"/>
                <w:lang w:val="es-ES"/>
              </w:rPr>
              <w:t>depósito de instrumento de ratificación el 31 de julio de 1973)</w:t>
            </w:r>
          </w:p>
        </w:tc>
      </w:tr>
    </w:tbl>
    <w:p w14:paraId="299A3868" w14:textId="57F206B2" w:rsidR="003239B8" w:rsidRPr="00AB6CB4" w:rsidRDefault="003239B8" w:rsidP="003239B8">
      <w:pPr>
        <w:spacing w:before="240" w:after="240"/>
        <w:ind w:firstLine="720"/>
        <w:jc w:val="both"/>
        <w:rPr>
          <w:rFonts w:asciiTheme="majorHAnsi" w:hAnsiTheme="majorHAnsi"/>
          <w:b/>
          <w:bCs/>
          <w:sz w:val="20"/>
          <w:szCs w:val="20"/>
          <w:lang w:val="es-ES"/>
        </w:rPr>
      </w:pPr>
      <w:r w:rsidRPr="00AB6CB4">
        <w:rPr>
          <w:rFonts w:asciiTheme="majorHAnsi" w:hAnsiTheme="majorHAnsi"/>
          <w:b/>
          <w:bCs/>
          <w:sz w:val="20"/>
          <w:szCs w:val="20"/>
          <w:lang w:val="es-ES"/>
        </w:rPr>
        <w:t xml:space="preserve">IV. </w:t>
      </w:r>
      <w:r w:rsidRPr="00AB6CB4">
        <w:rPr>
          <w:rFonts w:asciiTheme="majorHAnsi" w:hAnsiTheme="majorHAnsi"/>
          <w:b/>
          <w:bCs/>
          <w:sz w:val="20"/>
          <w:szCs w:val="20"/>
          <w:lang w:val="es-ES"/>
        </w:rPr>
        <w:tab/>
      </w:r>
      <w:r w:rsidR="00EE00E9" w:rsidRPr="00AB6CB4">
        <w:rPr>
          <w:rFonts w:asciiTheme="majorHAnsi" w:hAnsiTheme="majorHAnsi"/>
          <w:b/>
          <w:bCs/>
          <w:sz w:val="20"/>
          <w:szCs w:val="20"/>
          <w:lang w:val="es-ES"/>
        </w:rPr>
        <w:t>DUPLICACIÓN</w:t>
      </w:r>
      <w:r w:rsidR="00EE00E9" w:rsidRPr="00AB6CB4">
        <w:rPr>
          <w:rFonts w:asciiTheme="majorHAnsi" w:hAnsiTheme="majorHAnsi"/>
          <w:b/>
          <w:bCs/>
          <w:color w:val="FFFFFF" w:themeColor="background1"/>
          <w:sz w:val="20"/>
          <w:szCs w:val="20"/>
          <w:lang w:val="es-ES"/>
        </w:rPr>
        <w:t xml:space="preserve"> </w:t>
      </w:r>
      <w:r w:rsidR="00EE00E9" w:rsidRPr="00AB6CB4">
        <w:rPr>
          <w:rFonts w:asciiTheme="majorHAnsi" w:hAnsiTheme="majorHAnsi"/>
          <w:b/>
          <w:bCs/>
          <w:sz w:val="20"/>
          <w:szCs w:val="20"/>
          <w:lang w:val="es-ES"/>
        </w:rPr>
        <w:t>DE PROCEDIMIENTOS Y COSA JUZGADA</w:t>
      </w:r>
      <w:r w:rsidR="00EE00E9" w:rsidRPr="00AB6CB4">
        <w:rPr>
          <w:rFonts w:asciiTheme="majorHAnsi" w:hAnsiTheme="majorHAnsi"/>
          <w:b/>
          <w:bCs/>
          <w:i/>
          <w:sz w:val="20"/>
          <w:szCs w:val="20"/>
          <w:lang w:val="es-ES"/>
        </w:rPr>
        <w:t xml:space="preserve"> </w:t>
      </w:r>
      <w:r w:rsidR="0030086C" w:rsidRPr="00AB6CB4">
        <w:rPr>
          <w:rFonts w:asciiTheme="majorHAnsi" w:hAnsiTheme="majorHAnsi"/>
          <w:b/>
          <w:bCs/>
          <w:sz w:val="20"/>
          <w:szCs w:val="20"/>
          <w:lang w:val="es-ES"/>
        </w:rPr>
        <w:t>INTERNACIONAL, CARACTERIZACIÓN</w:t>
      </w:r>
      <w:r w:rsidRPr="00AB6CB4">
        <w:rPr>
          <w:rFonts w:asciiTheme="majorHAnsi" w:hAnsiTheme="majorHAnsi"/>
          <w:b/>
          <w:bCs/>
          <w:sz w:val="20"/>
          <w:szCs w:val="20"/>
          <w:lang w:val="es-ES"/>
        </w:rPr>
        <w:t xml:space="preserve">, </w:t>
      </w:r>
      <w:r w:rsidRPr="00AB6CB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B6CB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AB6CB4" w:rsidRDefault="00EE00E9" w:rsidP="008D2290">
            <w:pPr>
              <w:jc w:val="center"/>
              <w:rPr>
                <w:rFonts w:asciiTheme="majorHAnsi" w:hAnsiTheme="majorHAnsi"/>
                <w:b/>
                <w:bCs/>
                <w:color w:val="FFFFFF" w:themeColor="background1"/>
                <w:sz w:val="20"/>
                <w:szCs w:val="20"/>
                <w:lang w:val="es-ES"/>
              </w:rPr>
            </w:pPr>
            <w:r w:rsidRPr="00AB6CB4">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1B716C10" w:rsidR="00EE00E9" w:rsidRPr="00AB6CB4" w:rsidRDefault="00D957EA"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C47976"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AB6CB4" w:rsidRDefault="003239B8" w:rsidP="008D2290">
            <w:pPr>
              <w:jc w:val="center"/>
              <w:rPr>
                <w:rFonts w:asciiTheme="majorHAnsi" w:hAnsiTheme="majorHAnsi"/>
                <w:b/>
                <w:bCs/>
                <w:i/>
                <w:color w:val="FFFFFF" w:themeColor="background1"/>
                <w:sz w:val="20"/>
                <w:szCs w:val="20"/>
              </w:rPr>
            </w:pPr>
            <w:r w:rsidRPr="00AB6CB4">
              <w:rPr>
                <w:rFonts w:asciiTheme="majorHAnsi" w:hAnsiTheme="majorHAnsi"/>
                <w:b/>
                <w:bCs/>
                <w:color w:val="FFFFFF" w:themeColor="background1"/>
                <w:sz w:val="20"/>
                <w:szCs w:val="20"/>
              </w:rPr>
              <w:t>Derechos declarados admisibles</w:t>
            </w:r>
            <w:r w:rsidRPr="00AB6CB4">
              <w:rPr>
                <w:rFonts w:asciiTheme="majorHAnsi" w:hAnsiTheme="majorHAnsi"/>
                <w:b/>
                <w:bCs/>
                <w:i/>
                <w:color w:val="FFFFFF" w:themeColor="background1"/>
                <w:sz w:val="20"/>
                <w:szCs w:val="20"/>
              </w:rPr>
              <w:t>:</w:t>
            </w:r>
          </w:p>
        </w:tc>
        <w:tc>
          <w:tcPr>
            <w:tcW w:w="5760" w:type="dxa"/>
            <w:vAlign w:val="center"/>
          </w:tcPr>
          <w:p w14:paraId="4DAE9D4D" w14:textId="0CF61EF0" w:rsidR="003239B8" w:rsidRPr="00D957EA" w:rsidRDefault="00D957EA" w:rsidP="008D2290">
            <w:pPr>
              <w:jc w:val="both"/>
              <w:rPr>
                <w:rFonts w:asciiTheme="majorHAnsi" w:hAnsiTheme="majorHAnsi"/>
                <w:bCs/>
                <w:sz w:val="20"/>
                <w:szCs w:val="20"/>
                <w:lang w:val="es-ES"/>
              </w:rPr>
            </w:pPr>
            <w:r>
              <w:rPr>
                <w:rFonts w:asciiTheme="majorHAnsi" w:hAnsiTheme="majorHAnsi"/>
                <w:bCs/>
                <w:sz w:val="20"/>
                <w:szCs w:val="20"/>
                <w:lang w:val="es-ES"/>
              </w:rPr>
              <w:t>A</w:t>
            </w:r>
            <w:r w:rsidRPr="00D957EA">
              <w:rPr>
                <w:rFonts w:asciiTheme="majorHAnsi" w:hAnsiTheme="majorHAnsi"/>
                <w:bCs/>
                <w:sz w:val="20"/>
                <w:szCs w:val="20"/>
                <w:lang w:val="es-ES"/>
              </w:rPr>
              <w:t>rtículos 4</w:t>
            </w:r>
            <w:r>
              <w:rPr>
                <w:rFonts w:asciiTheme="majorHAnsi" w:hAnsiTheme="majorHAnsi"/>
                <w:bCs/>
                <w:sz w:val="20"/>
                <w:szCs w:val="20"/>
                <w:lang w:val="es-ES"/>
              </w:rPr>
              <w:t xml:space="preserve"> (vi</w:t>
            </w:r>
            <w:r w:rsidR="00003C3F">
              <w:rPr>
                <w:rFonts w:asciiTheme="majorHAnsi" w:hAnsiTheme="majorHAnsi"/>
                <w:bCs/>
                <w:sz w:val="20"/>
                <w:szCs w:val="20"/>
                <w:lang w:val="es-ES"/>
              </w:rPr>
              <w:t>d</w:t>
            </w:r>
            <w:r>
              <w:rPr>
                <w:rFonts w:asciiTheme="majorHAnsi" w:hAnsiTheme="majorHAnsi"/>
                <w:bCs/>
                <w:sz w:val="20"/>
                <w:szCs w:val="20"/>
                <w:lang w:val="es-ES"/>
              </w:rPr>
              <w:t>a)</w:t>
            </w:r>
            <w:r w:rsidRPr="00D957EA">
              <w:rPr>
                <w:rFonts w:asciiTheme="majorHAnsi" w:hAnsiTheme="majorHAnsi"/>
                <w:bCs/>
                <w:sz w:val="20"/>
                <w:szCs w:val="20"/>
                <w:lang w:val="es-ES"/>
              </w:rPr>
              <w:t xml:space="preserve">, 8 </w:t>
            </w:r>
            <w:r>
              <w:rPr>
                <w:rFonts w:asciiTheme="majorHAnsi" w:hAnsiTheme="majorHAnsi"/>
                <w:bCs/>
                <w:sz w:val="20"/>
                <w:szCs w:val="20"/>
                <w:lang w:val="es-ES"/>
              </w:rPr>
              <w:t xml:space="preserve">(garantías judiciales) </w:t>
            </w:r>
            <w:r w:rsidRPr="00D957EA">
              <w:rPr>
                <w:rFonts w:asciiTheme="majorHAnsi" w:hAnsiTheme="majorHAnsi"/>
                <w:bCs/>
                <w:sz w:val="20"/>
                <w:szCs w:val="20"/>
                <w:lang w:val="es-ES"/>
              </w:rPr>
              <w:t>y 25</w:t>
            </w:r>
            <w:r>
              <w:rPr>
                <w:rFonts w:asciiTheme="majorHAnsi" w:hAnsiTheme="majorHAnsi"/>
                <w:bCs/>
                <w:sz w:val="20"/>
                <w:szCs w:val="20"/>
                <w:lang w:val="es-ES"/>
              </w:rPr>
              <w:t xml:space="preserve"> (protección judicial)</w:t>
            </w:r>
            <w:r w:rsidRPr="00D957EA">
              <w:rPr>
                <w:rFonts w:asciiTheme="majorHAnsi" w:hAnsiTheme="majorHAnsi"/>
                <w:bCs/>
                <w:sz w:val="20"/>
                <w:szCs w:val="20"/>
                <w:lang w:val="es-ES"/>
              </w:rPr>
              <w:t xml:space="preserve"> de la Convención</w:t>
            </w:r>
            <w:r w:rsidR="0094348E">
              <w:rPr>
                <w:rFonts w:asciiTheme="majorHAnsi" w:hAnsiTheme="majorHAnsi"/>
                <w:bCs/>
                <w:sz w:val="20"/>
                <w:szCs w:val="20"/>
                <w:lang w:val="es-ES"/>
              </w:rPr>
              <w:t>,</w:t>
            </w:r>
            <w:r w:rsidRPr="00D957EA">
              <w:rPr>
                <w:rFonts w:asciiTheme="majorHAnsi" w:hAnsiTheme="majorHAnsi"/>
                <w:bCs/>
                <w:sz w:val="20"/>
                <w:szCs w:val="20"/>
                <w:lang w:val="es-ES"/>
              </w:rPr>
              <w:t xml:space="preserve"> en relación con su artículo 1.1</w:t>
            </w:r>
            <w:r>
              <w:rPr>
                <w:rFonts w:asciiTheme="majorHAnsi" w:hAnsiTheme="majorHAnsi"/>
                <w:bCs/>
                <w:sz w:val="20"/>
                <w:szCs w:val="20"/>
                <w:lang w:val="es-ES"/>
              </w:rPr>
              <w:t xml:space="preserve"> (obligación de r</w:t>
            </w:r>
            <w:r w:rsidR="00003C3F">
              <w:rPr>
                <w:rFonts w:asciiTheme="majorHAnsi" w:hAnsiTheme="majorHAnsi"/>
                <w:bCs/>
                <w:sz w:val="20"/>
                <w:szCs w:val="20"/>
                <w:lang w:val="es-ES"/>
              </w:rPr>
              <w:t>espectar derechos</w:t>
            </w:r>
            <w:r>
              <w:rPr>
                <w:rFonts w:asciiTheme="majorHAnsi" w:hAnsiTheme="majorHAnsi"/>
                <w:bCs/>
                <w:sz w:val="20"/>
                <w:szCs w:val="20"/>
                <w:lang w:val="es-ES"/>
              </w:rPr>
              <w:t>)</w:t>
            </w:r>
          </w:p>
        </w:tc>
      </w:tr>
      <w:tr w:rsidR="003239B8" w:rsidRPr="00C47976"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AB6CB4" w:rsidRDefault="003239B8" w:rsidP="008D2290">
            <w:pPr>
              <w:jc w:val="center"/>
              <w:rPr>
                <w:rFonts w:asciiTheme="majorHAnsi" w:hAnsiTheme="majorHAnsi"/>
                <w:b/>
                <w:bCs/>
                <w:color w:val="FFFFFF" w:themeColor="background1"/>
                <w:sz w:val="20"/>
                <w:szCs w:val="20"/>
                <w:lang w:val="es-ES"/>
              </w:rPr>
            </w:pPr>
            <w:r w:rsidRPr="00AB6CB4">
              <w:rPr>
                <w:rFonts w:asciiTheme="majorHAnsi" w:hAnsiTheme="majorHAnsi"/>
                <w:b/>
                <w:bCs/>
                <w:color w:val="FFFFFF" w:themeColor="background1"/>
                <w:sz w:val="20"/>
                <w:szCs w:val="20"/>
                <w:lang w:val="es-ES"/>
              </w:rPr>
              <w:t>Agotamiento de recursos internos</w:t>
            </w:r>
            <w:r w:rsidR="00EE00E9" w:rsidRPr="00AB6CB4">
              <w:rPr>
                <w:rFonts w:asciiTheme="majorHAnsi" w:hAnsiTheme="majorHAnsi"/>
                <w:b/>
                <w:bCs/>
                <w:color w:val="FFFFFF" w:themeColor="background1"/>
                <w:sz w:val="20"/>
                <w:szCs w:val="20"/>
                <w:lang w:val="es-ES"/>
              </w:rPr>
              <w:t xml:space="preserve"> o procedencia de una excepción</w:t>
            </w:r>
            <w:r w:rsidRPr="00AB6CB4">
              <w:rPr>
                <w:rFonts w:asciiTheme="majorHAnsi" w:hAnsiTheme="majorHAnsi"/>
                <w:b/>
                <w:bCs/>
                <w:color w:val="FFFFFF" w:themeColor="background1"/>
                <w:sz w:val="20"/>
                <w:szCs w:val="20"/>
                <w:lang w:val="es-ES"/>
              </w:rPr>
              <w:t>:</w:t>
            </w:r>
          </w:p>
        </w:tc>
        <w:tc>
          <w:tcPr>
            <w:tcW w:w="5760" w:type="dxa"/>
            <w:vAlign w:val="center"/>
          </w:tcPr>
          <w:p w14:paraId="7F7C1A19" w14:textId="7825DA69" w:rsidR="003239B8" w:rsidRPr="00AB6CB4" w:rsidRDefault="00D957EA" w:rsidP="008D2290">
            <w:pPr>
              <w:rPr>
                <w:rFonts w:asciiTheme="majorHAnsi" w:hAnsiTheme="majorHAnsi"/>
                <w:bCs/>
                <w:sz w:val="20"/>
                <w:szCs w:val="20"/>
                <w:lang w:val="es-ES"/>
              </w:rPr>
            </w:pPr>
            <w:r>
              <w:rPr>
                <w:rFonts w:asciiTheme="majorHAnsi" w:hAnsiTheme="majorHAnsi"/>
                <w:bCs/>
                <w:sz w:val="20"/>
                <w:szCs w:val="20"/>
                <w:lang w:val="es-ES"/>
              </w:rPr>
              <w:t xml:space="preserve">Sí, </w:t>
            </w:r>
            <w:r w:rsidR="00CD4E89">
              <w:rPr>
                <w:rFonts w:asciiTheme="majorHAnsi" w:hAnsiTheme="majorHAnsi"/>
                <w:bCs/>
                <w:sz w:val="20"/>
                <w:szCs w:val="20"/>
                <w:lang w:val="es-ES"/>
              </w:rPr>
              <w:t>en los términos de la sección VI</w:t>
            </w:r>
          </w:p>
        </w:tc>
      </w:tr>
      <w:tr w:rsidR="003239B8" w:rsidRPr="00C47976"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AB6CB4" w:rsidRDefault="003239B8" w:rsidP="008D2290">
            <w:pPr>
              <w:jc w:val="center"/>
              <w:rPr>
                <w:rFonts w:asciiTheme="majorHAnsi" w:hAnsiTheme="majorHAnsi"/>
                <w:b/>
                <w:bCs/>
                <w:color w:val="FFFFFF" w:themeColor="background1"/>
                <w:sz w:val="20"/>
                <w:szCs w:val="20"/>
              </w:rPr>
            </w:pPr>
            <w:r w:rsidRPr="00AB6CB4">
              <w:rPr>
                <w:rFonts w:asciiTheme="majorHAnsi" w:hAnsiTheme="majorHAnsi"/>
                <w:b/>
                <w:bCs/>
                <w:color w:val="FFFFFF" w:themeColor="background1"/>
                <w:sz w:val="20"/>
                <w:szCs w:val="20"/>
              </w:rPr>
              <w:t>Presentación dentro de plazo:</w:t>
            </w:r>
          </w:p>
        </w:tc>
        <w:tc>
          <w:tcPr>
            <w:tcW w:w="5760" w:type="dxa"/>
            <w:vAlign w:val="center"/>
          </w:tcPr>
          <w:p w14:paraId="2AF0FC69" w14:textId="1C28FCEC" w:rsidR="003239B8" w:rsidRPr="00D957EA" w:rsidRDefault="00D957EA" w:rsidP="008D2290">
            <w:pPr>
              <w:rPr>
                <w:rFonts w:asciiTheme="majorHAnsi" w:hAnsiTheme="majorHAnsi"/>
                <w:bCs/>
                <w:sz w:val="20"/>
                <w:szCs w:val="20"/>
                <w:lang w:val="es-ES"/>
              </w:rPr>
            </w:pPr>
            <w:r w:rsidRPr="00D957EA">
              <w:rPr>
                <w:rFonts w:asciiTheme="majorHAnsi" w:hAnsiTheme="majorHAnsi"/>
                <w:bCs/>
                <w:sz w:val="20"/>
                <w:szCs w:val="20"/>
                <w:lang w:val="es-ES"/>
              </w:rPr>
              <w:t>Sí, en los términos de la sección</w:t>
            </w:r>
            <w:r>
              <w:rPr>
                <w:rFonts w:asciiTheme="majorHAnsi" w:hAnsiTheme="majorHAnsi"/>
                <w:bCs/>
                <w:sz w:val="20"/>
                <w:szCs w:val="20"/>
                <w:lang w:val="es-ES"/>
              </w:rPr>
              <w:t xml:space="preserve"> VI</w:t>
            </w:r>
          </w:p>
        </w:tc>
      </w:tr>
    </w:tbl>
    <w:p w14:paraId="56FD5D57" w14:textId="6E1F62CB" w:rsidR="003239B8" w:rsidRPr="00E1302D" w:rsidRDefault="00223A29" w:rsidP="003239B8">
      <w:pPr>
        <w:spacing w:before="240" w:after="240"/>
        <w:ind w:firstLine="720"/>
        <w:jc w:val="both"/>
        <w:rPr>
          <w:rFonts w:asciiTheme="majorHAnsi" w:hAnsiTheme="majorHAnsi"/>
          <w:b/>
          <w:sz w:val="20"/>
          <w:szCs w:val="20"/>
          <w:lang w:val="es-ES"/>
        </w:rPr>
      </w:pPr>
      <w:r w:rsidRPr="00E1302D">
        <w:rPr>
          <w:rFonts w:asciiTheme="majorHAnsi" w:hAnsiTheme="majorHAnsi"/>
          <w:b/>
          <w:sz w:val="20"/>
          <w:szCs w:val="20"/>
          <w:lang w:val="es-ES"/>
        </w:rPr>
        <w:t xml:space="preserve">V. </w:t>
      </w:r>
      <w:r w:rsidRPr="00E1302D">
        <w:rPr>
          <w:rFonts w:asciiTheme="majorHAnsi" w:hAnsiTheme="majorHAnsi"/>
          <w:b/>
          <w:sz w:val="20"/>
          <w:szCs w:val="20"/>
          <w:lang w:val="es-ES"/>
        </w:rPr>
        <w:tab/>
      </w:r>
      <w:r w:rsidR="004241A0" w:rsidRPr="00E1302D">
        <w:rPr>
          <w:rFonts w:asciiTheme="majorHAnsi" w:hAnsiTheme="majorHAnsi"/>
          <w:b/>
          <w:sz w:val="20"/>
          <w:szCs w:val="20"/>
          <w:lang w:val="es-ES"/>
        </w:rPr>
        <w:t>POSICIÓN DE LAS PARTES</w:t>
      </w:r>
      <w:r w:rsidR="003239B8" w:rsidRPr="00E1302D">
        <w:rPr>
          <w:rFonts w:asciiTheme="majorHAnsi" w:hAnsiTheme="majorHAnsi"/>
          <w:b/>
          <w:sz w:val="20"/>
          <w:szCs w:val="20"/>
          <w:lang w:val="es-ES"/>
        </w:rPr>
        <w:t xml:space="preserve"> </w:t>
      </w:r>
    </w:p>
    <w:p w14:paraId="451DF17E" w14:textId="64C1C48A" w:rsidR="00AE736B" w:rsidRPr="00E1302D" w:rsidRDefault="00AE736B" w:rsidP="003239B8">
      <w:pPr>
        <w:spacing w:before="240" w:after="240"/>
        <w:ind w:firstLine="720"/>
        <w:jc w:val="both"/>
        <w:rPr>
          <w:rFonts w:asciiTheme="majorHAnsi" w:hAnsiTheme="majorHAnsi"/>
          <w:bCs/>
          <w:i/>
          <w:iCs/>
          <w:sz w:val="20"/>
          <w:szCs w:val="20"/>
          <w:lang w:val="es-ES"/>
        </w:rPr>
      </w:pPr>
      <w:r w:rsidRPr="00E1302D">
        <w:rPr>
          <w:rFonts w:asciiTheme="majorHAnsi" w:hAnsiTheme="majorHAnsi"/>
          <w:bCs/>
          <w:i/>
          <w:iCs/>
          <w:sz w:val="20"/>
          <w:szCs w:val="20"/>
          <w:lang w:val="es-ES"/>
        </w:rPr>
        <w:t>Alegatos de la parte peticionaria</w:t>
      </w:r>
    </w:p>
    <w:p w14:paraId="12AAD0B5" w14:textId="2B07F157" w:rsidR="00CD4E89" w:rsidRPr="00E1302D" w:rsidRDefault="00CD4E89" w:rsidP="0099672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La parte peticionaria denuncia</w:t>
      </w:r>
      <w:r w:rsidR="00B712EE" w:rsidRPr="00E1302D">
        <w:rPr>
          <w:rFonts w:asciiTheme="majorHAnsi" w:hAnsiTheme="majorHAnsi"/>
          <w:bCs/>
          <w:sz w:val="20"/>
          <w:szCs w:val="20"/>
          <w:lang w:val="es-ES"/>
        </w:rPr>
        <w:t xml:space="preserve"> que</w:t>
      </w:r>
      <w:r w:rsidR="0099672D" w:rsidRPr="00E1302D">
        <w:rPr>
          <w:rFonts w:asciiTheme="majorHAnsi" w:hAnsiTheme="majorHAnsi"/>
          <w:bCs/>
          <w:sz w:val="20"/>
          <w:szCs w:val="20"/>
          <w:lang w:val="es-ES"/>
        </w:rPr>
        <w:t xml:space="preserve"> el Estado incumplió su deber de prevención en relación con la presunta víctima, toda vez que </w:t>
      </w:r>
      <w:r w:rsidR="00443C3D" w:rsidRPr="00E1302D">
        <w:rPr>
          <w:rFonts w:asciiTheme="majorHAnsi" w:hAnsiTheme="majorHAnsi"/>
          <w:bCs/>
          <w:sz w:val="20"/>
          <w:szCs w:val="20"/>
          <w:lang w:val="es-ES"/>
        </w:rPr>
        <w:t>no habría adoptado</w:t>
      </w:r>
      <w:r w:rsidR="0099672D" w:rsidRPr="00E1302D">
        <w:rPr>
          <w:rFonts w:asciiTheme="majorHAnsi" w:hAnsiTheme="majorHAnsi"/>
          <w:bCs/>
          <w:sz w:val="20"/>
          <w:szCs w:val="20"/>
          <w:lang w:val="es-ES"/>
        </w:rPr>
        <w:t xml:space="preserve"> medidas para evitar que sea asesinado por dos sicarios, </w:t>
      </w:r>
      <w:r w:rsidR="00810C0A" w:rsidRPr="00E1302D">
        <w:rPr>
          <w:rFonts w:asciiTheme="majorHAnsi" w:hAnsiTheme="majorHAnsi"/>
          <w:bCs/>
          <w:sz w:val="20"/>
          <w:szCs w:val="20"/>
          <w:lang w:val="es-ES"/>
        </w:rPr>
        <w:t xml:space="preserve">mientras se desempañaba como subdirector del Centro Carcelario y Penitenciario de Palmira. </w:t>
      </w:r>
      <w:r w:rsidR="000B0590" w:rsidRPr="00E1302D">
        <w:rPr>
          <w:rFonts w:asciiTheme="majorHAnsi" w:hAnsiTheme="majorHAnsi"/>
          <w:bCs/>
          <w:sz w:val="20"/>
          <w:szCs w:val="20"/>
          <w:lang w:val="es-ES"/>
        </w:rPr>
        <w:t>Alega</w:t>
      </w:r>
      <w:r w:rsidR="00846373" w:rsidRPr="00E1302D">
        <w:rPr>
          <w:rFonts w:asciiTheme="majorHAnsi" w:hAnsiTheme="majorHAnsi"/>
          <w:bCs/>
          <w:sz w:val="20"/>
          <w:szCs w:val="20"/>
          <w:lang w:val="es-ES"/>
        </w:rPr>
        <w:t xml:space="preserve"> </w:t>
      </w:r>
      <w:r w:rsidR="00C53B96" w:rsidRPr="00E1302D">
        <w:rPr>
          <w:rFonts w:asciiTheme="majorHAnsi" w:hAnsiTheme="majorHAnsi"/>
          <w:bCs/>
          <w:sz w:val="20"/>
          <w:szCs w:val="20"/>
          <w:lang w:val="es-ES"/>
        </w:rPr>
        <w:lastRenderedPageBreak/>
        <w:t xml:space="preserve">además </w:t>
      </w:r>
      <w:r w:rsidR="00846373" w:rsidRPr="00E1302D">
        <w:rPr>
          <w:rFonts w:asciiTheme="majorHAnsi" w:hAnsiTheme="majorHAnsi"/>
          <w:bCs/>
          <w:sz w:val="20"/>
          <w:szCs w:val="20"/>
          <w:lang w:val="es-ES"/>
        </w:rPr>
        <w:t xml:space="preserve">que </w:t>
      </w:r>
      <w:r w:rsidR="0099672D" w:rsidRPr="00E1302D">
        <w:rPr>
          <w:rFonts w:asciiTheme="majorHAnsi" w:hAnsiTheme="majorHAnsi"/>
          <w:bCs/>
          <w:sz w:val="20"/>
          <w:szCs w:val="20"/>
          <w:lang w:val="es-ES"/>
        </w:rPr>
        <w:t xml:space="preserve">la autoridad judicial </w:t>
      </w:r>
      <w:r w:rsidR="00EF4AB7" w:rsidRPr="00E1302D">
        <w:rPr>
          <w:rFonts w:asciiTheme="majorHAnsi" w:hAnsiTheme="majorHAnsi"/>
          <w:bCs/>
          <w:sz w:val="20"/>
          <w:szCs w:val="20"/>
          <w:lang w:val="es-ES"/>
        </w:rPr>
        <w:t>les</w:t>
      </w:r>
      <w:r w:rsidR="00846373" w:rsidRPr="00E1302D">
        <w:rPr>
          <w:rFonts w:asciiTheme="majorHAnsi" w:hAnsiTheme="majorHAnsi"/>
          <w:bCs/>
          <w:sz w:val="20"/>
          <w:szCs w:val="20"/>
          <w:lang w:val="es-ES"/>
        </w:rPr>
        <w:t xml:space="preserve"> negó una reparación económica a los familiares de la presunta víctima</w:t>
      </w:r>
      <w:r w:rsidR="0099672D" w:rsidRPr="00E1302D">
        <w:rPr>
          <w:rFonts w:asciiTheme="majorHAnsi" w:hAnsiTheme="majorHAnsi"/>
          <w:bCs/>
          <w:sz w:val="20"/>
          <w:szCs w:val="20"/>
          <w:lang w:val="es-ES"/>
        </w:rPr>
        <w:t xml:space="preserve">, al considerar que no se cumplían los supuestos para demostrar algún tipo de responsabilidad estatal. </w:t>
      </w:r>
    </w:p>
    <w:p w14:paraId="62B036F8" w14:textId="1957F557" w:rsidR="00254D9F" w:rsidRPr="00E1302D" w:rsidRDefault="00C53B96" w:rsidP="00254D9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El peticionario narra</w:t>
      </w:r>
      <w:r w:rsidR="00CD4E89" w:rsidRPr="00E1302D">
        <w:rPr>
          <w:rFonts w:asciiTheme="majorHAnsi" w:hAnsiTheme="majorHAnsi"/>
          <w:bCs/>
          <w:sz w:val="20"/>
          <w:szCs w:val="20"/>
          <w:lang w:val="es-ES"/>
        </w:rPr>
        <w:t xml:space="preserve"> que e</w:t>
      </w:r>
      <w:r w:rsidR="00DA6966" w:rsidRPr="00E1302D">
        <w:rPr>
          <w:rFonts w:asciiTheme="majorHAnsi" w:hAnsiTheme="majorHAnsi"/>
          <w:bCs/>
          <w:sz w:val="20"/>
          <w:szCs w:val="20"/>
          <w:lang w:val="es-ES"/>
        </w:rPr>
        <w:t xml:space="preserve">l </w:t>
      </w:r>
      <w:r w:rsidR="00DC306A" w:rsidRPr="00E1302D">
        <w:rPr>
          <w:rFonts w:asciiTheme="majorHAnsi" w:hAnsiTheme="majorHAnsi"/>
          <w:bCs/>
          <w:sz w:val="20"/>
          <w:szCs w:val="20"/>
          <w:lang w:val="es-ES"/>
        </w:rPr>
        <w:t>28 de abril de 2003</w:t>
      </w:r>
      <w:r w:rsidR="00CD4E89" w:rsidRPr="00E1302D">
        <w:rPr>
          <w:rFonts w:asciiTheme="majorHAnsi" w:hAnsiTheme="majorHAnsi"/>
          <w:bCs/>
          <w:sz w:val="20"/>
          <w:szCs w:val="20"/>
          <w:lang w:val="es-ES"/>
        </w:rPr>
        <w:t xml:space="preserve"> dos sicarios asesinaron </w:t>
      </w:r>
      <w:r w:rsidR="004C48F8" w:rsidRPr="00E1302D">
        <w:rPr>
          <w:rFonts w:asciiTheme="majorHAnsi" w:hAnsiTheme="majorHAnsi"/>
          <w:bCs/>
          <w:sz w:val="20"/>
          <w:szCs w:val="20"/>
          <w:lang w:val="es-ES"/>
        </w:rPr>
        <w:t xml:space="preserve">al señor Acuña Acevedo </w:t>
      </w:r>
      <w:r w:rsidR="00CD4E89" w:rsidRPr="00E1302D">
        <w:rPr>
          <w:rFonts w:asciiTheme="majorHAnsi" w:hAnsiTheme="majorHAnsi"/>
          <w:bCs/>
          <w:sz w:val="20"/>
          <w:szCs w:val="20"/>
          <w:lang w:val="es-ES"/>
        </w:rPr>
        <w:t>mediante cinco disparos, mientras este salía de una capacitación institucional</w:t>
      </w:r>
      <w:r w:rsidR="00434F56" w:rsidRPr="00E1302D">
        <w:rPr>
          <w:rFonts w:asciiTheme="majorHAnsi" w:hAnsiTheme="majorHAnsi"/>
          <w:bCs/>
          <w:sz w:val="20"/>
          <w:szCs w:val="20"/>
          <w:lang w:val="es-ES"/>
        </w:rPr>
        <w:t xml:space="preserve"> </w:t>
      </w:r>
      <w:r w:rsidR="006E1C34" w:rsidRPr="00E1302D">
        <w:rPr>
          <w:rFonts w:asciiTheme="majorHAnsi" w:hAnsiTheme="majorHAnsi"/>
          <w:bCs/>
          <w:sz w:val="20"/>
          <w:szCs w:val="20"/>
          <w:lang w:val="es-ES"/>
        </w:rPr>
        <w:t>desarrollada</w:t>
      </w:r>
      <w:r w:rsidR="00434F56" w:rsidRPr="00E1302D">
        <w:rPr>
          <w:rFonts w:asciiTheme="majorHAnsi" w:hAnsiTheme="majorHAnsi"/>
          <w:bCs/>
          <w:sz w:val="20"/>
          <w:szCs w:val="20"/>
          <w:lang w:val="es-ES"/>
        </w:rPr>
        <w:t xml:space="preserve"> en </w:t>
      </w:r>
      <w:r w:rsidR="00664A77" w:rsidRPr="00E1302D">
        <w:rPr>
          <w:rFonts w:asciiTheme="majorHAnsi" w:hAnsiTheme="majorHAnsi"/>
          <w:bCs/>
          <w:sz w:val="20"/>
          <w:szCs w:val="20"/>
          <w:lang w:val="es-ES"/>
        </w:rPr>
        <w:t>el Hotel Pacífico Royal</w:t>
      </w:r>
      <w:r w:rsidR="00EA447E" w:rsidRPr="00E1302D">
        <w:rPr>
          <w:rFonts w:asciiTheme="majorHAnsi" w:hAnsiTheme="majorHAnsi"/>
          <w:bCs/>
          <w:sz w:val="20"/>
          <w:szCs w:val="20"/>
          <w:lang w:val="es-ES"/>
        </w:rPr>
        <w:t xml:space="preserve"> </w:t>
      </w:r>
      <w:r w:rsidR="00434F56" w:rsidRPr="00E1302D">
        <w:rPr>
          <w:rFonts w:asciiTheme="majorHAnsi" w:hAnsiTheme="majorHAnsi"/>
          <w:bCs/>
          <w:sz w:val="20"/>
          <w:szCs w:val="20"/>
          <w:lang w:val="es-ES"/>
        </w:rPr>
        <w:t>de</w:t>
      </w:r>
      <w:r w:rsidR="00EA447E" w:rsidRPr="00E1302D">
        <w:rPr>
          <w:rFonts w:asciiTheme="majorHAnsi" w:hAnsiTheme="majorHAnsi"/>
          <w:bCs/>
          <w:sz w:val="20"/>
          <w:szCs w:val="20"/>
          <w:lang w:val="es-ES"/>
        </w:rPr>
        <w:t xml:space="preserve"> Cali</w:t>
      </w:r>
      <w:r w:rsidR="00664A77" w:rsidRPr="00E1302D">
        <w:rPr>
          <w:rFonts w:asciiTheme="majorHAnsi" w:hAnsiTheme="majorHAnsi"/>
          <w:bCs/>
          <w:sz w:val="20"/>
          <w:szCs w:val="20"/>
          <w:lang w:val="es-ES"/>
        </w:rPr>
        <w:t>.</w:t>
      </w:r>
      <w:r w:rsidR="00254D9F" w:rsidRPr="00E1302D">
        <w:rPr>
          <w:rFonts w:asciiTheme="majorHAnsi" w:hAnsiTheme="majorHAnsi"/>
          <w:bCs/>
          <w:sz w:val="20"/>
          <w:szCs w:val="20"/>
          <w:lang w:val="es-ES"/>
        </w:rPr>
        <w:t xml:space="preserve"> </w:t>
      </w:r>
      <w:r w:rsidR="00CD4E89" w:rsidRPr="00E1302D">
        <w:rPr>
          <w:rFonts w:asciiTheme="majorHAnsi" w:hAnsiTheme="majorHAnsi"/>
          <w:bCs/>
          <w:sz w:val="20"/>
          <w:szCs w:val="20"/>
          <w:lang w:val="es-ES"/>
        </w:rPr>
        <w:t>Refiere que al momento de los hechos e</w:t>
      </w:r>
      <w:r w:rsidR="006E1C34" w:rsidRPr="00E1302D">
        <w:rPr>
          <w:rFonts w:asciiTheme="majorHAnsi" w:hAnsiTheme="majorHAnsi"/>
          <w:bCs/>
          <w:sz w:val="20"/>
          <w:szCs w:val="20"/>
          <w:lang w:val="es-ES"/>
        </w:rPr>
        <w:t>l</w:t>
      </w:r>
      <w:r w:rsidR="00810C0A" w:rsidRPr="00E1302D">
        <w:rPr>
          <w:rFonts w:asciiTheme="majorHAnsi" w:hAnsiTheme="majorHAnsi"/>
          <w:bCs/>
          <w:sz w:val="20"/>
          <w:szCs w:val="20"/>
          <w:lang w:val="es-ES"/>
        </w:rPr>
        <w:t xml:space="preserve"> señor</w:t>
      </w:r>
      <w:r w:rsidR="0065258A" w:rsidRPr="00E1302D">
        <w:rPr>
          <w:rFonts w:asciiTheme="majorHAnsi" w:hAnsiTheme="majorHAnsi"/>
          <w:bCs/>
          <w:sz w:val="20"/>
          <w:szCs w:val="20"/>
          <w:lang w:val="es-ES"/>
        </w:rPr>
        <w:t xml:space="preserve"> Acuña </w:t>
      </w:r>
      <w:r w:rsidR="00810C0A" w:rsidRPr="00E1302D">
        <w:rPr>
          <w:rFonts w:asciiTheme="majorHAnsi" w:hAnsiTheme="majorHAnsi"/>
          <w:bCs/>
          <w:sz w:val="20"/>
          <w:szCs w:val="20"/>
          <w:lang w:val="es-ES"/>
        </w:rPr>
        <w:t xml:space="preserve">Acevedo </w:t>
      </w:r>
      <w:r w:rsidR="0065258A" w:rsidRPr="00E1302D">
        <w:rPr>
          <w:rFonts w:asciiTheme="majorHAnsi" w:hAnsiTheme="majorHAnsi"/>
          <w:bCs/>
          <w:sz w:val="20"/>
          <w:szCs w:val="20"/>
          <w:lang w:val="es-ES"/>
        </w:rPr>
        <w:t xml:space="preserve">iba a ser nombrado </w:t>
      </w:r>
      <w:r w:rsidR="00E24A29" w:rsidRPr="00E1302D">
        <w:rPr>
          <w:rFonts w:asciiTheme="majorHAnsi" w:hAnsiTheme="majorHAnsi"/>
          <w:bCs/>
          <w:sz w:val="20"/>
          <w:szCs w:val="20"/>
          <w:lang w:val="es-ES"/>
        </w:rPr>
        <w:t>d</w:t>
      </w:r>
      <w:r w:rsidR="0065258A" w:rsidRPr="00E1302D">
        <w:rPr>
          <w:rFonts w:asciiTheme="majorHAnsi" w:hAnsiTheme="majorHAnsi"/>
          <w:bCs/>
          <w:sz w:val="20"/>
          <w:szCs w:val="20"/>
          <w:lang w:val="es-ES"/>
        </w:rPr>
        <w:t xml:space="preserve">irector de la penitenciaria de Palmira, y se encontraba adelantando </w:t>
      </w:r>
      <w:r w:rsidR="006E1C34" w:rsidRPr="00E1302D">
        <w:rPr>
          <w:rFonts w:asciiTheme="majorHAnsi" w:hAnsiTheme="majorHAnsi"/>
          <w:bCs/>
          <w:sz w:val="20"/>
          <w:szCs w:val="20"/>
          <w:lang w:val="es-ES"/>
        </w:rPr>
        <w:t xml:space="preserve">unas </w:t>
      </w:r>
      <w:r w:rsidR="0065258A" w:rsidRPr="00E1302D">
        <w:rPr>
          <w:rFonts w:asciiTheme="majorHAnsi" w:hAnsiTheme="majorHAnsi"/>
          <w:bCs/>
          <w:sz w:val="20"/>
          <w:szCs w:val="20"/>
          <w:lang w:val="es-ES"/>
        </w:rPr>
        <w:t xml:space="preserve">investigaciones muy delicadas al interior del </w:t>
      </w:r>
      <w:r w:rsidR="006E1C34" w:rsidRPr="00E1302D">
        <w:rPr>
          <w:rFonts w:asciiTheme="majorHAnsi" w:hAnsiTheme="majorHAnsi"/>
          <w:bCs/>
          <w:sz w:val="20"/>
          <w:szCs w:val="20"/>
          <w:lang w:val="es-ES"/>
        </w:rPr>
        <w:t>penal</w:t>
      </w:r>
      <w:r w:rsidR="0065258A" w:rsidRPr="00E1302D">
        <w:rPr>
          <w:rFonts w:asciiTheme="majorHAnsi" w:hAnsiTheme="majorHAnsi"/>
          <w:bCs/>
          <w:sz w:val="20"/>
          <w:szCs w:val="20"/>
          <w:lang w:val="es-ES"/>
        </w:rPr>
        <w:t xml:space="preserve"> </w:t>
      </w:r>
      <w:r w:rsidR="006E1C34" w:rsidRPr="00E1302D">
        <w:rPr>
          <w:rFonts w:asciiTheme="majorHAnsi" w:hAnsiTheme="majorHAnsi"/>
          <w:bCs/>
          <w:sz w:val="20"/>
          <w:szCs w:val="20"/>
          <w:lang w:val="es-ES"/>
        </w:rPr>
        <w:t xml:space="preserve">relacionadas </w:t>
      </w:r>
      <w:r w:rsidR="0065258A" w:rsidRPr="00E1302D">
        <w:rPr>
          <w:rFonts w:asciiTheme="majorHAnsi" w:hAnsiTheme="majorHAnsi"/>
          <w:bCs/>
          <w:sz w:val="20"/>
          <w:szCs w:val="20"/>
          <w:lang w:val="es-ES"/>
        </w:rPr>
        <w:t>con algunos detenidos y funcionarios</w:t>
      </w:r>
      <w:r w:rsidR="00254D9F" w:rsidRPr="00E1302D">
        <w:rPr>
          <w:rFonts w:asciiTheme="majorHAnsi" w:hAnsiTheme="majorHAnsi"/>
          <w:bCs/>
          <w:sz w:val="20"/>
          <w:szCs w:val="20"/>
          <w:lang w:val="es-ES"/>
        </w:rPr>
        <w:t>, e incluso había puesto</w:t>
      </w:r>
      <w:r w:rsidR="00DA7DE4" w:rsidRPr="00E1302D">
        <w:rPr>
          <w:rFonts w:asciiTheme="majorHAnsi" w:hAnsiTheme="majorHAnsi"/>
          <w:bCs/>
          <w:sz w:val="20"/>
          <w:szCs w:val="20"/>
          <w:lang w:val="es-ES"/>
        </w:rPr>
        <w:t xml:space="preserve"> </w:t>
      </w:r>
      <w:r w:rsidR="00254D9F" w:rsidRPr="00E1302D">
        <w:rPr>
          <w:rFonts w:asciiTheme="majorHAnsi" w:hAnsiTheme="majorHAnsi"/>
          <w:bCs/>
          <w:sz w:val="20"/>
          <w:szCs w:val="20"/>
          <w:lang w:val="es-ES"/>
        </w:rPr>
        <w:t>en conocimiento de la Presidencia de la República, del Consejo Superior de la Judicatura, de la Procuraduría General de la Nación y de la Fiscalía General de la Nación hechos graves de corrupción administrativa que existían en el penal de alta seguridad de Palmira</w:t>
      </w:r>
      <w:r w:rsidR="00846373" w:rsidRPr="00E1302D">
        <w:rPr>
          <w:rFonts w:asciiTheme="majorHAnsi" w:hAnsiTheme="majorHAnsi"/>
          <w:bCs/>
          <w:sz w:val="20"/>
          <w:szCs w:val="20"/>
          <w:lang w:val="es-ES"/>
        </w:rPr>
        <w:t>.</w:t>
      </w:r>
    </w:p>
    <w:p w14:paraId="1E850A4D" w14:textId="4FAE16E4" w:rsidR="00AE736B" w:rsidRPr="00E1302D" w:rsidRDefault="00810C0A" w:rsidP="00254D9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A pesar de ello, refiere que el día de su muerte</w:t>
      </w:r>
      <w:r w:rsidR="00846373" w:rsidRPr="00E1302D">
        <w:rPr>
          <w:rFonts w:asciiTheme="majorHAnsi" w:hAnsiTheme="majorHAnsi"/>
          <w:bCs/>
          <w:sz w:val="20"/>
          <w:szCs w:val="20"/>
          <w:lang w:val="es-ES"/>
        </w:rPr>
        <w:t xml:space="preserve"> la presunta víctima</w:t>
      </w:r>
      <w:r w:rsidRPr="00E1302D">
        <w:rPr>
          <w:rFonts w:asciiTheme="majorHAnsi" w:hAnsiTheme="majorHAnsi"/>
          <w:bCs/>
          <w:sz w:val="20"/>
          <w:szCs w:val="20"/>
          <w:lang w:val="es-ES"/>
        </w:rPr>
        <w:t xml:space="preserve"> no contaba con ningún tipo de prerrogativa que le brindará el mínimo de seguridad y protección a su vida, a pesar de que contra él existían graves amenazas. </w:t>
      </w:r>
      <w:r w:rsidR="00254D9F" w:rsidRPr="00E1302D">
        <w:rPr>
          <w:rFonts w:asciiTheme="majorHAnsi" w:hAnsiTheme="majorHAnsi"/>
          <w:bCs/>
          <w:sz w:val="20"/>
          <w:szCs w:val="20"/>
          <w:lang w:val="es-ES"/>
        </w:rPr>
        <w:t>Con base en ello, arguye que los superiores no hicieron nada para evitar la muerte del señor Acuña Acevedo; y, por lo tanto, existió una falla del servicio, toda vez que dichos funcionarios ordenaron a la presunta víctima a asistir a un seminario en la ciudad de Cal</w:t>
      </w:r>
      <w:r w:rsidR="00AB5E2D" w:rsidRPr="00E1302D">
        <w:rPr>
          <w:rFonts w:asciiTheme="majorHAnsi" w:hAnsiTheme="majorHAnsi"/>
          <w:bCs/>
          <w:sz w:val="20"/>
          <w:szCs w:val="20"/>
          <w:lang w:val="es-ES"/>
        </w:rPr>
        <w:t>i</w:t>
      </w:r>
      <w:r w:rsidR="00846373" w:rsidRPr="00E1302D">
        <w:rPr>
          <w:rFonts w:asciiTheme="majorHAnsi" w:hAnsiTheme="majorHAnsi"/>
          <w:bCs/>
          <w:sz w:val="20"/>
          <w:szCs w:val="20"/>
          <w:lang w:val="es-ES"/>
        </w:rPr>
        <w:t xml:space="preserve"> </w:t>
      </w:r>
      <w:r w:rsidR="00254D9F" w:rsidRPr="00E1302D">
        <w:rPr>
          <w:rFonts w:asciiTheme="majorHAnsi" w:hAnsiTheme="majorHAnsi"/>
          <w:bCs/>
          <w:sz w:val="20"/>
          <w:szCs w:val="20"/>
          <w:lang w:val="es-ES"/>
        </w:rPr>
        <w:t>sin contar con seguridad y protección. Al respecto, destaca</w:t>
      </w:r>
      <w:r w:rsidR="00676649" w:rsidRPr="00E1302D">
        <w:rPr>
          <w:rFonts w:asciiTheme="majorHAnsi" w:hAnsiTheme="majorHAnsi"/>
          <w:bCs/>
          <w:sz w:val="20"/>
          <w:szCs w:val="20"/>
          <w:lang w:val="es-ES"/>
        </w:rPr>
        <w:t xml:space="preserve"> que</w:t>
      </w:r>
      <w:r w:rsidR="00CD4E89" w:rsidRPr="00E1302D">
        <w:rPr>
          <w:rFonts w:asciiTheme="majorHAnsi" w:hAnsiTheme="majorHAnsi"/>
          <w:bCs/>
          <w:sz w:val="20"/>
          <w:szCs w:val="20"/>
          <w:lang w:val="es-ES"/>
        </w:rPr>
        <w:t xml:space="preserve"> el 21 de enero de 2004 la compañía de seguros “La Previsora” calificó el asesinato como un accidente de trabajo de origen profesional</w:t>
      </w:r>
      <w:r w:rsidR="00254D9F" w:rsidRPr="00E1302D">
        <w:rPr>
          <w:rFonts w:asciiTheme="majorHAnsi" w:hAnsiTheme="majorHAnsi"/>
          <w:bCs/>
          <w:sz w:val="20"/>
          <w:szCs w:val="20"/>
          <w:lang w:val="es-ES"/>
        </w:rPr>
        <w:t>, y, por ende, a</w:t>
      </w:r>
      <w:r w:rsidR="00CD4E89" w:rsidRPr="00E1302D">
        <w:rPr>
          <w:rFonts w:asciiTheme="majorHAnsi" w:hAnsiTheme="majorHAnsi"/>
          <w:bCs/>
          <w:sz w:val="20"/>
          <w:szCs w:val="20"/>
          <w:lang w:val="es-ES"/>
        </w:rPr>
        <w:t xml:space="preserve"> juicio de la parte peticionaria, </w:t>
      </w:r>
      <w:r w:rsidR="00254D9F" w:rsidRPr="00E1302D">
        <w:rPr>
          <w:rFonts w:asciiTheme="majorHAnsi" w:hAnsiTheme="majorHAnsi"/>
          <w:bCs/>
          <w:sz w:val="20"/>
          <w:szCs w:val="20"/>
          <w:lang w:val="es-ES"/>
        </w:rPr>
        <w:t xml:space="preserve">queda demostrado que </w:t>
      </w:r>
      <w:r w:rsidR="00CD4E89" w:rsidRPr="00E1302D">
        <w:rPr>
          <w:rFonts w:asciiTheme="majorHAnsi" w:hAnsiTheme="majorHAnsi"/>
          <w:bCs/>
          <w:sz w:val="20"/>
          <w:szCs w:val="20"/>
          <w:lang w:val="es-ES"/>
        </w:rPr>
        <w:t>la responsabilidad de lo ocurrido recae</w:t>
      </w:r>
      <w:r w:rsidR="00074CC4" w:rsidRPr="00E1302D">
        <w:rPr>
          <w:rFonts w:asciiTheme="majorHAnsi" w:hAnsiTheme="majorHAnsi"/>
          <w:bCs/>
          <w:sz w:val="20"/>
          <w:szCs w:val="20"/>
          <w:lang w:val="es-ES"/>
        </w:rPr>
        <w:t xml:space="preserve"> sobre </w:t>
      </w:r>
      <w:r w:rsidRPr="00E1302D">
        <w:rPr>
          <w:rFonts w:asciiTheme="majorHAnsi" w:hAnsiTheme="majorHAnsi"/>
          <w:bCs/>
          <w:sz w:val="20"/>
          <w:szCs w:val="20"/>
          <w:lang w:val="es-ES"/>
        </w:rPr>
        <w:t xml:space="preserve">el </w:t>
      </w:r>
      <w:r w:rsidR="00846373" w:rsidRPr="00E1302D">
        <w:rPr>
          <w:rFonts w:asciiTheme="majorHAnsi" w:hAnsiTheme="majorHAnsi"/>
          <w:bCs/>
          <w:sz w:val="20"/>
          <w:szCs w:val="20"/>
          <w:lang w:val="es-ES"/>
        </w:rPr>
        <w:t>Instituto Nacional Penitenciario y Carcelario</w:t>
      </w:r>
      <w:r w:rsidRPr="00E1302D">
        <w:rPr>
          <w:rFonts w:asciiTheme="majorHAnsi" w:hAnsiTheme="majorHAnsi"/>
          <w:bCs/>
          <w:sz w:val="20"/>
          <w:szCs w:val="20"/>
          <w:lang w:val="es-ES"/>
        </w:rPr>
        <w:t xml:space="preserve">, </w:t>
      </w:r>
      <w:r w:rsidR="00074CC4" w:rsidRPr="00E1302D">
        <w:rPr>
          <w:rFonts w:asciiTheme="majorHAnsi" w:hAnsiTheme="majorHAnsi"/>
          <w:bCs/>
          <w:sz w:val="20"/>
          <w:szCs w:val="20"/>
          <w:lang w:val="es-ES"/>
        </w:rPr>
        <w:t>institución para la cual trabajaba</w:t>
      </w:r>
      <w:r w:rsidR="00CD4E89" w:rsidRPr="00E1302D">
        <w:rPr>
          <w:rFonts w:asciiTheme="majorHAnsi" w:hAnsiTheme="majorHAnsi"/>
          <w:bCs/>
          <w:sz w:val="20"/>
          <w:szCs w:val="20"/>
          <w:lang w:val="es-ES"/>
        </w:rPr>
        <w:t xml:space="preserve"> la presunta víctima</w:t>
      </w:r>
      <w:r w:rsidR="00074CC4" w:rsidRPr="00E1302D">
        <w:rPr>
          <w:rFonts w:asciiTheme="majorHAnsi" w:hAnsiTheme="majorHAnsi"/>
          <w:bCs/>
          <w:sz w:val="20"/>
          <w:szCs w:val="20"/>
          <w:lang w:val="es-ES"/>
        </w:rPr>
        <w:t xml:space="preserve">. </w:t>
      </w:r>
    </w:p>
    <w:p w14:paraId="66F79EE3" w14:textId="77777777" w:rsidR="00451D92" w:rsidRPr="00E1302D" w:rsidRDefault="00254D9F" w:rsidP="00254D9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Sostiene que p</w:t>
      </w:r>
      <w:r w:rsidR="004707D1" w:rsidRPr="00E1302D">
        <w:rPr>
          <w:rFonts w:asciiTheme="majorHAnsi" w:hAnsiTheme="majorHAnsi"/>
          <w:bCs/>
          <w:sz w:val="20"/>
          <w:szCs w:val="20"/>
          <w:lang w:val="es-ES"/>
        </w:rPr>
        <w:t>or los hechos se adelantó una invest</w:t>
      </w:r>
      <w:r w:rsidR="00B37A6E" w:rsidRPr="00E1302D">
        <w:rPr>
          <w:rFonts w:asciiTheme="majorHAnsi" w:hAnsiTheme="majorHAnsi"/>
          <w:bCs/>
          <w:sz w:val="20"/>
          <w:szCs w:val="20"/>
          <w:lang w:val="es-ES"/>
        </w:rPr>
        <w:t>i</w:t>
      </w:r>
      <w:r w:rsidR="004707D1" w:rsidRPr="00E1302D">
        <w:rPr>
          <w:rFonts w:asciiTheme="majorHAnsi" w:hAnsiTheme="majorHAnsi"/>
          <w:bCs/>
          <w:sz w:val="20"/>
          <w:szCs w:val="20"/>
          <w:lang w:val="es-ES"/>
        </w:rPr>
        <w:t xml:space="preserve">gación en la Fiscalía Seccional No. 35, adscrita a la Unidad de Delitos contra la Vida, la Integridad Personal y otros de Cali, Valle del </w:t>
      </w:r>
      <w:r w:rsidR="006F59AA" w:rsidRPr="00E1302D">
        <w:rPr>
          <w:rFonts w:asciiTheme="majorHAnsi" w:hAnsiTheme="majorHAnsi"/>
          <w:bCs/>
          <w:sz w:val="20"/>
          <w:szCs w:val="20"/>
          <w:lang w:val="es-ES"/>
        </w:rPr>
        <w:t>Cauca,</w:t>
      </w:r>
      <w:r w:rsidR="00A04F4D" w:rsidRPr="00E1302D">
        <w:rPr>
          <w:rFonts w:asciiTheme="majorHAnsi" w:hAnsiTheme="majorHAnsi"/>
          <w:bCs/>
          <w:sz w:val="20"/>
          <w:szCs w:val="20"/>
          <w:lang w:val="es-ES"/>
        </w:rPr>
        <w:t xml:space="preserve"> que dictó el 30 de septiembre de 2004 </w:t>
      </w:r>
      <w:r w:rsidR="006F59AA" w:rsidRPr="00E1302D">
        <w:rPr>
          <w:rFonts w:asciiTheme="majorHAnsi" w:hAnsiTheme="majorHAnsi"/>
          <w:bCs/>
          <w:sz w:val="20"/>
          <w:szCs w:val="20"/>
          <w:lang w:val="es-ES"/>
        </w:rPr>
        <w:t>una resolución</w:t>
      </w:r>
      <w:r w:rsidR="00A04F4D" w:rsidRPr="00E1302D">
        <w:rPr>
          <w:rFonts w:asciiTheme="majorHAnsi" w:hAnsiTheme="majorHAnsi"/>
          <w:bCs/>
          <w:sz w:val="20"/>
          <w:szCs w:val="20"/>
          <w:lang w:val="es-ES"/>
        </w:rPr>
        <w:t xml:space="preserve"> inhibitoria absteniéndose de iniciar la instrucción penal</w:t>
      </w:r>
      <w:r w:rsidR="004707D1" w:rsidRPr="00E1302D">
        <w:rPr>
          <w:rFonts w:asciiTheme="majorHAnsi" w:hAnsiTheme="majorHAnsi"/>
          <w:bCs/>
          <w:sz w:val="20"/>
          <w:szCs w:val="20"/>
          <w:lang w:val="es-ES"/>
        </w:rPr>
        <w:t xml:space="preserve">. </w:t>
      </w:r>
    </w:p>
    <w:p w14:paraId="7B3151C0" w14:textId="6214B281" w:rsidR="0030086C" w:rsidRPr="00E1302D" w:rsidRDefault="00254D9F" w:rsidP="00E768B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Asimismo, e</w:t>
      </w:r>
      <w:r w:rsidR="00DD1899" w:rsidRPr="00E1302D">
        <w:rPr>
          <w:rFonts w:asciiTheme="majorHAnsi" w:hAnsiTheme="majorHAnsi"/>
          <w:bCs/>
          <w:sz w:val="20"/>
          <w:szCs w:val="20"/>
          <w:lang w:val="es-ES"/>
        </w:rPr>
        <w:t xml:space="preserve">l 10 de diciembre de 2004, </w:t>
      </w:r>
      <w:r w:rsidRPr="00E1302D">
        <w:rPr>
          <w:rFonts w:asciiTheme="majorHAnsi" w:hAnsiTheme="majorHAnsi"/>
          <w:bCs/>
          <w:sz w:val="20"/>
          <w:szCs w:val="20"/>
          <w:lang w:val="es-ES"/>
        </w:rPr>
        <w:t xml:space="preserve">los familiares de la presunta víctima </w:t>
      </w:r>
      <w:r w:rsidR="005038EF" w:rsidRPr="00E1302D">
        <w:rPr>
          <w:rFonts w:asciiTheme="majorHAnsi" w:hAnsiTheme="majorHAnsi"/>
          <w:bCs/>
          <w:sz w:val="20"/>
          <w:szCs w:val="20"/>
          <w:lang w:val="es-ES"/>
        </w:rPr>
        <w:t xml:space="preserve">presentaron </w:t>
      </w:r>
      <w:r w:rsidR="00DD1899" w:rsidRPr="00E1302D">
        <w:rPr>
          <w:rFonts w:asciiTheme="majorHAnsi" w:hAnsiTheme="majorHAnsi"/>
          <w:bCs/>
          <w:sz w:val="20"/>
          <w:szCs w:val="20"/>
          <w:lang w:val="es-ES"/>
        </w:rPr>
        <w:t>una demanda de reparación directa</w:t>
      </w:r>
      <w:r w:rsidRPr="00E1302D">
        <w:rPr>
          <w:rFonts w:asciiTheme="majorHAnsi" w:hAnsiTheme="majorHAnsi"/>
          <w:bCs/>
          <w:sz w:val="20"/>
          <w:szCs w:val="20"/>
          <w:lang w:val="es-ES"/>
        </w:rPr>
        <w:t>,</w:t>
      </w:r>
      <w:r w:rsidR="00E768B3" w:rsidRPr="00E1302D">
        <w:rPr>
          <w:rFonts w:asciiTheme="majorHAnsi" w:hAnsiTheme="majorHAnsi"/>
          <w:bCs/>
          <w:sz w:val="20"/>
          <w:szCs w:val="20"/>
          <w:lang w:val="es-ES"/>
        </w:rPr>
        <w:t xml:space="preserve"> </w:t>
      </w:r>
      <w:r w:rsidR="00F10E0C" w:rsidRPr="00E1302D">
        <w:rPr>
          <w:rFonts w:asciiTheme="majorHAnsi" w:hAnsiTheme="majorHAnsi"/>
          <w:bCs/>
          <w:sz w:val="20"/>
          <w:szCs w:val="20"/>
          <w:lang w:val="es-ES"/>
        </w:rPr>
        <w:t>aduciendo</w:t>
      </w:r>
      <w:r w:rsidR="00E768B3" w:rsidRPr="00E1302D">
        <w:rPr>
          <w:rFonts w:asciiTheme="majorHAnsi" w:hAnsiTheme="majorHAnsi"/>
          <w:bCs/>
          <w:sz w:val="20"/>
          <w:szCs w:val="20"/>
          <w:lang w:val="es-ES"/>
        </w:rPr>
        <w:t xml:space="preserve"> que a pesar de que los funcionarios de penales de alta seguridad cuentan con un régimen especial de seguridad y protección, el día de su asesinato el señor Acuña Acevedo no gozaba de ningún tipo de medidas para garantizar su integridad, a pesar de que existían amenazas contra su vida. Asimismo, indicaron que el director</w:t>
      </w:r>
      <w:r w:rsidR="0030086C" w:rsidRPr="00E1302D">
        <w:rPr>
          <w:rFonts w:asciiTheme="majorHAnsi" w:hAnsiTheme="majorHAnsi"/>
          <w:bCs/>
          <w:sz w:val="20"/>
          <w:szCs w:val="20"/>
          <w:lang w:val="es-ES"/>
        </w:rPr>
        <w:t xml:space="preserve"> del Centro Penitenciario y Carcelario de Palmira</w:t>
      </w:r>
      <w:r w:rsidR="00E768B3" w:rsidRPr="00E1302D">
        <w:rPr>
          <w:rFonts w:asciiTheme="majorHAnsi" w:hAnsiTheme="majorHAnsi"/>
          <w:bCs/>
          <w:sz w:val="20"/>
          <w:szCs w:val="20"/>
          <w:lang w:val="es-ES"/>
        </w:rPr>
        <w:t xml:space="preserve"> tenía conocimiento de esta situación</w:t>
      </w:r>
      <w:r w:rsidR="00817E53" w:rsidRPr="00E1302D">
        <w:rPr>
          <w:rFonts w:asciiTheme="majorHAnsi" w:hAnsiTheme="majorHAnsi"/>
          <w:bCs/>
          <w:sz w:val="20"/>
          <w:szCs w:val="20"/>
          <w:lang w:val="es-ES"/>
        </w:rPr>
        <w:t>,</w:t>
      </w:r>
      <w:r w:rsidR="00E768B3" w:rsidRPr="00E1302D">
        <w:rPr>
          <w:rFonts w:asciiTheme="majorHAnsi" w:hAnsiTheme="majorHAnsi"/>
          <w:bCs/>
          <w:sz w:val="20"/>
          <w:szCs w:val="20"/>
          <w:lang w:val="es-ES"/>
        </w:rPr>
        <w:t xml:space="preserve"> y a pesar de ello</w:t>
      </w:r>
      <w:r w:rsidR="00817E53" w:rsidRPr="00E1302D">
        <w:rPr>
          <w:rFonts w:asciiTheme="majorHAnsi" w:hAnsiTheme="majorHAnsi"/>
          <w:bCs/>
          <w:sz w:val="20"/>
          <w:szCs w:val="20"/>
          <w:lang w:val="es-ES"/>
        </w:rPr>
        <w:t>,</w:t>
      </w:r>
      <w:r w:rsidR="00E768B3" w:rsidRPr="00E1302D">
        <w:rPr>
          <w:rFonts w:asciiTheme="majorHAnsi" w:hAnsiTheme="majorHAnsi"/>
          <w:bCs/>
          <w:sz w:val="20"/>
          <w:szCs w:val="20"/>
          <w:lang w:val="es-ES"/>
        </w:rPr>
        <w:t xml:space="preserve"> le ordenó impartir un seminario sin un mínimo de seguridad a su favor. </w:t>
      </w:r>
    </w:p>
    <w:p w14:paraId="5ED107FE" w14:textId="7F8D8165" w:rsidR="004B20FB" w:rsidRPr="00E1302D" w:rsidRDefault="00451D92" w:rsidP="00254D9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Sin embargo,</w:t>
      </w:r>
      <w:r w:rsidR="00254D9F" w:rsidRPr="00E1302D">
        <w:rPr>
          <w:rFonts w:asciiTheme="majorHAnsi" w:hAnsiTheme="majorHAnsi"/>
          <w:bCs/>
          <w:sz w:val="20"/>
          <w:szCs w:val="20"/>
          <w:lang w:val="es-ES"/>
        </w:rPr>
        <w:t xml:space="preserve"> </w:t>
      </w:r>
      <w:r w:rsidR="00DD1899" w:rsidRPr="00E1302D">
        <w:rPr>
          <w:rFonts w:asciiTheme="majorHAnsi" w:hAnsiTheme="majorHAnsi"/>
          <w:bCs/>
          <w:sz w:val="20"/>
          <w:szCs w:val="20"/>
          <w:lang w:val="es-ES"/>
        </w:rPr>
        <w:t>el 22 de noviembre de 2011</w:t>
      </w:r>
      <w:r w:rsidR="00B4692F" w:rsidRPr="00E1302D">
        <w:rPr>
          <w:rFonts w:asciiTheme="majorHAnsi" w:hAnsiTheme="majorHAnsi"/>
          <w:bCs/>
          <w:sz w:val="20"/>
          <w:szCs w:val="20"/>
          <w:lang w:val="es-ES"/>
        </w:rPr>
        <w:t xml:space="preserve"> el Juzgado Sexto Administrativo de Descongestión de Cali</w:t>
      </w:r>
      <w:r w:rsidR="00254D9F" w:rsidRPr="00E1302D">
        <w:rPr>
          <w:rFonts w:asciiTheme="majorHAnsi" w:hAnsiTheme="majorHAnsi"/>
          <w:bCs/>
          <w:sz w:val="20"/>
          <w:szCs w:val="20"/>
          <w:lang w:val="es-ES"/>
        </w:rPr>
        <w:t xml:space="preserve"> desestimó la demanda</w:t>
      </w:r>
      <w:r w:rsidR="004B20FB" w:rsidRPr="00E1302D">
        <w:rPr>
          <w:rFonts w:asciiTheme="majorHAnsi" w:hAnsiTheme="majorHAnsi"/>
          <w:bCs/>
          <w:sz w:val="20"/>
          <w:szCs w:val="20"/>
          <w:lang w:val="es-ES"/>
        </w:rPr>
        <w:t>, bajo el siguiente argumento:</w:t>
      </w:r>
    </w:p>
    <w:p w14:paraId="0BF90C75" w14:textId="1183798D" w:rsidR="004B20FB" w:rsidRPr="00E1302D" w:rsidRDefault="004B20FB" w:rsidP="000A36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bCs/>
          <w:sz w:val="20"/>
          <w:szCs w:val="20"/>
          <w:lang w:val="es-ES"/>
        </w:rPr>
      </w:pPr>
      <w:r w:rsidRPr="00E1302D">
        <w:rPr>
          <w:rFonts w:asciiTheme="majorHAnsi" w:hAnsiTheme="majorHAnsi"/>
          <w:bCs/>
          <w:sz w:val="20"/>
          <w:szCs w:val="20"/>
          <w:lang w:val="es-ES"/>
        </w:rPr>
        <w:t xml:space="preserve">De todo lo anterior se desprende que el Mayor JORGE ENRIQUE ACUÑA ACEVEDO, en su condición de Subdirector de la Cárcel de Palmira, intentó poner en conocimiento, aunque de forma imprecisa, los hechos de corrupción que al parecer investigaba en dicho establecimiento, con ocasión de sus funciones, sin embargo no desplegó actuación alguna para proteger su vida, pues en el evento de haber recibido tales amenazas, hizo caso omiso de ellas, como éstos mismos los confirman en su escrito de la demanda. </w:t>
      </w:r>
    </w:p>
    <w:p w14:paraId="7BDABE62" w14:textId="5E741F3C" w:rsidR="004B20FB" w:rsidRPr="00E1302D" w:rsidRDefault="004B20FB" w:rsidP="000A36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bCs/>
          <w:sz w:val="20"/>
          <w:szCs w:val="20"/>
          <w:lang w:val="es-ES"/>
        </w:rPr>
      </w:pPr>
      <w:r w:rsidRPr="00E1302D">
        <w:rPr>
          <w:rFonts w:asciiTheme="majorHAnsi" w:hAnsiTheme="majorHAnsi"/>
          <w:bCs/>
          <w:sz w:val="20"/>
          <w:szCs w:val="20"/>
          <w:lang w:val="es-ES"/>
        </w:rPr>
        <w:t xml:space="preserve">Es así como, no puede atribuírsele falla por omisión de la entidad demandada, por cuanto ella no tuvo conocimiento de las medidas de seguridad y protección que al parecer requería el Mayor JORGE ENRIQUE ACUÑA ACEVEDO, en su condición de Subdirector de la Cárcel de Palmira, a fin de compulsar copias de dicha circunstancia a las autoridades de Policía o a los organismos de seguridad del Estado, para que le brindara el servicio de Escolta, ya que ésta tampoco es función del INPEC </w:t>
      </w:r>
      <w:r w:rsidR="001A39D4" w:rsidRPr="00E1302D">
        <w:rPr>
          <w:rFonts w:asciiTheme="majorHAnsi" w:hAnsiTheme="majorHAnsi"/>
          <w:bCs/>
          <w:sz w:val="20"/>
          <w:szCs w:val="20"/>
          <w:lang w:val="es-ES"/>
        </w:rPr>
        <w:t>[</w:t>
      </w:r>
      <w:r w:rsidRPr="00E1302D">
        <w:rPr>
          <w:rFonts w:asciiTheme="majorHAnsi" w:hAnsiTheme="majorHAnsi"/>
          <w:bCs/>
          <w:sz w:val="20"/>
          <w:szCs w:val="20"/>
          <w:lang w:val="es-ES"/>
        </w:rPr>
        <w:t>…</w:t>
      </w:r>
      <w:r w:rsidR="001A39D4" w:rsidRPr="00E1302D">
        <w:rPr>
          <w:rFonts w:asciiTheme="majorHAnsi" w:hAnsiTheme="majorHAnsi"/>
          <w:bCs/>
          <w:sz w:val="20"/>
          <w:szCs w:val="20"/>
          <w:lang w:val="es-ES"/>
        </w:rPr>
        <w:t>]</w:t>
      </w:r>
    </w:p>
    <w:p w14:paraId="4B72A65E" w14:textId="1880DE5C" w:rsidR="00254D9F" w:rsidRPr="00E1302D" w:rsidRDefault="00494ED4" w:rsidP="00254D9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El peticionario a</w:t>
      </w:r>
      <w:r w:rsidR="004B20FB" w:rsidRPr="00E1302D">
        <w:rPr>
          <w:rFonts w:asciiTheme="majorHAnsi" w:hAnsiTheme="majorHAnsi"/>
          <w:bCs/>
          <w:sz w:val="20"/>
          <w:szCs w:val="20"/>
          <w:lang w:val="es-ES"/>
        </w:rPr>
        <w:t>firma que e</w:t>
      </w:r>
      <w:r w:rsidR="00254D9F" w:rsidRPr="00E1302D">
        <w:rPr>
          <w:rFonts w:asciiTheme="majorHAnsi" w:hAnsiTheme="majorHAnsi"/>
          <w:bCs/>
          <w:sz w:val="20"/>
          <w:szCs w:val="20"/>
          <w:lang w:val="es-ES"/>
        </w:rPr>
        <w:t>sta decisión se notificó</w:t>
      </w:r>
      <w:r w:rsidR="00DD1899" w:rsidRPr="00E1302D">
        <w:rPr>
          <w:rFonts w:asciiTheme="majorHAnsi" w:hAnsiTheme="majorHAnsi"/>
          <w:bCs/>
          <w:sz w:val="20"/>
          <w:szCs w:val="20"/>
          <w:lang w:val="es-ES"/>
        </w:rPr>
        <w:t xml:space="preserve"> el 29 de noviembre</w:t>
      </w:r>
      <w:r w:rsidR="00254D9F" w:rsidRPr="00E1302D">
        <w:rPr>
          <w:rFonts w:asciiTheme="majorHAnsi" w:hAnsiTheme="majorHAnsi"/>
          <w:bCs/>
          <w:sz w:val="20"/>
          <w:szCs w:val="20"/>
          <w:lang w:val="es-ES"/>
        </w:rPr>
        <w:t xml:space="preserve"> de 2011</w:t>
      </w:r>
      <w:r w:rsidR="005038EF" w:rsidRPr="00E1302D">
        <w:rPr>
          <w:rFonts w:asciiTheme="majorHAnsi" w:hAnsiTheme="majorHAnsi"/>
          <w:bCs/>
          <w:sz w:val="20"/>
          <w:szCs w:val="20"/>
          <w:lang w:val="es-ES"/>
        </w:rPr>
        <w:t>.</w:t>
      </w:r>
      <w:r w:rsidR="00C80547" w:rsidRPr="00E1302D">
        <w:rPr>
          <w:rFonts w:asciiTheme="majorHAnsi" w:hAnsiTheme="majorHAnsi"/>
          <w:bCs/>
          <w:sz w:val="20"/>
          <w:szCs w:val="20"/>
          <w:lang w:val="es-ES"/>
        </w:rPr>
        <w:t xml:space="preserve"> </w:t>
      </w:r>
      <w:r w:rsidR="004B20FB" w:rsidRPr="00E1302D">
        <w:rPr>
          <w:rFonts w:asciiTheme="majorHAnsi" w:hAnsiTheme="majorHAnsi"/>
          <w:bCs/>
          <w:sz w:val="20"/>
          <w:szCs w:val="20"/>
          <w:lang w:val="es-ES"/>
        </w:rPr>
        <w:t>Finalmente, e</w:t>
      </w:r>
      <w:r w:rsidR="00254D9F" w:rsidRPr="00E1302D">
        <w:rPr>
          <w:rFonts w:asciiTheme="majorHAnsi" w:hAnsiTheme="majorHAnsi"/>
          <w:bCs/>
          <w:sz w:val="20"/>
          <w:szCs w:val="20"/>
          <w:lang w:val="es-ES"/>
        </w:rPr>
        <w:t>n razón a lo ocurrido, el peticionario solicita que se indemnice a la esposa e hijos del señor Acuña Acevedo por los daños morales y materiales causados por los hechos.</w:t>
      </w:r>
    </w:p>
    <w:p w14:paraId="589037B2" w14:textId="77777777" w:rsidR="00063B1C" w:rsidRDefault="00063B1C" w:rsidP="00AE736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
        </w:rPr>
      </w:pPr>
    </w:p>
    <w:p w14:paraId="69B5B271" w14:textId="5FB5B290" w:rsidR="00AE736B" w:rsidRPr="00E1302D" w:rsidRDefault="00AE736B" w:rsidP="00AE736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
        </w:rPr>
      </w:pPr>
      <w:r w:rsidRPr="00E1302D">
        <w:rPr>
          <w:rFonts w:asciiTheme="majorHAnsi" w:hAnsiTheme="majorHAnsi"/>
          <w:bCs/>
          <w:i/>
          <w:iCs/>
          <w:sz w:val="20"/>
          <w:szCs w:val="20"/>
          <w:lang w:val="es-ES"/>
        </w:rPr>
        <w:lastRenderedPageBreak/>
        <w:t>Alegatos del Estado</w:t>
      </w:r>
    </w:p>
    <w:p w14:paraId="47FEE0A7" w14:textId="034F41D3" w:rsidR="00254D9F" w:rsidRPr="00E1302D" w:rsidRDefault="00254D9F" w:rsidP="00AE736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De manera preliminar, e</w:t>
      </w:r>
      <w:r w:rsidR="00970300" w:rsidRPr="00E1302D">
        <w:rPr>
          <w:rFonts w:asciiTheme="majorHAnsi" w:hAnsiTheme="majorHAnsi"/>
          <w:bCs/>
          <w:sz w:val="20"/>
          <w:szCs w:val="20"/>
          <w:lang w:val="es-ES"/>
        </w:rPr>
        <w:t xml:space="preserve">l Estado </w:t>
      </w:r>
      <w:r w:rsidRPr="00E1302D">
        <w:rPr>
          <w:rFonts w:asciiTheme="majorHAnsi" w:hAnsiTheme="majorHAnsi"/>
          <w:bCs/>
          <w:sz w:val="20"/>
          <w:szCs w:val="20"/>
          <w:lang w:val="es-ES"/>
        </w:rPr>
        <w:t>replica</w:t>
      </w:r>
      <w:r w:rsidR="00862186" w:rsidRPr="00E1302D">
        <w:rPr>
          <w:rFonts w:asciiTheme="majorHAnsi" w:hAnsiTheme="majorHAnsi"/>
          <w:bCs/>
          <w:sz w:val="20"/>
          <w:szCs w:val="20"/>
          <w:lang w:val="es-ES"/>
        </w:rPr>
        <w:t xml:space="preserve"> </w:t>
      </w:r>
      <w:r w:rsidR="00970300" w:rsidRPr="00E1302D">
        <w:rPr>
          <w:rFonts w:asciiTheme="majorHAnsi" w:hAnsiTheme="majorHAnsi"/>
          <w:bCs/>
          <w:sz w:val="20"/>
          <w:szCs w:val="20"/>
          <w:lang w:val="es-ES"/>
        </w:rPr>
        <w:t xml:space="preserve">que </w:t>
      </w:r>
      <w:r w:rsidR="00862186" w:rsidRPr="00E1302D">
        <w:rPr>
          <w:rFonts w:asciiTheme="majorHAnsi" w:hAnsiTheme="majorHAnsi"/>
          <w:bCs/>
          <w:sz w:val="20"/>
          <w:szCs w:val="20"/>
          <w:lang w:val="es-ES"/>
        </w:rPr>
        <w:t xml:space="preserve">la Comisión no tiene competencia </w:t>
      </w:r>
      <w:r w:rsidR="00C53920" w:rsidRPr="00E1302D">
        <w:rPr>
          <w:rFonts w:asciiTheme="majorHAnsi" w:hAnsiTheme="majorHAnsi"/>
          <w:bCs/>
          <w:i/>
          <w:iCs/>
          <w:sz w:val="20"/>
          <w:szCs w:val="20"/>
          <w:lang w:val="es-ES"/>
        </w:rPr>
        <w:t>ratione materiae</w:t>
      </w:r>
      <w:r w:rsidR="00862186" w:rsidRPr="00E1302D">
        <w:rPr>
          <w:rFonts w:asciiTheme="majorHAnsi" w:hAnsiTheme="majorHAnsi"/>
          <w:bCs/>
          <w:sz w:val="20"/>
          <w:szCs w:val="20"/>
          <w:lang w:val="es-ES"/>
        </w:rPr>
        <w:t>, porque los alegatos están fundados en el Pacto Internacional de Derechos Civiles y Políticos</w:t>
      </w:r>
      <w:r w:rsidR="00801E2B" w:rsidRPr="00E1302D">
        <w:rPr>
          <w:rFonts w:asciiTheme="majorHAnsi" w:hAnsiTheme="majorHAnsi"/>
          <w:bCs/>
          <w:sz w:val="20"/>
          <w:szCs w:val="20"/>
          <w:lang w:val="es-ES"/>
        </w:rPr>
        <w:t xml:space="preserve"> y no en los tratados</w:t>
      </w:r>
      <w:r w:rsidRPr="00E1302D">
        <w:rPr>
          <w:rFonts w:asciiTheme="majorHAnsi" w:hAnsiTheme="majorHAnsi"/>
          <w:bCs/>
          <w:sz w:val="20"/>
          <w:szCs w:val="20"/>
          <w:lang w:val="es-ES"/>
        </w:rPr>
        <w:t xml:space="preserve"> del</w:t>
      </w:r>
      <w:r w:rsidR="00801E2B" w:rsidRPr="00E1302D">
        <w:rPr>
          <w:rFonts w:asciiTheme="majorHAnsi" w:hAnsiTheme="majorHAnsi"/>
          <w:bCs/>
          <w:sz w:val="20"/>
          <w:szCs w:val="20"/>
          <w:lang w:val="es-ES"/>
        </w:rPr>
        <w:t xml:space="preserve"> Sistema Interamericano de Derechos Humanos</w:t>
      </w:r>
      <w:r w:rsidR="00044C28" w:rsidRPr="00E1302D">
        <w:rPr>
          <w:rFonts w:asciiTheme="majorHAnsi" w:hAnsiTheme="majorHAnsi"/>
          <w:bCs/>
          <w:sz w:val="20"/>
          <w:szCs w:val="20"/>
          <w:lang w:val="es-ES"/>
        </w:rPr>
        <w:t xml:space="preserve">. </w:t>
      </w:r>
    </w:p>
    <w:p w14:paraId="4469DBA6" w14:textId="77777777" w:rsidR="00A73855" w:rsidRPr="00E1302D" w:rsidRDefault="006F59AA" w:rsidP="00577F9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Además,</w:t>
      </w:r>
      <w:r w:rsidR="00963610" w:rsidRPr="00E1302D">
        <w:rPr>
          <w:rFonts w:asciiTheme="majorHAnsi" w:hAnsiTheme="majorHAnsi"/>
          <w:bCs/>
          <w:sz w:val="20"/>
          <w:szCs w:val="20"/>
          <w:lang w:val="es-ES"/>
        </w:rPr>
        <w:t xml:space="preserve"> sostiene que la petición es inadmisible porque las alegaciones </w:t>
      </w:r>
      <w:r w:rsidR="00A73855" w:rsidRPr="00E1302D">
        <w:rPr>
          <w:rFonts w:asciiTheme="majorHAnsi" w:hAnsiTheme="majorHAnsi"/>
          <w:bCs/>
          <w:sz w:val="20"/>
          <w:szCs w:val="20"/>
          <w:lang w:val="es-ES"/>
        </w:rPr>
        <w:t>no caracterizan violaciones de derechos humanos que le sean atribuibles. Al respecto,</w:t>
      </w:r>
      <w:r w:rsidR="00577F9D" w:rsidRPr="00E1302D">
        <w:rPr>
          <w:rFonts w:asciiTheme="majorHAnsi" w:hAnsiTheme="majorHAnsi"/>
          <w:bCs/>
          <w:sz w:val="20"/>
          <w:szCs w:val="20"/>
          <w:lang w:val="es-ES"/>
        </w:rPr>
        <w:t xml:space="preserve"> sostiene que una petición es manifiestamente infundada cuando: i) no existen elementos suficientes que permitan concluir, </w:t>
      </w:r>
      <w:r w:rsidR="00577F9D" w:rsidRPr="00E1302D">
        <w:rPr>
          <w:rFonts w:asciiTheme="majorHAnsi" w:hAnsiTheme="majorHAnsi"/>
          <w:bCs/>
          <w:i/>
          <w:iCs/>
          <w:sz w:val="20"/>
          <w:szCs w:val="20"/>
          <w:lang w:val="es-ES"/>
        </w:rPr>
        <w:t>prima facie</w:t>
      </w:r>
      <w:r w:rsidR="00577F9D" w:rsidRPr="00E1302D">
        <w:rPr>
          <w:rFonts w:asciiTheme="majorHAnsi" w:hAnsiTheme="majorHAnsi"/>
          <w:bCs/>
          <w:sz w:val="20"/>
          <w:szCs w:val="20"/>
          <w:lang w:val="es-ES"/>
        </w:rPr>
        <w:t xml:space="preserve">, que existe posiblemente una violación; o ii) cuando los argumentos que presentan los peticionarios no están debidamente sustanciados. Además, indica que la Corte </w:t>
      </w:r>
      <w:r w:rsidR="00A73855" w:rsidRPr="00E1302D">
        <w:rPr>
          <w:rFonts w:asciiTheme="majorHAnsi" w:hAnsiTheme="majorHAnsi"/>
          <w:bCs/>
          <w:sz w:val="20"/>
          <w:szCs w:val="20"/>
          <w:lang w:val="es-ES"/>
        </w:rPr>
        <w:t>Interamericana de Derechos Humanos</w:t>
      </w:r>
      <w:r w:rsidR="00577F9D" w:rsidRPr="00E1302D">
        <w:rPr>
          <w:rFonts w:asciiTheme="majorHAnsi" w:hAnsiTheme="majorHAnsi"/>
          <w:bCs/>
          <w:sz w:val="20"/>
          <w:szCs w:val="20"/>
          <w:lang w:val="es-ES"/>
        </w:rPr>
        <w:t xml:space="preserve"> ha señalado que, de conformidad con el derecho internacional público, una conducta es atribuible al Estado si: i) fue llevada a cabo por alguno de sus órganos o de sus agentes; o ii) fue realizada por un particular que actuó con su aquiescencia</w:t>
      </w:r>
      <w:r w:rsidR="00A73855" w:rsidRPr="00E1302D">
        <w:rPr>
          <w:rFonts w:asciiTheme="majorHAnsi" w:hAnsiTheme="majorHAnsi"/>
          <w:bCs/>
          <w:sz w:val="20"/>
          <w:szCs w:val="20"/>
          <w:lang w:val="es-ES"/>
        </w:rPr>
        <w:t>. Así, s</w:t>
      </w:r>
      <w:r w:rsidR="00577F9D" w:rsidRPr="00E1302D">
        <w:rPr>
          <w:rFonts w:asciiTheme="majorHAnsi" w:hAnsiTheme="majorHAnsi"/>
          <w:bCs/>
          <w:sz w:val="20"/>
          <w:szCs w:val="20"/>
          <w:lang w:val="es-ES"/>
        </w:rPr>
        <w:t xml:space="preserve">i existiere la ausencia de estos elementos, se determinará la inadmisibilidad en los términos del artículo 47.c) de la Convención Americana. </w:t>
      </w:r>
    </w:p>
    <w:p w14:paraId="31A565EF" w14:textId="4163A3C8" w:rsidR="00AE736B" w:rsidRPr="00E1302D" w:rsidRDefault="00577F9D" w:rsidP="00A7385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 xml:space="preserve">En el presente caso, argumenta </w:t>
      </w:r>
      <w:r w:rsidR="00FB3255" w:rsidRPr="00E1302D">
        <w:rPr>
          <w:rFonts w:asciiTheme="majorHAnsi" w:hAnsiTheme="majorHAnsi"/>
          <w:bCs/>
          <w:sz w:val="20"/>
          <w:szCs w:val="20"/>
          <w:lang w:val="es-ES"/>
        </w:rPr>
        <w:t xml:space="preserve">que </w:t>
      </w:r>
      <w:r w:rsidR="00CB5532" w:rsidRPr="00E1302D">
        <w:rPr>
          <w:rFonts w:asciiTheme="majorHAnsi" w:hAnsiTheme="majorHAnsi"/>
          <w:bCs/>
          <w:sz w:val="20"/>
          <w:szCs w:val="20"/>
          <w:lang w:val="es-ES"/>
        </w:rPr>
        <w:t xml:space="preserve">no existen fundamentos para concluir que agentes estatales participaron en los hechos, ni que </w:t>
      </w:r>
      <w:r w:rsidR="00D77D4A" w:rsidRPr="00E1302D">
        <w:rPr>
          <w:rFonts w:asciiTheme="majorHAnsi" w:hAnsiTheme="majorHAnsi"/>
          <w:bCs/>
          <w:sz w:val="20"/>
          <w:szCs w:val="20"/>
          <w:lang w:val="es-ES"/>
        </w:rPr>
        <w:t xml:space="preserve">hubo falta de diligencia para prevenir </w:t>
      </w:r>
      <w:r w:rsidRPr="00E1302D">
        <w:rPr>
          <w:rFonts w:asciiTheme="majorHAnsi" w:hAnsiTheme="majorHAnsi"/>
          <w:bCs/>
          <w:sz w:val="20"/>
          <w:szCs w:val="20"/>
          <w:lang w:val="es-ES"/>
        </w:rPr>
        <w:t>el asesinato</w:t>
      </w:r>
      <w:r w:rsidR="00D77D4A" w:rsidRPr="00E1302D">
        <w:rPr>
          <w:rFonts w:asciiTheme="majorHAnsi" w:hAnsiTheme="majorHAnsi"/>
          <w:bCs/>
          <w:sz w:val="20"/>
          <w:szCs w:val="20"/>
          <w:lang w:val="es-ES"/>
        </w:rPr>
        <w:t xml:space="preserve">. </w:t>
      </w:r>
      <w:r w:rsidRPr="00E1302D">
        <w:rPr>
          <w:rFonts w:asciiTheme="majorHAnsi" w:hAnsiTheme="majorHAnsi"/>
          <w:bCs/>
          <w:sz w:val="20"/>
          <w:szCs w:val="20"/>
          <w:lang w:val="es-ES"/>
        </w:rPr>
        <w:t xml:space="preserve">Además, </w:t>
      </w:r>
      <w:r w:rsidR="00F852B3" w:rsidRPr="00E1302D">
        <w:rPr>
          <w:rFonts w:asciiTheme="majorHAnsi" w:hAnsiTheme="majorHAnsi"/>
          <w:bCs/>
          <w:sz w:val="20"/>
          <w:szCs w:val="20"/>
          <w:lang w:val="es-ES"/>
        </w:rPr>
        <w:t>sostiene que no existe registr</w:t>
      </w:r>
      <w:r w:rsidR="00DA7DE4" w:rsidRPr="00E1302D">
        <w:rPr>
          <w:rFonts w:asciiTheme="majorHAnsi" w:hAnsiTheme="majorHAnsi"/>
          <w:bCs/>
          <w:sz w:val="20"/>
          <w:szCs w:val="20"/>
          <w:lang w:val="es-ES"/>
        </w:rPr>
        <w:t xml:space="preserve">o en el Sistema de Información de la Fiscalía General de la Nación </w:t>
      </w:r>
      <w:r w:rsidRPr="00E1302D">
        <w:rPr>
          <w:rFonts w:asciiTheme="majorHAnsi" w:hAnsiTheme="majorHAnsi"/>
          <w:bCs/>
          <w:sz w:val="20"/>
          <w:szCs w:val="20"/>
          <w:lang w:val="es-ES"/>
        </w:rPr>
        <w:t>que acredite que el señor Acuña Acevedo presentó alguna denuncia por el delito de amenazas u otro delito, a efectos que se ordenen medidas de protección en su favor. Por el contrario, resalta que</w:t>
      </w:r>
      <w:r w:rsidR="00DA7DE4" w:rsidRPr="00E1302D">
        <w:rPr>
          <w:rFonts w:asciiTheme="majorHAnsi" w:hAnsiTheme="majorHAnsi"/>
          <w:bCs/>
          <w:sz w:val="20"/>
          <w:szCs w:val="20"/>
          <w:lang w:val="es-ES"/>
        </w:rPr>
        <w:t xml:space="preserve"> </w:t>
      </w:r>
      <w:r w:rsidR="00846373" w:rsidRPr="00E1302D">
        <w:rPr>
          <w:rFonts w:asciiTheme="majorHAnsi" w:hAnsiTheme="majorHAnsi"/>
          <w:bCs/>
          <w:sz w:val="20"/>
          <w:szCs w:val="20"/>
          <w:lang w:val="es-ES"/>
        </w:rPr>
        <w:t>las denuncias presentadas</w:t>
      </w:r>
      <w:r w:rsidR="00DA7DE4" w:rsidRPr="00E1302D">
        <w:rPr>
          <w:rFonts w:asciiTheme="majorHAnsi" w:hAnsiTheme="majorHAnsi"/>
          <w:bCs/>
          <w:sz w:val="20"/>
          <w:szCs w:val="20"/>
          <w:lang w:val="es-ES"/>
        </w:rPr>
        <w:t xml:space="preserve"> por la propia presunta víctima ante la Presidencia de la República y el Consejo Superior de la Judicatura por presuntos hechos de corrupción en su institución y presuntas amenazas en su </w:t>
      </w:r>
      <w:r w:rsidR="00A73855" w:rsidRPr="00E1302D">
        <w:rPr>
          <w:rFonts w:asciiTheme="majorHAnsi" w:hAnsiTheme="majorHAnsi"/>
          <w:bCs/>
          <w:sz w:val="20"/>
          <w:szCs w:val="20"/>
          <w:lang w:val="es-ES"/>
        </w:rPr>
        <w:t>contra</w:t>
      </w:r>
      <w:r w:rsidR="00DA7DE4" w:rsidRPr="00E1302D">
        <w:rPr>
          <w:rFonts w:asciiTheme="majorHAnsi" w:hAnsiTheme="majorHAnsi"/>
          <w:bCs/>
          <w:sz w:val="20"/>
          <w:szCs w:val="20"/>
          <w:lang w:val="es-ES"/>
        </w:rPr>
        <w:t xml:space="preserve"> recién fueron conocidas por las citadas entidades con posterioridad a su muerte. </w:t>
      </w:r>
      <w:r w:rsidRPr="00E1302D">
        <w:rPr>
          <w:rFonts w:asciiTheme="majorHAnsi" w:hAnsiTheme="majorHAnsi"/>
          <w:bCs/>
          <w:sz w:val="20"/>
          <w:szCs w:val="20"/>
          <w:lang w:val="es-ES"/>
        </w:rPr>
        <w:t>Agrega que</w:t>
      </w:r>
      <w:r w:rsidR="000F579D" w:rsidRPr="00E1302D">
        <w:rPr>
          <w:rFonts w:asciiTheme="majorHAnsi" w:hAnsiTheme="majorHAnsi"/>
          <w:bCs/>
          <w:sz w:val="20"/>
          <w:szCs w:val="20"/>
          <w:lang w:val="es-ES"/>
        </w:rPr>
        <w:t xml:space="preserve"> </w:t>
      </w:r>
      <w:r w:rsidRPr="00E1302D">
        <w:rPr>
          <w:rFonts w:asciiTheme="majorHAnsi" w:hAnsiTheme="majorHAnsi"/>
          <w:bCs/>
          <w:sz w:val="20"/>
          <w:szCs w:val="20"/>
          <w:lang w:val="es-ES"/>
        </w:rPr>
        <w:t>t</w:t>
      </w:r>
      <w:r w:rsidR="000F579D" w:rsidRPr="00E1302D">
        <w:rPr>
          <w:rFonts w:asciiTheme="majorHAnsi" w:hAnsiTheme="majorHAnsi"/>
          <w:bCs/>
          <w:sz w:val="20"/>
          <w:szCs w:val="20"/>
          <w:lang w:val="es-ES"/>
        </w:rPr>
        <w:t xml:space="preserve">ampoco se encontró en los archivos que reposan en el Grupo de Seguridad Penitenciaria de la Sede </w:t>
      </w:r>
      <w:r w:rsidR="00E03EEB" w:rsidRPr="00E1302D">
        <w:rPr>
          <w:rFonts w:asciiTheme="majorHAnsi" w:hAnsiTheme="majorHAnsi"/>
          <w:bCs/>
          <w:sz w:val="20"/>
          <w:szCs w:val="20"/>
          <w:lang w:val="es-ES"/>
        </w:rPr>
        <w:t>Central y la Regional Occidente</w:t>
      </w:r>
      <w:r w:rsidRPr="00E1302D">
        <w:rPr>
          <w:rFonts w:asciiTheme="majorHAnsi" w:hAnsiTheme="majorHAnsi"/>
          <w:bCs/>
          <w:sz w:val="20"/>
          <w:szCs w:val="20"/>
          <w:lang w:val="es-ES"/>
        </w:rPr>
        <w:t xml:space="preserve"> </w:t>
      </w:r>
      <w:r w:rsidR="00E03EEB" w:rsidRPr="00E1302D">
        <w:rPr>
          <w:rFonts w:asciiTheme="majorHAnsi" w:hAnsiTheme="majorHAnsi"/>
          <w:bCs/>
          <w:sz w:val="20"/>
          <w:szCs w:val="20"/>
          <w:lang w:val="es-ES"/>
        </w:rPr>
        <w:t xml:space="preserve">algún documento que le informe a la Dirección del Instituto </w:t>
      </w:r>
      <w:r w:rsidR="00DA674D" w:rsidRPr="00E1302D">
        <w:rPr>
          <w:rFonts w:asciiTheme="majorHAnsi" w:hAnsiTheme="majorHAnsi"/>
          <w:bCs/>
          <w:sz w:val="20"/>
          <w:szCs w:val="20"/>
          <w:lang w:val="es-ES"/>
        </w:rPr>
        <w:t xml:space="preserve">Penitenciario </w:t>
      </w:r>
      <w:r w:rsidR="00E03EEB" w:rsidRPr="00E1302D">
        <w:rPr>
          <w:rFonts w:asciiTheme="majorHAnsi" w:hAnsiTheme="majorHAnsi"/>
          <w:bCs/>
          <w:sz w:val="20"/>
          <w:szCs w:val="20"/>
          <w:lang w:val="es-ES"/>
        </w:rPr>
        <w:t xml:space="preserve">sobre algún riesgo que pudiera sufrir el </w:t>
      </w:r>
      <w:r w:rsidRPr="00E1302D">
        <w:rPr>
          <w:rFonts w:asciiTheme="majorHAnsi" w:hAnsiTheme="majorHAnsi"/>
          <w:bCs/>
          <w:sz w:val="20"/>
          <w:szCs w:val="20"/>
          <w:lang w:val="es-ES"/>
        </w:rPr>
        <w:t>señor</w:t>
      </w:r>
      <w:r w:rsidR="00E03EEB" w:rsidRPr="00E1302D">
        <w:rPr>
          <w:rFonts w:asciiTheme="majorHAnsi" w:hAnsiTheme="majorHAnsi"/>
          <w:bCs/>
          <w:sz w:val="20"/>
          <w:szCs w:val="20"/>
          <w:lang w:val="es-ES"/>
        </w:rPr>
        <w:t xml:space="preserve"> Acuña Acevedo.</w:t>
      </w:r>
      <w:r w:rsidR="00EA76D5" w:rsidRPr="00E1302D">
        <w:rPr>
          <w:rFonts w:asciiTheme="majorHAnsi" w:hAnsiTheme="majorHAnsi"/>
          <w:bCs/>
          <w:sz w:val="20"/>
          <w:szCs w:val="20"/>
          <w:lang w:val="es-ES"/>
        </w:rPr>
        <w:t xml:space="preserve"> </w:t>
      </w:r>
      <w:r w:rsidR="000C2610" w:rsidRPr="00E1302D">
        <w:rPr>
          <w:rFonts w:asciiTheme="majorHAnsi" w:hAnsiTheme="majorHAnsi"/>
          <w:bCs/>
          <w:sz w:val="20"/>
          <w:szCs w:val="20"/>
          <w:lang w:val="es-ES"/>
        </w:rPr>
        <w:t xml:space="preserve">Por lo tanto, </w:t>
      </w:r>
      <w:r w:rsidR="00846373" w:rsidRPr="00E1302D">
        <w:rPr>
          <w:rFonts w:asciiTheme="majorHAnsi" w:hAnsiTheme="majorHAnsi"/>
          <w:bCs/>
          <w:sz w:val="20"/>
          <w:szCs w:val="20"/>
          <w:lang w:val="es-ES"/>
        </w:rPr>
        <w:t>el Estado considera los alegatos de la parte peticionaria resulta infundados, toda vez que nunca</w:t>
      </w:r>
      <w:r w:rsidR="001E2F2D" w:rsidRPr="00E1302D">
        <w:rPr>
          <w:rFonts w:asciiTheme="majorHAnsi" w:hAnsiTheme="majorHAnsi"/>
          <w:bCs/>
          <w:sz w:val="20"/>
          <w:szCs w:val="20"/>
          <w:lang w:val="es-ES"/>
        </w:rPr>
        <w:t xml:space="preserve"> tuvo </w:t>
      </w:r>
      <w:r w:rsidR="00846373" w:rsidRPr="00E1302D">
        <w:rPr>
          <w:rFonts w:asciiTheme="majorHAnsi" w:hAnsiTheme="majorHAnsi"/>
          <w:bCs/>
          <w:sz w:val="20"/>
          <w:szCs w:val="20"/>
          <w:lang w:val="es-ES"/>
        </w:rPr>
        <w:t xml:space="preserve">la </w:t>
      </w:r>
      <w:r w:rsidR="001E2F2D" w:rsidRPr="00E1302D">
        <w:rPr>
          <w:rFonts w:asciiTheme="majorHAnsi" w:hAnsiTheme="majorHAnsi"/>
          <w:bCs/>
          <w:sz w:val="20"/>
          <w:szCs w:val="20"/>
          <w:lang w:val="es-ES"/>
        </w:rPr>
        <w:t xml:space="preserve">oportunidad de conocer a tiempo las amenazas de las que presuntamente estaba siendo víctima el </w:t>
      </w:r>
      <w:r w:rsidR="00A73855" w:rsidRPr="00E1302D">
        <w:rPr>
          <w:rFonts w:asciiTheme="majorHAnsi" w:hAnsiTheme="majorHAnsi"/>
          <w:bCs/>
          <w:sz w:val="20"/>
          <w:szCs w:val="20"/>
          <w:lang w:val="es-ES"/>
        </w:rPr>
        <w:t>señor Acuña</w:t>
      </w:r>
      <w:r w:rsidR="001E2F2D" w:rsidRPr="00E1302D">
        <w:rPr>
          <w:rFonts w:asciiTheme="majorHAnsi" w:hAnsiTheme="majorHAnsi"/>
          <w:bCs/>
          <w:sz w:val="20"/>
          <w:szCs w:val="20"/>
          <w:lang w:val="es-ES"/>
        </w:rPr>
        <w:t xml:space="preserve"> Acevedo</w:t>
      </w:r>
      <w:r w:rsidR="0042681D" w:rsidRPr="00E1302D">
        <w:rPr>
          <w:rFonts w:asciiTheme="majorHAnsi" w:hAnsiTheme="majorHAnsi"/>
          <w:bCs/>
          <w:sz w:val="20"/>
          <w:szCs w:val="20"/>
          <w:lang w:val="es-ES"/>
        </w:rPr>
        <w:t xml:space="preserve">, por lo cual no se le puede atribuir la responsabilidad de este hecho. </w:t>
      </w:r>
    </w:p>
    <w:p w14:paraId="5A1E67CD" w14:textId="77777777" w:rsidR="004C261A" w:rsidRPr="00E1302D" w:rsidRDefault="00A73855" w:rsidP="004C261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En tal sentido, el Estado plantea que se configura la “fórmula de la cuarta instancia”. Al respecto, explica</w:t>
      </w:r>
      <w:r w:rsidR="00577F9D" w:rsidRPr="00E1302D">
        <w:rPr>
          <w:rFonts w:asciiTheme="majorHAnsi" w:hAnsiTheme="majorHAnsi"/>
          <w:bCs/>
          <w:sz w:val="20"/>
          <w:szCs w:val="20"/>
          <w:lang w:val="es-ES"/>
        </w:rPr>
        <w:t xml:space="preserve"> que los órganos del Sistema Interamericano no pueden ser utilizados como una instancia de alzada, y, por lo tanto, solo podrán revisar una decisión tomada por las autoridades judiciales internas cuando el procedimiento se haya adelantado vulnerando alguno de los derechos establecidos en la Convención. En el presente caso, afirma </w:t>
      </w:r>
      <w:r w:rsidRPr="00E1302D">
        <w:rPr>
          <w:rFonts w:asciiTheme="majorHAnsi" w:hAnsiTheme="majorHAnsi"/>
          <w:bCs/>
          <w:sz w:val="20"/>
          <w:szCs w:val="20"/>
          <w:lang w:val="es-ES"/>
        </w:rPr>
        <w:t>que el</w:t>
      </w:r>
      <w:r w:rsidR="00577F9D" w:rsidRPr="00E1302D">
        <w:rPr>
          <w:rFonts w:asciiTheme="majorHAnsi" w:hAnsiTheme="majorHAnsi"/>
          <w:bCs/>
          <w:sz w:val="20"/>
          <w:szCs w:val="20"/>
          <w:lang w:val="es-ES"/>
        </w:rPr>
        <w:t xml:space="preserve"> proceso penal promovido en sede interna contó con todas las garantías procesales, ya que se realizaron las siguientes diligencias: i) declaraciones de cuatro personas; ii) inspección judicial a la oficina del señor Acuña Acevedo, donde se recogieron elementos materiales probatorios; y iii) análisis de dictámenes balísticos, necropsia y álbum fotográfico del occiso.</w:t>
      </w:r>
      <w:r w:rsidRPr="00E1302D">
        <w:rPr>
          <w:rFonts w:asciiTheme="majorHAnsi" w:hAnsiTheme="majorHAnsi"/>
          <w:bCs/>
          <w:sz w:val="20"/>
          <w:szCs w:val="20"/>
          <w:lang w:val="es-ES"/>
        </w:rPr>
        <w:t xml:space="preserve"> </w:t>
      </w:r>
      <w:r w:rsidR="00577F9D" w:rsidRPr="00E1302D">
        <w:rPr>
          <w:rFonts w:asciiTheme="majorHAnsi" w:hAnsiTheme="majorHAnsi"/>
          <w:bCs/>
          <w:sz w:val="20"/>
          <w:szCs w:val="20"/>
          <w:lang w:val="es-ES"/>
        </w:rPr>
        <w:t xml:space="preserve">Con base en estas actuaciones, el 30 de septiembre de 2004 las autoridades archivaron la investigación, dado que no obtuvieron los requisitos sustanciales </w:t>
      </w:r>
      <w:r w:rsidR="004C261A" w:rsidRPr="00E1302D">
        <w:rPr>
          <w:rFonts w:asciiTheme="majorHAnsi" w:hAnsiTheme="majorHAnsi"/>
          <w:bCs/>
          <w:sz w:val="20"/>
          <w:szCs w:val="20"/>
          <w:lang w:val="es-ES"/>
        </w:rPr>
        <w:t xml:space="preserve">para </w:t>
      </w:r>
      <w:r w:rsidR="00577F9D" w:rsidRPr="00E1302D">
        <w:rPr>
          <w:rFonts w:asciiTheme="majorHAnsi" w:hAnsiTheme="majorHAnsi"/>
          <w:bCs/>
          <w:sz w:val="20"/>
          <w:szCs w:val="20"/>
          <w:lang w:val="es-ES"/>
        </w:rPr>
        <w:t>continuar con el trámite y tampoco fue posible identificar a los autores de los hechos.</w:t>
      </w:r>
      <w:r w:rsidR="00DA7DE4" w:rsidRPr="00E1302D">
        <w:rPr>
          <w:rFonts w:asciiTheme="majorHAnsi" w:hAnsiTheme="majorHAnsi"/>
          <w:bCs/>
          <w:sz w:val="20"/>
          <w:szCs w:val="20"/>
          <w:lang w:val="es-ES"/>
        </w:rPr>
        <w:t xml:space="preserve"> Además, los familiares no se constituyeron como parte civil, por lo que la resolución inhibitoria no fue controvertida por las partes. </w:t>
      </w:r>
    </w:p>
    <w:p w14:paraId="77F72087" w14:textId="0B54CD9F" w:rsidR="00577F9D" w:rsidRPr="00E1302D" w:rsidRDefault="00DA7DE4" w:rsidP="004C261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 xml:space="preserve">En cuanto al proceso contencioso-administrativo, el Estado indica que el 22 de noviembre de 2011 el Juzgado Sexto Administrativo de Descongestión de </w:t>
      </w:r>
      <w:r w:rsidR="005D5909" w:rsidRPr="00E1302D">
        <w:rPr>
          <w:rFonts w:asciiTheme="majorHAnsi" w:hAnsiTheme="majorHAnsi"/>
          <w:bCs/>
          <w:sz w:val="20"/>
          <w:szCs w:val="20"/>
          <w:lang w:val="es-ES"/>
        </w:rPr>
        <w:t>Cali</w:t>
      </w:r>
      <w:r w:rsidRPr="00E1302D">
        <w:rPr>
          <w:rFonts w:asciiTheme="majorHAnsi" w:hAnsiTheme="majorHAnsi"/>
          <w:bCs/>
          <w:sz w:val="20"/>
          <w:szCs w:val="20"/>
          <w:lang w:val="es-ES"/>
        </w:rPr>
        <w:t xml:space="preserve"> negó las pretensiones de la demanda</w:t>
      </w:r>
      <w:r w:rsidR="00846373" w:rsidRPr="00E1302D">
        <w:rPr>
          <w:rFonts w:asciiTheme="majorHAnsi" w:hAnsiTheme="majorHAnsi"/>
          <w:bCs/>
          <w:sz w:val="20"/>
          <w:szCs w:val="20"/>
          <w:lang w:val="es-ES"/>
        </w:rPr>
        <w:t xml:space="preserve">, al considerar </w:t>
      </w:r>
      <w:r w:rsidR="004C261A" w:rsidRPr="00E1302D">
        <w:rPr>
          <w:rFonts w:asciiTheme="majorHAnsi" w:hAnsiTheme="majorHAnsi"/>
          <w:bCs/>
          <w:sz w:val="20"/>
          <w:szCs w:val="20"/>
          <w:lang w:val="es-ES"/>
        </w:rPr>
        <w:t xml:space="preserve">no solo que el Instituto Nacional Penitenciario y Carcelario no tenía el deber de proteger a la presunta víctima, sino que incluso, de haberlo tenido, no tuvo el conocimiento previo de amenazas o peligros en su contra. </w:t>
      </w:r>
      <w:r w:rsidRPr="00E1302D">
        <w:rPr>
          <w:rFonts w:asciiTheme="majorHAnsi" w:hAnsiTheme="majorHAnsi"/>
          <w:bCs/>
          <w:sz w:val="20"/>
          <w:szCs w:val="20"/>
          <w:lang w:val="es-ES"/>
        </w:rPr>
        <w:t xml:space="preserve">Resalta que de los alegatos del peticionario no es posible inferir </w:t>
      </w:r>
      <w:r w:rsidR="004C261A" w:rsidRPr="00E1302D">
        <w:rPr>
          <w:rFonts w:asciiTheme="majorHAnsi" w:hAnsiTheme="majorHAnsi"/>
          <w:bCs/>
          <w:sz w:val="20"/>
          <w:szCs w:val="20"/>
          <w:lang w:val="es-ES"/>
        </w:rPr>
        <w:t>alguna irregularidad dentro del proceso</w:t>
      </w:r>
      <w:r w:rsidRPr="00E1302D">
        <w:rPr>
          <w:rFonts w:asciiTheme="majorHAnsi" w:hAnsiTheme="majorHAnsi"/>
          <w:bCs/>
          <w:sz w:val="20"/>
          <w:szCs w:val="20"/>
          <w:lang w:val="es-ES"/>
        </w:rPr>
        <w:t>, por lo que no es evidente</w:t>
      </w:r>
      <w:r w:rsidR="004C261A" w:rsidRPr="00E1302D">
        <w:rPr>
          <w:rFonts w:asciiTheme="majorHAnsi" w:hAnsiTheme="majorHAnsi"/>
          <w:bCs/>
          <w:sz w:val="20"/>
          <w:szCs w:val="20"/>
          <w:lang w:val="es-ES"/>
        </w:rPr>
        <w:t xml:space="preserve"> que haya operado una</w:t>
      </w:r>
      <w:r w:rsidRPr="00E1302D">
        <w:rPr>
          <w:rFonts w:asciiTheme="majorHAnsi" w:hAnsiTheme="majorHAnsi"/>
          <w:bCs/>
          <w:sz w:val="20"/>
          <w:szCs w:val="20"/>
          <w:lang w:val="es-ES"/>
        </w:rPr>
        <w:t xml:space="preserve"> vulneración </w:t>
      </w:r>
      <w:r w:rsidR="004C261A" w:rsidRPr="00E1302D">
        <w:rPr>
          <w:rFonts w:asciiTheme="majorHAnsi" w:hAnsiTheme="majorHAnsi"/>
          <w:bCs/>
          <w:sz w:val="20"/>
          <w:szCs w:val="20"/>
          <w:lang w:val="es-ES"/>
        </w:rPr>
        <w:t>a</w:t>
      </w:r>
      <w:r w:rsidRPr="00E1302D">
        <w:rPr>
          <w:rFonts w:asciiTheme="majorHAnsi" w:hAnsiTheme="majorHAnsi"/>
          <w:bCs/>
          <w:sz w:val="20"/>
          <w:szCs w:val="20"/>
          <w:lang w:val="es-ES"/>
        </w:rPr>
        <w:t xml:space="preserve"> las garantías judiciales. Asimismo, destaca que las partes no presentaron ninguno de los recursos disponibles para controvertir la decisión.</w:t>
      </w:r>
    </w:p>
    <w:p w14:paraId="0C38E169" w14:textId="58C5C526" w:rsidR="00857856" w:rsidRPr="00E1302D" w:rsidRDefault="00577F9D" w:rsidP="0085785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En consecuencia, arguye</w:t>
      </w:r>
      <w:r w:rsidR="0042681D" w:rsidRPr="00E1302D">
        <w:rPr>
          <w:rFonts w:asciiTheme="majorHAnsi" w:hAnsiTheme="majorHAnsi"/>
          <w:bCs/>
          <w:sz w:val="20"/>
          <w:szCs w:val="20"/>
          <w:lang w:val="es-ES"/>
        </w:rPr>
        <w:t xml:space="preserve"> que ya existen decisiones en materia penal y de responsabilidad extracontractual de orden interno, que se encuentran debidamente motivadas</w:t>
      </w:r>
      <w:r w:rsidR="00845A84" w:rsidRPr="00E1302D">
        <w:rPr>
          <w:rFonts w:asciiTheme="majorHAnsi" w:hAnsiTheme="majorHAnsi"/>
          <w:bCs/>
          <w:sz w:val="20"/>
          <w:szCs w:val="20"/>
          <w:lang w:val="es-ES"/>
        </w:rPr>
        <w:t xml:space="preserve"> y son concordantes con las garantías convencionales</w:t>
      </w:r>
      <w:r w:rsidR="00DA7DE4" w:rsidRPr="00E1302D">
        <w:rPr>
          <w:rFonts w:asciiTheme="majorHAnsi" w:hAnsiTheme="majorHAnsi"/>
          <w:bCs/>
          <w:sz w:val="20"/>
          <w:szCs w:val="20"/>
          <w:lang w:val="es-ES"/>
        </w:rPr>
        <w:t>.</w:t>
      </w:r>
      <w:r w:rsidRPr="00E1302D">
        <w:rPr>
          <w:rFonts w:asciiTheme="majorHAnsi" w:hAnsiTheme="majorHAnsi"/>
          <w:bCs/>
          <w:sz w:val="20"/>
          <w:szCs w:val="20"/>
          <w:lang w:val="es-ES"/>
        </w:rPr>
        <w:t xml:space="preserve"> </w:t>
      </w:r>
      <w:r w:rsidR="00DA7DE4" w:rsidRPr="00E1302D">
        <w:rPr>
          <w:rFonts w:asciiTheme="majorHAnsi" w:hAnsiTheme="majorHAnsi"/>
          <w:bCs/>
          <w:sz w:val="20"/>
          <w:szCs w:val="20"/>
          <w:lang w:val="es-ES"/>
        </w:rPr>
        <w:t>Por ello, el Estado concluye que</w:t>
      </w:r>
      <w:r w:rsidR="001B6A7A" w:rsidRPr="00E1302D">
        <w:rPr>
          <w:rFonts w:asciiTheme="majorHAnsi" w:hAnsiTheme="majorHAnsi"/>
          <w:bCs/>
          <w:sz w:val="20"/>
          <w:szCs w:val="20"/>
          <w:lang w:val="es-ES"/>
        </w:rPr>
        <w:t>que l</w:t>
      </w:r>
      <w:r w:rsidR="00E44081" w:rsidRPr="00E1302D">
        <w:rPr>
          <w:rFonts w:asciiTheme="majorHAnsi" w:hAnsiTheme="majorHAnsi"/>
          <w:bCs/>
          <w:sz w:val="20"/>
          <w:szCs w:val="20"/>
          <w:lang w:val="es-ES"/>
        </w:rPr>
        <w:t xml:space="preserve">a Comisión no </w:t>
      </w:r>
      <w:r w:rsidR="005D5909" w:rsidRPr="00E1302D">
        <w:rPr>
          <w:rFonts w:asciiTheme="majorHAnsi" w:hAnsiTheme="majorHAnsi"/>
          <w:bCs/>
          <w:sz w:val="20"/>
          <w:szCs w:val="20"/>
          <w:lang w:val="es-ES"/>
        </w:rPr>
        <w:t>está</w:t>
      </w:r>
      <w:r w:rsidR="00E44081" w:rsidRPr="00E1302D">
        <w:rPr>
          <w:rFonts w:asciiTheme="majorHAnsi" w:hAnsiTheme="majorHAnsi"/>
          <w:bCs/>
          <w:sz w:val="20"/>
          <w:szCs w:val="20"/>
          <w:lang w:val="es-ES"/>
        </w:rPr>
        <w:t xml:space="preserve"> facultada</w:t>
      </w:r>
      <w:r w:rsidR="001A2881" w:rsidRPr="00E1302D">
        <w:rPr>
          <w:rFonts w:asciiTheme="majorHAnsi" w:hAnsiTheme="majorHAnsi"/>
          <w:bCs/>
          <w:sz w:val="20"/>
          <w:szCs w:val="20"/>
          <w:lang w:val="es-ES"/>
        </w:rPr>
        <w:t xml:space="preserve"> para entrar a revisar </w:t>
      </w:r>
      <w:r w:rsidR="00DA7DE4" w:rsidRPr="00E1302D">
        <w:rPr>
          <w:rFonts w:asciiTheme="majorHAnsi" w:hAnsiTheme="majorHAnsi"/>
          <w:bCs/>
          <w:sz w:val="20"/>
          <w:szCs w:val="20"/>
          <w:lang w:val="es-ES"/>
        </w:rPr>
        <w:t>ninguno de los procesos promovidos a nivel internacional</w:t>
      </w:r>
      <w:r w:rsidR="001A2881" w:rsidRPr="00E1302D">
        <w:rPr>
          <w:rFonts w:asciiTheme="majorHAnsi" w:hAnsiTheme="majorHAnsi"/>
          <w:bCs/>
          <w:sz w:val="20"/>
          <w:szCs w:val="20"/>
          <w:lang w:val="es-ES"/>
        </w:rPr>
        <w:t xml:space="preserve">, pues no </w:t>
      </w:r>
      <w:r w:rsidR="00DA7DE4" w:rsidRPr="00E1302D">
        <w:rPr>
          <w:rFonts w:asciiTheme="majorHAnsi" w:hAnsiTheme="majorHAnsi"/>
          <w:bCs/>
          <w:sz w:val="20"/>
          <w:szCs w:val="20"/>
          <w:lang w:val="es-ES"/>
        </w:rPr>
        <w:t xml:space="preserve">la parte peticionaria no logró </w:t>
      </w:r>
      <w:r w:rsidR="00DA7DE4" w:rsidRPr="00E1302D">
        <w:rPr>
          <w:rFonts w:asciiTheme="majorHAnsi" w:hAnsiTheme="majorHAnsi"/>
          <w:bCs/>
          <w:sz w:val="20"/>
          <w:szCs w:val="20"/>
          <w:lang w:val="es-ES"/>
        </w:rPr>
        <w:lastRenderedPageBreak/>
        <w:t>acreditar alguna</w:t>
      </w:r>
      <w:r w:rsidR="001A2881" w:rsidRPr="00E1302D">
        <w:rPr>
          <w:rFonts w:asciiTheme="majorHAnsi" w:hAnsiTheme="majorHAnsi"/>
          <w:bCs/>
          <w:sz w:val="20"/>
          <w:szCs w:val="20"/>
          <w:lang w:val="es-ES"/>
        </w:rPr>
        <w:t xml:space="preserve"> vulneración a la protección y garantías judiciales de</w:t>
      </w:r>
      <w:r w:rsidR="00DA7DE4" w:rsidRPr="00E1302D">
        <w:rPr>
          <w:rFonts w:asciiTheme="majorHAnsi" w:hAnsiTheme="majorHAnsi"/>
          <w:bCs/>
          <w:sz w:val="20"/>
          <w:szCs w:val="20"/>
          <w:lang w:val="es-ES"/>
        </w:rPr>
        <w:t xml:space="preserve"> la presunta víctima y/o sus familiares</w:t>
      </w:r>
      <w:r w:rsidR="001A2881" w:rsidRPr="00E1302D">
        <w:rPr>
          <w:rFonts w:asciiTheme="majorHAnsi" w:hAnsiTheme="majorHAnsi"/>
          <w:bCs/>
          <w:sz w:val="20"/>
          <w:szCs w:val="20"/>
          <w:lang w:val="es-ES"/>
        </w:rPr>
        <w:t xml:space="preserve">. </w:t>
      </w:r>
      <w:r w:rsidR="00AB41E5" w:rsidRPr="00E1302D">
        <w:rPr>
          <w:rFonts w:asciiTheme="majorHAnsi" w:hAnsiTheme="majorHAnsi"/>
          <w:bCs/>
          <w:sz w:val="20"/>
          <w:szCs w:val="20"/>
          <w:lang w:val="es-ES"/>
        </w:rPr>
        <w:t>Por lo tanto,</w:t>
      </w:r>
      <w:r w:rsidR="00DA7DE4" w:rsidRPr="00E1302D">
        <w:rPr>
          <w:rFonts w:asciiTheme="majorHAnsi" w:hAnsiTheme="majorHAnsi"/>
          <w:bCs/>
          <w:sz w:val="20"/>
          <w:szCs w:val="20"/>
          <w:lang w:val="es-ES"/>
        </w:rPr>
        <w:t xml:space="preserve"> solicita que</w:t>
      </w:r>
      <w:r w:rsidR="00AB41E5" w:rsidRPr="00E1302D">
        <w:rPr>
          <w:rFonts w:asciiTheme="majorHAnsi" w:hAnsiTheme="majorHAnsi"/>
          <w:bCs/>
          <w:sz w:val="20"/>
          <w:szCs w:val="20"/>
          <w:lang w:val="es-ES"/>
        </w:rPr>
        <w:t xml:space="preserve"> la petición </w:t>
      </w:r>
      <w:r w:rsidR="00DA7DE4" w:rsidRPr="00E1302D">
        <w:rPr>
          <w:rFonts w:asciiTheme="majorHAnsi" w:hAnsiTheme="majorHAnsi"/>
          <w:bCs/>
          <w:sz w:val="20"/>
          <w:szCs w:val="20"/>
          <w:lang w:val="es-ES"/>
        </w:rPr>
        <w:t xml:space="preserve">sea </w:t>
      </w:r>
      <w:r w:rsidR="00AB41E5" w:rsidRPr="00E1302D">
        <w:rPr>
          <w:rFonts w:asciiTheme="majorHAnsi" w:hAnsiTheme="majorHAnsi"/>
          <w:bCs/>
          <w:sz w:val="20"/>
          <w:szCs w:val="20"/>
          <w:lang w:val="es-ES"/>
        </w:rPr>
        <w:t>declarada inadmisible conforme</w:t>
      </w:r>
      <w:r w:rsidR="00A60788" w:rsidRPr="00E1302D">
        <w:rPr>
          <w:rFonts w:asciiTheme="majorHAnsi" w:hAnsiTheme="majorHAnsi"/>
          <w:bCs/>
          <w:sz w:val="20"/>
          <w:szCs w:val="20"/>
          <w:lang w:val="es-ES"/>
        </w:rPr>
        <w:t xml:space="preserve"> al artículo 47.b) de la Convención. </w:t>
      </w:r>
    </w:p>
    <w:p w14:paraId="21FDC9D8" w14:textId="177AC4BC" w:rsidR="00857856" w:rsidRPr="00E1302D" w:rsidRDefault="00857856" w:rsidP="00857856">
      <w:pPr>
        <w:pStyle w:val="ListParagraph"/>
        <w:spacing w:before="240" w:after="240"/>
        <w:jc w:val="both"/>
        <w:rPr>
          <w:rFonts w:asciiTheme="majorHAnsi" w:hAnsiTheme="majorHAnsi"/>
          <w:sz w:val="20"/>
          <w:szCs w:val="20"/>
          <w:lang w:val="es-ES"/>
        </w:rPr>
      </w:pPr>
      <w:r w:rsidRPr="00E1302D">
        <w:rPr>
          <w:rFonts w:asciiTheme="majorHAnsi" w:hAnsiTheme="majorHAnsi"/>
          <w:b/>
          <w:bCs/>
          <w:sz w:val="20"/>
          <w:szCs w:val="20"/>
          <w:lang w:val="es-ES"/>
        </w:rPr>
        <w:t>VI.</w:t>
      </w:r>
      <w:r w:rsidRPr="00E1302D">
        <w:rPr>
          <w:rFonts w:asciiTheme="majorHAnsi" w:hAnsiTheme="majorHAnsi"/>
          <w:b/>
          <w:bCs/>
          <w:sz w:val="20"/>
          <w:szCs w:val="20"/>
          <w:lang w:val="es-ES"/>
        </w:rPr>
        <w:tab/>
        <w:t xml:space="preserve">ANÁLISIS DE </w:t>
      </w:r>
      <w:r w:rsidRPr="00E1302D">
        <w:rPr>
          <w:rFonts w:asciiTheme="majorHAnsi" w:hAnsiTheme="majorHAnsi"/>
          <w:b/>
          <w:sz w:val="20"/>
          <w:szCs w:val="20"/>
          <w:lang w:val="es-ES"/>
        </w:rPr>
        <w:t>AGOTAMIENTO DE LOS RECURSOS INTERNOS Y PLAZO DE PRESENTACIÓN</w:t>
      </w:r>
      <w:r w:rsidRPr="00E1302D">
        <w:rPr>
          <w:rFonts w:asciiTheme="majorHAnsi" w:hAnsiTheme="majorHAnsi"/>
          <w:b/>
          <w:bCs/>
          <w:sz w:val="20"/>
          <w:szCs w:val="20"/>
          <w:lang w:val="es-ES"/>
        </w:rPr>
        <w:t xml:space="preserve"> </w:t>
      </w:r>
    </w:p>
    <w:p w14:paraId="2BED62BB" w14:textId="0651D3D9" w:rsidR="00C80547" w:rsidRPr="00E1302D" w:rsidRDefault="00C80547" w:rsidP="0085785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sz w:val="20"/>
          <w:szCs w:val="20"/>
          <w:lang w:val="es-ES"/>
        </w:rPr>
        <w:t xml:space="preserve">Conforme a los alegatos expuestos por la parte peticionaria, la Comisión considera que el objeto principal de la presente petición es cuestionar la falta de protección judicial y ausencia de reparación frente a la alegada omisión del deber de prevención del Estado sobre la presunta víctima, razón por lo cual sus alegatos sobre el agotamiento de la jurisdicción interna están centrados en el uso de la vía contenciosa administrativa. </w:t>
      </w:r>
      <w:r w:rsidR="00F06A79" w:rsidRPr="00E1302D">
        <w:rPr>
          <w:rFonts w:asciiTheme="majorHAnsi" w:hAnsiTheme="majorHAnsi"/>
          <w:sz w:val="20"/>
          <w:szCs w:val="20"/>
          <w:lang w:val="es-ES"/>
        </w:rPr>
        <w:t xml:space="preserve"> </w:t>
      </w:r>
    </w:p>
    <w:p w14:paraId="2EDDC2D7" w14:textId="5F9D8A8B" w:rsidR="004A102F" w:rsidRPr="00E1302D" w:rsidRDefault="00C80547" w:rsidP="0099672D">
      <w:pPr>
        <w:pStyle w:val="ListParagraph"/>
        <w:numPr>
          <w:ilvl w:val="0"/>
          <w:numId w:val="59"/>
        </w:numPr>
        <w:suppressAutoHyphens/>
        <w:spacing w:after="240"/>
        <w:ind w:left="0" w:firstLine="720"/>
        <w:jc w:val="both"/>
        <w:rPr>
          <w:rFonts w:asciiTheme="majorHAnsi" w:hAnsiTheme="majorHAnsi"/>
          <w:sz w:val="20"/>
          <w:szCs w:val="20"/>
          <w:lang w:val="es-ES"/>
        </w:rPr>
      </w:pPr>
      <w:r w:rsidRPr="00E1302D">
        <w:rPr>
          <w:rFonts w:asciiTheme="majorHAnsi" w:hAnsiTheme="majorHAnsi"/>
          <w:sz w:val="20"/>
          <w:szCs w:val="20"/>
          <w:lang w:val="es-ES"/>
        </w:rPr>
        <w:t xml:space="preserve">Con base en ello, la Comisión nota que ambas partes coinciden en que el citado proceso finalizó </w:t>
      </w:r>
      <w:r w:rsidRPr="00E1302D">
        <w:rPr>
          <w:rFonts w:asciiTheme="majorHAnsi" w:hAnsiTheme="majorHAnsi"/>
          <w:bCs/>
          <w:sz w:val="20"/>
          <w:szCs w:val="20"/>
          <w:lang w:val="es-ES"/>
        </w:rPr>
        <w:t>el 22 de noviembre de 2011, con el fallo emitido por el Juzgado Sexto Administrativo de Descongestión de Cal</w:t>
      </w:r>
      <w:r w:rsidR="003F3CCB" w:rsidRPr="00E1302D">
        <w:rPr>
          <w:rFonts w:asciiTheme="majorHAnsi" w:hAnsiTheme="majorHAnsi"/>
          <w:bCs/>
          <w:sz w:val="20"/>
          <w:szCs w:val="20"/>
          <w:lang w:val="es-ES"/>
        </w:rPr>
        <w:t>i</w:t>
      </w:r>
      <w:r w:rsidRPr="00E1302D">
        <w:rPr>
          <w:rFonts w:asciiTheme="majorHAnsi" w:hAnsiTheme="majorHAnsi"/>
          <w:bCs/>
          <w:sz w:val="20"/>
          <w:szCs w:val="20"/>
          <w:lang w:val="es-ES"/>
        </w:rPr>
        <w:t>. Al respecto, si bien el Estado alude de manera genérica que las presuntas víctimas “</w:t>
      </w:r>
      <w:r w:rsidRPr="00E1302D">
        <w:rPr>
          <w:rFonts w:asciiTheme="majorHAnsi" w:hAnsiTheme="majorHAnsi"/>
          <w:bCs/>
          <w:i/>
          <w:iCs/>
          <w:sz w:val="20"/>
          <w:szCs w:val="20"/>
          <w:lang w:val="es-ES"/>
        </w:rPr>
        <w:t>no presentaron ninguno de los recursos disponibles para controvertir la decisión</w:t>
      </w:r>
      <w:r w:rsidRPr="00E1302D">
        <w:rPr>
          <w:rFonts w:asciiTheme="majorHAnsi" w:hAnsiTheme="majorHAnsi"/>
          <w:bCs/>
          <w:sz w:val="20"/>
          <w:szCs w:val="20"/>
          <w:lang w:val="es-ES"/>
        </w:rPr>
        <w:t>”</w:t>
      </w:r>
      <w:r w:rsidR="00D3442D" w:rsidRPr="00E1302D">
        <w:rPr>
          <w:rFonts w:asciiTheme="majorHAnsi" w:hAnsiTheme="majorHAnsi"/>
          <w:bCs/>
          <w:sz w:val="20"/>
          <w:szCs w:val="20"/>
          <w:lang w:val="es-ES"/>
        </w:rPr>
        <w:t xml:space="preserve">, no aporta alegatos concretos o información que demuestren la existencia de un recurso adecuado y efectivo para cuestionar la referida sentencia. </w:t>
      </w:r>
      <w:r w:rsidR="004A102F" w:rsidRPr="00E1302D">
        <w:rPr>
          <w:rFonts w:asciiTheme="majorHAnsi" w:hAnsiTheme="majorHAnsi"/>
          <w:bCs/>
          <w:sz w:val="20"/>
          <w:szCs w:val="20"/>
          <w:lang w:val="es-ES"/>
        </w:rPr>
        <w:t xml:space="preserve">En este sentido, </w:t>
      </w:r>
      <w:r w:rsidR="0020083F" w:rsidRPr="00E1302D">
        <w:rPr>
          <w:rFonts w:asciiTheme="majorHAnsi" w:hAnsiTheme="majorHAnsi"/>
          <w:bCs/>
          <w:sz w:val="20"/>
          <w:szCs w:val="20"/>
          <w:lang w:val="es-ES"/>
        </w:rPr>
        <w:t>es un principio largamente establecido en el sistema interamericano que “</w:t>
      </w:r>
      <w:r w:rsidR="0020083F" w:rsidRPr="00E1302D">
        <w:rPr>
          <w:rFonts w:asciiTheme="majorHAnsi" w:hAnsiTheme="majorHAnsi"/>
          <w:bCs/>
          <w:i/>
          <w:iCs/>
          <w:sz w:val="20"/>
          <w:szCs w:val="20"/>
          <w:lang w:val="es-ES"/>
        </w:rPr>
        <w:t>el Estado que alega el no agotamiento de los</w:t>
      </w:r>
      <w:r w:rsidR="008A0C42" w:rsidRPr="00E1302D">
        <w:rPr>
          <w:rFonts w:asciiTheme="majorHAnsi" w:hAnsiTheme="majorHAnsi"/>
          <w:bCs/>
          <w:i/>
          <w:iCs/>
          <w:sz w:val="20"/>
          <w:szCs w:val="20"/>
          <w:lang w:val="es-ES"/>
        </w:rPr>
        <w:t xml:space="preserve"> tiene a su cargo el señalamiento de los recursos </w:t>
      </w:r>
      <w:r w:rsidR="00D97E14" w:rsidRPr="00E1302D">
        <w:rPr>
          <w:rFonts w:asciiTheme="majorHAnsi" w:hAnsiTheme="majorHAnsi"/>
          <w:bCs/>
          <w:i/>
          <w:iCs/>
          <w:sz w:val="20"/>
          <w:szCs w:val="20"/>
          <w:lang w:val="es-ES"/>
        </w:rPr>
        <w:t>internos que deben agotarse y de su efectividad</w:t>
      </w:r>
      <w:r w:rsidR="00D97E14" w:rsidRPr="00E1302D">
        <w:rPr>
          <w:rFonts w:asciiTheme="majorHAnsi" w:hAnsiTheme="majorHAnsi"/>
          <w:bCs/>
          <w:sz w:val="20"/>
          <w:szCs w:val="20"/>
          <w:lang w:val="es-ES"/>
        </w:rPr>
        <w:t>” (Caso Velásquez Rodríguez, excepciones Preliminares, párr. 88).</w:t>
      </w:r>
      <w:r w:rsidR="00505D30" w:rsidRPr="00E1302D">
        <w:rPr>
          <w:rFonts w:asciiTheme="majorHAnsi" w:hAnsiTheme="majorHAnsi"/>
          <w:bCs/>
          <w:sz w:val="20"/>
          <w:szCs w:val="20"/>
          <w:lang w:val="es-ES"/>
        </w:rPr>
        <w:t xml:space="preserve"> En tal sentido, toda vez que el Estado no cumplió con </w:t>
      </w:r>
      <w:r w:rsidR="00C34A22" w:rsidRPr="00E1302D">
        <w:rPr>
          <w:rFonts w:asciiTheme="majorHAnsi" w:hAnsiTheme="majorHAnsi"/>
          <w:bCs/>
          <w:sz w:val="20"/>
          <w:szCs w:val="20"/>
          <w:lang w:val="es-ES"/>
        </w:rPr>
        <w:t>esta carga</w:t>
      </w:r>
      <w:r w:rsidR="00505D30" w:rsidRPr="00E1302D">
        <w:rPr>
          <w:rFonts w:asciiTheme="majorHAnsi" w:hAnsiTheme="majorHAnsi"/>
          <w:bCs/>
          <w:sz w:val="20"/>
          <w:szCs w:val="20"/>
          <w:lang w:val="es-ES"/>
        </w:rPr>
        <w:t>, la Comisión considera que las presuntas víctimas pusieron en conocimiento de una autoridad judicial los hechos denunciados en la presente petición, brindando al Estado la oportunidad de resolver lo ocurrido en la jurisdicción nacional.</w:t>
      </w:r>
    </w:p>
    <w:p w14:paraId="161CAF62" w14:textId="162F47AF" w:rsidR="009C469D" w:rsidRPr="00E1302D" w:rsidRDefault="0099672D" w:rsidP="0099672D">
      <w:pPr>
        <w:pStyle w:val="ListParagraph"/>
        <w:numPr>
          <w:ilvl w:val="0"/>
          <w:numId w:val="59"/>
        </w:numPr>
        <w:suppressAutoHyphens/>
        <w:spacing w:after="240"/>
        <w:ind w:left="0" w:firstLine="720"/>
        <w:jc w:val="both"/>
        <w:rPr>
          <w:rFonts w:asciiTheme="majorHAnsi" w:hAnsiTheme="majorHAnsi"/>
          <w:sz w:val="20"/>
          <w:szCs w:val="20"/>
          <w:lang w:val="es-ES"/>
        </w:rPr>
      </w:pPr>
      <w:r w:rsidRPr="00E1302D">
        <w:rPr>
          <w:rFonts w:asciiTheme="majorHAnsi" w:hAnsiTheme="majorHAnsi"/>
          <w:bCs/>
          <w:sz w:val="20"/>
          <w:szCs w:val="20"/>
          <w:lang w:val="es-ES"/>
        </w:rPr>
        <w:t xml:space="preserve">En consecuencia, la Comisión considera que se puede dar por acreditado el requisito previsto en el artículo 46.1.a) de la Convención Americana. Asimismo, toda vez que el citado fallo se notificó el 29 de noviembre de 2011 y el presente reclamo se presentó el 14 de mayo de 2012, la Comisión concluye que también se cumple el requisito de plazo previsto en el artículo 46.1.b) de la Convención. </w:t>
      </w:r>
    </w:p>
    <w:p w14:paraId="0891A44B" w14:textId="181D998C" w:rsidR="00857856" w:rsidRPr="00E1302D" w:rsidRDefault="00857856" w:rsidP="00857856">
      <w:pPr>
        <w:pStyle w:val="ListParagraph"/>
        <w:numPr>
          <w:ilvl w:val="0"/>
          <w:numId w:val="59"/>
        </w:numPr>
        <w:suppressAutoHyphens/>
        <w:spacing w:after="240"/>
        <w:ind w:left="0" w:firstLine="720"/>
        <w:jc w:val="both"/>
        <w:rPr>
          <w:rFonts w:asciiTheme="majorHAnsi" w:hAnsiTheme="majorHAnsi"/>
          <w:sz w:val="18"/>
          <w:szCs w:val="18"/>
          <w:lang w:val="es-ES"/>
        </w:rPr>
      </w:pPr>
      <w:r w:rsidRPr="00E1302D">
        <w:rPr>
          <w:rFonts w:asciiTheme="majorHAnsi" w:hAnsiTheme="majorHAnsi"/>
          <w:sz w:val="20"/>
          <w:szCs w:val="20"/>
          <w:lang w:val="es-ES"/>
        </w:rPr>
        <w:t>Finalmente, en lo relativo al proceso penal, tomando en cuenta que este no forma parte del objeto principal de la petición. Sin perjuicio de ello, la Comisión resalta que las presuntas víctimas no presentan información destinada a demostrar que impugnaron la decisión de la fiscalía ni tampoco dan argumentos</w:t>
      </w:r>
      <w:r w:rsidR="00FB241F" w:rsidRPr="00E1302D">
        <w:rPr>
          <w:rFonts w:asciiTheme="majorHAnsi" w:hAnsiTheme="majorHAnsi"/>
          <w:sz w:val="20"/>
          <w:szCs w:val="20"/>
          <w:lang w:val="es-ES"/>
        </w:rPr>
        <w:t>, relativos por ejemplo a algún patrón de impunidad,</w:t>
      </w:r>
      <w:r w:rsidRPr="00E1302D">
        <w:rPr>
          <w:rFonts w:asciiTheme="majorHAnsi" w:hAnsiTheme="majorHAnsi"/>
          <w:sz w:val="20"/>
          <w:szCs w:val="20"/>
          <w:lang w:val="es-ES"/>
        </w:rPr>
        <w:t xml:space="preserve"> que permitan analizar de manera adecuada esta situación. </w:t>
      </w:r>
      <w:r w:rsidR="00D468F4" w:rsidRPr="00E1302D">
        <w:rPr>
          <w:rFonts w:asciiTheme="majorHAnsi" w:hAnsiTheme="majorHAnsi"/>
          <w:sz w:val="20"/>
          <w:szCs w:val="20"/>
          <w:lang w:val="es-ES"/>
        </w:rPr>
        <w:t>Por lo tanto</w:t>
      </w:r>
      <w:r w:rsidR="00FB241F" w:rsidRPr="00E1302D">
        <w:rPr>
          <w:rFonts w:asciiTheme="majorHAnsi" w:hAnsiTheme="majorHAnsi"/>
          <w:sz w:val="20"/>
          <w:szCs w:val="20"/>
          <w:lang w:val="es-ES"/>
        </w:rPr>
        <w:t>,</w:t>
      </w:r>
      <w:r w:rsidR="00D468F4" w:rsidRPr="00E1302D">
        <w:rPr>
          <w:rFonts w:asciiTheme="majorHAnsi" w:hAnsiTheme="majorHAnsi"/>
          <w:sz w:val="20"/>
          <w:szCs w:val="20"/>
          <w:lang w:val="es-ES"/>
        </w:rPr>
        <w:t xml:space="preserve"> este extremo queda fuera del marco fáctico del presente informe.</w:t>
      </w:r>
    </w:p>
    <w:p w14:paraId="094E7653" w14:textId="447BD774" w:rsidR="00AE736B" w:rsidRPr="00E1302D" w:rsidRDefault="00AE736B" w:rsidP="00AE736B">
      <w:pPr>
        <w:pStyle w:val="ListParagraph"/>
        <w:spacing w:before="240" w:after="240"/>
        <w:jc w:val="both"/>
        <w:rPr>
          <w:rFonts w:asciiTheme="majorHAnsi" w:hAnsiTheme="majorHAnsi"/>
          <w:b/>
          <w:sz w:val="20"/>
          <w:szCs w:val="20"/>
          <w:lang w:val="es-ES"/>
        </w:rPr>
      </w:pPr>
      <w:r w:rsidRPr="00E1302D">
        <w:rPr>
          <w:rFonts w:asciiTheme="majorHAnsi" w:hAnsiTheme="majorHAnsi"/>
          <w:b/>
          <w:bCs/>
          <w:sz w:val="20"/>
          <w:szCs w:val="20"/>
          <w:lang w:val="es-ES"/>
        </w:rPr>
        <w:t>VII.</w:t>
      </w:r>
      <w:r w:rsidRPr="00E1302D">
        <w:rPr>
          <w:rFonts w:asciiTheme="majorHAnsi" w:hAnsiTheme="majorHAnsi"/>
          <w:b/>
          <w:bCs/>
          <w:sz w:val="20"/>
          <w:szCs w:val="20"/>
          <w:lang w:val="es-ES"/>
        </w:rPr>
        <w:tab/>
        <w:t>ANÁLISIS DE CARACTERIZACIÓN DE LOS HECHOS ALEGADOS</w:t>
      </w:r>
    </w:p>
    <w:p w14:paraId="09A98047" w14:textId="5002F494" w:rsidR="009E7581" w:rsidRPr="00E1302D" w:rsidRDefault="009E7581" w:rsidP="0099672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 xml:space="preserve">En el presente asunto la Comisión Interamericana observa que el objeto fundamental de la petición tal como lo han planteado los peticionarios se refiere a la </w:t>
      </w:r>
      <w:r w:rsidR="004E0AC8" w:rsidRPr="00E1302D">
        <w:rPr>
          <w:rFonts w:asciiTheme="majorHAnsi" w:hAnsiTheme="majorHAnsi"/>
          <w:bCs/>
          <w:sz w:val="20"/>
          <w:szCs w:val="20"/>
          <w:lang w:val="es-ES"/>
        </w:rPr>
        <w:t>alegada falta de reparación (concretamente de compensación monetaria) por la muerte del Sr. Jorge En</w:t>
      </w:r>
      <w:r w:rsidR="00AF466D" w:rsidRPr="00E1302D">
        <w:rPr>
          <w:rFonts w:asciiTheme="majorHAnsi" w:hAnsiTheme="majorHAnsi"/>
          <w:bCs/>
          <w:sz w:val="20"/>
          <w:szCs w:val="20"/>
          <w:lang w:val="es-ES"/>
        </w:rPr>
        <w:t>rique Acuña Acevedo</w:t>
      </w:r>
      <w:r w:rsidR="00755B7A" w:rsidRPr="00E1302D">
        <w:rPr>
          <w:rFonts w:asciiTheme="majorHAnsi" w:hAnsiTheme="majorHAnsi"/>
          <w:bCs/>
          <w:sz w:val="20"/>
          <w:szCs w:val="20"/>
          <w:lang w:val="es-ES"/>
        </w:rPr>
        <w:t xml:space="preserve">, derivada de la supuesta falta de prevención del Estado </w:t>
      </w:r>
      <w:r w:rsidR="009E51E4" w:rsidRPr="00E1302D">
        <w:rPr>
          <w:rFonts w:asciiTheme="majorHAnsi" w:hAnsiTheme="majorHAnsi"/>
          <w:bCs/>
          <w:sz w:val="20"/>
          <w:szCs w:val="20"/>
          <w:lang w:val="es-ES"/>
        </w:rPr>
        <w:t xml:space="preserve">respecto de </w:t>
      </w:r>
      <w:r w:rsidR="00404959" w:rsidRPr="00E1302D">
        <w:rPr>
          <w:rFonts w:asciiTheme="majorHAnsi" w:hAnsiTheme="majorHAnsi"/>
          <w:bCs/>
          <w:sz w:val="20"/>
          <w:szCs w:val="20"/>
          <w:lang w:val="es-ES"/>
        </w:rPr>
        <w:t xml:space="preserve">una situación de riesgo que se concretó en su muerte. </w:t>
      </w:r>
    </w:p>
    <w:p w14:paraId="1C6DB2F3" w14:textId="01ABDC06" w:rsidR="00404959" w:rsidRPr="00E1302D" w:rsidRDefault="00404959" w:rsidP="0099672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A este respecto, lo primero que aclara la Comisión</w:t>
      </w:r>
      <w:r w:rsidR="007E2845" w:rsidRPr="00E1302D">
        <w:rPr>
          <w:rFonts w:asciiTheme="majorHAnsi" w:hAnsiTheme="majorHAnsi"/>
          <w:bCs/>
          <w:sz w:val="20"/>
          <w:szCs w:val="20"/>
          <w:lang w:val="es-ES"/>
        </w:rPr>
        <w:t xml:space="preserve"> como parte de su examen de caracterización es que no encuentra elementos concretos que le permitan establecer, al menos </w:t>
      </w:r>
      <w:r w:rsidR="007E2845" w:rsidRPr="00E1302D">
        <w:rPr>
          <w:rFonts w:asciiTheme="majorHAnsi" w:hAnsiTheme="majorHAnsi"/>
          <w:bCs/>
          <w:i/>
          <w:iCs/>
          <w:sz w:val="20"/>
          <w:szCs w:val="20"/>
          <w:lang w:val="es-ES"/>
        </w:rPr>
        <w:t>prima facie</w:t>
      </w:r>
      <w:r w:rsidR="007E2845" w:rsidRPr="00E1302D">
        <w:rPr>
          <w:rFonts w:asciiTheme="majorHAnsi" w:hAnsiTheme="majorHAnsi"/>
          <w:bCs/>
          <w:sz w:val="20"/>
          <w:szCs w:val="20"/>
          <w:lang w:val="es-ES"/>
        </w:rPr>
        <w:t xml:space="preserve">, </w:t>
      </w:r>
      <w:r w:rsidR="0071148D" w:rsidRPr="00E1302D">
        <w:rPr>
          <w:rFonts w:asciiTheme="majorHAnsi" w:hAnsiTheme="majorHAnsi"/>
          <w:bCs/>
          <w:sz w:val="20"/>
          <w:szCs w:val="20"/>
          <w:lang w:val="es-ES"/>
        </w:rPr>
        <w:t xml:space="preserve">la responsabilidad internacional del Estado </w:t>
      </w:r>
      <w:r w:rsidR="009D14CA" w:rsidRPr="00E1302D">
        <w:rPr>
          <w:rFonts w:asciiTheme="majorHAnsi" w:hAnsiTheme="majorHAnsi"/>
          <w:bCs/>
          <w:sz w:val="20"/>
          <w:szCs w:val="20"/>
          <w:lang w:val="es-ES"/>
        </w:rPr>
        <w:t>por comisión respecto de la muerte del Sr. Acuña; por lo tanto</w:t>
      </w:r>
      <w:r w:rsidR="00450532" w:rsidRPr="00E1302D">
        <w:rPr>
          <w:rFonts w:asciiTheme="majorHAnsi" w:hAnsiTheme="majorHAnsi"/>
          <w:bCs/>
          <w:sz w:val="20"/>
          <w:szCs w:val="20"/>
          <w:lang w:val="es-ES"/>
        </w:rPr>
        <w:t>,</w:t>
      </w:r>
      <w:r w:rsidR="009D14CA" w:rsidRPr="00E1302D">
        <w:rPr>
          <w:rFonts w:asciiTheme="majorHAnsi" w:hAnsiTheme="majorHAnsi"/>
          <w:bCs/>
          <w:sz w:val="20"/>
          <w:szCs w:val="20"/>
          <w:lang w:val="es-ES"/>
        </w:rPr>
        <w:t xml:space="preserve"> est</w:t>
      </w:r>
      <w:r w:rsidR="000C02E4" w:rsidRPr="00E1302D">
        <w:rPr>
          <w:rFonts w:asciiTheme="majorHAnsi" w:hAnsiTheme="majorHAnsi"/>
          <w:bCs/>
          <w:sz w:val="20"/>
          <w:szCs w:val="20"/>
          <w:lang w:val="es-ES"/>
        </w:rPr>
        <w:t xml:space="preserve">o queda excluido del marco fáctico del presente asunto. </w:t>
      </w:r>
      <w:r w:rsidR="00450532" w:rsidRPr="00E1302D">
        <w:rPr>
          <w:rFonts w:asciiTheme="majorHAnsi" w:hAnsiTheme="majorHAnsi"/>
          <w:bCs/>
          <w:sz w:val="20"/>
          <w:szCs w:val="20"/>
          <w:lang w:val="es-ES"/>
        </w:rPr>
        <w:t>Lo que la Comisión evaluará en la etapa de fondo del presente asunto es si el Estado cumplió con su deber de reparar</w:t>
      </w:r>
      <w:r w:rsidR="002445B4" w:rsidRPr="00E1302D">
        <w:rPr>
          <w:rFonts w:asciiTheme="majorHAnsi" w:hAnsiTheme="majorHAnsi"/>
          <w:bCs/>
          <w:sz w:val="20"/>
          <w:szCs w:val="20"/>
          <w:lang w:val="es-ES"/>
        </w:rPr>
        <w:t xml:space="preserve"> a los familiares del Sr. Acuña, debidamente identificados en este informe, en la medida en que se demuestre que el Estado </w:t>
      </w:r>
      <w:r w:rsidR="00FC3F53" w:rsidRPr="00E1302D">
        <w:rPr>
          <w:rFonts w:asciiTheme="majorHAnsi" w:hAnsiTheme="majorHAnsi"/>
          <w:bCs/>
          <w:sz w:val="20"/>
          <w:szCs w:val="20"/>
          <w:lang w:val="es-ES"/>
        </w:rPr>
        <w:t>sí incurrió en responsabilidad internacional por la omisión de cumplimiento de su deber de prevenir</w:t>
      </w:r>
      <w:r w:rsidR="009C65F7" w:rsidRPr="00E1302D">
        <w:rPr>
          <w:rFonts w:asciiTheme="majorHAnsi" w:hAnsiTheme="majorHAnsi"/>
          <w:bCs/>
          <w:sz w:val="20"/>
          <w:szCs w:val="20"/>
          <w:lang w:val="es-ES"/>
        </w:rPr>
        <w:t xml:space="preserve"> la muerte del Sr. Acuña. Todos los derechos protegidos en la Convención Americana tienen, por </w:t>
      </w:r>
      <w:r w:rsidR="001C7BE4" w:rsidRPr="00E1302D">
        <w:rPr>
          <w:rFonts w:asciiTheme="majorHAnsi" w:hAnsiTheme="majorHAnsi"/>
          <w:bCs/>
          <w:sz w:val="20"/>
          <w:szCs w:val="20"/>
          <w:lang w:val="es-ES"/>
        </w:rPr>
        <w:t xml:space="preserve">disposición de su artículo 1.1, dos dimensiones, la de respetar y la de garantizar, esta última se compone entre otros de los deberes de </w:t>
      </w:r>
      <w:r w:rsidR="009A6E68" w:rsidRPr="00E1302D">
        <w:rPr>
          <w:rFonts w:asciiTheme="majorHAnsi" w:hAnsiTheme="majorHAnsi"/>
          <w:bCs/>
          <w:i/>
          <w:iCs/>
          <w:sz w:val="20"/>
          <w:szCs w:val="20"/>
          <w:lang w:val="es-ES"/>
        </w:rPr>
        <w:t>prevenir</w:t>
      </w:r>
      <w:r w:rsidR="009A6E68" w:rsidRPr="00E1302D">
        <w:rPr>
          <w:rFonts w:asciiTheme="majorHAnsi" w:hAnsiTheme="majorHAnsi"/>
          <w:bCs/>
          <w:sz w:val="20"/>
          <w:szCs w:val="20"/>
          <w:lang w:val="es-ES"/>
        </w:rPr>
        <w:t xml:space="preserve"> y </w:t>
      </w:r>
      <w:r w:rsidR="009A6E68" w:rsidRPr="00E1302D">
        <w:rPr>
          <w:rFonts w:asciiTheme="majorHAnsi" w:hAnsiTheme="majorHAnsi"/>
          <w:bCs/>
          <w:i/>
          <w:iCs/>
          <w:sz w:val="20"/>
          <w:szCs w:val="20"/>
          <w:lang w:val="es-ES"/>
        </w:rPr>
        <w:t>reparar</w:t>
      </w:r>
      <w:r w:rsidR="006C0449" w:rsidRPr="00E1302D">
        <w:rPr>
          <w:rFonts w:asciiTheme="majorHAnsi" w:hAnsiTheme="majorHAnsi"/>
          <w:bCs/>
          <w:sz w:val="20"/>
          <w:szCs w:val="20"/>
          <w:lang w:val="es-ES"/>
        </w:rPr>
        <w:t xml:space="preserve">, los cuales </w:t>
      </w:r>
      <w:r w:rsidR="003D0E88" w:rsidRPr="00E1302D">
        <w:rPr>
          <w:rFonts w:asciiTheme="majorHAnsi" w:hAnsiTheme="majorHAnsi"/>
          <w:bCs/>
          <w:sz w:val="20"/>
          <w:szCs w:val="20"/>
          <w:lang w:val="es-ES"/>
        </w:rPr>
        <w:t xml:space="preserve">en un caso como este deberán analizarse a la luz del derecho a la vida (artículo 4 del tratado). </w:t>
      </w:r>
    </w:p>
    <w:p w14:paraId="27310D01" w14:textId="6775877B" w:rsidR="00AE736B" w:rsidRPr="00E1302D" w:rsidRDefault="003D0E88" w:rsidP="007E558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bCs/>
          <w:sz w:val="20"/>
          <w:szCs w:val="20"/>
          <w:lang w:val="es-ES"/>
        </w:rPr>
        <w:t xml:space="preserve">Así, la Comisión </w:t>
      </w:r>
      <w:r w:rsidR="0099672D" w:rsidRPr="00E1302D">
        <w:rPr>
          <w:rFonts w:asciiTheme="majorHAnsi" w:hAnsiTheme="majorHAnsi"/>
          <w:bCs/>
          <w:sz w:val="20"/>
          <w:szCs w:val="20"/>
          <w:lang w:val="es-ES"/>
        </w:rPr>
        <w:t xml:space="preserve">observa que la parte peticionaria aporta documentos y alegatos destinados a demostrar que tanto el Instituto Nacional Penitenciario y Carcelario como otras autoridades nacionales tenían conocimiento de la situación de riesgo en la que se encontraba la presunta víctima, debido a las funciones que </w:t>
      </w:r>
      <w:r w:rsidR="0099672D" w:rsidRPr="00E1302D">
        <w:rPr>
          <w:rFonts w:asciiTheme="majorHAnsi" w:hAnsiTheme="majorHAnsi"/>
          <w:bCs/>
          <w:sz w:val="20"/>
          <w:szCs w:val="20"/>
          <w:lang w:val="es-ES"/>
        </w:rPr>
        <w:lastRenderedPageBreak/>
        <w:t xml:space="preserve">realizaba. </w:t>
      </w:r>
      <w:r w:rsidR="00DC6961" w:rsidRPr="00E1302D">
        <w:rPr>
          <w:rFonts w:asciiTheme="majorHAnsi" w:hAnsiTheme="majorHAnsi"/>
          <w:bCs/>
          <w:sz w:val="20"/>
          <w:szCs w:val="20"/>
          <w:lang w:val="es-ES"/>
        </w:rPr>
        <w:t xml:space="preserve">El estado, por su parte, también aporta elementos de convicción válidos orientados a demostrar que </w:t>
      </w:r>
      <w:r w:rsidR="00B83DEB" w:rsidRPr="00E1302D">
        <w:rPr>
          <w:rFonts w:asciiTheme="majorHAnsi" w:hAnsiTheme="majorHAnsi"/>
          <w:bCs/>
          <w:sz w:val="20"/>
          <w:szCs w:val="20"/>
          <w:lang w:val="es-ES"/>
        </w:rPr>
        <w:t xml:space="preserve">la muerte del Sr. Acuña no le es imputable por omisión del deber de prevención. En suma, </w:t>
      </w:r>
      <w:r w:rsidR="00723DA1" w:rsidRPr="00E1302D">
        <w:rPr>
          <w:rFonts w:asciiTheme="majorHAnsi" w:hAnsiTheme="majorHAnsi"/>
          <w:bCs/>
          <w:sz w:val="20"/>
          <w:szCs w:val="20"/>
          <w:lang w:val="es-ES"/>
        </w:rPr>
        <w:t xml:space="preserve">esta es </w:t>
      </w:r>
      <w:r w:rsidR="001C279E" w:rsidRPr="00E1302D">
        <w:rPr>
          <w:rFonts w:asciiTheme="majorHAnsi" w:hAnsiTheme="majorHAnsi"/>
          <w:bCs/>
          <w:sz w:val="20"/>
          <w:szCs w:val="20"/>
          <w:lang w:val="es-ES"/>
        </w:rPr>
        <w:t xml:space="preserve">no </w:t>
      </w:r>
      <w:r w:rsidR="00723DA1" w:rsidRPr="00E1302D">
        <w:rPr>
          <w:rFonts w:asciiTheme="majorHAnsi" w:hAnsiTheme="majorHAnsi"/>
          <w:bCs/>
          <w:sz w:val="20"/>
          <w:szCs w:val="20"/>
          <w:lang w:val="es-ES"/>
        </w:rPr>
        <w:t xml:space="preserve">una cuestión que resulte </w:t>
      </w:r>
      <w:r w:rsidR="001C279E" w:rsidRPr="00E1302D">
        <w:rPr>
          <w:rFonts w:asciiTheme="majorHAnsi" w:hAnsiTheme="majorHAnsi"/>
          <w:bCs/>
          <w:sz w:val="20"/>
          <w:szCs w:val="20"/>
          <w:lang w:val="es-ES"/>
        </w:rPr>
        <w:t xml:space="preserve">manifiestamente infundada </w:t>
      </w:r>
      <w:r w:rsidR="00C20EDF" w:rsidRPr="00E1302D">
        <w:rPr>
          <w:rFonts w:asciiTheme="majorHAnsi" w:hAnsiTheme="majorHAnsi"/>
          <w:bCs/>
          <w:sz w:val="20"/>
          <w:szCs w:val="20"/>
          <w:lang w:val="es-ES"/>
        </w:rPr>
        <w:t xml:space="preserve">o improcedente </w:t>
      </w:r>
      <w:r w:rsidR="001C279E" w:rsidRPr="00E1302D">
        <w:rPr>
          <w:rFonts w:asciiTheme="majorHAnsi" w:hAnsiTheme="majorHAnsi"/>
          <w:bCs/>
          <w:sz w:val="20"/>
          <w:szCs w:val="20"/>
          <w:lang w:val="es-ES"/>
        </w:rPr>
        <w:t>de la manera como la han planteado los peticionarios,</w:t>
      </w:r>
      <w:r w:rsidR="00C20EDF" w:rsidRPr="00E1302D">
        <w:rPr>
          <w:rFonts w:asciiTheme="majorHAnsi" w:hAnsiTheme="majorHAnsi"/>
          <w:bCs/>
          <w:sz w:val="20"/>
          <w:szCs w:val="20"/>
          <w:lang w:val="es-ES"/>
        </w:rPr>
        <w:t xml:space="preserve"> sino que al contrario requiere de un examen de fondo por parte de la CIDH. </w:t>
      </w:r>
      <w:r w:rsidR="007E558A" w:rsidRPr="00E1302D">
        <w:rPr>
          <w:rFonts w:asciiTheme="majorHAnsi" w:hAnsiTheme="majorHAnsi"/>
          <w:bCs/>
          <w:sz w:val="20"/>
          <w:szCs w:val="20"/>
          <w:lang w:val="es-ES"/>
        </w:rPr>
        <w:t xml:space="preserve">Por lo que, </w:t>
      </w:r>
      <w:r w:rsidR="0099672D" w:rsidRPr="00E1302D">
        <w:rPr>
          <w:rFonts w:asciiTheme="majorHAnsi" w:hAnsiTheme="majorHAnsi"/>
          <w:sz w:val="20"/>
          <w:szCs w:val="20"/>
          <w:lang w:val="es-ES"/>
        </w:rPr>
        <w:t>de ser probados</w:t>
      </w:r>
      <w:r w:rsidR="00A87538" w:rsidRPr="00E1302D">
        <w:rPr>
          <w:rFonts w:asciiTheme="majorHAnsi" w:hAnsiTheme="majorHAnsi"/>
          <w:sz w:val="20"/>
          <w:szCs w:val="20"/>
          <w:lang w:val="es-ES"/>
        </w:rPr>
        <w:t xml:space="preserve"> los hechos alegados en la petición</w:t>
      </w:r>
      <w:r w:rsidR="0099672D" w:rsidRPr="00E1302D">
        <w:rPr>
          <w:rFonts w:asciiTheme="majorHAnsi" w:hAnsiTheme="majorHAnsi"/>
          <w:sz w:val="20"/>
          <w:szCs w:val="20"/>
          <w:lang w:val="es-ES"/>
        </w:rPr>
        <w:t xml:space="preserve">, estos </w:t>
      </w:r>
      <w:r w:rsidR="00A87538" w:rsidRPr="00E1302D">
        <w:rPr>
          <w:rFonts w:asciiTheme="majorHAnsi" w:hAnsiTheme="majorHAnsi"/>
          <w:sz w:val="20"/>
          <w:szCs w:val="20"/>
          <w:lang w:val="es-ES"/>
        </w:rPr>
        <w:t>podrían constituir</w:t>
      </w:r>
      <w:r w:rsidR="005301B5" w:rsidRPr="00E1302D">
        <w:rPr>
          <w:rFonts w:asciiTheme="majorHAnsi" w:hAnsiTheme="majorHAnsi"/>
          <w:sz w:val="20"/>
          <w:szCs w:val="20"/>
          <w:lang w:val="es-ES"/>
        </w:rPr>
        <w:t xml:space="preserve"> violaciones de los </w:t>
      </w:r>
      <w:r w:rsidR="00FF6651" w:rsidRPr="00E1302D">
        <w:rPr>
          <w:rFonts w:asciiTheme="majorHAnsi" w:hAnsiTheme="majorHAnsi"/>
          <w:sz w:val="20"/>
          <w:szCs w:val="20"/>
          <w:lang w:val="es-ES"/>
        </w:rPr>
        <w:t>artículos</w:t>
      </w:r>
      <w:r w:rsidR="005301B5" w:rsidRPr="00E1302D">
        <w:rPr>
          <w:rFonts w:asciiTheme="majorHAnsi" w:hAnsiTheme="majorHAnsi"/>
          <w:sz w:val="20"/>
          <w:szCs w:val="20"/>
          <w:lang w:val="es-ES"/>
        </w:rPr>
        <w:t xml:space="preserve"> 8 (</w:t>
      </w:r>
      <w:r w:rsidR="00FF6651" w:rsidRPr="00E1302D">
        <w:rPr>
          <w:rFonts w:asciiTheme="majorHAnsi" w:hAnsiTheme="majorHAnsi"/>
          <w:sz w:val="20"/>
          <w:szCs w:val="20"/>
          <w:lang w:val="es-ES"/>
        </w:rPr>
        <w:t>garantías</w:t>
      </w:r>
      <w:r w:rsidR="005301B5" w:rsidRPr="00E1302D">
        <w:rPr>
          <w:rFonts w:asciiTheme="majorHAnsi" w:hAnsiTheme="majorHAnsi"/>
          <w:sz w:val="20"/>
          <w:szCs w:val="20"/>
          <w:lang w:val="es-ES"/>
        </w:rPr>
        <w:t xml:space="preserve"> judiciales</w:t>
      </w:r>
      <w:r w:rsidR="00F24E86" w:rsidRPr="00E1302D">
        <w:rPr>
          <w:rFonts w:asciiTheme="majorHAnsi" w:hAnsiTheme="majorHAnsi"/>
          <w:sz w:val="20"/>
          <w:szCs w:val="20"/>
          <w:lang w:val="es-ES"/>
        </w:rPr>
        <w:t xml:space="preserve">) </w:t>
      </w:r>
      <w:r w:rsidR="005301B5" w:rsidRPr="00E1302D">
        <w:rPr>
          <w:rFonts w:asciiTheme="majorHAnsi" w:hAnsiTheme="majorHAnsi"/>
          <w:sz w:val="20"/>
          <w:szCs w:val="20"/>
          <w:lang w:val="es-ES"/>
        </w:rPr>
        <w:t>y 25 (</w:t>
      </w:r>
      <w:r w:rsidR="00FF6651" w:rsidRPr="00E1302D">
        <w:rPr>
          <w:rFonts w:asciiTheme="majorHAnsi" w:hAnsiTheme="majorHAnsi"/>
          <w:sz w:val="20"/>
          <w:szCs w:val="20"/>
          <w:lang w:val="es-ES"/>
        </w:rPr>
        <w:t>protección</w:t>
      </w:r>
      <w:r w:rsidR="005301B5" w:rsidRPr="00E1302D">
        <w:rPr>
          <w:rFonts w:asciiTheme="majorHAnsi" w:hAnsiTheme="majorHAnsi"/>
          <w:sz w:val="20"/>
          <w:szCs w:val="20"/>
          <w:lang w:val="es-ES"/>
        </w:rPr>
        <w:t xml:space="preserve"> judicial) de la </w:t>
      </w:r>
      <w:r w:rsidR="00FF6651" w:rsidRPr="00E1302D">
        <w:rPr>
          <w:rFonts w:asciiTheme="majorHAnsi" w:hAnsiTheme="majorHAnsi"/>
          <w:sz w:val="20"/>
          <w:szCs w:val="20"/>
          <w:lang w:val="es-ES"/>
        </w:rPr>
        <w:t>Convención</w:t>
      </w:r>
      <w:r w:rsidR="005301B5" w:rsidRPr="00E1302D">
        <w:rPr>
          <w:rFonts w:asciiTheme="majorHAnsi" w:hAnsiTheme="majorHAnsi"/>
          <w:sz w:val="20"/>
          <w:szCs w:val="20"/>
          <w:lang w:val="es-ES"/>
        </w:rPr>
        <w:t xml:space="preserve"> Americana</w:t>
      </w:r>
      <w:r w:rsidR="00A87538" w:rsidRPr="00E1302D">
        <w:rPr>
          <w:rFonts w:asciiTheme="majorHAnsi" w:hAnsiTheme="majorHAnsi"/>
          <w:sz w:val="20"/>
          <w:szCs w:val="20"/>
          <w:lang w:val="es-ES"/>
        </w:rPr>
        <w:t>,</w:t>
      </w:r>
      <w:r w:rsidR="005301B5" w:rsidRPr="00E1302D">
        <w:rPr>
          <w:rFonts w:asciiTheme="majorHAnsi" w:hAnsiTheme="majorHAnsi"/>
          <w:sz w:val="20"/>
          <w:szCs w:val="20"/>
          <w:lang w:val="es-ES"/>
        </w:rPr>
        <w:t xml:space="preserve"> en </w:t>
      </w:r>
      <w:r w:rsidR="00FF6651" w:rsidRPr="00E1302D">
        <w:rPr>
          <w:rFonts w:asciiTheme="majorHAnsi" w:hAnsiTheme="majorHAnsi"/>
          <w:sz w:val="20"/>
          <w:szCs w:val="20"/>
          <w:lang w:val="es-ES"/>
        </w:rPr>
        <w:t>relación</w:t>
      </w:r>
      <w:r w:rsidR="005301B5" w:rsidRPr="00E1302D">
        <w:rPr>
          <w:rFonts w:asciiTheme="majorHAnsi" w:hAnsiTheme="majorHAnsi"/>
          <w:sz w:val="20"/>
          <w:szCs w:val="20"/>
          <w:lang w:val="es-ES"/>
        </w:rPr>
        <w:t xml:space="preserve"> con su</w:t>
      </w:r>
      <w:r w:rsidR="00A87538" w:rsidRPr="00E1302D">
        <w:rPr>
          <w:rFonts w:asciiTheme="majorHAnsi" w:hAnsiTheme="majorHAnsi"/>
          <w:sz w:val="20"/>
          <w:szCs w:val="20"/>
          <w:lang w:val="es-ES"/>
        </w:rPr>
        <w:t>s</w:t>
      </w:r>
      <w:r w:rsidR="005301B5" w:rsidRPr="00E1302D">
        <w:rPr>
          <w:rFonts w:asciiTheme="majorHAnsi" w:hAnsiTheme="majorHAnsi"/>
          <w:sz w:val="20"/>
          <w:szCs w:val="20"/>
          <w:lang w:val="es-ES"/>
        </w:rPr>
        <w:t xml:space="preserve"> </w:t>
      </w:r>
      <w:r w:rsidR="00FF6651" w:rsidRPr="00E1302D">
        <w:rPr>
          <w:rFonts w:asciiTheme="majorHAnsi" w:hAnsiTheme="majorHAnsi"/>
          <w:sz w:val="20"/>
          <w:szCs w:val="20"/>
          <w:lang w:val="es-ES"/>
        </w:rPr>
        <w:t>artículo</w:t>
      </w:r>
      <w:r w:rsidR="00A87538" w:rsidRPr="00E1302D">
        <w:rPr>
          <w:rFonts w:asciiTheme="majorHAnsi" w:hAnsiTheme="majorHAnsi"/>
          <w:sz w:val="20"/>
          <w:szCs w:val="20"/>
          <w:lang w:val="es-ES"/>
        </w:rPr>
        <w:t>s 4 (vida) y</w:t>
      </w:r>
      <w:r w:rsidR="005301B5" w:rsidRPr="00E1302D">
        <w:rPr>
          <w:rFonts w:asciiTheme="majorHAnsi" w:hAnsiTheme="majorHAnsi"/>
          <w:sz w:val="20"/>
          <w:szCs w:val="20"/>
          <w:lang w:val="es-ES"/>
        </w:rPr>
        <w:t xml:space="preserve"> 1.1 (</w:t>
      </w:r>
      <w:r w:rsidR="00FF6651" w:rsidRPr="00E1302D">
        <w:rPr>
          <w:rFonts w:asciiTheme="majorHAnsi" w:hAnsiTheme="majorHAnsi"/>
          <w:sz w:val="20"/>
          <w:szCs w:val="20"/>
          <w:lang w:val="es-ES"/>
        </w:rPr>
        <w:t>obligación</w:t>
      </w:r>
      <w:r w:rsidR="005301B5" w:rsidRPr="00E1302D">
        <w:rPr>
          <w:rFonts w:asciiTheme="majorHAnsi" w:hAnsiTheme="majorHAnsi"/>
          <w:sz w:val="20"/>
          <w:szCs w:val="20"/>
          <w:lang w:val="es-ES"/>
        </w:rPr>
        <w:t xml:space="preserve"> de respetar los derechos). </w:t>
      </w:r>
    </w:p>
    <w:p w14:paraId="22DB7445" w14:textId="1E6AE3C0" w:rsidR="00E746AC" w:rsidRPr="00E1302D" w:rsidRDefault="00E746AC" w:rsidP="007E558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sz w:val="20"/>
          <w:szCs w:val="20"/>
          <w:lang w:val="es-ES"/>
        </w:rPr>
        <w:t xml:space="preserve">Igualmente, la Comisión recuerda enfáticamente que </w:t>
      </w:r>
      <w:r w:rsidR="00CD3D3B" w:rsidRPr="00E1302D">
        <w:rPr>
          <w:rFonts w:cs="Calibri"/>
          <w:sz w:val="20"/>
          <w:szCs w:val="20"/>
          <w:lang w:val="es-ES"/>
        </w:rPr>
        <w:t xml:space="preserve">el criterio de evaluación de la fase de admisibilidad difiere del que se utiliza para pronunciarse sobre el fondo de una petición; la Comisión debe realizar una evaluación </w:t>
      </w:r>
      <w:r w:rsidR="00CD3D3B" w:rsidRPr="00E1302D">
        <w:rPr>
          <w:rFonts w:cs="Calibri"/>
          <w:i/>
          <w:iCs/>
          <w:sz w:val="20"/>
          <w:szCs w:val="20"/>
          <w:lang w:val="es-ES"/>
        </w:rPr>
        <w:t>prima facie</w:t>
      </w:r>
      <w:r w:rsidR="00CD3D3B" w:rsidRPr="00E1302D">
        <w:rPr>
          <w:rFonts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CD3D3B" w:rsidRPr="00E1302D">
        <w:rPr>
          <w:rStyle w:val="FootnoteReference"/>
          <w:rFonts w:cs="Calibri"/>
          <w:sz w:val="20"/>
          <w:szCs w:val="20"/>
          <w:lang w:val="es-ES"/>
        </w:rPr>
        <w:footnoteReference w:id="7"/>
      </w:r>
      <w:r w:rsidR="00CD3D3B" w:rsidRPr="00E1302D">
        <w:rPr>
          <w:rFonts w:cs="Calibri"/>
          <w:sz w:val="20"/>
          <w:szCs w:val="20"/>
          <w:lang w:val="es-ES"/>
        </w:rPr>
        <w:t>.</w:t>
      </w:r>
    </w:p>
    <w:p w14:paraId="10D88B3D" w14:textId="17A80EA3" w:rsidR="00AE736B" w:rsidRPr="00E1302D" w:rsidRDefault="005301B5" w:rsidP="00AE736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1302D">
        <w:rPr>
          <w:rFonts w:asciiTheme="majorHAnsi" w:hAnsiTheme="majorHAnsi"/>
          <w:sz w:val="20"/>
          <w:szCs w:val="20"/>
          <w:lang w:val="es-ES"/>
        </w:rPr>
        <w:t xml:space="preserve">En relación con el Pacto Internacional de Derechos Civiles y Políticos, la Comisión </w:t>
      </w:r>
      <w:r w:rsidR="0099672D" w:rsidRPr="00E1302D">
        <w:rPr>
          <w:rFonts w:asciiTheme="majorHAnsi" w:hAnsiTheme="majorHAnsi"/>
          <w:sz w:val="20"/>
          <w:szCs w:val="20"/>
          <w:lang w:val="es-ES"/>
        </w:rPr>
        <w:t xml:space="preserve">recuerda que </w:t>
      </w:r>
      <w:r w:rsidRPr="00E1302D">
        <w:rPr>
          <w:rFonts w:asciiTheme="majorHAnsi" w:hAnsiTheme="majorHAnsi"/>
          <w:sz w:val="20"/>
          <w:szCs w:val="20"/>
          <w:lang w:val="es-ES"/>
        </w:rPr>
        <w:t>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445BF42E" w14:textId="77777777" w:rsidR="003239B8" w:rsidRPr="00E1302D" w:rsidRDefault="003239B8" w:rsidP="003239B8">
      <w:pPr>
        <w:pStyle w:val="ListParagraph"/>
        <w:spacing w:before="240" w:after="240"/>
        <w:jc w:val="both"/>
        <w:rPr>
          <w:rFonts w:asciiTheme="majorHAnsi" w:hAnsiTheme="majorHAnsi"/>
          <w:b/>
          <w:bCs/>
          <w:sz w:val="20"/>
          <w:szCs w:val="20"/>
          <w:lang w:val="es-ES"/>
        </w:rPr>
      </w:pPr>
      <w:r w:rsidRPr="00E1302D">
        <w:rPr>
          <w:rFonts w:asciiTheme="majorHAnsi" w:hAnsiTheme="majorHAnsi"/>
          <w:b/>
          <w:bCs/>
          <w:sz w:val="20"/>
          <w:szCs w:val="20"/>
          <w:lang w:val="es-ES"/>
        </w:rPr>
        <w:t xml:space="preserve">VIII. </w:t>
      </w:r>
      <w:r w:rsidRPr="00E1302D">
        <w:rPr>
          <w:rFonts w:asciiTheme="majorHAnsi" w:hAnsiTheme="majorHAnsi"/>
          <w:b/>
          <w:bCs/>
          <w:sz w:val="20"/>
          <w:szCs w:val="20"/>
          <w:lang w:val="es-ES"/>
        </w:rPr>
        <w:tab/>
        <w:t>DECISIÓN</w:t>
      </w:r>
    </w:p>
    <w:p w14:paraId="547DFF8E" w14:textId="227BBFFD" w:rsidR="000419AD" w:rsidRPr="00E1302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1302D">
        <w:rPr>
          <w:rFonts w:asciiTheme="majorHAnsi" w:hAnsiTheme="majorHAnsi"/>
          <w:sz w:val="20"/>
          <w:szCs w:val="20"/>
          <w:lang w:val="es-ES"/>
        </w:rPr>
        <w:t>Declarar admisible la presente petición en relación con</w:t>
      </w:r>
      <w:r w:rsidR="001D7F96" w:rsidRPr="00E1302D">
        <w:rPr>
          <w:rFonts w:asciiTheme="majorHAnsi" w:hAnsiTheme="majorHAnsi"/>
          <w:sz w:val="20"/>
          <w:szCs w:val="20"/>
          <w:lang w:val="es-ES"/>
        </w:rPr>
        <w:t xml:space="preserve"> </w:t>
      </w:r>
      <w:r w:rsidR="00F24E86" w:rsidRPr="00E1302D">
        <w:rPr>
          <w:rFonts w:asciiTheme="majorHAnsi" w:hAnsiTheme="majorHAnsi"/>
          <w:sz w:val="20"/>
          <w:szCs w:val="20"/>
          <w:lang w:val="es-ES"/>
        </w:rPr>
        <w:t>los artículos 4, 8 y 25 de la Convención en relación con su artículo 1.1</w:t>
      </w:r>
      <w:r w:rsidR="00A758AA" w:rsidRPr="00E1302D">
        <w:rPr>
          <w:rFonts w:asciiTheme="majorHAnsi" w:hAnsiTheme="majorHAnsi"/>
          <w:sz w:val="20"/>
          <w:szCs w:val="20"/>
          <w:lang w:val="es-ES"/>
        </w:rPr>
        <w:t>;</w:t>
      </w:r>
      <w:r w:rsidR="007B76D3" w:rsidRPr="00E1302D">
        <w:rPr>
          <w:rFonts w:asciiTheme="majorHAnsi" w:hAnsiTheme="majorHAnsi"/>
          <w:sz w:val="20"/>
          <w:szCs w:val="20"/>
          <w:lang w:val="es-ES"/>
        </w:rPr>
        <w:t xml:space="preserve"> y</w:t>
      </w:r>
    </w:p>
    <w:p w14:paraId="00C1D3B7" w14:textId="13D67F24"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E1302D">
        <w:rPr>
          <w:rFonts w:asciiTheme="majorHAnsi" w:hAnsiTheme="majorHAnsi"/>
          <w:color w:val="000000" w:themeColor="text1"/>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66511FB" w14:textId="1F60DF80" w:rsidR="00CB57DD" w:rsidRPr="00C47976" w:rsidRDefault="00CB57DD" w:rsidP="00C4797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26 días del mes de febrero de 2023.  (Firmado): Julissa Mantilla Falcón, Presidenta; Stuardo Ralón Orellana, Primer Vicepresidente; Esmeralda Arosemena de Troitiño y Joel Hernández, </w:t>
      </w:r>
      <w:r w:rsidR="00C47976">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2C904B2" w14:textId="6735BE68" w:rsidR="009A56CE" w:rsidRPr="00E1302D" w:rsidRDefault="009A56CE" w:rsidP="009A56CE">
      <w:pPr>
        <w:ind w:left="720"/>
        <w:jc w:val="both"/>
        <w:rPr>
          <w:rFonts w:asciiTheme="majorHAnsi" w:hAnsiTheme="majorHAnsi" w:cs="Calibri"/>
          <w:sz w:val="20"/>
          <w:szCs w:val="20"/>
          <w:lang w:val="es-ES"/>
        </w:rPr>
      </w:pPr>
    </w:p>
    <w:sectPr w:rsidR="009A56CE" w:rsidRPr="00E1302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F7F8" w14:textId="77777777" w:rsidR="00D073C3" w:rsidRDefault="00D073C3">
      <w:r>
        <w:separator/>
      </w:r>
    </w:p>
  </w:endnote>
  <w:endnote w:type="continuationSeparator" w:id="0">
    <w:p w14:paraId="3251334E" w14:textId="77777777" w:rsidR="00D073C3" w:rsidRDefault="00D0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8823" w14:textId="77777777" w:rsidR="00D073C3" w:rsidRPr="000F35ED" w:rsidRDefault="00D073C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6417B4" w14:textId="77777777" w:rsidR="00D073C3" w:rsidRPr="000F35ED" w:rsidRDefault="00D073C3" w:rsidP="000F35ED">
      <w:pPr>
        <w:rPr>
          <w:rFonts w:asciiTheme="majorHAnsi" w:hAnsiTheme="majorHAnsi"/>
          <w:sz w:val="16"/>
          <w:szCs w:val="16"/>
        </w:rPr>
      </w:pPr>
      <w:r w:rsidRPr="000F35ED">
        <w:rPr>
          <w:rFonts w:asciiTheme="majorHAnsi" w:hAnsiTheme="majorHAnsi"/>
          <w:sz w:val="16"/>
          <w:szCs w:val="16"/>
        </w:rPr>
        <w:separator/>
      </w:r>
    </w:p>
    <w:p w14:paraId="12EE490F" w14:textId="77777777" w:rsidR="00D073C3" w:rsidRPr="000F35ED" w:rsidRDefault="00D073C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6757D0E" w14:textId="77777777" w:rsidR="00D073C3" w:rsidRPr="000F35ED" w:rsidRDefault="00D073C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3665C1C" w14:textId="22C22FC0" w:rsidR="00CB1938" w:rsidRPr="00370D0C" w:rsidRDefault="00CB1938" w:rsidP="005A2D78">
      <w:pPr>
        <w:pStyle w:val="FootnoteText"/>
        <w:ind w:firstLine="720"/>
        <w:jc w:val="both"/>
        <w:rPr>
          <w:rFonts w:asciiTheme="majorHAnsi" w:hAnsiTheme="majorHAnsi"/>
          <w:sz w:val="16"/>
          <w:szCs w:val="16"/>
          <w:lang w:val="es-ES"/>
        </w:rPr>
      </w:pPr>
      <w:r w:rsidRPr="00370D0C">
        <w:rPr>
          <w:rStyle w:val="FootnoteReference"/>
          <w:rFonts w:asciiTheme="majorHAnsi" w:hAnsiTheme="majorHAnsi"/>
          <w:sz w:val="16"/>
          <w:szCs w:val="16"/>
        </w:rPr>
        <w:footnoteRef/>
      </w:r>
      <w:r w:rsidRPr="00370D0C">
        <w:rPr>
          <w:rFonts w:asciiTheme="majorHAnsi" w:hAnsiTheme="majorHAnsi"/>
          <w:sz w:val="16"/>
          <w:szCs w:val="16"/>
          <w:lang w:val="es-ES"/>
        </w:rPr>
        <w:t xml:space="preserve"> </w:t>
      </w:r>
      <w:r w:rsidR="00370D0C">
        <w:rPr>
          <w:rFonts w:asciiTheme="majorHAnsi" w:hAnsiTheme="majorHAnsi"/>
          <w:sz w:val="16"/>
          <w:szCs w:val="16"/>
          <w:lang w:val="es-ES"/>
        </w:rPr>
        <w:t xml:space="preserve">Liliana Toro Muñoz (esposa), </w:t>
      </w:r>
      <w:r w:rsidRPr="00370D0C">
        <w:rPr>
          <w:rFonts w:asciiTheme="majorHAnsi" w:hAnsiTheme="majorHAnsi"/>
          <w:sz w:val="16"/>
          <w:szCs w:val="16"/>
          <w:lang w:val="es-ES"/>
        </w:rPr>
        <w:t>Natalia María Acuña Muñoz (hija), Jorge Enrique Acuña Muñoz (hijo) y Lina Paola Acuña Casas (hija)</w:t>
      </w:r>
      <w:r w:rsidR="00370D0C">
        <w:rPr>
          <w:rFonts w:asciiTheme="majorHAnsi" w:hAnsiTheme="majorHAnsi"/>
          <w:sz w:val="16"/>
          <w:szCs w:val="16"/>
          <w:lang w:val="es-ES"/>
        </w:rPr>
        <w:t>.</w:t>
      </w:r>
      <w:r w:rsidRPr="00370D0C">
        <w:rPr>
          <w:rFonts w:asciiTheme="majorHAnsi" w:hAnsiTheme="majorHAnsi"/>
          <w:sz w:val="16"/>
          <w:szCs w:val="16"/>
          <w:lang w:val="es-ES"/>
        </w:rPr>
        <w:t xml:space="preserve">   </w:t>
      </w:r>
    </w:p>
  </w:footnote>
  <w:footnote w:id="3">
    <w:p w14:paraId="66E930B8" w14:textId="3B2D212B" w:rsidR="004A6A54" w:rsidRPr="00370D0C" w:rsidRDefault="004A6A54" w:rsidP="005A2D78">
      <w:pPr>
        <w:pStyle w:val="FootnoteText"/>
        <w:ind w:firstLine="720"/>
        <w:jc w:val="both"/>
        <w:rPr>
          <w:rFonts w:asciiTheme="majorHAnsi" w:hAnsiTheme="majorHAnsi"/>
          <w:sz w:val="16"/>
          <w:szCs w:val="16"/>
          <w:lang w:val="es-ES"/>
        </w:rPr>
      </w:pPr>
      <w:r w:rsidRPr="00370D0C">
        <w:rPr>
          <w:rStyle w:val="FootnoteReference"/>
          <w:rFonts w:asciiTheme="majorHAnsi" w:hAnsiTheme="majorHAnsi"/>
          <w:sz w:val="16"/>
          <w:szCs w:val="16"/>
        </w:rPr>
        <w:footnoteRef/>
      </w:r>
      <w:r w:rsidRPr="00370D0C">
        <w:rPr>
          <w:rFonts w:asciiTheme="majorHAnsi" w:hAnsiTheme="majorHAnsi"/>
          <w:sz w:val="16"/>
          <w:szCs w:val="16"/>
          <w:lang w:val="es-ES"/>
        </w:rPr>
        <w:t xml:space="preserve"> Conforme a lo dispuesto en el artículo 17.2.a del Reglamento de la Comisión, el Comisionado </w:t>
      </w:r>
      <w:r w:rsidR="001001B9" w:rsidRPr="00370D0C">
        <w:rPr>
          <w:rFonts w:asciiTheme="majorHAnsi" w:hAnsiTheme="majorHAnsi"/>
          <w:sz w:val="16"/>
          <w:szCs w:val="16"/>
          <w:lang w:val="es-ES"/>
        </w:rPr>
        <w:t>Carlos Bernal Pulido</w:t>
      </w:r>
      <w:r w:rsidRPr="00370D0C">
        <w:rPr>
          <w:rFonts w:asciiTheme="majorHAnsi" w:hAnsiTheme="majorHAnsi"/>
          <w:sz w:val="16"/>
          <w:szCs w:val="16"/>
          <w:lang w:val="es-ES"/>
        </w:rPr>
        <w:t xml:space="preserve">, de nacionalidad </w:t>
      </w:r>
      <w:r w:rsidR="001001B9" w:rsidRPr="00370D0C">
        <w:rPr>
          <w:rFonts w:asciiTheme="majorHAnsi" w:hAnsiTheme="majorHAnsi"/>
          <w:sz w:val="16"/>
          <w:szCs w:val="16"/>
          <w:lang w:val="es-ES"/>
        </w:rPr>
        <w:t>colombiana</w:t>
      </w:r>
      <w:r w:rsidRPr="00370D0C">
        <w:rPr>
          <w:rFonts w:asciiTheme="majorHAnsi" w:hAnsiTheme="majorHAnsi"/>
          <w:sz w:val="16"/>
          <w:szCs w:val="16"/>
          <w:lang w:val="es-ES"/>
        </w:rPr>
        <w:t>, no participó en el debate ni en la decisión del presente asunto.</w:t>
      </w:r>
    </w:p>
  </w:footnote>
  <w:footnote w:id="4">
    <w:p w14:paraId="457D8FEF" w14:textId="77777777" w:rsidR="008C73AD" w:rsidRPr="00370D0C" w:rsidRDefault="008C73AD" w:rsidP="008C73AD">
      <w:pPr>
        <w:pStyle w:val="FootnoteText"/>
        <w:ind w:firstLine="720"/>
        <w:jc w:val="both"/>
        <w:rPr>
          <w:lang w:val="es-ES"/>
        </w:rPr>
      </w:pPr>
      <w:r w:rsidRPr="00370D0C">
        <w:rPr>
          <w:rStyle w:val="FootnoteReference"/>
          <w:rFonts w:asciiTheme="majorHAnsi" w:hAnsiTheme="majorHAnsi"/>
          <w:sz w:val="16"/>
          <w:szCs w:val="16"/>
        </w:rPr>
        <w:footnoteRef/>
      </w:r>
      <w:r w:rsidRPr="00370D0C">
        <w:rPr>
          <w:rFonts w:asciiTheme="majorHAnsi" w:hAnsiTheme="majorHAnsi"/>
          <w:sz w:val="16"/>
          <w:szCs w:val="16"/>
          <w:lang w:val="es-ES"/>
        </w:rPr>
        <w:t xml:space="preserve"> En adelante “la Convención Americana” o “la Convención”.</w:t>
      </w:r>
      <w:r>
        <w:rPr>
          <w:lang w:val="es-ES"/>
        </w:rPr>
        <w:t xml:space="preserve"> </w:t>
      </w:r>
    </w:p>
  </w:footnote>
  <w:footnote w:id="5">
    <w:p w14:paraId="3C23C353" w14:textId="5CCCAEC8" w:rsidR="00DA6966" w:rsidRPr="00370D0C" w:rsidRDefault="00DA6966" w:rsidP="005A2D78">
      <w:pPr>
        <w:pStyle w:val="FootnoteText"/>
        <w:ind w:firstLine="720"/>
        <w:jc w:val="both"/>
        <w:rPr>
          <w:rFonts w:asciiTheme="majorHAnsi" w:hAnsiTheme="majorHAnsi"/>
          <w:sz w:val="16"/>
          <w:szCs w:val="16"/>
          <w:lang w:val="es-ES"/>
        </w:rPr>
      </w:pPr>
      <w:r w:rsidRPr="00370D0C">
        <w:rPr>
          <w:rStyle w:val="FootnoteReference"/>
          <w:rFonts w:asciiTheme="majorHAnsi" w:hAnsiTheme="majorHAnsi"/>
          <w:sz w:val="16"/>
          <w:szCs w:val="16"/>
        </w:rPr>
        <w:footnoteRef/>
      </w:r>
      <w:r w:rsidRPr="00370D0C">
        <w:rPr>
          <w:rFonts w:asciiTheme="majorHAnsi" w:hAnsiTheme="majorHAnsi"/>
          <w:sz w:val="16"/>
          <w:szCs w:val="16"/>
          <w:lang w:val="es-ES"/>
        </w:rPr>
        <w:t xml:space="preserve"> Pacto Internacional de </w:t>
      </w:r>
      <w:r w:rsidR="00025610" w:rsidRPr="00370D0C">
        <w:rPr>
          <w:rFonts w:asciiTheme="majorHAnsi" w:hAnsiTheme="majorHAnsi"/>
          <w:sz w:val="16"/>
          <w:szCs w:val="16"/>
          <w:lang w:val="es-ES"/>
        </w:rPr>
        <w:t xml:space="preserve">Derechos Civiles y </w:t>
      </w:r>
      <w:r w:rsidR="007F0D47" w:rsidRPr="00370D0C">
        <w:rPr>
          <w:rFonts w:asciiTheme="majorHAnsi" w:hAnsiTheme="majorHAnsi"/>
          <w:sz w:val="16"/>
          <w:szCs w:val="16"/>
          <w:lang w:val="es-ES"/>
        </w:rPr>
        <w:t>Políticos, artículo</w:t>
      </w:r>
      <w:r w:rsidR="00025610" w:rsidRPr="00370D0C">
        <w:rPr>
          <w:rFonts w:asciiTheme="majorHAnsi" w:hAnsiTheme="majorHAnsi"/>
          <w:sz w:val="16"/>
          <w:szCs w:val="16"/>
          <w:lang w:val="es-ES"/>
        </w:rPr>
        <w:t xml:space="preserve"> 7. </w:t>
      </w:r>
      <w:r w:rsidRPr="00370D0C">
        <w:rPr>
          <w:rFonts w:asciiTheme="majorHAnsi" w:hAnsiTheme="majorHAnsi"/>
          <w:sz w:val="16"/>
          <w:szCs w:val="16"/>
          <w:lang w:val="es-ES"/>
        </w:rPr>
        <w:t xml:space="preserve"> </w:t>
      </w:r>
    </w:p>
  </w:footnote>
  <w:footnote w:id="6">
    <w:p w14:paraId="1AFEF3B0" w14:textId="2A673E24" w:rsidR="008E3BFE" w:rsidRPr="00370D0C" w:rsidRDefault="008E3BFE" w:rsidP="005A2D78">
      <w:pPr>
        <w:pStyle w:val="FootnoteText"/>
        <w:ind w:firstLine="720"/>
        <w:jc w:val="both"/>
        <w:rPr>
          <w:rFonts w:asciiTheme="majorHAnsi" w:hAnsiTheme="majorHAnsi"/>
          <w:sz w:val="16"/>
          <w:szCs w:val="16"/>
          <w:lang w:val="es-ES"/>
        </w:rPr>
      </w:pPr>
      <w:r w:rsidRPr="00370D0C">
        <w:rPr>
          <w:rStyle w:val="FootnoteReference"/>
          <w:rFonts w:asciiTheme="majorHAnsi" w:hAnsiTheme="majorHAnsi"/>
          <w:sz w:val="16"/>
          <w:szCs w:val="16"/>
        </w:rPr>
        <w:footnoteRef/>
      </w:r>
      <w:r w:rsidRPr="00370D0C">
        <w:rPr>
          <w:rFonts w:asciiTheme="majorHAnsi" w:hAnsiTheme="majorHAnsi"/>
          <w:sz w:val="16"/>
          <w:szCs w:val="16"/>
          <w:lang w:val="es-ES"/>
        </w:rPr>
        <w:t xml:space="preserve"> Las observaciones de cada parte fueron debidamente trasladadas a la parte contraria.</w:t>
      </w:r>
      <w:r w:rsidR="009A56CE" w:rsidRPr="00370D0C">
        <w:rPr>
          <w:rFonts w:asciiTheme="majorHAnsi" w:hAnsiTheme="majorHAnsi"/>
          <w:sz w:val="16"/>
          <w:szCs w:val="16"/>
          <w:lang w:val="es-ES"/>
        </w:rPr>
        <w:t xml:space="preserve"> </w:t>
      </w:r>
    </w:p>
  </w:footnote>
  <w:footnote w:id="7">
    <w:p w14:paraId="378AB0F2" w14:textId="77777777" w:rsidR="00CD3D3B" w:rsidRPr="00F33F73" w:rsidRDefault="00CD3D3B" w:rsidP="00CD3D3B">
      <w:pPr>
        <w:pStyle w:val="FootnoteText"/>
        <w:ind w:firstLine="720"/>
        <w:jc w:val="both"/>
        <w:rPr>
          <w:rFonts w:ascii="Cambria" w:hAnsi="Cambria"/>
          <w:sz w:val="16"/>
          <w:szCs w:val="16"/>
          <w:lang w:val="es-ES"/>
        </w:rPr>
      </w:pPr>
      <w:r w:rsidRPr="00F33F73">
        <w:rPr>
          <w:rStyle w:val="FootnoteReference"/>
          <w:rFonts w:ascii="Cambria" w:hAnsi="Cambria"/>
          <w:sz w:val="16"/>
          <w:szCs w:val="16"/>
        </w:rPr>
        <w:footnoteRef/>
      </w:r>
      <w:r w:rsidRPr="00F33F73">
        <w:rPr>
          <w:rFonts w:ascii="Cambria" w:hAnsi="Cambria"/>
          <w:sz w:val="16"/>
          <w:szCs w:val="16"/>
          <w:lang w:val="es-ES"/>
        </w:rPr>
        <w:t xml:space="preserve"> </w:t>
      </w:r>
      <w:r w:rsidRPr="00F33F73">
        <w:rPr>
          <w:rFonts w:ascii="Cambria" w:hAnsi="Cambria"/>
          <w:sz w:val="16"/>
          <w:szCs w:val="16"/>
          <w:lang w:val="es-ES_tradnl"/>
        </w:rPr>
        <w:t>CIDH, Informe No. 69/08, Petición 681-00.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423F9" w:rsidP="00A50FCF">
    <w:pPr>
      <w:pStyle w:val="Header"/>
      <w:tabs>
        <w:tab w:val="clear" w:pos="4320"/>
        <w:tab w:val="clear" w:pos="8640"/>
      </w:tabs>
      <w:jc w:val="center"/>
      <w:rPr>
        <w:sz w:val="22"/>
        <w:szCs w:val="22"/>
      </w:rPr>
    </w:pPr>
    <w:r>
      <w:rPr>
        <w:noProof/>
        <w:sz w:val="22"/>
        <w:szCs w:val="22"/>
        <w:bdr w:val="nil"/>
      </w:rPr>
      <w:pict w14:anchorId="13D0D6A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2AA7C02"/>
    <w:multiLevelType w:val="hybridMultilevel"/>
    <w:tmpl w:val="A6D83090"/>
    <w:lvl w:ilvl="0" w:tplc="E6DE51EC">
      <w:start w:val="1"/>
      <w:numFmt w:val="decimal"/>
      <w:lvlText w:val="%1."/>
      <w:lvlJc w:val="left"/>
      <w:pPr>
        <w:ind w:left="720" w:firstLine="0"/>
      </w:pPr>
      <w:rPr>
        <w:rFonts w:ascii="Cambria" w:hAnsi="Cambria" w:hint="default"/>
        <w:b w:val="0"/>
        <w:bCs w:val="0"/>
        <w:i w:val="0"/>
        <w:iCs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05823855">
    <w:abstractNumId w:val="3"/>
  </w:num>
  <w:num w:numId="2" w16cid:durableId="868686715">
    <w:abstractNumId w:val="4"/>
  </w:num>
  <w:num w:numId="3" w16cid:durableId="1103761879">
    <w:abstractNumId w:val="53"/>
  </w:num>
  <w:num w:numId="4" w16cid:durableId="1378166697">
    <w:abstractNumId w:val="20"/>
  </w:num>
  <w:num w:numId="5" w16cid:durableId="307786216">
    <w:abstractNumId w:val="47"/>
  </w:num>
  <w:num w:numId="6" w16cid:durableId="1457985058">
    <w:abstractNumId w:val="27"/>
  </w:num>
  <w:num w:numId="7" w16cid:durableId="37900742">
    <w:abstractNumId w:val="5"/>
  </w:num>
  <w:num w:numId="8" w16cid:durableId="877398596">
    <w:abstractNumId w:val="16"/>
  </w:num>
  <w:num w:numId="9" w16cid:durableId="485435777">
    <w:abstractNumId w:val="42"/>
  </w:num>
  <w:num w:numId="10" w16cid:durableId="207645702">
    <w:abstractNumId w:val="0"/>
  </w:num>
  <w:num w:numId="11" w16cid:durableId="2002804118">
    <w:abstractNumId w:val="37"/>
  </w:num>
  <w:num w:numId="12" w16cid:durableId="879392615">
    <w:abstractNumId w:val="38"/>
  </w:num>
  <w:num w:numId="13" w16cid:durableId="1265462079">
    <w:abstractNumId w:val="44"/>
  </w:num>
  <w:num w:numId="14" w16cid:durableId="1012956548">
    <w:abstractNumId w:val="1"/>
  </w:num>
  <w:num w:numId="15" w16cid:durableId="1927566642">
    <w:abstractNumId w:val="2"/>
  </w:num>
  <w:num w:numId="16" w16cid:durableId="3633278">
    <w:abstractNumId w:val="6"/>
  </w:num>
  <w:num w:numId="17" w16cid:durableId="1301037401">
    <w:abstractNumId w:val="7"/>
  </w:num>
  <w:num w:numId="18" w16cid:durableId="12458244">
    <w:abstractNumId w:val="8"/>
  </w:num>
  <w:num w:numId="19" w16cid:durableId="1709840409">
    <w:abstractNumId w:val="9"/>
  </w:num>
  <w:num w:numId="20" w16cid:durableId="879900090">
    <w:abstractNumId w:val="10"/>
  </w:num>
  <w:num w:numId="21" w16cid:durableId="118110250">
    <w:abstractNumId w:val="11"/>
  </w:num>
  <w:num w:numId="22" w16cid:durableId="456604207">
    <w:abstractNumId w:val="12"/>
  </w:num>
  <w:num w:numId="23" w16cid:durableId="1378430252">
    <w:abstractNumId w:val="14"/>
  </w:num>
  <w:num w:numId="24" w16cid:durableId="1531801110">
    <w:abstractNumId w:val="15"/>
  </w:num>
  <w:num w:numId="25" w16cid:durableId="1298536909">
    <w:abstractNumId w:val="17"/>
  </w:num>
  <w:num w:numId="26" w16cid:durableId="797141963">
    <w:abstractNumId w:val="18"/>
  </w:num>
  <w:num w:numId="27" w16cid:durableId="1673289437">
    <w:abstractNumId w:val="21"/>
  </w:num>
  <w:num w:numId="28" w16cid:durableId="1838185834">
    <w:abstractNumId w:val="22"/>
  </w:num>
  <w:num w:numId="29" w16cid:durableId="906573974">
    <w:abstractNumId w:val="23"/>
  </w:num>
  <w:num w:numId="30" w16cid:durableId="1686402311">
    <w:abstractNumId w:val="25"/>
  </w:num>
  <w:num w:numId="31" w16cid:durableId="1112630817">
    <w:abstractNumId w:val="28"/>
  </w:num>
  <w:num w:numId="32" w16cid:durableId="1600527322">
    <w:abstractNumId w:val="29"/>
  </w:num>
  <w:num w:numId="33" w16cid:durableId="310209438">
    <w:abstractNumId w:val="30"/>
  </w:num>
  <w:num w:numId="34" w16cid:durableId="1567644733">
    <w:abstractNumId w:val="31"/>
  </w:num>
  <w:num w:numId="35" w16cid:durableId="1990555284">
    <w:abstractNumId w:val="32"/>
  </w:num>
  <w:num w:numId="36" w16cid:durableId="1458177091">
    <w:abstractNumId w:val="33"/>
  </w:num>
  <w:num w:numId="37" w16cid:durableId="242226322">
    <w:abstractNumId w:val="34"/>
  </w:num>
  <w:num w:numId="38" w16cid:durableId="571240463">
    <w:abstractNumId w:val="35"/>
  </w:num>
  <w:num w:numId="39" w16cid:durableId="563175465">
    <w:abstractNumId w:val="39"/>
  </w:num>
  <w:num w:numId="40" w16cid:durableId="1780418399">
    <w:abstractNumId w:val="40"/>
  </w:num>
  <w:num w:numId="41" w16cid:durableId="385302451">
    <w:abstractNumId w:val="46"/>
  </w:num>
  <w:num w:numId="42" w16cid:durableId="1028334284">
    <w:abstractNumId w:val="48"/>
  </w:num>
  <w:num w:numId="43" w16cid:durableId="259022577">
    <w:abstractNumId w:val="49"/>
  </w:num>
  <w:num w:numId="44" w16cid:durableId="609051199">
    <w:abstractNumId w:val="51"/>
  </w:num>
  <w:num w:numId="45" w16cid:durableId="146410318">
    <w:abstractNumId w:val="52"/>
  </w:num>
  <w:num w:numId="46" w16cid:durableId="1105270752">
    <w:abstractNumId w:val="54"/>
  </w:num>
  <w:num w:numId="47" w16cid:durableId="414018280">
    <w:abstractNumId w:val="55"/>
  </w:num>
  <w:num w:numId="48" w16cid:durableId="233784560">
    <w:abstractNumId w:val="56"/>
  </w:num>
  <w:num w:numId="49" w16cid:durableId="1214584772">
    <w:abstractNumId w:val="57"/>
  </w:num>
  <w:num w:numId="50" w16cid:durableId="582880428">
    <w:abstractNumId w:val="58"/>
  </w:num>
  <w:num w:numId="51" w16cid:durableId="864291114">
    <w:abstractNumId w:val="19"/>
  </w:num>
  <w:num w:numId="52" w16cid:durableId="1977639487">
    <w:abstractNumId w:val="41"/>
  </w:num>
  <w:num w:numId="53" w16cid:durableId="1037583145">
    <w:abstractNumId w:val="50"/>
  </w:num>
  <w:num w:numId="54" w16cid:durableId="862205420">
    <w:abstractNumId w:val="45"/>
  </w:num>
  <w:num w:numId="55" w16cid:durableId="1849830363">
    <w:abstractNumId w:val="43"/>
  </w:num>
  <w:num w:numId="56" w16cid:durableId="217127955">
    <w:abstractNumId w:val="26"/>
  </w:num>
  <w:num w:numId="57" w16cid:durableId="1346443879">
    <w:abstractNumId w:val="24"/>
  </w:num>
  <w:num w:numId="58" w16cid:durableId="1424766172">
    <w:abstractNumId w:val="36"/>
  </w:num>
  <w:num w:numId="59" w16cid:durableId="1192496696">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C3F"/>
    <w:rsid w:val="00006E1F"/>
    <w:rsid w:val="000070D7"/>
    <w:rsid w:val="0001788C"/>
    <w:rsid w:val="00025610"/>
    <w:rsid w:val="00030A4E"/>
    <w:rsid w:val="000337EF"/>
    <w:rsid w:val="000338DB"/>
    <w:rsid w:val="00040C3A"/>
    <w:rsid w:val="000419AD"/>
    <w:rsid w:val="000433C9"/>
    <w:rsid w:val="00044C28"/>
    <w:rsid w:val="00063B1C"/>
    <w:rsid w:val="00071174"/>
    <w:rsid w:val="000716C5"/>
    <w:rsid w:val="000738B1"/>
    <w:rsid w:val="00074CC4"/>
    <w:rsid w:val="00075E23"/>
    <w:rsid w:val="00080C4D"/>
    <w:rsid w:val="000865D6"/>
    <w:rsid w:val="0009344A"/>
    <w:rsid w:val="000A0151"/>
    <w:rsid w:val="000A36F8"/>
    <w:rsid w:val="000A392E"/>
    <w:rsid w:val="000A575F"/>
    <w:rsid w:val="000B0590"/>
    <w:rsid w:val="000B5976"/>
    <w:rsid w:val="000C02E4"/>
    <w:rsid w:val="000C14B3"/>
    <w:rsid w:val="000C2610"/>
    <w:rsid w:val="000C6EF6"/>
    <w:rsid w:val="000D05CB"/>
    <w:rsid w:val="000D10DB"/>
    <w:rsid w:val="000E3EA3"/>
    <w:rsid w:val="000E5EB5"/>
    <w:rsid w:val="000F35ED"/>
    <w:rsid w:val="000F579D"/>
    <w:rsid w:val="001001B9"/>
    <w:rsid w:val="001004FE"/>
    <w:rsid w:val="00104820"/>
    <w:rsid w:val="00107131"/>
    <w:rsid w:val="0010736F"/>
    <w:rsid w:val="00113F73"/>
    <w:rsid w:val="0012031A"/>
    <w:rsid w:val="001217A7"/>
    <w:rsid w:val="00121CC2"/>
    <w:rsid w:val="00131425"/>
    <w:rsid w:val="00133EE5"/>
    <w:rsid w:val="00144D6F"/>
    <w:rsid w:val="00167A34"/>
    <w:rsid w:val="001A2881"/>
    <w:rsid w:val="001A39D4"/>
    <w:rsid w:val="001A520D"/>
    <w:rsid w:val="001A7870"/>
    <w:rsid w:val="001B0AE2"/>
    <w:rsid w:val="001B3A00"/>
    <w:rsid w:val="001B478B"/>
    <w:rsid w:val="001B6A7A"/>
    <w:rsid w:val="001C1B41"/>
    <w:rsid w:val="001C279E"/>
    <w:rsid w:val="001C7BE4"/>
    <w:rsid w:val="001D65EF"/>
    <w:rsid w:val="001D7F96"/>
    <w:rsid w:val="001E2F2D"/>
    <w:rsid w:val="001E3B52"/>
    <w:rsid w:val="001E49E7"/>
    <w:rsid w:val="001F3BEC"/>
    <w:rsid w:val="001F5FDA"/>
    <w:rsid w:val="001F7201"/>
    <w:rsid w:val="001F795B"/>
    <w:rsid w:val="0020083F"/>
    <w:rsid w:val="00210EFF"/>
    <w:rsid w:val="002164C2"/>
    <w:rsid w:val="00223A29"/>
    <w:rsid w:val="002250A3"/>
    <w:rsid w:val="002279BA"/>
    <w:rsid w:val="00235217"/>
    <w:rsid w:val="002445B4"/>
    <w:rsid w:val="00246D1F"/>
    <w:rsid w:val="00247403"/>
    <w:rsid w:val="00247542"/>
    <w:rsid w:val="00254D9F"/>
    <w:rsid w:val="00266B61"/>
    <w:rsid w:val="0026712A"/>
    <w:rsid w:val="002704DB"/>
    <w:rsid w:val="00286092"/>
    <w:rsid w:val="002A0AAE"/>
    <w:rsid w:val="002A5820"/>
    <w:rsid w:val="002C340E"/>
    <w:rsid w:val="002D2B26"/>
    <w:rsid w:val="002D7EA2"/>
    <w:rsid w:val="002E187C"/>
    <w:rsid w:val="002E5DD6"/>
    <w:rsid w:val="002F79B1"/>
    <w:rsid w:val="0030086C"/>
    <w:rsid w:val="00302733"/>
    <w:rsid w:val="00305835"/>
    <w:rsid w:val="00306F33"/>
    <w:rsid w:val="0031362C"/>
    <w:rsid w:val="00314078"/>
    <w:rsid w:val="0031535D"/>
    <w:rsid w:val="003239B8"/>
    <w:rsid w:val="00331361"/>
    <w:rsid w:val="0033169F"/>
    <w:rsid w:val="00334750"/>
    <w:rsid w:val="00344977"/>
    <w:rsid w:val="00346C95"/>
    <w:rsid w:val="00354755"/>
    <w:rsid w:val="00356185"/>
    <w:rsid w:val="00360380"/>
    <w:rsid w:val="00362C55"/>
    <w:rsid w:val="00370D0C"/>
    <w:rsid w:val="0037519E"/>
    <w:rsid w:val="00383F8E"/>
    <w:rsid w:val="00384A5C"/>
    <w:rsid w:val="00384A6E"/>
    <w:rsid w:val="00386CF0"/>
    <w:rsid w:val="00394073"/>
    <w:rsid w:val="003B70FB"/>
    <w:rsid w:val="003C676B"/>
    <w:rsid w:val="003D0E88"/>
    <w:rsid w:val="003D3BC2"/>
    <w:rsid w:val="003D4CD0"/>
    <w:rsid w:val="003E6CA1"/>
    <w:rsid w:val="003F3CCB"/>
    <w:rsid w:val="003F5154"/>
    <w:rsid w:val="00404959"/>
    <w:rsid w:val="00405F9C"/>
    <w:rsid w:val="004065A8"/>
    <w:rsid w:val="004074BD"/>
    <w:rsid w:val="004165C2"/>
    <w:rsid w:val="004241A0"/>
    <w:rsid w:val="0042681D"/>
    <w:rsid w:val="00426EBA"/>
    <w:rsid w:val="00434F56"/>
    <w:rsid w:val="00441ECB"/>
    <w:rsid w:val="00443C3D"/>
    <w:rsid w:val="00444600"/>
    <w:rsid w:val="00445193"/>
    <w:rsid w:val="00450532"/>
    <w:rsid w:val="00451D92"/>
    <w:rsid w:val="00462C1B"/>
    <w:rsid w:val="00467B7E"/>
    <w:rsid w:val="004706EC"/>
    <w:rsid w:val="004707D1"/>
    <w:rsid w:val="00473BB4"/>
    <w:rsid w:val="00474269"/>
    <w:rsid w:val="00477592"/>
    <w:rsid w:val="00486F1C"/>
    <w:rsid w:val="0049419D"/>
    <w:rsid w:val="00494ED4"/>
    <w:rsid w:val="004A057B"/>
    <w:rsid w:val="004A102F"/>
    <w:rsid w:val="004A1CB9"/>
    <w:rsid w:val="004A6A54"/>
    <w:rsid w:val="004B20FB"/>
    <w:rsid w:val="004B317C"/>
    <w:rsid w:val="004B421C"/>
    <w:rsid w:val="004C0FB1"/>
    <w:rsid w:val="004C20D2"/>
    <w:rsid w:val="004C2312"/>
    <w:rsid w:val="004C261A"/>
    <w:rsid w:val="004C48F8"/>
    <w:rsid w:val="004C4B62"/>
    <w:rsid w:val="004C54C9"/>
    <w:rsid w:val="004D4ABA"/>
    <w:rsid w:val="004D6025"/>
    <w:rsid w:val="004E0AC8"/>
    <w:rsid w:val="004E2649"/>
    <w:rsid w:val="004F626F"/>
    <w:rsid w:val="00501399"/>
    <w:rsid w:val="005038EF"/>
    <w:rsid w:val="005047ED"/>
    <w:rsid w:val="00505D30"/>
    <w:rsid w:val="0050633D"/>
    <w:rsid w:val="00507BC4"/>
    <w:rsid w:val="005128E4"/>
    <w:rsid w:val="005133DB"/>
    <w:rsid w:val="00514504"/>
    <w:rsid w:val="00521E1F"/>
    <w:rsid w:val="00525560"/>
    <w:rsid w:val="005301B5"/>
    <w:rsid w:val="00544C49"/>
    <w:rsid w:val="005516A1"/>
    <w:rsid w:val="005559EF"/>
    <w:rsid w:val="00562114"/>
    <w:rsid w:val="00563557"/>
    <w:rsid w:val="0057402A"/>
    <w:rsid w:val="005771D0"/>
    <w:rsid w:val="00577F9D"/>
    <w:rsid w:val="005834BF"/>
    <w:rsid w:val="0059191A"/>
    <w:rsid w:val="005921FF"/>
    <w:rsid w:val="005A24ED"/>
    <w:rsid w:val="005A2D78"/>
    <w:rsid w:val="005A3DBE"/>
    <w:rsid w:val="005A6D0E"/>
    <w:rsid w:val="005B52B0"/>
    <w:rsid w:val="005B6806"/>
    <w:rsid w:val="005C1191"/>
    <w:rsid w:val="005C4225"/>
    <w:rsid w:val="005D5909"/>
    <w:rsid w:val="005F0DAD"/>
    <w:rsid w:val="005F0F33"/>
    <w:rsid w:val="00600DEB"/>
    <w:rsid w:val="00627C9F"/>
    <w:rsid w:val="006311E9"/>
    <w:rsid w:val="00632354"/>
    <w:rsid w:val="00635421"/>
    <w:rsid w:val="00642810"/>
    <w:rsid w:val="00645234"/>
    <w:rsid w:val="00652333"/>
    <w:rsid w:val="0065258A"/>
    <w:rsid w:val="006619F8"/>
    <w:rsid w:val="00664A77"/>
    <w:rsid w:val="00676649"/>
    <w:rsid w:val="0068009E"/>
    <w:rsid w:val="00692219"/>
    <w:rsid w:val="006A17D2"/>
    <w:rsid w:val="006A73E6"/>
    <w:rsid w:val="006B2D5C"/>
    <w:rsid w:val="006C0449"/>
    <w:rsid w:val="006C0ECF"/>
    <w:rsid w:val="006C4EB1"/>
    <w:rsid w:val="006D3A96"/>
    <w:rsid w:val="006E0166"/>
    <w:rsid w:val="006E1C34"/>
    <w:rsid w:val="006E1DEA"/>
    <w:rsid w:val="006E2FFB"/>
    <w:rsid w:val="006E7B34"/>
    <w:rsid w:val="006F5226"/>
    <w:rsid w:val="006F59AA"/>
    <w:rsid w:val="0070697F"/>
    <w:rsid w:val="007103C4"/>
    <w:rsid w:val="0071148D"/>
    <w:rsid w:val="007117D1"/>
    <w:rsid w:val="00713B73"/>
    <w:rsid w:val="0072199C"/>
    <w:rsid w:val="00722C9F"/>
    <w:rsid w:val="00723DA1"/>
    <w:rsid w:val="007253B8"/>
    <w:rsid w:val="00736D8A"/>
    <w:rsid w:val="0073741F"/>
    <w:rsid w:val="00755B7A"/>
    <w:rsid w:val="0076643F"/>
    <w:rsid w:val="00777F63"/>
    <w:rsid w:val="007932A1"/>
    <w:rsid w:val="007A3912"/>
    <w:rsid w:val="007A5817"/>
    <w:rsid w:val="007B05C4"/>
    <w:rsid w:val="007B5ED7"/>
    <w:rsid w:val="007B60E9"/>
    <w:rsid w:val="007B6CC3"/>
    <w:rsid w:val="007B76D3"/>
    <w:rsid w:val="007C3334"/>
    <w:rsid w:val="007D2B98"/>
    <w:rsid w:val="007E21BC"/>
    <w:rsid w:val="007E2845"/>
    <w:rsid w:val="007E558A"/>
    <w:rsid w:val="007E5F24"/>
    <w:rsid w:val="007E7C82"/>
    <w:rsid w:val="007F0D47"/>
    <w:rsid w:val="007F2AA1"/>
    <w:rsid w:val="007F588D"/>
    <w:rsid w:val="00801E2B"/>
    <w:rsid w:val="00803F1C"/>
    <w:rsid w:val="0080600E"/>
    <w:rsid w:val="008109E7"/>
    <w:rsid w:val="00810C0A"/>
    <w:rsid w:val="00814688"/>
    <w:rsid w:val="00817612"/>
    <w:rsid w:val="00817E53"/>
    <w:rsid w:val="008338A4"/>
    <w:rsid w:val="00834D49"/>
    <w:rsid w:val="00837C45"/>
    <w:rsid w:val="008436B8"/>
    <w:rsid w:val="00844730"/>
    <w:rsid w:val="008457C2"/>
    <w:rsid w:val="00845A84"/>
    <w:rsid w:val="00846373"/>
    <w:rsid w:val="00857856"/>
    <w:rsid w:val="00857A82"/>
    <w:rsid w:val="00862186"/>
    <w:rsid w:val="00873836"/>
    <w:rsid w:val="00885737"/>
    <w:rsid w:val="00890650"/>
    <w:rsid w:val="008944DC"/>
    <w:rsid w:val="00897E12"/>
    <w:rsid w:val="008A0C42"/>
    <w:rsid w:val="008A7E0F"/>
    <w:rsid w:val="008B12F5"/>
    <w:rsid w:val="008B3EEF"/>
    <w:rsid w:val="008B6270"/>
    <w:rsid w:val="008C5E2D"/>
    <w:rsid w:val="008C73AD"/>
    <w:rsid w:val="008D768D"/>
    <w:rsid w:val="008E3759"/>
    <w:rsid w:val="008E3BFE"/>
    <w:rsid w:val="008F1912"/>
    <w:rsid w:val="008F2B9D"/>
    <w:rsid w:val="008F734E"/>
    <w:rsid w:val="0090270B"/>
    <w:rsid w:val="0090316C"/>
    <w:rsid w:val="009041DC"/>
    <w:rsid w:val="00917B5A"/>
    <w:rsid w:val="00920A58"/>
    <w:rsid w:val="00920A8C"/>
    <w:rsid w:val="009242FA"/>
    <w:rsid w:val="00934A2C"/>
    <w:rsid w:val="00934B96"/>
    <w:rsid w:val="009423F9"/>
    <w:rsid w:val="0094348E"/>
    <w:rsid w:val="00963610"/>
    <w:rsid w:val="0096706E"/>
    <w:rsid w:val="00970300"/>
    <w:rsid w:val="00974491"/>
    <w:rsid w:val="00975C4E"/>
    <w:rsid w:val="00981FBA"/>
    <w:rsid w:val="0099672D"/>
    <w:rsid w:val="00997BC5"/>
    <w:rsid w:val="009A4F41"/>
    <w:rsid w:val="009A56CE"/>
    <w:rsid w:val="009A6E68"/>
    <w:rsid w:val="009B14CE"/>
    <w:rsid w:val="009B381B"/>
    <w:rsid w:val="009C469D"/>
    <w:rsid w:val="009C65F7"/>
    <w:rsid w:val="009D0373"/>
    <w:rsid w:val="009D14CA"/>
    <w:rsid w:val="009D1753"/>
    <w:rsid w:val="009D7611"/>
    <w:rsid w:val="009E0B61"/>
    <w:rsid w:val="009E51E4"/>
    <w:rsid w:val="009E53DE"/>
    <w:rsid w:val="009E7581"/>
    <w:rsid w:val="00A00076"/>
    <w:rsid w:val="00A04F4D"/>
    <w:rsid w:val="00A11212"/>
    <w:rsid w:val="00A11E44"/>
    <w:rsid w:val="00A13944"/>
    <w:rsid w:val="00A15562"/>
    <w:rsid w:val="00A17D02"/>
    <w:rsid w:val="00A30100"/>
    <w:rsid w:val="00A328B3"/>
    <w:rsid w:val="00A46F47"/>
    <w:rsid w:val="00A50FCF"/>
    <w:rsid w:val="00A528D1"/>
    <w:rsid w:val="00A60788"/>
    <w:rsid w:val="00A610CD"/>
    <w:rsid w:val="00A62B09"/>
    <w:rsid w:val="00A727EF"/>
    <w:rsid w:val="00A73855"/>
    <w:rsid w:val="00A758AA"/>
    <w:rsid w:val="00A87538"/>
    <w:rsid w:val="00AA09A2"/>
    <w:rsid w:val="00AA7996"/>
    <w:rsid w:val="00AB41E5"/>
    <w:rsid w:val="00AB5E2D"/>
    <w:rsid w:val="00AB6CB4"/>
    <w:rsid w:val="00AC1852"/>
    <w:rsid w:val="00AC19CB"/>
    <w:rsid w:val="00AE5488"/>
    <w:rsid w:val="00AE6F91"/>
    <w:rsid w:val="00AE736B"/>
    <w:rsid w:val="00AF466D"/>
    <w:rsid w:val="00AF5571"/>
    <w:rsid w:val="00B04818"/>
    <w:rsid w:val="00B05BF3"/>
    <w:rsid w:val="00B07341"/>
    <w:rsid w:val="00B106CF"/>
    <w:rsid w:val="00B30539"/>
    <w:rsid w:val="00B314DB"/>
    <w:rsid w:val="00B361F2"/>
    <w:rsid w:val="00B3718B"/>
    <w:rsid w:val="00B3745F"/>
    <w:rsid w:val="00B37A6E"/>
    <w:rsid w:val="00B4632A"/>
    <w:rsid w:val="00B4692F"/>
    <w:rsid w:val="00B530F1"/>
    <w:rsid w:val="00B55C2E"/>
    <w:rsid w:val="00B615E3"/>
    <w:rsid w:val="00B6459D"/>
    <w:rsid w:val="00B67158"/>
    <w:rsid w:val="00B712EE"/>
    <w:rsid w:val="00B83DEB"/>
    <w:rsid w:val="00B93D7F"/>
    <w:rsid w:val="00BA276C"/>
    <w:rsid w:val="00BA725B"/>
    <w:rsid w:val="00BB019D"/>
    <w:rsid w:val="00BB306F"/>
    <w:rsid w:val="00BC1547"/>
    <w:rsid w:val="00BD0FF5"/>
    <w:rsid w:val="00BD4B89"/>
    <w:rsid w:val="00BD5922"/>
    <w:rsid w:val="00BE1633"/>
    <w:rsid w:val="00BF02CB"/>
    <w:rsid w:val="00BF6FD8"/>
    <w:rsid w:val="00BF76DD"/>
    <w:rsid w:val="00C03680"/>
    <w:rsid w:val="00C054DF"/>
    <w:rsid w:val="00C0678E"/>
    <w:rsid w:val="00C20EDF"/>
    <w:rsid w:val="00C21762"/>
    <w:rsid w:val="00C21FEF"/>
    <w:rsid w:val="00C22185"/>
    <w:rsid w:val="00C23BA4"/>
    <w:rsid w:val="00C24543"/>
    <w:rsid w:val="00C256A2"/>
    <w:rsid w:val="00C25ADB"/>
    <w:rsid w:val="00C333E6"/>
    <w:rsid w:val="00C34A22"/>
    <w:rsid w:val="00C3572A"/>
    <w:rsid w:val="00C47976"/>
    <w:rsid w:val="00C51515"/>
    <w:rsid w:val="00C53920"/>
    <w:rsid w:val="00C53B96"/>
    <w:rsid w:val="00C5660B"/>
    <w:rsid w:val="00C66B72"/>
    <w:rsid w:val="00C80547"/>
    <w:rsid w:val="00C87AC4"/>
    <w:rsid w:val="00C9567A"/>
    <w:rsid w:val="00C97E99"/>
    <w:rsid w:val="00CB1938"/>
    <w:rsid w:val="00CB212D"/>
    <w:rsid w:val="00CB2660"/>
    <w:rsid w:val="00CB5532"/>
    <w:rsid w:val="00CB57DD"/>
    <w:rsid w:val="00CC242E"/>
    <w:rsid w:val="00CC5E90"/>
    <w:rsid w:val="00CD046C"/>
    <w:rsid w:val="00CD3D3B"/>
    <w:rsid w:val="00CD4E89"/>
    <w:rsid w:val="00CE076C"/>
    <w:rsid w:val="00CE5199"/>
    <w:rsid w:val="00CE66D5"/>
    <w:rsid w:val="00CF637A"/>
    <w:rsid w:val="00D059DE"/>
    <w:rsid w:val="00D05ABD"/>
    <w:rsid w:val="00D073C3"/>
    <w:rsid w:val="00D13FCE"/>
    <w:rsid w:val="00D306D1"/>
    <w:rsid w:val="00D30800"/>
    <w:rsid w:val="00D3350E"/>
    <w:rsid w:val="00D3442D"/>
    <w:rsid w:val="00D34786"/>
    <w:rsid w:val="00D37BFC"/>
    <w:rsid w:val="00D468F4"/>
    <w:rsid w:val="00D47A8E"/>
    <w:rsid w:val="00D502A4"/>
    <w:rsid w:val="00D52D14"/>
    <w:rsid w:val="00D712D3"/>
    <w:rsid w:val="00D71422"/>
    <w:rsid w:val="00D72DC6"/>
    <w:rsid w:val="00D73E33"/>
    <w:rsid w:val="00D7558D"/>
    <w:rsid w:val="00D77D4A"/>
    <w:rsid w:val="00D81D92"/>
    <w:rsid w:val="00D83A40"/>
    <w:rsid w:val="00D86E2F"/>
    <w:rsid w:val="00D876F9"/>
    <w:rsid w:val="00D957EA"/>
    <w:rsid w:val="00D97E14"/>
    <w:rsid w:val="00DA674D"/>
    <w:rsid w:val="00DA6966"/>
    <w:rsid w:val="00DA7B5F"/>
    <w:rsid w:val="00DA7DE4"/>
    <w:rsid w:val="00DB3F4E"/>
    <w:rsid w:val="00DC11E7"/>
    <w:rsid w:val="00DC24E3"/>
    <w:rsid w:val="00DC306A"/>
    <w:rsid w:val="00DC6961"/>
    <w:rsid w:val="00DC7023"/>
    <w:rsid w:val="00DC769A"/>
    <w:rsid w:val="00DD1899"/>
    <w:rsid w:val="00DD3D86"/>
    <w:rsid w:val="00DD4AD2"/>
    <w:rsid w:val="00DE2862"/>
    <w:rsid w:val="00DE2EF3"/>
    <w:rsid w:val="00DF1EC4"/>
    <w:rsid w:val="00E0340B"/>
    <w:rsid w:val="00E03EEB"/>
    <w:rsid w:val="00E04A90"/>
    <w:rsid w:val="00E0551F"/>
    <w:rsid w:val="00E1302D"/>
    <w:rsid w:val="00E219C7"/>
    <w:rsid w:val="00E24A29"/>
    <w:rsid w:val="00E4118C"/>
    <w:rsid w:val="00E43157"/>
    <w:rsid w:val="00E44081"/>
    <w:rsid w:val="00E461CE"/>
    <w:rsid w:val="00E511CE"/>
    <w:rsid w:val="00E573E4"/>
    <w:rsid w:val="00E6145E"/>
    <w:rsid w:val="00E64C3D"/>
    <w:rsid w:val="00E720CA"/>
    <w:rsid w:val="00E746AC"/>
    <w:rsid w:val="00E768B3"/>
    <w:rsid w:val="00E84EB5"/>
    <w:rsid w:val="00E85662"/>
    <w:rsid w:val="00E8789F"/>
    <w:rsid w:val="00E90A88"/>
    <w:rsid w:val="00E97B71"/>
    <w:rsid w:val="00EA036F"/>
    <w:rsid w:val="00EA3D34"/>
    <w:rsid w:val="00EA447E"/>
    <w:rsid w:val="00EA76D5"/>
    <w:rsid w:val="00EB454D"/>
    <w:rsid w:val="00EC4566"/>
    <w:rsid w:val="00ED0181"/>
    <w:rsid w:val="00ED549D"/>
    <w:rsid w:val="00ED5E10"/>
    <w:rsid w:val="00ED76BE"/>
    <w:rsid w:val="00EE00E9"/>
    <w:rsid w:val="00EF1AAA"/>
    <w:rsid w:val="00EF4AB7"/>
    <w:rsid w:val="00EF5F88"/>
    <w:rsid w:val="00EF619B"/>
    <w:rsid w:val="00F00B55"/>
    <w:rsid w:val="00F02AD1"/>
    <w:rsid w:val="00F06A79"/>
    <w:rsid w:val="00F10E0C"/>
    <w:rsid w:val="00F21BFF"/>
    <w:rsid w:val="00F24E86"/>
    <w:rsid w:val="00F253CC"/>
    <w:rsid w:val="00F278FA"/>
    <w:rsid w:val="00F37106"/>
    <w:rsid w:val="00F43219"/>
    <w:rsid w:val="00F44E25"/>
    <w:rsid w:val="00F519CF"/>
    <w:rsid w:val="00F56BA5"/>
    <w:rsid w:val="00F56ECB"/>
    <w:rsid w:val="00F60E22"/>
    <w:rsid w:val="00F64AC1"/>
    <w:rsid w:val="00F650AD"/>
    <w:rsid w:val="00F665E8"/>
    <w:rsid w:val="00F81395"/>
    <w:rsid w:val="00F81BB8"/>
    <w:rsid w:val="00F852B3"/>
    <w:rsid w:val="00F87DEA"/>
    <w:rsid w:val="00F90C64"/>
    <w:rsid w:val="00F917D1"/>
    <w:rsid w:val="00F9653B"/>
    <w:rsid w:val="00FB1DFC"/>
    <w:rsid w:val="00FB241F"/>
    <w:rsid w:val="00FB3255"/>
    <w:rsid w:val="00FB3AAA"/>
    <w:rsid w:val="00FB62CF"/>
    <w:rsid w:val="00FB67B2"/>
    <w:rsid w:val="00FB74AB"/>
    <w:rsid w:val="00FC3F53"/>
    <w:rsid w:val="00FD3C3B"/>
    <w:rsid w:val="00FE07DD"/>
    <w:rsid w:val="00FE6B45"/>
    <w:rsid w:val="00FF55F3"/>
    <w:rsid w:val="00FF5851"/>
    <w:rsid w:val="00FF66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CB57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CB57DD"/>
  </w:style>
  <w:style w:type="numbering" w:customStyle="1" w:styleId="List210">
    <w:name w:val="List 21"/>
    <w:pPr>
      <w:numPr>
        <w:numId w:val="52"/>
      </w:numPr>
    </w:pPr>
  </w:style>
  <w:style w:type="character" w:customStyle="1" w:styleId="eop">
    <w:name w:val="eop"/>
    <w:basedOn w:val="DefaultParagraphFont"/>
    <w:rsid w:val="00CB57DD"/>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0">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
    <w:name w:val="List 2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0">
    <w:name w:val="List 3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0">
    <w:name w:val="List 4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
    <w:name w:val="List 5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01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r2">
    <w:name w:val="Char2"/>
    <w:basedOn w:val="Normal"/>
    <w:link w:val="FootnoteReference"/>
    <w:rsid w:val="00CD3D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88661282">
      <w:bodyDiv w:val="1"/>
      <w:marLeft w:val="0"/>
      <w:marRight w:val="0"/>
      <w:marTop w:val="0"/>
      <w:marBottom w:val="0"/>
      <w:divBdr>
        <w:top w:val="none" w:sz="0" w:space="0" w:color="auto"/>
        <w:left w:val="none" w:sz="0" w:space="0" w:color="auto"/>
        <w:bottom w:val="none" w:sz="0" w:space="0" w:color="auto"/>
        <w:right w:val="none" w:sz="0" w:space="0" w:color="auto"/>
      </w:divBdr>
      <w:divsChild>
        <w:div w:id="671027760">
          <w:marLeft w:val="0"/>
          <w:marRight w:val="0"/>
          <w:marTop w:val="0"/>
          <w:marBottom w:val="0"/>
          <w:divBdr>
            <w:top w:val="none" w:sz="0" w:space="0" w:color="auto"/>
            <w:left w:val="none" w:sz="0" w:space="0" w:color="auto"/>
            <w:bottom w:val="none" w:sz="0" w:space="0" w:color="auto"/>
            <w:right w:val="none" w:sz="0" w:space="0" w:color="auto"/>
          </w:divBdr>
          <w:divsChild>
            <w:div w:id="1560821771">
              <w:marLeft w:val="0"/>
              <w:marRight w:val="0"/>
              <w:marTop w:val="0"/>
              <w:marBottom w:val="0"/>
              <w:divBdr>
                <w:top w:val="none" w:sz="0" w:space="0" w:color="auto"/>
                <w:left w:val="none" w:sz="0" w:space="0" w:color="auto"/>
                <w:bottom w:val="none" w:sz="0" w:space="0" w:color="auto"/>
                <w:right w:val="none" w:sz="0" w:space="0" w:color="auto"/>
              </w:divBdr>
              <w:divsChild>
                <w:div w:id="977344112">
                  <w:marLeft w:val="0"/>
                  <w:marRight w:val="0"/>
                  <w:marTop w:val="0"/>
                  <w:marBottom w:val="0"/>
                  <w:divBdr>
                    <w:top w:val="none" w:sz="0" w:space="0" w:color="auto"/>
                    <w:left w:val="none" w:sz="0" w:space="0" w:color="auto"/>
                    <w:bottom w:val="none" w:sz="0" w:space="0" w:color="auto"/>
                    <w:right w:val="none" w:sz="0" w:space="0" w:color="auto"/>
                  </w:divBdr>
                </w:div>
              </w:divsChild>
            </w:div>
            <w:div w:id="1036271047">
              <w:marLeft w:val="0"/>
              <w:marRight w:val="0"/>
              <w:marTop w:val="0"/>
              <w:marBottom w:val="0"/>
              <w:divBdr>
                <w:top w:val="none" w:sz="0" w:space="0" w:color="auto"/>
                <w:left w:val="none" w:sz="0" w:space="0" w:color="auto"/>
                <w:bottom w:val="none" w:sz="0" w:space="0" w:color="auto"/>
                <w:right w:val="none" w:sz="0" w:space="0" w:color="auto"/>
              </w:divBdr>
              <w:divsChild>
                <w:div w:id="21416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B5BBB"/>
    <w:rsid w:val="004C2B5E"/>
    <w:rsid w:val="004F2DF8"/>
    <w:rsid w:val="00517E2A"/>
    <w:rsid w:val="006D3128"/>
    <w:rsid w:val="006F24A1"/>
    <w:rsid w:val="00875B8A"/>
    <w:rsid w:val="008953BC"/>
    <w:rsid w:val="009A261B"/>
    <w:rsid w:val="00AA2E17"/>
    <w:rsid w:val="00AC15A4"/>
    <w:rsid w:val="00B0336C"/>
    <w:rsid w:val="00B8261C"/>
    <w:rsid w:val="00BA6EF5"/>
    <w:rsid w:val="00C62188"/>
    <w:rsid w:val="00D01160"/>
    <w:rsid w:val="00D241E9"/>
    <w:rsid w:val="00D7750D"/>
    <w:rsid w:val="00F00D2F"/>
    <w:rsid w:val="00F128DF"/>
    <w:rsid w:val="00F63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368433-EC9F-F44E-ACE1-453F5D525F21}">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2667</Words>
  <Characters>15205</Characters>
  <Application>Microsoft Office Word</Application>
  <DocSecurity>0</DocSecurity>
  <Lines>126</Lines>
  <Paragraphs>35</Paragraphs>
  <ScaleCrop>false</ScaleCrop>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2023-03-24T18:21:00Z</dcterms:created>
  <dcterms:modified xsi:type="dcterms:W3CDTF">2023-03-24T18:21:00Z</dcterms:modified>
</cp:coreProperties>
</file>