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3713C" w:rsidRDefault="00D306D1" w:rsidP="00627C9F">
      <w:pPr>
        <w:jc w:val="both"/>
        <w:rPr>
          <w:rFonts w:ascii="Cambria" w:hAnsi="Cambria" w:cs="Univers"/>
          <w:b/>
          <w:bCs/>
          <w:sz w:val="20"/>
          <w:szCs w:val="20"/>
          <w:lang w:val="es-ES_tradnl"/>
        </w:rPr>
      </w:pPr>
      <w:r w:rsidRPr="00B3713C">
        <w:rPr>
          <w:rFonts w:ascii="Cambria" w:hAnsi="Cambria"/>
          <w:noProof/>
          <w:sz w:val="20"/>
          <w:szCs w:val="20"/>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8641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B3713C">
        <w:rPr>
          <w:rFonts w:ascii="Cambria" w:hAnsi="Cambria"/>
          <w:noProof/>
          <w:sz w:val="20"/>
          <w:szCs w:val="20"/>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3713C">
        <w:rPr>
          <w:rFonts w:ascii="Cambria" w:hAnsi="Cambria" w:cs="Univers"/>
          <w:b/>
          <w:bCs/>
          <w:sz w:val="20"/>
          <w:szCs w:val="20"/>
          <w:lang w:val="es-ES_tradnl"/>
        </w:rPr>
        <w:t xml:space="preserve"> </w:t>
      </w:r>
    </w:p>
    <w:p w14:paraId="751BC92D" w14:textId="77777777" w:rsidR="00040C3A" w:rsidRPr="00B3713C" w:rsidRDefault="00040C3A" w:rsidP="00040C3A">
      <w:pPr>
        <w:tabs>
          <w:tab w:val="center" w:pos="5400"/>
        </w:tabs>
        <w:suppressAutoHyphens/>
        <w:jc w:val="both"/>
        <w:rPr>
          <w:rFonts w:ascii="Cambria" w:hAnsi="Cambria"/>
          <w:sz w:val="20"/>
          <w:szCs w:val="20"/>
          <w:lang w:val="es-ES"/>
        </w:rPr>
      </w:pPr>
    </w:p>
    <w:p w14:paraId="4601B0E5" w14:textId="77777777" w:rsidR="00040C3A" w:rsidRPr="00B3713C" w:rsidRDefault="00040C3A" w:rsidP="00040C3A">
      <w:pPr>
        <w:tabs>
          <w:tab w:val="center" w:pos="5400"/>
        </w:tabs>
        <w:suppressAutoHyphens/>
        <w:jc w:val="both"/>
        <w:rPr>
          <w:rFonts w:ascii="Cambria" w:hAnsi="Cambria"/>
          <w:sz w:val="20"/>
          <w:szCs w:val="20"/>
          <w:lang w:val="es-ES"/>
        </w:rPr>
      </w:pPr>
    </w:p>
    <w:p w14:paraId="49EC0A3F" w14:textId="77777777" w:rsidR="005128E4" w:rsidRPr="00B3713C" w:rsidRDefault="005128E4" w:rsidP="00040C3A">
      <w:pPr>
        <w:tabs>
          <w:tab w:val="center" w:pos="5400"/>
        </w:tabs>
        <w:suppressAutoHyphens/>
        <w:rPr>
          <w:rFonts w:ascii="Cambria" w:hAnsi="Cambria"/>
          <w:sz w:val="20"/>
          <w:szCs w:val="20"/>
          <w:lang w:val="es-ES_tradnl"/>
        </w:rPr>
      </w:pPr>
    </w:p>
    <w:p w14:paraId="7F51F08B" w14:textId="77777777" w:rsidR="005128E4" w:rsidRPr="00B3713C" w:rsidRDefault="005128E4" w:rsidP="00040C3A">
      <w:pPr>
        <w:tabs>
          <w:tab w:val="center" w:pos="5400"/>
        </w:tabs>
        <w:suppressAutoHyphens/>
        <w:rPr>
          <w:rFonts w:ascii="Cambria" w:hAnsi="Cambria"/>
          <w:sz w:val="20"/>
          <w:szCs w:val="20"/>
          <w:lang w:val="es-ES_tradnl"/>
        </w:rPr>
      </w:pPr>
    </w:p>
    <w:p w14:paraId="058606A7" w14:textId="77777777" w:rsidR="005128E4" w:rsidRPr="00B3713C" w:rsidRDefault="005128E4" w:rsidP="00040C3A">
      <w:pPr>
        <w:tabs>
          <w:tab w:val="center" w:pos="5400"/>
        </w:tabs>
        <w:suppressAutoHyphens/>
        <w:rPr>
          <w:rFonts w:ascii="Cambria" w:hAnsi="Cambria"/>
          <w:sz w:val="20"/>
          <w:szCs w:val="20"/>
          <w:lang w:val="es-ES_tradnl"/>
        </w:rPr>
      </w:pPr>
    </w:p>
    <w:p w14:paraId="01B9D56A" w14:textId="77777777" w:rsidR="00040C3A" w:rsidRPr="00B3713C" w:rsidRDefault="00040C3A" w:rsidP="005128E4">
      <w:pPr>
        <w:tabs>
          <w:tab w:val="center" w:pos="5400"/>
        </w:tabs>
        <w:suppressAutoHyphens/>
        <w:jc w:val="center"/>
        <w:rPr>
          <w:rFonts w:ascii="Cambria" w:hAnsi="Cambria"/>
          <w:sz w:val="20"/>
          <w:szCs w:val="20"/>
          <w:lang w:val="es-ES_tradnl"/>
        </w:rPr>
      </w:pPr>
    </w:p>
    <w:p w14:paraId="513D0572" w14:textId="77777777" w:rsidR="00040C3A" w:rsidRPr="00B3713C" w:rsidRDefault="00040C3A" w:rsidP="005128E4">
      <w:pPr>
        <w:tabs>
          <w:tab w:val="center" w:pos="5400"/>
        </w:tabs>
        <w:suppressAutoHyphens/>
        <w:jc w:val="center"/>
        <w:rPr>
          <w:rFonts w:ascii="Cambria" w:hAnsi="Cambria"/>
          <w:sz w:val="20"/>
          <w:szCs w:val="20"/>
          <w:lang w:val="es-ES_tradnl"/>
        </w:rPr>
      </w:pPr>
    </w:p>
    <w:p w14:paraId="2D06BA43" w14:textId="77777777" w:rsidR="005B52B0" w:rsidRPr="00B3713C" w:rsidRDefault="005B52B0" w:rsidP="005128E4">
      <w:pPr>
        <w:tabs>
          <w:tab w:val="center" w:pos="5400"/>
        </w:tabs>
        <w:suppressAutoHyphens/>
        <w:jc w:val="center"/>
        <w:rPr>
          <w:rFonts w:ascii="Cambria" w:hAnsi="Cambria"/>
          <w:sz w:val="20"/>
          <w:szCs w:val="20"/>
          <w:lang w:val="es-ES_tradnl"/>
        </w:rPr>
      </w:pPr>
    </w:p>
    <w:p w14:paraId="762470A2" w14:textId="77777777" w:rsidR="005B52B0" w:rsidRPr="00B3713C" w:rsidRDefault="005B52B0" w:rsidP="005128E4">
      <w:pPr>
        <w:tabs>
          <w:tab w:val="center" w:pos="5400"/>
        </w:tabs>
        <w:suppressAutoHyphens/>
        <w:jc w:val="center"/>
        <w:rPr>
          <w:rFonts w:ascii="Cambria" w:hAnsi="Cambria"/>
          <w:sz w:val="20"/>
          <w:szCs w:val="20"/>
          <w:lang w:val="es-ES_tradnl"/>
        </w:rPr>
      </w:pPr>
    </w:p>
    <w:p w14:paraId="6F01DDF3" w14:textId="77777777" w:rsidR="005B52B0" w:rsidRPr="00B3713C" w:rsidRDefault="005B52B0" w:rsidP="005128E4">
      <w:pPr>
        <w:tabs>
          <w:tab w:val="center" w:pos="5400"/>
        </w:tabs>
        <w:suppressAutoHyphens/>
        <w:jc w:val="center"/>
        <w:rPr>
          <w:rFonts w:ascii="Cambria" w:hAnsi="Cambria"/>
          <w:sz w:val="20"/>
          <w:szCs w:val="20"/>
          <w:lang w:val="es-ES_tradnl"/>
        </w:rPr>
      </w:pPr>
    </w:p>
    <w:p w14:paraId="35ACB115" w14:textId="77777777" w:rsidR="00040C3A" w:rsidRPr="00B3713C" w:rsidRDefault="00040C3A" w:rsidP="00040C3A">
      <w:pPr>
        <w:tabs>
          <w:tab w:val="center" w:pos="5400"/>
        </w:tabs>
        <w:suppressAutoHyphens/>
        <w:jc w:val="center"/>
        <w:rPr>
          <w:rFonts w:ascii="Cambria" w:hAnsi="Cambria"/>
          <w:sz w:val="20"/>
          <w:szCs w:val="20"/>
          <w:lang w:val="es-ES_tradnl"/>
        </w:rPr>
      </w:pPr>
    </w:p>
    <w:p w14:paraId="3D124B92" w14:textId="77777777" w:rsidR="00040C3A" w:rsidRPr="00B3713C" w:rsidRDefault="00040C3A" w:rsidP="00040C3A">
      <w:pPr>
        <w:tabs>
          <w:tab w:val="center" w:pos="5400"/>
        </w:tabs>
        <w:suppressAutoHyphens/>
        <w:jc w:val="center"/>
        <w:rPr>
          <w:rFonts w:ascii="Cambria" w:hAnsi="Cambria"/>
          <w:sz w:val="20"/>
          <w:szCs w:val="20"/>
          <w:lang w:val="es-ES_tradnl"/>
        </w:rPr>
      </w:pPr>
    </w:p>
    <w:p w14:paraId="01E9EAD2" w14:textId="608E86A2" w:rsidR="00040C3A" w:rsidRPr="00B3713C" w:rsidRDefault="003D3BC2" w:rsidP="00040C3A">
      <w:pPr>
        <w:tabs>
          <w:tab w:val="center" w:pos="5400"/>
        </w:tabs>
        <w:suppressAutoHyphens/>
        <w:jc w:val="center"/>
        <w:rPr>
          <w:rFonts w:ascii="Cambria" w:hAnsi="Cambria"/>
          <w:sz w:val="20"/>
          <w:szCs w:val="20"/>
          <w:lang w:val="es-ES_tradnl"/>
        </w:rPr>
      </w:pPr>
      <w:r w:rsidRPr="00B3713C">
        <w:rPr>
          <w:rFonts w:ascii="Cambria" w:hAnsi="Cambria"/>
          <w:noProof/>
          <w:sz w:val="20"/>
          <w:szCs w:val="20"/>
        </w:rPr>
        <mc:AlternateContent>
          <mc:Choice Requires="wps">
            <w:drawing>
              <wp:anchor distT="0" distB="0" distL="114300" distR="114300" simplePos="0" relativeHeight="251669504" behindDoc="0" locked="0" layoutInCell="1" allowOverlap="1" wp14:anchorId="65C56D75" wp14:editId="651C19E3">
                <wp:simplePos x="0" y="0"/>
                <wp:positionH relativeFrom="column">
                  <wp:posOffset>1352550</wp:posOffset>
                </wp:positionH>
                <wp:positionV relativeFrom="paragraph">
                  <wp:posOffset>113291</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CB23A2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F5318">
                              <w:rPr>
                                <w:rFonts w:asciiTheme="majorHAnsi" w:hAnsiTheme="majorHAnsi" w:cs="Arial"/>
                                <w:b/>
                                <w:bCs/>
                                <w:color w:val="0D0D0D" w:themeColor="text1" w:themeTint="F2"/>
                                <w:sz w:val="36"/>
                                <w:szCs w:val="22"/>
                                <w:lang w:val="es-ES_tradnl"/>
                              </w:rPr>
                              <w:t>28</w:t>
                            </w:r>
                            <w:r w:rsidR="007B05C4">
                              <w:rPr>
                                <w:rFonts w:asciiTheme="majorHAnsi" w:hAnsiTheme="majorHAnsi" w:cs="Arial"/>
                                <w:b/>
                                <w:bCs/>
                                <w:color w:val="0D0D0D" w:themeColor="text1" w:themeTint="F2"/>
                                <w:sz w:val="36"/>
                                <w:szCs w:val="22"/>
                                <w:lang w:val="es-ES_tradnl"/>
                              </w:rPr>
                              <w:t>/</w:t>
                            </w:r>
                            <w:r w:rsidR="002571C4">
                              <w:rPr>
                                <w:rFonts w:asciiTheme="majorHAnsi" w:hAnsiTheme="majorHAnsi" w:cs="Arial"/>
                                <w:b/>
                                <w:bCs/>
                                <w:color w:val="0D0D0D" w:themeColor="text1" w:themeTint="F2"/>
                                <w:sz w:val="36"/>
                                <w:szCs w:val="22"/>
                                <w:lang w:val="es-ES_tradnl"/>
                              </w:rPr>
                              <w:t>23</w:t>
                            </w:r>
                          </w:p>
                          <w:p w14:paraId="45F30ECA" w14:textId="4C20965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0779E">
                              <w:rPr>
                                <w:rFonts w:asciiTheme="majorHAnsi" w:hAnsiTheme="majorHAnsi" w:cs="Arial"/>
                                <w:b/>
                                <w:color w:val="0D0D0D" w:themeColor="text1" w:themeTint="F2"/>
                                <w:sz w:val="36"/>
                                <w:szCs w:val="22"/>
                                <w:lang w:val="es-ES_tradnl"/>
                              </w:rPr>
                              <w:t>1371</w:t>
                            </w:r>
                            <w:r w:rsidR="00246D1F" w:rsidRPr="004E2649">
                              <w:rPr>
                                <w:rFonts w:asciiTheme="majorHAnsi" w:hAnsiTheme="majorHAnsi" w:cs="Arial"/>
                                <w:b/>
                                <w:color w:val="0D0D0D" w:themeColor="text1" w:themeTint="F2"/>
                                <w:sz w:val="36"/>
                                <w:szCs w:val="22"/>
                                <w:lang w:val="es-ES_tradnl"/>
                              </w:rPr>
                              <w:t>-</w:t>
                            </w:r>
                            <w:r w:rsidR="0030779E">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50EEB7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17A1D">
                              <w:rPr>
                                <w:rFonts w:asciiTheme="majorHAnsi" w:hAnsiTheme="majorHAnsi" w:cs="Arial"/>
                                <w:color w:val="0D0D0D" w:themeColor="text1" w:themeTint="F2"/>
                                <w:szCs w:val="22"/>
                                <w:lang w:val="es-ES_tradnl"/>
                              </w:rPr>
                              <w:t xml:space="preserve">INFORME DE </w:t>
                            </w:r>
                            <w:r w:rsidR="00976B49">
                              <w:rPr>
                                <w:rFonts w:asciiTheme="majorHAnsi" w:hAnsiTheme="majorHAnsi" w:cs="Arial"/>
                                <w:color w:val="0D0D0D" w:themeColor="text1" w:themeTint="F2"/>
                                <w:szCs w:val="22"/>
                                <w:lang w:val="es-ES_tradnl"/>
                              </w:rPr>
                              <w:t>INA</w:t>
                            </w:r>
                            <w:r w:rsidRPr="00817A1D">
                              <w:rPr>
                                <w:rFonts w:asciiTheme="majorHAnsi" w:hAnsiTheme="majorHAnsi" w:cs="Arial"/>
                                <w:color w:val="0D0D0D" w:themeColor="text1" w:themeTint="F2"/>
                                <w:szCs w:val="22"/>
                                <w:lang w:val="es-ES_tradnl"/>
                              </w:rPr>
                              <w:t>DMISIBILIDAD</w:t>
                            </w:r>
                            <w:r w:rsidR="00F519CF" w:rsidRPr="00817A1D">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4E9EF04" w:rsidR="005B52B0" w:rsidRPr="0010736F" w:rsidRDefault="003C7C1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 DÍAZ GAVIRIA</w:t>
                            </w:r>
                            <w:r w:rsidR="00833B78">
                              <w:rPr>
                                <w:rFonts w:asciiTheme="majorHAnsi" w:hAnsiTheme="majorHAnsi" w:cs="Arial"/>
                                <w:color w:val="0D0D0D" w:themeColor="text1" w:themeTint="F2"/>
                                <w:szCs w:val="22"/>
                                <w:lang w:val="es-ES_tradnl"/>
                              </w:rPr>
                              <w:t xml:space="preserve"> Y OTROS</w:t>
                            </w:r>
                          </w:p>
                          <w:bookmarkEnd w:id="0"/>
                          <w:p w14:paraId="0B9F7D22" w14:textId="23DE0C59" w:rsidR="005B52B0" w:rsidRPr="00F56ECB" w:rsidRDefault="00833B78"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" filled="f" stroked="f" strokeweight=".5pt">
                <v:textbox>
                  <w:txbxContent>
                    <w:p w14:paraId="7D7328D9" w14:textId="1CB23A2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F5318">
                        <w:rPr>
                          <w:rFonts w:asciiTheme="majorHAnsi" w:hAnsiTheme="majorHAnsi" w:cs="Arial"/>
                          <w:b/>
                          <w:bCs/>
                          <w:color w:val="0D0D0D" w:themeColor="text1" w:themeTint="F2"/>
                          <w:sz w:val="36"/>
                          <w:szCs w:val="22"/>
                          <w:lang w:val="es-ES_tradnl"/>
                        </w:rPr>
                        <w:t>28</w:t>
                      </w:r>
                      <w:r w:rsidR="007B05C4">
                        <w:rPr>
                          <w:rFonts w:asciiTheme="majorHAnsi" w:hAnsiTheme="majorHAnsi" w:cs="Arial"/>
                          <w:b/>
                          <w:bCs/>
                          <w:color w:val="0D0D0D" w:themeColor="text1" w:themeTint="F2"/>
                          <w:sz w:val="36"/>
                          <w:szCs w:val="22"/>
                          <w:lang w:val="es-ES_tradnl"/>
                        </w:rPr>
                        <w:t>/</w:t>
                      </w:r>
                      <w:r w:rsidR="002571C4">
                        <w:rPr>
                          <w:rFonts w:asciiTheme="majorHAnsi" w:hAnsiTheme="majorHAnsi" w:cs="Arial"/>
                          <w:b/>
                          <w:bCs/>
                          <w:color w:val="0D0D0D" w:themeColor="text1" w:themeTint="F2"/>
                          <w:sz w:val="36"/>
                          <w:szCs w:val="22"/>
                          <w:lang w:val="es-ES_tradnl"/>
                        </w:rPr>
                        <w:t>23</w:t>
                      </w:r>
                    </w:p>
                    <w:p w14:paraId="45F30ECA" w14:textId="4C20965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0779E">
                        <w:rPr>
                          <w:rFonts w:asciiTheme="majorHAnsi" w:hAnsiTheme="majorHAnsi" w:cs="Arial"/>
                          <w:b/>
                          <w:color w:val="0D0D0D" w:themeColor="text1" w:themeTint="F2"/>
                          <w:sz w:val="36"/>
                          <w:szCs w:val="22"/>
                          <w:lang w:val="es-ES_tradnl"/>
                        </w:rPr>
                        <w:t>1371</w:t>
                      </w:r>
                      <w:r w:rsidR="00246D1F" w:rsidRPr="004E2649">
                        <w:rPr>
                          <w:rFonts w:asciiTheme="majorHAnsi" w:hAnsiTheme="majorHAnsi" w:cs="Arial"/>
                          <w:b/>
                          <w:color w:val="0D0D0D" w:themeColor="text1" w:themeTint="F2"/>
                          <w:sz w:val="36"/>
                          <w:szCs w:val="22"/>
                          <w:lang w:val="es-ES_tradnl"/>
                        </w:rPr>
                        <w:t>-</w:t>
                      </w:r>
                      <w:r w:rsidR="0030779E">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50EEB76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817A1D">
                        <w:rPr>
                          <w:rFonts w:asciiTheme="majorHAnsi" w:hAnsiTheme="majorHAnsi" w:cs="Arial"/>
                          <w:color w:val="0D0D0D" w:themeColor="text1" w:themeTint="F2"/>
                          <w:szCs w:val="22"/>
                          <w:lang w:val="es-ES_tradnl"/>
                        </w:rPr>
                        <w:t xml:space="preserve">INFORME DE </w:t>
                      </w:r>
                      <w:r w:rsidR="00976B49">
                        <w:rPr>
                          <w:rFonts w:asciiTheme="majorHAnsi" w:hAnsiTheme="majorHAnsi" w:cs="Arial"/>
                          <w:color w:val="0D0D0D" w:themeColor="text1" w:themeTint="F2"/>
                          <w:szCs w:val="22"/>
                          <w:lang w:val="es-ES_tradnl"/>
                        </w:rPr>
                        <w:t>INA</w:t>
                      </w:r>
                      <w:r w:rsidRPr="00817A1D">
                        <w:rPr>
                          <w:rFonts w:asciiTheme="majorHAnsi" w:hAnsiTheme="majorHAnsi" w:cs="Arial"/>
                          <w:color w:val="0D0D0D" w:themeColor="text1" w:themeTint="F2"/>
                          <w:szCs w:val="22"/>
                          <w:lang w:val="es-ES_tradnl"/>
                        </w:rPr>
                        <w:t>DMISIBILIDAD</w:t>
                      </w:r>
                      <w:r w:rsidR="00F519CF" w:rsidRPr="00817A1D">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4E9EF04" w:rsidR="005B52B0" w:rsidRPr="0010736F" w:rsidRDefault="003C7C1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GONZALO DÍAZ GAVIRIA</w:t>
                      </w:r>
                      <w:r w:rsidR="00833B78">
                        <w:rPr>
                          <w:rFonts w:asciiTheme="majorHAnsi" w:hAnsiTheme="majorHAnsi" w:cs="Arial"/>
                          <w:color w:val="0D0D0D" w:themeColor="text1" w:themeTint="F2"/>
                          <w:szCs w:val="22"/>
                          <w:lang w:val="es-ES_tradnl"/>
                        </w:rPr>
                        <w:t xml:space="preserve"> Y OTROS</w:t>
                      </w:r>
                    </w:p>
                    <w:bookmarkEnd w:id="1"/>
                    <w:p w14:paraId="0B9F7D22" w14:textId="23DE0C59" w:rsidR="005B52B0" w:rsidRPr="00F56ECB" w:rsidRDefault="00833B78"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B3713C">
        <w:rPr>
          <w:rFonts w:ascii="Cambria" w:hAnsi="Cambria"/>
          <w:noProof/>
          <w:sz w:val="20"/>
          <w:szCs w:val="20"/>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C6D96AC" w:rsidR="00627C9F" w:rsidRPr="008B1BD7" w:rsidRDefault="00834D49" w:rsidP="007A5817">
                            <w:pPr>
                              <w:spacing w:line="276" w:lineRule="auto"/>
                              <w:jc w:val="right"/>
                              <w:rPr>
                                <w:rFonts w:asciiTheme="minorHAnsi" w:hAnsiTheme="minorHAnsi"/>
                                <w:color w:val="FFFFFF" w:themeColor="background1"/>
                                <w:sz w:val="22"/>
                                <w:lang w:val="es-AR"/>
                              </w:rPr>
                            </w:pPr>
                            <w:r w:rsidRPr="008B1BD7">
                              <w:rPr>
                                <w:rFonts w:asciiTheme="minorHAnsi" w:hAnsiTheme="minorHAnsi"/>
                                <w:color w:val="FFFFFF" w:themeColor="background1"/>
                                <w:sz w:val="22"/>
                                <w:lang w:val="es-AR"/>
                              </w:rPr>
                              <w:t>OEA/Ser.L/V/II</w:t>
                            </w:r>
                          </w:p>
                          <w:p w14:paraId="71D2D5D2" w14:textId="553791FA" w:rsidR="00627C9F" w:rsidRPr="008B1BD7" w:rsidRDefault="00627C9F" w:rsidP="007A5817">
                            <w:pPr>
                              <w:spacing w:line="276" w:lineRule="auto"/>
                              <w:jc w:val="right"/>
                              <w:rPr>
                                <w:rFonts w:asciiTheme="minorHAnsi" w:hAnsiTheme="minorHAnsi"/>
                                <w:color w:val="FFFFFF" w:themeColor="background1"/>
                                <w:sz w:val="22"/>
                                <w:lang w:val="es-AR"/>
                              </w:rPr>
                            </w:pPr>
                            <w:r w:rsidRPr="008B1BD7">
                              <w:rPr>
                                <w:rFonts w:asciiTheme="minorHAnsi" w:hAnsiTheme="minorHAnsi"/>
                                <w:color w:val="FFFFFF" w:themeColor="background1"/>
                                <w:sz w:val="22"/>
                                <w:lang w:val="es-AR"/>
                              </w:rPr>
                              <w:t xml:space="preserve">Doc. </w:t>
                            </w:r>
                            <w:r w:rsidR="007F5318" w:rsidRPr="008B1BD7">
                              <w:rPr>
                                <w:rFonts w:asciiTheme="minorHAnsi" w:hAnsiTheme="minorHAnsi"/>
                                <w:color w:val="FFFFFF" w:themeColor="background1"/>
                                <w:sz w:val="22"/>
                                <w:lang w:val="es-AR"/>
                              </w:rPr>
                              <w:t>30</w:t>
                            </w:r>
                          </w:p>
                          <w:p w14:paraId="4061DBBD" w14:textId="467D7D0A" w:rsidR="00627C9F" w:rsidRPr="00C25ADB" w:rsidRDefault="007F53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571C4">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C6D96AC" w:rsidR="00627C9F" w:rsidRPr="008B1BD7" w:rsidRDefault="00834D49" w:rsidP="007A5817">
                      <w:pPr>
                        <w:spacing w:line="276" w:lineRule="auto"/>
                        <w:jc w:val="right"/>
                        <w:rPr>
                          <w:rFonts w:asciiTheme="minorHAnsi" w:hAnsiTheme="minorHAnsi"/>
                          <w:color w:val="FFFFFF" w:themeColor="background1"/>
                          <w:sz w:val="22"/>
                          <w:lang w:val="es-AR"/>
                        </w:rPr>
                      </w:pPr>
                      <w:r w:rsidRPr="008B1BD7">
                        <w:rPr>
                          <w:rFonts w:asciiTheme="minorHAnsi" w:hAnsiTheme="minorHAnsi"/>
                          <w:color w:val="FFFFFF" w:themeColor="background1"/>
                          <w:sz w:val="22"/>
                          <w:lang w:val="es-AR"/>
                        </w:rPr>
                        <w:t>OEA/Ser.L/V/II</w:t>
                      </w:r>
                    </w:p>
                    <w:p w14:paraId="71D2D5D2" w14:textId="553791FA" w:rsidR="00627C9F" w:rsidRPr="008B1BD7" w:rsidRDefault="00627C9F" w:rsidP="007A5817">
                      <w:pPr>
                        <w:spacing w:line="276" w:lineRule="auto"/>
                        <w:jc w:val="right"/>
                        <w:rPr>
                          <w:rFonts w:asciiTheme="minorHAnsi" w:hAnsiTheme="minorHAnsi"/>
                          <w:color w:val="FFFFFF" w:themeColor="background1"/>
                          <w:sz w:val="22"/>
                          <w:lang w:val="es-AR"/>
                        </w:rPr>
                      </w:pPr>
                      <w:r w:rsidRPr="008B1BD7">
                        <w:rPr>
                          <w:rFonts w:asciiTheme="minorHAnsi" w:hAnsiTheme="minorHAnsi"/>
                          <w:color w:val="FFFFFF" w:themeColor="background1"/>
                          <w:sz w:val="22"/>
                          <w:lang w:val="es-AR"/>
                        </w:rPr>
                        <w:t xml:space="preserve">Doc. </w:t>
                      </w:r>
                      <w:r w:rsidR="007F5318" w:rsidRPr="008B1BD7">
                        <w:rPr>
                          <w:rFonts w:asciiTheme="minorHAnsi" w:hAnsiTheme="minorHAnsi"/>
                          <w:color w:val="FFFFFF" w:themeColor="background1"/>
                          <w:sz w:val="22"/>
                          <w:lang w:val="es-AR"/>
                        </w:rPr>
                        <w:t>30</w:t>
                      </w:r>
                    </w:p>
                    <w:p w14:paraId="4061DBBD" w14:textId="467D7D0A" w:rsidR="00627C9F" w:rsidRPr="00C25ADB" w:rsidRDefault="007F531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571C4">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3713C" w:rsidRDefault="00040C3A" w:rsidP="00040C3A">
      <w:pPr>
        <w:tabs>
          <w:tab w:val="center" w:pos="5400"/>
        </w:tabs>
        <w:suppressAutoHyphens/>
        <w:jc w:val="center"/>
        <w:rPr>
          <w:rFonts w:ascii="Cambria" w:hAnsi="Cambria"/>
          <w:sz w:val="20"/>
          <w:szCs w:val="20"/>
          <w:lang w:val="es-ES_tradnl"/>
        </w:rPr>
      </w:pPr>
    </w:p>
    <w:p w14:paraId="529AB783" w14:textId="77777777" w:rsidR="00040C3A" w:rsidRPr="00B3713C" w:rsidRDefault="00040C3A" w:rsidP="00040C3A">
      <w:pPr>
        <w:tabs>
          <w:tab w:val="center" w:pos="5400"/>
        </w:tabs>
        <w:suppressAutoHyphens/>
        <w:jc w:val="center"/>
        <w:rPr>
          <w:rFonts w:ascii="Cambria" w:hAnsi="Cambria"/>
          <w:sz w:val="20"/>
          <w:szCs w:val="20"/>
          <w:lang w:val="es-ES_tradnl"/>
        </w:rPr>
      </w:pPr>
    </w:p>
    <w:p w14:paraId="147F033C" w14:textId="77777777" w:rsidR="00040C3A" w:rsidRPr="00B3713C" w:rsidRDefault="00040C3A" w:rsidP="00040C3A">
      <w:pPr>
        <w:tabs>
          <w:tab w:val="center" w:pos="5400"/>
        </w:tabs>
        <w:suppressAutoHyphens/>
        <w:jc w:val="center"/>
        <w:rPr>
          <w:rFonts w:ascii="Cambria" w:hAnsi="Cambria" w:cs="Arial"/>
          <w:sz w:val="20"/>
          <w:szCs w:val="20"/>
          <w:lang w:val="es-ES_tradnl"/>
        </w:rPr>
      </w:pPr>
    </w:p>
    <w:p w14:paraId="67ABD981" w14:textId="77777777" w:rsidR="00040C3A" w:rsidRPr="00B3713C" w:rsidRDefault="00040C3A" w:rsidP="00040C3A">
      <w:pPr>
        <w:tabs>
          <w:tab w:val="center" w:pos="5400"/>
        </w:tabs>
        <w:suppressAutoHyphens/>
        <w:jc w:val="center"/>
        <w:rPr>
          <w:rFonts w:ascii="Cambria" w:hAnsi="Cambria"/>
          <w:sz w:val="20"/>
          <w:szCs w:val="20"/>
          <w:lang w:val="es-ES_tradnl"/>
        </w:rPr>
      </w:pPr>
    </w:p>
    <w:p w14:paraId="46C4195B" w14:textId="77777777" w:rsidR="00040C3A" w:rsidRPr="00B3713C" w:rsidRDefault="00040C3A" w:rsidP="00040C3A">
      <w:pPr>
        <w:tabs>
          <w:tab w:val="center" w:pos="5400"/>
        </w:tabs>
        <w:suppressAutoHyphens/>
        <w:jc w:val="center"/>
        <w:rPr>
          <w:rFonts w:ascii="Cambria" w:hAnsi="Cambria"/>
          <w:sz w:val="20"/>
          <w:szCs w:val="20"/>
          <w:lang w:val="es-ES_tradnl"/>
        </w:rPr>
      </w:pPr>
    </w:p>
    <w:p w14:paraId="6C0D9CAF" w14:textId="77777777" w:rsidR="00040C3A" w:rsidRPr="00B3713C" w:rsidRDefault="00040C3A" w:rsidP="00040C3A">
      <w:pPr>
        <w:tabs>
          <w:tab w:val="center" w:pos="5400"/>
        </w:tabs>
        <w:suppressAutoHyphens/>
        <w:jc w:val="center"/>
        <w:rPr>
          <w:rFonts w:ascii="Cambria" w:hAnsi="Cambria"/>
          <w:sz w:val="20"/>
          <w:szCs w:val="20"/>
          <w:lang w:val="es-ES_tradnl"/>
        </w:rPr>
      </w:pPr>
    </w:p>
    <w:p w14:paraId="6140E39A" w14:textId="77777777" w:rsidR="00040C3A" w:rsidRPr="00B3713C" w:rsidRDefault="00040C3A" w:rsidP="00040C3A">
      <w:pPr>
        <w:tabs>
          <w:tab w:val="center" w:pos="5400"/>
        </w:tabs>
        <w:suppressAutoHyphens/>
        <w:jc w:val="center"/>
        <w:rPr>
          <w:rFonts w:ascii="Cambria" w:hAnsi="Cambria"/>
          <w:sz w:val="20"/>
          <w:szCs w:val="20"/>
          <w:lang w:val="es-ES_tradnl"/>
        </w:rPr>
      </w:pPr>
    </w:p>
    <w:p w14:paraId="116878DE" w14:textId="77777777" w:rsidR="005128E4" w:rsidRPr="00B3713C" w:rsidRDefault="005128E4" w:rsidP="00040C3A">
      <w:pPr>
        <w:tabs>
          <w:tab w:val="center" w:pos="5400"/>
        </w:tabs>
        <w:suppressAutoHyphens/>
        <w:jc w:val="center"/>
        <w:rPr>
          <w:rFonts w:ascii="Cambria" w:hAnsi="Cambria"/>
          <w:sz w:val="20"/>
          <w:szCs w:val="20"/>
          <w:lang w:val="es-ES_tradnl"/>
        </w:rPr>
      </w:pPr>
    </w:p>
    <w:p w14:paraId="6FF1A208" w14:textId="77777777" w:rsidR="00040C3A" w:rsidRPr="00B3713C" w:rsidRDefault="00040C3A" w:rsidP="00040C3A">
      <w:pPr>
        <w:tabs>
          <w:tab w:val="center" w:pos="5400"/>
        </w:tabs>
        <w:suppressAutoHyphens/>
        <w:jc w:val="center"/>
        <w:rPr>
          <w:rFonts w:ascii="Cambria" w:hAnsi="Cambria"/>
          <w:sz w:val="20"/>
          <w:szCs w:val="20"/>
          <w:lang w:val="es-ES_tradnl"/>
        </w:rPr>
      </w:pPr>
    </w:p>
    <w:p w14:paraId="23E1EE64" w14:textId="77777777" w:rsidR="005128E4" w:rsidRPr="00B3713C" w:rsidRDefault="005128E4" w:rsidP="00040C3A">
      <w:pPr>
        <w:tabs>
          <w:tab w:val="center" w:pos="5400"/>
        </w:tabs>
        <w:suppressAutoHyphens/>
        <w:jc w:val="center"/>
        <w:rPr>
          <w:rFonts w:ascii="Cambria" w:hAnsi="Cambria"/>
          <w:sz w:val="20"/>
          <w:szCs w:val="20"/>
          <w:lang w:val="es-ES_tradnl"/>
        </w:rPr>
      </w:pPr>
    </w:p>
    <w:p w14:paraId="2D8331F2" w14:textId="77777777" w:rsidR="005128E4" w:rsidRPr="00B3713C" w:rsidRDefault="005128E4" w:rsidP="00040C3A">
      <w:pPr>
        <w:tabs>
          <w:tab w:val="center" w:pos="5400"/>
        </w:tabs>
        <w:suppressAutoHyphens/>
        <w:jc w:val="center"/>
        <w:rPr>
          <w:rFonts w:ascii="Cambria" w:hAnsi="Cambria"/>
          <w:sz w:val="20"/>
          <w:szCs w:val="20"/>
          <w:lang w:val="es-ES_tradnl"/>
        </w:rPr>
      </w:pPr>
    </w:p>
    <w:p w14:paraId="1D1FCC8F" w14:textId="77777777" w:rsidR="005128E4" w:rsidRPr="00B3713C" w:rsidRDefault="005128E4" w:rsidP="00040C3A">
      <w:pPr>
        <w:tabs>
          <w:tab w:val="center" w:pos="5400"/>
        </w:tabs>
        <w:suppressAutoHyphens/>
        <w:jc w:val="center"/>
        <w:rPr>
          <w:rFonts w:ascii="Cambria" w:hAnsi="Cambria"/>
          <w:sz w:val="20"/>
          <w:szCs w:val="20"/>
          <w:lang w:val="es-ES_tradnl"/>
        </w:rPr>
      </w:pPr>
    </w:p>
    <w:p w14:paraId="67F753E7" w14:textId="77777777" w:rsidR="00040C3A" w:rsidRPr="00B3713C" w:rsidRDefault="00040C3A" w:rsidP="00040C3A">
      <w:pPr>
        <w:tabs>
          <w:tab w:val="center" w:pos="5400"/>
        </w:tabs>
        <w:suppressAutoHyphens/>
        <w:jc w:val="center"/>
        <w:rPr>
          <w:rFonts w:ascii="Cambria" w:hAnsi="Cambria"/>
          <w:sz w:val="20"/>
          <w:szCs w:val="20"/>
          <w:lang w:val="es-ES_tradnl"/>
        </w:rPr>
      </w:pPr>
    </w:p>
    <w:p w14:paraId="165AA979" w14:textId="77777777" w:rsidR="00040C3A" w:rsidRPr="00B3713C" w:rsidRDefault="00040C3A" w:rsidP="00040C3A">
      <w:pPr>
        <w:tabs>
          <w:tab w:val="center" w:pos="5400"/>
        </w:tabs>
        <w:suppressAutoHyphens/>
        <w:jc w:val="center"/>
        <w:rPr>
          <w:rFonts w:ascii="Cambria" w:hAnsi="Cambria"/>
          <w:sz w:val="20"/>
          <w:szCs w:val="20"/>
          <w:lang w:val="es-ES_tradnl"/>
        </w:rPr>
      </w:pPr>
    </w:p>
    <w:p w14:paraId="2F2457A8" w14:textId="77777777" w:rsidR="00A50FCF" w:rsidRPr="00B3713C" w:rsidRDefault="00A50FCF" w:rsidP="00040C3A">
      <w:pPr>
        <w:tabs>
          <w:tab w:val="center" w:pos="5400"/>
        </w:tabs>
        <w:suppressAutoHyphens/>
        <w:jc w:val="center"/>
        <w:rPr>
          <w:rFonts w:ascii="Cambria" w:hAnsi="Cambria"/>
          <w:sz w:val="20"/>
          <w:szCs w:val="20"/>
          <w:lang w:val="es-ES_tradnl"/>
        </w:rPr>
      </w:pPr>
    </w:p>
    <w:p w14:paraId="20439390" w14:textId="77777777" w:rsidR="00A50FCF" w:rsidRPr="00B3713C" w:rsidRDefault="00A50FCF" w:rsidP="00040C3A">
      <w:pPr>
        <w:tabs>
          <w:tab w:val="center" w:pos="5400"/>
        </w:tabs>
        <w:suppressAutoHyphens/>
        <w:jc w:val="center"/>
        <w:rPr>
          <w:rFonts w:ascii="Cambria" w:hAnsi="Cambria"/>
          <w:sz w:val="20"/>
          <w:szCs w:val="20"/>
          <w:lang w:val="es-ES_tradnl"/>
        </w:rPr>
      </w:pPr>
    </w:p>
    <w:p w14:paraId="5B80B262" w14:textId="77777777" w:rsidR="00A50FCF" w:rsidRPr="00B3713C" w:rsidRDefault="00A50FCF" w:rsidP="00040C3A">
      <w:pPr>
        <w:tabs>
          <w:tab w:val="center" w:pos="5400"/>
        </w:tabs>
        <w:suppressAutoHyphens/>
        <w:jc w:val="center"/>
        <w:rPr>
          <w:rFonts w:ascii="Cambria" w:hAnsi="Cambria"/>
          <w:sz w:val="20"/>
          <w:szCs w:val="20"/>
          <w:lang w:val="es-ES_tradnl"/>
        </w:rPr>
      </w:pPr>
    </w:p>
    <w:p w14:paraId="734846D8" w14:textId="77777777" w:rsidR="00A50FCF" w:rsidRPr="00B3713C" w:rsidRDefault="00A50FCF" w:rsidP="00040C3A">
      <w:pPr>
        <w:tabs>
          <w:tab w:val="center" w:pos="5400"/>
        </w:tabs>
        <w:suppressAutoHyphens/>
        <w:jc w:val="center"/>
        <w:rPr>
          <w:rFonts w:ascii="Cambria" w:hAnsi="Cambria"/>
          <w:sz w:val="20"/>
          <w:szCs w:val="20"/>
          <w:lang w:val="es-ES_tradnl"/>
        </w:rPr>
      </w:pPr>
    </w:p>
    <w:p w14:paraId="36D2C63A" w14:textId="77777777" w:rsidR="00A50FCF" w:rsidRPr="00B3713C" w:rsidRDefault="00A50FCF" w:rsidP="00040C3A">
      <w:pPr>
        <w:tabs>
          <w:tab w:val="center" w:pos="5400"/>
        </w:tabs>
        <w:suppressAutoHyphens/>
        <w:jc w:val="center"/>
        <w:rPr>
          <w:rFonts w:ascii="Cambria" w:hAnsi="Cambria"/>
          <w:sz w:val="20"/>
          <w:szCs w:val="20"/>
          <w:lang w:val="es-ES_tradnl"/>
        </w:rPr>
      </w:pPr>
    </w:p>
    <w:p w14:paraId="4F0B7F5A" w14:textId="77777777" w:rsidR="00A50FCF" w:rsidRPr="00B3713C" w:rsidRDefault="00A50FCF" w:rsidP="00040C3A">
      <w:pPr>
        <w:tabs>
          <w:tab w:val="center" w:pos="5400"/>
        </w:tabs>
        <w:suppressAutoHyphens/>
        <w:jc w:val="center"/>
        <w:rPr>
          <w:rFonts w:ascii="Cambria" w:hAnsi="Cambria"/>
          <w:sz w:val="20"/>
          <w:szCs w:val="20"/>
          <w:lang w:val="es-ES_tradnl"/>
        </w:rPr>
      </w:pPr>
    </w:p>
    <w:p w14:paraId="07218933" w14:textId="77777777" w:rsidR="00A50FCF" w:rsidRPr="00B3713C" w:rsidRDefault="00A50FCF" w:rsidP="00040C3A">
      <w:pPr>
        <w:tabs>
          <w:tab w:val="center" w:pos="5400"/>
        </w:tabs>
        <w:suppressAutoHyphens/>
        <w:jc w:val="center"/>
        <w:rPr>
          <w:rFonts w:ascii="Cambria" w:hAnsi="Cambria"/>
          <w:sz w:val="20"/>
          <w:szCs w:val="20"/>
          <w:lang w:val="es-ES_tradnl"/>
        </w:rPr>
      </w:pPr>
    </w:p>
    <w:p w14:paraId="2C99136A" w14:textId="77777777" w:rsidR="00A50FCF" w:rsidRPr="00B3713C" w:rsidRDefault="00A50FCF" w:rsidP="00040C3A">
      <w:pPr>
        <w:tabs>
          <w:tab w:val="center" w:pos="5400"/>
        </w:tabs>
        <w:suppressAutoHyphens/>
        <w:jc w:val="center"/>
        <w:rPr>
          <w:rFonts w:ascii="Cambria" w:hAnsi="Cambria"/>
          <w:sz w:val="20"/>
          <w:szCs w:val="20"/>
          <w:lang w:val="es-ES_tradnl"/>
        </w:rPr>
      </w:pPr>
    </w:p>
    <w:p w14:paraId="078A9198" w14:textId="77777777" w:rsidR="00A50FCF" w:rsidRPr="00B3713C" w:rsidRDefault="00A50FCF" w:rsidP="00040C3A">
      <w:pPr>
        <w:tabs>
          <w:tab w:val="center" w:pos="5400"/>
        </w:tabs>
        <w:suppressAutoHyphens/>
        <w:jc w:val="center"/>
        <w:rPr>
          <w:rFonts w:ascii="Cambria" w:hAnsi="Cambria"/>
          <w:sz w:val="20"/>
          <w:szCs w:val="20"/>
          <w:lang w:val="es-ES_tradnl"/>
        </w:rPr>
      </w:pPr>
    </w:p>
    <w:p w14:paraId="6A001DA7" w14:textId="77777777" w:rsidR="00A50FCF" w:rsidRPr="00B3713C" w:rsidRDefault="00A50FCF" w:rsidP="00040C3A">
      <w:pPr>
        <w:tabs>
          <w:tab w:val="center" w:pos="5400"/>
        </w:tabs>
        <w:suppressAutoHyphens/>
        <w:jc w:val="center"/>
        <w:rPr>
          <w:rFonts w:ascii="Cambria" w:hAnsi="Cambria"/>
          <w:sz w:val="20"/>
          <w:szCs w:val="20"/>
          <w:lang w:val="es-ES_tradnl"/>
        </w:rPr>
      </w:pPr>
    </w:p>
    <w:p w14:paraId="217E7AAB" w14:textId="77777777" w:rsidR="00A50FCF" w:rsidRPr="00B3713C" w:rsidRDefault="00A50FCF" w:rsidP="00040C3A">
      <w:pPr>
        <w:tabs>
          <w:tab w:val="center" w:pos="5400"/>
        </w:tabs>
        <w:suppressAutoHyphens/>
        <w:jc w:val="center"/>
        <w:rPr>
          <w:rFonts w:ascii="Cambria" w:hAnsi="Cambria"/>
          <w:sz w:val="20"/>
          <w:szCs w:val="20"/>
          <w:lang w:val="es-ES_tradnl"/>
        </w:rPr>
      </w:pPr>
    </w:p>
    <w:p w14:paraId="0C34B449" w14:textId="77777777" w:rsidR="00A50FCF" w:rsidRPr="00B3713C" w:rsidRDefault="00A50FCF" w:rsidP="00040C3A">
      <w:pPr>
        <w:tabs>
          <w:tab w:val="center" w:pos="5400"/>
        </w:tabs>
        <w:suppressAutoHyphens/>
        <w:jc w:val="center"/>
        <w:rPr>
          <w:rFonts w:ascii="Cambria" w:hAnsi="Cambria"/>
          <w:sz w:val="20"/>
          <w:szCs w:val="20"/>
          <w:lang w:val="es-ES_tradnl"/>
        </w:rPr>
      </w:pPr>
    </w:p>
    <w:p w14:paraId="5CF516E8" w14:textId="77777777" w:rsidR="00A50FCF" w:rsidRPr="00B3713C" w:rsidRDefault="00A50FCF" w:rsidP="00040C3A">
      <w:pPr>
        <w:tabs>
          <w:tab w:val="center" w:pos="5400"/>
        </w:tabs>
        <w:suppressAutoHyphens/>
        <w:jc w:val="center"/>
        <w:rPr>
          <w:rFonts w:ascii="Cambria" w:hAnsi="Cambria"/>
          <w:sz w:val="20"/>
          <w:szCs w:val="20"/>
          <w:lang w:val="es-ES_tradnl"/>
        </w:rPr>
      </w:pPr>
    </w:p>
    <w:p w14:paraId="417C9993" w14:textId="77777777" w:rsidR="00A50FCF" w:rsidRPr="00B3713C" w:rsidRDefault="00A50FCF" w:rsidP="00040C3A">
      <w:pPr>
        <w:tabs>
          <w:tab w:val="center" w:pos="5400"/>
        </w:tabs>
        <w:suppressAutoHyphens/>
        <w:jc w:val="center"/>
        <w:rPr>
          <w:rFonts w:ascii="Cambria" w:hAnsi="Cambria"/>
          <w:sz w:val="20"/>
          <w:szCs w:val="20"/>
          <w:lang w:val="es-ES_tradnl"/>
        </w:rPr>
      </w:pPr>
    </w:p>
    <w:p w14:paraId="641C6754" w14:textId="0D7BEB49" w:rsidR="00A50FCF" w:rsidRPr="00B3713C" w:rsidRDefault="0090270B" w:rsidP="00040C3A">
      <w:pPr>
        <w:tabs>
          <w:tab w:val="center" w:pos="5400"/>
        </w:tabs>
        <w:suppressAutoHyphens/>
        <w:jc w:val="center"/>
        <w:rPr>
          <w:rFonts w:ascii="Cambria" w:hAnsi="Cambria"/>
          <w:sz w:val="20"/>
          <w:szCs w:val="20"/>
          <w:lang w:val="es-ES_tradnl"/>
        </w:rPr>
      </w:pPr>
      <w:r w:rsidRPr="00B3713C">
        <w:rPr>
          <w:rFonts w:ascii="Cambria" w:hAnsi="Cambria"/>
          <w:noProof/>
          <w:sz w:val="20"/>
          <w:szCs w:val="20"/>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A684F5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2475">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C12475">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571C4">
                              <w:rPr>
                                <w:rFonts w:asciiTheme="majorHAnsi" w:hAnsiTheme="majorHAnsi"/>
                                <w:color w:val="0D0D0D" w:themeColor="text1" w:themeTint="F2"/>
                                <w:sz w:val="18"/>
                                <w:szCs w:val="22"/>
                                <w:lang w:val="es-ES"/>
                              </w:rPr>
                              <w:t>3</w:t>
                            </w:r>
                            <w:r w:rsidR="00C1247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A684F5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12475">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C12475">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571C4">
                        <w:rPr>
                          <w:rFonts w:asciiTheme="majorHAnsi" w:hAnsiTheme="majorHAnsi"/>
                          <w:color w:val="0D0D0D" w:themeColor="text1" w:themeTint="F2"/>
                          <w:sz w:val="18"/>
                          <w:szCs w:val="22"/>
                          <w:lang w:val="es-ES"/>
                        </w:rPr>
                        <w:t>3</w:t>
                      </w:r>
                      <w:r w:rsidR="00C1247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3713C" w:rsidRDefault="00A50FCF" w:rsidP="00040C3A">
      <w:pPr>
        <w:tabs>
          <w:tab w:val="center" w:pos="5400"/>
        </w:tabs>
        <w:suppressAutoHyphens/>
        <w:jc w:val="center"/>
        <w:rPr>
          <w:rFonts w:ascii="Cambria" w:hAnsi="Cambria"/>
          <w:sz w:val="20"/>
          <w:szCs w:val="20"/>
          <w:lang w:val="es-ES_tradnl"/>
        </w:rPr>
      </w:pPr>
    </w:p>
    <w:p w14:paraId="28FED950" w14:textId="77777777" w:rsidR="00A50FCF" w:rsidRPr="00B3713C" w:rsidRDefault="00A50FCF" w:rsidP="00040C3A">
      <w:pPr>
        <w:tabs>
          <w:tab w:val="center" w:pos="5400"/>
        </w:tabs>
        <w:suppressAutoHyphens/>
        <w:jc w:val="center"/>
        <w:rPr>
          <w:rFonts w:ascii="Cambria" w:hAnsi="Cambria"/>
          <w:sz w:val="20"/>
          <w:szCs w:val="20"/>
          <w:lang w:val="es-ES_tradnl"/>
        </w:rPr>
      </w:pPr>
    </w:p>
    <w:p w14:paraId="53E3A276" w14:textId="77777777" w:rsidR="00A50FCF" w:rsidRPr="00B3713C" w:rsidRDefault="00A50FCF" w:rsidP="00040C3A">
      <w:pPr>
        <w:tabs>
          <w:tab w:val="center" w:pos="5400"/>
        </w:tabs>
        <w:suppressAutoHyphens/>
        <w:jc w:val="center"/>
        <w:rPr>
          <w:rFonts w:ascii="Cambria" w:hAnsi="Cambria"/>
          <w:sz w:val="20"/>
          <w:szCs w:val="20"/>
          <w:lang w:val="es-ES_tradnl"/>
        </w:rPr>
      </w:pPr>
    </w:p>
    <w:p w14:paraId="5EDC5EE2" w14:textId="77777777" w:rsidR="00A50FCF" w:rsidRPr="00B3713C" w:rsidRDefault="00A50FCF" w:rsidP="00040C3A">
      <w:pPr>
        <w:tabs>
          <w:tab w:val="center" w:pos="5400"/>
        </w:tabs>
        <w:suppressAutoHyphens/>
        <w:jc w:val="center"/>
        <w:rPr>
          <w:rFonts w:ascii="Cambria" w:hAnsi="Cambria"/>
          <w:sz w:val="20"/>
          <w:szCs w:val="20"/>
          <w:lang w:val="es-ES_tradnl"/>
        </w:rPr>
      </w:pPr>
    </w:p>
    <w:p w14:paraId="4730F205" w14:textId="797FE0F9" w:rsidR="00A50FCF" w:rsidRPr="00B3713C" w:rsidRDefault="0090270B" w:rsidP="00040C3A">
      <w:pPr>
        <w:tabs>
          <w:tab w:val="center" w:pos="5400"/>
        </w:tabs>
        <w:suppressAutoHyphens/>
        <w:jc w:val="center"/>
        <w:rPr>
          <w:rFonts w:ascii="Cambria" w:hAnsi="Cambria"/>
          <w:sz w:val="20"/>
          <w:szCs w:val="20"/>
          <w:lang w:val="es-ES_tradnl"/>
        </w:rPr>
      </w:pPr>
      <w:r w:rsidRPr="00B3713C">
        <w:rPr>
          <w:rFonts w:ascii="Cambria" w:hAnsi="Cambria"/>
          <w:noProof/>
          <w:sz w:val="20"/>
          <w:szCs w:val="20"/>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2E0DB4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2475" w:rsidRPr="00C12475">
                              <w:rPr>
                                <w:rFonts w:asciiTheme="majorHAnsi" w:hAnsiTheme="majorHAnsi"/>
                                <w:color w:val="595959" w:themeColor="text1" w:themeTint="A6"/>
                                <w:sz w:val="18"/>
                                <w:szCs w:val="18"/>
                                <w:lang w:val="pt-BR"/>
                              </w:rPr>
                              <w:t>28</w:t>
                            </w:r>
                            <w:r w:rsidR="007B05C4" w:rsidRPr="00C12475">
                              <w:rPr>
                                <w:rFonts w:asciiTheme="majorHAnsi" w:hAnsiTheme="majorHAnsi"/>
                                <w:color w:val="595959" w:themeColor="text1" w:themeTint="A6"/>
                                <w:sz w:val="18"/>
                                <w:szCs w:val="18"/>
                                <w:lang w:val="pt-BR"/>
                              </w:rPr>
                              <w:t>/</w:t>
                            </w:r>
                            <w:r w:rsidR="00C12475" w:rsidRPr="00C12475">
                              <w:rPr>
                                <w:rFonts w:asciiTheme="majorHAnsi" w:hAnsiTheme="majorHAnsi"/>
                                <w:color w:val="595959" w:themeColor="text1" w:themeTint="A6"/>
                                <w:sz w:val="18"/>
                                <w:szCs w:val="18"/>
                                <w:lang w:val="pt-BR"/>
                              </w:rPr>
                              <w:t>23</w:t>
                            </w:r>
                            <w:r w:rsidRPr="00C1247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F7ED5">
                              <w:rPr>
                                <w:rFonts w:asciiTheme="majorHAnsi" w:hAnsiTheme="majorHAnsi"/>
                                <w:color w:val="595959" w:themeColor="text1" w:themeTint="A6"/>
                                <w:sz w:val="18"/>
                                <w:szCs w:val="18"/>
                                <w:lang w:val="es-ES"/>
                              </w:rPr>
                              <w:t>1371</w:t>
                            </w:r>
                            <w:r w:rsidR="000433C9">
                              <w:rPr>
                                <w:rFonts w:asciiTheme="majorHAnsi" w:hAnsiTheme="majorHAnsi"/>
                                <w:color w:val="595959" w:themeColor="text1" w:themeTint="A6"/>
                                <w:sz w:val="18"/>
                                <w:szCs w:val="18"/>
                                <w:lang w:val="es-ES"/>
                              </w:rPr>
                              <w:t>-</w:t>
                            </w:r>
                            <w:r w:rsidR="004F7ED5">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00581A61">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4F7ED5">
                              <w:rPr>
                                <w:rFonts w:asciiTheme="majorHAnsi" w:hAnsiTheme="majorHAnsi"/>
                                <w:color w:val="595959" w:themeColor="text1" w:themeTint="A6"/>
                                <w:sz w:val="18"/>
                                <w:szCs w:val="18"/>
                                <w:lang w:val="es-ES_tradnl"/>
                              </w:rPr>
                              <w:t>Gonzalo Díaz Gaviria y otros</w:t>
                            </w:r>
                            <w:r w:rsidRPr="00890650">
                              <w:rPr>
                                <w:rFonts w:asciiTheme="majorHAnsi" w:hAnsiTheme="majorHAnsi"/>
                                <w:color w:val="595959" w:themeColor="text1" w:themeTint="A6"/>
                                <w:sz w:val="18"/>
                                <w:szCs w:val="18"/>
                                <w:lang w:val="es-ES_tradnl"/>
                              </w:rPr>
                              <w:t xml:space="preserve">. </w:t>
                            </w:r>
                            <w:r w:rsidR="008347C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12475">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2E0DB4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2475" w:rsidRPr="00C12475">
                        <w:rPr>
                          <w:rFonts w:asciiTheme="majorHAnsi" w:hAnsiTheme="majorHAnsi"/>
                          <w:color w:val="595959" w:themeColor="text1" w:themeTint="A6"/>
                          <w:sz w:val="18"/>
                          <w:szCs w:val="18"/>
                          <w:lang w:val="pt-BR"/>
                        </w:rPr>
                        <w:t>28</w:t>
                      </w:r>
                      <w:r w:rsidR="007B05C4" w:rsidRPr="00C12475">
                        <w:rPr>
                          <w:rFonts w:asciiTheme="majorHAnsi" w:hAnsiTheme="majorHAnsi"/>
                          <w:color w:val="595959" w:themeColor="text1" w:themeTint="A6"/>
                          <w:sz w:val="18"/>
                          <w:szCs w:val="18"/>
                          <w:lang w:val="pt-BR"/>
                        </w:rPr>
                        <w:t>/</w:t>
                      </w:r>
                      <w:r w:rsidR="00C12475" w:rsidRPr="00C12475">
                        <w:rPr>
                          <w:rFonts w:asciiTheme="majorHAnsi" w:hAnsiTheme="majorHAnsi"/>
                          <w:color w:val="595959" w:themeColor="text1" w:themeTint="A6"/>
                          <w:sz w:val="18"/>
                          <w:szCs w:val="18"/>
                          <w:lang w:val="pt-BR"/>
                        </w:rPr>
                        <w:t>23</w:t>
                      </w:r>
                      <w:r w:rsidRPr="00C1247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F7ED5">
                        <w:rPr>
                          <w:rFonts w:asciiTheme="majorHAnsi" w:hAnsiTheme="majorHAnsi"/>
                          <w:color w:val="595959" w:themeColor="text1" w:themeTint="A6"/>
                          <w:sz w:val="18"/>
                          <w:szCs w:val="18"/>
                          <w:lang w:val="es-ES"/>
                        </w:rPr>
                        <w:t>1371</w:t>
                      </w:r>
                      <w:r w:rsidR="000433C9">
                        <w:rPr>
                          <w:rFonts w:asciiTheme="majorHAnsi" w:hAnsiTheme="majorHAnsi"/>
                          <w:color w:val="595959" w:themeColor="text1" w:themeTint="A6"/>
                          <w:sz w:val="18"/>
                          <w:szCs w:val="18"/>
                          <w:lang w:val="es-ES"/>
                        </w:rPr>
                        <w:t>-</w:t>
                      </w:r>
                      <w:r w:rsidR="004F7ED5">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00581A61">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4F7ED5">
                        <w:rPr>
                          <w:rFonts w:asciiTheme="majorHAnsi" w:hAnsiTheme="majorHAnsi"/>
                          <w:color w:val="595959" w:themeColor="text1" w:themeTint="A6"/>
                          <w:sz w:val="18"/>
                          <w:szCs w:val="18"/>
                          <w:lang w:val="es-ES_tradnl"/>
                        </w:rPr>
                        <w:t>Gonzalo Díaz Gaviria y otros</w:t>
                      </w:r>
                      <w:r w:rsidRPr="00890650">
                        <w:rPr>
                          <w:rFonts w:asciiTheme="majorHAnsi" w:hAnsiTheme="majorHAnsi"/>
                          <w:color w:val="595959" w:themeColor="text1" w:themeTint="A6"/>
                          <w:sz w:val="18"/>
                          <w:szCs w:val="18"/>
                          <w:lang w:val="es-ES_tradnl"/>
                        </w:rPr>
                        <w:t xml:space="preserve">. </w:t>
                      </w:r>
                      <w:r w:rsidR="008347C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12475">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B3713C" w:rsidRDefault="00A50FCF" w:rsidP="00040C3A">
      <w:pPr>
        <w:tabs>
          <w:tab w:val="center" w:pos="5400"/>
        </w:tabs>
        <w:suppressAutoHyphens/>
        <w:jc w:val="center"/>
        <w:rPr>
          <w:rFonts w:ascii="Cambria" w:hAnsi="Cambria"/>
          <w:sz w:val="20"/>
          <w:szCs w:val="20"/>
          <w:lang w:val="es-ES_tradnl"/>
        </w:rPr>
      </w:pPr>
    </w:p>
    <w:p w14:paraId="0C9396CC" w14:textId="2D33EF3E" w:rsidR="0090270B" w:rsidRPr="00B3713C" w:rsidRDefault="00D306D1" w:rsidP="005516A1">
      <w:pPr>
        <w:tabs>
          <w:tab w:val="center" w:pos="5400"/>
        </w:tabs>
        <w:suppressAutoHyphens/>
        <w:jc w:val="center"/>
        <w:rPr>
          <w:rFonts w:ascii="Cambria" w:hAnsi="Cambria"/>
          <w:b/>
          <w:sz w:val="20"/>
          <w:szCs w:val="20"/>
          <w:lang w:val="es-ES_tradnl"/>
        </w:rPr>
      </w:pPr>
      <w:r w:rsidRPr="00B3713C">
        <w:rPr>
          <w:rFonts w:ascii="Cambria" w:hAnsi="Cambria"/>
          <w:noProof/>
          <w:sz w:val="20"/>
          <w:szCs w:val="20"/>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B3713C">
        <w:rPr>
          <w:rFonts w:ascii="Cambria" w:hAnsi="Cambria"/>
          <w:noProof/>
          <w:sz w:val="20"/>
          <w:szCs w:val="20"/>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3713C" w:rsidRDefault="004A6A54" w:rsidP="005516A1">
      <w:pPr>
        <w:tabs>
          <w:tab w:val="center" w:pos="5400"/>
        </w:tabs>
        <w:suppressAutoHyphens/>
        <w:jc w:val="center"/>
        <w:rPr>
          <w:rFonts w:ascii="Cambria" w:hAnsi="Cambria"/>
          <w:b/>
          <w:sz w:val="20"/>
          <w:szCs w:val="20"/>
          <w:lang w:val="es-ES_tradnl"/>
        </w:rPr>
        <w:sectPr w:rsidR="0070697F" w:rsidRPr="00B3713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3713C">
        <w:rPr>
          <w:rFonts w:ascii="Cambria" w:hAnsi="Cambria"/>
          <w:b/>
          <w:sz w:val="20"/>
          <w:szCs w:val="20"/>
          <w:lang w:val="es-ES_tradnl"/>
        </w:rPr>
        <w:tab/>
      </w:r>
    </w:p>
    <w:p w14:paraId="2786EE58" w14:textId="77777777" w:rsidR="003239B8" w:rsidRPr="00B3713C" w:rsidRDefault="003239B8" w:rsidP="004A6A54">
      <w:pPr>
        <w:spacing w:after="240"/>
        <w:ind w:firstLine="720"/>
        <w:jc w:val="both"/>
        <w:rPr>
          <w:rFonts w:ascii="Cambria" w:hAnsi="Cambria"/>
          <w:b/>
          <w:bCs/>
          <w:sz w:val="20"/>
          <w:szCs w:val="20"/>
          <w:lang w:val="es-ES"/>
        </w:rPr>
      </w:pPr>
      <w:r w:rsidRPr="00B3713C">
        <w:rPr>
          <w:rFonts w:ascii="Cambria" w:hAnsi="Cambria"/>
          <w:b/>
          <w:bCs/>
          <w:sz w:val="20"/>
          <w:szCs w:val="20"/>
          <w:lang w:val="es-ES"/>
        </w:rPr>
        <w:lastRenderedPageBreak/>
        <w:t>I.</w:t>
      </w:r>
      <w:r w:rsidRPr="00B3713C">
        <w:rPr>
          <w:rFonts w:ascii="Cambria" w:hAnsi="Cambria"/>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B3713C"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3713C" w:rsidRDefault="003239B8" w:rsidP="00AC77BE">
            <w:pPr>
              <w:jc w:val="center"/>
              <w:rPr>
                <w:rFonts w:ascii="Cambria" w:hAnsi="Cambria"/>
                <w:b/>
                <w:bCs/>
                <w:color w:val="FFFFFF" w:themeColor="background1"/>
                <w:sz w:val="20"/>
                <w:szCs w:val="20"/>
              </w:rPr>
            </w:pPr>
            <w:r w:rsidRPr="00B3713C">
              <w:rPr>
                <w:rFonts w:ascii="Cambria" w:hAnsi="Cambria"/>
                <w:b/>
                <w:bCs/>
                <w:color w:val="FFFFFF" w:themeColor="background1"/>
                <w:sz w:val="20"/>
                <w:szCs w:val="20"/>
              </w:rPr>
              <w:t>Parte peticionaria:</w:t>
            </w:r>
          </w:p>
        </w:tc>
        <w:tc>
          <w:tcPr>
            <w:tcW w:w="5647" w:type="dxa"/>
            <w:vAlign w:val="center"/>
          </w:tcPr>
          <w:p w14:paraId="07DAAE2E" w14:textId="07F4A526" w:rsidR="003239B8" w:rsidRPr="00B3713C" w:rsidRDefault="009F3619" w:rsidP="00AC77BE">
            <w:pPr>
              <w:jc w:val="both"/>
              <w:rPr>
                <w:rFonts w:ascii="Cambria" w:hAnsi="Cambria"/>
                <w:bCs/>
                <w:sz w:val="20"/>
                <w:szCs w:val="20"/>
              </w:rPr>
            </w:pPr>
            <w:r w:rsidRPr="00B3713C">
              <w:rPr>
                <w:rFonts w:ascii="Cambria" w:hAnsi="Cambria"/>
                <w:bCs/>
                <w:sz w:val="20"/>
                <w:szCs w:val="20"/>
              </w:rPr>
              <w:t>Gonzalo Díaz Gaviria</w:t>
            </w:r>
          </w:p>
        </w:tc>
      </w:tr>
      <w:tr w:rsidR="003239B8" w:rsidRPr="008B1BD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B3713C" w:rsidRDefault="00D350DE" w:rsidP="00AC77BE">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291D">
                  <w:rPr>
                    <w:rFonts w:ascii="Cambria" w:hAnsi="Cambria"/>
                    <w:b/>
                    <w:bCs/>
                    <w:color w:val="FFFFFF" w:themeColor="background1"/>
                    <w:sz w:val="20"/>
                    <w:szCs w:val="20"/>
                  </w:rPr>
                  <w:t>Presunta víctima</w:t>
                </w:r>
              </w:sdtContent>
            </w:sdt>
            <w:r w:rsidR="003239B8" w:rsidRPr="00B3713C">
              <w:rPr>
                <w:rFonts w:ascii="Cambria" w:hAnsi="Cambria"/>
                <w:b/>
                <w:bCs/>
                <w:color w:val="FFFFFF" w:themeColor="background1"/>
                <w:sz w:val="20"/>
                <w:szCs w:val="20"/>
              </w:rPr>
              <w:t>:</w:t>
            </w:r>
          </w:p>
        </w:tc>
        <w:tc>
          <w:tcPr>
            <w:tcW w:w="5647" w:type="dxa"/>
            <w:vAlign w:val="center"/>
          </w:tcPr>
          <w:p w14:paraId="143D44A8" w14:textId="1F33C653" w:rsidR="003239B8" w:rsidRPr="00B3713C" w:rsidRDefault="009F3619" w:rsidP="00AC77BE">
            <w:pPr>
              <w:jc w:val="both"/>
              <w:rPr>
                <w:rFonts w:ascii="Cambria" w:hAnsi="Cambria"/>
                <w:bCs/>
                <w:sz w:val="20"/>
                <w:szCs w:val="20"/>
                <w:lang w:val="es-ES"/>
              </w:rPr>
            </w:pPr>
            <w:r w:rsidRPr="00B3713C">
              <w:rPr>
                <w:rFonts w:ascii="Cambria" w:hAnsi="Cambria"/>
                <w:bCs/>
                <w:sz w:val="20"/>
                <w:szCs w:val="20"/>
                <w:lang w:val="es-ES"/>
              </w:rPr>
              <w:t>Gonzalo Díaz Gaviria y otros</w:t>
            </w:r>
            <w:r w:rsidR="000D4531">
              <w:rPr>
                <w:rStyle w:val="FootnoteReference"/>
                <w:rFonts w:ascii="Cambria" w:hAnsi="Cambria"/>
                <w:bCs/>
                <w:sz w:val="20"/>
                <w:szCs w:val="20"/>
                <w:lang w:val="es-ES"/>
              </w:rPr>
              <w:footnoteReference w:id="2"/>
            </w:r>
            <w:r w:rsidRPr="00B3713C">
              <w:rPr>
                <w:rFonts w:ascii="Cambria" w:hAnsi="Cambria"/>
                <w:bCs/>
                <w:sz w:val="20"/>
                <w:szCs w:val="20"/>
                <w:lang w:val="es-ES"/>
              </w:rPr>
              <w:t xml:space="preserve"> </w:t>
            </w:r>
          </w:p>
        </w:tc>
      </w:tr>
      <w:tr w:rsidR="003239B8" w:rsidRPr="00B3713C"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3713C" w:rsidRDefault="003239B8" w:rsidP="00AC77BE">
            <w:pPr>
              <w:jc w:val="center"/>
              <w:rPr>
                <w:rFonts w:ascii="Cambria" w:hAnsi="Cambria"/>
                <w:b/>
                <w:bCs/>
                <w:color w:val="FFFFFF" w:themeColor="background1"/>
                <w:sz w:val="20"/>
                <w:szCs w:val="20"/>
              </w:rPr>
            </w:pPr>
            <w:r w:rsidRPr="00B3713C">
              <w:rPr>
                <w:rFonts w:ascii="Cambria" w:hAnsi="Cambria"/>
                <w:b/>
                <w:bCs/>
                <w:color w:val="FFFFFF" w:themeColor="background1"/>
                <w:sz w:val="20"/>
                <w:szCs w:val="20"/>
              </w:rPr>
              <w:t>Estado denunciado:</w:t>
            </w:r>
          </w:p>
        </w:tc>
        <w:tc>
          <w:tcPr>
            <w:tcW w:w="5647" w:type="dxa"/>
            <w:vAlign w:val="center"/>
          </w:tcPr>
          <w:p w14:paraId="5D0EC05D" w14:textId="12CB4CA0" w:rsidR="003239B8" w:rsidRPr="00B3713C" w:rsidRDefault="00636546" w:rsidP="00AC77BE">
            <w:pPr>
              <w:jc w:val="both"/>
              <w:rPr>
                <w:rFonts w:ascii="Cambria" w:hAnsi="Cambria"/>
                <w:bCs/>
                <w:sz w:val="20"/>
                <w:szCs w:val="20"/>
              </w:rPr>
            </w:pPr>
            <w:r w:rsidRPr="00B3713C">
              <w:rPr>
                <w:rFonts w:ascii="Cambria" w:hAnsi="Cambria"/>
                <w:bCs/>
                <w:sz w:val="20"/>
                <w:szCs w:val="20"/>
              </w:rPr>
              <w:t>Colombia</w:t>
            </w:r>
            <w:r w:rsidR="004A6A54" w:rsidRPr="00B3713C">
              <w:rPr>
                <w:rStyle w:val="FootnoteReference"/>
                <w:rFonts w:ascii="Cambria" w:hAnsi="Cambria"/>
                <w:bCs/>
                <w:sz w:val="20"/>
                <w:szCs w:val="20"/>
              </w:rPr>
              <w:footnoteReference w:id="3"/>
            </w:r>
          </w:p>
        </w:tc>
      </w:tr>
      <w:tr w:rsidR="00223A29" w:rsidRPr="008B1BD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3713C" w:rsidRDefault="001B3A00" w:rsidP="00E4118C">
            <w:pPr>
              <w:jc w:val="center"/>
              <w:rPr>
                <w:rFonts w:ascii="Cambria" w:hAnsi="Cambria"/>
                <w:b/>
                <w:bCs/>
                <w:color w:val="FFFFFF" w:themeColor="background1"/>
                <w:sz w:val="20"/>
                <w:szCs w:val="20"/>
              </w:rPr>
            </w:pPr>
            <w:r w:rsidRPr="00B3713C">
              <w:rPr>
                <w:rFonts w:ascii="Cambria" w:hAnsi="Cambria"/>
                <w:b/>
                <w:bCs/>
                <w:color w:val="FFFFFF" w:themeColor="background1"/>
                <w:sz w:val="20"/>
                <w:szCs w:val="20"/>
              </w:rPr>
              <w:t xml:space="preserve">Derechos </w:t>
            </w:r>
            <w:r w:rsidR="00E4118C" w:rsidRPr="00B3713C">
              <w:rPr>
                <w:rFonts w:ascii="Cambria" w:hAnsi="Cambria"/>
                <w:b/>
                <w:bCs/>
                <w:color w:val="FFFFFF" w:themeColor="background1"/>
                <w:sz w:val="20"/>
                <w:szCs w:val="20"/>
              </w:rPr>
              <w:t>invocados</w:t>
            </w:r>
            <w:r w:rsidRPr="00B3713C">
              <w:rPr>
                <w:rFonts w:ascii="Cambria" w:hAnsi="Cambria"/>
                <w:b/>
                <w:bCs/>
                <w:color w:val="FFFFFF" w:themeColor="background1"/>
                <w:sz w:val="20"/>
                <w:szCs w:val="20"/>
              </w:rPr>
              <w:t>:</w:t>
            </w:r>
          </w:p>
        </w:tc>
        <w:tc>
          <w:tcPr>
            <w:tcW w:w="5647" w:type="dxa"/>
            <w:vAlign w:val="center"/>
          </w:tcPr>
          <w:p w14:paraId="52B28392" w14:textId="23EB1125" w:rsidR="00223A29" w:rsidRPr="00B3713C" w:rsidRDefault="00830D26" w:rsidP="00AC77BE">
            <w:pPr>
              <w:jc w:val="both"/>
              <w:rPr>
                <w:rFonts w:ascii="Cambria" w:hAnsi="Cambria"/>
                <w:bCs/>
                <w:sz w:val="20"/>
                <w:szCs w:val="20"/>
                <w:lang w:val="es-ES"/>
              </w:rPr>
            </w:pPr>
            <w:r w:rsidRPr="00B3713C">
              <w:rPr>
                <w:rFonts w:ascii="Cambria" w:hAnsi="Cambria"/>
                <w:bCs/>
                <w:sz w:val="20"/>
                <w:szCs w:val="20"/>
                <w:lang w:val="es-ES"/>
              </w:rPr>
              <w:t xml:space="preserve">Artículos </w:t>
            </w:r>
            <w:r w:rsidR="00816B39" w:rsidRPr="00B3713C">
              <w:rPr>
                <w:rFonts w:ascii="Cambria" w:hAnsi="Cambria"/>
                <w:bCs/>
                <w:sz w:val="20"/>
                <w:szCs w:val="20"/>
                <w:lang w:val="es-ES"/>
              </w:rPr>
              <w:t>8 (</w:t>
            </w:r>
            <w:r w:rsidR="008F2F8A" w:rsidRPr="00B3713C">
              <w:rPr>
                <w:rFonts w:ascii="Cambria" w:hAnsi="Cambria"/>
                <w:bCs/>
                <w:sz w:val="20"/>
                <w:szCs w:val="20"/>
                <w:lang w:val="es-ES"/>
              </w:rPr>
              <w:t>garantías judiciales</w:t>
            </w:r>
            <w:r w:rsidR="00816B39" w:rsidRPr="00B3713C">
              <w:rPr>
                <w:rFonts w:ascii="Cambria" w:hAnsi="Cambria"/>
                <w:bCs/>
                <w:sz w:val="20"/>
                <w:szCs w:val="20"/>
                <w:lang w:val="es-ES"/>
              </w:rPr>
              <w:t>),</w:t>
            </w:r>
            <w:r w:rsidR="002571C4">
              <w:rPr>
                <w:rFonts w:ascii="Cambria" w:hAnsi="Cambria"/>
                <w:bCs/>
                <w:sz w:val="20"/>
                <w:szCs w:val="20"/>
                <w:lang w:val="es-ES"/>
              </w:rPr>
              <w:t xml:space="preserve"> </w:t>
            </w:r>
            <w:r w:rsidRPr="00B3713C">
              <w:rPr>
                <w:rFonts w:ascii="Cambria" w:hAnsi="Cambria"/>
                <w:bCs/>
                <w:sz w:val="20"/>
                <w:szCs w:val="20"/>
                <w:lang w:val="es-ES"/>
              </w:rPr>
              <w:t>11</w:t>
            </w:r>
            <w:r w:rsidR="00703FC2" w:rsidRPr="00B3713C">
              <w:rPr>
                <w:rFonts w:ascii="Cambria" w:hAnsi="Cambria"/>
                <w:bCs/>
                <w:sz w:val="20"/>
                <w:szCs w:val="20"/>
                <w:lang w:val="es-ES"/>
              </w:rPr>
              <w:t xml:space="preserve"> (</w:t>
            </w:r>
            <w:r w:rsidR="008F2F8A" w:rsidRPr="00B3713C">
              <w:rPr>
                <w:rFonts w:ascii="Cambria" w:hAnsi="Cambria"/>
                <w:bCs/>
                <w:sz w:val="20"/>
                <w:szCs w:val="20"/>
                <w:lang w:val="es-ES"/>
              </w:rPr>
              <w:t>protección de la honra y de la dignidad</w:t>
            </w:r>
            <w:r w:rsidR="00703FC2" w:rsidRPr="00B3713C">
              <w:rPr>
                <w:rFonts w:ascii="Cambria" w:hAnsi="Cambria"/>
                <w:bCs/>
                <w:sz w:val="20"/>
                <w:szCs w:val="20"/>
                <w:lang w:val="es-ES"/>
              </w:rPr>
              <w:t>)</w:t>
            </w:r>
            <w:r w:rsidRPr="00B3713C">
              <w:rPr>
                <w:rFonts w:ascii="Cambria" w:hAnsi="Cambria"/>
                <w:bCs/>
                <w:sz w:val="20"/>
                <w:szCs w:val="20"/>
                <w:lang w:val="es-ES"/>
              </w:rPr>
              <w:t xml:space="preserve">, </w:t>
            </w:r>
            <w:r w:rsidR="00C17C14" w:rsidRPr="00B3713C">
              <w:rPr>
                <w:rFonts w:ascii="Cambria" w:hAnsi="Cambria"/>
                <w:bCs/>
                <w:sz w:val="20"/>
                <w:szCs w:val="20"/>
                <w:lang w:val="es-ES"/>
              </w:rPr>
              <w:t xml:space="preserve">16 (libertad de asociación), </w:t>
            </w:r>
            <w:r w:rsidRPr="00B3713C">
              <w:rPr>
                <w:rFonts w:ascii="Cambria" w:hAnsi="Cambria"/>
                <w:bCs/>
                <w:sz w:val="20"/>
                <w:szCs w:val="20"/>
                <w:lang w:val="es-ES"/>
              </w:rPr>
              <w:t>17</w:t>
            </w:r>
            <w:r w:rsidR="00703FC2" w:rsidRPr="00B3713C">
              <w:rPr>
                <w:rFonts w:ascii="Cambria" w:hAnsi="Cambria"/>
                <w:bCs/>
                <w:sz w:val="20"/>
                <w:szCs w:val="20"/>
                <w:lang w:val="es-ES"/>
              </w:rPr>
              <w:t xml:space="preserve"> (</w:t>
            </w:r>
            <w:r w:rsidR="008F2F8A" w:rsidRPr="00B3713C">
              <w:rPr>
                <w:rFonts w:ascii="Cambria" w:hAnsi="Cambria"/>
                <w:bCs/>
                <w:sz w:val="20"/>
                <w:szCs w:val="20"/>
                <w:lang w:val="es-ES"/>
              </w:rPr>
              <w:t>protección a la familia</w:t>
            </w:r>
            <w:r w:rsidR="00703FC2" w:rsidRPr="00B3713C">
              <w:rPr>
                <w:rFonts w:ascii="Cambria" w:hAnsi="Cambria"/>
                <w:bCs/>
                <w:sz w:val="20"/>
                <w:szCs w:val="20"/>
                <w:lang w:val="es-ES"/>
              </w:rPr>
              <w:t>)</w:t>
            </w:r>
            <w:r w:rsidRPr="00B3713C">
              <w:rPr>
                <w:rFonts w:ascii="Cambria" w:hAnsi="Cambria"/>
                <w:bCs/>
                <w:sz w:val="20"/>
                <w:szCs w:val="20"/>
                <w:lang w:val="es-ES"/>
              </w:rPr>
              <w:t>, 24</w:t>
            </w:r>
            <w:r w:rsidR="00703FC2" w:rsidRPr="00B3713C">
              <w:rPr>
                <w:rFonts w:ascii="Cambria" w:hAnsi="Cambria"/>
                <w:bCs/>
                <w:sz w:val="20"/>
                <w:szCs w:val="20"/>
                <w:lang w:val="es-ES"/>
              </w:rPr>
              <w:t xml:space="preserve"> (</w:t>
            </w:r>
            <w:r w:rsidR="008F2F8A" w:rsidRPr="00B3713C">
              <w:rPr>
                <w:rFonts w:ascii="Cambria" w:hAnsi="Cambria"/>
                <w:bCs/>
                <w:sz w:val="20"/>
                <w:szCs w:val="20"/>
                <w:lang w:val="es-ES"/>
              </w:rPr>
              <w:t>igualdad ante la ley</w:t>
            </w:r>
            <w:r w:rsidR="00703FC2" w:rsidRPr="00B3713C">
              <w:rPr>
                <w:rFonts w:ascii="Cambria" w:hAnsi="Cambria"/>
                <w:bCs/>
                <w:sz w:val="20"/>
                <w:szCs w:val="20"/>
                <w:lang w:val="es-ES"/>
              </w:rPr>
              <w:t>)</w:t>
            </w:r>
            <w:r w:rsidR="002571C4">
              <w:rPr>
                <w:rFonts w:ascii="Cambria" w:hAnsi="Cambria"/>
                <w:bCs/>
                <w:sz w:val="20"/>
                <w:szCs w:val="20"/>
                <w:lang w:val="es-ES"/>
              </w:rPr>
              <w:t>,</w:t>
            </w:r>
            <w:r w:rsidRPr="00B3713C">
              <w:rPr>
                <w:rFonts w:ascii="Cambria" w:hAnsi="Cambria"/>
                <w:bCs/>
                <w:sz w:val="20"/>
                <w:szCs w:val="20"/>
                <w:lang w:val="es-ES"/>
              </w:rPr>
              <w:t xml:space="preserve"> </w:t>
            </w:r>
            <w:r w:rsidR="00053278" w:rsidRPr="00B3713C">
              <w:rPr>
                <w:rFonts w:ascii="Cambria" w:hAnsi="Cambria"/>
                <w:bCs/>
                <w:sz w:val="20"/>
                <w:szCs w:val="20"/>
                <w:lang w:val="es-ES"/>
              </w:rPr>
              <w:t xml:space="preserve">25 (protección judicial) y 26 (derechos económicos, sociales y culturales) </w:t>
            </w:r>
            <w:r w:rsidRPr="00B3713C">
              <w:rPr>
                <w:rFonts w:ascii="Cambria" w:hAnsi="Cambria"/>
                <w:bCs/>
                <w:sz w:val="20"/>
                <w:szCs w:val="20"/>
                <w:lang w:val="es-ES"/>
              </w:rPr>
              <w:t xml:space="preserve">de la Convención Americana </w:t>
            </w:r>
            <w:r w:rsidR="007E426E" w:rsidRPr="00B3713C">
              <w:rPr>
                <w:rFonts w:ascii="Cambria" w:hAnsi="Cambria"/>
                <w:bCs/>
                <w:sz w:val="20"/>
                <w:szCs w:val="20"/>
                <w:lang w:val="es-ES"/>
              </w:rPr>
              <w:t>sobre</w:t>
            </w:r>
            <w:r w:rsidRPr="00B3713C">
              <w:rPr>
                <w:rFonts w:ascii="Cambria" w:hAnsi="Cambria"/>
                <w:bCs/>
                <w:sz w:val="20"/>
                <w:szCs w:val="20"/>
                <w:lang w:val="es-ES"/>
              </w:rPr>
              <w:t xml:space="preserve"> Derechos Humanos</w:t>
            </w:r>
            <w:r w:rsidR="00CA09A4" w:rsidRPr="00B3713C">
              <w:rPr>
                <w:rStyle w:val="FootnoteReference"/>
                <w:rFonts w:ascii="Cambria" w:hAnsi="Cambria"/>
                <w:bCs/>
                <w:sz w:val="20"/>
                <w:szCs w:val="20"/>
                <w:lang w:val="es-ES"/>
              </w:rPr>
              <w:footnoteReference w:id="4"/>
            </w:r>
            <w:r w:rsidR="00DF405C" w:rsidRPr="00B3713C">
              <w:rPr>
                <w:rFonts w:ascii="Cambria" w:hAnsi="Cambria"/>
                <w:bCs/>
                <w:sz w:val="20"/>
                <w:szCs w:val="20"/>
                <w:lang w:val="es-ES"/>
              </w:rPr>
              <w:t xml:space="preserve">; artículos </w:t>
            </w:r>
            <w:r w:rsidR="00162F86">
              <w:rPr>
                <w:rFonts w:ascii="Cambria" w:hAnsi="Cambria"/>
                <w:bCs/>
                <w:sz w:val="20"/>
                <w:szCs w:val="20"/>
                <w:lang w:val="es-ES"/>
              </w:rPr>
              <w:t>II (igualdad ante la ley)</w:t>
            </w:r>
            <w:r w:rsidR="00DF405C" w:rsidRPr="00B3713C">
              <w:rPr>
                <w:rFonts w:ascii="Cambria" w:hAnsi="Cambria"/>
                <w:bCs/>
                <w:sz w:val="20"/>
                <w:szCs w:val="20"/>
                <w:lang w:val="es-ES"/>
              </w:rPr>
              <w:t xml:space="preserve">, </w:t>
            </w:r>
            <w:r w:rsidR="00162F86">
              <w:rPr>
                <w:rFonts w:ascii="Cambria" w:hAnsi="Cambria"/>
                <w:bCs/>
                <w:sz w:val="20"/>
                <w:szCs w:val="20"/>
                <w:lang w:val="es-ES"/>
              </w:rPr>
              <w:t>VI (a la constitución y a la protección de la familia)</w:t>
            </w:r>
            <w:r w:rsidR="00DF405C" w:rsidRPr="00B3713C">
              <w:rPr>
                <w:rFonts w:ascii="Cambria" w:hAnsi="Cambria"/>
                <w:bCs/>
                <w:sz w:val="20"/>
                <w:szCs w:val="20"/>
                <w:lang w:val="es-ES"/>
              </w:rPr>
              <w:t xml:space="preserve">, </w:t>
            </w:r>
            <w:r w:rsidR="00162F86">
              <w:rPr>
                <w:rFonts w:ascii="Cambria" w:hAnsi="Cambria"/>
                <w:bCs/>
                <w:sz w:val="20"/>
                <w:szCs w:val="20"/>
                <w:lang w:val="es-ES"/>
              </w:rPr>
              <w:t>XI (a la preservación de la salud)</w:t>
            </w:r>
            <w:r w:rsidR="00DF405C" w:rsidRPr="00B3713C">
              <w:rPr>
                <w:rFonts w:ascii="Cambria" w:hAnsi="Cambria"/>
                <w:bCs/>
                <w:sz w:val="20"/>
                <w:szCs w:val="20"/>
                <w:lang w:val="es-ES"/>
              </w:rPr>
              <w:t>,</w:t>
            </w:r>
            <w:r w:rsidR="00162F86">
              <w:rPr>
                <w:rFonts w:ascii="Cambria" w:hAnsi="Cambria"/>
                <w:bCs/>
                <w:sz w:val="20"/>
                <w:szCs w:val="20"/>
                <w:lang w:val="es-ES"/>
              </w:rPr>
              <w:t xml:space="preserve"> XVI (a la seguridad social)</w:t>
            </w:r>
            <w:r w:rsidR="00DF405C" w:rsidRPr="00B3713C">
              <w:rPr>
                <w:rFonts w:ascii="Cambria" w:hAnsi="Cambria"/>
                <w:bCs/>
                <w:sz w:val="20"/>
                <w:szCs w:val="20"/>
                <w:lang w:val="es-ES"/>
              </w:rPr>
              <w:t xml:space="preserve">, </w:t>
            </w:r>
            <w:r w:rsidR="00162F86">
              <w:rPr>
                <w:rFonts w:ascii="Cambria" w:hAnsi="Cambria"/>
                <w:bCs/>
                <w:sz w:val="20"/>
                <w:szCs w:val="20"/>
                <w:lang w:val="es-ES"/>
              </w:rPr>
              <w:t>XVII (de reconocimiento de personalidad jurídica y de los derechos civiles)</w:t>
            </w:r>
            <w:r w:rsidR="00DF405C" w:rsidRPr="00B3713C">
              <w:rPr>
                <w:rFonts w:ascii="Cambria" w:hAnsi="Cambria"/>
                <w:bCs/>
                <w:sz w:val="20"/>
                <w:szCs w:val="20"/>
                <w:lang w:val="es-ES"/>
              </w:rPr>
              <w:t>,</w:t>
            </w:r>
            <w:r w:rsidR="00162F86">
              <w:rPr>
                <w:rFonts w:ascii="Cambria" w:hAnsi="Cambria"/>
                <w:bCs/>
                <w:sz w:val="20"/>
                <w:szCs w:val="20"/>
                <w:lang w:val="es-ES"/>
              </w:rPr>
              <w:t xml:space="preserve"> X</w:t>
            </w:r>
            <w:r w:rsidR="00BB2CC1">
              <w:rPr>
                <w:rFonts w:ascii="Cambria" w:hAnsi="Cambria"/>
                <w:bCs/>
                <w:sz w:val="20"/>
                <w:szCs w:val="20"/>
                <w:lang w:val="es-ES"/>
              </w:rPr>
              <w:t>VIII (de justicia)</w:t>
            </w:r>
            <w:r w:rsidR="00DF405C" w:rsidRPr="00B3713C">
              <w:rPr>
                <w:rFonts w:ascii="Cambria" w:hAnsi="Cambria"/>
                <w:bCs/>
                <w:sz w:val="20"/>
                <w:szCs w:val="20"/>
                <w:lang w:val="es-ES"/>
              </w:rPr>
              <w:t>,</w:t>
            </w:r>
            <w:r w:rsidR="00BB2CC1">
              <w:rPr>
                <w:rFonts w:ascii="Cambria" w:hAnsi="Cambria"/>
                <w:bCs/>
                <w:sz w:val="20"/>
                <w:szCs w:val="20"/>
                <w:lang w:val="es-ES"/>
              </w:rPr>
              <w:t xml:space="preserve"> XXII (de asociación)</w:t>
            </w:r>
            <w:r w:rsidR="00DF405C" w:rsidRPr="00B3713C">
              <w:rPr>
                <w:rFonts w:ascii="Cambria" w:hAnsi="Cambria"/>
                <w:bCs/>
                <w:sz w:val="20"/>
                <w:szCs w:val="20"/>
                <w:lang w:val="es-ES"/>
              </w:rPr>
              <w:t>,</w:t>
            </w:r>
            <w:r w:rsidR="00BB2CC1">
              <w:rPr>
                <w:rFonts w:ascii="Cambria" w:hAnsi="Cambria"/>
                <w:bCs/>
                <w:sz w:val="20"/>
                <w:szCs w:val="20"/>
                <w:lang w:val="es-ES"/>
              </w:rPr>
              <w:t xml:space="preserve"> XXIV (de petición) </w:t>
            </w:r>
            <w:r w:rsidR="00DF405C" w:rsidRPr="00B3713C">
              <w:rPr>
                <w:rFonts w:ascii="Cambria" w:hAnsi="Cambria"/>
                <w:bCs/>
                <w:sz w:val="20"/>
                <w:szCs w:val="20"/>
                <w:lang w:val="es-ES"/>
              </w:rPr>
              <w:t xml:space="preserve">de la Declaración Americana de </w:t>
            </w:r>
            <w:r w:rsidR="005845E9" w:rsidRPr="00B3713C">
              <w:rPr>
                <w:rFonts w:ascii="Cambria" w:hAnsi="Cambria"/>
                <w:bCs/>
                <w:sz w:val="20"/>
                <w:szCs w:val="20"/>
                <w:lang w:val="es-ES"/>
              </w:rPr>
              <w:t xml:space="preserve">los </w:t>
            </w:r>
            <w:r w:rsidR="00DF405C" w:rsidRPr="00B3713C">
              <w:rPr>
                <w:rFonts w:ascii="Cambria" w:hAnsi="Cambria"/>
                <w:bCs/>
                <w:sz w:val="20"/>
                <w:szCs w:val="20"/>
                <w:lang w:val="es-ES"/>
              </w:rPr>
              <w:t xml:space="preserve">Derechos </w:t>
            </w:r>
            <w:r w:rsidR="005845E9" w:rsidRPr="00B3713C">
              <w:rPr>
                <w:rFonts w:ascii="Cambria" w:hAnsi="Cambria"/>
                <w:bCs/>
                <w:sz w:val="20"/>
                <w:szCs w:val="20"/>
                <w:lang w:val="es-ES"/>
              </w:rPr>
              <w:t>y Deberes del Hombre</w:t>
            </w:r>
            <w:r w:rsidR="00DF405C" w:rsidRPr="00B3713C">
              <w:rPr>
                <w:rStyle w:val="FootnoteReference"/>
                <w:rFonts w:ascii="Cambria" w:hAnsi="Cambria"/>
                <w:bCs/>
                <w:sz w:val="20"/>
                <w:szCs w:val="20"/>
                <w:lang w:val="es-ES"/>
              </w:rPr>
              <w:footnoteReference w:id="5"/>
            </w:r>
          </w:p>
        </w:tc>
      </w:tr>
    </w:tbl>
    <w:p w14:paraId="176FB213" w14:textId="77777777" w:rsidR="003239B8" w:rsidRPr="00B3713C" w:rsidRDefault="003239B8" w:rsidP="003239B8">
      <w:pPr>
        <w:spacing w:before="240" w:after="240"/>
        <w:ind w:firstLine="720"/>
        <w:jc w:val="both"/>
        <w:rPr>
          <w:rFonts w:ascii="Cambria" w:hAnsi="Cambria"/>
          <w:b/>
          <w:bCs/>
          <w:sz w:val="20"/>
          <w:szCs w:val="20"/>
          <w:lang w:val="es-ES"/>
        </w:rPr>
      </w:pPr>
      <w:r w:rsidRPr="00B3713C">
        <w:rPr>
          <w:rFonts w:ascii="Cambria" w:hAnsi="Cambria"/>
          <w:b/>
          <w:bCs/>
          <w:sz w:val="20"/>
          <w:szCs w:val="20"/>
          <w:lang w:val="es-ES"/>
        </w:rPr>
        <w:t>II.</w:t>
      </w:r>
      <w:r w:rsidRPr="00B3713C">
        <w:rPr>
          <w:rFonts w:ascii="Cambria" w:hAnsi="Cambria"/>
          <w:b/>
          <w:bCs/>
          <w:sz w:val="20"/>
          <w:szCs w:val="20"/>
          <w:lang w:val="es-ES"/>
        </w:rPr>
        <w:tab/>
        <w:t>TRÁMITE ANTE LA CIDH</w:t>
      </w:r>
      <w:r w:rsidR="008E3BFE" w:rsidRPr="00B3713C">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B3713C"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B3713C" w:rsidRDefault="004A6A54" w:rsidP="004A6A54">
            <w:pPr>
              <w:jc w:val="center"/>
              <w:rPr>
                <w:rFonts w:ascii="Cambria" w:hAnsi="Cambria"/>
                <w:b/>
                <w:bCs/>
                <w:color w:val="FFFFFF" w:themeColor="background1"/>
                <w:sz w:val="20"/>
                <w:szCs w:val="20"/>
                <w:lang w:val="es-ES"/>
              </w:rPr>
            </w:pPr>
            <w:r w:rsidRPr="00B3713C">
              <w:rPr>
                <w:rFonts w:ascii="Cambria" w:hAnsi="Cambria"/>
                <w:b/>
                <w:bCs/>
                <w:color w:val="FFFFFF" w:themeColor="background1"/>
                <w:sz w:val="20"/>
                <w:szCs w:val="20"/>
                <w:lang w:val="es-ES"/>
              </w:rPr>
              <w:t>P</w:t>
            </w:r>
            <w:r w:rsidR="004C2312" w:rsidRPr="00B3713C">
              <w:rPr>
                <w:rFonts w:ascii="Cambria" w:hAnsi="Cambria"/>
                <w:b/>
                <w:bCs/>
                <w:color w:val="FFFFFF" w:themeColor="background1"/>
                <w:sz w:val="20"/>
                <w:szCs w:val="20"/>
                <w:lang w:val="es-ES"/>
              </w:rPr>
              <w:t>resentación de la petición:</w:t>
            </w:r>
          </w:p>
        </w:tc>
        <w:tc>
          <w:tcPr>
            <w:tcW w:w="5647" w:type="dxa"/>
            <w:vAlign w:val="center"/>
          </w:tcPr>
          <w:p w14:paraId="6883A5F8" w14:textId="0454256C" w:rsidR="004C2312" w:rsidRPr="00B3713C" w:rsidRDefault="00A02647" w:rsidP="00AC77BE">
            <w:pPr>
              <w:jc w:val="both"/>
              <w:rPr>
                <w:rFonts w:ascii="Cambria" w:hAnsi="Cambria"/>
                <w:bCs/>
                <w:sz w:val="20"/>
                <w:szCs w:val="20"/>
                <w:lang w:val="pt-BR"/>
              </w:rPr>
            </w:pPr>
            <w:r w:rsidRPr="00B3713C">
              <w:rPr>
                <w:rFonts w:ascii="Cambria" w:hAnsi="Cambria"/>
                <w:bCs/>
                <w:sz w:val="20"/>
                <w:szCs w:val="20"/>
                <w:lang w:val="pt-BR"/>
              </w:rPr>
              <w:t>27 de agosto de 2010</w:t>
            </w:r>
          </w:p>
        </w:tc>
      </w:tr>
      <w:tr w:rsidR="00131425" w:rsidRPr="008B1BD7"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B3713C" w:rsidRDefault="00131425" w:rsidP="004A6A54">
            <w:pPr>
              <w:jc w:val="center"/>
              <w:rPr>
                <w:rFonts w:ascii="Cambria" w:hAnsi="Cambria"/>
                <w:b/>
                <w:bCs/>
                <w:color w:val="FFFFFF" w:themeColor="background1"/>
                <w:sz w:val="20"/>
                <w:szCs w:val="20"/>
                <w:lang w:val="es-ES"/>
              </w:rPr>
            </w:pPr>
            <w:r w:rsidRPr="00B3713C">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78135741" w:rsidR="00131425" w:rsidRPr="00B3713C" w:rsidRDefault="0032670D" w:rsidP="00AC77BE">
            <w:pPr>
              <w:jc w:val="both"/>
              <w:rPr>
                <w:rFonts w:ascii="Cambria" w:hAnsi="Cambria"/>
                <w:bCs/>
                <w:sz w:val="20"/>
                <w:szCs w:val="20"/>
                <w:lang w:val="es-ES"/>
              </w:rPr>
            </w:pPr>
            <w:r>
              <w:rPr>
                <w:rFonts w:ascii="Cambria" w:hAnsi="Cambria"/>
                <w:bCs/>
                <w:sz w:val="20"/>
                <w:szCs w:val="20"/>
                <w:lang w:val="es-ES"/>
              </w:rPr>
              <w:t>30 de septiembre y 3 noviembre de 2010, 1 y 28 de septiembre de 2011, 26 de abril, 2 de octubre, 20, 23 y 27 de noviembre de 2012, 22 de marzo de 2013, 10 de marzo de 2017</w:t>
            </w:r>
            <w:r w:rsidR="00844738">
              <w:rPr>
                <w:rFonts w:ascii="Cambria" w:hAnsi="Cambria"/>
                <w:bCs/>
                <w:sz w:val="20"/>
                <w:szCs w:val="20"/>
                <w:lang w:val="es-ES"/>
              </w:rPr>
              <w:t>, 9 de abril de 2019, 6 de agosto de 2020, 13 de marzo, 16 de junio</w:t>
            </w:r>
            <w:r w:rsidR="00DA0D7D">
              <w:rPr>
                <w:rFonts w:ascii="Cambria" w:hAnsi="Cambria"/>
                <w:bCs/>
                <w:sz w:val="20"/>
                <w:szCs w:val="20"/>
                <w:lang w:val="es-ES"/>
              </w:rPr>
              <w:t xml:space="preserve"> y </w:t>
            </w:r>
            <w:r w:rsidR="00844738">
              <w:rPr>
                <w:rFonts w:ascii="Cambria" w:hAnsi="Cambria"/>
                <w:bCs/>
                <w:sz w:val="20"/>
                <w:szCs w:val="20"/>
                <w:lang w:val="es-ES"/>
              </w:rPr>
              <w:t>12 de julio de 2021</w:t>
            </w:r>
          </w:p>
        </w:tc>
      </w:tr>
      <w:tr w:rsidR="004C2312" w:rsidRPr="00B3713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B3713C" w:rsidRDefault="004A6A54" w:rsidP="004A6A54">
            <w:pPr>
              <w:jc w:val="center"/>
              <w:rPr>
                <w:rFonts w:ascii="Cambria" w:hAnsi="Cambria"/>
                <w:b/>
                <w:bCs/>
                <w:color w:val="FFFFFF" w:themeColor="background1"/>
                <w:sz w:val="20"/>
                <w:szCs w:val="20"/>
                <w:lang w:val="es-ES"/>
              </w:rPr>
            </w:pPr>
            <w:r w:rsidRPr="00B3713C">
              <w:rPr>
                <w:rFonts w:ascii="Cambria" w:hAnsi="Cambria"/>
                <w:b/>
                <w:color w:val="FFFFFF" w:themeColor="background1"/>
                <w:sz w:val="20"/>
                <w:szCs w:val="20"/>
                <w:lang w:val="es-ES"/>
              </w:rPr>
              <w:t>N</w:t>
            </w:r>
            <w:r w:rsidR="004C2312" w:rsidRPr="00B3713C">
              <w:rPr>
                <w:rFonts w:ascii="Cambria" w:hAnsi="Cambria"/>
                <w:b/>
                <w:color w:val="FFFFFF" w:themeColor="background1"/>
                <w:sz w:val="20"/>
                <w:szCs w:val="20"/>
                <w:lang w:val="es-ES"/>
              </w:rPr>
              <w:t>otificación de la petición al Estado:</w:t>
            </w:r>
          </w:p>
        </w:tc>
        <w:tc>
          <w:tcPr>
            <w:tcW w:w="5647" w:type="dxa"/>
            <w:vAlign w:val="center"/>
          </w:tcPr>
          <w:p w14:paraId="58485921" w14:textId="6FDAD8C5" w:rsidR="004C2312" w:rsidRPr="00B3713C" w:rsidRDefault="002B6B32" w:rsidP="00AC77BE">
            <w:pPr>
              <w:jc w:val="both"/>
              <w:rPr>
                <w:rFonts w:ascii="Cambria" w:hAnsi="Cambria"/>
                <w:bCs/>
                <w:sz w:val="20"/>
                <w:szCs w:val="20"/>
                <w:lang w:val="es-ES"/>
              </w:rPr>
            </w:pPr>
            <w:r>
              <w:rPr>
                <w:rFonts w:ascii="Cambria" w:hAnsi="Cambria"/>
                <w:bCs/>
                <w:sz w:val="20"/>
                <w:szCs w:val="20"/>
                <w:lang w:val="es-ES"/>
              </w:rPr>
              <w:t>12 de noviembre de 2021</w:t>
            </w:r>
          </w:p>
        </w:tc>
      </w:tr>
      <w:tr w:rsidR="004C2312" w:rsidRPr="00B3713C"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B3713C" w:rsidRDefault="004A6A54" w:rsidP="004A6A54">
            <w:pPr>
              <w:jc w:val="center"/>
              <w:rPr>
                <w:rFonts w:ascii="Cambria" w:hAnsi="Cambria"/>
                <w:b/>
                <w:bCs/>
                <w:color w:val="FFFFFF" w:themeColor="background1"/>
                <w:sz w:val="20"/>
                <w:szCs w:val="20"/>
                <w:lang w:val="es-ES"/>
              </w:rPr>
            </w:pPr>
            <w:r w:rsidRPr="00B3713C">
              <w:rPr>
                <w:rFonts w:ascii="Cambria" w:hAnsi="Cambria"/>
                <w:b/>
                <w:color w:val="FFFFFF" w:themeColor="background1"/>
                <w:sz w:val="20"/>
                <w:szCs w:val="20"/>
                <w:lang w:val="es-ES"/>
              </w:rPr>
              <w:t>P</w:t>
            </w:r>
            <w:r w:rsidR="004C2312" w:rsidRPr="00B3713C">
              <w:rPr>
                <w:rFonts w:ascii="Cambria" w:hAnsi="Cambria"/>
                <w:b/>
                <w:color w:val="FFFFFF" w:themeColor="background1"/>
                <w:sz w:val="20"/>
                <w:szCs w:val="20"/>
                <w:lang w:val="es-ES"/>
              </w:rPr>
              <w:t>rimera respuesta del Estado:</w:t>
            </w:r>
          </w:p>
        </w:tc>
        <w:tc>
          <w:tcPr>
            <w:tcW w:w="5647" w:type="dxa"/>
            <w:vAlign w:val="center"/>
          </w:tcPr>
          <w:p w14:paraId="6B47064C" w14:textId="2D30362C" w:rsidR="004C2312" w:rsidRPr="00B3713C" w:rsidRDefault="00862CC7" w:rsidP="00AC77BE">
            <w:pPr>
              <w:jc w:val="both"/>
              <w:rPr>
                <w:rFonts w:ascii="Cambria" w:hAnsi="Cambria"/>
                <w:bCs/>
                <w:sz w:val="20"/>
                <w:szCs w:val="20"/>
                <w:lang w:val="es-ES"/>
              </w:rPr>
            </w:pPr>
            <w:r w:rsidRPr="00B3713C">
              <w:rPr>
                <w:rFonts w:ascii="Cambria" w:hAnsi="Cambria"/>
                <w:bCs/>
                <w:sz w:val="20"/>
                <w:szCs w:val="20"/>
                <w:lang w:val="es-ES"/>
              </w:rPr>
              <w:t>2</w:t>
            </w:r>
            <w:r w:rsidR="00844738">
              <w:rPr>
                <w:rFonts w:ascii="Cambria" w:hAnsi="Cambria"/>
                <w:bCs/>
                <w:sz w:val="20"/>
                <w:szCs w:val="20"/>
                <w:lang w:val="es-ES"/>
              </w:rPr>
              <w:t>2</w:t>
            </w:r>
            <w:r w:rsidRPr="00B3713C">
              <w:rPr>
                <w:rFonts w:ascii="Cambria" w:hAnsi="Cambria"/>
                <w:bCs/>
                <w:sz w:val="20"/>
                <w:szCs w:val="20"/>
                <w:lang w:val="es-ES"/>
              </w:rPr>
              <w:t xml:space="preserve"> de abril de 2022</w:t>
            </w:r>
          </w:p>
        </w:tc>
      </w:tr>
      <w:tr w:rsidR="004C2312" w:rsidRPr="00B3713C"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B3713C" w:rsidRDefault="008E3BFE" w:rsidP="008E3BFE">
            <w:pPr>
              <w:jc w:val="center"/>
              <w:rPr>
                <w:rFonts w:ascii="Cambria" w:hAnsi="Cambria"/>
                <w:b/>
                <w:bCs/>
                <w:color w:val="FFFFFF" w:themeColor="background1"/>
                <w:sz w:val="20"/>
                <w:szCs w:val="20"/>
                <w:lang w:val="es-ES"/>
              </w:rPr>
            </w:pPr>
            <w:r w:rsidRPr="00B3713C">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5982C1A2" w:rsidR="004C2312" w:rsidRPr="00B3713C" w:rsidRDefault="00C84AA8" w:rsidP="00AC77BE">
            <w:pPr>
              <w:jc w:val="both"/>
              <w:rPr>
                <w:rFonts w:ascii="Cambria" w:hAnsi="Cambria"/>
                <w:bCs/>
                <w:sz w:val="20"/>
                <w:szCs w:val="20"/>
                <w:lang w:val="es-ES"/>
              </w:rPr>
            </w:pPr>
            <w:r>
              <w:rPr>
                <w:rFonts w:ascii="Cambria" w:hAnsi="Cambria"/>
                <w:bCs/>
                <w:sz w:val="20"/>
                <w:szCs w:val="20"/>
                <w:lang w:val="es-ES"/>
              </w:rPr>
              <w:t>2 junio de 2022</w:t>
            </w:r>
          </w:p>
        </w:tc>
      </w:tr>
    </w:tbl>
    <w:p w14:paraId="0FC6E9E8" w14:textId="77777777" w:rsidR="003239B8" w:rsidRPr="00B3713C" w:rsidRDefault="003239B8" w:rsidP="003239B8">
      <w:pPr>
        <w:spacing w:before="240" w:after="240"/>
        <w:ind w:firstLine="720"/>
        <w:jc w:val="both"/>
        <w:rPr>
          <w:rFonts w:ascii="Cambria" w:hAnsi="Cambria"/>
          <w:b/>
          <w:bCs/>
          <w:sz w:val="20"/>
          <w:szCs w:val="20"/>
          <w:lang w:val="es-ES"/>
        </w:rPr>
      </w:pPr>
      <w:r w:rsidRPr="00B3713C">
        <w:rPr>
          <w:rFonts w:ascii="Cambria" w:hAnsi="Cambria"/>
          <w:b/>
          <w:bCs/>
          <w:sz w:val="20"/>
          <w:szCs w:val="20"/>
          <w:lang w:val="es-ES"/>
        </w:rPr>
        <w:t xml:space="preserve">III. </w:t>
      </w:r>
      <w:r w:rsidRPr="00B3713C">
        <w:rPr>
          <w:rFonts w:ascii="Cambria" w:hAnsi="Cambria"/>
          <w:b/>
          <w:bCs/>
          <w:sz w:val="20"/>
          <w:szCs w:val="20"/>
          <w:lang w:val="es-ES"/>
        </w:rPr>
        <w:tab/>
        <w:t>COMPETENCIA</w:t>
      </w:r>
      <w:r w:rsidR="00EE00E9" w:rsidRPr="00B3713C">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3713C"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13C" w:rsidRDefault="003239B8" w:rsidP="00AC77BE">
            <w:pPr>
              <w:jc w:val="center"/>
              <w:rPr>
                <w:rFonts w:ascii="Cambria" w:hAnsi="Cambria"/>
                <w:b/>
                <w:bCs/>
                <w:i/>
                <w:color w:val="FFFFFF" w:themeColor="background1"/>
                <w:sz w:val="20"/>
                <w:szCs w:val="20"/>
              </w:rPr>
            </w:pPr>
            <w:r w:rsidRPr="00B3713C">
              <w:rPr>
                <w:rFonts w:ascii="Cambria" w:hAnsi="Cambria"/>
                <w:b/>
                <w:bCs/>
                <w:color w:val="FFFFFF" w:themeColor="background1"/>
                <w:sz w:val="20"/>
                <w:szCs w:val="20"/>
              </w:rPr>
              <w:t>Competencia</w:t>
            </w:r>
            <w:r w:rsidRPr="00B3713C">
              <w:rPr>
                <w:rFonts w:ascii="Cambria" w:hAnsi="Cambria"/>
                <w:b/>
                <w:bCs/>
                <w:i/>
                <w:color w:val="FFFFFF" w:themeColor="background1"/>
                <w:sz w:val="20"/>
                <w:szCs w:val="20"/>
              </w:rPr>
              <w:t xml:space="preserve"> Ratione personae:</w:t>
            </w:r>
          </w:p>
        </w:tc>
        <w:tc>
          <w:tcPr>
            <w:tcW w:w="5760" w:type="dxa"/>
            <w:vAlign w:val="center"/>
          </w:tcPr>
          <w:p w14:paraId="1E494D5D" w14:textId="08FF55F3" w:rsidR="003239B8" w:rsidRPr="00B3713C" w:rsidRDefault="00137924" w:rsidP="00AC77BE">
            <w:pPr>
              <w:rPr>
                <w:rFonts w:ascii="Cambria" w:hAnsi="Cambria"/>
                <w:bCs/>
                <w:sz w:val="20"/>
                <w:szCs w:val="20"/>
              </w:rPr>
            </w:pPr>
            <w:r w:rsidRPr="00B3713C">
              <w:rPr>
                <w:rFonts w:ascii="Cambria" w:hAnsi="Cambria"/>
                <w:bCs/>
                <w:sz w:val="20"/>
                <w:szCs w:val="20"/>
              </w:rPr>
              <w:t>Sí</w:t>
            </w:r>
          </w:p>
        </w:tc>
      </w:tr>
      <w:tr w:rsidR="003239B8" w:rsidRPr="00B3713C"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13C" w:rsidRDefault="003239B8" w:rsidP="00AC77BE">
            <w:pPr>
              <w:jc w:val="center"/>
              <w:rPr>
                <w:rFonts w:ascii="Cambria" w:hAnsi="Cambria"/>
                <w:b/>
                <w:bCs/>
                <w:color w:val="FFFFFF" w:themeColor="background1"/>
                <w:sz w:val="20"/>
                <w:szCs w:val="20"/>
              </w:rPr>
            </w:pPr>
            <w:r w:rsidRPr="00B3713C">
              <w:rPr>
                <w:rFonts w:ascii="Cambria" w:hAnsi="Cambria"/>
                <w:b/>
                <w:bCs/>
                <w:color w:val="FFFFFF" w:themeColor="background1"/>
                <w:sz w:val="20"/>
                <w:szCs w:val="20"/>
              </w:rPr>
              <w:t>Competencia</w:t>
            </w:r>
            <w:r w:rsidRPr="00B3713C">
              <w:rPr>
                <w:rFonts w:ascii="Cambria" w:hAnsi="Cambria"/>
                <w:b/>
                <w:bCs/>
                <w:i/>
                <w:color w:val="FFFFFF" w:themeColor="background1"/>
                <w:sz w:val="20"/>
                <w:szCs w:val="20"/>
              </w:rPr>
              <w:t xml:space="preserve"> Ratione loci</w:t>
            </w:r>
            <w:r w:rsidRPr="00B3713C">
              <w:rPr>
                <w:rFonts w:ascii="Cambria" w:hAnsi="Cambria"/>
                <w:b/>
                <w:bCs/>
                <w:color w:val="FFFFFF" w:themeColor="background1"/>
                <w:sz w:val="20"/>
                <w:szCs w:val="20"/>
              </w:rPr>
              <w:t>:</w:t>
            </w:r>
          </w:p>
        </w:tc>
        <w:tc>
          <w:tcPr>
            <w:tcW w:w="5760" w:type="dxa"/>
            <w:vAlign w:val="center"/>
          </w:tcPr>
          <w:p w14:paraId="77C8256A" w14:textId="28A3DF6B" w:rsidR="003239B8" w:rsidRPr="00B3713C" w:rsidRDefault="00137924" w:rsidP="00AC77BE">
            <w:pPr>
              <w:rPr>
                <w:rFonts w:ascii="Cambria" w:hAnsi="Cambria"/>
                <w:bCs/>
                <w:sz w:val="20"/>
                <w:szCs w:val="20"/>
              </w:rPr>
            </w:pPr>
            <w:r w:rsidRPr="00B3713C">
              <w:rPr>
                <w:rFonts w:ascii="Cambria" w:hAnsi="Cambria"/>
                <w:bCs/>
                <w:sz w:val="20"/>
                <w:szCs w:val="20"/>
              </w:rPr>
              <w:t>Sí</w:t>
            </w:r>
          </w:p>
        </w:tc>
      </w:tr>
      <w:tr w:rsidR="003239B8" w:rsidRPr="00B3713C"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13C" w:rsidRDefault="003239B8" w:rsidP="00AC77BE">
            <w:pPr>
              <w:jc w:val="center"/>
              <w:rPr>
                <w:rFonts w:ascii="Cambria" w:hAnsi="Cambria"/>
                <w:b/>
                <w:bCs/>
                <w:color w:val="FFFFFF" w:themeColor="background1"/>
                <w:sz w:val="20"/>
                <w:szCs w:val="20"/>
              </w:rPr>
            </w:pPr>
            <w:r w:rsidRPr="00B3713C">
              <w:rPr>
                <w:rFonts w:ascii="Cambria" w:hAnsi="Cambria"/>
                <w:b/>
                <w:bCs/>
                <w:color w:val="FFFFFF" w:themeColor="background1"/>
                <w:sz w:val="20"/>
                <w:szCs w:val="20"/>
              </w:rPr>
              <w:t>Competencia</w:t>
            </w:r>
            <w:r w:rsidRPr="00B3713C">
              <w:rPr>
                <w:rFonts w:ascii="Cambria" w:hAnsi="Cambria"/>
                <w:b/>
                <w:bCs/>
                <w:i/>
                <w:color w:val="FFFFFF" w:themeColor="background1"/>
                <w:sz w:val="20"/>
                <w:szCs w:val="20"/>
              </w:rPr>
              <w:t xml:space="preserve"> Ratione temporis</w:t>
            </w:r>
            <w:r w:rsidRPr="00B3713C">
              <w:rPr>
                <w:rFonts w:ascii="Cambria" w:hAnsi="Cambria"/>
                <w:b/>
                <w:bCs/>
                <w:color w:val="FFFFFF" w:themeColor="background1"/>
                <w:sz w:val="20"/>
                <w:szCs w:val="20"/>
              </w:rPr>
              <w:t>:</w:t>
            </w:r>
          </w:p>
        </w:tc>
        <w:tc>
          <w:tcPr>
            <w:tcW w:w="5760" w:type="dxa"/>
            <w:vAlign w:val="center"/>
          </w:tcPr>
          <w:p w14:paraId="523F6BD6" w14:textId="47B21099" w:rsidR="003239B8" w:rsidRPr="00B3713C" w:rsidRDefault="00137924" w:rsidP="00AC77BE">
            <w:pPr>
              <w:rPr>
                <w:rFonts w:ascii="Cambria" w:hAnsi="Cambria"/>
                <w:bCs/>
                <w:sz w:val="20"/>
                <w:szCs w:val="20"/>
              </w:rPr>
            </w:pPr>
            <w:r w:rsidRPr="00B3713C">
              <w:rPr>
                <w:rFonts w:ascii="Cambria" w:hAnsi="Cambria"/>
                <w:bCs/>
                <w:sz w:val="20"/>
                <w:szCs w:val="20"/>
              </w:rPr>
              <w:t>Sí</w:t>
            </w:r>
          </w:p>
        </w:tc>
      </w:tr>
      <w:tr w:rsidR="003239B8" w:rsidRPr="008B1BD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13C" w:rsidRDefault="003239B8" w:rsidP="00AC77BE">
            <w:pPr>
              <w:jc w:val="center"/>
              <w:rPr>
                <w:rFonts w:ascii="Cambria" w:hAnsi="Cambria"/>
                <w:b/>
                <w:bCs/>
                <w:color w:val="FFFFFF" w:themeColor="background1"/>
                <w:sz w:val="20"/>
                <w:szCs w:val="20"/>
              </w:rPr>
            </w:pPr>
            <w:r w:rsidRPr="00B3713C">
              <w:rPr>
                <w:rFonts w:ascii="Cambria" w:hAnsi="Cambria"/>
                <w:b/>
                <w:bCs/>
                <w:color w:val="FFFFFF" w:themeColor="background1"/>
                <w:sz w:val="20"/>
                <w:szCs w:val="20"/>
              </w:rPr>
              <w:t>Competencia</w:t>
            </w:r>
            <w:r w:rsidRPr="00B3713C">
              <w:rPr>
                <w:rFonts w:ascii="Cambria" w:hAnsi="Cambria"/>
                <w:b/>
                <w:bCs/>
                <w:i/>
                <w:color w:val="FFFFFF" w:themeColor="background1"/>
                <w:sz w:val="20"/>
                <w:szCs w:val="20"/>
              </w:rPr>
              <w:t xml:space="preserve"> Ratione materia</w:t>
            </w:r>
            <w:r w:rsidR="00EE00E9" w:rsidRPr="00B3713C">
              <w:rPr>
                <w:rFonts w:ascii="Cambria" w:hAnsi="Cambria"/>
                <w:b/>
                <w:bCs/>
                <w:i/>
                <w:color w:val="FFFFFF" w:themeColor="background1"/>
                <w:sz w:val="20"/>
                <w:szCs w:val="20"/>
              </w:rPr>
              <w:t>e</w:t>
            </w:r>
            <w:r w:rsidRPr="00B3713C">
              <w:rPr>
                <w:rFonts w:ascii="Cambria" w:hAnsi="Cambria"/>
                <w:b/>
                <w:bCs/>
                <w:color w:val="FFFFFF" w:themeColor="background1"/>
                <w:sz w:val="20"/>
                <w:szCs w:val="20"/>
              </w:rPr>
              <w:t>:</w:t>
            </w:r>
          </w:p>
        </w:tc>
        <w:tc>
          <w:tcPr>
            <w:tcW w:w="5760" w:type="dxa"/>
            <w:vAlign w:val="center"/>
          </w:tcPr>
          <w:p w14:paraId="257C8337" w14:textId="4243987B" w:rsidR="003239B8" w:rsidRPr="00B3713C" w:rsidRDefault="00137924" w:rsidP="00AC77BE">
            <w:pPr>
              <w:jc w:val="both"/>
              <w:rPr>
                <w:rFonts w:ascii="Cambria" w:hAnsi="Cambria"/>
                <w:bCs/>
                <w:sz w:val="20"/>
                <w:szCs w:val="20"/>
                <w:lang w:val="es-ES"/>
              </w:rPr>
            </w:pPr>
            <w:r w:rsidRPr="00B3713C">
              <w:rPr>
                <w:rFonts w:ascii="Cambria" w:hAnsi="Cambria"/>
                <w:bCs/>
                <w:sz w:val="20"/>
                <w:szCs w:val="20"/>
                <w:lang w:val="es-ES"/>
              </w:rPr>
              <w:t>Sí</w:t>
            </w:r>
            <w:r w:rsidR="005845E9" w:rsidRPr="00B3713C">
              <w:rPr>
                <w:rFonts w:ascii="Cambria" w:hAnsi="Cambria"/>
                <w:bCs/>
                <w:sz w:val="20"/>
                <w:szCs w:val="20"/>
                <w:lang w:val="es-ES"/>
              </w:rPr>
              <w:t xml:space="preserve">, Convención Americana (depósito del instrumento de ratificación realizado el 31 de julio de 1973) </w:t>
            </w:r>
          </w:p>
        </w:tc>
      </w:tr>
    </w:tbl>
    <w:p w14:paraId="299A3868" w14:textId="36C309FF" w:rsidR="003239B8" w:rsidRPr="00B3713C" w:rsidRDefault="003239B8" w:rsidP="003239B8">
      <w:pPr>
        <w:spacing w:before="240" w:after="240"/>
        <w:ind w:firstLine="720"/>
        <w:jc w:val="both"/>
        <w:rPr>
          <w:rFonts w:ascii="Cambria" w:hAnsi="Cambria"/>
          <w:b/>
          <w:bCs/>
          <w:sz w:val="20"/>
          <w:szCs w:val="20"/>
          <w:lang w:val="es-ES"/>
        </w:rPr>
      </w:pPr>
      <w:r w:rsidRPr="00B3713C">
        <w:rPr>
          <w:rFonts w:ascii="Cambria" w:hAnsi="Cambria"/>
          <w:b/>
          <w:bCs/>
          <w:sz w:val="20"/>
          <w:szCs w:val="20"/>
          <w:lang w:val="es-ES"/>
        </w:rPr>
        <w:t xml:space="preserve">IV. </w:t>
      </w:r>
      <w:r w:rsidRPr="00B3713C">
        <w:rPr>
          <w:rFonts w:ascii="Cambria" w:hAnsi="Cambria"/>
          <w:b/>
          <w:bCs/>
          <w:sz w:val="20"/>
          <w:szCs w:val="20"/>
          <w:lang w:val="es-ES"/>
        </w:rPr>
        <w:tab/>
      </w:r>
      <w:r w:rsidR="00EE00E9" w:rsidRPr="00B3713C">
        <w:rPr>
          <w:rFonts w:ascii="Cambria" w:hAnsi="Cambria"/>
          <w:b/>
          <w:bCs/>
          <w:sz w:val="20"/>
          <w:szCs w:val="20"/>
          <w:lang w:val="es-ES"/>
        </w:rPr>
        <w:t>DUPLICACIÓN</w:t>
      </w:r>
      <w:r w:rsidR="00EE00E9" w:rsidRPr="00B3713C">
        <w:rPr>
          <w:rFonts w:ascii="Cambria" w:hAnsi="Cambria"/>
          <w:b/>
          <w:bCs/>
          <w:color w:val="FFFFFF" w:themeColor="background1"/>
          <w:sz w:val="20"/>
          <w:szCs w:val="20"/>
          <w:lang w:val="es-ES"/>
        </w:rPr>
        <w:t xml:space="preserve"> </w:t>
      </w:r>
      <w:r w:rsidR="00EE00E9" w:rsidRPr="00B3713C">
        <w:rPr>
          <w:rFonts w:ascii="Cambria" w:hAnsi="Cambria"/>
          <w:b/>
          <w:bCs/>
          <w:sz w:val="20"/>
          <w:szCs w:val="20"/>
          <w:lang w:val="es-ES"/>
        </w:rPr>
        <w:t>DE PROCEDIMIENTOS Y COSA JUZGADA</w:t>
      </w:r>
      <w:r w:rsidR="00EE00E9" w:rsidRPr="00B3713C">
        <w:rPr>
          <w:rFonts w:ascii="Cambria" w:hAnsi="Cambria"/>
          <w:b/>
          <w:bCs/>
          <w:i/>
          <w:sz w:val="20"/>
          <w:szCs w:val="20"/>
          <w:lang w:val="es-ES"/>
        </w:rPr>
        <w:t xml:space="preserve"> </w:t>
      </w:r>
      <w:r w:rsidR="002571C4" w:rsidRPr="00B3713C">
        <w:rPr>
          <w:rFonts w:ascii="Cambria" w:hAnsi="Cambria"/>
          <w:b/>
          <w:bCs/>
          <w:sz w:val="20"/>
          <w:szCs w:val="20"/>
          <w:lang w:val="es-ES"/>
        </w:rPr>
        <w:t>INTERNACIONAL, CARACTERIZACIÓN</w:t>
      </w:r>
      <w:r w:rsidRPr="00B3713C">
        <w:rPr>
          <w:rFonts w:ascii="Cambria" w:hAnsi="Cambria"/>
          <w:b/>
          <w:bCs/>
          <w:sz w:val="20"/>
          <w:szCs w:val="20"/>
          <w:lang w:val="es-ES"/>
        </w:rPr>
        <w:t xml:space="preserve">, </w:t>
      </w:r>
      <w:r w:rsidRPr="00B3713C">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E00E9" w:rsidRPr="00B3713C"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B3713C" w:rsidRDefault="00EE00E9" w:rsidP="00AC77BE">
            <w:pPr>
              <w:jc w:val="center"/>
              <w:rPr>
                <w:rFonts w:ascii="Cambria" w:hAnsi="Cambria"/>
                <w:b/>
                <w:bCs/>
                <w:color w:val="FFFFFF" w:themeColor="background1"/>
                <w:sz w:val="20"/>
                <w:szCs w:val="20"/>
                <w:lang w:val="es-ES"/>
              </w:rPr>
            </w:pPr>
            <w:r w:rsidRPr="00B3713C">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6875D67A" w:rsidR="00EE00E9" w:rsidRPr="00B3713C" w:rsidRDefault="00CF4238" w:rsidP="00AC77BE">
            <w:pPr>
              <w:jc w:val="both"/>
              <w:rPr>
                <w:rFonts w:ascii="Cambria" w:hAnsi="Cambria"/>
                <w:bCs/>
                <w:sz w:val="20"/>
                <w:szCs w:val="20"/>
                <w:lang w:val="es-ES"/>
              </w:rPr>
            </w:pPr>
            <w:r w:rsidRPr="00B3713C">
              <w:rPr>
                <w:rFonts w:ascii="Cambria" w:hAnsi="Cambria"/>
                <w:bCs/>
                <w:sz w:val="20"/>
                <w:szCs w:val="20"/>
                <w:lang w:val="es-ES"/>
              </w:rPr>
              <w:t>No</w:t>
            </w:r>
          </w:p>
        </w:tc>
      </w:tr>
      <w:tr w:rsidR="003239B8" w:rsidRPr="0025662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B3713C" w:rsidRDefault="003239B8" w:rsidP="00AC77BE">
            <w:pPr>
              <w:jc w:val="center"/>
              <w:rPr>
                <w:rFonts w:ascii="Cambria" w:hAnsi="Cambria"/>
                <w:b/>
                <w:bCs/>
                <w:i/>
                <w:color w:val="FFFFFF" w:themeColor="background1"/>
                <w:sz w:val="20"/>
                <w:szCs w:val="20"/>
              </w:rPr>
            </w:pPr>
            <w:r w:rsidRPr="00B3713C">
              <w:rPr>
                <w:rFonts w:ascii="Cambria" w:hAnsi="Cambria"/>
                <w:b/>
                <w:bCs/>
                <w:color w:val="FFFFFF" w:themeColor="background1"/>
                <w:sz w:val="20"/>
                <w:szCs w:val="20"/>
              </w:rPr>
              <w:t>Derechos declarados admisibles</w:t>
            </w:r>
            <w:r w:rsidRPr="00B3713C">
              <w:rPr>
                <w:rFonts w:ascii="Cambria" w:hAnsi="Cambria"/>
                <w:b/>
                <w:bCs/>
                <w:i/>
                <w:color w:val="FFFFFF" w:themeColor="background1"/>
                <w:sz w:val="20"/>
                <w:szCs w:val="20"/>
              </w:rPr>
              <w:t>:</w:t>
            </w:r>
          </w:p>
        </w:tc>
        <w:tc>
          <w:tcPr>
            <w:tcW w:w="5760" w:type="dxa"/>
            <w:vAlign w:val="center"/>
          </w:tcPr>
          <w:p w14:paraId="4DAE9D4D" w14:textId="62AF740A" w:rsidR="003239B8" w:rsidRPr="00C878A4" w:rsidRDefault="00594E15" w:rsidP="00AC77BE">
            <w:pPr>
              <w:jc w:val="both"/>
              <w:rPr>
                <w:rFonts w:ascii="Cambria" w:hAnsi="Cambria"/>
                <w:bCs/>
                <w:sz w:val="20"/>
                <w:szCs w:val="20"/>
                <w:lang w:val="es-ES"/>
              </w:rPr>
            </w:pPr>
            <w:r>
              <w:rPr>
                <w:rFonts w:ascii="Cambria" w:hAnsi="Cambria"/>
                <w:bCs/>
                <w:sz w:val="20"/>
                <w:szCs w:val="20"/>
                <w:lang w:val="es-ES"/>
              </w:rPr>
              <w:t>N</w:t>
            </w:r>
            <w:r w:rsidR="009970EF">
              <w:rPr>
                <w:rFonts w:ascii="Cambria" w:hAnsi="Cambria"/>
                <w:bCs/>
                <w:sz w:val="20"/>
                <w:szCs w:val="20"/>
                <w:lang w:val="es-ES"/>
              </w:rPr>
              <w:t>o aplica</w:t>
            </w:r>
          </w:p>
        </w:tc>
      </w:tr>
      <w:tr w:rsidR="003239B8" w:rsidRPr="002571C4"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B3713C" w:rsidRDefault="003239B8" w:rsidP="00AC77BE">
            <w:pPr>
              <w:jc w:val="center"/>
              <w:rPr>
                <w:rFonts w:ascii="Cambria" w:hAnsi="Cambria"/>
                <w:b/>
                <w:bCs/>
                <w:color w:val="FFFFFF" w:themeColor="background1"/>
                <w:sz w:val="20"/>
                <w:szCs w:val="20"/>
                <w:lang w:val="es-ES"/>
              </w:rPr>
            </w:pPr>
            <w:r w:rsidRPr="00B3713C">
              <w:rPr>
                <w:rFonts w:ascii="Cambria" w:hAnsi="Cambria"/>
                <w:b/>
                <w:bCs/>
                <w:color w:val="FFFFFF" w:themeColor="background1"/>
                <w:sz w:val="20"/>
                <w:szCs w:val="20"/>
                <w:lang w:val="es-ES"/>
              </w:rPr>
              <w:t>Agotamiento de recursos internos</w:t>
            </w:r>
            <w:r w:rsidR="00EE00E9" w:rsidRPr="00B3713C">
              <w:rPr>
                <w:rFonts w:ascii="Cambria" w:hAnsi="Cambria"/>
                <w:b/>
                <w:bCs/>
                <w:color w:val="FFFFFF" w:themeColor="background1"/>
                <w:sz w:val="20"/>
                <w:szCs w:val="20"/>
                <w:lang w:val="es-ES"/>
              </w:rPr>
              <w:t xml:space="preserve"> o procedencia de una excepción</w:t>
            </w:r>
            <w:r w:rsidRPr="00B3713C">
              <w:rPr>
                <w:rFonts w:ascii="Cambria" w:hAnsi="Cambria"/>
                <w:b/>
                <w:bCs/>
                <w:color w:val="FFFFFF" w:themeColor="background1"/>
                <w:sz w:val="20"/>
                <w:szCs w:val="20"/>
                <w:lang w:val="es-ES"/>
              </w:rPr>
              <w:t>:</w:t>
            </w:r>
          </w:p>
        </w:tc>
        <w:tc>
          <w:tcPr>
            <w:tcW w:w="5760" w:type="dxa"/>
            <w:vAlign w:val="center"/>
          </w:tcPr>
          <w:p w14:paraId="7F7C1A19" w14:textId="7C383286" w:rsidR="003239B8" w:rsidRPr="00B3713C" w:rsidRDefault="00594E15" w:rsidP="00AC77BE">
            <w:pPr>
              <w:rPr>
                <w:rFonts w:ascii="Cambria" w:hAnsi="Cambria"/>
                <w:bCs/>
                <w:sz w:val="20"/>
                <w:szCs w:val="20"/>
                <w:lang w:val="es-ES"/>
              </w:rPr>
            </w:pPr>
            <w:r>
              <w:rPr>
                <w:rFonts w:ascii="Cambria" w:hAnsi="Cambria"/>
                <w:bCs/>
                <w:sz w:val="20"/>
                <w:szCs w:val="20"/>
                <w:lang w:val="es-ES"/>
              </w:rPr>
              <w:t>No</w:t>
            </w:r>
          </w:p>
        </w:tc>
      </w:tr>
      <w:tr w:rsidR="003239B8" w:rsidRPr="002571C4"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B3713C" w:rsidRDefault="003239B8" w:rsidP="00AC77BE">
            <w:pPr>
              <w:jc w:val="center"/>
              <w:rPr>
                <w:rFonts w:ascii="Cambria" w:hAnsi="Cambria"/>
                <w:b/>
                <w:bCs/>
                <w:color w:val="FFFFFF" w:themeColor="background1"/>
                <w:sz w:val="20"/>
                <w:szCs w:val="20"/>
              </w:rPr>
            </w:pPr>
            <w:r w:rsidRPr="00B3713C">
              <w:rPr>
                <w:rFonts w:ascii="Cambria" w:hAnsi="Cambria"/>
                <w:b/>
                <w:bCs/>
                <w:color w:val="FFFFFF" w:themeColor="background1"/>
                <w:sz w:val="20"/>
                <w:szCs w:val="20"/>
              </w:rPr>
              <w:t>Presentación dentro de plazo:</w:t>
            </w:r>
          </w:p>
        </w:tc>
        <w:tc>
          <w:tcPr>
            <w:tcW w:w="5760" w:type="dxa"/>
            <w:vAlign w:val="center"/>
          </w:tcPr>
          <w:p w14:paraId="2AF0FC69" w14:textId="5EC701A6" w:rsidR="003239B8" w:rsidRPr="002571C4" w:rsidRDefault="00594E15" w:rsidP="00AC77BE">
            <w:pPr>
              <w:rPr>
                <w:rFonts w:ascii="Cambria" w:hAnsi="Cambria"/>
                <w:bCs/>
                <w:sz w:val="20"/>
                <w:szCs w:val="20"/>
                <w:lang w:val="es-US"/>
              </w:rPr>
            </w:pPr>
            <w:r>
              <w:rPr>
                <w:rFonts w:ascii="Cambria" w:hAnsi="Cambria"/>
                <w:bCs/>
                <w:sz w:val="20"/>
                <w:szCs w:val="20"/>
                <w:lang w:val="es-US"/>
              </w:rPr>
              <w:t>No</w:t>
            </w:r>
          </w:p>
        </w:tc>
      </w:tr>
    </w:tbl>
    <w:p w14:paraId="7E120F04" w14:textId="15D710DB" w:rsidR="00B6331B" w:rsidRPr="002571C4" w:rsidRDefault="00B6331B" w:rsidP="00B6331B">
      <w:pPr>
        <w:jc w:val="both"/>
        <w:rPr>
          <w:rFonts w:asciiTheme="majorHAnsi" w:hAnsiTheme="majorHAnsi" w:cs="Calibri"/>
          <w:sz w:val="20"/>
          <w:szCs w:val="20"/>
          <w:lang w:val="es-US"/>
        </w:rPr>
      </w:pPr>
    </w:p>
    <w:p w14:paraId="22A6CBE9" w14:textId="77777777" w:rsidR="003C17DA" w:rsidRPr="00963669" w:rsidRDefault="003C17DA" w:rsidP="003C17DA">
      <w:pPr>
        <w:spacing w:before="240" w:after="240"/>
        <w:ind w:firstLine="720"/>
        <w:jc w:val="both"/>
        <w:rPr>
          <w:rFonts w:asciiTheme="majorHAnsi" w:hAnsiTheme="majorHAnsi"/>
          <w:b/>
          <w:sz w:val="20"/>
          <w:szCs w:val="20"/>
          <w:lang w:val="es-ES_tradnl"/>
        </w:rPr>
      </w:pPr>
      <w:r w:rsidRPr="00B3713C">
        <w:rPr>
          <w:rFonts w:ascii="Cambria" w:hAnsi="Cambria"/>
          <w:b/>
          <w:sz w:val="20"/>
          <w:szCs w:val="20"/>
          <w:lang w:val="es-UY"/>
        </w:rPr>
        <w:lastRenderedPageBreak/>
        <w:t xml:space="preserve">V. </w:t>
      </w:r>
      <w:r w:rsidRPr="00B3713C">
        <w:rPr>
          <w:rFonts w:ascii="Cambria" w:hAnsi="Cambria"/>
          <w:b/>
          <w:sz w:val="20"/>
          <w:szCs w:val="20"/>
          <w:lang w:val="es-UY"/>
        </w:rPr>
        <w:tab/>
      </w:r>
      <w:r w:rsidRPr="00963669">
        <w:rPr>
          <w:rFonts w:asciiTheme="majorHAnsi" w:hAnsiTheme="majorHAnsi"/>
          <w:b/>
          <w:sz w:val="20"/>
          <w:szCs w:val="20"/>
          <w:lang w:val="es-ES_tradnl"/>
        </w:rPr>
        <w:t xml:space="preserve">POSICIÓN DE LAS PARTES </w:t>
      </w:r>
    </w:p>
    <w:p w14:paraId="73E9819C" w14:textId="77777777" w:rsidR="003C17DA" w:rsidRPr="00963669" w:rsidRDefault="003C17DA" w:rsidP="003C17DA">
      <w:pPr>
        <w:spacing w:before="240" w:after="240"/>
        <w:ind w:firstLine="720"/>
        <w:jc w:val="both"/>
        <w:rPr>
          <w:rFonts w:asciiTheme="majorHAnsi" w:hAnsiTheme="majorHAnsi"/>
          <w:bCs/>
          <w:i/>
          <w:iCs/>
          <w:sz w:val="20"/>
          <w:szCs w:val="20"/>
          <w:lang w:val="es-ES_tradnl"/>
        </w:rPr>
      </w:pPr>
      <w:r w:rsidRPr="00963669">
        <w:rPr>
          <w:rFonts w:asciiTheme="majorHAnsi" w:hAnsiTheme="majorHAnsi"/>
          <w:bCs/>
          <w:i/>
          <w:iCs/>
          <w:sz w:val="20"/>
          <w:szCs w:val="20"/>
          <w:lang w:val="es-ES_tradnl"/>
        </w:rPr>
        <w:t>Alegatos de la parte peticionaria</w:t>
      </w:r>
    </w:p>
    <w:p w14:paraId="601E20F3" w14:textId="6157B3EB" w:rsidR="003C17DA" w:rsidRPr="00963669" w:rsidRDefault="008B18AC" w:rsidP="00094B3F">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 xml:space="preserve">La parte peticionaria denuncia </w:t>
      </w:r>
      <w:r w:rsidR="00094B3F" w:rsidRPr="00963669">
        <w:rPr>
          <w:rFonts w:asciiTheme="majorHAnsi" w:hAnsiTheme="majorHAnsi"/>
          <w:bCs/>
          <w:sz w:val="20"/>
          <w:szCs w:val="20"/>
          <w:lang w:val="es-ES_tradnl"/>
        </w:rPr>
        <w:t xml:space="preserve">que </w:t>
      </w:r>
      <w:r w:rsidRPr="00963669">
        <w:rPr>
          <w:rFonts w:asciiTheme="majorHAnsi" w:hAnsiTheme="majorHAnsi"/>
          <w:bCs/>
          <w:sz w:val="20"/>
          <w:szCs w:val="20"/>
          <w:lang w:val="es-ES_tradnl"/>
        </w:rPr>
        <w:t>las autoridades no respetaron la protección especial y reforzada que tenían las presuntas víctimas</w:t>
      </w:r>
      <w:r w:rsidR="00137BFC" w:rsidRPr="00963669">
        <w:rPr>
          <w:rFonts w:asciiTheme="majorHAnsi" w:hAnsiTheme="majorHAnsi"/>
          <w:bCs/>
          <w:sz w:val="20"/>
          <w:szCs w:val="20"/>
          <w:lang w:val="es-ES_tradnl"/>
        </w:rPr>
        <w:t>;</w:t>
      </w:r>
      <w:r w:rsidRPr="00963669">
        <w:rPr>
          <w:rFonts w:asciiTheme="majorHAnsi" w:hAnsiTheme="majorHAnsi"/>
          <w:bCs/>
          <w:sz w:val="20"/>
          <w:szCs w:val="20"/>
          <w:lang w:val="es-ES_tradnl"/>
        </w:rPr>
        <w:t xml:space="preserve"> y como resultado, </w:t>
      </w:r>
      <w:r w:rsidR="00094B3F" w:rsidRPr="00963669">
        <w:rPr>
          <w:rFonts w:asciiTheme="majorHAnsi" w:hAnsiTheme="majorHAnsi"/>
          <w:bCs/>
          <w:sz w:val="20"/>
          <w:szCs w:val="20"/>
          <w:lang w:val="es-ES_tradnl"/>
        </w:rPr>
        <w:t>tras la liquidación de la</w:t>
      </w:r>
      <w:r w:rsidR="003C17DA" w:rsidRPr="00963669">
        <w:rPr>
          <w:rFonts w:asciiTheme="majorHAnsi" w:hAnsiTheme="majorHAnsi"/>
          <w:bCs/>
          <w:sz w:val="20"/>
          <w:szCs w:val="20"/>
          <w:lang w:val="es-ES_tradnl"/>
        </w:rPr>
        <w:t xml:space="preserve"> Empresa </w:t>
      </w:r>
      <w:r w:rsidR="00094B3F" w:rsidRPr="00963669">
        <w:rPr>
          <w:rFonts w:asciiTheme="majorHAnsi" w:hAnsiTheme="majorHAnsi"/>
          <w:bCs/>
          <w:sz w:val="20"/>
          <w:szCs w:val="20"/>
          <w:lang w:val="es-ES_tradnl"/>
        </w:rPr>
        <w:t>N</w:t>
      </w:r>
      <w:r w:rsidR="003C17DA" w:rsidRPr="00963669">
        <w:rPr>
          <w:rFonts w:asciiTheme="majorHAnsi" w:hAnsiTheme="majorHAnsi"/>
          <w:bCs/>
          <w:sz w:val="20"/>
          <w:szCs w:val="20"/>
          <w:lang w:val="es-ES_tradnl"/>
        </w:rPr>
        <w:t>acional de Telecomunicaciones (en adelante, TELECOM)</w:t>
      </w:r>
      <w:r w:rsidRPr="00963669">
        <w:rPr>
          <w:rFonts w:asciiTheme="majorHAnsi" w:hAnsiTheme="majorHAnsi"/>
          <w:bCs/>
          <w:sz w:val="20"/>
          <w:szCs w:val="20"/>
          <w:lang w:val="es-ES_tradnl"/>
        </w:rPr>
        <w:t>,</w:t>
      </w:r>
      <w:r w:rsidR="00094B3F" w:rsidRPr="00963669">
        <w:rPr>
          <w:rFonts w:asciiTheme="majorHAnsi" w:hAnsiTheme="majorHAnsi"/>
          <w:bCs/>
          <w:sz w:val="20"/>
          <w:szCs w:val="20"/>
          <w:lang w:val="es-ES_tradnl"/>
        </w:rPr>
        <w:t xml:space="preserve"> perdieron sus puestos de trabajo sin que les reconozcan sus</w:t>
      </w:r>
      <w:r w:rsidRPr="00963669">
        <w:rPr>
          <w:rFonts w:asciiTheme="majorHAnsi" w:hAnsiTheme="majorHAnsi"/>
          <w:bCs/>
          <w:sz w:val="20"/>
          <w:szCs w:val="20"/>
          <w:lang w:val="es-ES_tradnl"/>
        </w:rPr>
        <w:t xml:space="preserve"> derechos laborales </w:t>
      </w:r>
      <w:r w:rsidR="00094B3F" w:rsidRPr="00963669">
        <w:rPr>
          <w:rFonts w:asciiTheme="majorHAnsi" w:hAnsiTheme="majorHAnsi"/>
          <w:bCs/>
          <w:sz w:val="20"/>
          <w:szCs w:val="20"/>
          <w:lang w:val="es-ES_tradnl"/>
        </w:rPr>
        <w:t>y</w:t>
      </w:r>
      <w:r w:rsidRPr="00963669">
        <w:rPr>
          <w:rFonts w:asciiTheme="majorHAnsi" w:hAnsiTheme="majorHAnsi"/>
          <w:bCs/>
          <w:sz w:val="20"/>
          <w:szCs w:val="20"/>
          <w:lang w:val="es-ES_tradnl"/>
        </w:rPr>
        <w:t xml:space="preserve"> previsionales. </w:t>
      </w:r>
    </w:p>
    <w:p w14:paraId="7EE2FE0A" w14:textId="2DF67108" w:rsidR="003C17DA" w:rsidRPr="00963669" w:rsidRDefault="007D3B71"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El peticionario narra</w:t>
      </w:r>
      <w:r w:rsidR="003C17DA" w:rsidRPr="00963669">
        <w:rPr>
          <w:rFonts w:asciiTheme="majorHAnsi" w:hAnsiTheme="majorHAnsi"/>
          <w:bCs/>
          <w:sz w:val="20"/>
          <w:szCs w:val="20"/>
          <w:lang w:val="es-ES_tradnl"/>
        </w:rPr>
        <w:t xml:space="preserve"> que en 2003 el entonces gobierno, mediante la expedición del Decreto 1615, liquidó forzosamente a TELECOM y a las empresas locales asociadas, a efectos de dar paso a nueva empresa estatal denominada Colombia Telecomunicaciones S.A. En respuesta a ello, afirma que la Unión Sindical de Trabajadores de las Comunicaciones (en adelante, USTC) y la Asociación de Ingenieros y Profesionales de Telecom (en adelante, ASITEL) trataron de exigir diálogo y negociación para que las </w:t>
      </w:r>
      <w:r w:rsidR="008B18AC" w:rsidRPr="00963669">
        <w:rPr>
          <w:rFonts w:asciiTheme="majorHAnsi" w:hAnsiTheme="majorHAnsi"/>
          <w:bCs/>
          <w:sz w:val="20"/>
          <w:szCs w:val="20"/>
          <w:lang w:val="es-ES_tradnl"/>
        </w:rPr>
        <w:t>citadas empresas</w:t>
      </w:r>
      <w:r w:rsidR="003C17DA" w:rsidRPr="00963669">
        <w:rPr>
          <w:rFonts w:asciiTheme="majorHAnsi" w:hAnsiTheme="majorHAnsi"/>
          <w:bCs/>
          <w:sz w:val="20"/>
          <w:szCs w:val="20"/>
          <w:lang w:val="es-ES_tradnl"/>
        </w:rPr>
        <w:t xml:space="preserve"> no fuesen liquidadas y/o, en su defecto, se trasladara a los trabajadores con especiales condiciones a la supuesta nueva institución. Sin embargo, arguye que sus pedidos fueron ineficaces. </w:t>
      </w:r>
    </w:p>
    <w:p w14:paraId="6538B7D2" w14:textId="5C2D4D70" w:rsidR="003C17DA" w:rsidRPr="00963669" w:rsidRDefault="00A36B17"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I</w:t>
      </w:r>
      <w:r w:rsidR="003C17DA" w:rsidRPr="00963669">
        <w:rPr>
          <w:rFonts w:asciiTheme="majorHAnsi" w:hAnsiTheme="majorHAnsi"/>
          <w:bCs/>
          <w:sz w:val="20"/>
          <w:szCs w:val="20"/>
          <w:lang w:val="es-ES_tradnl"/>
        </w:rPr>
        <w:t>ndica que, conforme a la legislación y</w:t>
      </w:r>
      <w:r w:rsidR="0008307F" w:rsidRPr="00963669">
        <w:rPr>
          <w:rFonts w:asciiTheme="majorHAnsi" w:hAnsiTheme="majorHAnsi"/>
          <w:bCs/>
          <w:sz w:val="20"/>
          <w:szCs w:val="20"/>
          <w:lang w:val="es-ES_tradnl"/>
        </w:rPr>
        <w:t xml:space="preserve"> a la</w:t>
      </w:r>
      <w:r w:rsidR="003C17DA" w:rsidRPr="00963669">
        <w:rPr>
          <w:rFonts w:asciiTheme="majorHAnsi" w:hAnsiTheme="majorHAnsi"/>
          <w:bCs/>
          <w:sz w:val="20"/>
          <w:szCs w:val="20"/>
          <w:lang w:val="es-ES_tradnl"/>
        </w:rPr>
        <w:t xml:space="preserve"> jurisprudencia constitucional, </w:t>
      </w:r>
      <w:r w:rsidR="00094B3F" w:rsidRPr="00963669">
        <w:rPr>
          <w:rFonts w:asciiTheme="majorHAnsi" w:hAnsiTheme="majorHAnsi"/>
          <w:bCs/>
          <w:sz w:val="20"/>
          <w:szCs w:val="20"/>
          <w:lang w:val="es-ES_tradnl"/>
        </w:rPr>
        <w:t xml:space="preserve">las presuntas víctimas </w:t>
      </w:r>
      <w:r w:rsidR="003C17DA" w:rsidRPr="00963669">
        <w:rPr>
          <w:rFonts w:asciiTheme="majorHAnsi" w:hAnsiTheme="majorHAnsi"/>
          <w:bCs/>
          <w:sz w:val="20"/>
          <w:szCs w:val="20"/>
          <w:lang w:val="es-ES_tradnl"/>
        </w:rPr>
        <w:t>no podían ser retirados del servicio</w:t>
      </w:r>
      <w:r w:rsidR="00094B3F" w:rsidRPr="00963669">
        <w:rPr>
          <w:rFonts w:asciiTheme="majorHAnsi" w:hAnsiTheme="majorHAnsi"/>
          <w:bCs/>
          <w:sz w:val="20"/>
          <w:szCs w:val="20"/>
          <w:lang w:val="es-ES_tradnl"/>
        </w:rPr>
        <w:t>, toda vez que eran</w:t>
      </w:r>
      <w:r w:rsidR="003C17DA" w:rsidRPr="00963669">
        <w:rPr>
          <w:rFonts w:asciiTheme="majorHAnsi" w:hAnsiTheme="majorHAnsi"/>
          <w:bCs/>
          <w:sz w:val="20"/>
          <w:szCs w:val="20"/>
          <w:lang w:val="es-ES_tradnl"/>
        </w:rPr>
        <w:t xml:space="preserve"> trabajadores </w:t>
      </w:r>
      <w:r w:rsidR="00C04D77" w:rsidRPr="00963669">
        <w:rPr>
          <w:rFonts w:asciiTheme="majorHAnsi" w:hAnsiTheme="majorHAnsi"/>
          <w:bCs/>
          <w:sz w:val="20"/>
          <w:szCs w:val="20"/>
          <w:lang w:val="es-ES_tradnl"/>
        </w:rPr>
        <w:t xml:space="preserve">y trabajadoras </w:t>
      </w:r>
      <w:r w:rsidR="003C17DA" w:rsidRPr="00963669">
        <w:rPr>
          <w:rFonts w:asciiTheme="majorHAnsi" w:hAnsiTheme="majorHAnsi"/>
          <w:bCs/>
          <w:sz w:val="20"/>
          <w:szCs w:val="20"/>
          <w:lang w:val="es-ES_tradnl"/>
        </w:rPr>
        <w:t xml:space="preserve">que </w:t>
      </w:r>
      <w:r w:rsidR="00094B3F" w:rsidRPr="00963669">
        <w:rPr>
          <w:rFonts w:asciiTheme="majorHAnsi" w:hAnsiTheme="majorHAnsi"/>
          <w:bCs/>
          <w:sz w:val="20"/>
          <w:szCs w:val="20"/>
          <w:lang w:val="es-ES_tradnl"/>
        </w:rPr>
        <w:t>tenían</w:t>
      </w:r>
      <w:r w:rsidR="003C17DA" w:rsidRPr="00963669">
        <w:rPr>
          <w:rFonts w:asciiTheme="majorHAnsi" w:hAnsiTheme="majorHAnsi"/>
          <w:bCs/>
          <w:sz w:val="20"/>
          <w:szCs w:val="20"/>
          <w:lang w:val="es-ES_tradnl"/>
        </w:rPr>
        <w:t xml:space="preserve"> una protección social especial y reforzada</w:t>
      </w:r>
      <w:r w:rsidR="00086F62" w:rsidRPr="00963669">
        <w:rPr>
          <w:rFonts w:asciiTheme="majorHAnsi" w:hAnsiTheme="majorHAnsi"/>
          <w:bCs/>
          <w:sz w:val="20"/>
          <w:szCs w:val="20"/>
          <w:lang w:val="es-ES_tradnl"/>
        </w:rPr>
        <w:t>;</w:t>
      </w:r>
      <w:r w:rsidR="003C17DA" w:rsidRPr="00963669">
        <w:rPr>
          <w:rFonts w:asciiTheme="majorHAnsi" w:hAnsiTheme="majorHAnsi"/>
          <w:bCs/>
          <w:sz w:val="20"/>
          <w:szCs w:val="20"/>
          <w:lang w:val="es-ES_tradnl"/>
        </w:rPr>
        <w:t xml:space="preserve"> </w:t>
      </w:r>
      <w:r w:rsidR="00086F62" w:rsidRPr="00963669">
        <w:rPr>
          <w:rFonts w:asciiTheme="majorHAnsi" w:hAnsiTheme="majorHAnsi"/>
          <w:bCs/>
          <w:sz w:val="20"/>
          <w:szCs w:val="20"/>
          <w:lang w:val="es-ES_tradnl"/>
        </w:rPr>
        <w:t>c</w:t>
      </w:r>
      <w:r w:rsidR="00094B3F" w:rsidRPr="00963669">
        <w:rPr>
          <w:rFonts w:asciiTheme="majorHAnsi" w:hAnsiTheme="majorHAnsi"/>
          <w:bCs/>
          <w:sz w:val="20"/>
          <w:szCs w:val="20"/>
          <w:lang w:val="es-ES_tradnl"/>
        </w:rPr>
        <w:t xml:space="preserve">ondición </w:t>
      </w:r>
      <w:r w:rsidR="00086F62" w:rsidRPr="00963669">
        <w:rPr>
          <w:rFonts w:asciiTheme="majorHAnsi" w:hAnsiTheme="majorHAnsi"/>
          <w:bCs/>
          <w:sz w:val="20"/>
          <w:szCs w:val="20"/>
          <w:lang w:val="es-ES_tradnl"/>
        </w:rPr>
        <w:t xml:space="preserve">que </w:t>
      </w:r>
      <w:r w:rsidR="00094B3F" w:rsidRPr="00963669">
        <w:rPr>
          <w:rFonts w:asciiTheme="majorHAnsi" w:hAnsiTheme="majorHAnsi"/>
          <w:bCs/>
          <w:sz w:val="20"/>
          <w:szCs w:val="20"/>
          <w:lang w:val="es-ES_tradnl"/>
        </w:rPr>
        <w:t xml:space="preserve">adquirían </w:t>
      </w:r>
      <w:r w:rsidR="00086F62" w:rsidRPr="00963669">
        <w:rPr>
          <w:rFonts w:asciiTheme="majorHAnsi" w:hAnsiTheme="majorHAnsi"/>
          <w:bCs/>
          <w:sz w:val="20"/>
          <w:szCs w:val="20"/>
          <w:lang w:val="es-ES_tradnl"/>
        </w:rPr>
        <w:t xml:space="preserve">las </w:t>
      </w:r>
      <w:r w:rsidR="00094B3F" w:rsidRPr="00963669">
        <w:rPr>
          <w:rFonts w:asciiTheme="majorHAnsi" w:hAnsiTheme="majorHAnsi"/>
          <w:bCs/>
          <w:sz w:val="20"/>
          <w:szCs w:val="20"/>
          <w:lang w:val="es-ES_tradnl"/>
        </w:rPr>
        <w:t>personas</w:t>
      </w:r>
      <w:r w:rsidR="003C17DA" w:rsidRPr="00963669">
        <w:rPr>
          <w:rFonts w:asciiTheme="majorHAnsi" w:hAnsiTheme="majorHAnsi"/>
          <w:bCs/>
          <w:sz w:val="20"/>
          <w:szCs w:val="20"/>
          <w:lang w:val="es-ES_tradnl"/>
        </w:rPr>
        <w:t xml:space="preserve"> que: (a) estuvieran próximos a obtener el derecho de pensión; (b) tuviesen la condición de madres o padres cabeza de familia sin alternativa económica o presentaran incapacidades físicas permanentes; y (c) estuviesen amparados por el fuero sindical. Sin embargo, señala que TELECOM y el Patrimonio Autónomo de Remanentes (en adelante, PAR) –patrimonio autónomo destinado a pagar las deudas remanentes en materia laboral y pensional creado luego de la liquidación de la empresa– desconocieron los derechos de las presuntas víctimas y no respetaron su protección reforzada. </w:t>
      </w:r>
    </w:p>
    <w:p w14:paraId="4BF0EC99" w14:textId="0E16B8FC" w:rsidR="003C17DA" w:rsidRPr="00963669" w:rsidRDefault="003C17DA"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Con referencia al grupo (a) de trabajadores que estaban próximos a pensionarse, indica que no se respetaron los derechos al régimen pensional especial que tenían los trabajadores de TELECOM que se encontraban vinculados al 29 de diciembre de 1992, y que podían cumplir con los requisitos de tiempo de servicio y/o edad durante el lapso de siete años contados a partir del mes de marzo de 2003, de acuerdo con los regímenes especiales vigentes en la empresa. Asimismo, destaca que se debió permitir a los trabajadores que “</w:t>
      </w:r>
      <w:r w:rsidRPr="00963669">
        <w:rPr>
          <w:rFonts w:asciiTheme="majorHAnsi" w:hAnsiTheme="majorHAnsi"/>
          <w:bCs/>
          <w:i/>
          <w:iCs/>
          <w:sz w:val="20"/>
          <w:szCs w:val="20"/>
          <w:lang w:val="es-ES_tradnl"/>
        </w:rPr>
        <w:t>no fueron incluidos en el retén social, o que habiendo sido incluidos fueron retirados antes de febrero de 2006, ostenten dicha calidad para efectos de contabilizar la protección que les permita cumplir su expectativa de pensión</w:t>
      </w:r>
      <w:r w:rsidRPr="00963669">
        <w:rPr>
          <w:rFonts w:asciiTheme="majorHAnsi" w:hAnsiTheme="majorHAnsi"/>
          <w:bCs/>
          <w:sz w:val="20"/>
          <w:szCs w:val="20"/>
          <w:lang w:val="es-ES_tradnl"/>
        </w:rPr>
        <w:t>”.</w:t>
      </w:r>
    </w:p>
    <w:p w14:paraId="74B18657" w14:textId="30B89325" w:rsidR="003C17DA" w:rsidRPr="00963669" w:rsidRDefault="003C17DA"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Con referencia al grupo (b) de trabajadores que eran madres o padres cabeza de familia sin alternativa económica o que presentaran incapacidades físicas, sostiene que se ignoraron las normas de protección reforzada para la población más vulnerable –Ley 790 de 2002 y Decreto 190 de 2003–</w:t>
      </w:r>
      <w:r w:rsidR="00BD3B07" w:rsidRPr="00963669">
        <w:rPr>
          <w:rFonts w:asciiTheme="majorHAnsi" w:hAnsiTheme="majorHAnsi"/>
          <w:bCs/>
          <w:sz w:val="20"/>
          <w:szCs w:val="20"/>
          <w:lang w:val="es-ES_tradnl"/>
        </w:rPr>
        <w:t>,</w:t>
      </w:r>
      <w:r w:rsidRPr="00963669">
        <w:rPr>
          <w:rFonts w:asciiTheme="majorHAnsi" w:hAnsiTheme="majorHAnsi"/>
          <w:bCs/>
          <w:sz w:val="20"/>
          <w:szCs w:val="20"/>
          <w:lang w:val="es-ES_tradnl"/>
        </w:rPr>
        <w:t xml:space="preserve"> y, por lo tanto, este grupo de personas se vio enfrentada a una mayor dificultad para encontrar un nuevo empleo. Por lo tanto, solicita que este grupo de personas sea reintegrado dentro de otras estructuras laborales del Estado, y que se sean beneficiarios de una indemnización adicional a la que se les canceló al momento del retiro.  </w:t>
      </w:r>
    </w:p>
    <w:p w14:paraId="597BB2DC" w14:textId="77777777" w:rsidR="003C17DA" w:rsidRPr="00963669" w:rsidRDefault="003C17DA"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Con referencia al grupo (c) de personas amparadas por el fuero sindical, indica que el gobierno generalizó la terminación de los contratos de trabajo a más de cuatrocientos trabajadores aforados, a pesar de que jueces laborales no emitieron un fallo al respecto. Así, señala que se vulneró el debido proceso porque el fuero sindical es una garantía de la cual gozan algunos trabajadores a efectos de evitar que sean despedidos, desmejorados en sus condiciones de trabajo o trasladados a otros establecimientos de la misma empresa sin una justa causa previamente calificada por un juez de trabajo, hecho que no se cumplió en el presente caso. Por lo tanto, solicita que sean reintegrados los trabajadores amparados con fuero sindical y no que fueron cobijados con procesos judiciales que llevaron al levantamiento del fuero sindical. Asimismo, requiere que se indemnice a USTC y ASITEL por los daños causados producto de la terminación unilateral de los contratos de trabajo de sus trabajadores afiliados y que causan indiscutible disminución en sus recursos económicos.</w:t>
      </w:r>
    </w:p>
    <w:p w14:paraId="49AF61B2" w14:textId="4A015B8F" w:rsidR="008B18AC" w:rsidRPr="00963669" w:rsidRDefault="003C17DA" w:rsidP="008B18AC">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lastRenderedPageBreak/>
        <w:t>Adicionalmente, el peticionario alega que se violó el derecho adquirido a la salud integral de que tenían lo trabajadores y pensionados de TELECOM, porque gozaban de un plan complementario de salud que era asumido por la empresa y por la Caja de Previsión Social de Comunicaciones. Sin embargo, durante el proceso de liquidación se excluyó a los afectados del acceso a especialistas y a medicamentos para tratamientos ambulatorios, por lo cual se infringió el acuerdo firmado en la Convención Colectiva de Trabajo que aún se encontraba vigente.</w:t>
      </w:r>
    </w:p>
    <w:p w14:paraId="05684728" w14:textId="5C5AE836" w:rsidR="003C17DA" w:rsidRPr="00963669" w:rsidRDefault="003C17DA" w:rsidP="008B18AC">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Por último, señala</w:t>
      </w:r>
      <w:r w:rsidR="008B18AC" w:rsidRPr="00963669">
        <w:rPr>
          <w:rFonts w:asciiTheme="majorHAnsi" w:hAnsiTheme="majorHAnsi"/>
          <w:bCs/>
          <w:sz w:val="20"/>
          <w:szCs w:val="20"/>
          <w:lang w:val="es-ES_tradnl"/>
        </w:rPr>
        <w:t xml:space="preserve"> de manera genérica,</w:t>
      </w:r>
      <w:r w:rsidRPr="00963669">
        <w:rPr>
          <w:rFonts w:asciiTheme="majorHAnsi" w:hAnsiTheme="majorHAnsi"/>
          <w:bCs/>
          <w:sz w:val="20"/>
          <w:szCs w:val="20"/>
          <w:lang w:val="es-ES_tradnl"/>
        </w:rPr>
        <w:t xml:space="preserve"> que las presuntas víctimas agotaron los recursos internos al presentar reclamaciones administrativas y demandas judiciales, algunas de las cuales no se habrían resuelto, y otras que han originado fallos contradictorios que evitarían la cristalización de los derechos vulnerados. </w:t>
      </w:r>
      <w:r w:rsidR="008B18AC" w:rsidRPr="00963669">
        <w:rPr>
          <w:rFonts w:asciiTheme="majorHAnsi" w:hAnsiTheme="majorHAnsi"/>
          <w:bCs/>
          <w:sz w:val="20"/>
          <w:szCs w:val="20"/>
          <w:lang w:val="es-ES_tradnl"/>
        </w:rPr>
        <w:t>No obstante, no brinda mayores detalles sobre la situación concreta de cada presunta víctima</w:t>
      </w:r>
      <w:r w:rsidR="004936CF" w:rsidRPr="00963669">
        <w:rPr>
          <w:rFonts w:asciiTheme="majorHAnsi" w:hAnsiTheme="majorHAnsi"/>
          <w:bCs/>
          <w:sz w:val="20"/>
          <w:szCs w:val="20"/>
          <w:lang w:val="es-ES_tradnl"/>
        </w:rPr>
        <w:t xml:space="preserve">, limitándose a explicar algunos datos respecto </w:t>
      </w:r>
      <w:r w:rsidR="00994C5D" w:rsidRPr="00963669">
        <w:rPr>
          <w:rFonts w:asciiTheme="majorHAnsi" w:hAnsiTheme="majorHAnsi"/>
          <w:bCs/>
          <w:sz w:val="20"/>
          <w:szCs w:val="20"/>
          <w:lang w:val="es-ES_tradnl"/>
        </w:rPr>
        <w:t>de</w:t>
      </w:r>
      <w:r w:rsidR="004936CF" w:rsidRPr="00963669">
        <w:rPr>
          <w:rFonts w:asciiTheme="majorHAnsi" w:hAnsiTheme="majorHAnsi"/>
          <w:bCs/>
          <w:sz w:val="20"/>
          <w:szCs w:val="20"/>
          <w:lang w:val="es-ES_tradnl"/>
        </w:rPr>
        <w:t xml:space="preserve"> veintinueve de ellas. </w:t>
      </w:r>
    </w:p>
    <w:p w14:paraId="0C7E718C" w14:textId="3B145FEA" w:rsidR="003C17DA" w:rsidRPr="00963669" w:rsidRDefault="003C17DA" w:rsidP="003C17DA">
      <w:pPr>
        <w:spacing w:before="240" w:after="240"/>
        <w:ind w:firstLine="720"/>
        <w:jc w:val="both"/>
        <w:rPr>
          <w:rFonts w:asciiTheme="majorHAnsi" w:hAnsiTheme="majorHAnsi"/>
          <w:bCs/>
          <w:i/>
          <w:iCs/>
          <w:sz w:val="20"/>
          <w:szCs w:val="20"/>
          <w:lang w:val="es-ES_tradnl"/>
        </w:rPr>
      </w:pPr>
      <w:r w:rsidRPr="00963669">
        <w:rPr>
          <w:rFonts w:asciiTheme="majorHAnsi" w:hAnsiTheme="majorHAnsi"/>
          <w:bCs/>
          <w:i/>
          <w:iCs/>
          <w:sz w:val="20"/>
          <w:szCs w:val="20"/>
          <w:lang w:val="es-ES_tradnl"/>
        </w:rPr>
        <w:t>Alegatos del Estado</w:t>
      </w:r>
      <w:r w:rsidR="00F348DD" w:rsidRPr="00963669">
        <w:rPr>
          <w:rFonts w:asciiTheme="majorHAnsi" w:hAnsiTheme="majorHAnsi"/>
          <w:bCs/>
          <w:i/>
          <w:iCs/>
          <w:sz w:val="20"/>
          <w:szCs w:val="20"/>
          <w:lang w:val="es-ES_tradnl"/>
        </w:rPr>
        <w:t xml:space="preserve"> colombiano </w:t>
      </w:r>
    </w:p>
    <w:p w14:paraId="69D6BB2F" w14:textId="6FD01C0B" w:rsidR="003C17DA" w:rsidRPr="00963669" w:rsidRDefault="003C17DA"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Por su parte, el Estado explica que antes de la expedición del Decreto 1615 de 2003, ya se habían emitido los documentos CONPES No. 3145 de diciembre de 2001 y CONPES No. 3184 de julio de 2002, en los cuales se valoró el plan de ajuste de TELECOM</w:t>
      </w:r>
      <w:r w:rsidR="00EF48CA" w:rsidRPr="00963669">
        <w:rPr>
          <w:rFonts w:asciiTheme="majorHAnsi" w:hAnsiTheme="majorHAnsi"/>
          <w:bCs/>
          <w:sz w:val="20"/>
          <w:szCs w:val="20"/>
          <w:lang w:val="es-ES_tradnl"/>
        </w:rPr>
        <w:t>;</w:t>
      </w:r>
      <w:r w:rsidRPr="00963669">
        <w:rPr>
          <w:rFonts w:asciiTheme="majorHAnsi" w:hAnsiTheme="majorHAnsi"/>
          <w:bCs/>
          <w:sz w:val="20"/>
          <w:szCs w:val="20"/>
          <w:lang w:val="es-ES_tradnl"/>
        </w:rPr>
        <w:t xml:space="preserve"> y se concluyó que la compañía representaba un riesgo para la prestación eficiente del servicio de telecomunicaciones a todos los habitantes del territorio y para el patrimonio de la Nación. Destaca que, entre las causales de la inviabilidad, se resaltó el régimen pensional propio que tenían los empleados junto a otros beneficios laborales que fueron otorgados a través de la convención colectiva de trabajo. Afirma que, con la liquidación, el PAR asumió algunas de las obligaciones y derechos, entre ellos la administración, enajenación y saneamiento de los activos. </w:t>
      </w:r>
    </w:p>
    <w:p w14:paraId="6DD7E42C" w14:textId="709D95D7" w:rsidR="003C17DA" w:rsidRPr="00963669" w:rsidRDefault="003C17DA"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Hecha esta precisión, señala que, según los peticionarios, los hechos que dan sustento a la petición se refieren a tres grupos de personas: a) los aspirantes al plan de pensión anticipada (PPA) ofertado por TELECOM; b) los beneficiados por el fuero sindical, por pertenecer a la USTC o a ASITEL; y c) las personas pertenecientes al retén social. El primer grupo se refiere a las personas a las que se les ofreció en marzo de 2003, un PPA, que consistía en entregar una mesada anticipada a trabajadores próximos a pensionarse a marzo de 2003, la cual tenía que pagarse hasta que algún ente del sistema de seguridad social les reconociera la pensión regular. No obstante, explica que para adquirir tal beneficio era indispensable cumplir con los siguientes requisitos: i) el trabajador debía estar cubierto por el régimen de transición previsto en la Ley 100 de 1993 y, por ende, haber tenido, al 1 de abril de 1994, 35 años o más en el caso de las mujeres, 40 años o más para el caso de los hombres, o contar con 15 años o más años de servicio; y ii) haber estado estar vinculado a TELECOM el 29 de diciembre de 1992.</w:t>
      </w:r>
    </w:p>
    <w:p w14:paraId="0E594D9F" w14:textId="64410F7C" w:rsidR="003C17DA" w:rsidRPr="00963669" w:rsidRDefault="003C17DA"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 xml:space="preserve">Indica que el segundo grupo de </w:t>
      </w:r>
      <w:r w:rsidR="009900C1" w:rsidRPr="00963669">
        <w:rPr>
          <w:rFonts w:asciiTheme="majorHAnsi" w:hAnsiTheme="majorHAnsi"/>
          <w:bCs/>
          <w:sz w:val="20"/>
          <w:szCs w:val="20"/>
          <w:lang w:val="es-ES_tradnl"/>
        </w:rPr>
        <w:t>trabajadores</w:t>
      </w:r>
      <w:r w:rsidRPr="00963669">
        <w:rPr>
          <w:rFonts w:asciiTheme="majorHAnsi" w:hAnsiTheme="majorHAnsi"/>
          <w:bCs/>
          <w:sz w:val="20"/>
          <w:szCs w:val="20"/>
          <w:lang w:val="es-ES_tradnl"/>
        </w:rPr>
        <w:t xml:space="preserve"> hace referencia a los </w:t>
      </w:r>
      <w:r w:rsidR="004936CF" w:rsidRPr="00963669">
        <w:rPr>
          <w:rFonts w:asciiTheme="majorHAnsi" w:hAnsiTheme="majorHAnsi"/>
          <w:bCs/>
          <w:sz w:val="20"/>
          <w:szCs w:val="20"/>
          <w:lang w:val="es-ES_tradnl"/>
        </w:rPr>
        <w:t>representantes</w:t>
      </w:r>
      <w:r w:rsidRPr="00963669">
        <w:rPr>
          <w:rFonts w:asciiTheme="majorHAnsi" w:hAnsiTheme="majorHAnsi"/>
          <w:bCs/>
          <w:sz w:val="20"/>
          <w:szCs w:val="20"/>
          <w:lang w:val="es-ES_tradnl"/>
        </w:rPr>
        <w:t xml:space="preserve"> sindicales </w:t>
      </w:r>
      <w:r w:rsidR="004936CF" w:rsidRPr="00963669">
        <w:rPr>
          <w:rFonts w:asciiTheme="majorHAnsi" w:hAnsiTheme="majorHAnsi"/>
          <w:bCs/>
          <w:sz w:val="20"/>
          <w:szCs w:val="20"/>
          <w:lang w:val="es-ES_tradnl"/>
        </w:rPr>
        <w:t>desvinculados</w:t>
      </w:r>
      <w:r w:rsidRPr="00963669">
        <w:rPr>
          <w:rFonts w:asciiTheme="majorHAnsi" w:hAnsiTheme="majorHAnsi"/>
          <w:bCs/>
          <w:sz w:val="20"/>
          <w:szCs w:val="20"/>
          <w:lang w:val="es-ES_tradnl"/>
        </w:rPr>
        <w:t xml:space="preserve"> de TELECOM que tienen un fuero sindical, que es considerado como una garantía necesaria para el cumplimiento de su trabajo y que se mantiene durante los procesos de liquidación de entidades públicas. Por lo tanto, estas personas tienen el derecho de no ser despedidos sin justa causa, sin la previa calificación de un juez de trabajo. En atención a ello, afirma que se estableció una regulación especial para la liquidación de TELECOM que consagró las normas relacionadas con las garantías del fuero sindical, y, con base en </w:t>
      </w:r>
      <w:r w:rsidR="009900C1" w:rsidRPr="00963669">
        <w:rPr>
          <w:rFonts w:asciiTheme="majorHAnsi" w:hAnsiTheme="majorHAnsi"/>
          <w:bCs/>
          <w:sz w:val="20"/>
          <w:szCs w:val="20"/>
          <w:lang w:val="es-ES_tradnl"/>
        </w:rPr>
        <w:t>esto</w:t>
      </w:r>
      <w:r w:rsidRPr="00963669">
        <w:rPr>
          <w:rFonts w:asciiTheme="majorHAnsi" w:hAnsiTheme="majorHAnsi"/>
          <w:bCs/>
          <w:sz w:val="20"/>
          <w:szCs w:val="20"/>
          <w:lang w:val="es-ES_tradnl"/>
        </w:rPr>
        <w:t xml:space="preserve">, se dispuso que para la desvinculación del personal que gozaba de la garantía de fuero sindical, se debían adelantar los procesos de levantamiento y, por lo tanto, recién a partir de la ejecutoria de la sentencia que autorice el levantamiento del fuero contemplado en la ley o en los estatutos sociales, quedarán automáticamente suprimidos los cargos desempeñados por los trabajadores oficiales con fuero sindical. </w:t>
      </w:r>
    </w:p>
    <w:p w14:paraId="130373F4" w14:textId="6352F10D" w:rsidR="003C17DA" w:rsidRPr="00963669" w:rsidRDefault="003C17DA"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 xml:space="preserve">Finalmente, señala que el tercer grupo se refiere a las personas que tenían una estabilidad laboral reforzada en virtud del artículo 12 de la Ley 790 de 2002, el cual establece que no pueden ser retirados del servicio: </w:t>
      </w:r>
      <w:r w:rsidRPr="00963669">
        <w:rPr>
          <w:rFonts w:asciiTheme="majorHAnsi" w:hAnsiTheme="majorHAnsi"/>
          <w:bCs/>
          <w:i/>
          <w:iCs/>
          <w:sz w:val="20"/>
          <w:szCs w:val="20"/>
          <w:lang w:val="es-ES_tradnl"/>
        </w:rPr>
        <w:t>“i) Las madres cabeza de familia sin alternativa económica; ii) las personas con limitación física, mental, visual o auditiva; y iii) los servidores que cumplan con la totalidad de los requisitos, edad y tiempo, de servicio, para disfrutar de su pensión de jubilación o de vejez en el término de tres meses contados a partir de la promulgación de la presente ley”</w:t>
      </w:r>
      <w:r w:rsidRPr="00963669">
        <w:rPr>
          <w:rFonts w:asciiTheme="majorHAnsi" w:hAnsiTheme="majorHAnsi"/>
          <w:b/>
          <w:i/>
          <w:iCs/>
          <w:sz w:val="20"/>
          <w:szCs w:val="20"/>
          <w:lang w:val="es-ES_tradnl"/>
        </w:rPr>
        <w:t>.</w:t>
      </w:r>
      <w:r w:rsidRPr="00963669">
        <w:rPr>
          <w:rFonts w:asciiTheme="majorHAnsi" w:hAnsiTheme="majorHAnsi"/>
          <w:bCs/>
          <w:sz w:val="20"/>
          <w:szCs w:val="20"/>
          <w:lang w:val="es-ES_tradnl"/>
        </w:rPr>
        <w:t xml:space="preserve"> Al respecto, el Estado indica que el retén social no les garantiza a dichas personas una estabilidad reforzada más allá de la conclusión de un proceso de liquidación, como ocurrió en el presente caso. </w:t>
      </w:r>
    </w:p>
    <w:p w14:paraId="06840B0C" w14:textId="77777777" w:rsidR="003C17DA" w:rsidRPr="00963669" w:rsidRDefault="003C17DA"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lastRenderedPageBreak/>
        <w:t>Con base en las citadas consideraciones, como argumento preliminar, el Estado arguye que es necesario realizar una identificación concreta de las presuntas víctimas, toda vez que en los documentos presentados por el peticionario únicamente es posible vincular a veintinueve personas vinculadas al proceso de liquidación de TELECOM y que cuentan su número de identificación o con información que acredita su pertenencia a alguno de los tres grupos alegados. Por lo tanto, solicita a la CIDH que vele por la debida identificación y determinación de las víctimas porque se estaría poniendo en riesgo la seguridad jurídica del Estado.</w:t>
      </w:r>
    </w:p>
    <w:p w14:paraId="12A86FB4" w14:textId="0435B956" w:rsidR="003C17DA" w:rsidRPr="00963669" w:rsidRDefault="003C17DA"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 xml:space="preserve">En relación con las personas identificadas, considera que la petición resulta inadmisible porque: (i) se presentan cargos que son manifiestamente infundados; y (ii) porque se configura </w:t>
      </w:r>
      <w:r w:rsidR="00D75B71" w:rsidRPr="00963669">
        <w:rPr>
          <w:rFonts w:asciiTheme="majorHAnsi" w:hAnsiTheme="majorHAnsi"/>
          <w:bCs/>
          <w:sz w:val="20"/>
          <w:szCs w:val="20"/>
          <w:lang w:val="es-ES_tradnl"/>
        </w:rPr>
        <w:t xml:space="preserve">la llamada </w:t>
      </w:r>
      <w:r w:rsidRPr="00963669">
        <w:rPr>
          <w:rFonts w:asciiTheme="majorHAnsi" w:hAnsiTheme="majorHAnsi"/>
          <w:bCs/>
          <w:sz w:val="20"/>
          <w:szCs w:val="20"/>
          <w:lang w:val="es-ES_tradnl"/>
        </w:rPr>
        <w:t xml:space="preserve">“fórmula cuarta instancia internacional”. Frente a los cargos manifiestamente infundados sostiene que en el marco del artículo 47.c) de la Convención no se han mostrado hechos ni consideraciones que permitan sustentar preliminarmente una presunta violación al derecho a la igualdad ante la ley (artículo 24 de la Convención). Resalta que a pesar de que el peticionario cuestiona algunas normas del ordenamiento interno, no demuestra que la norma contenga una regulación discriminatoria o que las autoridades la hayan aplicado de manera desigual respecto del resto de trabajadores de TELECOM. </w:t>
      </w:r>
    </w:p>
    <w:p w14:paraId="62D20389" w14:textId="7BDB8637" w:rsidR="003C17DA" w:rsidRPr="00963669" w:rsidRDefault="004936CF"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Respecto a</w:t>
      </w:r>
      <w:r w:rsidR="003C17DA" w:rsidRPr="00963669">
        <w:rPr>
          <w:rFonts w:asciiTheme="majorHAnsi" w:hAnsiTheme="majorHAnsi"/>
          <w:bCs/>
          <w:sz w:val="20"/>
          <w:szCs w:val="20"/>
          <w:lang w:val="es-ES_tradnl"/>
        </w:rPr>
        <w:t xml:space="preserve"> la configuración de la</w:t>
      </w:r>
      <w:r w:rsidR="004474A3" w:rsidRPr="00963669">
        <w:rPr>
          <w:rFonts w:asciiTheme="majorHAnsi" w:hAnsiTheme="majorHAnsi"/>
          <w:bCs/>
          <w:sz w:val="20"/>
          <w:szCs w:val="20"/>
          <w:lang w:val="es-ES_tradnl"/>
        </w:rPr>
        <w:t>, llamada,</w:t>
      </w:r>
      <w:r w:rsidR="003C17DA" w:rsidRPr="00963669">
        <w:rPr>
          <w:rFonts w:asciiTheme="majorHAnsi" w:hAnsiTheme="majorHAnsi"/>
          <w:bCs/>
          <w:sz w:val="20"/>
          <w:szCs w:val="20"/>
          <w:lang w:val="es-ES_tradnl"/>
        </w:rPr>
        <w:t xml:space="preserve"> </w:t>
      </w:r>
      <w:r w:rsidR="008768BF" w:rsidRPr="00963669">
        <w:rPr>
          <w:rFonts w:asciiTheme="majorHAnsi" w:hAnsiTheme="majorHAnsi"/>
          <w:bCs/>
          <w:sz w:val="20"/>
          <w:szCs w:val="20"/>
          <w:lang w:val="es-ES_tradnl"/>
        </w:rPr>
        <w:t>“</w:t>
      </w:r>
      <w:r w:rsidR="003C17DA" w:rsidRPr="00963669">
        <w:rPr>
          <w:rFonts w:asciiTheme="majorHAnsi" w:hAnsiTheme="majorHAnsi"/>
          <w:bCs/>
          <w:sz w:val="20"/>
          <w:szCs w:val="20"/>
          <w:lang w:val="es-ES_tradnl"/>
        </w:rPr>
        <w:t>cuarta instancia</w:t>
      </w:r>
      <w:r w:rsidR="008768BF" w:rsidRPr="00963669">
        <w:rPr>
          <w:rFonts w:asciiTheme="majorHAnsi" w:hAnsiTheme="majorHAnsi"/>
          <w:bCs/>
          <w:sz w:val="20"/>
          <w:szCs w:val="20"/>
          <w:lang w:val="es-ES_tradnl"/>
        </w:rPr>
        <w:t>”</w:t>
      </w:r>
      <w:r w:rsidR="003C17DA" w:rsidRPr="00963669">
        <w:rPr>
          <w:rFonts w:asciiTheme="majorHAnsi" w:hAnsiTheme="majorHAnsi"/>
          <w:bCs/>
          <w:sz w:val="20"/>
          <w:szCs w:val="20"/>
          <w:lang w:val="es-ES_tradnl"/>
        </w:rPr>
        <w:t xml:space="preserve">, </w:t>
      </w:r>
      <w:r w:rsidR="008768BF" w:rsidRPr="00963669">
        <w:rPr>
          <w:rFonts w:asciiTheme="majorHAnsi" w:hAnsiTheme="majorHAnsi"/>
          <w:bCs/>
          <w:sz w:val="20"/>
          <w:szCs w:val="20"/>
          <w:lang w:val="es-ES_tradnl"/>
        </w:rPr>
        <w:t>Colombia</w:t>
      </w:r>
      <w:r w:rsidR="003C17DA" w:rsidRPr="00963669">
        <w:rPr>
          <w:rFonts w:asciiTheme="majorHAnsi" w:hAnsiTheme="majorHAnsi"/>
          <w:bCs/>
          <w:sz w:val="20"/>
          <w:szCs w:val="20"/>
          <w:lang w:val="es-ES_tradnl"/>
        </w:rPr>
        <w:t xml:space="preserve"> señala que los trabajadores y pensionarios de TELECOM activaron en varias ocasiones la acción de tutela, lo que derivó en la </w:t>
      </w:r>
      <w:bookmarkStart w:id="2" w:name="_Hlk126156767"/>
      <w:r w:rsidR="003C17DA" w:rsidRPr="00963669">
        <w:rPr>
          <w:rFonts w:asciiTheme="majorHAnsi" w:hAnsiTheme="majorHAnsi"/>
          <w:bCs/>
          <w:sz w:val="20"/>
          <w:szCs w:val="20"/>
          <w:lang w:val="es-ES_tradnl"/>
        </w:rPr>
        <w:t>sentencia SU-377/14</w:t>
      </w:r>
      <w:bookmarkEnd w:id="2"/>
      <w:r w:rsidR="003C17DA" w:rsidRPr="00963669">
        <w:rPr>
          <w:rFonts w:asciiTheme="majorHAnsi" w:hAnsiTheme="majorHAnsi"/>
          <w:bCs/>
          <w:sz w:val="20"/>
          <w:szCs w:val="20"/>
          <w:lang w:val="es-ES_tradnl"/>
        </w:rPr>
        <w:t xml:space="preserve"> que consistió en una sentencia de unificación emitida por la Corte Constitucional con carácter </w:t>
      </w:r>
      <w:r w:rsidR="003C17DA" w:rsidRPr="00963669">
        <w:rPr>
          <w:rFonts w:asciiTheme="majorHAnsi" w:hAnsiTheme="majorHAnsi"/>
          <w:bCs/>
          <w:i/>
          <w:iCs/>
          <w:sz w:val="20"/>
          <w:szCs w:val="20"/>
          <w:lang w:val="es-ES_tradnl"/>
        </w:rPr>
        <w:t>inter comunis</w:t>
      </w:r>
      <w:r w:rsidR="005F53CA" w:rsidRPr="00963669">
        <w:rPr>
          <w:rFonts w:asciiTheme="majorHAnsi" w:hAnsiTheme="majorHAnsi"/>
          <w:bCs/>
          <w:sz w:val="20"/>
          <w:szCs w:val="20"/>
          <w:lang w:val="es-ES_tradnl"/>
        </w:rPr>
        <w:t xml:space="preserve">, </w:t>
      </w:r>
      <w:r w:rsidR="003C17DA" w:rsidRPr="00963669">
        <w:rPr>
          <w:rFonts w:asciiTheme="majorHAnsi" w:hAnsiTheme="majorHAnsi"/>
          <w:bCs/>
          <w:sz w:val="20"/>
          <w:szCs w:val="20"/>
          <w:lang w:val="es-ES_tradnl"/>
        </w:rPr>
        <w:t xml:space="preserve">por los cual, las consideraciones jurídicas expuestas en ella se imparten hacia las personas que no son accionantes, pero que se encuentran en condiciones comunes a las de los afectados que formaron parte en el proceso. Por lo tanto, tal decisión abarcó las problemáticas que alegan los peticionarios ante el </w:t>
      </w:r>
      <w:r w:rsidR="00472FA5" w:rsidRPr="00963669">
        <w:rPr>
          <w:rFonts w:asciiTheme="majorHAnsi" w:hAnsiTheme="majorHAnsi"/>
          <w:bCs/>
          <w:sz w:val="20"/>
          <w:szCs w:val="20"/>
          <w:lang w:val="es-ES_tradnl"/>
        </w:rPr>
        <w:t>Sistema Interamericano,</w:t>
      </w:r>
      <w:r w:rsidR="003C17DA" w:rsidRPr="00963669">
        <w:rPr>
          <w:rFonts w:asciiTheme="majorHAnsi" w:hAnsiTheme="majorHAnsi"/>
          <w:bCs/>
          <w:sz w:val="20"/>
          <w:szCs w:val="20"/>
          <w:lang w:val="es-ES_tradnl"/>
        </w:rPr>
        <w:t xml:space="preserve"> y fij</w:t>
      </w:r>
      <w:r w:rsidR="00472FA5" w:rsidRPr="00963669">
        <w:rPr>
          <w:rFonts w:asciiTheme="majorHAnsi" w:hAnsiTheme="majorHAnsi"/>
          <w:bCs/>
          <w:sz w:val="20"/>
          <w:szCs w:val="20"/>
          <w:lang w:val="es-ES_tradnl"/>
        </w:rPr>
        <w:t>ó</w:t>
      </w:r>
      <w:r w:rsidR="003C17DA" w:rsidRPr="00963669">
        <w:rPr>
          <w:rFonts w:asciiTheme="majorHAnsi" w:hAnsiTheme="majorHAnsi"/>
          <w:bCs/>
          <w:sz w:val="20"/>
          <w:szCs w:val="20"/>
          <w:lang w:val="es-ES_tradnl"/>
        </w:rPr>
        <w:t xml:space="preserve"> criterios y reglas para aquellos que en aquel momento no quedaron incluidos dentro de la sentencia. </w:t>
      </w:r>
      <w:r w:rsidR="00C242FD" w:rsidRPr="00963669">
        <w:rPr>
          <w:rFonts w:asciiTheme="majorHAnsi" w:hAnsiTheme="majorHAnsi"/>
          <w:bCs/>
          <w:sz w:val="20"/>
          <w:szCs w:val="20"/>
          <w:lang w:val="es-ES_tradnl"/>
        </w:rPr>
        <w:t>S</w:t>
      </w:r>
      <w:r w:rsidR="003C17DA" w:rsidRPr="00963669">
        <w:rPr>
          <w:rFonts w:asciiTheme="majorHAnsi" w:hAnsiTheme="majorHAnsi"/>
          <w:bCs/>
          <w:sz w:val="20"/>
          <w:szCs w:val="20"/>
          <w:lang w:val="es-ES_tradnl"/>
        </w:rPr>
        <w:t xml:space="preserve">i bien solo dos de las veintinueve presuntas víctimas identificadas por la parte peticionaria están reconocidas como partes dentro de la sentencia SU-377/14, el resto son beneficiarias por la </w:t>
      </w:r>
      <w:r w:rsidR="003C17DA" w:rsidRPr="00963669">
        <w:rPr>
          <w:rFonts w:asciiTheme="majorHAnsi" w:hAnsiTheme="majorHAnsi"/>
          <w:bCs/>
          <w:i/>
          <w:iCs/>
          <w:sz w:val="20"/>
          <w:szCs w:val="20"/>
          <w:lang w:val="es-ES_tradnl"/>
        </w:rPr>
        <w:t xml:space="preserve">ratio decidendi </w:t>
      </w:r>
      <w:r w:rsidR="003C17DA" w:rsidRPr="00963669">
        <w:rPr>
          <w:rFonts w:asciiTheme="majorHAnsi" w:hAnsiTheme="majorHAnsi"/>
          <w:bCs/>
          <w:sz w:val="20"/>
          <w:szCs w:val="20"/>
          <w:lang w:val="es-ES_tradnl"/>
        </w:rPr>
        <w:t xml:space="preserve">de la sentencia, cuyas órdenes se cumplieron al emitirse el Auto 111/19 que concluyó el trámite de seguimiento de la sentencia. </w:t>
      </w:r>
    </w:p>
    <w:p w14:paraId="2DDE92FC" w14:textId="36A02BFF" w:rsidR="003C17DA" w:rsidRPr="00963669" w:rsidRDefault="004936CF" w:rsidP="003C17DA">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Asimismo</w:t>
      </w:r>
      <w:r w:rsidR="003C17DA" w:rsidRPr="00963669">
        <w:rPr>
          <w:rFonts w:asciiTheme="majorHAnsi" w:hAnsiTheme="majorHAnsi"/>
          <w:bCs/>
          <w:sz w:val="20"/>
          <w:szCs w:val="20"/>
          <w:lang w:val="es-ES_tradnl"/>
        </w:rPr>
        <w:t xml:space="preserve">, destaca que, previamente, </w:t>
      </w:r>
      <w:r w:rsidRPr="00963669">
        <w:rPr>
          <w:rFonts w:asciiTheme="majorHAnsi" w:hAnsiTheme="majorHAnsi"/>
          <w:bCs/>
          <w:sz w:val="20"/>
          <w:szCs w:val="20"/>
          <w:lang w:val="es-ES_tradnl"/>
        </w:rPr>
        <w:t>un grupo de personas había</w:t>
      </w:r>
      <w:r w:rsidR="003C17DA" w:rsidRPr="00963669">
        <w:rPr>
          <w:rFonts w:asciiTheme="majorHAnsi" w:hAnsiTheme="majorHAnsi"/>
          <w:bCs/>
          <w:sz w:val="20"/>
          <w:szCs w:val="20"/>
          <w:lang w:val="es-ES_tradnl"/>
        </w:rPr>
        <w:t xml:space="preserve"> presentado una acción de nulidad contra el Decreto 1615 de 2003, pero el 25 de agosto de 2005 el Consejo de Estado declaró infundado el reclamo, al considerar que el Gobierno Nacional tenía la facultad de decidir sobre la liquidación forzada de empresas de carácter estatal. Asimismo,</w:t>
      </w:r>
      <w:r w:rsidRPr="00963669">
        <w:rPr>
          <w:rFonts w:asciiTheme="majorHAnsi" w:hAnsiTheme="majorHAnsi"/>
          <w:bCs/>
          <w:sz w:val="20"/>
          <w:szCs w:val="20"/>
          <w:lang w:val="es-ES_tradnl"/>
        </w:rPr>
        <w:t xml:space="preserve"> informa</w:t>
      </w:r>
      <w:r w:rsidR="003C17DA" w:rsidRPr="00963669">
        <w:rPr>
          <w:rFonts w:asciiTheme="majorHAnsi" w:hAnsiTheme="majorHAnsi"/>
          <w:bCs/>
          <w:sz w:val="20"/>
          <w:szCs w:val="20"/>
          <w:lang w:val="es-ES_tradnl"/>
        </w:rPr>
        <w:t xml:space="preserve"> </w:t>
      </w:r>
      <w:r w:rsidRPr="00963669">
        <w:rPr>
          <w:rFonts w:asciiTheme="majorHAnsi" w:hAnsiTheme="majorHAnsi"/>
          <w:bCs/>
          <w:sz w:val="20"/>
          <w:szCs w:val="20"/>
          <w:lang w:val="es-ES_tradnl"/>
        </w:rPr>
        <w:t xml:space="preserve">que otro conjunto de accionantes </w:t>
      </w:r>
      <w:r w:rsidR="003C17DA" w:rsidRPr="00963669">
        <w:rPr>
          <w:rFonts w:asciiTheme="majorHAnsi" w:hAnsiTheme="majorHAnsi"/>
          <w:bCs/>
          <w:sz w:val="20"/>
          <w:szCs w:val="20"/>
          <w:lang w:val="es-ES_tradnl"/>
        </w:rPr>
        <w:t>también present</w:t>
      </w:r>
      <w:r w:rsidRPr="00963669">
        <w:rPr>
          <w:rFonts w:asciiTheme="majorHAnsi" w:hAnsiTheme="majorHAnsi"/>
          <w:bCs/>
          <w:sz w:val="20"/>
          <w:szCs w:val="20"/>
          <w:lang w:val="es-ES_tradnl"/>
        </w:rPr>
        <w:t>ó</w:t>
      </w:r>
      <w:r w:rsidR="003C17DA" w:rsidRPr="00963669">
        <w:rPr>
          <w:rFonts w:asciiTheme="majorHAnsi" w:hAnsiTheme="majorHAnsi"/>
          <w:bCs/>
          <w:sz w:val="20"/>
          <w:szCs w:val="20"/>
          <w:lang w:val="es-ES_tradnl"/>
        </w:rPr>
        <w:t xml:space="preserve"> una acción de nulidad contra los Decretos 1915 y 4781 de 2005,</w:t>
      </w:r>
      <w:r w:rsidRPr="00963669">
        <w:rPr>
          <w:rFonts w:asciiTheme="majorHAnsi" w:hAnsiTheme="majorHAnsi"/>
          <w:bCs/>
          <w:sz w:val="20"/>
          <w:szCs w:val="20"/>
          <w:lang w:val="es-ES_tradnl"/>
        </w:rPr>
        <w:t xml:space="preserve"> los cuáles prorrogaron el proceso de liquidación de TELECOM</w:t>
      </w:r>
      <w:r w:rsidR="00581A61" w:rsidRPr="00963669">
        <w:rPr>
          <w:rFonts w:asciiTheme="majorHAnsi" w:hAnsiTheme="majorHAnsi"/>
          <w:bCs/>
          <w:sz w:val="20"/>
          <w:szCs w:val="20"/>
          <w:lang w:val="es-ES_tradnl"/>
        </w:rPr>
        <w:t>. No obstante,</w:t>
      </w:r>
      <w:r w:rsidR="003C17DA" w:rsidRPr="00963669">
        <w:rPr>
          <w:rFonts w:asciiTheme="majorHAnsi" w:hAnsiTheme="majorHAnsi"/>
          <w:bCs/>
          <w:sz w:val="20"/>
          <w:szCs w:val="20"/>
          <w:lang w:val="es-ES_tradnl"/>
        </w:rPr>
        <w:t xml:space="preserve"> el 22 de marzo el Consejo de Estado desestimó el recurso, sosteniendo que se pretendía revivir un debate que ya sido había zanjado en la sentencia que analizó el Decreto 1615 de 2003. En conclusión, afirma que las autoridades ya analizaron y decidieron sobre los reclamos que hoy elevan los peticionarios ante la Comisión.</w:t>
      </w:r>
    </w:p>
    <w:p w14:paraId="77E99893" w14:textId="05334C5A" w:rsidR="003C17DA" w:rsidRPr="00963669" w:rsidRDefault="003C17DA" w:rsidP="003C17DA">
      <w:pPr>
        <w:spacing w:before="240" w:after="240"/>
        <w:ind w:firstLine="720"/>
        <w:jc w:val="both"/>
        <w:rPr>
          <w:rFonts w:asciiTheme="majorHAnsi" w:hAnsiTheme="majorHAnsi"/>
          <w:b/>
          <w:bCs/>
          <w:sz w:val="20"/>
          <w:szCs w:val="20"/>
          <w:u w:color="000000"/>
          <w:lang w:val="es-ES_tradnl"/>
        </w:rPr>
      </w:pPr>
      <w:r w:rsidRPr="00963669">
        <w:rPr>
          <w:rFonts w:asciiTheme="majorHAnsi" w:hAnsiTheme="majorHAnsi"/>
          <w:b/>
          <w:bCs/>
          <w:sz w:val="20"/>
          <w:szCs w:val="20"/>
          <w:u w:color="000000"/>
          <w:lang w:val="es-ES_tradnl"/>
        </w:rPr>
        <w:t xml:space="preserve">VI. </w:t>
      </w:r>
      <w:r w:rsidR="008768BF" w:rsidRPr="00963669">
        <w:rPr>
          <w:rFonts w:asciiTheme="majorHAnsi" w:hAnsiTheme="majorHAnsi"/>
          <w:b/>
          <w:bCs/>
          <w:sz w:val="20"/>
          <w:szCs w:val="20"/>
          <w:u w:color="000000"/>
          <w:lang w:val="es-ES_tradnl"/>
        </w:rPr>
        <w:tab/>
      </w:r>
      <w:r w:rsidRPr="00963669">
        <w:rPr>
          <w:rFonts w:asciiTheme="majorHAnsi" w:hAnsiTheme="majorHAnsi"/>
          <w:b/>
          <w:bCs/>
          <w:sz w:val="20"/>
          <w:szCs w:val="20"/>
          <w:u w:color="000000"/>
          <w:lang w:val="es-ES_tradnl"/>
        </w:rPr>
        <w:t>CUESTIÓN PRELIMINAR: SOBRE LA IDENTIFICACIÓN DE LAS PRESUNTAS VÍCTIMA</w:t>
      </w:r>
      <w:r w:rsidRPr="00963669">
        <w:rPr>
          <w:rFonts w:asciiTheme="majorHAnsi" w:hAnsiTheme="majorHAnsi"/>
          <w:b/>
          <w:bCs/>
          <w:sz w:val="20"/>
          <w:szCs w:val="20"/>
          <w:u w:color="000000"/>
          <w:lang w:val="es-ES_tradnl"/>
        </w:rPr>
        <w:tab/>
      </w:r>
    </w:p>
    <w:p w14:paraId="0C11163D" w14:textId="4AB5921B" w:rsidR="003C17DA" w:rsidRPr="00963669" w:rsidRDefault="003C17DA" w:rsidP="00945AF2">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La Comisión observa que, si bien la parte peticionaria identifica como presuntas víctimas “</w:t>
      </w:r>
      <w:r w:rsidRPr="00963669">
        <w:rPr>
          <w:rFonts w:asciiTheme="majorHAnsi" w:hAnsiTheme="majorHAnsi"/>
          <w:bCs/>
          <w:i/>
          <w:iCs/>
          <w:sz w:val="20"/>
          <w:szCs w:val="20"/>
          <w:lang w:val="es-ES_tradnl"/>
        </w:rPr>
        <w:t>a los ex trabajadores de TELECOM y sus empresas TELEASOCIADAS</w:t>
      </w:r>
      <w:r w:rsidRPr="00963669">
        <w:rPr>
          <w:rFonts w:asciiTheme="majorHAnsi" w:hAnsiTheme="majorHAnsi"/>
          <w:bCs/>
          <w:sz w:val="20"/>
          <w:szCs w:val="20"/>
          <w:lang w:val="es-ES_tradnl"/>
        </w:rPr>
        <w:t>”</w:t>
      </w:r>
      <w:r w:rsidR="000145D9" w:rsidRPr="00963669">
        <w:rPr>
          <w:rFonts w:asciiTheme="majorHAnsi" w:hAnsiTheme="majorHAnsi"/>
          <w:bCs/>
          <w:sz w:val="20"/>
          <w:szCs w:val="20"/>
          <w:lang w:val="es-ES_tradnl"/>
        </w:rPr>
        <w:t>,</w:t>
      </w:r>
      <w:r w:rsidRPr="00963669">
        <w:rPr>
          <w:rFonts w:asciiTheme="majorHAnsi" w:hAnsiTheme="majorHAnsi"/>
          <w:bCs/>
          <w:sz w:val="20"/>
          <w:szCs w:val="20"/>
          <w:lang w:val="es-ES_tradnl"/>
        </w:rPr>
        <w:t xml:space="preserve"> y brinda el nombre de 845 personas, </w:t>
      </w:r>
      <w:r w:rsidR="00945AF2" w:rsidRPr="00963669">
        <w:rPr>
          <w:rFonts w:asciiTheme="majorHAnsi" w:hAnsiTheme="majorHAnsi"/>
          <w:bCs/>
          <w:sz w:val="20"/>
          <w:szCs w:val="20"/>
          <w:lang w:val="es-ES_tradnl"/>
        </w:rPr>
        <w:t>solo aport</w:t>
      </w:r>
      <w:r w:rsidR="000145D9" w:rsidRPr="00963669">
        <w:rPr>
          <w:rFonts w:asciiTheme="majorHAnsi" w:hAnsiTheme="majorHAnsi"/>
          <w:bCs/>
          <w:sz w:val="20"/>
          <w:szCs w:val="20"/>
          <w:lang w:val="es-ES_tradnl"/>
        </w:rPr>
        <w:t>a</w:t>
      </w:r>
      <w:r w:rsidR="00945AF2" w:rsidRPr="00963669">
        <w:rPr>
          <w:rFonts w:asciiTheme="majorHAnsi" w:hAnsiTheme="majorHAnsi"/>
          <w:bCs/>
          <w:sz w:val="20"/>
          <w:szCs w:val="20"/>
          <w:lang w:val="es-ES_tradnl"/>
        </w:rPr>
        <w:t xml:space="preserve"> información concreta respecto de veintinueve de ellas. Así, en relación con el resto de las personas mencionadas, </w:t>
      </w:r>
      <w:r w:rsidRPr="00963669">
        <w:rPr>
          <w:rFonts w:asciiTheme="majorHAnsi" w:hAnsiTheme="majorHAnsi"/>
          <w:bCs/>
          <w:sz w:val="20"/>
          <w:szCs w:val="20"/>
          <w:lang w:val="es-ES_tradnl"/>
        </w:rPr>
        <w:t>no aporta información sobre</w:t>
      </w:r>
      <w:r w:rsidR="000958A2" w:rsidRPr="00963669">
        <w:rPr>
          <w:rFonts w:asciiTheme="majorHAnsi" w:hAnsiTheme="majorHAnsi"/>
          <w:bCs/>
          <w:sz w:val="20"/>
          <w:szCs w:val="20"/>
          <w:lang w:val="es-ES_tradnl"/>
        </w:rPr>
        <w:t>:</w:t>
      </w:r>
      <w:r w:rsidRPr="00963669">
        <w:rPr>
          <w:rFonts w:asciiTheme="majorHAnsi" w:hAnsiTheme="majorHAnsi"/>
          <w:bCs/>
          <w:sz w:val="20"/>
          <w:szCs w:val="20"/>
          <w:lang w:val="es-ES_tradnl"/>
        </w:rPr>
        <w:t xml:space="preserve"> i) las razones por las que contaban con una protección social especial y reforzada, y concretamente a cuál de los grupos beneficiarios pertenecerían; y ii) sobre los recursos internos </w:t>
      </w:r>
      <w:r w:rsidR="00945AF2" w:rsidRPr="00963669">
        <w:rPr>
          <w:rFonts w:asciiTheme="majorHAnsi" w:hAnsiTheme="majorHAnsi"/>
          <w:bCs/>
          <w:sz w:val="20"/>
          <w:szCs w:val="20"/>
          <w:lang w:val="es-ES_tradnl"/>
        </w:rPr>
        <w:t xml:space="preserve">que presentaron para cuestionar los hechos expuestos en la presente petición. Dada esta falta de documentación, la cual es atribuible a la parte peticionaria, la Comisión únicamente analizará la situación de </w:t>
      </w:r>
      <w:r w:rsidR="00CF59BA" w:rsidRPr="00963669">
        <w:rPr>
          <w:rFonts w:asciiTheme="majorHAnsi" w:hAnsiTheme="majorHAnsi"/>
          <w:bCs/>
          <w:sz w:val="20"/>
          <w:szCs w:val="20"/>
          <w:lang w:val="es-ES_tradnl"/>
        </w:rPr>
        <w:t>los</w:t>
      </w:r>
      <w:r w:rsidR="00945AF2" w:rsidRPr="00963669">
        <w:rPr>
          <w:rFonts w:asciiTheme="majorHAnsi" w:hAnsiTheme="majorHAnsi"/>
          <w:bCs/>
          <w:sz w:val="20"/>
          <w:szCs w:val="20"/>
          <w:lang w:val="es-ES_tradnl"/>
        </w:rPr>
        <w:t xml:space="preserve"> veintinueve </w:t>
      </w:r>
      <w:r w:rsidR="00CF59BA" w:rsidRPr="00963669">
        <w:rPr>
          <w:rFonts w:asciiTheme="majorHAnsi" w:hAnsiTheme="majorHAnsi"/>
          <w:bCs/>
          <w:sz w:val="20"/>
          <w:szCs w:val="20"/>
          <w:lang w:val="es-ES_tradnl"/>
        </w:rPr>
        <w:t>trabajadores</w:t>
      </w:r>
      <w:r w:rsidR="00945AF2" w:rsidRPr="00963669">
        <w:rPr>
          <w:rFonts w:asciiTheme="majorHAnsi" w:hAnsiTheme="majorHAnsi"/>
          <w:bCs/>
          <w:sz w:val="20"/>
          <w:szCs w:val="20"/>
          <w:lang w:val="es-ES_tradnl"/>
        </w:rPr>
        <w:t xml:space="preserve"> que cuentan con un mínimo de información. </w:t>
      </w:r>
    </w:p>
    <w:p w14:paraId="4EB99CD2" w14:textId="0925113E" w:rsidR="003C17DA" w:rsidRPr="00963669" w:rsidRDefault="003C17DA" w:rsidP="003C17DA">
      <w:pPr>
        <w:spacing w:before="240" w:after="240"/>
        <w:ind w:left="720"/>
        <w:jc w:val="both"/>
        <w:rPr>
          <w:rFonts w:asciiTheme="majorHAnsi" w:hAnsiTheme="majorHAnsi"/>
          <w:sz w:val="20"/>
          <w:szCs w:val="20"/>
          <w:lang w:val="es-ES_tradnl"/>
        </w:rPr>
      </w:pPr>
      <w:r w:rsidRPr="00963669">
        <w:rPr>
          <w:rFonts w:asciiTheme="majorHAnsi" w:eastAsia="Cambria" w:hAnsiTheme="majorHAnsi" w:cs="Cambria"/>
          <w:b/>
          <w:bCs/>
          <w:color w:val="000000"/>
          <w:sz w:val="20"/>
          <w:szCs w:val="20"/>
          <w:u w:color="000000"/>
          <w:lang w:val="es-ES_tradnl" w:eastAsia="es-ES"/>
        </w:rPr>
        <w:t>VI</w:t>
      </w:r>
      <w:r w:rsidR="00945AF2" w:rsidRPr="00963669">
        <w:rPr>
          <w:rFonts w:asciiTheme="majorHAnsi" w:eastAsia="Cambria" w:hAnsiTheme="majorHAnsi" w:cs="Cambria"/>
          <w:b/>
          <w:bCs/>
          <w:color w:val="000000"/>
          <w:sz w:val="20"/>
          <w:szCs w:val="20"/>
          <w:u w:color="000000"/>
          <w:lang w:val="es-ES_tradnl" w:eastAsia="es-ES"/>
        </w:rPr>
        <w:t>I</w:t>
      </w:r>
      <w:r w:rsidRPr="00963669">
        <w:rPr>
          <w:rFonts w:asciiTheme="majorHAnsi" w:eastAsia="Cambria" w:hAnsiTheme="majorHAnsi" w:cs="Cambria"/>
          <w:b/>
          <w:bCs/>
          <w:color w:val="000000"/>
          <w:sz w:val="20"/>
          <w:szCs w:val="20"/>
          <w:u w:color="000000"/>
          <w:lang w:val="es-ES_tradnl" w:eastAsia="es-ES"/>
        </w:rPr>
        <w:t xml:space="preserve">. </w:t>
      </w:r>
      <w:r w:rsidR="00946A16" w:rsidRPr="00963669">
        <w:rPr>
          <w:rFonts w:asciiTheme="majorHAnsi" w:eastAsia="Cambria" w:hAnsiTheme="majorHAnsi" w:cs="Cambria"/>
          <w:b/>
          <w:bCs/>
          <w:color w:val="000000"/>
          <w:sz w:val="20"/>
          <w:szCs w:val="20"/>
          <w:u w:color="000000"/>
          <w:lang w:val="es-ES_tradnl" w:eastAsia="es-ES"/>
        </w:rPr>
        <w:tab/>
      </w:r>
      <w:r w:rsidRPr="00963669">
        <w:rPr>
          <w:rFonts w:asciiTheme="majorHAnsi" w:hAnsiTheme="majorHAnsi"/>
          <w:b/>
          <w:bCs/>
          <w:sz w:val="20"/>
          <w:szCs w:val="20"/>
          <w:lang w:val="es-ES_tradnl"/>
        </w:rPr>
        <w:t xml:space="preserve">ANÁLISIS DE </w:t>
      </w:r>
      <w:r w:rsidRPr="00963669">
        <w:rPr>
          <w:rFonts w:asciiTheme="majorHAnsi" w:hAnsiTheme="majorHAnsi"/>
          <w:b/>
          <w:sz w:val="20"/>
          <w:szCs w:val="20"/>
          <w:lang w:val="es-ES_tradnl"/>
        </w:rPr>
        <w:t>AGOTAMIENTO DE LOS RECURSOS INTERNOS Y PLAZO DE PRESENTACIÓN</w:t>
      </w:r>
    </w:p>
    <w:p w14:paraId="41C204DF" w14:textId="54D5E034" w:rsidR="003C17DA" w:rsidRPr="00963669" w:rsidRDefault="009B3799" w:rsidP="0006111E">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sz w:val="20"/>
          <w:szCs w:val="20"/>
          <w:lang w:val="es-ES_tradnl"/>
        </w:rPr>
        <w:t xml:space="preserve">Conforme a la información aportada por la parte peticionaria, </w:t>
      </w:r>
      <w:r w:rsidR="0006111E" w:rsidRPr="00963669">
        <w:rPr>
          <w:rFonts w:asciiTheme="majorHAnsi" w:hAnsiTheme="majorHAnsi"/>
          <w:sz w:val="20"/>
          <w:szCs w:val="20"/>
          <w:lang w:val="es-ES_tradnl"/>
        </w:rPr>
        <w:t xml:space="preserve">las veintinueve presuntas víctimas habrían sido extrabajadores de TELECOM y beneficiarios de una protección especial, en razón a su pertenencia a uno de los grupos tutelados por el ordenamiento interno. No obstante, respecto al agotamiento </w:t>
      </w:r>
      <w:r w:rsidR="0006111E" w:rsidRPr="00963669">
        <w:rPr>
          <w:rFonts w:asciiTheme="majorHAnsi" w:hAnsiTheme="majorHAnsi"/>
          <w:sz w:val="20"/>
          <w:szCs w:val="20"/>
          <w:lang w:val="es-ES_tradnl"/>
        </w:rPr>
        <w:lastRenderedPageBreak/>
        <w:t xml:space="preserve">de los recursos internos, el peticionario no brinda información detallada sobre las vías internas que utilizó cada presunta víctima, ni tampoco argumenta que se configure una excepción al agotamiento de los recursos internos. Por el contrario, únicamente a partir de la información brindada por el Estado, </w:t>
      </w:r>
      <w:r w:rsidR="000A739B" w:rsidRPr="00963669">
        <w:rPr>
          <w:rFonts w:asciiTheme="majorHAnsi" w:hAnsiTheme="majorHAnsi"/>
          <w:sz w:val="20"/>
          <w:szCs w:val="20"/>
          <w:lang w:val="es-ES_tradnl"/>
        </w:rPr>
        <w:t xml:space="preserve">la Comisión ha </w:t>
      </w:r>
      <w:r w:rsidR="00334230" w:rsidRPr="00963669">
        <w:rPr>
          <w:rFonts w:asciiTheme="majorHAnsi" w:hAnsiTheme="majorHAnsi"/>
          <w:sz w:val="20"/>
          <w:szCs w:val="20"/>
          <w:lang w:val="es-ES_tradnl"/>
        </w:rPr>
        <w:t>podido</w:t>
      </w:r>
      <w:r w:rsidR="000A739B" w:rsidRPr="00963669">
        <w:rPr>
          <w:rFonts w:asciiTheme="majorHAnsi" w:hAnsiTheme="majorHAnsi"/>
          <w:sz w:val="20"/>
          <w:szCs w:val="20"/>
          <w:lang w:val="es-ES_tradnl"/>
        </w:rPr>
        <w:t xml:space="preserve"> </w:t>
      </w:r>
      <w:r w:rsidR="00334230" w:rsidRPr="00963669">
        <w:rPr>
          <w:rFonts w:asciiTheme="majorHAnsi" w:hAnsiTheme="majorHAnsi"/>
          <w:sz w:val="20"/>
          <w:szCs w:val="20"/>
          <w:lang w:val="es-ES_tradnl"/>
        </w:rPr>
        <w:t>conocer</w:t>
      </w:r>
      <w:r w:rsidR="000A739B" w:rsidRPr="00963669">
        <w:rPr>
          <w:rFonts w:asciiTheme="majorHAnsi" w:hAnsiTheme="majorHAnsi"/>
          <w:sz w:val="20"/>
          <w:szCs w:val="20"/>
          <w:lang w:val="es-ES_tradnl"/>
        </w:rPr>
        <w:t xml:space="preserve"> </w:t>
      </w:r>
      <w:r w:rsidR="0006111E" w:rsidRPr="00963669">
        <w:rPr>
          <w:rFonts w:asciiTheme="majorHAnsi" w:hAnsiTheme="majorHAnsi"/>
          <w:sz w:val="20"/>
          <w:szCs w:val="20"/>
          <w:lang w:val="es-ES_tradnl"/>
        </w:rPr>
        <w:t>que</w:t>
      </w:r>
      <w:r w:rsidR="000A739B" w:rsidRPr="00963669">
        <w:rPr>
          <w:rFonts w:asciiTheme="majorHAnsi" w:hAnsiTheme="majorHAnsi"/>
          <w:sz w:val="20"/>
          <w:szCs w:val="20"/>
          <w:lang w:val="es-ES_tradnl"/>
        </w:rPr>
        <w:t xml:space="preserve"> solo</w:t>
      </w:r>
      <w:r w:rsidR="0006111E" w:rsidRPr="00963669">
        <w:rPr>
          <w:rFonts w:asciiTheme="majorHAnsi" w:hAnsiTheme="majorHAnsi"/>
          <w:sz w:val="20"/>
          <w:szCs w:val="20"/>
          <w:lang w:val="es-ES_tradnl"/>
        </w:rPr>
        <w:t xml:space="preserve"> </w:t>
      </w:r>
      <w:r w:rsidR="008B18AC" w:rsidRPr="00963669">
        <w:rPr>
          <w:rFonts w:asciiTheme="majorHAnsi" w:hAnsiTheme="majorHAnsi"/>
          <w:sz w:val="20"/>
          <w:szCs w:val="20"/>
          <w:lang w:val="es-ES_tradnl"/>
        </w:rPr>
        <w:t>una</w:t>
      </w:r>
      <w:r w:rsidR="0006111E" w:rsidRPr="00963669">
        <w:rPr>
          <w:rFonts w:asciiTheme="majorHAnsi" w:hAnsiTheme="majorHAnsi"/>
          <w:sz w:val="20"/>
          <w:szCs w:val="20"/>
          <w:lang w:val="es-ES_tradnl"/>
        </w:rPr>
        <w:t xml:space="preserve"> de dichas personas fuer accionante en la </w:t>
      </w:r>
      <w:r w:rsidR="0006111E" w:rsidRPr="00963669">
        <w:rPr>
          <w:rFonts w:asciiTheme="majorHAnsi" w:hAnsiTheme="majorHAnsi"/>
          <w:bCs/>
          <w:sz w:val="20"/>
          <w:szCs w:val="20"/>
          <w:lang w:val="es-ES_tradnl"/>
        </w:rPr>
        <w:t xml:space="preserve">sentencia SU-377/14 emitida por la Corte Constitucional. </w:t>
      </w:r>
    </w:p>
    <w:p w14:paraId="0C91805A" w14:textId="47548DE2" w:rsidR="008A5F79" w:rsidRPr="00963669" w:rsidRDefault="000A739B" w:rsidP="000A739B">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 xml:space="preserve">Asimismo, si bien la Comisión nota que la sentencia SU-377/14, emitida por la Corte Constitucional, tuvo como finalidad generar un </w:t>
      </w:r>
      <w:r w:rsidRPr="00963669">
        <w:rPr>
          <w:rFonts w:asciiTheme="majorHAnsi" w:hAnsiTheme="majorHAnsi"/>
          <w:bCs/>
          <w:i/>
          <w:iCs/>
          <w:sz w:val="20"/>
          <w:szCs w:val="20"/>
          <w:lang w:val="es-ES_tradnl"/>
        </w:rPr>
        <w:t>inter comunis</w:t>
      </w:r>
      <w:r w:rsidR="00D521D2" w:rsidRPr="00963669">
        <w:rPr>
          <w:rFonts w:asciiTheme="majorHAnsi" w:hAnsiTheme="majorHAnsi"/>
          <w:bCs/>
          <w:sz w:val="20"/>
          <w:szCs w:val="20"/>
          <w:lang w:val="es-ES_tradnl"/>
        </w:rPr>
        <w:t xml:space="preserve">, </w:t>
      </w:r>
      <w:r w:rsidRPr="00963669">
        <w:rPr>
          <w:rFonts w:asciiTheme="majorHAnsi" w:hAnsiTheme="majorHAnsi"/>
          <w:bCs/>
          <w:sz w:val="20"/>
          <w:szCs w:val="20"/>
          <w:lang w:val="es-ES_tradnl"/>
        </w:rPr>
        <w:t>y, por ende, extender las consideraciones jurídicas expuestas en ella hacia personas que no participaron como accionantes, como se verá a continuación</w:t>
      </w:r>
      <w:r w:rsidR="006270C3" w:rsidRPr="00963669">
        <w:rPr>
          <w:rFonts w:asciiTheme="majorHAnsi" w:hAnsiTheme="majorHAnsi"/>
          <w:bCs/>
          <w:sz w:val="20"/>
          <w:szCs w:val="20"/>
          <w:lang w:val="es-ES_tradnl"/>
        </w:rPr>
        <w:t>,</w:t>
      </w:r>
      <w:r w:rsidRPr="00963669">
        <w:rPr>
          <w:rFonts w:asciiTheme="majorHAnsi" w:hAnsiTheme="majorHAnsi"/>
          <w:bCs/>
          <w:sz w:val="20"/>
          <w:szCs w:val="20"/>
          <w:lang w:val="es-ES_tradnl"/>
        </w:rPr>
        <w:t xml:space="preserve"> dicha decisión planteó razonamientos jurídicos de diversa índole en función de la situación procesal y material de cada </w:t>
      </w:r>
      <w:r w:rsidR="006270C3" w:rsidRPr="00963669">
        <w:rPr>
          <w:rFonts w:asciiTheme="majorHAnsi" w:hAnsiTheme="majorHAnsi"/>
          <w:bCs/>
          <w:sz w:val="20"/>
          <w:szCs w:val="20"/>
          <w:lang w:val="es-ES_tradnl"/>
        </w:rPr>
        <w:t>uno de los</w:t>
      </w:r>
      <w:r w:rsidRPr="00963669">
        <w:rPr>
          <w:rFonts w:asciiTheme="majorHAnsi" w:hAnsiTheme="majorHAnsi"/>
          <w:bCs/>
          <w:sz w:val="20"/>
          <w:szCs w:val="20"/>
          <w:lang w:val="es-ES_tradnl"/>
        </w:rPr>
        <w:t xml:space="preserve"> accionantes</w:t>
      </w:r>
      <w:r w:rsidR="006270C3" w:rsidRPr="00963669">
        <w:rPr>
          <w:rFonts w:asciiTheme="majorHAnsi" w:hAnsiTheme="majorHAnsi"/>
          <w:bCs/>
          <w:sz w:val="20"/>
          <w:szCs w:val="20"/>
          <w:lang w:val="es-ES_tradnl"/>
        </w:rPr>
        <w:t>,</w:t>
      </w:r>
      <w:r w:rsidRPr="00963669">
        <w:rPr>
          <w:rFonts w:asciiTheme="majorHAnsi" w:hAnsiTheme="majorHAnsi"/>
          <w:bCs/>
          <w:sz w:val="20"/>
          <w:szCs w:val="20"/>
          <w:lang w:val="es-ES_tradnl"/>
        </w:rPr>
        <w:t xml:space="preserve"> y, por ende, no brinda un parámetro uniforme que permita cobijar a todas las presuntas víctimas, sin contar con un mínimo de información sobre las características de sus casos. </w:t>
      </w:r>
      <w:r w:rsidR="0006111E" w:rsidRPr="00963669">
        <w:rPr>
          <w:rFonts w:asciiTheme="majorHAnsi" w:hAnsiTheme="majorHAnsi"/>
          <w:bCs/>
          <w:sz w:val="20"/>
          <w:szCs w:val="20"/>
          <w:lang w:val="es-ES_tradnl"/>
        </w:rPr>
        <w:t xml:space="preserve">En consecuencia, respecto de tales </w:t>
      </w:r>
      <w:r w:rsidR="008B18AC" w:rsidRPr="00963669">
        <w:rPr>
          <w:rFonts w:asciiTheme="majorHAnsi" w:hAnsiTheme="majorHAnsi"/>
          <w:bCs/>
          <w:sz w:val="20"/>
          <w:szCs w:val="20"/>
          <w:lang w:val="es-ES_tradnl"/>
        </w:rPr>
        <w:t xml:space="preserve">veintiocho </w:t>
      </w:r>
      <w:r w:rsidR="0006111E" w:rsidRPr="00963669">
        <w:rPr>
          <w:rFonts w:asciiTheme="majorHAnsi" w:hAnsiTheme="majorHAnsi"/>
          <w:bCs/>
          <w:sz w:val="20"/>
          <w:szCs w:val="20"/>
          <w:lang w:val="es-ES_tradnl"/>
        </w:rPr>
        <w:t xml:space="preserve">personas, la Comisión considera que no puede dar por acreditado el requisito previsto en el artículo </w:t>
      </w:r>
      <w:r w:rsidR="008A5F79" w:rsidRPr="00963669">
        <w:rPr>
          <w:rFonts w:asciiTheme="majorHAnsi" w:hAnsiTheme="majorHAnsi"/>
          <w:bCs/>
          <w:sz w:val="20"/>
          <w:szCs w:val="20"/>
          <w:lang w:val="es-ES_tradnl"/>
        </w:rPr>
        <w:t xml:space="preserve">46.1.a) de la Convención Americana. </w:t>
      </w:r>
    </w:p>
    <w:p w14:paraId="632DFE08" w14:textId="77777777" w:rsidR="00EF68EC" w:rsidRPr="00963669" w:rsidRDefault="008B18AC" w:rsidP="008B18AC">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Finalmente, e</w:t>
      </w:r>
      <w:r w:rsidR="008A5F79" w:rsidRPr="00963669">
        <w:rPr>
          <w:rFonts w:asciiTheme="majorHAnsi" w:hAnsiTheme="majorHAnsi"/>
          <w:bCs/>
          <w:sz w:val="20"/>
          <w:szCs w:val="20"/>
          <w:lang w:val="es-ES_tradnl"/>
        </w:rPr>
        <w:t xml:space="preserve">n relación con </w:t>
      </w:r>
      <w:r w:rsidR="000A739B" w:rsidRPr="00963669">
        <w:rPr>
          <w:rFonts w:asciiTheme="majorHAnsi" w:hAnsiTheme="majorHAnsi"/>
          <w:bCs/>
          <w:sz w:val="20"/>
          <w:szCs w:val="20"/>
          <w:lang w:val="es-ES_tradnl"/>
        </w:rPr>
        <w:t xml:space="preserve">la señora </w:t>
      </w:r>
      <w:r w:rsidR="008A5F79" w:rsidRPr="00963669">
        <w:rPr>
          <w:rFonts w:asciiTheme="majorHAnsi" w:hAnsiTheme="majorHAnsi"/>
          <w:bCs/>
          <w:sz w:val="20"/>
          <w:szCs w:val="20"/>
          <w:lang w:val="es-ES_tradnl"/>
        </w:rPr>
        <w:t>María del Socorro Restrepo Gómez</w:t>
      </w:r>
      <w:r w:rsidR="000A739B" w:rsidRPr="00963669">
        <w:rPr>
          <w:rFonts w:asciiTheme="majorHAnsi" w:hAnsiTheme="majorHAnsi"/>
          <w:bCs/>
          <w:sz w:val="20"/>
          <w:szCs w:val="20"/>
          <w:lang w:val="es-ES_tradnl"/>
        </w:rPr>
        <w:t xml:space="preserve">, la Comisión nota que si bien la Corte Constitucional resolvió sus casos por medio de la referida sentencia SU-377/14, tras analizar </w:t>
      </w:r>
      <w:r w:rsidRPr="00963669">
        <w:rPr>
          <w:rFonts w:asciiTheme="majorHAnsi" w:hAnsiTheme="majorHAnsi"/>
          <w:bCs/>
          <w:sz w:val="20"/>
          <w:szCs w:val="20"/>
          <w:lang w:val="es-ES_tradnl"/>
        </w:rPr>
        <w:t>la situación</w:t>
      </w:r>
      <w:r w:rsidR="000A739B" w:rsidRPr="00963669">
        <w:rPr>
          <w:rFonts w:asciiTheme="majorHAnsi" w:hAnsiTheme="majorHAnsi"/>
          <w:bCs/>
          <w:sz w:val="20"/>
          <w:szCs w:val="20"/>
          <w:lang w:val="es-ES_tradnl"/>
        </w:rPr>
        <w:t xml:space="preserve"> concret</w:t>
      </w:r>
      <w:r w:rsidRPr="00963669">
        <w:rPr>
          <w:rFonts w:asciiTheme="majorHAnsi" w:hAnsiTheme="majorHAnsi"/>
          <w:bCs/>
          <w:sz w:val="20"/>
          <w:szCs w:val="20"/>
          <w:lang w:val="es-ES_tradnl"/>
        </w:rPr>
        <w:t>a</w:t>
      </w:r>
      <w:r w:rsidR="000A739B" w:rsidRPr="00963669">
        <w:rPr>
          <w:rFonts w:asciiTheme="majorHAnsi" w:hAnsiTheme="majorHAnsi"/>
          <w:bCs/>
          <w:sz w:val="20"/>
          <w:szCs w:val="20"/>
          <w:lang w:val="es-ES_tradnl"/>
        </w:rPr>
        <w:t xml:space="preserve"> determinó que su acc</w:t>
      </w:r>
      <w:r w:rsidRPr="00963669">
        <w:rPr>
          <w:rFonts w:asciiTheme="majorHAnsi" w:hAnsiTheme="majorHAnsi"/>
          <w:bCs/>
          <w:sz w:val="20"/>
          <w:szCs w:val="20"/>
          <w:lang w:val="es-ES_tradnl"/>
        </w:rPr>
        <w:t>ión</w:t>
      </w:r>
      <w:r w:rsidR="000A739B" w:rsidRPr="00963669">
        <w:rPr>
          <w:rFonts w:asciiTheme="majorHAnsi" w:hAnsiTheme="majorHAnsi"/>
          <w:bCs/>
          <w:sz w:val="20"/>
          <w:szCs w:val="20"/>
          <w:lang w:val="es-ES_tradnl"/>
        </w:rPr>
        <w:t xml:space="preserve"> de tutela era improcedente por no </w:t>
      </w:r>
      <w:r w:rsidR="00ED10D8" w:rsidRPr="00963669">
        <w:rPr>
          <w:rFonts w:asciiTheme="majorHAnsi" w:hAnsiTheme="majorHAnsi"/>
          <w:bCs/>
          <w:sz w:val="20"/>
          <w:szCs w:val="20"/>
          <w:lang w:val="es-ES_tradnl"/>
        </w:rPr>
        <w:t>haber presentado la demanda en un tiempo razonable desde la ocurrencia de los hechos denunciados</w:t>
      </w:r>
      <w:r w:rsidRPr="00963669">
        <w:rPr>
          <w:rFonts w:asciiTheme="majorHAnsi" w:hAnsiTheme="majorHAnsi"/>
          <w:bCs/>
          <w:sz w:val="20"/>
          <w:szCs w:val="20"/>
          <w:lang w:val="es-ES_tradnl"/>
        </w:rPr>
        <w:t xml:space="preserve">. </w:t>
      </w:r>
    </w:p>
    <w:p w14:paraId="45EDC364" w14:textId="77777777" w:rsidR="005B185D" w:rsidRPr="00963669" w:rsidRDefault="008B18AC" w:rsidP="005B185D">
      <w:pPr>
        <w:pStyle w:val="ListParagraph"/>
        <w:numPr>
          <w:ilvl w:val="0"/>
          <w:numId w:val="60"/>
        </w:numPr>
        <w:spacing w:before="240" w:after="240"/>
        <w:ind w:left="0" w:firstLine="720"/>
        <w:jc w:val="both"/>
        <w:rPr>
          <w:rFonts w:asciiTheme="majorHAnsi" w:hAnsiTheme="majorHAnsi"/>
          <w:bCs/>
          <w:sz w:val="20"/>
          <w:szCs w:val="20"/>
          <w:lang w:val="es-ES_tradnl"/>
        </w:rPr>
      </w:pPr>
      <w:r w:rsidRPr="00963669">
        <w:rPr>
          <w:rFonts w:asciiTheme="majorHAnsi" w:hAnsiTheme="majorHAnsi"/>
          <w:bCs/>
          <w:sz w:val="20"/>
          <w:szCs w:val="20"/>
          <w:lang w:val="es-ES_tradnl"/>
        </w:rPr>
        <w:t xml:space="preserve">A este respecto, la Comisión recuerda </w:t>
      </w:r>
      <w:r w:rsidRPr="00963669">
        <w:rPr>
          <w:rFonts w:asciiTheme="majorHAnsi" w:hAnsiTheme="majorHAnsi"/>
          <w:sz w:val="20"/>
          <w:szCs w:val="20"/>
          <w:lang w:val="es-ES_tradnl"/>
        </w:rPr>
        <w:t>que, como regla general, la parte peticionaria debe agotar previamente los recursos domésticos de conformidad con la legislación procesal interna, por lo que no se puede considerar debidamente cumplido tal requisito si las demandas interpuestas fueron declaradas improcedentes con fundamentos procesales razonables y no arbitrarios</w:t>
      </w:r>
      <w:r w:rsidRPr="00963669">
        <w:rPr>
          <w:rStyle w:val="FootnoteReference"/>
          <w:rFonts w:asciiTheme="majorHAnsi" w:hAnsiTheme="majorHAnsi"/>
          <w:sz w:val="20"/>
          <w:szCs w:val="20"/>
          <w:lang w:val="es-ES_tradnl"/>
        </w:rPr>
        <w:footnoteReference w:id="7"/>
      </w:r>
      <w:r w:rsidRPr="00963669">
        <w:rPr>
          <w:rFonts w:asciiTheme="majorHAnsi" w:hAnsiTheme="majorHAnsi"/>
          <w:sz w:val="20"/>
          <w:szCs w:val="20"/>
          <w:lang w:val="es-ES_tradnl"/>
        </w:rPr>
        <w:t>. En el presente caso, la Comisión destaca que parte peticionaria no ha aportado pruebas o argumentos que permitan deducir que la citada decisión haya sido arbitraria o irrazonable. A partir de la información brindada, la CIDH concluye que hubo un agotamiento indebido de los recursos internos, por lo que no puede dar por acreditado el requisito de admisibilidad previsto en el artículo 46.1.a</w:t>
      </w:r>
      <w:r w:rsidR="00AD0D9E" w:rsidRPr="00963669">
        <w:rPr>
          <w:rFonts w:asciiTheme="majorHAnsi" w:hAnsiTheme="majorHAnsi"/>
          <w:sz w:val="20"/>
          <w:szCs w:val="20"/>
          <w:lang w:val="es-ES_tradnl"/>
        </w:rPr>
        <w:t>)</w:t>
      </w:r>
      <w:r w:rsidRPr="00963669">
        <w:rPr>
          <w:rFonts w:asciiTheme="majorHAnsi" w:hAnsiTheme="majorHAnsi"/>
          <w:sz w:val="20"/>
          <w:szCs w:val="20"/>
          <w:lang w:val="es-ES_tradnl"/>
        </w:rPr>
        <w:t xml:space="preserve"> de la Convención respecto de estos alegatos.</w:t>
      </w:r>
    </w:p>
    <w:p w14:paraId="6FA6E835" w14:textId="6534C6CD" w:rsidR="005B185D" w:rsidRPr="00963669" w:rsidRDefault="00777441" w:rsidP="005B185D">
      <w:pPr>
        <w:pStyle w:val="ListParagraph"/>
        <w:numPr>
          <w:ilvl w:val="0"/>
          <w:numId w:val="60"/>
        </w:numPr>
        <w:spacing w:before="240" w:after="240"/>
        <w:ind w:left="0" w:firstLine="720"/>
        <w:jc w:val="both"/>
        <w:rPr>
          <w:rFonts w:asciiTheme="majorHAnsi" w:hAnsiTheme="majorHAnsi"/>
          <w:bCs/>
          <w:sz w:val="20"/>
          <w:szCs w:val="20"/>
          <w:lang w:val="es-ES_tradnl"/>
        </w:rPr>
      </w:pPr>
      <w:r>
        <w:rPr>
          <w:rFonts w:asciiTheme="majorHAnsi" w:hAnsiTheme="majorHAnsi"/>
          <w:bCs/>
          <w:sz w:val="20"/>
          <w:szCs w:val="20"/>
          <w:lang w:val="es-ES_tradnl"/>
        </w:rPr>
        <w:t>L</w:t>
      </w:r>
      <w:r w:rsidR="005B185D" w:rsidRPr="00963669">
        <w:rPr>
          <w:rFonts w:asciiTheme="majorHAnsi" w:hAnsiTheme="majorHAnsi"/>
          <w:bCs/>
          <w:sz w:val="20"/>
          <w:szCs w:val="20"/>
          <w:lang w:val="es-ES_tradnl"/>
        </w:rPr>
        <w:t xml:space="preserve">a Comisión </w:t>
      </w:r>
      <w:r w:rsidR="00BE4413" w:rsidRPr="00963669">
        <w:rPr>
          <w:rFonts w:asciiTheme="majorHAnsi" w:hAnsiTheme="majorHAnsi"/>
          <w:bCs/>
          <w:sz w:val="20"/>
          <w:szCs w:val="20"/>
          <w:lang w:val="es-ES_tradnl"/>
        </w:rPr>
        <w:t>subraya</w:t>
      </w:r>
      <w:r w:rsidR="005B185D" w:rsidRPr="00963669">
        <w:rPr>
          <w:rFonts w:asciiTheme="majorHAnsi" w:hAnsiTheme="majorHAnsi"/>
          <w:bCs/>
          <w:sz w:val="20"/>
          <w:szCs w:val="20"/>
          <w:lang w:val="es-ES_tradnl"/>
        </w:rPr>
        <w:t xml:space="preserve"> que el análisis del requisito de agotamiento previo debe realizarse caso por caso, tomando en cuenta las características de este, y la relación entre la situación que se plantea ante la Comisión y la forma en la que se agotaron los recursos internos; es decir, a favor de quién, y sobre cuáles hechos y derechos. En tal sentido, si bien el Estado no </w:t>
      </w:r>
      <w:r w:rsidR="00CC76F1" w:rsidRPr="00963669">
        <w:rPr>
          <w:rFonts w:asciiTheme="majorHAnsi" w:hAnsiTheme="majorHAnsi"/>
          <w:bCs/>
          <w:sz w:val="20"/>
          <w:szCs w:val="20"/>
          <w:lang w:val="es-ES_tradnl"/>
        </w:rPr>
        <w:t>cuestiona expresamente el agotamiento de los recursos internos</w:t>
      </w:r>
      <w:r w:rsidR="005B185D" w:rsidRPr="00963669">
        <w:rPr>
          <w:rFonts w:asciiTheme="majorHAnsi" w:hAnsiTheme="majorHAnsi"/>
          <w:bCs/>
          <w:sz w:val="20"/>
          <w:szCs w:val="20"/>
          <w:lang w:val="es-ES_tradnl"/>
        </w:rPr>
        <w:t xml:space="preserve">, la CIDH no cuenta con un relato lo suficientemente claro ni tampoco con documentos que permitan </w:t>
      </w:r>
      <w:r w:rsidR="00963669" w:rsidRPr="00963669">
        <w:rPr>
          <w:rFonts w:asciiTheme="majorHAnsi" w:hAnsiTheme="majorHAnsi"/>
          <w:bCs/>
          <w:sz w:val="20"/>
          <w:szCs w:val="20"/>
          <w:lang w:val="es-ES_tradnl"/>
        </w:rPr>
        <w:t>establecer el cumplimiento de este requisito en la presente decisión sobre la admisibilidad de la petición</w:t>
      </w:r>
      <w:r w:rsidR="005B185D" w:rsidRPr="00963669">
        <w:rPr>
          <w:rFonts w:asciiTheme="majorHAnsi" w:hAnsiTheme="majorHAnsi"/>
          <w:bCs/>
          <w:sz w:val="20"/>
          <w:szCs w:val="20"/>
          <w:lang w:val="es-ES_tradnl"/>
        </w:rPr>
        <w:t xml:space="preserve">. </w:t>
      </w:r>
    </w:p>
    <w:p w14:paraId="59490031" w14:textId="0C6AECAE" w:rsidR="003C17DA" w:rsidRPr="00963669" w:rsidRDefault="008B18AC" w:rsidP="003C17DA">
      <w:pPr>
        <w:pStyle w:val="ListParagraph"/>
        <w:spacing w:before="240" w:after="240"/>
        <w:jc w:val="both"/>
        <w:rPr>
          <w:rFonts w:asciiTheme="majorHAnsi" w:hAnsiTheme="majorHAnsi"/>
          <w:b/>
          <w:bCs/>
          <w:sz w:val="20"/>
          <w:szCs w:val="20"/>
          <w:lang w:val="es-ES_tradnl"/>
        </w:rPr>
      </w:pPr>
      <w:r w:rsidRPr="00963669">
        <w:rPr>
          <w:rFonts w:asciiTheme="majorHAnsi" w:hAnsiTheme="majorHAnsi"/>
          <w:b/>
          <w:bCs/>
          <w:sz w:val="20"/>
          <w:szCs w:val="20"/>
          <w:lang w:val="es-ES_tradnl"/>
        </w:rPr>
        <w:t>VIII</w:t>
      </w:r>
      <w:r w:rsidR="003C17DA" w:rsidRPr="00963669">
        <w:rPr>
          <w:rFonts w:asciiTheme="majorHAnsi" w:hAnsiTheme="majorHAnsi"/>
          <w:b/>
          <w:bCs/>
          <w:sz w:val="20"/>
          <w:szCs w:val="20"/>
          <w:lang w:val="es-ES_tradnl"/>
        </w:rPr>
        <w:t xml:space="preserve">. </w:t>
      </w:r>
      <w:r w:rsidR="003C17DA" w:rsidRPr="00963669">
        <w:rPr>
          <w:rFonts w:asciiTheme="majorHAnsi" w:hAnsiTheme="majorHAnsi"/>
          <w:b/>
          <w:bCs/>
          <w:sz w:val="20"/>
          <w:szCs w:val="20"/>
          <w:lang w:val="es-ES_tradnl"/>
        </w:rPr>
        <w:tab/>
        <w:t>DECISIÓN</w:t>
      </w:r>
    </w:p>
    <w:p w14:paraId="3C1323ED" w14:textId="7B02BF9A" w:rsidR="003C17DA" w:rsidRPr="00963669" w:rsidRDefault="003C17DA" w:rsidP="0006111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63669">
        <w:rPr>
          <w:rFonts w:asciiTheme="majorHAnsi" w:hAnsiTheme="majorHAnsi"/>
          <w:sz w:val="20"/>
          <w:szCs w:val="20"/>
          <w:lang w:val="es-ES_tradnl"/>
        </w:rPr>
        <w:t xml:space="preserve">Declarar </w:t>
      </w:r>
      <w:r w:rsidR="0006111E" w:rsidRPr="00963669">
        <w:rPr>
          <w:rFonts w:asciiTheme="majorHAnsi" w:hAnsiTheme="majorHAnsi"/>
          <w:sz w:val="20"/>
          <w:szCs w:val="20"/>
          <w:lang w:val="es-ES_tradnl"/>
        </w:rPr>
        <w:t>in</w:t>
      </w:r>
      <w:r w:rsidRPr="00963669">
        <w:rPr>
          <w:rFonts w:asciiTheme="majorHAnsi" w:hAnsiTheme="majorHAnsi"/>
          <w:sz w:val="20"/>
          <w:szCs w:val="20"/>
          <w:lang w:val="es-ES_tradnl"/>
        </w:rPr>
        <w:t>admisible la presente petición</w:t>
      </w:r>
      <w:r w:rsidR="00DE4307">
        <w:rPr>
          <w:rFonts w:asciiTheme="majorHAnsi" w:hAnsiTheme="majorHAnsi"/>
          <w:sz w:val="20"/>
          <w:szCs w:val="20"/>
          <w:lang w:val="es-ES_tradnl"/>
        </w:rPr>
        <w:t>; y</w:t>
      </w:r>
    </w:p>
    <w:p w14:paraId="6DFAADDD" w14:textId="10B1FE44" w:rsidR="00DE4307" w:rsidRDefault="003C17DA" w:rsidP="00DE43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Notificar a las partes la presente decisión; y publicar esta decisión e incluirla en su Informe Anual a la Asamblea General de la Organización de los Estados Americanos.</w:t>
      </w:r>
    </w:p>
    <w:p w14:paraId="5FADEAEE" w14:textId="358A4FE8" w:rsidR="00DE4307" w:rsidRPr="008B1BD7" w:rsidRDefault="00DE4307" w:rsidP="008B1BD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febrero de 2023.  (Firmado): Julissa Mantilla Falcón, Presidenta; Stuardo Ralón Orellana, Primer Vicepresidente; Esmeralda Arosemena de Troitiño y Joel Hernández, </w:t>
      </w:r>
      <w:r w:rsidR="008B1BD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Pr>
          <w:rStyle w:val="eop"/>
          <w:rFonts w:ascii="Cambria" w:hAnsi="Cambria" w:cs="Segoe UI"/>
          <w:sz w:val="20"/>
          <w:szCs w:val="20"/>
          <w:lang w:val="es-ES"/>
        </w:rPr>
        <w:t> </w:t>
      </w:r>
    </w:p>
    <w:p w14:paraId="5AF72DA0" w14:textId="77777777" w:rsidR="00BD15E2" w:rsidRPr="00963669" w:rsidRDefault="00BD15E2" w:rsidP="003347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color w:val="000000" w:themeColor="text1"/>
          <w:sz w:val="20"/>
          <w:szCs w:val="20"/>
          <w:u w:val="single"/>
          <w:lang w:val="es-ES_tradnl"/>
        </w:rPr>
      </w:pPr>
    </w:p>
    <w:p w14:paraId="619139D2" w14:textId="40AF6DEA" w:rsidR="00AE4FC1" w:rsidRDefault="00AE4FC1">
      <w:pPr>
        <w:rPr>
          <w:rFonts w:asciiTheme="majorHAnsi" w:hAnsiTheme="majorHAnsi"/>
          <w:b/>
          <w:bCs/>
          <w:color w:val="000000" w:themeColor="text1"/>
          <w:sz w:val="20"/>
          <w:szCs w:val="20"/>
          <w:u w:val="single"/>
          <w:lang w:val="es-ES_tradnl"/>
        </w:rPr>
      </w:pPr>
    </w:p>
    <w:p w14:paraId="74CA4564" w14:textId="77777777" w:rsidR="00145E23" w:rsidRDefault="00145E23" w:rsidP="003347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color w:val="000000" w:themeColor="text1"/>
          <w:sz w:val="20"/>
          <w:szCs w:val="20"/>
          <w:u w:val="single"/>
          <w:lang w:val="es-ES_tradnl"/>
        </w:rPr>
      </w:pPr>
    </w:p>
    <w:p w14:paraId="2392B0E7" w14:textId="7865CF2F" w:rsidR="003347FE" w:rsidRDefault="003347FE" w:rsidP="003347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color w:val="000000" w:themeColor="text1"/>
          <w:sz w:val="20"/>
          <w:szCs w:val="20"/>
          <w:u w:val="single"/>
          <w:lang w:val="es-ES_tradnl"/>
        </w:rPr>
      </w:pPr>
      <w:r w:rsidRPr="00963669">
        <w:rPr>
          <w:rFonts w:asciiTheme="majorHAnsi" w:hAnsiTheme="majorHAnsi"/>
          <w:b/>
          <w:bCs/>
          <w:color w:val="000000" w:themeColor="text1"/>
          <w:sz w:val="20"/>
          <w:szCs w:val="20"/>
          <w:u w:val="single"/>
          <w:lang w:val="es-ES_tradnl"/>
        </w:rPr>
        <w:lastRenderedPageBreak/>
        <w:t xml:space="preserve">LISTA DE </w:t>
      </w:r>
      <w:r w:rsidR="00BD15E2" w:rsidRPr="00963669">
        <w:rPr>
          <w:rFonts w:asciiTheme="majorHAnsi" w:hAnsiTheme="majorHAnsi"/>
          <w:b/>
          <w:bCs/>
          <w:color w:val="000000" w:themeColor="text1"/>
          <w:sz w:val="20"/>
          <w:szCs w:val="20"/>
          <w:u w:val="single"/>
          <w:lang w:val="es-ES_tradnl"/>
        </w:rPr>
        <w:t xml:space="preserve">PRESUNTAS </w:t>
      </w:r>
      <w:r w:rsidRPr="00963669">
        <w:rPr>
          <w:rFonts w:asciiTheme="majorHAnsi" w:hAnsiTheme="majorHAnsi"/>
          <w:b/>
          <w:bCs/>
          <w:color w:val="000000" w:themeColor="text1"/>
          <w:sz w:val="20"/>
          <w:szCs w:val="20"/>
          <w:u w:val="single"/>
          <w:lang w:val="es-ES_tradnl"/>
        </w:rPr>
        <w:t>VÍCTIMAS</w:t>
      </w:r>
    </w:p>
    <w:p w14:paraId="4124D16D" w14:textId="77777777" w:rsidR="00AE4FC1" w:rsidRPr="00963669" w:rsidRDefault="00AE4FC1" w:rsidP="003347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color w:val="000000" w:themeColor="text1"/>
          <w:sz w:val="20"/>
          <w:szCs w:val="20"/>
          <w:u w:val="single"/>
          <w:lang w:val="es-ES_tradnl"/>
        </w:rPr>
      </w:pPr>
    </w:p>
    <w:p w14:paraId="1E5DB4CD" w14:textId="490FD12E"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María Socorro Restrepo Gómez</w:t>
      </w:r>
    </w:p>
    <w:p w14:paraId="7ED8BE21" w14:textId="17B51352"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Maribel de Jesús Ospina</w:t>
      </w:r>
    </w:p>
    <w:p w14:paraId="18B2FD12" w14:textId="14A158F2"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Aurelio Villamizar Vera</w:t>
      </w:r>
    </w:p>
    <w:p w14:paraId="0CDE0892" w14:textId="0E79653E"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 xml:space="preserve">José María Villalobos </w:t>
      </w:r>
      <w:r w:rsidR="00820B5E" w:rsidRPr="00963669">
        <w:rPr>
          <w:rFonts w:asciiTheme="majorHAnsi" w:hAnsiTheme="majorHAnsi"/>
          <w:color w:val="000000" w:themeColor="text1"/>
          <w:sz w:val="20"/>
          <w:szCs w:val="20"/>
          <w:lang w:val="es-ES_tradnl"/>
        </w:rPr>
        <w:t>Yépez</w:t>
      </w:r>
    </w:p>
    <w:p w14:paraId="36C2A863" w14:textId="497C481C"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Gonzalo Díaz Gaviria</w:t>
      </w:r>
    </w:p>
    <w:p w14:paraId="3FE7386F" w14:textId="430B7EE7"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Mónica Vergara Ruíz</w:t>
      </w:r>
    </w:p>
    <w:p w14:paraId="2B1037EA" w14:textId="4B83B203"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Jacinto Nicasio Vega Rivera</w:t>
      </w:r>
    </w:p>
    <w:p w14:paraId="1650FDAD" w14:textId="66CCE205"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Omero León Clavijo</w:t>
      </w:r>
    </w:p>
    <w:p w14:paraId="5D07C9AF" w14:textId="57B95696"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Fredy Cañón Pinilla</w:t>
      </w:r>
    </w:p>
    <w:p w14:paraId="7C3B9793" w14:textId="0137073B"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María Esther Duque</w:t>
      </w:r>
    </w:p>
    <w:p w14:paraId="371D0F51" w14:textId="10C72056"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 xml:space="preserve">Jaime </w:t>
      </w:r>
      <w:r w:rsidR="00820B5E" w:rsidRPr="00963669">
        <w:rPr>
          <w:rFonts w:asciiTheme="majorHAnsi" w:hAnsiTheme="majorHAnsi"/>
          <w:color w:val="000000" w:themeColor="text1"/>
          <w:sz w:val="20"/>
          <w:szCs w:val="20"/>
          <w:lang w:val="es-ES_tradnl"/>
        </w:rPr>
        <w:t>Aristizábal</w:t>
      </w:r>
      <w:r w:rsidRPr="00963669">
        <w:rPr>
          <w:rFonts w:asciiTheme="majorHAnsi" w:hAnsiTheme="majorHAnsi"/>
          <w:color w:val="000000" w:themeColor="text1"/>
          <w:sz w:val="20"/>
          <w:szCs w:val="20"/>
          <w:lang w:val="es-ES_tradnl"/>
        </w:rPr>
        <w:t xml:space="preserve"> A</w:t>
      </w:r>
    </w:p>
    <w:p w14:paraId="07FF3C1D" w14:textId="37081193" w:rsidR="003347FE" w:rsidRPr="00963669" w:rsidRDefault="003347FE"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Rufino Pérez Zuluaga</w:t>
      </w:r>
    </w:p>
    <w:p w14:paraId="4B96FC8F" w14:textId="230E6469" w:rsidR="003347FE" w:rsidRPr="00963669" w:rsidRDefault="00263EC8"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Greiver</w:t>
      </w:r>
      <w:r w:rsidR="003347FE" w:rsidRPr="00963669">
        <w:rPr>
          <w:rFonts w:asciiTheme="majorHAnsi" w:hAnsiTheme="majorHAnsi"/>
          <w:color w:val="000000" w:themeColor="text1"/>
          <w:sz w:val="20"/>
          <w:szCs w:val="20"/>
          <w:lang w:val="es-ES_tradnl"/>
        </w:rPr>
        <w:t xml:space="preserve"> Hern</w:t>
      </w:r>
      <w:r w:rsidR="002E7E8C" w:rsidRPr="00963669">
        <w:rPr>
          <w:rFonts w:asciiTheme="majorHAnsi" w:hAnsiTheme="majorHAnsi"/>
          <w:color w:val="000000" w:themeColor="text1"/>
          <w:sz w:val="20"/>
          <w:szCs w:val="20"/>
          <w:lang w:val="es-ES_tradnl"/>
        </w:rPr>
        <w:t>ando Tabina</w:t>
      </w:r>
    </w:p>
    <w:p w14:paraId="7957D23C" w14:textId="7FB0CFBC"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José Gustavo Triviño</w:t>
      </w:r>
    </w:p>
    <w:p w14:paraId="3D1E6C2A" w14:textId="38B66140"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William Romero Roncacio</w:t>
      </w:r>
    </w:p>
    <w:p w14:paraId="47BDA4CC" w14:textId="0CF2E5AC"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Jacob Caicedo</w:t>
      </w:r>
    </w:p>
    <w:p w14:paraId="5D61A7E3" w14:textId="4B2F9F92"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Álvaro Molina Quiñones</w:t>
      </w:r>
    </w:p>
    <w:p w14:paraId="7D098571" w14:textId="1F27F4FA"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Juan Pablo Sepúlveda</w:t>
      </w:r>
    </w:p>
    <w:p w14:paraId="5AEDDAA8" w14:textId="1EFF0373"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Carlos Tulio Medina Triana</w:t>
      </w:r>
    </w:p>
    <w:p w14:paraId="3834219A" w14:textId="53239328"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Luz María Rivera de Lozano</w:t>
      </w:r>
    </w:p>
    <w:p w14:paraId="16D13D93" w14:textId="2709499F"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Dina Lucia Miranda Álzate</w:t>
      </w:r>
    </w:p>
    <w:p w14:paraId="2A5A2C02" w14:textId="2D88394D"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Samuel Orozco</w:t>
      </w:r>
    </w:p>
    <w:p w14:paraId="5E0B02DB" w14:textId="39383748"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Roberto Gutiérrez Macías</w:t>
      </w:r>
    </w:p>
    <w:p w14:paraId="3CAD9960" w14:textId="42ED5E96"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Siervo de Jesús Leguizamón</w:t>
      </w:r>
    </w:p>
    <w:p w14:paraId="275274A3" w14:textId="08AC7D16"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Félix Arturo Campos</w:t>
      </w:r>
    </w:p>
    <w:p w14:paraId="5C476997" w14:textId="57F97A25"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Martha Isabel Henao</w:t>
      </w:r>
    </w:p>
    <w:p w14:paraId="18CFBEA0" w14:textId="2463EA14"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Rafael Antonio Niño</w:t>
      </w:r>
    </w:p>
    <w:p w14:paraId="2817C468" w14:textId="2CCBC6B1" w:rsidR="002E7E8C" w:rsidRPr="00963669"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Santiago Quintana Camargo</w:t>
      </w:r>
    </w:p>
    <w:p w14:paraId="209245D3" w14:textId="78B79FA1" w:rsidR="002E7E8C" w:rsidRDefault="002E7E8C" w:rsidP="00AE4FC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Theme="majorHAnsi" w:hAnsiTheme="majorHAnsi"/>
          <w:color w:val="000000" w:themeColor="text1"/>
          <w:sz w:val="20"/>
          <w:szCs w:val="20"/>
          <w:lang w:val="es-ES_tradnl"/>
        </w:rPr>
      </w:pPr>
      <w:r w:rsidRPr="00963669">
        <w:rPr>
          <w:rFonts w:asciiTheme="majorHAnsi" w:hAnsiTheme="majorHAnsi"/>
          <w:color w:val="000000" w:themeColor="text1"/>
          <w:sz w:val="20"/>
          <w:szCs w:val="20"/>
          <w:lang w:val="es-ES_tradnl"/>
        </w:rPr>
        <w:t>José Miguel Roberto Medina</w:t>
      </w:r>
    </w:p>
    <w:p w14:paraId="3D80D556" w14:textId="128520C8" w:rsidR="00B6331B" w:rsidRPr="00963669" w:rsidRDefault="00B6331B" w:rsidP="00B6331B">
      <w:pPr>
        <w:jc w:val="both"/>
        <w:rPr>
          <w:rFonts w:asciiTheme="majorHAnsi" w:hAnsiTheme="majorHAnsi" w:cs="Calibri"/>
          <w:sz w:val="20"/>
          <w:szCs w:val="20"/>
          <w:lang w:val="es-ES_tradnl"/>
        </w:rPr>
      </w:pPr>
    </w:p>
    <w:p w14:paraId="1FF90C1A" w14:textId="3052113F" w:rsidR="00CB4871" w:rsidRDefault="00CB4871" w:rsidP="00B6331B">
      <w:pPr>
        <w:jc w:val="both"/>
        <w:rPr>
          <w:rFonts w:ascii="Cambria" w:hAnsi="Cambria" w:cs="Calibri"/>
          <w:sz w:val="20"/>
          <w:szCs w:val="20"/>
          <w:lang w:val="es-US"/>
        </w:rPr>
      </w:pPr>
    </w:p>
    <w:p w14:paraId="180D0BFA" w14:textId="5EFB06A2" w:rsidR="00B6331B" w:rsidRDefault="00B6331B" w:rsidP="00B6331B">
      <w:pPr>
        <w:jc w:val="both"/>
        <w:rPr>
          <w:rFonts w:ascii="Cambria" w:hAnsi="Cambria" w:cs="Calibri"/>
          <w:sz w:val="20"/>
          <w:szCs w:val="20"/>
          <w:lang w:val="es-US"/>
        </w:rPr>
      </w:pPr>
    </w:p>
    <w:p w14:paraId="63397685" w14:textId="77777777" w:rsidR="003257F4" w:rsidRPr="003C17DA" w:rsidRDefault="003257F4" w:rsidP="003C17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US"/>
        </w:rPr>
        <w:sectPr w:rsidR="003257F4" w:rsidRPr="003C17DA" w:rsidSect="00934A2C">
          <w:type w:val="oddPage"/>
          <w:pgSz w:w="12240" w:h="15840"/>
          <w:pgMar w:top="1440" w:right="1440" w:bottom="1440" w:left="1440" w:header="720" w:footer="720" w:gutter="0"/>
          <w:pgNumType w:start="1"/>
          <w:cols w:space="720"/>
          <w:docGrid w:linePitch="326"/>
        </w:sectPr>
      </w:pPr>
    </w:p>
    <w:p w14:paraId="78079DEA" w14:textId="0AFCD8BA" w:rsidR="00B6331B" w:rsidRPr="003C17DA" w:rsidRDefault="00B6331B" w:rsidP="003C17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US"/>
        </w:rPr>
      </w:pPr>
    </w:p>
    <w:sectPr w:rsidR="00B6331B" w:rsidRPr="003C17DA" w:rsidSect="00104A69">
      <w:type w:val="continuous"/>
      <w:pgSz w:w="12240" w:h="15840"/>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E8AC" w14:textId="77777777" w:rsidR="008679C0" w:rsidRDefault="008679C0">
      <w:r>
        <w:separator/>
      </w:r>
    </w:p>
  </w:endnote>
  <w:endnote w:type="continuationSeparator" w:id="0">
    <w:p w14:paraId="32CDEC65" w14:textId="77777777" w:rsidR="008679C0" w:rsidRDefault="0086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3F80" w14:textId="77777777" w:rsidR="008679C0" w:rsidRPr="000F35ED" w:rsidRDefault="008679C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6B3921" w14:textId="77777777" w:rsidR="008679C0" w:rsidRPr="000F35ED" w:rsidRDefault="008679C0" w:rsidP="000F35ED">
      <w:pPr>
        <w:rPr>
          <w:rFonts w:asciiTheme="majorHAnsi" w:hAnsiTheme="majorHAnsi"/>
          <w:sz w:val="16"/>
          <w:szCs w:val="16"/>
        </w:rPr>
      </w:pPr>
      <w:r w:rsidRPr="000F35ED">
        <w:rPr>
          <w:rFonts w:asciiTheme="majorHAnsi" w:hAnsiTheme="majorHAnsi"/>
          <w:sz w:val="16"/>
          <w:szCs w:val="16"/>
        </w:rPr>
        <w:separator/>
      </w:r>
    </w:p>
    <w:p w14:paraId="307B8852" w14:textId="77777777" w:rsidR="008679C0" w:rsidRPr="000F35ED" w:rsidRDefault="008679C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A969464" w14:textId="77777777" w:rsidR="008679C0" w:rsidRPr="000F35ED" w:rsidRDefault="008679C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4C17D9" w14:textId="5A7D7CC2" w:rsidR="000D4531" w:rsidRPr="00F42CCA" w:rsidRDefault="000D4531" w:rsidP="00BD15E2">
      <w:pPr>
        <w:pStyle w:val="FootnoteText"/>
        <w:ind w:firstLine="720"/>
        <w:jc w:val="both"/>
        <w:rPr>
          <w:rFonts w:asciiTheme="majorHAnsi" w:hAnsiTheme="majorHAnsi"/>
          <w:sz w:val="16"/>
          <w:szCs w:val="16"/>
          <w:lang w:val="es-ES"/>
        </w:rPr>
      </w:pPr>
      <w:r w:rsidRPr="00F42CCA">
        <w:rPr>
          <w:rStyle w:val="FootnoteReference"/>
          <w:rFonts w:asciiTheme="majorHAnsi" w:hAnsiTheme="majorHAnsi"/>
          <w:sz w:val="16"/>
          <w:szCs w:val="16"/>
        </w:rPr>
        <w:footnoteRef/>
      </w:r>
      <w:r w:rsidR="00574CAD" w:rsidRPr="00F42CCA">
        <w:rPr>
          <w:rFonts w:asciiTheme="majorHAnsi" w:hAnsiTheme="majorHAnsi"/>
          <w:sz w:val="16"/>
          <w:szCs w:val="16"/>
          <w:lang w:val="es-ES"/>
        </w:rPr>
        <w:t xml:space="preserve"> </w:t>
      </w:r>
      <w:r w:rsidR="008B18AC">
        <w:rPr>
          <w:rFonts w:asciiTheme="majorHAnsi" w:hAnsiTheme="majorHAnsi"/>
          <w:sz w:val="16"/>
          <w:szCs w:val="16"/>
          <w:lang w:val="es-ES"/>
        </w:rPr>
        <w:t>Las presuntas víctimas se encuentran individualizadas al final del presente documento.</w:t>
      </w:r>
      <w:r w:rsidRPr="00F42CCA">
        <w:rPr>
          <w:rFonts w:asciiTheme="majorHAnsi" w:hAnsiTheme="majorHAnsi"/>
          <w:sz w:val="16"/>
          <w:szCs w:val="16"/>
          <w:lang w:val="es-ES"/>
        </w:rPr>
        <w:t xml:space="preserve"> </w:t>
      </w:r>
    </w:p>
  </w:footnote>
  <w:footnote w:id="3">
    <w:p w14:paraId="66E930B8" w14:textId="32EF14E8" w:rsidR="004A6A54" w:rsidRPr="00F42CCA" w:rsidRDefault="004A6A54" w:rsidP="00BD15E2">
      <w:pPr>
        <w:pStyle w:val="FootnoteText"/>
        <w:ind w:firstLine="720"/>
        <w:jc w:val="both"/>
        <w:rPr>
          <w:rFonts w:asciiTheme="majorHAnsi" w:hAnsiTheme="majorHAnsi"/>
          <w:sz w:val="16"/>
          <w:szCs w:val="16"/>
          <w:lang w:val="es-ES"/>
        </w:rPr>
      </w:pPr>
      <w:r w:rsidRPr="00F42CCA">
        <w:rPr>
          <w:rStyle w:val="FootnoteReference"/>
          <w:rFonts w:asciiTheme="majorHAnsi" w:hAnsiTheme="majorHAnsi"/>
          <w:sz w:val="16"/>
          <w:szCs w:val="16"/>
        </w:rPr>
        <w:footnoteRef/>
      </w:r>
      <w:r w:rsidRPr="00F42CCA">
        <w:rPr>
          <w:rFonts w:asciiTheme="majorHAnsi" w:hAnsiTheme="majorHAnsi"/>
          <w:sz w:val="16"/>
          <w:szCs w:val="16"/>
          <w:lang w:val="es-ES"/>
        </w:rPr>
        <w:t xml:space="preserve"> Conforme a lo dispuesto en el artículo 17.2.a del Reglamento de la Comisión, el Comisionado </w:t>
      </w:r>
      <w:r w:rsidR="00636546" w:rsidRPr="00F42CCA">
        <w:rPr>
          <w:rFonts w:asciiTheme="majorHAnsi" w:hAnsiTheme="majorHAnsi"/>
          <w:sz w:val="16"/>
          <w:szCs w:val="16"/>
          <w:lang w:val="es-ES"/>
        </w:rPr>
        <w:t>Carlos Bernal Pulido</w:t>
      </w:r>
      <w:r w:rsidRPr="00F42CCA">
        <w:rPr>
          <w:rFonts w:asciiTheme="majorHAnsi" w:hAnsiTheme="majorHAnsi"/>
          <w:sz w:val="16"/>
          <w:szCs w:val="16"/>
          <w:lang w:val="es-ES"/>
        </w:rPr>
        <w:t xml:space="preserve">, de nacionalidad </w:t>
      </w:r>
      <w:r w:rsidR="00636546" w:rsidRPr="00F42CCA">
        <w:rPr>
          <w:rFonts w:asciiTheme="majorHAnsi" w:hAnsiTheme="majorHAnsi"/>
          <w:sz w:val="16"/>
          <w:szCs w:val="16"/>
          <w:lang w:val="es-ES"/>
        </w:rPr>
        <w:t>colombiana</w:t>
      </w:r>
      <w:r w:rsidRPr="00F42CCA">
        <w:rPr>
          <w:rFonts w:asciiTheme="majorHAnsi" w:hAnsiTheme="majorHAnsi"/>
          <w:sz w:val="16"/>
          <w:szCs w:val="16"/>
          <w:lang w:val="es-ES"/>
        </w:rPr>
        <w:t>, no participó en el debate ni en la decisión del presente asunto.</w:t>
      </w:r>
    </w:p>
  </w:footnote>
  <w:footnote w:id="4">
    <w:p w14:paraId="0832A233" w14:textId="59E0BB7A" w:rsidR="00CA09A4" w:rsidRPr="00F42CCA" w:rsidRDefault="00CA09A4" w:rsidP="00BD15E2">
      <w:pPr>
        <w:pStyle w:val="FootnoteText"/>
        <w:ind w:firstLine="720"/>
        <w:jc w:val="both"/>
        <w:rPr>
          <w:rFonts w:asciiTheme="majorHAnsi" w:hAnsiTheme="majorHAnsi"/>
          <w:sz w:val="16"/>
          <w:szCs w:val="16"/>
          <w:lang w:val="es-ES"/>
        </w:rPr>
      </w:pPr>
      <w:r w:rsidRPr="00F42CCA">
        <w:rPr>
          <w:rStyle w:val="FootnoteReference"/>
          <w:rFonts w:asciiTheme="majorHAnsi" w:hAnsiTheme="majorHAnsi"/>
          <w:sz w:val="16"/>
          <w:szCs w:val="16"/>
        </w:rPr>
        <w:footnoteRef/>
      </w:r>
      <w:r w:rsidRPr="00F42CCA">
        <w:rPr>
          <w:rFonts w:asciiTheme="majorHAnsi" w:hAnsiTheme="majorHAnsi"/>
          <w:sz w:val="16"/>
          <w:szCs w:val="16"/>
          <w:lang w:val="es-ES"/>
        </w:rPr>
        <w:t xml:space="preserve"> En adelante “la Convención Americana” o “la Convención”.  </w:t>
      </w:r>
    </w:p>
  </w:footnote>
  <w:footnote w:id="5">
    <w:p w14:paraId="09DE9270" w14:textId="2B756B8F" w:rsidR="00DF405C" w:rsidRPr="00F42CCA" w:rsidRDefault="00DF405C" w:rsidP="00BD15E2">
      <w:pPr>
        <w:pStyle w:val="FootnoteText"/>
        <w:ind w:firstLine="720"/>
        <w:jc w:val="both"/>
        <w:rPr>
          <w:rFonts w:asciiTheme="majorHAnsi" w:hAnsiTheme="majorHAnsi"/>
          <w:sz w:val="16"/>
          <w:szCs w:val="16"/>
          <w:lang w:val="es-ES"/>
        </w:rPr>
      </w:pPr>
      <w:r w:rsidRPr="00F42CCA">
        <w:rPr>
          <w:rStyle w:val="FootnoteReference"/>
          <w:rFonts w:asciiTheme="majorHAnsi" w:hAnsiTheme="majorHAnsi"/>
          <w:sz w:val="16"/>
          <w:szCs w:val="16"/>
        </w:rPr>
        <w:footnoteRef/>
      </w:r>
      <w:r w:rsidRPr="00F42CCA">
        <w:rPr>
          <w:rFonts w:asciiTheme="majorHAnsi" w:hAnsiTheme="majorHAnsi"/>
          <w:sz w:val="16"/>
          <w:szCs w:val="16"/>
          <w:lang w:val="es-ES"/>
        </w:rPr>
        <w:t xml:space="preserve"> En adelante “la Declaración Americana” o “la Declaración”. </w:t>
      </w:r>
    </w:p>
  </w:footnote>
  <w:footnote w:id="6">
    <w:p w14:paraId="1AFEF3B0" w14:textId="1E43D5FF" w:rsidR="008E3BFE" w:rsidRPr="00306F33" w:rsidRDefault="008E3BFE" w:rsidP="00BD15E2">
      <w:pPr>
        <w:pStyle w:val="FootnoteText"/>
        <w:ind w:firstLine="720"/>
        <w:jc w:val="both"/>
        <w:rPr>
          <w:rFonts w:asciiTheme="majorHAnsi" w:hAnsiTheme="majorHAnsi"/>
          <w:sz w:val="16"/>
          <w:szCs w:val="16"/>
          <w:lang w:val="es-ES"/>
        </w:rPr>
      </w:pPr>
      <w:r w:rsidRPr="00F42CCA">
        <w:rPr>
          <w:rStyle w:val="FootnoteReference"/>
          <w:rFonts w:asciiTheme="majorHAnsi" w:hAnsiTheme="majorHAnsi"/>
          <w:sz w:val="16"/>
          <w:szCs w:val="16"/>
        </w:rPr>
        <w:footnoteRef/>
      </w:r>
      <w:r w:rsidRPr="00F42CCA">
        <w:rPr>
          <w:rFonts w:asciiTheme="majorHAnsi" w:hAnsiTheme="majorHAnsi"/>
          <w:sz w:val="16"/>
          <w:szCs w:val="16"/>
          <w:lang w:val="es-ES"/>
        </w:rPr>
        <w:t xml:space="preserve"> Las observaciones de cada parte fueron debidamente trasladadas a la parte contraria.</w:t>
      </w:r>
      <w:r w:rsidR="009A56CE" w:rsidRPr="00B5415F">
        <w:rPr>
          <w:rFonts w:asciiTheme="majorHAnsi" w:hAnsiTheme="majorHAnsi"/>
          <w:sz w:val="16"/>
          <w:szCs w:val="16"/>
          <w:lang w:val="es-ES"/>
        </w:rPr>
        <w:t xml:space="preserve"> </w:t>
      </w:r>
    </w:p>
  </w:footnote>
  <w:footnote w:id="7">
    <w:p w14:paraId="6067206D" w14:textId="4905C94A" w:rsidR="008B18AC" w:rsidRPr="008B18AC" w:rsidRDefault="008B18AC" w:rsidP="00BD15E2">
      <w:pPr>
        <w:pStyle w:val="FootnoteText"/>
        <w:ind w:firstLine="720"/>
        <w:jc w:val="both"/>
        <w:rPr>
          <w:rFonts w:asciiTheme="majorHAnsi" w:hAnsiTheme="majorHAnsi"/>
          <w:sz w:val="16"/>
          <w:szCs w:val="16"/>
          <w:lang w:val="es-US"/>
        </w:rPr>
      </w:pPr>
      <w:r w:rsidRPr="008B18AC">
        <w:rPr>
          <w:rStyle w:val="FootnoteReference"/>
          <w:rFonts w:asciiTheme="majorHAnsi" w:hAnsiTheme="majorHAnsi"/>
          <w:sz w:val="16"/>
          <w:szCs w:val="16"/>
        </w:rPr>
        <w:footnoteRef/>
      </w:r>
      <w:r w:rsidRPr="008B18AC">
        <w:rPr>
          <w:rFonts w:asciiTheme="majorHAnsi" w:hAnsiTheme="majorHAnsi"/>
          <w:sz w:val="16"/>
          <w:szCs w:val="16"/>
          <w:lang w:val="es-US"/>
        </w:rPr>
        <w:t xml:space="preserve"> CIDH, Informe No. 90/03, Petición 0581/1999. Inadmisibilidad. Gustavo Trujillo González. Perú. 22 de octubre de 2003, párr. </w:t>
      </w:r>
      <w:r w:rsidRPr="008B18AC">
        <w:rPr>
          <w:rFonts w:asciiTheme="majorHAnsi" w:hAnsiTheme="majorHAnsi"/>
          <w:sz w:val="16"/>
          <w:szCs w:val="16"/>
        </w:rPr>
        <w:t>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AC77B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350DE" w:rsidP="00A50FCF">
    <w:pPr>
      <w:pStyle w:val="Header"/>
      <w:tabs>
        <w:tab w:val="clear" w:pos="4320"/>
        <w:tab w:val="clear" w:pos="8640"/>
      </w:tabs>
      <w:jc w:val="center"/>
      <w:rPr>
        <w:sz w:val="22"/>
        <w:szCs w:val="22"/>
      </w:rPr>
    </w:pPr>
    <w:r>
      <w:rPr>
        <w:noProof/>
        <w:sz w:val="22"/>
        <w:szCs w:val="22"/>
        <w:bdr w:val="nil"/>
      </w:rPr>
      <w:pict w14:anchorId="06B8927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D6C6AAE"/>
    <w:multiLevelType w:val="hybridMultilevel"/>
    <w:tmpl w:val="EBB6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901B68"/>
    <w:multiLevelType w:val="hybridMultilevel"/>
    <w:tmpl w:val="57EC6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9814805">
    <w:abstractNumId w:val="3"/>
  </w:num>
  <w:num w:numId="2" w16cid:durableId="1306470149">
    <w:abstractNumId w:val="4"/>
  </w:num>
  <w:num w:numId="3" w16cid:durableId="1692605418">
    <w:abstractNumId w:val="55"/>
  </w:num>
  <w:num w:numId="4" w16cid:durableId="343558386">
    <w:abstractNumId w:val="19"/>
  </w:num>
  <w:num w:numId="5" w16cid:durableId="1630479387">
    <w:abstractNumId w:val="48"/>
  </w:num>
  <w:num w:numId="6" w16cid:durableId="1406877015">
    <w:abstractNumId w:val="26"/>
  </w:num>
  <w:num w:numId="7" w16cid:durableId="1217086496">
    <w:abstractNumId w:val="5"/>
  </w:num>
  <w:num w:numId="8" w16cid:durableId="1855919838">
    <w:abstractNumId w:val="15"/>
  </w:num>
  <w:num w:numId="9" w16cid:durableId="427895478">
    <w:abstractNumId w:val="42"/>
  </w:num>
  <w:num w:numId="10" w16cid:durableId="775639956">
    <w:abstractNumId w:val="0"/>
  </w:num>
  <w:num w:numId="11" w16cid:durableId="2008484143">
    <w:abstractNumId w:val="36"/>
  </w:num>
  <w:num w:numId="12" w16cid:durableId="907107196">
    <w:abstractNumId w:val="37"/>
  </w:num>
  <w:num w:numId="13" w16cid:durableId="506209581">
    <w:abstractNumId w:val="45"/>
  </w:num>
  <w:num w:numId="14" w16cid:durableId="1921019320">
    <w:abstractNumId w:val="1"/>
  </w:num>
  <w:num w:numId="15" w16cid:durableId="513151474">
    <w:abstractNumId w:val="2"/>
  </w:num>
  <w:num w:numId="16" w16cid:durableId="536772123">
    <w:abstractNumId w:val="6"/>
  </w:num>
  <w:num w:numId="17" w16cid:durableId="414205717">
    <w:abstractNumId w:val="7"/>
  </w:num>
  <w:num w:numId="18" w16cid:durableId="1604723672">
    <w:abstractNumId w:val="8"/>
  </w:num>
  <w:num w:numId="19" w16cid:durableId="53898640">
    <w:abstractNumId w:val="9"/>
  </w:num>
  <w:num w:numId="20" w16cid:durableId="58870161">
    <w:abstractNumId w:val="10"/>
  </w:num>
  <w:num w:numId="21" w16cid:durableId="1574850944">
    <w:abstractNumId w:val="11"/>
  </w:num>
  <w:num w:numId="22" w16cid:durableId="1917130678">
    <w:abstractNumId w:val="12"/>
  </w:num>
  <w:num w:numId="23" w16cid:durableId="313805017">
    <w:abstractNumId w:val="13"/>
  </w:num>
  <w:num w:numId="24" w16cid:durableId="381756023">
    <w:abstractNumId w:val="14"/>
  </w:num>
  <w:num w:numId="25" w16cid:durableId="847908972">
    <w:abstractNumId w:val="16"/>
  </w:num>
  <w:num w:numId="26" w16cid:durableId="555239971">
    <w:abstractNumId w:val="17"/>
  </w:num>
  <w:num w:numId="27" w16cid:durableId="1461878286">
    <w:abstractNumId w:val="20"/>
  </w:num>
  <w:num w:numId="28" w16cid:durableId="1919249010">
    <w:abstractNumId w:val="21"/>
  </w:num>
  <w:num w:numId="29" w16cid:durableId="2015526881">
    <w:abstractNumId w:val="22"/>
  </w:num>
  <w:num w:numId="30" w16cid:durableId="433212927">
    <w:abstractNumId w:val="24"/>
  </w:num>
  <w:num w:numId="31" w16cid:durableId="1778793728">
    <w:abstractNumId w:val="27"/>
  </w:num>
  <w:num w:numId="32" w16cid:durableId="1339239000">
    <w:abstractNumId w:val="28"/>
  </w:num>
  <w:num w:numId="33" w16cid:durableId="1522817173">
    <w:abstractNumId w:val="29"/>
  </w:num>
  <w:num w:numId="34" w16cid:durableId="134875050">
    <w:abstractNumId w:val="30"/>
  </w:num>
  <w:num w:numId="35" w16cid:durableId="1687554944">
    <w:abstractNumId w:val="31"/>
  </w:num>
  <w:num w:numId="36" w16cid:durableId="1945066149">
    <w:abstractNumId w:val="32"/>
  </w:num>
  <w:num w:numId="37" w16cid:durableId="172378402">
    <w:abstractNumId w:val="33"/>
  </w:num>
  <w:num w:numId="38" w16cid:durableId="1760952885">
    <w:abstractNumId w:val="34"/>
  </w:num>
  <w:num w:numId="39" w16cid:durableId="493911114">
    <w:abstractNumId w:val="39"/>
  </w:num>
  <w:num w:numId="40" w16cid:durableId="803545025">
    <w:abstractNumId w:val="40"/>
  </w:num>
  <w:num w:numId="41" w16cid:durableId="157504898">
    <w:abstractNumId w:val="47"/>
  </w:num>
  <w:num w:numId="42" w16cid:durableId="808716393">
    <w:abstractNumId w:val="49"/>
  </w:num>
  <w:num w:numId="43" w16cid:durableId="764376328">
    <w:abstractNumId w:val="51"/>
  </w:num>
  <w:num w:numId="44" w16cid:durableId="1593200463">
    <w:abstractNumId w:val="53"/>
  </w:num>
  <w:num w:numId="45" w16cid:durableId="2129738810">
    <w:abstractNumId w:val="54"/>
  </w:num>
  <w:num w:numId="46" w16cid:durableId="1257791795">
    <w:abstractNumId w:val="56"/>
  </w:num>
  <w:num w:numId="47" w16cid:durableId="927035025">
    <w:abstractNumId w:val="57"/>
  </w:num>
  <w:num w:numId="48" w16cid:durableId="465204718">
    <w:abstractNumId w:val="58"/>
  </w:num>
  <w:num w:numId="49" w16cid:durableId="1156409420">
    <w:abstractNumId w:val="59"/>
  </w:num>
  <w:num w:numId="50" w16cid:durableId="2015179801">
    <w:abstractNumId w:val="60"/>
  </w:num>
  <w:num w:numId="51" w16cid:durableId="334191976">
    <w:abstractNumId w:val="18"/>
  </w:num>
  <w:num w:numId="52" w16cid:durableId="1687245945">
    <w:abstractNumId w:val="41"/>
  </w:num>
  <w:num w:numId="53" w16cid:durableId="826476418">
    <w:abstractNumId w:val="52"/>
  </w:num>
  <w:num w:numId="54" w16cid:durableId="1393650025">
    <w:abstractNumId w:val="46"/>
  </w:num>
  <w:num w:numId="55" w16cid:durableId="554853646">
    <w:abstractNumId w:val="43"/>
  </w:num>
  <w:num w:numId="56" w16cid:durableId="1979338371">
    <w:abstractNumId w:val="25"/>
  </w:num>
  <w:num w:numId="57" w16cid:durableId="140584565">
    <w:abstractNumId w:val="23"/>
  </w:num>
  <w:num w:numId="58" w16cid:durableId="2130198114">
    <w:abstractNumId w:val="35"/>
  </w:num>
  <w:num w:numId="59" w16cid:durableId="754671339">
    <w:abstractNumId w:val="44"/>
  </w:num>
  <w:num w:numId="60" w16cid:durableId="1641307177">
    <w:abstractNumId w:val="50"/>
  </w:num>
  <w:num w:numId="61" w16cid:durableId="1798060692">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1CA"/>
    <w:rsid w:val="00006E1F"/>
    <w:rsid w:val="000070D7"/>
    <w:rsid w:val="000145D9"/>
    <w:rsid w:val="0001788C"/>
    <w:rsid w:val="00020BCD"/>
    <w:rsid w:val="00023BE5"/>
    <w:rsid w:val="000270D4"/>
    <w:rsid w:val="00030D92"/>
    <w:rsid w:val="00031CB3"/>
    <w:rsid w:val="000337EF"/>
    <w:rsid w:val="00036FF9"/>
    <w:rsid w:val="00040C3A"/>
    <w:rsid w:val="000419AD"/>
    <w:rsid w:val="000433C9"/>
    <w:rsid w:val="00051F68"/>
    <w:rsid w:val="00053278"/>
    <w:rsid w:val="00054741"/>
    <w:rsid w:val="0006111E"/>
    <w:rsid w:val="0006514F"/>
    <w:rsid w:val="00066C91"/>
    <w:rsid w:val="00070C94"/>
    <w:rsid w:val="00071174"/>
    <w:rsid w:val="000716C5"/>
    <w:rsid w:val="000746A3"/>
    <w:rsid w:val="00075E23"/>
    <w:rsid w:val="00076565"/>
    <w:rsid w:val="0008307F"/>
    <w:rsid w:val="00083EAA"/>
    <w:rsid w:val="00086881"/>
    <w:rsid w:val="00086F62"/>
    <w:rsid w:val="0009344A"/>
    <w:rsid w:val="00094B3F"/>
    <w:rsid w:val="00094F6F"/>
    <w:rsid w:val="000958A2"/>
    <w:rsid w:val="000959F6"/>
    <w:rsid w:val="000A0A8D"/>
    <w:rsid w:val="000A392E"/>
    <w:rsid w:val="000A4852"/>
    <w:rsid w:val="000A575F"/>
    <w:rsid w:val="000A6E86"/>
    <w:rsid w:val="000A739B"/>
    <w:rsid w:val="000C5D91"/>
    <w:rsid w:val="000C6444"/>
    <w:rsid w:val="000D05CB"/>
    <w:rsid w:val="000D10DB"/>
    <w:rsid w:val="000D1513"/>
    <w:rsid w:val="000D4531"/>
    <w:rsid w:val="000D4C27"/>
    <w:rsid w:val="000D54F9"/>
    <w:rsid w:val="000E0673"/>
    <w:rsid w:val="000E5EB5"/>
    <w:rsid w:val="000E700F"/>
    <w:rsid w:val="000E7A52"/>
    <w:rsid w:val="000F35ED"/>
    <w:rsid w:val="000F4EFF"/>
    <w:rsid w:val="001004FE"/>
    <w:rsid w:val="00104A69"/>
    <w:rsid w:val="00107131"/>
    <w:rsid w:val="0010736F"/>
    <w:rsid w:val="001100F9"/>
    <w:rsid w:val="00113CB9"/>
    <w:rsid w:val="00113F73"/>
    <w:rsid w:val="0011578F"/>
    <w:rsid w:val="00121CC2"/>
    <w:rsid w:val="00124870"/>
    <w:rsid w:val="00125EBF"/>
    <w:rsid w:val="0013132B"/>
    <w:rsid w:val="00131425"/>
    <w:rsid w:val="00133EE5"/>
    <w:rsid w:val="00137924"/>
    <w:rsid w:val="00137BFC"/>
    <w:rsid w:val="00141BD2"/>
    <w:rsid w:val="00142668"/>
    <w:rsid w:val="00145E23"/>
    <w:rsid w:val="001475A0"/>
    <w:rsid w:val="001509C1"/>
    <w:rsid w:val="00150C62"/>
    <w:rsid w:val="001566EC"/>
    <w:rsid w:val="001579B3"/>
    <w:rsid w:val="00162F86"/>
    <w:rsid w:val="00163504"/>
    <w:rsid w:val="00163E11"/>
    <w:rsid w:val="0016718E"/>
    <w:rsid w:val="00167A34"/>
    <w:rsid w:val="00167AA6"/>
    <w:rsid w:val="00186EF2"/>
    <w:rsid w:val="00187404"/>
    <w:rsid w:val="001941E3"/>
    <w:rsid w:val="001A43B0"/>
    <w:rsid w:val="001A520D"/>
    <w:rsid w:val="001A7870"/>
    <w:rsid w:val="001B3A00"/>
    <w:rsid w:val="001B3A39"/>
    <w:rsid w:val="001B478B"/>
    <w:rsid w:val="001B5166"/>
    <w:rsid w:val="001C0520"/>
    <w:rsid w:val="001C1B41"/>
    <w:rsid w:val="001D65EF"/>
    <w:rsid w:val="001D7F96"/>
    <w:rsid w:val="001E09AB"/>
    <w:rsid w:val="001E49E7"/>
    <w:rsid w:val="001E6494"/>
    <w:rsid w:val="001E6C0B"/>
    <w:rsid w:val="001E6C64"/>
    <w:rsid w:val="001E7C32"/>
    <w:rsid w:val="001F28A9"/>
    <w:rsid w:val="001F352E"/>
    <w:rsid w:val="001F7201"/>
    <w:rsid w:val="00205310"/>
    <w:rsid w:val="0020564C"/>
    <w:rsid w:val="00206A64"/>
    <w:rsid w:val="00207C7F"/>
    <w:rsid w:val="00211F67"/>
    <w:rsid w:val="00223A29"/>
    <w:rsid w:val="002243B1"/>
    <w:rsid w:val="002250A3"/>
    <w:rsid w:val="002261EE"/>
    <w:rsid w:val="00226EF4"/>
    <w:rsid w:val="0023177D"/>
    <w:rsid w:val="00235217"/>
    <w:rsid w:val="002373F6"/>
    <w:rsid w:val="00237CD5"/>
    <w:rsid w:val="00240E5F"/>
    <w:rsid w:val="00243739"/>
    <w:rsid w:val="00244A2E"/>
    <w:rsid w:val="00246D1F"/>
    <w:rsid w:val="00247403"/>
    <w:rsid w:val="00247542"/>
    <w:rsid w:val="00253E50"/>
    <w:rsid w:val="0025662E"/>
    <w:rsid w:val="002571C4"/>
    <w:rsid w:val="002623E3"/>
    <w:rsid w:val="00263EC8"/>
    <w:rsid w:val="0026627B"/>
    <w:rsid w:val="00266B61"/>
    <w:rsid w:val="0026712A"/>
    <w:rsid w:val="002704DB"/>
    <w:rsid w:val="00271547"/>
    <w:rsid w:val="00281E7A"/>
    <w:rsid w:val="002827F3"/>
    <w:rsid w:val="00282A14"/>
    <w:rsid w:val="002954C7"/>
    <w:rsid w:val="002A0AAE"/>
    <w:rsid w:val="002A1B3E"/>
    <w:rsid w:val="002A3757"/>
    <w:rsid w:val="002A5820"/>
    <w:rsid w:val="002A7646"/>
    <w:rsid w:val="002B6B32"/>
    <w:rsid w:val="002B7812"/>
    <w:rsid w:val="002C0DC8"/>
    <w:rsid w:val="002C4F89"/>
    <w:rsid w:val="002C7003"/>
    <w:rsid w:val="002D2B26"/>
    <w:rsid w:val="002D47A5"/>
    <w:rsid w:val="002D70EB"/>
    <w:rsid w:val="002D7EA2"/>
    <w:rsid w:val="002E153F"/>
    <w:rsid w:val="002E187C"/>
    <w:rsid w:val="002E46CC"/>
    <w:rsid w:val="002E7E8C"/>
    <w:rsid w:val="002F2DDD"/>
    <w:rsid w:val="002F467B"/>
    <w:rsid w:val="00302275"/>
    <w:rsid w:val="00302733"/>
    <w:rsid w:val="00305835"/>
    <w:rsid w:val="00306B70"/>
    <w:rsid w:val="00306F33"/>
    <w:rsid w:val="00307122"/>
    <w:rsid w:val="0030779E"/>
    <w:rsid w:val="00314078"/>
    <w:rsid w:val="0031535D"/>
    <w:rsid w:val="003239B8"/>
    <w:rsid w:val="00323AB1"/>
    <w:rsid w:val="00323B1C"/>
    <w:rsid w:val="00324CF3"/>
    <w:rsid w:val="003257F4"/>
    <w:rsid w:val="0032670D"/>
    <w:rsid w:val="0033169F"/>
    <w:rsid w:val="00332B3C"/>
    <w:rsid w:val="00333EF1"/>
    <w:rsid w:val="00334230"/>
    <w:rsid w:val="003347FE"/>
    <w:rsid w:val="0033578A"/>
    <w:rsid w:val="00336730"/>
    <w:rsid w:val="00336A8D"/>
    <w:rsid w:val="00341253"/>
    <w:rsid w:val="00344977"/>
    <w:rsid w:val="00346C95"/>
    <w:rsid w:val="00352146"/>
    <w:rsid w:val="00354B6B"/>
    <w:rsid w:val="00356141"/>
    <w:rsid w:val="00356185"/>
    <w:rsid w:val="003574F0"/>
    <w:rsid w:val="00360380"/>
    <w:rsid w:val="003642C5"/>
    <w:rsid w:val="0036576C"/>
    <w:rsid w:val="003705C8"/>
    <w:rsid w:val="0037519E"/>
    <w:rsid w:val="00381BA7"/>
    <w:rsid w:val="00381C1A"/>
    <w:rsid w:val="0038385F"/>
    <w:rsid w:val="00386CF0"/>
    <w:rsid w:val="003905BD"/>
    <w:rsid w:val="0039226B"/>
    <w:rsid w:val="0039241B"/>
    <w:rsid w:val="003927DA"/>
    <w:rsid w:val="00394073"/>
    <w:rsid w:val="0039571F"/>
    <w:rsid w:val="003B2378"/>
    <w:rsid w:val="003B283F"/>
    <w:rsid w:val="003B675B"/>
    <w:rsid w:val="003B70FB"/>
    <w:rsid w:val="003C071D"/>
    <w:rsid w:val="003C17DA"/>
    <w:rsid w:val="003C676B"/>
    <w:rsid w:val="003C742E"/>
    <w:rsid w:val="003C7C19"/>
    <w:rsid w:val="003D1B74"/>
    <w:rsid w:val="003D3BC2"/>
    <w:rsid w:val="003D571A"/>
    <w:rsid w:val="003E6CA1"/>
    <w:rsid w:val="003F0098"/>
    <w:rsid w:val="003F5154"/>
    <w:rsid w:val="00402A68"/>
    <w:rsid w:val="00405AD4"/>
    <w:rsid w:val="00405F9C"/>
    <w:rsid w:val="004065A8"/>
    <w:rsid w:val="0041009D"/>
    <w:rsid w:val="004165C2"/>
    <w:rsid w:val="004241A0"/>
    <w:rsid w:val="004252DD"/>
    <w:rsid w:val="00426FE1"/>
    <w:rsid w:val="00427489"/>
    <w:rsid w:val="00430377"/>
    <w:rsid w:val="00430B00"/>
    <w:rsid w:val="004326F8"/>
    <w:rsid w:val="0043637E"/>
    <w:rsid w:val="004376EF"/>
    <w:rsid w:val="00441ECB"/>
    <w:rsid w:val="00445193"/>
    <w:rsid w:val="004474A3"/>
    <w:rsid w:val="00452B07"/>
    <w:rsid w:val="004537BE"/>
    <w:rsid w:val="00460FD4"/>
    <w:rsid w:val="0046167D"/>
    <w:rsid w:val="00462C1B"/>
    <w:rsid w:val="004634A9"/>
    <w:rsid w:val="00467B7E"/>
    <w:rsid w:val="00472FA5"/>
    <w:rsid w:val="00473BB4"/>
    <w:rsid w:val="004752C6"/>
    <w:rsid w:val="00476F45"/>
    <w:rsid w:val="00477592"/>
    <w:rsid w:val="00482B8D"/>
    <w:rsid w:val="00483CEF"/>
    <w:rsid w:val="00484061"/>
    <w:rsid w:val="00485DB6"/>
    <w:rsid w:val="00486F1C"/>
    <w:rsid w:val="004924A4"/>
    <w:rsid w:val="00492C58"/>
    <w:rsid w:val="00493614"/>
    <w:rsid w:val="004936CF"/>
    <w:rsid w:val="0049419D"/>
    <w:rsid w:val="004962BA"/>
    <w:rsid w:val="00496309"/>
    <w:rsid w:val="004A057B"/>
    <w:rsid w:val="004A3035"/>
    <w:rsid w:val="004A6A54"/>
    <w:rsid w:val="004A7B5A"/>
    <w:rsid w:val="004B261F"/>
    <w:rsid w:val="004B29E8"/>
    <w:rsid w:val="004B421C"/>
    <w:rsid w:val="004B4EDA"/>
    <w:rsid w:val="004B58D4"/>
    <w:rsid w:val="004B6CBE"/>
    <w:rsid w:val="004C20D2"/>
    <w:rsid w:val="004C2312"/>
    <w:rsid w:val="004C2D5B"/>
    <w:rsid w:val="004C4B62"/>
    <w:rsid w:val="004C54C9"/>
    <w:rsid w:val="004C6AE3"/>
    <w:rsid w:val="004D4ABA"/>
    <w:rsid w:val="004D6025"/>
    <w:rsid w:val="004E2649"/>
    <w:rsid w:val="004E6ECD"/>
    <w:rsid w:val="004F11DD"/>
    <w:rsid w:val="004F197F"/>
    <w:rsid w:val="004F20BC"/>
    <w:rsid w:val="004F626F"/>
    <w:rsid w:val="004F7ED5"/>
    <w:rsid w:val="00501399"/>
    <w:rsid w:val="005023B7"/>
    <w:rsid w:val="005047ED"/>
    <w:rsid w:val="0050633D"/>
    <w:rsid w:val="00507BC4"/>
    <w:rsid w:val="005128E4"/>
    <w:rsid w:val="005133DB"/>
    <w:rsid w:val="00514504"/>
    <w:rsid w:val="00515D84"/>
    <w:rsid w:val="00521E1F"/>
    <w:rsid w:val="00525560"/>
    <w:rsid w:val="0054299B"/>
    <w:rsid w:val="00544C49"/>
    <w:rsid w:val="00547317"/>
    <w:rsid w:val="005516A1"/>
    <w:rsid w:val="005559EF"/>
    <w:rsid w:val="00556589"/>
    <w:rsid w:val="00557A88"/>
    <w:rsid w:val="00563557"/>
    <w:rsid w:val="0057402A"/>
    <w:rsid w:val="005740F5"/>
    <w:rsid w:val="00574CA4"/>
    <w:rsid w:val="00574CAD"/>
    <w:rsid w:val="005771D0"/>
    <w:rsid w:val="0057778E"/>
    <w:rsid w:val="005777C3"/>
    <w:rsid w:val="00581A61"/>
    <w:rsid w:val="005834F5"/>
    <w:rsid w:val="005845E9"/>
    <w:rsid w:val="00587C1F"/>
    <w:rsid w:val="0059191A"/>
    <w:rsid w:val="005921FF"/>
    <w:rsid w:val="00594E15"/>
    <w:rsid w:val="0059637F"/>
    <w:rsid w:val="00597028"/>
    <w:rsid w:val="00597B97"/>
    <w:rsid w:val="005A050B"/>
    <w:rsid w:val="005A24ED"/>
    <w:rsid w:val="005A25D2"/>
    <w:rsid w:val="005A3842"/>
    <w:rsid w:val="005A5533"/>
    <w:rsid w:val="005A61C0"/>
    <w:rsid w:val="005A6D0E"/>
    <w:rsid w:val="005A7247"/>
    <w:rsid w:val="005B185D"/>
    <w:rsid w:val="005B1B12"/>
    <w:rsid w:val="005B1C54"/>
    <w:rsid w:val="005B3A78"/>
    <w:rsid w:val="005B52B0"/>
    <w:rsid w:val="005B54C5"/>
    <w:rsid w:val="005B6806"/>
    <w:rsid w:val="005C0E4B"/>
    <w:rsid w:val="005C16B1"/>
    <w:rsid w:val="005C21BB"/>
    <w:rsid w:val="005C3801"/>
    <w:rsid w:val="005C4225"/>
    <w:rsid w:val="005D0671"/>
    <w:rsid w:val="005E1114"/>
    <w:rsid w:val="005E306E"/>
    <w:rsid w:val="005E37BC"/>
    <w:rsid w:val="005E63C3"/>
    <w:rsid w:val="005E74F4"/>
    <w:rsid w:val="005F0DAD"/>
    <w:rsid w:val="005F0F33"/>
    <w:rsid w:val="005F53CA"/>
    <w:rsid w:val="005F6333"/>
    <w:rsid w:val="005F7809"/>
    <w:rsid w:val="00600DEB"/>
    <w:rsid w:val="00604100"/>
    <w:rsid w:val="006052F4"/>
    <w:rsid w:val="00610E1C"/>
    <w:rsid w:val="006134E2"/>
    <w:rsid w:val="00617AE5"/>
    <w:rsid w:val="006204F6"/>
    <w:rsid w:val="00621B14"/>
    <w:rsid w:val="006270C3"/>
    <w:rsid w:val="00627C9F"/>
    <w:rsid w:val="006311E9"/>
    <w:rsid w:val="00632354"/>
    <w:rsid w:val="00635421"/>
    <w:rsid w:val="00636546"/>
    <w:rsid w:val="00637578"/>
    <w:rsid w:val="00641888"/>
    <w:rsid w:val="00642810"/>
    <w:rsid w:val="0064620F"/>
    <w:rsid w:val="00652333"/>
    <w:rsid w:val="00654B9F"/>
    <w:rsid w:val="00656CA6"/>
    <w:rsid w:val="00663DEE"/>
    <w:rsid w:val="00663E77"/>
    <w:rsid w:val="00665051"/>
    <w:rsid w:val="0066680B"/>
    <w:rsid w:val="006670F0"/>
    <w:rsid w:val="00667442"/>
    <w:rsid w:val="00672032"/>
    <w:rsid w:val="00674D0F"/>
    <w:rsid w:val="0068009E"/>
    <w:rsid w:val="00685ADE"/>
    <w:rsid w:val="0069144D"/>
    <w:rsid w:val="00692219"/>
    <w:rsid w:val="006937CF"/>
    <w:rsid w:val="006954B4"/>
    <w:rsid w:val="006963C2"/>
    <w:rsid w:val="006967CE"/>
    <w:rsid w:val="006A17D2"/>
    <w:rsid w:val="006A6EA0"/>
    <w:rsid w:val="006A73E6"/>
    <w:rsid w:val="006A761C"/>
    <w:rsid w:val="006A7D2E"/>
    <w:rsid w:val="006A7DE0"/>
    <w:rsid w:val="006B2D5C"/>
    <w:rsid w:val="006B62DC"/>
    <w:rsid w:val="006C04BF"/>
    <w:rsid w:val="006C0ECF"/>
    <w:rsid w:val="006C228F"/>
    <w:rsid w:val="006C42E3"/>
    <w:rsid w:val="006C4EB1"/>
    <w:rsid w:val="006D35DD"/>
    <w:rsid w:val="006D4687"/>
    <w:rsid w:val="006D4BEE"/>
    <w:rsid w:val="006D6E06"/>
    <w:rsid w:val="006E0166"/>
    <w:rsid w:val="006E25DA"/>
    <w:rsid w:val="006E2FFB"/>
    <w:rsid w:val="006E55B2"/>
    <w:rsid w:val="006E7B34"/>
    <w:rsid w:val="006F022A"/>
    <w:rsid w:val="006F134B"/>
    <w:rsid w:val="006F1776"/>
    <w:rsid w:val="006F33C6"/>
    <w:rsid w:val="006F7109"/>
    <w:rsid w:val="0070012A"/>
    <w:rsid w:val="00702ABE"/>
    <w:rsid w:val="00703FC2"/>
    <w:rsid w:val="007054DE"/>
    <w:rsid w:val="0070697F"/>
    <w:rsid w:val="007103C4"/>
    <w:rsid w:val="0072199C"/>
    <w:rsid w:val="00721C2D"/>
    <w:rsid w:val="00722C9F"/>
    <w:rsid w:val="007253B8"/>
    <w:rsid w:val="00726572"/>
    <w:rsid w:val="0073268E"/>
    <w:rsid w:val="00736171"/>
    <w:rsid w:val="00736CB9"/>
    <w:rsid w:val="0073741F"/>
    <w:rsid w:val="00741320"/>
    <w:rsid w:val="0075294E"/>
    <w:rsid w:val="007561B5"/>
    <w:rsid w:val="00756E3C"/>
    <w:rsid w:val="00760498"/>
    <w:rsid w:val="00761E5C"/>
    <w:rsid w:val="007637C7"/>
    <w:rsid w:val="00765E52"/>
    <w:rsid w:val="0076643F"/>
    <w:rsid w:val="00772E20"/>
    <w:rsid w:val="007768B8"/>
    <w:rsid w:val="0077729E"/>
    <w:rsid w:val="007772B9"/>
    <w:rsid w:val="00777441"/>
    <w:rsid w:val="00777757"/>
    <w:rsid w:val="00777F63"/>
    <w:rsid w:val="00780120"/>
    <w:rsid w:val="00786E61"/>
    <w:rsid w:val="00791913"/>
    <w:rsid w:val="007929B3"/>
    <w:rsid w:val="00797B9C"/>
    <w:rsid w:val="007A2431"/>
    <w:rsid w:val="007A489A"/>
    <w:rsid w:val="007A5817"/>
    <w:rsid w:val="007B05C4"/>
    <w:rsid w:val="007B0934"/>
    <w:rsid w:val="007B60E9"/>
    <w:rsid w:val="007B6CC3"/>
    <w:rsid w:val="007B76D3"/>
    <w:rsid w:val="007C03DF"/>
    <w:rsid w:val="007C3334"/>
    <w:rsid w:val="007D2263"/>
    <w:rsid w:val="007D2B98"/>
    <w:rsid w:val="007D3B71"/>
    <w:rsid w:val="007E21BC"/>
    <w:rsid w:val="007E426E"/>
    <w:rsid w:val="007E5D50"/>
    <w:rsid w:val="007E5E6A"/>
    <w:rsid w:val="007E7416"/>
    <w:rsid w:val="007E7C82"/>
    <w:rsid w:val="007F0E7D"/>
    <w:rsid w:val="007F2AA1"/>
    <w:rsid w:val="007F5318"/>
    <w:rsid w:val="007F588D"/>
    <w:rsid w:val="007F7CD4"/>
    <w:rsid w:val="00802BC8"/>
    <w:rsid w:val="00803F1C"/>
    <w:rsid w:val="0080600E"/>
    <w:rsid w:val="00807B4B"/>
    <w:rsid w:val="00814688"/>
    <w:rsid w:val="00816B39"/>
    <w:rsid w:val="00817612"/>
    <w:rsid w:val="0081780E"/>
    <w:rsid w:val="00817A1D"/>
    <w:rsid w:val="00820B5E"/>
    <w:rsid w:val="00823B0E"/>
    <w:rsid w:val="00830D26"/>
    <w:rsid w:val="00831E33"/>
    <w:rsid w:val="008338A4"/>
    <w:rsid w:val="00833B78"/>
    <w:rsid w:val="00834080"/>
    <w:rsid w:val="0083464C"/>
    <w:rsid w:val="008347CD"/>
    <w:rsid w:val="00834A7C"/>
    <w:rsid w:val="00834CA3"/>
    <w:rsid w:val="00834D49"/>
    <w:rsid w:val="00837C45"/>
    <w:rsid w:val="00844730"/>
    <w:rsid w:val="00844738"/>
    <w:rsid w:val="008457C2"/>
    <w:rsid w:val="008467E8"/>
    <w:rsid w:val="008502AD"/>
    <w:rsid w:val="00852E5D"/>
    <w:rsid w:val="00857A82"/>
    <w:rsid w:val="008607CC"/>
    <w:rsid w:val="008621FE"/>
    <w:rsid w:val="00862CC7"/>
    <w:rsid w:val="008679C0"/>
    <w:rsid w:val="00871848"/>
    <w:rsid w:val="00873836"/>
    <w:rsid w:val="008768BF"/>
    <w:rsid w:val="00885737"/>
    <w:rsid w:val="0088720B"/>
    <w:rsid w:val="00890650"/>
    <w:rsid w:val="0089076C"/>
    <w:rsid w:val="008944DC"/>
    <w:rsid w:val="008953C5"/>
    <w:rsid w:val="00897E12"/>
    <w:rsid w:val="008A1839"/>
    <w:rsid w:val="008A2F44"/>
    <w:rsid w:val="008A4F90"/>
    <w:rsid w:val="008A5772"/>
    <w:rsid w:val="008A5F79"/>
    <w:rsid w:val="008A7AED"/>
    <w:rsid w:val="008A7E0F"/>
    <w:rsid w:val="008B00C5"/>
    <w:rsid w:val="008B12F5"/>
    <w:rsid w:val="008B18AC"/>
    <w:rsid w:val="008B1BD7"/>
    <w:rsid w:val="008C1596"/>
    <w:rsid w:val="008C2281"/>
    <w:rsid w:val="008C2DA5"/>
    <w:rsid w:val="008C2E36"/>
    <w:rsid w:val="008C5E2D"/>
    <w:rsid w:val="008C5F1E"/>
    <w:rsid w:val="008C7E7C"/>
    <w:rsid w:val="008D2142"/>
    <w:rsid w:val="008D3322"/>
    <w:rsid w:val="008D3ED1"/>
    <w:rsid w:val="008D4C4A"/>
    <w:rsid w:val="008D6DB2"/>
    <w:rsid w:val="008D768D"/>
    <w:rsid w:val="008E1557"/>
    <w:rsid w:val="008E3759"/>
    <w:rsid w:val="008E3BFE"/>
    <w:rsid w:val="008E42F3"/>
    <w:rsid w:val="008F1912"/>
    <w:rsid w:val="008F2BDD"/>
    <w:rsid w:val="008F2F8A"/>
    <w:rsid w:val="00900759"/>
    <w:rsid w:val="0090270B"/>
    <w:rsid w:val="009041DC"/>
    <w:rsid w:val="009071E2"/>
    <w:rsid w:val="0091595C"/>
    <w:rsid w:val="00917369"/>
    <w:rsid w:val="00917B5A"/>
    <w:rsid w:val="00920A58"/>
    <w:rsid w:val="00920A8C"/>
    <w:rsid w:val="00934A2C"/>
    <w:rsid w:val="0093797A"/>
    <w:rsid w:val="00937ADB"/>
    <w:rsid w:val="00945AF2"/>
    <w:rsid w:val="00946A16"/>
    <w:rsid w:val="009579E9"/>
    <w:rsid w:val="00963669"/>
    <w:rsid w:val="00964183"/>
    <w:rsid w:val="0096706E"/>
    <w:rsid w:val="00967308"/>
    <w:rsid w:val="0097168C"/>
    <w:rsid w:val="00971D46"/>
    <w:rsid w:val="00974491"/>
    <w:rsid w:val="00975C4E"/>
    <w:rsid w:val="00976B49"/>
    <w:rsid w:val="00977AE2"/>
    <w:rsid w:val="00981FBA"/>
    <w:rsid w:val="009862D7"/>
    <w:rsid w:val="00986806"/>
    <w:rsid w:val="009900C1"/>
    <w:rsid w:val="00994C5D"/>
    <w:rsid w:val="009970EF"/>
    <w:rsid w:val="00997BC5"/>
    <w:rsid w:val="009A4F41"/>
    <w:rsid w:val="009A56CE"/>
    <w:rsid w:val="009A7EF6"/>
    <w:rsid w:val="009B3799"/>
    <w:rsid w:val="009B381B"/>
    <w:rsid w:val="009C004A"/>
    <w:rsid w:val="009C3803"/>
    <w:rsid w:val="009C6D7D"/>
    <w:rsid w:val="009D1753"/>
    <w:rsid w:val="009D17F3"/>
    <w:rsid w:val="009D1D6B"/>
    <w:rsid w:val="009D7611"/>
    <w:rsid w:val="009E0B61"/>
    <w:rsid w:val="009E47F2"/>
    <w:rsid w:val="009E53DE"/>
    <w:rsid w:val="009F29C1"/>
    <w:rsid w:val="009F3619"/>
    <w:rsid w:val="009F6204"/>
    <w:rsid w:val="00A000F1"/>
    <w:rsid w:val="00A01147"/>
    <w:rsid w:val="00A02573"/>
    <w:rsid w:val="00A02647"/>
    <w:rsid w:val="00A0333F"/>
    <w:rsid w:val="00A11212"/>
    <w:rsid w:val="00A11E44"/>
    <w:rsid w:val="00A15562"/>
    <w:rsid w:val="00A233F8"/>
    <w:rsid w:val="00A25738"/>
    <w:rsid w:val="00A2625D"/>
    <w:rsid w:val="00A30100"/>
    <w:rsid w:val="00A32214"/>
    <w:rsid w:val="00A326CC"/>
    <w:rsid w:val="00A328B3"/>
    <w:rsid w:val="00A3291D"/>
    <w:rsid w:val="00A344B2"/>
    <w:rsid w:val="00A36B17"/>
    <w:rsid w:val="00A44A20"/>
    <w:rsid w:val="00A50FCF"/>
    <w:rsid w:val="00A528D1"/>
    <w:rsid w:val="00A610CD"/>
    <w:rsid w:val="00A67AFC"/>
    <w:rsid w:val="00A758AA"/>
    <w:rsid w:val="00A76673"/>
    <w:rsid w:val="00AA09A2"/>
    <w:rsid w:val="00AA15CB"/>
    <w:rsid w:val="00AA7996"/>
    <w:rsid w:val="00AB2ED5"/>
    <w:rsid w:val="00AB40FE"/>
    <w:rsid w:val="00AB5788"/>
    <w:rsid w:val="00AB605F"/>
    <w:rsid w:val="00AC07CF"/>
    <w:rsid w:val="00AC19CB"/>
    <w:rsid w:val="00AC5246"/>
    <w:rsid w:val="00AC6B45"/>
    <w:rsid w:val="00AC77BE"/>
    <w:rsid w:val="00AC7E77"/>
    <w:rsid w:val="00AD0D9E"/>
    <w:rsid w:val="00AE00EC"/>
    <w:rsid w:val="00AE2467"/>
    <w:rsid w:val="00AE4FC1"/>
    <w:rsid w:val="00AE5488"/>
    <w:rsid w:val="00AE6E25"/>
    <w:rsid w:val="00AE6F91"/>
    <w:rsid w:val="00AF0E80"/>
    <w:rsid w:val="00AF50FB"/>
    <w:rsid w:val="00AF5571"/>
    <w:rsid w:val="00B000B0"/>
    <w:rsid w:val="00B033D8"/>
    <w:rsid w:val="00B04818"/>
    <w:rsid w:val="00B07341"/>
    <w:rsid w:val="00B076F9"/>
    <w:rsid w:val="00B13EB6"/>
    <w:rsid w:val="00B15DAC"/>
    <w:rsid w:val="00B16C04"/>
    <w:rsid w:val="00B21A14"/>
    <w:rsid w:val="00B30539"/>
    <w:rsid w:val="00B314DB"/>
    <w:rsid w:val="00B361F2"/>
    <w:rsid w:val="00B3713C"/>
    <w:rsid w:val="00B3718B"/>
    <w:rsid w:val="00B3745F"/>
    <w:rsid w:val="00B4037A"/>
    <w:rsid w:val="00B41772"/>
    <w:rsid w:val="00B43953"/>
    <w:rsid w:val="00B4448C"/>
    <w:rsid w:val="00B4632A"/>
    <w:rsid w:val="00B530F1"/>
    <w:rsid w:val="00B5360B"/>
    <w:rsid w:val="00B5415F"/>
    <w:rsid w:val="00B55DBF"/>
    <w:rsid w:val="00B6331B"/>
    <w:rsid w:val="00B67252"/>
    <w:rsid w:val="00B70FC7"/>
    <w:rsid w:val="00B71DB7"/>
    <w:rsid w:val="00B736AF"/>
    <w:rsid w:val="00B73D9A"/>
    <w:rsid w:val="00B836B3"/>
    <w:rsid w:val="00B91B21"/>
    <w:rsid w:val="00B93D7F"/>
    <w:rsid w:val="00BA1E88"/>
    <w:rsid w:val="00BA276C"/>
    <w:rsid w:val="00BA32B6"/>
    <w:rsid w:val="00BA4633"/>
    <w:rsid w:val="00BA636D"/>
    <w:rsid w:val="00BB019D"/>
    <w:rsid w:val="00BB11AF"/>
    <w:rsid w:val="00BB2CC1"/>
    <w:rsid w:val="00BB306F"/>
    <w:rsid w:val="00BB35D3"/>
    <w:rsid w:val="00BB5769"/>
    <w:rsid w:val="00BC31BD"/>
    <w:rsid w:val="00BD0E97"/>
    <w:rsid w:val="00BD0FF5"/>
    <w:rsid w:val="00BD15E2"/>
    <w:rsid w:val="00BD3B07"/>
    <w:rsid w:val="00BD4B89"/>
    <w:rsid w:val="00BD5922"/>
    <w:rsid w:val="00BD6D04"/>
    <w:rsid w:val="00BE07B1"/>
    <w:rsid w:val="00BE4413"/>
    <w:rsid w:val="00BF02CB"/>
    <w:rsid w:val="00BF6FD8"/>
    <w:rsid w:val="00C00025"/>
    <w:rsid w:val="00C03680"/>
    <w:rsid w:val="00C04D53"/>
    <w:rsid w:val="00C04D77"/>
    <w:rsid w:val="00C054DF"/>
    <w:rsid w:val="00C11B06"/>
    <w:rsid w:val="00C12475"/>
    <w:rsid w:val="00C1452D"/>
    <w:rsid w:val="00C15B9B"/>
    <w:rsid w:val="00C16FF8"/>
    <w:rsid w:val="00C1788B"/>
    <w:rsid w:val="00C17C14"/>
    <w:rsid w:val="00C20CB7"/>
    <w:rsid w:val="00C21762"/>
    <w:rsid w:val="00C21FEF"/>
    <w:rsid w:val="00C23BA4"/>
    <w:rsid w:val="00C242FD"/>
    <w:rsid w:val="00C24543"/>
    <w:rsid w:val="00C248FA"/>
    <w:rsid w:val="00C256A2"/>
    <w:rsid w:val="00C25ADB"/>
    <w:rsid w:val="00C31652"/>
    <w:rsid w:val="00C31C5F"/>
    <w:rsid w:val="00C33011"/>
    <w:rsid w:val="00C47328"/>
    <w:rsid w:val="00C51515"/>
    <w:rsid w:val="00C5660B"/>
    <w:rsid w:val="00C66B72"/>
    <w:rsid w:val="00C71F49"/>
    <w:rsid w:val="00C84AA8"/>
    <w:rsid w:val="00C878A4"/>
    <w:rsid w:val="00C87AC4"/>
    <w:rsid w:val="00C9567A"/>
    <w:rsid w:val="00C95B15"/>
    <w:rsid w:val="00C974E7"/>
    <w:rsid w:val="00CA09A4"/>
    <w:rsid w:val="00CA68B5"/>
    <w:rsid w:val="00CB212D"/>
    <w:rsid w:val="00CB2660"/>
    <w:rsid w:val="00CB4871"/>
    <w:rsid w:val="00CC076D"/>
    <w:rsid w:val="00CC5E90"/>
    <w:rsid w:val="00CC76F1"/>
    <w:rsid w:val="00CC7A68"/>
    <w:rsid w:val="00CD046C"/>
    <w:rsid w:val="00CD11DF"/>
    <w:rsid w:val="00CD741F"/>
    <w:rsid w:val="00CE076C"/>
    <w:rsid w:val="00CE5199"/>
    <w:rsid w:val="00CE66D5"/>
    <w:rsid w:val="00CF1B39"/>
    <w:rsid w:val="00CF2199"/>
    <w:rsid w:val="00CF4238"/>
    <w:rsid w:val="00CF59BA"/>
    <w:rsid w:val="00CF637A"/>
    <w:rsid w:val="00D0137C"/>
    <w:rsid w:val="00D037F1"/>
    <w:rsid w:val="00D059DE"/>
    <w:rsid w:val="00D05ABD"/>
    <w:rsid w:val="00D05DF7"/>
    <w:rsid w:val="00D127C5"/>
    <w:rsid w:val="00D13FCE"/>
    <w:rsid w:val="00D15461"/>
    <w:rsid w:val="00D222A0"/>
    <w:rsid w:val="00D225E2"/>
    <w:rsid w:val="00D24DE2"/>
    <w:rsid w:val="00D251C9"/>
    <w:rsid w:val="00D306D1"/>
    <w:rsid w:val="00D30800"/>
    <w:rsid w:val="00D34786"/>
    <w:rsid w:val="00D350DE"/>
    <w:rsid w:val="00D35CA7"/>
    <w:rsid w:val="00D37BFC"/>
    <w:rsid w:val="00D42139"/>
    <w:rsid w:val="00D42156"/>
    <w:rsid w:val="00D47A8E"/>
    <w:rsid w:val="00D47B05"/>
    <w:rsid w:val="00D47C95"/>
    <w:rsid w:val="00D47FD5"/>
    <w:rsid w:val="00D508A1"/>
    <w:rsid w:val="00D521C0"/>
    <w:rsid w:val="00D521D2"/>
    <w:rsid w:val="00D52D14"/>
    <w:rsid w:val="00D53630"/>
    <w:rsid w:val="00D601F4"/>
    <w:rsid w:val="00D63853"/>
    <w:rsid w:val="00D712D3"/>
    <w:rsid w:val="00D71422"/>
    <w:rsid w:val="00D72DC6"/>
    <w:rsid w:val="00D7558D"/>
    <w:rsid w:val="00D75902"/>
    <w:rsid w:val="00D75B71"/>
    <w:rsid w:val="00D76B85"/>
    <w:rsid w:val="00D81D92"/>
    <w:rsid w:val="00D82F09"/>
    <w:rsid w:val="00D876F9"/>
    <w:rsid w:val="00D87921"/>
    <w:rsid w:val="00D96690"/>
    <w:rsid w:val="00DA087B"/>
    <w:rsid w:val="00DA0D7D"/>
    <w:rsid w:val="00DA218A"/>
    <w:rsid w:val="00DA7B5F"/>
    <w:rsid w:val="00DB3FC7"/>
    <w:rsid w:val="00DB7BA2"/>
    <w:rsid w:val="00DC11E7"/>
    <w:rsid w:val="00DC24E3"/>
    <w:rsid w:val="00DC3135"/>
    <w:rsid w:val="00DC5BF5"/>
    <w:rsid w:val="00DC7023"/>
    <w:rsid w:val="00DC769A"/>
    <w:rsid w:val="00DD07FC"/>
    <w:rsid w:val="00DD1AC7"/>
    <w:rsid w:val="00DD1C08"/>
    <w:rsid w:val="00DD2B27"/>
    <w:rsid w:val="00DD3D86"/>
    <w:rsid w:val="00DD4AD2"/>
    <w:rsid w:val="00DE2862"/>
    <w:rsid w:val="00DE4307"/>
    <w:rsid w:val="00DE47C5"/>
    <w:rsid w:val="00DE7060"/>
    <w:rsid w:val="00DE739F"/>
    <w:rsid w:val="00DF1EC4"/>
    <w:rsid w:val="00DF3339"/>
    <w:rsid w:val="00DF405C"/>
    <w:rsid w:val="00DF5299"/>
    <w:rsid w:val="00E00C18"/>
    <w:rsid w:val="00E00F2D"/>
    <w:rsid w:val="00E0263B"/>
    <w:rsid w:val="00E0340B"/>
    <w:rsid w:val="00E041C7"/>
    <w:rsid w:val="00E04A90"/>
    <w:rsid w:val="00E0551F"/>
    <w:rsid w:val="00E200B9"/>
    <w:rsid w:val="00E219C7"/>
    <w:rsid w:val="00E35C8D"/>
    <w:rsid w:val="00E37DA1"/>
    <w:rsid w:val="00E4012D"/>
    <w:rsid w:val="00E4118C"/>
    <w:rsid w:val="00E43157"/>
    <w:rsid w:val="00E437AB"/>
    <w:rsid w:val="00E461CE"/>
    <w:rsid w:val="00E47FA2"/>
    <w:rsid w:val="00E513ED"/>
    <w:rsid w:val="00E52C65"/>
    <w:rsid w:val="00E56430"/>
    <w:rsid w:val="00E573E4"/>
    <w:rsid w:val="00E64C3D"/>
    <w:rsid w:val="00E67EA7"/>
    <w:rsid w:val="00E71B0D"/>
    <w:rsid w:val="00E720CA"/>
    <w:rsid w:val="00E75483"/>
    <w:rsid w:val="00E82D39"/>
    <w:rsid w:val="00E83538"/>
    <w:rsid w:val="00E84EB5"/>
    <w:rsid w:val="00E85662"/>
    <w:rsid w:val="00E87217"/>
    <w:rsid w:val="00E8789F"/>
    <w:rsid w:val="00E87901"/>
    <w:rsid w:val="00E900BD"/>
    <w:rsid w:val="00E97300"/>
    <w:rsid w:val="00E97B71"/>
    <w:rsid w:val="00EA06FC"/>
    <w:rsid w:val="00EA16CC"/>
    <w:rsid w:val="00EA3D34"/>
    <w:rsid w:val="00EA4084"/>
    <w:rsid w:val="00EB454D"/>
    <w:rsid w:val="00EC0C9C"/>
    <w:rsid w:val="00ED10D8"/>
    <w:rsid w:val="00ED2164"/>
    <w:rsid w:val="00ED2381"/>
    <w:rsid w:val="00ED36AB"/>
    <w:rsid w:val="00ED50F6"/>
    <w:rsid w:val="00ED549D"/>
    <w:rsid w:val="00ED5E10"/>
    <w:rsid w:val="00ED76BE"/>
    <w:rsid w:val="00EE00E9"/>
    <w:rsid w:val="00EE1C1E"/>
    <w:rsid w:val="00EF1AAA"/>
    <w:rsid w:val="00EF2C5E"/>
    <w:rsid w:val="00EF48CA"/>
    <w:rsid w:val="00EF510B"/>
    <w:rsid w:val="00EF60DD"/>
    <w:rsid w:val="00EF619B"/>
    <w:rsid w:val="00EF68EC"/>
    <w:rsid w:val="00F00175"/>
    <w:rsid w:val="00F00B55"/>
    <w:rsid w:val="00F0116E"/>
    <w:rsid w:val="00F02195"/>
    <w:rsid w:val="00F02AD1"/>
    <w:rsid w:val="00F2025B"/>
    <w:rsid w:val="00F202C3"/>
    <w:rsid w:val="00F21ED9"/>
    <w:rsid w:val="00F24C58"/>
    <w:rsid w:val="00F253CC"/>
    <w:rsid w:val="00F267C3"/>
    <w:rsid w:val="00F27868"/>
    <w:rsid w:val="00F34565"/>
    <w:rsid w:val="00F348DD"/>
    <w:rsid w:val="00F37106"/>
    <w:rsid w:val="00F42CCA"/>
    <w:rsid w:val="00F43BEB"/>
    <w:rsid w:val="00F43C90"/>
    <w:rsid w:val="00F44E25"/>
    <w:rsid w:val="00F500E2"/>
    <w:rsid w:val="00F519CF"/>
    <w:rsid w:val="00F561DF"/>
    <w:rsid w:val="00F56BA5"/>
    <w:rsid w:val="00F56ECB"/>
    <w:rsid w:val="00F60E22"/>
    <w:rsid w:val="00F62C62"/>
    <w:rsid w:val="00F63459"/>
    <w:rsid w:val="00F650E6"/>
    <w:rsid w:val="00F75957"/>
    <w:rsid w:val="00F81395"/>
    <w:rsid w:val="00F81BB8"/>
    <w:rsid w:val="00F87F36"/>
    <w:rsid w:val="00F90C64"/>
    <w:rsid w:val="00F917D1"/>
    <w:rsid w:val="00F92436"/>
    <w:rsid w:val="00F927B1"/>
    <w:rsid w:val="00F93C81"/>
    <w:rsid w:val="00F9653B"/>
    <w:rsid w:val="00F97496"/>
    <w:rsid w:val="00FA6131"/>
    <w:rsid w:val="00FB0E73"/>
    <w:rsid w:val="00FB62CF"/>
    <w:rsid w:val="00FC569C"/>
    <w:rsid w:val="00FC71B8"/>
    <w:rsid w:val="00FD3C3B"/>
    <w:rsid w:val="00FD52B2"/>
    <w:rsid w:val="00FE07DD"/>
    <w:rsid w:val="00FE17A9"/>
    <w:rsid w:val="00FE1896"/>
    <w:rsid w:val="00FE34E4"/>
    <w:rsid w:val="00FE3D73"/>
    <w:rsid w:val="00FE45CB"/>
    <w:rsid w:val="00FE5B84"/>
    <w:rsid w:val="00FE6B45"/>
    <w:rsid w:val="00FF2588"/>
    <w:rsid w:val="00FF36F6"/>
    <w:rsid w:val="00FF55F3"/>
    <w:rsid w:val="00FF5851"/>
    <w:rsid w:val="00FF741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713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DE43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DE4307"/>
  </w:style>
  <w:style w:type="numbering" w:customStyle="1" w:styleId="List21">
    <w:name w:val="List 21"/>
    <w:pPr>
      <w:numPr>
        <w:numId w:val="52"/>
      </w:numPr>
    </w:pPr>
  </w:style>
  <w:style w:type="character" w:customStyle="1" w:styleId="eop">
    <w:name w:val="eop"/>
    <w:basedOn w:val="DefaultParagraphFont"/>
    <w:rsid w:val="00DE4307"/>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1">
    <w:name w:val="List 21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1">
    <w:name w:val="List 31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1">
    <w:name w:val="List 41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1">
    <w:name w:val="List 51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739F"/>
    <w:rPr>
      <w:sz w:val="16"/>
      <w:szCs w:val="16"/>
    </w:rPr>
  </w:style>
  <w:style w:type="paragraph" w:styleId="CommentText">
    <w:name w:val="annotation text"/>
    <w:basedOn w:val="Normal"/>
    <w:link w:val="CommentTextChar"/>
    <w:uiPriority w:val="99"/>
    <w:semiHidden/>
    <w:unhideWhenUsed/>
    <w:rsid w:val="00DE739F"/>
    <w:rPr>
      <w:sz w:val="20"/>
      <w:szCs w:val="20"/>
    </w:rPr>
  </w:style>
  <w:style w:type="character" w:customStyle="1" w:styleId="CommentTextChar">
    <w:name w:val="Comment Text Char"/>
    <w:basedOn w:val="DefaultParagraphFont"/>
    <w:link w:val="CommentText"/>
    <w:uiPriority w:val="99"/>
    <w:semiHidden/>
    <w:rsid w:val="00DE739F"/>
    <w:rPr>
      <w:lang w:val="en-US" w:eastAsia="en-US"/>
    </w:rPr>
  </w:style>
  <w:style w:type="paragraph" w:styleId="CommentSubject">
    <w:name w:val="annotation subject"/>
    <w:basedOn w:val="CommentText"/>
    <w:next w:val="CommentText"/>
    <w:link w:val="CommentSubjectChar"/>
    <w:uiPriority w:val="99"/>
    <w:semiHidden/>
    <w:unhideWhenUsed/>
    <w:rsid w:val="00DE739F"/>
    <w:rPr>
      <w:b/>
      <w:bCs/>
    </w:rPr>
  </w:style>
  <w:style w:type="character" w:customStyle="1" w:styleId="CommentSubjectChar">
    <w:name w:val="Comment Subject Char"/>
    <w:basedOn w:val="CommentTextChar"/>
    <w:link w:val="CommentSubject"/>
    <w:uiPriority w:val="99"/>
    <w:semiHidden/>
    <w:rsid w:val="00DE73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2206">
      <w:bodyDiv w:val="1"/>
      <w:marLeft w:val="0"/>
      <w:marRight w:val="0"/>
      <w:marTop w:val="0"/>
      <w:marBottom w:val="0"/>
      <w:divBdr>
        <w:top w:val="none" w:sz="0" w:space="0" w:color="auto"/>
        <w:left w:val="none" w:sz="0" w:space="0" w:color="auto"/>
        <w:bottom w:val="none" w:sz="0" w:space="0" w:color="auto"/>
        <w:right w:val="none" w:sz="0" w:space="0" w:color="auto"/>
      </w:divBdr>
    </w:div>
    <w:div w:id="316232555">
      <w:bodyDiv w:val="1"/>
      <w:marLeft w:val="0"/>
      <w:marRight w:val="0"/>
      <w:marTop w:val="0"/>
      <w:marBottom w:val="0"/>
      <w:divBdr>
        <w:top w:val="none" w:sz="0" w:space="0" w:color="auto"/>
        <w:left w:val="none" w:sz="0" w:space="0" w:color="auto"/>
        <w:bottom w:val="none" w:sz="0" w:space="0" w:color="auto"/>
        <w:right w:val="none" w:sz="0" w:space="0" w:color="auto"/>
      </w:divBdr>
    </w:div>
    <w:div w:id="719092948">
      <w:bodyDiv w:val="1"/>
      <w:marLeft w:val="0"/>
      <w:marRight w:val="0"/>
      <w:marTop w:val="0"/>
      <w:marBottom w:val="0"/>
      <w:divBdr>
        <w:top w:val="none" w:sz="0" w:space="0" w:color="auto"/>
        <w:left w:val="none" w:sz="0" w:space="0" w:color="auto"/>
        <w:bottom w:val="none" w:sz="0" w:space="0" w:color="auto"/>
        <w:right w:val="none" w:sz="0" w:space="0" w:color="auto"/>
      </w:divBdr>
    </w:div>
    <w:div w:id="735511355">
      <w:bodyDiv w:val="1"/>
      <w:marLeft w:val="0"/>
      <w:marRight w:val="0"/>
      <w:marTop w:val="0"/>
      <w:marBottom w:val="0"/>
      <w:divBdr>
        <w:top w:val="none" w:sz="0" w:space="0" w:color="auto"/>
        <w:left w:val="none" w:sz="0" w:space="0" w:color="auto"/>
        <w:bottom w:val="none" w:sz="0" w:space="0" w:color="auto"/>
        <w:right w:val="none" w:sz="0" w:space="0" w:color="auto"/>
      </w:divBdr>
    </w:div>
    <w:div w:id="873271035">
      <w:bodyDiv w:val="1"/>
      <w:marLeft w:val="0"/>
      <w:marRight w:val="0"/>
      <w:marTop w:val="0"/>
      <w:marBottom w:val="0"/>
      <w:divBdr>
        <w:top w:val="none" w:sz="0" w:space="0" w:color="auto"/>
        <w:left w:val="none" w:sz="0" w:space="0" w:color="auto"/>
        <w:bottom w:val="none" w:sz="0" w:space="0" w:color="auto"/>
        <w:right w:val="none" w:sz="0" w:space="0" w:color="auto"/>
      </w:divBdr>
    </w:div>
    <w:div w:id="8855286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40032293">
      <w:bodyDiv w:val="1"/>
      <w:marLeft w:val="0"/>
      <w:marRight w:val="0"/>
      <w:marTop w:val="0"/>
      <w:marBottom w:val="0"/>
      <w:divBdr>
        <w:top w:val="none" w:sz="0" w:space="0" w:color="auto"/>
        <w:left w:val="none" w:sz="0" w:space="0" w:color="auto"/>
        <w:bottom w:val="none" w:sz="0" w:space="0" w:color="auto"/>
        <w:right w:val="none" w:sz="0" w:space="0" w:color="auto"/>
      </w:divBdr>
    </w:div>
    <w:div w:id="15622564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87670"/>
    <w:rsid w:val="002A3923"/>
    <w:rsid w:val="00340F60"/>
    <w:rsid w:val="00394049"/>
    <w:rsid w:val="003B0C71"/>
    <w:rsid w:val="004B0E18"/>
    <w:rsid w:val="004B5BBB"/>
    <w:rsid w:val="004F2DF8"/>
    <w:rsid w:val="00517E2A"/>
    <w:rsid w:val="006D3128"/>
    <w:rsid w:val="006F24A1"/>
    <w:rsid w:val="0073501B"/>
    <w:rsid w:val="00875B8A"/>
    <w:rsid w:val="008953BC"/>
    <w:rsid w:val="009A261B"/>
    <w:rsid w:val="00AA2E17"/>
    <w:rsid w:val="00AC15A4"/>
    <w:rsid w:val="00AD086E"/>
    <w:rsid w:val="00B0336C"/>
    <w:rsid w:val="00B44974"/>
    <w:rsid w:val="00C44C33"/>
    <w:rsid w:val="00CD4890"/>
    <w:rsid w:val="00D241E9"/>
    <w:rsid w:val="00D42EC4"/>
    <w:rsid w:val="00D7750D"/>
    <w:rsid w:val="00E15482"/>
    <w:rsid w:val="00F00D2F"/>
    <w:rsid w:val="00F128DF"/>
    <w:rsid w:val="00FC457B"/>
    <w:rsid w:val="00FE0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A73EB1-3DB7-EF4B-B0F8-0DECC869ADC3}">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3023</Words>
  <Characters>17232</Characters>
  <Application>Microsoft Office Word</Application>
  <DocSecurity>0</DocSecurity>
  <Lines>143</Lines>
  <Paragraphs>40</Paragraphs>
  <ScaleCrop>false</ScaleCrop>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2023-03-24T18:18:00Z</dcterms:created>
  <dcterms:modified xsi:type="dcterms:W3CDTF">2023-03-24T18:18:00Z</dcterms:modified>
</cp:coreProperties>
</file>