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72BE9" w:rsidRDefault="00D306D1" w:rsidP="00627C9F">
      <w:pPr>
        <w:jc w:val="both"/>
        <w:rPr>
          <w:rFonts w:asciiTheme="majorHAnsi" w:hAnsiTheme="majorHAnsi" w:cs="Univers"/>
          <w:b/>
          <w:bCs/>
          <w:sz w:val="22"/>
          <w:szCs w:val="22"/>
          <w:lang w:val="es-ES_tradnl"/>
        </w:rPr>
      </w:pPr>
      <w:r w:rsidRPr="00572BE9">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8C1E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72BE9">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572BE9">
        <w:rPr>
          <w:rFonts w:asciiTheme="majorHAnsi" w:hAnsiTheme="majorHAnsi" w:cs="Univers"/>
          <w:b/>
          <w:bCs/>
          <w:sz w:val="22"/>
          <w:szCs w:val="22"/>
          <w:lang w:val="es-ES_tradnl"/>
        </w:rPr>
        <w:t xml:space="preserve"> </w:t>
      </w:r>
    </w:p>
    <w:p w14:paraId="751BC92D" w14:textId="77777777" w:rsidR="00040C3A" w:rsidRPr="00572BE9"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572BE9"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572BE9"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72BE9"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72BE9"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72BE9"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72BE9"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72BE9"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72BE9"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72BE9"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72BE9" w:rsidRDefault="003D3BC2" w:rsidP="00040C3A">
      <w:pPr>
        <w:tabs>
          <w:tab w:val="center" w:pos="5400"/>
        </w:tabs>
        <w:suppressAutoHyphens/>
        <w:jc w:val="center"/>
        <w:rPr>
          <w:rFonts w:asciiTheme="majorHAnsi" w:hAnsiTheme="majorHAnsi"/>
          <w:sz w:val="22"/>
          <w:szCs w:val="22"/>
          <w:lang w:val="es-ES_tradnl"/>
        </w:rPr>
      </w:pPr>
      <w:r w:rsidRPr="00572BE9">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A2C40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F907A4">
                              <w:rPr>
                                <w:rFonts w:asciiTheme="majorHAnsi" w:hAnsiTheme="majorHAnsi" w:cs="Arial"/>
                                <w:b/>
                                <w:bCs/>
                                <w:color w:val="0D0D0D" w:themeColor="text1" w:themeTint="F2"/>
                                <w:sz w:val="36"/>
                                <w:szCs w:val="40"/>
                                <w:lang w:val="es-ES_tradnl"/>
                              </w:rPr>
                              <w:t>o.</w:t>
                            </w:r>
                            <w:r w:rsidR="007B05C4" w:rsidRPr="00F907A4">
                              <w:rPr>
                                <w:rFonts w:asciiTheme="majorHAnsi" w:hAnsiTheme="majorHAnsi" w:cs="Arial"/>
                                <w:b/>
                                <w:bCs/>
                                <w:color w:val="0D0D0D" w:themeColor="text1" w:themeTint="F2"/>
                                <w:sz w:val="36"/>
                                <w:szCs w:val="22"/>
                                <w:lang w:val="es-ES_tradnl"/>
                              </w:rPr>
                              <w:t xml:space="preserve"> </w:t>
                            </w:r>
                            <w:r w:rsidR="001F0A94">
                              <w:rPr>
                                <w:rFonts w:asciiTheme="majorHAnsi" w:hAnsiTheme="majorHAnsi" w:cs="Arial"/>
                                <w:b/>
                                <w:bCs/>
                                <w:color w:val="0D0D0D" w:themeColor="text1" w:themeTint="F2"/>
                                <w:sz w:val="36"/>
                                <w:szCs w:val="22"/>
                                <w:lang w:val="es-ES_tradnl"/>
                              </w:rPr>
                              <w:t>136</w:t>
                            </w:r>
                            <w:r w:rsidR="007B05C4" w:rsidRPr="00F907A4">
                              <w:rPr>
                                <w:rFonts w:asciiTheme="majorHAnsi" w:hAnsiTheme="majorHAnsi" w:cs="Arial"/>
                                <w:b/>
                                <w:bCs/>
                                <w:color w:val="0D0D0D" w:themeColor="text1" w:themeTint="F2"/>
                                <w:sz w:val="36"/>
                                <w:szCs w:val="22"/>
                                <w:lang w:val="es-ES_tradnl"/>
                              </w:rPr>
                              <w:t>/</w:t>
                            </w:r>
                            <w:r w:rsidR="001F0A94">
                              <w:rPr>
                                <w:rFonts w:asciiTheme="majorHAnsi" w:hAnsiTheme="majorHAnsi" w:cs="Arial"/>
                                <w:b/>
                                <w:bCs/>
                                <w:color w:val="0D0D0D" w:themeColor="text1" w:themeTint="F2"/>
                                <w:sz w:val="36"/>
                                <w:szCs w:val="22"/>
                                <w:lang w:val="es-ES_tradnl"/>
                              </w:rPr>
                              <w:t>23</w:t>
                            </w:r>
                          </w:p>
                          <w:p w14:paraId="45F30ECA" w14:textId="311F719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B53CC">
                              <w:rPr>
                                <w:rFonts w:asciiTheme="majorHAnsi" w:hAnsiTheme="majorHAnsi" w:cs="Arial"/>
                                <w:b/>
                                <w:color w:val="0D0D0D" w:themeColor="text1" w:themeTint="F2"/>
                                <w:sz w:val="36"/>
                                <w:szCs w:val="22"/>
                                <w:lang w:val="es-ES_tradnl"/>
                              </w:rPr>
                              <w:t>2041</w:t>
                            </w:r>
                            <w:r w:rsidR="00246D1F" w:rsidRPr="004E2649">
                              <w:rPr>
                                <w:rFonts w:asciiTheme="majorHAnsi" w:hAnsiTheme="majorHAnsi" w:cs="Arial"/>
                                <w:b/>
                                <w:color w:val="0D0D0D" w:themeColor="text1" w:themeTint="F2"/>
                                <w:sz w:val="36"/>
                                <w:szCs w:val="22"/>
                                <w:lang w:val="es-ES_tradnl"/>
                              </w:rPr>
                              <w:t>-</w:t>
                            </w:r>
                            <w:r w:rsidR="009036AD">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67C09B4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B2797">
                              <w:rPr>
                                <w:rFonts w:asciiTheme="majorHAnsi" w:hAnsiTheme="majorHAnsi" w:cs="Arial"/>
                                <w:color w:val="0D0D0D" w:themeColor="text1" w:themeTint="F2"/>
                                <w:szCs w:val="22"/>
                                <w:lang w:val="es-ES_tradnl"/>
                              </w:rPr>
                              <w:t>INA</w:t>
                            </w:r>
                            <w:r w:rsidRPr="0010736F">
                              <w:rPr>
                                <w:rFonts w:asciiTheme="majorHAnsi" w:hAnsiTheme="majorHAnsi" w:cs="Arial"/>
                                <w:color w:val="0D0D0D" w:themeColor="text1" w:themeTint="F2"/>
                                <w:szCs w:val="22"/>
                                <w:lang w:val="es-ES_tradnl"/>
                              </w:rPr>
                              <w:t>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599049D" w:rsidR="005B52B0" w:rsidRPr="0010736F" w:rsidRDefault="00B80721" w:rsidP="00997BC5">
                            <w:pPr>
                              <w:spacing w:line="276" w:lineRule="auto"/>
                              <w:rPr>
                                <w:rFonts w:asciiTheme="majorHAnsi" w:hAnsiTheme="majorHAnsi" w:cs="Arial"/>
                                <w:color w:val="0D0D0D" w:themeColor="text1" w:themeTint="F2"/>
                                <w:szCs w:val="22"/>
                                <w:lang w:val="es-ES_tradnl"/>
                              </w:rPr>
                            </w:pPr>
                            <w:r w:rsidRPr="00B80721">
                              <w:rPr>
                                <w:rFonts w:asciiTheme="majorHAnsi" w:hAnsiTheme="majorHAnsi" w:cs="Arial"/>
                                <w:bCs/>
                                <w:color w:val="0D0D0D" w:themeColor="text1" w:themeTint="F2"/>
                                <w:szCs w:val="22"/>
                                <w:lang w:val="es-ES_tradnl"/>
                              </w:rPr>
                              <w:t>UBENY ESCOBAR POBRE</w:t>
                            </w:r>
                            <w:r w:rsidRPr="00B80721">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Y </w:t>
                            </w:r>
                            <w:r w:rsidR="002030C1" w:rsidRPr="00C41D8A">
                              <w:rPr>
                                <w:rFonts w:asciiTheme="majorHAnsi" w:hAnsiTheme="majorHAnsi" w:cs="Arial"/>
                                <w:color w:val="0D0D0D" w:themeColor="text1" w:themeTint="F2"/>
                                <w:szCs w:val="22"/>
                                <w:lang w:val="es-ES_tradnl"/>
                              </w:rPr>
                              <w:t>FAMILIA</w:t>
                            </w:r>
                          </w:p>
                          <w:bookmarkEnd w:id="0"/>
                          <w:p w14:paraId="0B9F7D22" w14:textId="65E8549A" w:rsidR="005B52B0" w:rsidRPr="00F56ECB" w:rsidRDefault="009036A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A2C40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F907A4">
                        <w:rPr>
                          <w:rFonts w:asciiTheme="majorHAnsi" w:hAnsiTheme="majorHAnsi" w:cs="Arial"/>
                          <w:b/>
                          <w:bCs/>
                          <w:color w:val="0D0D0D" w:themeColor="text1" w:themeTint="F2"/>
                          <w:sz w:val="36"/>
                          <w:szCs w:val="40"/>
                          <w:lang w:val="es-ES_tradnl"/>
                        </w:rPr>
                        <w:t>o.</w:t>
                      </w:r>
                      <w:r w:rsidR="007B05C4" w:rsidRPr="00F907A4">
                        <w:rPr>
                          <w:rFonts w:asciiTheme="majorHAnsi" w:hAnsiTheme="majorHAnsi" w:cs="Arial"/>
                          <w:b/>
                          <w:bCs/>
                          <w:color w:val="0D0D0D" w:themeColor="text1" w:themeTint="F2"/>
                          <w:sz w:val="36"/>
                          <w:szCs w:val="22"/>
                          <w:lang w:val="es-ES_tradnl"/>
                        </w:rPr>
                        <w:t xml:space="preserve"> </w:t>
                      </w:r>
                      <w:r w:rsidR="001F0A94">
                        <w:rPr>
                          <w:rFonts w:asciiTheme="majorHAnsi" w:hAnsiTheme="majorHAnsi" w:cs="Arial"/>
                          <w:b/>
                          <w:bCs/>
                          <w:color w:val="0D0D0D" w:themeColor="text1" w:themeTint="F2"/>
                          <w:sz w:val="36"/>
                          <w:szCs w:val="22"/>
                          <w:lang w:val="es-ES_tradnl"/>
                        </w:rPr>
                        <w:t>136</w:t>
                      </w:r>
                      <w:r w:rsidR="007B05C4" w:rsidRPr="00F907A4">
                        <w:rPr>
                          <w:rFonts w:asciiTheme="majorHAnsi" w:hAnsiTheme="majorHAnsi" w:cs="Arial"/>
                          <w:b/>
                          <w:bCs/>
                          <w:color w:val="0D0D0D" w:themeColor="text1" w:themeTint="F2"/>
                          <w:sz w:val="36"/>
                          <w:szCs w:val="22"/>
                          <w:lang w:val="es-ES_tradnl"/>
                        </w:rPr>
                        <w:t>/</w:t>
                      </w:r>
                      <w:r w:rsidR="001F0A94">
                        <w:rPr>
                          <w:rFonts w:asciiTheme="majorHAnsi" w:hAnsiTheme="majorHAnsi" w:cs="Arial"/>
                          <w:b/>
                          <w:bCs/>
                          <w:color w:val="0D0D0D" w:themeColor="text1" w:themeTint="F2"/>
                          <w:sz w:val="36"/>
                          <w:szCs w:val="22"/>
                          <w:lang w:val="es-ES_tradnl"/>
                        </w:rPr>
                        <w:t>23</w:t>
                      </w:r>
                    </w:p>
                    <w:p w14:paraId="45F30ECA" w14:textId="311F719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B53CC">
                        <w:rPr>
                          <w:rFonts w:asciiTheme="majorHAnsi" w:hAnsiTheme="majorHAnsi" w:cs="Arial"/>
                          <w:b/>
                          <w:color w:val="0D0D0D" w:themeColor="text1" w:themeTint="F2"/>
                          <w:sz w:val="36"/>
                          <w:szCs w:val="22"/>
                          <w:lang w:val="es-ES_tradnl"/>
                        </w:rPr>
                        <w:t>2041</w:t>
                      </w:r>
                      <w:r w:rsidR="00246D1F" w:rsidRPr="004E2649">
                        <w:rPr>
                          <w:rFonts w:asciiTheme="majorHAnsi" w:hAnsiTheme="majorHAnsi" w:cs="Arial"/>
                          <w:b/>
                          <w:color w:val="0D0D0D" w:themeColor="text1" w:themeTint="F2"/>
                          <w:sz w:val="36"/>
                          <w:szCs w:val="22"/>
                          <w:lang w:val="es-ES_tradnl"/>
                        </w:rPr>
                        <w:t>-</w:t>
                      </w:r>
                      <w:r w:rsidR="009036AD">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67C09B4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B2797">
                        <w:rPr>
                          <w:rFonts w:asciiTheme="majorHAnsi" w:hAnsiTheme="majorHAnsi" w:cs="Arial"/>
                          <w:color w:val="0D0D0D" w:themeColor="text1" w:themeTint="F2"/>
                          <w:szCs w:val="22"/>
                          <w:lang w:val="es-ES_tradnl"/>
                        </w:rPr>
                        <w:t>INA</w:t>
                      </w:r>
                      <w:r w:rsidRPr="0010736F">
                        <w:rPr>
                          <w:rFonts w:asciiTheme="majorHAnsi" w:hAnsiTheme="majorHAnsi" w:cs="Arial"/>
                          <w:color w:val="0D0D0D" w:themeColor="text1" w:themeTint="F2"/>
                          <w:szCs w:val="22"/>
                          <w:lang w:val="es-ES_tradnl"/>
                        </w:rPr>
                        <w:t>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599049D" w:rsidR="005B52B0" w:rsidRPr="0010736F" w:rsidRDefault="00B80721" w:rsidP="00997BC5">
                      <w:pPr>
                        <w:spacing w:line="276" w:lineRule="auto"/>
                        <w:rPr>
                          <w:rFonts w:asciiTheme="majorHAnsi" w:hAnsiTheme="majorHAnsi" w:cs="Arial"/>
                          <w:color w:val="0D0D0D" w:themeColor="text1" w:themeTint="F2"/>
                          <w:szCs w:val="22"/>
                          <w:lang w:val="es-ES_tradnl"/>
                        </w:rPr>
                      </w:pPr>
                      <w:r w:rsidRPr="00B80721">
                        <w:rPr>
                          <w:rFonts w:asciiTheme="majorHAnsi" w:hAnsiTheme="majorHAnsi" w:cs="Arial"/>
                          <w:bCs/>
                          <w:color w:val="0D0D0D" w:themeColor="text1" w:themeTint="F2"/>
                          <w:szCs w:val="22"/>
                          <w:lang w:val="es-ES_tradnl"/>
                        </w:rPr>
                        <w:t>UBENY ESCOBAR POBRE</w:t>
                      </w:r>
                      <w:r w:rsidRPr="00B80721">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Y </w:t>
                      </w:r>
                      <w:r w:rsidR="002030C1" w:rsidRPr="00C41D8A">
                        <w:rPr>
                          <w:rFonts w:asciiTheme="majorHAnsi" w:hAnsiTheme="majorHAnsi" w:cs="Arial"/>
                          <w:color w:val="0D0D0D" w:themeColor="text1" w:themeTint="F2"/>
                          <w:szCs w:val="22"/>
                          <w:lang w:val="es-ES_tradnl"/>
                        </w:rPr>
                        <w:t>FAMILIA</w:t>
                      </w:r>
                    </w:p>
                    <w:bookmarkEnd w:id="1"/>
                    <w:p w14:paraId="0B9F7D22" w14:textId="65E8549A" w:rsidR="005B52B0" w:rsidRPr="00F56ECB" w:rsidRDefault="009036A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72BE9">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15144FB" w:rsidR="00627C9F" w:rsidRPr="00BE36D8" w:rsidRDefault="00834D49" w:rsidP="007A5817">
                            <w:pPr>
                              <w:spacing w:line="276" w:lineRule="auto"/>
                              <w:jc w:val="right"/>
                              <w:rPr>
                                <w:rFonts w:asciiTheme="minorHAnsi" w:hAnsiTheme="minorHAnsi"/>
                                <w:color w:val="FFFFFF" w:themeColor="background1"/>
                                <w:sz w:val="22"/>
                                <w:lang w:val="pt-BR"/>
                              </w:rPr>
                            </w:pPr>
                            <w:r w:rsidRPr="00BE36D8">
                              <w:rPr>
                                <w:rFonts w:asciiTheme="minorHAnsi" w:hAnsiTheme="minorHAnsi"/>
                                <w:color w:val="FFFFFF" w:themeColor="background1"/>
                                <w:sz w:val="22"/>
                                <w:lang w:val="pt-BR"/>
                              </w:rPr>
                              <w:t>OEA/Ser.L/V/I</w:t>
                            </w:r>
                            <w:r w:rsidR="00F73A3C" w:rsidRPr="00BE36D8">
                              <w:rPr>
                                <w:rFonts w:asciiTheme="minorHAnsi" w:hAnsiTheme="minorHAnsi"/>
                                <w:color w:val="FFFFFF" w:themeColor="background1"/>
                                <w:sz w:val="22"/>
                                <w:lang w:val="pt-BR"/>
                              </w:rPr>
                              <w:t>I</w:t>
                            </w:r>
                          </w:p>
                          <w:p w14:paraId="71D2D5D2" w14:textId="17D88B63" w:rsidR="00627C9F" w:rsidRPr="00F907A4" w:rsidRDefault="00627C9F" w:rsidP="007A5817">
                            <w:pPr>
                              <w:spacing w:line="276" w:lineRule="auto"/>
                              <w:jc w:val="right"/>
                              <w:rPr>
                                <w:rFonts w:asciiTheme="minorHAnsi" w:hAnsiTheme="minorHAnsi"/>
                                <w:color w:val="FFFFFF" w:themeColor="background1"/>
                                <w:sz w:val="22"/>
                                <w:lang w:val="pt-BR"/>
                              </w:rPr>
                            </w:pPr>
                            <w:r w:rsidRPr="00F907A4">
                              <w:rPr>
                                <w:rFonts w:asciiTheme="minorHAnsi" w:hAnsiTheme="minorHAnsi"/>
                                <w:color w:val="FFFFFF" w:themeColor="background1"/>
                                <w:sz w:val="22"/>
                                <w:lang w:val="pt-BR"/>
                              </w:rPr>
                              <w:t xml:space="preserve">Doc. </w:t>
                            </w:r>
                            <w:r w:rsidR="00F73A3C">
                              <w:rPr>
                                <w:rFonts w:asciiTheme="minorHAnsi" w:hAnsiTheme="minorHAnsi"/>
                                <w:color w:val="FFFFFF" w:themeColor="background1"/>
                                <w:sz w:val="22"/>
                                <w:lang w:val="pt-BR"/>
                              </w:rPr>
                              <w:t>146</w:t>
                            </w:r>
                          </w:p>
                          <w:p w14:paraId="4061DBBD" w14:textId="7942C9AA" w:rsidR="00627C9F" w:rsidRPr="00BE36D8" w:rsidRDefault="00F73A3C" w:rsidP="007A5817">
                            <w:pPr>
                              <w:spacing w:line="276" w:lineRule="auto"/>
                              <w:jc w:val="right"/>
                              <w:rPr>
                                <w:rFonts w:asciiTheme="minorHAnsi" w:hAnsiTheme="minorHAnsi"/>
                                <w:color w:val="FFFFFF" w:themeColor="background1"/>
                                <w:sz w:val="22"/>
                                <w:lang w:val="pt-BR"/>
                              </w:rPr>
                            </w:pPr>
                            <w:r w:rsidRPr="00BE36D8">
                              <w:rPr>
                                <w:rFonts w:asciiTheme="minorHAnsi" w:hAnsiTheme="minorHAnsi"/>
                                <w:color w:val="FFFFFF" w:themeColor="background1"/>
                                <w:sz w:val="22"/>
                                <w:lang w:val="pt-BR"/>
                              </w:rPr>
                              <w:t>2 agosto</w:t>
                            </w:r>
                            <w:r w:rsidR="00627C9F" w:rsidRPr="00BE36D8">
                              <w:rPr>
                                <w:rFonts w:asciiTheme="minorHAnsi" w:hAnsiTheme="minorHAnsi"/>
                                <w:color w:val="FFFFFF" w:themeColor="background1"/>
                                <w:sz w:val="22"/>
                                <w:lang w:val="pt-BR"/>
                              </w:rPr>
                              <w:t xml:space="preserve"> 20</w:t>
                            </w:r>
                            <w:r w:rsidR="00C23BA4" w:rsidRPr="00BE36D8">
                              <w:rPr>
                                <w:rFonts w:asciiTheme="minorHAnsi" w:hAnsiTheme="minorHAnsi"/>
                                <w:color w:val="FFFFFF" w:themeColor="background1"/>
                                <w:sz w:val="22"/>
                                <w:lang w:val="pt-BR"/>
                              </w:rPr>
                              <w:t>2</w:t>
                            </w:r>
                            <w:r w:rsidR="00EB2797" w:rsidRPr="00BE36D8">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F907A4">
                              <w:rPr>
                                <w:rFonts w:asciiTheme="minorHAnsi" w:hAnsiTheme="minorHAnsi"/>
                                <w:color w:val="FFFFFF" w:themeColor="background1"/>
                                <w:sz w:val="22"/>
                                <w:lang w:val="es-PA"/>
                              </w:rPr>
                              <w:t xml:space="preserve">Original: </w:t>
                            </w:r>
                            <w:r w:rsidR="008B12F5" w:rsidRPr="00F907A4">
                              <w:rPr>
                                <w:rFonts w:asciiTheme="minorHAnsi" w:hAnsiTheme="minorHAnsi"/>
                                <w:color w:val="FFFFFF" w:themeColor="background1"/>
                                <w:sz w:val="22"/>
                                <w:lang w:val="es-PA"/>
                              </w:rPr>
                              <w:t>e</w:t>
                            </w:r>
                            <w:r w:rsidR="00627C9F" w:rsidRPr="00F907A4">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15144FB" w:rsidR="00627C9F" w:rsidRPr="00BE36D8" w:rsidRDefault="00834D49" w:rsidP="007A5817">
                      <w:pPr>
                        <w:spacing w:line="276" w:lineRule="auto"/>
                        <w:jc w:val="right"/>
                        <w:rPr>
                          <w:rFonts w:asciiTheme="minorHAnsi" w:hAnsiTheme="minorHAnsi"/>
                          <w:color w:val="FFFFFF" w:themeColor="background1"/>
                          <w:sz w:val="22"/>
                          <w:lang w:val="pt-BR"/>
                        </w:rPr>
                      </w:pPr>
                      <w:r w:rsidRPr="00BE36D8">
                        <w:rPr>
                          <w:rFonts w:asciiTheme="minorHAnsi" w:hAnsiTheme="minorHAnsi"/>
                          <w:color w:val="FFFFFF" w:themeColor="background1"/>
                          <w:sz w:val="22"/>
                          <w:lang w:val="pt-BR"/>
                        </w:rPr>
                        <w:t>OEA/Ser.L/V/I</w:t>
                      </w:r>
                      <w:r w:rsidR="00F73A3C" w:rsidRPr="00BE36D8">
                        <w:rPr>
                          <w:rFonts w:asciiTheme="minorHAnsi" w:hAnsiTheme="minorHAnsi"/>
                          <w:color w:val="FFFFFF" w:themeColor="background1"/>
                          <w:sz w:val="22"/>
                          <w:lang w:val="pt-BR"/>
                        </w:rPr>
                        <w:t>I</w:t>
                      </w:r>
                    </w:p>
                    <w:p w14:paraId="71D2D5D2" w14:textId="17D88B63" w:rsidR="00627C9F" w:rsidRPr="00F907A4" w:rsidRDefault="00627C9F" w:rsidP="007A5817">
                      <w:pPr>
                        <w:spacing w:line="276" w:lineRule="auto"/>
                        <w:jc w:val="right"/>
                        <w:rPr>
                          <w:rFonts w:asciiTheme="minorHAnsi" w:hAnsiTheme="minorHAnsi"/>
                          <w:color w:val="FFFFFF" w:themeColor="background1"/>
                          <w:sz w:val="22"/>
                          <w:lang w:val="pt-BR"/>
                        </w:rPr>
                      </w:pPr>
                      <w:r w:rsidRPr="00F907A4">
                        <w:rPr>
                          <w:rFonts w:asciiTheme="minorHAnsi" w:hAnsiTheme="minorHAnsi"/>
                          <w:color w:val="FFFFFF" w:themeColor="background1"/>
                          <w:sz w:val="22"/>
                          <w:lang w:val="pt-BR"/>
                        </w:rPr>
                        <w:t xml:space="preserve">Doc. </w:t>
                      </w:r>
                      <w:r w:rsidR="00F73A3C">
                        <w:rPr>
                          <w:rFonts w:asciiTheme="minorHAnsi" w:hAnsiTheme="minorHAnsi"/>
                          <w:color w:val="FFFFFF" w:themeColor="background1"/>
                          <w:sz w:val="22"/>
                          <w:lang w:val="pt-BR"/>
                        </w:rPr>
                        <w:t>146</w:t>
                      </w:r>
                    </w:p>
                    <w:p w14:paraId="4061DBBD" w14:textId="7942C9AA" w:rsidR="00627C9F" w:rsidRPr="00BE36D8" w:rsidRDefault="00F73A3C" w:rsidP="007A5817">
                      <w:pPr>
                        <w:spacing w:line="276" w:lineRule="auto"/>
                        <w:jc w:val="right"/>
                        <w:rPr>
                          <w:rFonts w:asciiTheme="minorHAnsi" w:hAnsiTheme="minorHAnsi"/>
                          <w:color w:val="FFFFFF" w:themeColor="background1"/>
                          <w:sz w:val="22"/>
                          <w:lang w:val="pt-BR"/>
                        </w:rPr>
                      </w:pPr>
                      <w:r w:rsidRPr="00BE36D8">
                        <w:rPr>
                          <w:rFonts w:asciiTheme="minorHAnsi" w:hAnsiTheme="minorHAnsi"/>
                          <w:color w:val="FFFFFF" w:themeColor="background1"/>
                          <w:sz w:val="22"/>
                          <w:lang w:val="pt-BR"/>
                        </w:rPr>
                        <w:t>2 agosto</w:t>
                      </w:r>
                      <w:r w:rsidR="00627C9F" w:rsidRPr="00BE36D8">
                        <w:rPr>
                          <w:rFonts w:asciiTheme="minorHAnsi" w:hAnsiTheme="minorHAnsi"/>
                          <w:color w:val="FFFFFF" w:themeColor="background1"/>
                          <w:sz w:val="22"/>
                          <w:lang w:val="pt-BR"/>
                        </w:rPr>
                        <w:t xml:space="preserve"> 20</w:t>
                      </w:r>
                      <w:r w:rsidR="00C23BA4" w:rsidRPr="00BE36D8">
                        <w:rPr>
                          <w:rFonts w:asciiTheme="minorHAnsi" w:hAnsiTheme="minorHAnsi"/>
                          <w:color w:val="FFFFFF" w:themeColor="background1"/>
                          <w:sz w:val="22"/>
                          <w:lang w:val="pt-BR"/>
                        </w:rPr>
                        <w:t>2</w:t>
                      </w:r>
                      <w:r w:rsidR="00EB2797" w:rsidRPr="00BE36D8">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F907A4">
                        <w:rPr>
                          <w:rFonts w:asciiTheme="minorHAnsi" w:hAnsiTheme="minorHAnsi"/>
                          <w:color w:val="FFFFFF" w:themeColor="background1"/>
                          <w:sz w:val="22"/>
                          <w:lang w:val="es-PA"/>
                        </w:rPr>
                        <w:t xml:space="preserve">Original: </w:t>
                      </w:r>
                      <w:r w:rsidR="008B12F5" w:rsidRPr="00F907A4">
                        <w:rPr>
                          <w:rFonts w:asciiTheme="minorHAnsi" w:hAnsiTheme="minorHAnsi"/>
                          <w:color w:val="FFFFFF" w:themeColor="background1"/>
                          <w:sz w:val="22"/>
                          <w:lang w:val="es-PA"/>
                        </w:rPr>
                        <w:t>e</w:t>
                      </w:r>
                      <w:r w:rsidR="00627C9F" w:rsidRPr="00F907A4">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05E23869"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72BE9"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72BE9"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72BE9"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72BE9"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72BE9"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72BE9"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72BE9" w:rsidRDefault="0090270B" w:rsidP="00040C3A">
      <w:pPr>
        <w:tabs>
          <w:tab w:val="center" w:pos="5400"/>
        </w:tabs>
        <w:suppressAutoHyphens/>
        <w:jc w:val="center"/>
        <w:rPr>
          <w:rFonts w:asciiTheme="majorHAnsi" w:hAnsiTheme="majorHAnsi"/>
          <w:sz w:val="18"/>
          <w:szCs w:val="22"/>
          <w:lang w:val="es-ES_tradnl"/>
        </w:rPr>
      </w:pPr>
      <w:r w:rsidRPr="00572BE9">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DD0659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w:t>
                            </w:r>
                            <w:r w:rsidRPr="00683E55">
                              <w:rPr>
                                <w:rFonts w:asciiTheme="majorHAnsi" w:hAnsiTheme="majorHAnsi"/>
                                <w:color w:val="0D0D0D" w:themeColor="text1" w:themeTint="F2"/>
                                <w:sz w:val="18"/>
                                <w:szCs w:val="22"/>
                                <w:lang w:val="es-ES"/>
                              </w:rPr>
                              <w:t xml:space="preserve">ión el </w:t>
                            </w:r>
                            <w:r w:rsidR="00206537">
                              <w:rPr>
                                <w:rFonts w:asciiTheme="majorHAnsi" w:hAnsiTheme="majorHAnsi"/>
                                <w:color w:val="0D0D0D" w:themeColor="text1" w:themeTint="F2"/>
                                <w:sz w:val="18"/>
                                <w:szCs w:val="22"/>
                                <w:lang w:val="es-ES"/>
                              </w:rPr>
                              <w:t>2</w:t>
                            </w:r>
                            <w:r w:rsidRPr="00683E55">
                              <w:rPr>
                                <w:rFonts w:asciiTheme="majorHAnsi" w:hAnsiTheme="majorHAnsi"/>
                                <w:color w:val="0D0D0D" w:themeColor="text1" w:themeTint="F2"/>
                                <w:sz w:val="18"/>
                                <w:szCs w:val="22"/>
                                <w:lang w:val="es-ES"/>
                              </w:rPr>
                              <w:t xml:space="preserve"> de </w:t>
                            </w:r>
                            <w:r w:rsidR="00206537">
                              <w:rPr>
                                <w:rFonts w:asciiTheme="majorHAnsi" w:hAnsiTheme="majorHAnsi"/>
                                <w:color w:val="0D0D0D" w:themeColor="text1" w:themeTint="F2"/>
                                <w:sz w:val="18"/>
                                <w:szCs w:val="22"/>
                                <w:lang w:val="es-ES"/>
                              </w:rPr>
                              <w:t>agosto</w:t>
                            </w:r>
                            <w:r w:rsidR="00F81BB8" w:rsidRPr="00683E55">
                              <w:rPr>
                                <w:rFonts w:asciiTheme="majorHAnsi" w:hAnsiTheme="majorHAnsi"/>
                                <w:color w:val="0D0D0D" w:themeColor="text1" w:themeTint="F2"/>
                                <w:sz w:val="18"/>
                                <w:szCs w:val="22"/>
                                <w:lang w:val="es-ES"/>
                              </w:rPr>
                              <w:t xml:space="preserve"> </w:t>
                            </w:r>
                            <w:r w:rsidRPr="00683E55">
                              <w:rPr>
                                <w:rFonts w:asciiTheme="majorHAnsi" w:hAnsiTheme="majorHAnsi"/>
                                <w:color w:val="0D0D0D" w:themeColor="text1" w:themeTint="F2"/>
                                <w:sz w:val="18"/>
                                <w:szCs w:val="22"/>
                                <w:lang w:val="es-ES"/>
                              </w:rPr>
                              <w:t>de 20</w:t>
                            </w:r>
                            <w:r w:rsidR="00C23BA4" w:rsidRPr="00683E55">
                              <w:rPr>
                                <w:rFonts w:asciiTheme="majorHAnsi" w:hAnsiTheme="majorHAnsi"/>
                                <w:color w:val="0D0D0D" w:themeColor="text1" w:themeTint="F2"/>
                                <w:sz w:val="18"/>
                                <w:szCs w:val="22"/>
                                <w:lang w:val="es-ES"/>
                              </w:rPr>
                              <w:t>2</w:t>
                            </w:r>
                            <w:r w:rsidR="00EB2797" w:rsidRPr="00683E55">
                              <w:rPr>
                                <w:rFonts w:asciiTheme="majorHAnsi" w:hAnsiTheme="majorHAnsi"/>
                                <w:color w:val="0D0D0D" w:themeColor="text1" w:themeTint="F2"/>
                                <w:sz w:val="18"/>
                                <w:szCs w:val="22"/>
                                <w:lang w:val="es-ES"/>
                              </w:rPr>
                              <w:t>3</w:t>
                            </w:r>
                            <w:r w:rsidR="0020653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DD0659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w:t>
                      </w:r>
                      <w:r w:rsidRPr="00683E55">
                        <w:rPr>
                          <w:rFonts w:asciiTheme="majorHAnsi" w:hAnsiTheme="majorHAnsi"/>
                          <w:color w:val="0D0D0D" w:themeColor="text1" w:themeTint="F2"/>
                          <w:sz w:val="18"/>
                          <w:szCs w:val="22"/>
                          <w:lang w:val="es-ES"/>
                        </w:rPr>
                        <w:t xml:space="preserve">ión el </w:t>
                      </w:r>
                      <w:r w:rsidR="00206537">
                        <w:rPr>
                          <w:rFonts w:asciiTheme="majorHAnsi" w:hAnsiTheme="majorHAnsi"/>
                          <w:color w:val="0D0D0D" w:themeColor="text1" w:themeTint="F2"/>
                          <w:sz w:val="18"/>
                          <w:szCs w:val="22"/>
                          <w:lang w:val="es-ES"/>
                        </w:rPr>
                        <w:t>2</w:t>
                      </w:r>
                      <w:r w:rsidRPr="00683E55">
                        <w:rPr>
                          <w:rFonts w:asciiTheme="majorHAnsi" w:hAnsiTheme="majorHAnsi"/>
                          <w:color w:val="0D0D0D" w:themeColor="text1" w:themeTint="F2"/>
                          <w:sz w:val="18"/>
                          <w:szCs w:val="22"/>
                          <w:lang w:val="es-ES"/>
                        </w:rPr>
                        <w:t xml:space="preserve"> de </w:t>
                      </w:r>
                      <w:r w:rsidR="00206537">
                        <w:rPr>
                          <w:rFonts w:asciiTheme="majorHAnsi" w:hAnsiTheme="majorHAnsi"/>
                          <w:color w:val="0D0D0D" w:themeColor="text1" w:themeTint="F2"/>
                          <w:sz w:val="18"/>
                          <w:szCs w:val="22"/>
                          <w:lang w:val="es-ES"/>
                        </w:rPr>
                        <w:t>agosto</w:t>
                      </w:r>
                      <w:r w:rsidR="00F81BB8" w:rsidRPr="00683E55">
                        <w:rPr>
                          <w:rFonts w:asciiTheme="majorHAnsi" w:hAnsiTheme="majorHAnsi"/>
                          <w:color w:val="0D0D0D" w:themeColor="text1" w:themeTint="F2"/>
                          <w:sz w:val="18"/>
                          <w:szCs w:val="22"/>
                          <w:lang w:val="es-ES"/>
                        </w:rPr>
                        <w:t xml:space="preserve"> </w:t>
                      </w:r>
                      <w:r w:rsidRPr="00683E55">
                        <w:rPr>
                          <w:rFonts w:asciiTheme="majorHAnsi" w:hAnsiTheme="majorHAnsi"/>
                          <w:color w:val="0D0D0D" w:themeColor="text1" w:themeTint="F2"/>
                          <w:sz w:val="18"/>
                          <w:szCs w:val="22"/>
                          <w:lang w:val="es-ES"/>
                        </w:rPr>
                        <w:t>de 20</w:t>
                      </w:r>
                      <w:r w:rsidR="00C23BA4" w:rsidRPr="00683E55">
                        <w:rPr>
                          <w:rFonts w:asciiTheme="majorHAnsi" w:hAnsiTheme="majorHAnsi"/>
                          <w:color w:val="0D0D0D" w:themeColor="text1" w:themeTint="F2"/>
                          <w:sz w:val="18"/>
                          <w:szCs w:val="22"/>
                          <w:lang w:val="es-ES"/>
                        </w:rPr>
                        <w:t>2</w:t>
                      </w:r>
                      <w:r w:rsidR="00EB2797" w:rsidRPr="00683E55">
                        <w:rPr>
                          <w:rFonts w:asciiTheme="majorHAnsi" w:hAnsiTheme="majorHAnsi"/>
                          <w:color w:val="0D0D0D" w:themeColor="text1" w:themeTint="F2"/>
                          <w:sz w:val="18"/>
                          <w:szCs w:val="22"/>
                          <w:lang w:val="es-ES"/>
                        </w:rPr>
                        <w:t>3</w:t>
                      </w:r>
                      <w:r w:rsidR="0020653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72BE9" w:rsidRDefault="0090270B" w:rsidP="00040C3A">
      <w:pPr>
        <w:tabs>
          <w:tab w:val="center" w:pos="5400"/>
        </w:tabs>
        <w:suppressAutoHyphens/>
        <w:jc w:val="center"/>
        <w:rPr>
          <w:rFonts w:asciiTheme="majorHAnsi" w:hAnsiTheme="majorHAnsi"/>
          <w:sz w:val="18"/>
          <w:szCs w:val="22"/>
          <w:lang w:val="es-ES_tradnl"/>
        </w:rPr>
      </w:pPr>
      <w:r w:rsidRPr="00572BE9">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6A0B4E1" w:rsidR="00113F73" w:rsidRPr="00B0523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w:t>
                            </w:r>
                            <w:r w:rsidRPr="00F907A4">
                              <w:rPr>
                                <w:rFonts w:asciiTheme="majorHAnsi" w:hAnsiTheme="majorHAnsi"/>
                                <w:color w:val="595959" w:themeColor="text1" w:themeTint="A6"/>
                                <w:sz w:val="18"/>
                                <w:szCs w:val="18"/>
                                <w:lang w:val="pt-BR"/>
                              </w:rPr>
                              <w:t xml:space="preserve">rme No. </w:t>
                            </w:r>
                            <w:r w:rsidR="00206537" w:rsidRPr="00206537">
                              <w:rPr>
                                <w:rFonts w:asciiTheme="majorHAnsi" w:hAnsiTheme="majorHAnsi"/>
                                <w:color w:val="595959" w:themeColor="text1" w:themeTint="A6"/>
                                <w:sz w:val="18"/>
                                <w:szCs w:val="18"/>
                                <w:lang w:val="pt-BR"/>
                              </w:rPr>
                              <w:t>136</w:t>
                            </w:r>
                            <w:r w:rsidR="007B05C4" w:rsidRPr="00206537">
                              <w:rPr>
                                <w:rFonts w:asciiTheme="majorHAnsi" w:hAnsiTheme="majorHAnsi"/>
                                <w:color w:val="595959" w:themeColor="text1" w:themeTint="A6"/>
                                <w:sz w:val="18"/>
                                <w:szCs w:val="18"/>
                                <w:lang w:val="pt-BR"/>
                              </w:rPr>
                              <w:t>/</w:t>
                            </w:r>
                            <w:r w:rsidR="00206537" w:rsidRPr="00206537">
                              <w:rPr>
                                <w:rFonts w:asciiTheme="majorHAnsi" w:hAnsiTheme="majorHAnsi"/>
                                <w:color w:val="595959" w:themeColor="text1" w:themeTint="A6"/>
                                <w:sz w:val="18"/>
                                <w:szCs w:val="18"/>
                                <w:lang w:val="pt-BR"/>
                              </w:rPr>
                              <w:t>23</w:t>
                            </w:r>
                            <w:r w:rsidRPr="00206537">
                              <w:rPr>
                                <w:rFonts w:asciiTheme="majorHAnsi" w:hAnsiTheme="majorHAnsi"/>
                                <w:color w:val="595959" w:themeColor="text1" w:themeTint="A6"/>
                                <w:sz w:val="18"/>
                                <w:szCs w:val="18"/>
                                <w:lang w:val="pt-BR"/>
                              </w:rPr>
                              <w:t xml:space="preserve">. </w:t>
                            </w:r>
                            <w:r w:rsidR="000433C9" w:rsidRPr="00F907A4">
                              <w:rPr>
                                <w:rFonts w:asciiTheme="majorHAnsi" w:hAnsiTheme="majorHAnsi"/>
                                <w:color w:val="595959" w:themeColor="text1" w:themeTint="A6"/>
                                <w:sz w:val="18"/>
                                <w:szCs w:val="18"/>
                                <w:lang w:val="es-ES_tradnl"/>
                              </w:rPr>
                              <w:t>Petici</w:t>
                            </w:r>
                            <w:r w:rsidR="000433C9" w:rsidRPr="00F907A4">
                              <w:rPr>
                                <w:rFonts w:asciiTheme="majorHAnsi" w:hAnsiTheme="majorHAnsi"/>
                                <w:color w:val="595959" w:themeColor="text1" w:themeTint="A6"/>
                                <w:sz w:val="18"/>
                                <w:szCs w:val="18"/>
                                <w:lang w:val="es-ES"/>
                              </w:rPr>
                              <w:t xml:space="preserve">ón </w:t>
                            </w:r>
                            <w:r w:rsidR="009B53CC" w:rsidRPr="00F907A4">
                              <w:rPr>
                                <w:rFonts w:asciiTheme="majorHAnsi" w:hAnsiTheme="majorHAnsi"/>
                                <w:color w:val="595959" w:themeColor="text1" w:themeTint="A6"/>
                                <w:sz w:val="18"/>
                                <w:szCs w:val="18"/>
                                <w:lang w:val="es-ES"/>
                              </w:rPr>
                              <w:t>2041</w:t>
                            </w:r>
                            <w:r w:rsidR="009935AC" w:rsidRPr="00F907A4">
                              <w:rPr>
                                <w:rFonts w:asciiTheme="majorHAnsi" w:hAnsiTheme="majorHAnsi"/>
                                <w:color w:val="595959" w:themeColor="text1" w:themeTint="A6"/>
                                <w:sz w:val="18"/>
                                <w:szCs w:val="18"/>
                                <w:lang w:val="es-ES"/>
                              </w:rPr>
                              <w:t>-13</w:t>
                            </w:r>
                            <w:r w:rsidR="000433C9" w:rsidRPr="00F907A4">
                              <w:rPr>
                                <w:rFonts w:asciiTheme="majorHAnsi" w:hAnsiTheme="majorHAnsi"/>
                                <w:color w:val="595959" w:themeColor="text1" w:themeTint="A6"/>
                                <w:sz w:val="18"/>
                                <w:szCs w:val="18"/>
                                <w:lang w:val="es-ES"/>
                              </w:rPr>
                              <w:t xml:space="preserve">. </w:t>
                            </w:r>
                            <w:r w:rsidR="00EB2797" w:rsidRPr="00F907A4">
                              <w:rPr>
                                <w:rFonts w:asciiTheme="majorHAnsi" w:hAnsiTheme="majorHAnsi"/>
                                <w:color w:val="595959" w:themeColor="text1" w:themeTint="A6"/>
                                <w:sz w:val="18"/>
                                <w:szCs w:val="18"/>
                                <w:lang w:val="es-ES_tradnl"/>
                              </w:rPr>
                              <w:t>Ina</w:t>
                            </w:r>
                            <w:r w:rsidRPr="00F907A4">
                              <w:rPr>
                                <w:rFonts w:asciiTheme="majorHAnsi" w:hAnsiTheme="majorHAnsi"/>
                                <w:color w:val="595959" w:themeColor="text1" w:themeTint="A6"/>
                                <w:sz w:val="18"/>
                                <w:szCs w:val="18"/>
                                <w:lang w:val="es-ES_tradnl"/>
                              </w:rPr>
                              <w:t>dmisibilidad.</w:t>
                            </w:r>
                            <w:r w:rsidR="009935AC" w:rsidRPr="00F907A4">
                              <w:rPr>
                                <w:rFonts w:asciiTheme="majorHAnsi" w:hAnsiTheme="majorHAnsi"/>
                                <w:color w:val="595959" w:themeColor="text1" w:themeTint="A6"/>
                                <w:sz w:val="18"/>
                                <w:szCs w:val="18"/>
                                <w:lang w:val="es-ES_tradnl"/>
                              </w:rPr>
                              <w:t xml:space="preserve"> </w:t>
                            </w:r>
                            <w:r w:rsidR="00B0523A" w:rsidRPr="00F907A4">
                              <w:rPr>
                                <w:rFonts w:asciiTheme="majorHAnsi" w:hAnsiTheme="majorHAnsi"/>
                                <w:bCs/>
                                <w:color w:val="595959" w:themeColor="text1" w:themeTint="A6"/>
                                <w:sz w:val="18"/>
                                <w:szCs w:val="18"/>
                                <w:lang w:val="es-ES_tradnl"/>
                              </w:rPr>
                              <w:t>Ubeny Escobar Pobre</w:t>
                            </w:r>
                            <w:r w:rsidR="00B0523A" w:rsidRPr="00F907A4">
                              <w:rPr>
                                <w:rFonts w:asciiTheme="majorHAnsi" w:hAnsiTheme="majorHAnsi"/>
                                <w:color w:val="595959" w:themeColor="text1" w:themeTint="A6"/>
                                <w:sz w:val="18"/>
                                <w:szCs w:val="18"/>
                                <w:lang w:val="es-ES_tradnl"/>
                              </w:rPr>
                              <w:t xml:space="preserve"> y Familia</w:t>
                            </w:r>
                            <w:r w:rsidR="009935AC" w:rsidRPr="00F907A4">
                              <w:rPr>
                                <w:rFonts w:asciiTheme="majorHAnsi" w:hAnsiTheme="majorHAnsi"/>
                                <w:color w:val="595959" w:themeColor="text1" w:themeTint="A6"/>
                                <w:sz w:val="18"/>
                                <w:szCs w:val="18"/>
                                <w:lang w:val="es-ES_tradnl"/>
                              </w:rPr>
                              <w:t>. Colombia</w:t>
                            </w:r>
                            <w:r w:rsidRPr="00F907A4">
                              <w:rPr>
                                <w:rFonts w:asciiTheme="majorHAnsi" w:hAnsiTheme="majorHAnsi"/>
                                <w:color w:val="595959" w:themeColor="text1" w:themeTint="A6"/>
                                <w:sz w:val="18"/>
                                <w:szCs w:val="18"/>
                                <w:lang w:val="es-ES_tradnl"/>
                              </w:rPr>
                              <w:t xml:space="preserve">. </w:t>
                            </w:r>
                            <w:r w:rsidR="00206537">
                              <w:rPr>
                                <w:rFonts w:asciiTheme="majorHAnsi" w:hAnsiTheme="majorHAnsi"/>
                                <w:color w:val="595959" w:themeColor="text1" w:themeTint="A6"/>
                                <w:sz w:val="18"/>
                                <w:szCs w:val="18"/>
                                <w:lang w:val="es-ES"/>
                              </w:rPr>
                              <w:t>2 de agosto de 2023</w:t>
                            </w:r>
                            <w:r w:rsidRPr="00F907A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6A0B4E1" w:rsidR="00113F73" w:rsidRPr="00B0523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w:t>
                      </w:r>
                      <w:r w:rsidRPr="00F907A4">
                        <w:rPr>
                          <w:rFonts w:asciiTheme="majorHAnsi" w:hAnsiTheme="majorHAnsi"/>
                          <w:color w:val="595959" w:themeColor="text1" w:themeTint="A6"/>
                          <w:sz w:val="18"/>
                          <w:szCs w:val="18"/>
                          <w:lang w:val="pt-BR"/>
                        </w:rPr>
                        <w:t xml:space="preserve">rme No. </w:t>
                      </w:r>
                      <w:r w:rsidR="00206537" w:rsidRPr="00206537">
                        <w:rPr>
                          <w:rFonts w:asciiTheme="majorHAnsi" w:hAnsiTheme="majorHAnsi"/>
                          <w:color w:val="595959" w:themeColor="text1" w:themeTint="A6"/>
                          <w:sz w:val="18"/>
                          <w:szCs w:val="18"/>
                          <w:lang w:val="pt-BR"/>
                        </w:rPr>
                        <w:t>136</w:t>
                      </w:r>
                      <w:r w:rsidR="007B05C4" w:rsidRPr="00206537">
                        <w:rPr>
                          <w:rFonts w:asciiTheme="majorHAnsi" w:hAnsiTheme="majorHAnsi"/>
                          <w:color w:val="595959" w:themeColor="text1" w:themeTint="A6"/>
                          <w:sz w:val="18"/>
                          <w:szCs w:val="18"/>
                          <w:lang w:val="pt-BR"/>
                        </w:rPr>
                        <w:t>/</w:t>
                      </w:r>
                      <w:r w:rsidR="00206537" w:rsidRPr="00206537">
                        <w:rPr>
                          <w:rFonts w:asciiTheme="majorHAnsi" w:hAnsiTheme="majorHAnsi"/>
                          <w:color w:val="595959" w:themeColor="text1" w:themeTint="A6"/>
                          <w:sz w:val="18"/>
                          <w:szCs w:val="18"/>
                          <w:lang w:val="pt-BR"/>
                        </w:rPr>
                        <w:t>23</w:t>
                      </w:r>
                      <w:r w:rsidRPr="00206537">
                        <w:rPr>
                          <w:rFonts w:asciiTheme="majorHAnsi" w:hAnsiTheme="majorHAnsi"/>
                          <w:color w:val="595959" w:themeColor="text1" w:themeTint="A6"/>
                          <w:sz w:val="18"/>
                          <w:szCs w:val="18"/>
                          <w:lang w:val="pt-BR"/>
                        </w:rPr>
                        <w:t xml:space="preserve">. </w:t>
                      </w:r>
                      <w:r w:rsidR="000433C9" w:rsidRPr="00F907A4">
                        <w:rPr>
                          <w:rFonts w:asciiTheme="majorHAnsi" w:hAnsiTheme="majorHAnsi"/>
                          <w:color w:val="595959" w:themeColor="text1" w:themeTint="A6"/>
                          <w:sz w:val="18"/>
                          <w:szCs w:val="18"/>
                          <w:lang w:val="es-ES_tradnl"/>
                        </w:rPr>
                        <w:t>Petici</w:t>
                      </w:r>
                      <w:r w:rsidR="000433C9" w:rsidRPr="00F907A4">
                        <w:rPr>
                          <w:rFonts w:asciiTheme="majorHAnsi" w:hAnsiTheme="majorHAnsi"/>
                          <w:color w:val="595959" w:themeColor="text1" w:themeTint="A6"/>
                          <w:sz w:val="18"/>
                          <w:szCs w:val="18"/>
                          <w:lang w:val="es-ES"/>
                        </w:rPr>
                        <w:t xml:space="preserve">ón </w:t>
                      </w:r>
                      <w:r w:rsidR="009B53CC" w:rsidRPr="00F907A4">
                        <w:rPr>
                          <w:rFonts w:asciiTheme="majorHAnsi" w:hAnsiTheme="majorHAnsi"/>
                          <w:color w:val="595959" w:themeColor="text1" w:themeTint="A6"/>
                          <w:sz w:val="18"/>
                          <w:szCs w:val="18"/>
                          <w:lang w:val="es-ES"/>
                        </w:rPr>
                        <w:t>2041</w:t>
                      </w:r>
                      <w:r w:rsidR="009935AC" w:rsidRPr="00F907A4">
                        <w:rPr>
                          <w:rFonts w:asciiTheme="majorHAnsi" w:hAnsiTheme="majorHAnsi"/>
                          <w:color w:val="595959" w:themeColor="text1" w:themeTint="A6"/>
                          <w:sz w:val="18"/>
                          <w:szCs w:val="18"/>
                          <w:lang w:val="es-ES"/>
                        </w:rPr>
                        <w:t>-13</w:t>
                      </w:r>
                      <w:r w:rsidR="000433C9" w:rsidRPr="00F907A4">
                        <w:rPr>
                          <w:rFonts w:asciiTheme="majorHAnsi" w:hAnsiTheme="majorHAnsi"/>
                          <w:color w:val="595959" w:themeColor="text1" w:themeTint="A6"/>
                          <w:sz w:val="18"/>
                          <w:szCs w:val="18"/>
                          <w:lang w:val="es-ES"/>
                        </w:rPr>
                        <w:t xml:space="preserve">. </w:t>
                      </w:r>
                      <w:r w:rsidR="00EB2797" w:rsidRPr="00F907A4">
                        <w:rPr>
                          <w:rFonts w:asciiTheme="majorHAnsi" w:hAnsiTheme="majorHAnsi"/>
                          <w:color w:val="595959" w:themeColor="text1" w:themeTint="A6"/>
                          <w:sz w:val="18"/>
                          <w:szCs w:val="18"/>
                          <w:lang w:val="es-ES_tradnl"/>
                        </w:rPr>
                        <w:t>Ina</w:t>
                      </w:r>
                      <w:r w:rsidRPr="00F907A4">
                        <w:rPr>
                          <w:rFonts w:asciiTheme="majorHAnsi" w:hAnsiTheme="majorHAnsi"/>
                          <w:color w:val="595959" w:themeColor="text1" w:themeTint="A6"/>
                          <w:sz w:val="18"/>
                          <w:szCs w:val="18"/>
                          <w:lang w:val="es-ES_tradnl"/>
                        </w:rPr>
                        <w:t>dmisibilidad.</w:t>
                      </w:r>
                      <w:r w:rsidR="009935AC" w:rsidRPr="00F907A4">
                        <w:rPr>
                          <w:rFonts w:asciiTheme="majorHAnsi" w:hAnsiTheme="majorHAnsi"/>
                          <w:color w:val="595959" w:themeColor="text1" w:themeTint="A6"/>
                          <w:sz w:val="18"/>
                          <w:szCs w:val="18"/>
                          <w:lang w:val="es-ES_tradnl"/>
                        </w:rPr>
                        <w:t xml:space="preserve"> </w:t>
                      </w:r>
                      <w:r w:rsidR="00B0523A" w:rsidRPr="00F907A4">
                        <w:rPr>
                          <w:rFonts w:asciiTheme="majorHAnsi" w:hAnsiTheme="majorHAnsi"/>
                          <w:bCs/>
                          <w:color w:val="595959" w:themeColor="text1" w:themeTint="A6"/>
                          <w:sz w:val="18"/>
                          <w:szCs w:val="18"/>
                          <w:lang w:val="es-ES_tradnl"/>
                        </w:rPr>
                        <w:t>Ubeny Escobar Pobre</w:t>
                      </w:r>
                      <w:r w:rsidR="00B0523A" w:rsidRPr="00F907A4">
                        <w:rPr>
                          <w:rFonts w:asciiTheme="majorHAnsi" w:hAnsiTheme="majorHAnsi"/>
                          <w:color w:val="595959" w:themeColor="text1" w:themeTint="A6"/>
                          <w:sz w:val="18"/>
                          <w:szCs w:val="18"/>
                          <w:lang w:val="es-ES_tradnl"/>
                        </w:rPr>
                        <w:t xml:space="preserve"> y Familia</w:t>
                      </w:r>
                      <w:r w:rsidR="009935AC" w:rsidRPr="00F907A4">
                        <w:rPr>
                          <w:rFonts w:asciiTheme="majorHAnsi" w:hAnsiTheme="majorHAnsi"/>
                          <w:color w:val="595959" w:themeColor="text1" w:themeTint="A6"/>
                          <w:sz w:val="18"/>
                          <w:szCs w:val="18"/>
                          <w:lang w:val="es-ES_tradnl"/>
                        </w:rPr>
                        <w:t>. Colombia</w:t>
                      </w:r>
                      <w:r w:rsidRPr="00F907A4">
                        <w:rPr>
                          <w:rFonts w:asciiTheme="majorHAnsi" w:hAnsiTheme="majorHAnsi"/>
                          <w:color w:val="595959" w:themeColor="text1" w:themeTint="A6"/>
                          <w:sz w:val="18"/>
                          <w:szCs w:val="18"/>
                          <w:lang w:val="es-ES_tradnl"/>
                        </w:rPr>
                        <w:t xml:space="preserve">. </w:t>
                      </w:r>
                      <w:r w:rsidR="00206537">
                        <w:rPr>
                          <w:rFonts w:asciiTheme="majorHAnsi" w:hAnsiTheme="majorHAnsi"/>
                          <w:color w:val="595959" w:themeColor="text1" w:themeTint="A6"/>
                          <w:sz w:val="18"/>
                          <w:szCs w:val="18"/>
                          <w:lang w:val="es-ES"/>
                        </w:rPr>
                        <w:t>2 de agosto de 2023</w:t>
                      </w:r>
                      <w:r w:rsidRPr="00F907A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72BE9"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72BE9" w:rsidRDefault="00D306D1" w:rsidP="005516A1">
      <w:pPr>
        <w:tabs>
          <w:tab w:val="center" w:pos="5400"/>
        </w:tabs>
        <w:suppressAutoHyphens/>
        <w:jc w:val="center"/>
        <w:rPr>
          <w:rFonts w:asciiTheme="majorHAnsi" w:hAnsiTheme="majorHAnsi"/>
          <w:b/>
          <w:sz w:val="20"/>
          <w:lang w:val="es-ES_tradnl"/>
        </w:rPr>
      </w:pPr>
      <w:r w:rsidRPr="00572BE9">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72BE9">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72BE9" w:rsidRDefault="004A6A54" w:rsidP="005516A1">
      <w:pPr>
        <w:tabs>
          <w:tab w:val="center" w:pos="5400"/>
        </w:tabs>
        <w:suppressAutoHyphens/>
        <w:jc w:val="center"/>
        <w:rPr>
          <w:rFonts w:asciiTheme="majorHAnsi" w:hAnsiTheme="majorHAnsi"/>
          <w:b/>
          <w:sz w:val="20"/>
          <w:lang w:val="es-ES_tradnl"/>
        </w:rPr>
        <w:sectPr w:rsidR="0070697F" w:rsidRPr="00572BE9"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72BE9">
        <w:rPr>
          <w:rFonts w:asciiTheme="majorHAnsi" w:hAnsiTheme="majorHAnsi"/>
          <w:b/>
          <w:sz w:val="20"/>
          <w:lang w:val="es-ES_tradnl"/>
        </w:rPr>
        <w:tab/>
      </w:r>
    </w:p>
    <w:p w14:paraId="2786EE58" w14:textId="77777777" w:rsidR="003239B8" w:rsidRPr="00572BE9" w:rsidRDefault="003239B8" w:rsidP="004A6A54">
      <w:pPr>
        <w:spacing w:after="240"/>
        <w:ind w:firstLine="720"/>
        <w:jc w:val="both"/>
        <w:rPr>
          <w:rFonts w:asciiTheme="majorHAnsi" w:hAnsiTheme="majorHAnsi"/>
          <w:b/>
          <w:bCs/>
          <w:sz w:val="20"/>
          <w:szCs w:val="20"/>
          <w:lang w:val="es-ES_tradnl"/>
        </w:rPr>
      </w:pPr>
      <w:r w:rsidRPr="00572BE9">
        <w:rPr>
          <w:rFonts w:asciiTheme="majorHAnsi" w:hAnsiTheme="majorHAnsi"/>
          <w:b/>
          <w:bCs/>
          <w:sz w:val="20"/>
          <w:szCs w:val="20"/>
          <w:lang w:val="es-ES_tradnl"/>
        </w:rPr>
        <w:lastRenderedPageBreak/>
        <w:t>I.</w:t>
      </w:r>
      <w:r w:rsidRPr="00572BE9">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72BE9"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72BE9" w:rsidRDefault="003239B8" w:rsidP="008D2290">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Parte peticionaria:</w:t>
            </w:r>
          </w:p>
        </w:tc>
        <w:tc>
          <w:tcPr>
            <w:tcW w:w="5647" w:type="dxa"/>
            <w:vAlign w:val="center"/>
          </w:tcPr>
          <w:p w14:paraId="07DAAE2E" w14:textId="04C9A82A" w:rsidR="003239B8" w:rsidRPr="00572BE9" w:rsidRDefault="00FF6087" w:rsidP="008D2290">
            <w:pPr>
              <w:jc w:val="both"/>
              <w:rPr>
                <w:rFonts w:ascii="Cambria" w:hAnsi="Cambria"/>
                <w:bCs/>
                <w:sz w:val="20"/>
                <w:szCs w:val="20"/>
                <w:lang w:val="es-ES_tradnl"/>
              </w:rPr>
            </w:pPr>
            <w:r w:rsidRPr="00572BE9">
              <w:rPr>
                <w:rFonts w:ascii="Cambria" w:hAnsi="Cambria"/>
                <w:bCs/>
                <w:sz w:val="20"/>
                <w:szCs w:val="20"/>
                <w:lang w:val="es-ES_tradnl"/>
              </w:rPr>
              <w:t>José Alberto Leguizamo Velásquez</w:t>
            </w:r>
            <w:r w:rsidR="00AA7007">
              <w:rPr>
                <w:rFonts w:ascii="Cambria" w:hAnsi="Cambria"/>
                <w:bCs/>
                <w:sz w:val="20"/>
                <w:szCs w:val="20"/>
                <w:lang w:val="es-ES_tradnl"/>
              </w:rPr>
              <w:t>.</w:t>
            </w:r>
          </w:p>
        </w:tc>
      </w:tr>
      <w:tr w:rsidR="003239B8" w:rsidRPr="003221CB"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72BE9" w:rsidRDefault="00AA1295"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72BE9">
                  <w:rPr>
                    <w:rFonts w:ascii="Cambria" w:hAnsi="Cambria"/>
                    <w:b/>
                    <w:bCs/>
                    <w:color w:val="FFFFFF" w:themeColor="background1"/>
                    <w:sz w:val="20"/>
                    <w:szCs w:val="20"/>
                    <w:lang w:val="es-ES_tradnl"/>
                  </w:rPr>
                  <w:t>Presunta víctima</w:t>
                </w:r>
              </w:sdtContent>
            </w:sdt>
            <w:r w:rsidR="003239B8" w:rsidRPr="00572BE9">
              <w:rPr>
                <w:rFonts w:ascii="Cambria" w:hAnsi="Cambria"/>
                <w:b/>
                <w:bCs/>
                <w:color w:val="FFFFFF" w:themeColor="background1"/>
                <w:sz w:val="20"/>
                <w:szCs w:val="20"/>
                <w:lang w:val="es-ES_tradnl"/>
              </w:rPr>
              <w:t>:</w:t>
            </w:r>
          </w:p>
        </w:tc>
        <w:tc>
          <w:tcPr>
            <w:tcW w:w="5647" w:type="dxa"/>
            <w:vAlign w:val="center"/>
          </w:tcPr>
          <w:p w14:paraId="143D44A8" w14:textId="28F1024E" w:rsidR="003239B8" w:rsidRPr="00572BE9" w:rsidRDefault="00451D1B" w:rsidP="008D2290">
            <w:pPr>
              <w:jc w:val="both"/>
              <w:rPr>
                <w:rFonts w:ascii="Cambria" w:hAnsi="Cambria"/>
                <w:bCs/>
                <w:sz w:val="20"/>
                <w:szCs w:val="20"/>
                <w:lang w:val="es-ES_tradnl"/>
              </w:rPr>
            </w:pPr>
            <w:r w:rsidRPr="00572BE9">
              <w:rPr>
                <w:rFonts w:ascii="Cambria" w:hAnsi="Cambria"/>
                <w:bCs/>
                <w:sz w:val="20"/>
                <w:szCs w:val="20"/>
                <w:lang w:val="es-ES_tradnl"/>
              </w:rPr>
              <w:t xml:space="preserve">Ubeny Escobar Pobre, </w:t>
            </w:r>
            <w:r w:rsidR="009B53CC" w:rsidRPr="00572BE9">
              <w:rPr>
                <w:rFonts w:ascii="Cambria" w:hAnsi="Cambria"/>
                <w:bCs/>
                <w:sz w:val="20"/>
                <w:szCs w:val="20"/>
                <w:lang w:val="es-ES_tradnl"/>
              </w:rPr>
              <w:t>Brayan Stivenson Baquero Escobar, Cindy Tatiana Baquero Escobar, Hernán Baquero Ipuz, Jhon Jairo Baquero Escobar</w:t>
            </w:r>
            <w:r w:rsidRPr="00572BE9">
              <w:rPr>
                <w:rFonts w:ascii="Cambria" w:hAnsi="Cambria"/>
                <w:bCs/>
                <w:sz w:val="20"/>
                <w:szCs w:val="20"/>
                <w:lang w:val="es-ES_tradnl"/>
              </w:rPr>
              <w:t xml:space="preserve"> y </w:t>
            </w:r>
            <w:r w:rsidR="009B53CC" w:rsidRPr="00572BE9">
              <w:rPr>
                <w:rFonts w:ascii="Cambria" w:hAnsi="Cambria"/>
                <w:bCs/>
                <w:sz w:val="20"/>
                <w:szCs w:val="20"/>
                <w:lang w:val="es-ES_tradnl"/>
              </w:rPr>
              <w:t>Juan Carlos Baquero Escobar</w:t>
            </w:r>
            <w:r w:rsidR="009B53CC" w:rsidRPr="00572BE9">
              <w:rPr>
                <w:rStyle w:val="FootnoteReference"/>
                <w:rFonts w:ascii="Cambria" w:hAnsi="Cambria"/>
                <w:bCs/>
                <w:sz w:val="20"/>
                <w:szCs w:val="20"/>
                <w:lang w:val="es-ES_tradnl"/>
              </w:rPr>
              <w:footnoteReference w:id="2"/>
            </w:r>
            <w:r w:rsidR="009B53CC" w:rsidRPr="00572BE9">
              <w:rPr>
                <w:rFonts w:ascii="Cambria" w:hAnsi="Cambria"/>
                <w:bCs/>
                <w:sz w:val="20"/>
                <w:szCs w:val="20"/>
                <w:lang w:val="es-ES_tradnl"/>
              </w:rPr>
              <w:t>.</w:t>
            </w:r>
          </w:p>
        </w:tc>
      </w:tr>
      <w:tr w:rsidR="003239B8" w:rsidRPr="00572BE9"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72BE9" w:rsidRDefault="003239B8" w:rsidP="008D2290">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Estado denunciado:</w:t>
            </w:r>
          </w:p>
        </w:tc>
        <w:tc>
          <w:tcPr>
            <w:tcW w:w="5647" w:type="dxa"/>
            <w:vAlign w:val="center"/>
          </w:tcPr>
          <w:p w14:paraId="5D0EC05D" w14:textId="7DB63FEF" w:rsidR="003239B8" w:rsidRPr="00572BE9" w:rsidRDefault="00383298" w:rsidP="008D2290">
            <w:pPr>
              <w:jc w:val="both"/>
              <w:rPr>
                <w:rFonts w:ascii="Cambria" w:hAnsi="Cambria"/>
                <w:bCs/>
                <w:sz w:val="20"/>
                <w:szCs w:val="20"/>
                <w:lang w:val="es-ES_tradnl"/>
              </w:rPr>
            </w:pPr>
            <w:r w:rsidRPr="00572BE9">
              <w:rPr>
                <w:rFonts w:asciiTheme="majorHAnsi" w:hAnsiTheme="majorHAnsi"/>
                <w:bCs/>
                <w:sz w:val="20"/>
                <w:szCs w:val="20"/>
                <w:lang w:val="es-ES_tradnl"/>
              </w:rPr>
              <w:t>Colombia</w:t>
            </w:r>
            <w:r w:rsidRPr="00572BE9">
              <w:rPr>
                <w:rStyle w:val="FootnoteReference"/>
                <w:rFonts w:asciiTheme="majorHAnsi" w:hAnsiTheme="majorHAnsi"/>
                <w:bCs/>
                <w:sz w:val="20"/>
                <w:szCs w:val="20"/>
                <w:lang w:val="es-ES_tradnl"/>
              </w:rPr>
              <w:footnoteReference w:id="3"/>
            </w:r>
          </w:p>
        </w:tc>
      </w:tr>
      <w:tr w:rsidR="00223A29" w:rsidRPr="003221CB"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72BE9" w:rsidRDefault="001B3A00" w:rsidP="00E4118C">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 xml:space="preserve">Derechos </w:t>
            </w:r>
            <w:r w:rsidR="00E4118C" w:rsidRPr="00572BE9">
              <w:rPr>
                <w:rFonts w:ascii="Cambria" w:hAnsi="Cambria"/>
                <w:b/>
                <w:bCs/>
                <w:color w:val="FFFFFF" w:themeColor="background1"/>
                <w:sz w:val="20"/>
                <w:szCs w:val="20"/>
                <w:lang w:val="es-ES_tradnl"/>
              </w:rPr>
              <w:t>invocados</w:t>
            </w:r>
            <w:r w:rsidRPr="00572BE9">
              <w:rPr>
                <w:rFonts w:ascii="Cambria" w:hAnsi="Cambria"/>
                <w:b/>
                <w:bCs/>
                <w:color w:val="FFFFFF" w:themeColor="background1"/>
                <w:sz w:val="20"/>
                <w:szCs w:val="20"/>
                <w:lang w:val="es-ES_tradnl"/>
              </w:rPr>
              <w:t>:</w:t>
            </w:r>
          </w:p>
        </w:tc>
        <w:tc>
          <w:tcPr>
            <w:tcW w:w="5647" w:type="dxa"/>
            <w:vAlign w:val="center"/>
          </w:tcPr>
          <w:p w14:paraId="52B28392" w14:textId="5DE1608C" w:rsidR="00223A29" w:rsidRPr="00572BE9" w:rsidRDefault="00572BE9" w:rsidP="008D2290">
            <w:pPr>
              <w:jc w:val="both"/>
              <w:rPr>
                <w:rFonts w:ascii="Cambria" w:hAnsi="Cambria"/>
                <w:bCs/>
                <w:sz w:val="20"/>
                <w:szCs w:val="20"/>
                <w:lang w:val="es-ES_tradnl"/>
              </w:rPr>
            </w:pPr>
            <w:r w:rsidRPr="00572BE9">
              <w:rPr>
                <w:rFonts w:asciiTheme="majorHAnsi" w:hAnsiTheme="majorHAnsi"/>
                <w:bCs/>
                <w:sz w:val="20"/>
                <w:szCs w:val="20"/>
                <w:lang w:val="es-ES_tradnl"/>
              </w:rPr>
              <w:t>Artículos 4</w:t>
            </w:r>
            <w:r w:rsidR="00383298" w:rsidRPr="00572BE9">
              <w:rPr>
                <w:rFonts w:asciiTheme="majorHAnsi" w:hAnsiTheme="majorHAnsi"/>
                <w:bCs/>
                <w:sz w:val="20"/>
                <w:szCs w:val="20"/>
                <w:lang w:val="es-ES_tradnl"/>
              </w:rPr>
              <w:t xml:space="preserve"> (vida), 5 (integridad personal), 7 (Libertad personal), 8 (garantías judiciales)</w:t>
            </w:r>
            <w:r w:rsidR="009B53CC" w:rsidRPr="00572BE9">
              <w:rPr>
                <w:rFonts w:asciiTheme="majorHAnsi" w:hAnsiTheme="majorHAnsi"/>
                <w:bCs/>
                <w:sz w:val="20"/>
                <w:szCs w:val="20"/>
                <w:lang w:val="es-ES_tradnl"/>
              </w:rPr>
              <w:t xml:space="preserve">, 10 (indemnización) 17 (protección a la familia), 21 (derecho a la propiedad privada), 22 (derecho de circulación y residencia) </w:t>
            </w:r>
            <w:r w:rsidR="00383298" w:rsidRPr="00572BE9">
              <w:rPr>
                <w:rFonts w:asciiTheme="majorHAnsi" w:hAnsiTheme="majorHAnsi"/>
                <w:bCs/>
                <w:sz w:val="20"/>
                <w:szCs w:val="20"/>
                <w:lang w:val="es-ES_tradnl"/>
              </w:rPr>
              <w:t>y 25 (protección judicial) de la Convención Americana sobre Derechos Humanos</w:t>
            </w:r>
            <w:r w:rsidR="00383298" w:rsidRPr="00572BE9">
              <w:rPr>
                <w:rStyle w:val="FootnoteReference"/>
                <w:rFonts w:asciiTheme="majorHAnsi" w:hAnsiTheme="majorHAnsi"/>
                <w:bCs/>
                <w:sz w:val="20"/>
                <w:szCs w:val="20"/>
                <w:lang w:val="es-ES_tradnl"/>
              </w:rPr>
              <w:footnoteReference w:id="4"/>
            </w:r>
            <w:r w:rsidR="00383298" w:rsidRPr="00572BE9">
              <w:rPr>
                <w:rFonts w:asciiTheme="majorHAnsi" w:hAnsiTheme="majorHAnsi"/>
                <w:bCs/>
                <w:sz w:val="20"/>
                <w:szCs w:val="20"/>
                <w:lang w:val="es-ES_tradnl"/>
              </w:rPr>
              <w:t>, en relación con sus artículos 1.1 (obligación de respetar los derechos)</w:t>
            </w:r>
            <w:r w:rsidR="00450066" w:rsidRPr="00572BE9">
              <w:rPr>
                <w:rFonts w:asciiTheme="majorHAnsi" w:hAnsiTheme="majorHAnsi"/>
                <w:bCs/>
                <w:sz w:val="20"/>
                <w:szCs w:val="20"/>
                <w:lang w:val="es-ES_tradnl"/>
              </w:rPr>
              <w:t>.</w:t>
            </w:r>
          </w:p>
        </w:tc>
      </w:tr>
    </w:tbl>
    <w:p w14:paraId="176FB213" w14:textId="77777777" w:rsidR="003239B8" w:rsidRPr="00572BE9" w:rsidRDefault="003239B8" w:rsidP="003239B8">
      <w:pPr>
        <w:spacing w:before="240" w:after="240"/>
        <w:ind w:firstLine="720"/>
        <w:jc w:val="both"/>
        <w:rPr>
          <w:rFonts w:asciiTheme="majorHAnsi" w:hAnsiTheme="majorHAnsi"/>
          <w:b/>
          <w:bCs/>
          <w:sz w:val="20"/>
          <w:szCs w:val="20"/>
          <w:lang w:val="es-ES_tradnl"/>
        </w:rPr>
      </w:pPr>
      <w:r w:rsidRPr="00572BE9">
        <w:rPr>
          <w:rFonts w:asciiTheme="majorHAnsi" w:hAnsiTheme="majorHAnsi"/>
          <w:b/>
          <w:bCs/>
          <w:sz w:val="20"/>
          <w:szCs w:val="20"/>
          <w:lang w:val="es-ES_tradnl"/>
        </w:rPr>
        <w:t>II.</w:t>
      </w:r>
      <w:r w:rsidRPr="00572BE9">
        <w:rPr>
          <w:rFonts w:asciiTheme="majorHAnsi" w:hAnsiTheme="majorHAnsi"/>
          <w:b/>
          <w:bCs/>
          <w:sz w:val="20"/>
          <w:szCs w:val="20"/>
          <w:lang w:val="es-ES_tradnl"/>
        </w:rPr>
        <w:tab/>
        <w:t>TRÁMITE ANTE LA CIDH</w:t>
      </w:r>
      <w:r w:rsidR="008E3BFE" w:rsidRPr="00572BE9">
        <w:rPr>
          <w:rStyle w:val="FootnoteReference"/>
          <w:rFonts w:ascii="Cambria" w:hAnsi="Cambria"/>
          <w:b/>
          <w:sz w:val="20"/>
          <w:szCs w:val="20"/>
          <w:lang w:val="es-ES_tradnl"/>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72BE9"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72BE9" w:rsidRDefault="004A6A54" w:rsidP="004A6A54">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P</w:t>
            </w:r>
            <w:r w:rsidR="004C2312" w:rsidRPr="00572BE9">
              <w:rPr>
                <w:rFonts w:ascii="Cambria" w:hAnsi="Cambria"/>
                <w:b/>
                <w:bCs/>
                <w:color w:val="FFFFFF" w:themeColor="background1"/>
                <w:sz w:val="20"/>
                <w:szCs w:val="20"/>
                <w:lang w:val="es-ES_tradnl"/>
              </w:rPr>
              <w:t>resentación de la petición:</w:t>
            </w:r>
          </w:p>
        </w:tc>
        <w:tc>
          <w:tcPr>
            <w:tcW w:w="5647" w:type="dxa"/>
            <w:vAlign w:val="center"/>
          </w:tcPr>
          <w:p w14:paraId="6883A5F8" w14:textId="363DFFF5" w:rsidR="004C2312" w:rsidRPr="00572BE9" w:rsidRDefault="007C715A" w:rsidP="002625EA">
            <w:pPr>
              <w:jc w:val="both"/>
              <w:rPr>
                <w:rFonts w:ascii="Cambria" w:hAnsi="Cambria"/>
                <w:bCs/>
                <w:sz w:val="20"/>
                <w:szCs w:val="20"/>
                <w:lang w:val="es-ES_tradnl"/>
              </w:rPr>
            </w:pPr>
            <w:r w:rsidRPr="00572BE9">
              <w:rPr>
                <w:rFonts w:ascii="Cambria" w:hAnsi="Cambria"/>
                <w:bCs/>
                <w:sz w:val="20"/>
                <w:szCs w:val="20"/>
                <w:lang w:val="es-ES_tradnl"/>
              </w:rPr>
              <w:t>1</w:t>
            </w:r>
            <w:r w:rsidR="009B53CC" w:rsidRPr="00572BE9">
              <w:rPr>
                <w:rFonts w:ascii="Cambria" w:hAnsi="Cambria"/>
                <w:bCs/>
                <w:sz w:val="20"/>
                <w:szCs w:val="20"/>
                <w:lang w:val="es-ES_tradnl"/>
              </w:rPr>
              <w:t>3</w:t>
            </w:r>
            <w:r w:rsidRPr="00572BE9">
              <w:rPr>
                <w:rFonts w:ascii="Cambria" w:hAnsi="Cambria"/>
                <w:bCs/>
                <w:sz w:val="20"/>
                <w:szCs w:val="20"/>
                <w:lang w:val="es-ES_tradnl"/>
              </w:rPr>
              <w:t xml:space="preserve"> de </w:t>
            </w:r>
            <w:r w:rsidR="009B53CC" w:rsidRPr="00572BE9">
              <w:rPr>
                <w:rFonts w:ascii="Cambria" w:hAnsi="Cambria"/>
                <w:bCs/>
                <w:sz w:val="20"/>
                <w:szCs w:val="20"/>
                <w:lang w:val="es-ES_tradnl"/>
              </w:rPr>
              <w:t>dici</w:t>
            </w:r>
            <w:r w:rsidRPr="00572BE9">
              <w:rPr>
                <w:rFonts w:ascii="Cambria" w:hAnsi="Cambria"/>
                <w:bCs/>
                <w:sz w:val="20"/>
                <w:szCs w:val="20"/>
                <w:lang w:val="es-ES_tradnl"/>
              </w:rPr>
              <w:t>embre de 2013</w:t>
            </w:r>
          </w:p>
        </w:tc>
      </w:tr>
      <w:tr w:rsidR="00131425" w:rsidRPr="003221CB"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72BE9" w:rsidRDefault="00131425" w:rsidP="004A6A54">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37F0DE16" w:rsidR="00131425" w:rsidRPr="00572BE9" w:rsidRDefault="00451D1B" w:rsidP="002625EA">
            <w:pPr>
              <w:jc w:val="both"/>
              <w:rPr>
                <w:rFonts w:ascii="Cambria" w:hAnsi="Cambria"/>
                <w:bCs/>
                <w:sz w:val="20"/>
                <w:szCs w:val="20"/>
                <w:lang w:val="es-ES_tradnl"/>
              </w:rPr>
            </w:pPr>
            <w:r w:rsidRPr="00572BE9">
              <w:rPr>
                <w:rFonts w:ascii="Cambria" w:hAnsi="Cambria"/>
                <w:bCs/>
                <w:sz w:val="20"/>
                <w:szCs w:val="20"/>
                <w:lang w:val="es-ES_tradnl"/>
              </w:rPr>
              <w:t xml:space="preserve">3 de abril de 2017 y 9 de abril de 2019 </w:t>
            </w:r>
          </w:p>
        </w:tc>
      </w:tr>
      <w:tr w:rsidR="004C2312" w:rsidRPr="00572BE9"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72BE9" w:rsidRDefault="004A6A54" w:rsidP="004A6A54">
            <w:pPr>
              <w:jc w:val="center"/>
              <w:rPr>
                <w:rFonts w:ascii="Cambria" w:hAnsi="Cambria"/>
                <w:b/>
                <w:bCs/>
                <w:color w:val="FFFFFF" w:themeColor="background1"/>
                <w:sz w:val="20"/>
                <w:szCs w:val="20"/>
                <w:lang w:val="es-ES_tradnl"/>
              </w:rPr>
            </w:pPr>
            <w:r w:rsidRPr="00572BE9">
              <w:rPr>
                <w:rFonts w:ascii="Cambria" w:hAnsi="Cambria"/>
                <w:b/>
                <w:color w:val="FFFFFF" w:themeColor="background1"/>
                <w:sz w:val="20"/>
                <w:szCs w:val="20"/>
                <w:lang w:val="es-ES_tradnl"/>
              </w:rPr>
              <w:t>N</w:t>
            </w:r>
            <w:r w:rsidR="004C2312" w:rsidRPr="00572BE9">
              <w:rPr>
                <w:rFonts w:ascii="Cambria" w:hAnsi="Cambria"/>
                <w:b/>
                <w:color w:val="FFFFFF" w:themeColor="background1"/>
                <w:sz w:val="20"/>
                <w:szCs w:val="20"/>
                <w:lang w:val="es-ES_tradnl"/>
              </w:rPr>
              <w:t>otificación de la petición al Estado:</w:t>
            </w:r>
          </w:p>
        </w:tc>
        <w:tc>
          <w:tcPr>
            <w:tcW w:w="5647" w:type="dxa"/>
            <w:vAlign w:val="center"/>
          </w:tcPr>
          <w:p w14:paraId="58485921" w14:textId="1B4F08C5" w:rsidR="004C2312" w:rsidRPr="00572BE9" w:rsidRDefault="00CB2310" w:rsidP="008D2290">
            <w:pPr>
              <w:jc w:val="both"/>
              <w:rPr>
                <w:rFonts w:ascii="Cambria" w:hAnsi="Cambria"/>
                <w:bCs/>
                <w:sz w:val="20"/>
                <w:szCs w:val="20"/>
                <w:lang w:val="es-ES_tradnl"/>
              </w:rPr>
            </w:pPr>
            <w:r w:rsidRPr="00572BE9">
              <w:rPr>
                <w:rFonts w:ascii="Cambria" w:hAnsi="Cambria"/>
                <w:bCs/>
                <w:sz w:val="20"/>
                <w:szCs w:val="20"/>
                <w:lang w:val="es-ES_tradnl"/>
              </w:rPr>
              <w:t>20 de agosto de 2019</w:t>
            </w:r>
          </w:p>
        </w:tc>
      </w:tr>
      <w:tr w:rsidR="004C2312" w:rsidRPr="00572BE9"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72BE9" w:rsidRDefault="004A6A54" w:rsidP="004A6A54">
            <w:pPr>
              <w:jc w:val="center"/>
              <w:rPr>
                <w:rFonts w:ascii="Cambria" w:hAnsi="Cambria"/>
                <w:b/>
                <w:bCs/>
                <w:color w:val="FFFFFF" w:themeColor="background1"/>
                <w:sz w:val="20"/>
                <w:szCs w:val="20"/>
                <w:lang w:val="es-ES_tradnl"/>
              </w:rPr>
            </w:pPr>
            <w:r w:rsidRPr="00572BE9">
              <w:rPr>
                <w:rFonts w:ascii="Cambria" w:hAnsi="Cambria"/>
                <w:b/>
                <w:color w:val="FFFFFF" w:themeColor="background1"/>
                <w:sz w:val="20"/>
                <w:szCs w:val="20"/>
                <w:lang w:val="es-ES_tradnl"/>
              </w:rPr>
              <w:t>P</w:t>
            </w:r>
            <w:r w:rsidR="004C2312" w:rsidRPr="00572BE9">
              <w:rPr>
                <w:rFonts w:ascii="Cambria" w:hAnsi="Cambria"/>
                <w:b/>
                <w:color w:val="FFFFFF" w:themeColor="background1"/>
                <w:sz w:val="20"/>
                <w:szCs w:val="20"/>
                <w:lang w:val="es-ES_tradnl"/>
              </w:rPr>
              <w:t>rimera respuesta del Estado:</w:t>
            </w:r>
          </w:p>
        </w:tc>
        <w:tc>
          <w:tcPr>
            <w:tcW w:w="5647" w:type="dxa"/>
            <w:vAlign w:val="center"/>
          </w:tcPr>
          <w:p w14:paraId="6B47064C" w14:textId="42103559" w:rsidR="004C2312" w:rsidRPr="00572BE9" w:rsidRDefault="009B53CC" w:rsidP="008D2290">
            <w:pPr>
              <w:jc w:val="both"/>
              <w:rPr>
                <w:rFonts w:ascii="Cambria" w:hAnsi="Cambria"/>
                <w:bCs/>
                <w:sz w:val="20"/>
                <w:szCs w:val="20"/>
                <w:lang w:val="es-ES_tradnl"/>
              </w:rPr>
            </w:pPr>
            <w:r w:rsidRPr="00572BE9">
              <w:rPr>
                <w:rFonts w:ascii="Cambria" w:hAnsi="Cambria"/>
                <w:bCs/>
                <w:sz w:val="20"/>
                <w:szCs w:val="20"/>
                <w:lang w:val="es-ES_tradnl"/>
              </w:rPr>
              <w:t>26 de octubre de 2020</w:t>
            </w:r>
            <w:r w:rsidR="00CB2310" w:rsidRPr="00572BE9">
              <w:rPr>
                <w:rStyle w:val="FootnoteReference"/>
                <w:rFonts w:ascii="Cambria" w:hAnsi="Cambria"/>
                <w:bCs/>
                <w:sz w:val="20"/>
                <w:szCs w:val="20"/>
                <w:lang w:val="es-ES_tradnl"/>
              </w:rPr>
              <w:footnoteReference w:id="6"/>
            </w:r>
          </w:p>
        </w:tc>
      </w:tr>
      <w:tr w:rsidR="00451D1B" w:rsidRPr="00572BE9" w14:paraId="173BED39" w14:textId="77777777" w:rsidTr="00394073">
        <w:tc>
          <w:tcPr>
            <w:tcW w:w="3600" w:type="dxa"/>
            <w:tcBorders>
              <w:top w:val="single" w:sz="6" w:space="0" w:color="auto"/>
              <w:bottom w:val="single" w:sz="6" w:space="0" w:color="auto"/>
            </w:tcBorders>
            <w:shd w:val="clear" w:color="auto" w:fill="386294"/>
            <w:vAlign w:val="center"/>
          </w:tcPr>
          <w:p w14:paraId="579CCE9C" w14:textId="71086125" w:rsidR="00451D1B" w:rsidRPr="00572BE9" w:rsidRDefault="00451D1B" w:rsidP="004A6A54">
            <w:pPr>
              <w:jc w:val="center"/>
              <w:rPr>
                <w:rFonts w:ascii="Cambria" w:hAnsi="Cambria"/>
                <w:b/>
                <w:color w:val="FFFFFF" w:themeColor="background1"/>
                <w:sz w:val="20"/>
                <w:szCs w:val="20"/>
                <w:lang w:val="es-ES_tradnl"/>
              </w:rPr>
            </w:pPr>
            <w:r w:rsidRPr="00572BE9">
              <w:rPr>
                <w:rFonts w:ascii="Cambria" w:hAnsi="Cambria"/>
                <w:b/>
                <w:color w:val="FFFFFF" w:themeColor="background1"/>
                <w:sz w:val="20"/>
                <w:szCs w:val="20"/>
                <w:lang w:val="es-ES_tradnl"/>
              </w:rPr>
              <w:t>Observaciones adicionales de la parte peticionaria:</w:t>
            </w:r>
          </w:p>
        </w:tc>
        <w:tc>
          <w:tcPr>
            <w:tcW w:w="5647" w:type="dxa"/>
            <w:vAlign w:val="center"/>
          </w:tcPr>
          <w:p w14:paraId="35AF0ABE" w14:textId="0F0374F3" w:rsidR="00451D1B" w:rsidRPr="00572BE9" w:rsidRDefault="00451D1B" w:rsidP="008D2290">
            <w:pPr>
              <w:jc w:val="both"/>
              <w:rPr>
                <w:rFonts w:ascii="Cambria" w:hAnsi="Cambria"/>
                <w:bCs/>
                <w:sz w:val="20"/>
                <w:szCs w:val="20"/>
                <w:lang w:val="es-ES_tradnl"/>
              </w:rPr>
            </w:pPr>
            <w:r w:rsidRPr="00572BE9">
              <w:rPr>
                <w:rFonts w:ascii="Cambria" w:hAnsi="Cambria"/>
                <w:bCs/>
                <w:sz w:val="20"/>
                <w:szCs w:val="20"/>
                <w:lang w:val="es-ES_tradnl"/>
              </w:rPr>
              <w:t>4 de septiembre de 2019</w:t>
            </w:r>
          </w:p>
        </w:tc>
      </w:tr>
      <w:tr w:rsidR="001E49E7" w:rsidRPr="00572BE9"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572BE9" w:rsidRDefault="004A6A54" w:rsidP="00DD4AD2">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A</w:t>
            </w:r>
            <w:r w:rsidR="001E49E7" w:rsidRPr="00572BE9">
              <w:rPr>
                <w:rFonts w:ascii="Cambria" w:hAnsi="Cambria"/>
                <w:b/>
                <w:bCs/>
                <w:color w:val="FFFFFF" w:themeColor="background1"/>
                <w:sz w:val="20"/>
                <w:szCs w:val="20"/>
                <w:lang w:val="es-ES_tradnl"/>
              </w:rPr>
              <w:t>dvertencia sobre posible archivo:</w:t>
            </w:r>
          </w:p>
        </w:tc>
        <w:tc>
          <w:tcPr>
            <w:tcW w:w="5647" w:type="dxa"/>
            <w:vAlign w:val="center"/>
          </w:tcPr>
          <w:p w14:paraId="48CA2CFB" w14:textId="6737B6E4" w:rsidR="001E49E7" w:rsidRPr="00572BE9" w:rsidRDefault="00CB2310" w:rsidP="002625EA">
            <w:pPr>
              <w:jc w:val="both"/>
              <w:rPr>
                <w:rFonts w:ascii="Cambria" w:hAnsi="Cambria"/>
                <w:bCs/>
                <w:sz w:val="20"/>
                <w:szCs w:val="20"/>
                <w:lang w:val="es-ES_tradnl"/>
              </w:rPr>
            </w:pPr>
            <w:r w:rsidRPr="00572BE9">
              <w:rPr>
                <w:rFonts w:ascii="Cambria" w:hAnsi="Cambria"/>
                <w:bCs/>
                <w:sz w:val="20"/>
                <w:szCs w:val="20"/>
                <w:lang w:val="es-ES_tradnl"/>
              </w:rPr>
              <w:t>26 de octubre</w:t>
            </w:r>
            <w:r w:rsidR="007C715A" w:rsidRPr="00572BE9">
              <w:rPr>
                <w:rFonts w:ascii="Cambria" w:hAnsi="Cambria"/>
                <w:bCs/>
                <w:sz w:val="20"/>
                <w:szCs w:val="20"/>
                <w:lang w:val="es-ES_tradnl"/>
              </w:rPr>
              <w:t xml:space="preserve"> de 2021</w:t>
            </w:r>
          </w:p>
        </w:tc>
      </w:tr>
      <w:tr w:rsidR="001E49E7" w:rsidRPr="00572BE9"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572BE9" w:rsidRDefault="004A6A54" w:rsidP="004A6A54">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R</w:t>
            </w:r>
            <w:r w:rsidR="001E49E7" w:rsidRPr="00572BE9">
              <w:rPr>
                <w:rFonts w:ascii="Cambria" w:hAnsi="Cambria"/>
                <w:b/>
                <w:bCs/>
                <w:color w:val="FFFFFF" w:themeColor="background1"/>
                <w:sz w:val="20"/>
                <w:szCs w:val="20"/>
                <w:lang w:val="es-ES_tradnl"/>
              </w:rPr>
              <w:t xml:space="preserve">espuesta de la parte peticionaria ante advertencia </w:t>
            </w:r>
            <w:r w:rsidR="00DD4AD2" w:rsidRPr="00572BE9">
              <w:rPr>
                <w:rFonts w:ascii="Cambria" w:hAnsi="Cambria"/>
                <w:b/>
                <w:bCs/>
                <w:color w:val="FFFFFF" w:themeColor="background1"/>
                <w:sz w:val="20"/>
                <w:szCs w:val="20"/>
                <w:lang w:val="es-ES_tradnl"/>
              </w:rPr>
              <w:t xml:space="preserve">de </w:t>
            </w:r>
            <w:r w:rsidR="001E49E7" w:rsidRPr="00572BE9">
              <w:rPr>
                <w:rFonts w:ascii="Cambria" w:hAnsi="Cambria"/>
                <w:b/>
                <w:bCs/>
                <w:color w:val="FFFFFF" w:themeColor="background1"/>
                <w:sz w:val="20"/>
                <w:szCs w:val="20"/>
                <w:lang w:val="es-ES_tradnl"/>
              </w:rPr>
              <w:t>posible archivo:</w:t>
            </w:r>
          </w:p>
        </w:tc>
        <w:tc>
          <w:tcPr>
            <w:tcW w:w="5647" w:type="dxa"/>
            <w:vAlign w:val="center"/>
          </w:tcPr>
          <w:p w14:paraId="6E85D194" w14:textId="45E8E367" w:rsidR="001E49E7" w:rsidRPr="00572BE9" w:rsidRDefault="007744B6" w:rsidP="002625EA">
            <w:pPr>
              <w:jc w:val="both"/>
              <w:rPr>
                <w:rFonts w:ascii="Cambria" w:hAnsi="Cambria"/>
                <w:bCs/>
                <w:sz w:val="20"/>
                <w:szCs w:val="20"/>
                <w:lang w:val="es-ES_tradnl"/>
              </w:rPr>
            </w:pPr>
            <w:r w:rsidRPr="00572BE9">
              <w:rPr>
                <w:rFonts w:ascii="Cambria" w:hAnsi="Cambria"/>
                <w:bCs/>
                <w:sz w:val="20"/>
                <w:szCs w:val="20"/>
                <w:lang w:val="es-ES_tradnl"/>
              </w:rPr>
              <w:t>9</w:t>
            </w:r>
            <w:r w:rsidR="007C715A" w:rsidRPr="00572BE9">
              <w:rPr>
                <w:rFonts w:ascii="Cambria" w:hAnsi="Cambria"/>
                <w:bCs/>
                <w:sz w:val="20"/>
                <w:szCs w:val="20"/>
                <w:lang w:val="es-ES_tradnl"/>
              </w:rPr>
              <w:t xml:space="preserve"> de noviembre de 2021</w:t>
            </w:r>
          </w:p>
        </w:tc>
      </w:tr>
    </w:tbl>
    <w:p w14:paraId="0FC6E9E8" w14:textId="77777777" w:rsidR="003239B8" w:rsidRPr="00572BE9" w:rsidRDefault="003239B8" w:rsidP="003239B8">
      <w:pPr>
        <w:spacing w:before="240" w:after="240"/>
        <w:ind w:firstLine="720"/>
        <w:jc w:val="both"/>
        <w:rPr>
          <w:rFonts w:asciiTheme="majorHAnsi" w:hAnsiTheme="majorHAnsi"/>
          <w:b/>
          <w:bCs/>
          <w:sz w:val="20"/>
          <w:szCs w:val="20"/>
          <w:lang w:val="es-ES_tradnl"/>
        </w:rPr>
      </w:pPr>
      <w:r w:rsidRPr="00572BE9">
        <w:rPr>
          <w:rFonts w:asciiTheme="majorHAnsi" w:hAnsiTheme="majorHAnsi"/>
          <w:b/>
          <w:bCs/>
          <w:sz w:val="20"/>
          <w:szCs w:val="20"/>
          <w:lang w:val="es-ES_tradnl"/>
        </w:rPr>
        <w:t xml:space="preserve">III. </w:t>
      </w:r>
      <w:r w:rsidRPr="00572BE9">
        <w:rPr>
          <w:rFonts w:asciiTheme="majorHAnsi" w:hAnsiTheme="majorHAnsi"/>
          <w:b/>
          <w:bCs/>
          <w:sz w:val="20"/>
          <w:szCs w:val="20"/>
          <w:lang w:val="es-ES_tradnl"/>
        </w:rPr>
        <w:tab/>
        <w:t>COMPETENCIA</w:t>
      </w:r>
      <w:r w:rsidR="00EE00E9" w:rsidRPr="00572BE9">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72BE9"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72BE9" w:rsidRDefault="003239B8" w:rsidP="008D2290">
            <w:pPr>
              <w:jc w:val="center"/>
              <w:rPr>
                <w:rFonts w:ascii="Cambria" w:hAnsi="Cambria"/>
                <w:b/>
                <w:bCs/>
                <w:i/>
                <w:color w:val="FFFFFF" w:themeColor="background1"/>
                <w:sz w:val="20"/>
                <w:szCs w:val="20"/>
                <w:lang w:val="es-ES_tradnl"/>
              </w:rPr>
            </w:pPr>
            <w:r w:rsidRPr="00572BE9">
              <w:rPr>
                <w:rFonts w:ascii="Cambria" w:hAnsi="Cambria"/>
                <w:b/>
                <w:bCs/>
                <w:color w:val="FFFFFF" w:themeColor="background1"/>
                <w:sz w:val="20"/>
                <w:szCs w:val="20"/>
                <w:lang w:val="es-ES_tradnl"/>
              </w:rPr>
              <w:t>Competencia</w:t>
            </w:r>
            <w:r w:rsidRPr="00572BE9">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572BE9" w:rsidRDefault="007C715A" w:rsidP="008D2290">
            <w:pPr>
              <w:rPr>
                <w:rFonts w:ascii="Cambria" w:hAnsi="Cambria"/>
                <w:bCs/>
                <w:sz w:val="20"/>
                <w:szCs w:val="20"/>
                <w:lang w:val="es-ES_tradnl"/>
              </w:rPr>
            </w:pPr>
            <w:r w:rsidRPr="00572BE9">
              <w:rPr>
                <w:rFonts w:ascii="Cambria" w:hAnsi="Cambria"/>
                <w:bCs/>
                <w:sz w:val="20"/>
                <w:szCs w:val="20"/>
                <w:lang w:val="es-ES_tradnl"/>
              </w:rPr>
              <w:t>Sí</w:t>
            </w:r>
          </w:p>
        </w:tc>
      </w:tr>
      <w:tr w:rsidR="003239B8" w:rsidRPr="00572BE9"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72BE9" w:rsidRDefault="003239B8" w:rsidP="008D2290">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Competencia</w:t>
            </w:r>
            <w:r w:rsidRPr="00572BE9">
              <w:rPr>
                <w:rFonts w:ascii="Cambria" w:hAnsi="Cambria"/>
                <w:b/>
                <w:bCs/>
                <w:i/>
                <w:color w:val="FFFFFF" w:themeColor="background1"/>
                <w:sz w:val="20"/>
                <w:szCs w:val="20"/>
                <w:lang w:val="es-ES_tradnl"/>
              </w:rPr>
              <w:t xml:space="preserve"> Ratione loci</w:t>
            </w:r>
            <w:r w:rsidRPr="00572BE9">
              <w:rPr>
                <w:rFonts w:ascii="Cambria" w:hAnsi="Cambria"/>
                <w:b/>
                <w:bCs/>
                <w:color w:val="FFFFFF" w:themeColor="background1"/>
                <w:sz w:val="20"/>
                <w:szCs w:val="20"/>
                <w:lang w:val="es-ES_tradnl"/>
              </w:rPr>
              <w:t>:</w:t>
            </w:r>
          </w:p>
        </w:tc>
        <w:tc>
          <w:tcPr>
            <w:tcW w:w="5760" w:type="dxa"/>
            <w:vAlign w:val="center"/>
          </w:tcPr>
          <w:p w14:paraId="77C8256A" w14:textId="386AB900" w:rsidR="003239B8" w:rsidRPr="00572BE9" w:rsidRDefault="007C715A" w:rsidP="008D2290">
            <w:pPr>
              <w:rPr>
                <w:rFonts w:ascii="Cambria" w:hAnsi="Cambria"/>
                <w:bCs/>
                <w:sz w:val="20"/>
                <w:szCs w:val="20"/>
                <w:lang w:val="es-ES_tradnl"/>
              </w:rPr>
            </w:pPr>
            <w:r w:rsidRPr="00572BE9">
              <w:rPr>
                <w:rFonts w:ascii="Cambria" w:hAnsi="Cambria"/>
                <w:bCs/>
                <w:sz w:val="20"/>
                <w:szCs w:val="20"/>
                <w:lang w:val="es-ES_tradnl"/>
              </w:rPr>
              <w:t xml:space="preserve">Sí </w:t>
            </w:r>
          </w:p>
        </w:tc>
      </w:tr>
      <w:tr w:rsidR="003239B8" w:rsidRPr="00572BE9"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72BE9" w:rsidRDefault="003239B8" w:rsidP="008D2290">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Competencia</w:t>
            </w:r>
            <w:r w:rsidRPr="00572BE9">
              <w:rPr>
                <w:rFonts w:ascii="Cambria" w:hAnsi="Cambria"/>
                <w:b/>
                <w:bCs/>
                <w:i/>
                <w:color w:val="FFFFFF" w:themeColor="background1"/>
                <w:sz w:val="20"/>
                <w:szCs w:val="20"/>
                <w:lang w:val="es-ES_tradnl"/>
              </w:rPr>
              <w:t xml:space="preserve"> Ratione temporis</w:t>
            </w:r>
            <w:r w:rsidRPr="00572BE9">
              <w:rPr>
                <w:rFonts w:ascii="Cambria" w:hAnsi="Cambria"/>
                <w:b/>
                <w:bCs/>
                <w:color w:val="FFFFFF" w:themeColor="background1"/>
                <w:sz w:val="20"/>
                <w:szCs w:val="20"/>
                <w:lang w:val="es-ES_tradnl"/>
              </w:rPr>
              <w:t>:</w:t>
            </w:r>
          </w:p>
        </w:tc>
        <w:tc>
          <w:tcPr>
            <w:tcW w:w="5760" w:type="dxa"/>
            <w:vAlign w:val="center"/>
          </w:tcPr>
          <w:p w14:paraId="523F6BD6" w14:textId="6964933A" w:rsidR="003239B8" w:rsidRPr="00572BE9" w:rsidRDefault="007C715A" w:rsidP="008D2290">
            <w:pPr>
              <w:rPr>
                <w:rFonts w:ascii="Cambria" w:hAnsi="Cambria"/>
                <w:bCs/>
                <w:sz w:val="20"/>
                <w:szCs w:val="20"/>
                <w:lang w:val="es-ES_tradnl"/>
              </w:rPr>
            </w:pPr>
            <w:r w:rsidRPr="00572BE9">
              <w:rPr>
                <w:rFonts w:ascii="Cambria" w:hAnsi="Cambria"/>
                <w:bCs/>
                <w:sz w:val="20"/>
                <w:szCs w:val="20"/>
                <w:lang w:val="es-ES_tradnl"/>
              </w:rPr>
              <w:t xml:space="preserve">Sí </w:t>
            </w:r>
          </w:p>
        </w:tc>
      </w:tr>
      <w:tr w:rsidR="003239B8" w:rsidRPr="003221CB"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72BE9" w:rsidRDefault="003239B8" w:rsidP="008D2290">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Competencia</w:t>
            </w:r>
            <w:r w:rsidRPr="00572BE9">
              <w:rPr>
                <w:rFonts w:ascii="Cambria" w:hAnsi="Cambria"/>
                <w:b/>
                <w:bCs/>
                <w:i/>
                <w:color w:val="FFFFFF" w:themeColor="background1"/>
                <w:sz w:val="20"/>
                <w:szCs w:val="20"/>
                <w:lang w:val="es-ES_tradnl"/>
              </w:rPr>
              <w:t xml:space="preserve"> Ratione materia</w:t>
            </w:r>
            <w:r w:rsidR="00EE00E9" w:rsidRPr="00572BE9">
              <w:rPr>
                <w:rFonts w:ascii="Cambria" w:hAnsi="Cambria"/>
                <w:b/>
                <w:bCs/>
                <w:i/>
                <w:color w:val="FFFFFF" w:themeColor="background1"/>
                <w:sz w:val="20"/>
                <w:szCs w:val="20"/>
                <w:lang w:val="es-ES_tradnl"/>
              </w:rPr>
              <w:t>e</w:t>
            </w:r>
            <w:r w:rsidRPr="00572BE9">
              <w:rPr>
                <w:rFonts w:ascii="Cambria" w:hAnsi="Cambria"/>
                <w:b/>
                <w:bCs/>
                <w:color w:val="FFFFFF" w:themeColor="background1"/>
                <w:sz w:val="20"/>
                <w:szCs w:val="20"/>
                <w:lang w:val="es-ES_tradnl"/>
              </w:rPr>
              <w:t>:</w:t>
            </w:r>
          </w:p>
        </w:tc>
        <w:tc>
          <w:tcPr>
            <w:tcW w:w="5760" w:type="dxa"/>
            <w:vAlign w:val="center"/>
          </w:tcPr>
          <w:p w14:paraId="257C8337" w14:textId="33AF3659" w:rsidR="003239B8" w:rsidRPr="00572BE9" w:rsidRDefault="007C715A" w:rsidP="008D2290">
            <w:pPr>
              <w:jc w:val="both"/>
              <w:rPr>
                <w:rFonts w:asciiTheme="majorHAnsi" w:hAnsiTheme="majorHAnsi"/>
                <w:bCs/>
                <w:sz w:val="20"/>
                <w:szCs w:val="20"/>
                <w:lang w:val="es-ES_tradnl"/>
              </w:rPr>
            </w:pPr>
            <w:r w:rsidRPr="00572BE9">
              <w:rPr>
                <w:rFonts w:asciiTheme="majorHAnsi" w:hAnsiTheme="majorHAnsi"/>
                <w:bCs/>
                <w:sz w:val="20"/>
                <w:szCs w:val="20"/>
                <w:lang w:val="es-ES_tradnl"/>
              </w:rPr>
              <w:t>Sí, Convención Americana (depósito de instrumento de ratificación realizado el 31 de julio de 1973)</w:t>
            </w:r>
          </w:p>
        </w:tc>
      </w:tr>
    </w:tbl>
    <w:p w14:paraId="299A3868" w14:textId="5D907D50" w:rsidR="003239B8" w:rsidRPr="00572BE9" w:rsidRDefault="003239B8" w:rsidP="003239B8">
      <w:pPr>
        <w:spacing w:before="240" w:after="240"/>
        <w:ind w:firstLine="720"/>
        <w:jc w:val="both"/>
        <w:rPr>
          <w:rFonts w:asciiTheme="majorHAnsi" w:hAnsiTheme="majorHAnsi"/>
          <w:b/>
          <w:bCs/>
          <w:sz w:val="20"/>
          <w:szCs w:val="20"/>
          <w:lang w:val="es-ES_tradnl"/>
        </w:rPr>
      </w:pPr>
      <w:r w:rsidRPr="00572BE9">
        <w:rPr>
          <w:rFonts w:asciiTheme="majorHAnsi" w:hAnsiTheme="majorHAnsi"/>
          <w:b/>
          <w:bCs/>
          <w:sz w:val="20"/>
          <w:szCs w:val="20"/>
          <w:lang w:val="es-ES_tradnl"/>
        </w:rPr>
        <w:lastRenderedPageBreak/>
        <w:t xml:space="preserve">IV. </w:t>
      </w:r>
      <w:r w:rsidRPr="00572BE9">
        <w:rPr>
          <w:rFonts w:asciiTheme="majorHAnsi" w:hAnsiTheme="majorHAnsi"/>
          <w:b/>
          <w:bCs/>
          <w:sz w:val="20"/>
          <w:szCs w:val="20"/>
          <w:lang w:val="es-ES_tradnl"/>
        </w:rPr>
        <w:tab/>
      </w:r>
      <w:r w:rsidR="00EE00E9" w:rsidRPr="00572BE9">
        <w:rPr>
          <w:rFonts w:asciiTheme="majorHAnsi" w:hAnsiTheme="majorHAnsi"/>
          <w:b/>
          <w:bCs/>
          <w:sz w:val="20"/>
          <w:szCs w:val="20"/>
          <w:lang w:val="es-ES_tradnl"/>
        </w:rPr>
        <w:t>DUPLICACIÓN</w:t>
      </w:r>
      <w:r w:rsidR="00EE00E9" w:rsidRPr="00572BE9">
        <w:rPr>
          <w:rFonts w:asciiTheme="majorHAnsi" w:hAnsiTheme="majorHAnsi"/>
          <w:b/>
          <w:bCs/>
          <w:color w:val="FFFFFF" w:themeColor="background1"/>
          <w:sz w:val="20"/>
          <w:szCs w:val="20"/>
          <w:lang w:val="es-ES_tradnl"/>
        </w:rPr>
        <w:t xml:space="preserve"> </w:t>
      </w:r>
      <w:r w:rsidR="00EE00E9" w:rsidRPr="00572BE9">
        <w:rPr>
          <w:rFonts w:asciiTheme="majorHAnsi" w:hAnsiTheme="majorHAnsi"/>
          <w:b/>
          <w:bCs/>
          <w:sz w:val="20"/>
          <w:szCs w:val="20"/>
          <w:lang w:val="es-ES_tradnl"/>
        </w:rPr>
        <w:t>DE PROCEDIMIENTOS Y COSA JUZGADA</w:t>
      </w:r>
      <w:r w:rsidR="00EE00E9" w:rsidRPr="00572BE9">
        <w:rPr>
          <w:rFonts w:asciiTheme="majorHAnsi" w:hAnsiTheme="majorHAnsi"/>
          <w:b/>
          <w:bCs/>
          <w:i/>
          <w:sz w:val="20"/>
          <w:szCs w:val="20"/>
          <w:lang w:val="es-ES_tradnl"/>
        </w:rPr>
        <w:t xml:space="preserve"> </w:t>
      </w:r>
      <w:r w:rsidR="00E61484" w:rsidRPr="00572BE9">
        <w:rPr>
          <w:rFonts w:asciiTheme="majorHAnsi" w:hAnsiTheme="majorHAnsi"/>
          <w:b/>
          <w:bCs/>
          <w:sz w:val="20"/>
          <w:szCs w:val="20"/>
          <w:lang w:val="es-ES_tradnl"/>
        </w:rPr>
        <w:t>INTERNACIONAL, CARACTERIZACIÓN</w:t>
      </w:r>
      <w:r w:rsidRPr="00572BE9">
        <w:rPr>
          <w:rFonts w:asciiTheme="majorHAnsi" w:hAnsiTheme="majorHAnsi"/>
          <w:b/>
          <w:bCs/>
          <w:sz w:val="20"/>
          <w:szCs w:val="20"/>
          <w:lang w:val="es-ES_tradnl"/>
        </w:rPr>
        <w:t xml:space="preserve">, </w:t>
      </w:r>
      <w:r w:rsidRPr="00572BE9">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8"/>
        <w:gridCol w:w="5674"/>
      </w:tblGrid>
      <w:tr w:rsidR="00EE00E9" w:rsidRPr="00572BE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72BE9" w:rsidRDefault="00EE00E9" w:rsidP="008D2290">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572BE9" w:rsidRDefault="00BD01F0" w:rsidP="008D2290">
            <w:pPr>
              <w:jc w:val="both"/>
              <w:rPr>
                <w:rFonts w:ascii="Cambria" w:hAnsi="Cambria"/>
                <w:bCs/>
                <w:sz w:val="20"/>
                <w:szCs w:val="20"/>
                <w:lang w:val="es-ES_tradnl"/>
              </w:rPr>
            </w:pPr>
            <w:r w:rsidRPr="00572BE9">
              <w:rPr>
                <w:rFonts w:ascii="Cambria" w:hAnsi="Cambria"/>
                <w:bCs/>
                <w:sz w:val="20"/>
                <w:szCs w:val="20"/>
                <w:lang w:val="es-ES_tradnl"/>
              </w:rPr>
              <w:t>No</w:t>
            </w:r>
          </w:p>
        </w:tc>
      </w:tr>
      <w:tr w:rsidR="003239B8" w:rsidRPr="00572BE9"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72BE9" w:rsidRDefault="003239B8" w:rsidP="008D2290">
            <w:pPr>
              <w:jc w:val="center"/>
              <w:rPr>
                <w:rFonts w:ascii="Cambria" w:hAnsi="Cambria"/>
                <w:b/>
                <w:bCs/>
                <w:i/>
                <w:color w:val="FFFFFF" w:themeColor="background1"/>
                <w:sz w:val="20"/>
                <w:szCs w:val="20"/>
                <w:lang w:val="es-ES_tradnl"/>
              </w:rPr>
            </w:pPr>
            <w:r w:rsidRPr="00572BE9">
              <w:rPr>
                <w:rFonts w:ascii="Cambria" w:hAnsi="Cambria"/>
                <w:b/>
                <w:bCs/>
                <w:color w:val="FFFFFF" w:themeColor="background1"/>
                <w:sz w:val="20"/>
                <w:szCs w:val="20"/>
                <w:lang w:val="es-ES_tradnl"/>
              </w:rPr>
              <w:t>Derechos declarados admisibles</w:t>
            </w:r>
            <w:r w:rsidRPr="00572BE9">
              <w:rPr>
                <w:rFonts w:ascii="Cambria" w:hAnsi="Cambria"/>
                <w:b/>
                <w:bCs/>
                <w:i/>
                <w:color w:val="FFFFFF" w:themeColor="background1"/>
                <w:sz w:val="20"/>
                <w:szCs w:val="20"/>
                <w:lang w:val="es-ES_tradnl"/>
              </w:rPr>
              <w:t>:</w:t>
            </w:r>
          </w:p>
        </w:tc>
        <w:tc>
          <w:tcPr>
            <w:tcW w:w="5760" w:type="dxa"/>
            <w:vAlign w:val="center"/>
          </w:tcPr>
          <w:p w14:paraId="4DAE9D4D" w14:textId="2939DC24" w:rsidR="00FF6087" w:rsidRPr="00572BE9" w:rsidRDefault="00152C49" w:rsidP="00E53400">
            <w:pPr>
              <w:jc w:val="both"/>
              <w:rPr>
                <w:rFonts w:ascii="Cambria" w:hAnsi="Cambria"/>
                <w:bCs/>
                <w:sz w:val="20"/>
                <w:szCs w:val="20"/>
                <w:lang w:val="es-ES_tradnl"/>
              </w:rPr>
            </w:pPr>
            <w:r>
              <w:rPr>
                <w:rFonts w:asciiTheme="majorHAnsi" w:hAnsiTheme="majorHAnsi"/>
                <w:bCs/>
                <w:sz w:val="20"/>
                <w:szCs w:val="20"/>
                <w:lang w:val="es-ES_tradnl"/>
              </w:rPr>
              <w:t>N/A</w:t>
            </w:r>
          </w:p>
        </w:tc>
      </w:tr>
      <w:tr w:rsidR="003239B8" w:rsidRPr="00572BE9"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72BE9" w:rsidRDefault="003239B8" w:rsidP="008D2290">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Agotamiento de recursos internos</w:t>
            </w:r>
            <w:r w:rsidR="00EE00E9" w:rsidRPr="00572BE9">
              <w:rPr>
                <w:rFonts w:ascii="Cambria" w:hAnsi="Cambria"/>
                <w:b/>
                <w:bCs/>
                <w:color w:val="FFFFFF" w:themeColor="background1"/>
                <w:sz w:val="20"/>
                <w:szCs w:val="20"/>
                <w:lang w:val="es-ES_tradnl"/>
              </w:rPr>
              <w:t xml:space="preserve"> o procedencia de una excepción</w:t>
            </w:r>
            <w:r w:rsidRPr="00572BE9">
              <w:rPr>
                <w:rFonts w:ascii="Cambria" w:hAnsi="Cambria"/>
                <w:b/>
                <w:bCs/>
                <w:color w:val="FFFFFF" w:themeColor="background1"/>
                <w:sz w:val="20"/>
                <w:szCs w:val="20"/>
                <w:lang w:val="es-ES_tradnl"/>
              </w:rPr>
              <w:t>:</w:t>
            </w:r>
          </w:p>
        </w:tc>
        <w:tc>
          <w:tcPr>
            <w:tcW w:w="5760" w:type="dxa"/>
            <w:vAlign w:val="center"/>
          </w:tcPr>
          <w:p w14:paraId="7F7C1A19" w14:textId="7C50E0BC" w:rsidR="003239B8" w:rsidRPr="00572BE9" w:rsidRDefault="00360587" w:rsidP="008D2290">
            <w:pPr>
              <w:rPr>
                <w:rFonts w:ascii="Cambria" w:hAnsi="Cambria"/>
                <w:bCs/>
                <w:sz w:val="20"/>
                <w:szCs w:val="20"/>
                <w:lang w:val="es-ES_tradnl"/>
              </w:rPr>
            </w:pPr>
            <w:r w:rsidRPr="00572BE9">
              <w:rPr>
                <w:rFonts w:asciiTheme="majorHAnsi" w:hAnsiTheme="majorHAnsi"/>
                <w:bCs/>
                <w:sz w:val="20"/>
                <w:szCs w:val="20"/>
                <w:lang w:val="es-ES_tradnl"/>
              </w:rPr>
              <w:t>No</w:t>
            </w:r>
          </w:p>
        </w:tc>
      </w:tr>
      <w:tr w:rsidR="003239B8" w:rsidRPr="00572BE9"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72BE9" w:rsidRDefault="003239B8" w:rsidP="008D2290">
            <w:pPr>
              <w:jc w:val="center"/>
              <w:rPr>
                <w:rFonts w:ascii="Cambria" w:hAnsi="Cambria"/>
                <w:b/>
                <w:bCs/>
                <w:color w:val="FFFFFF" w:themeColor="background1"/>
                <w:sz w:val="20"/>
                <w:szCs w:val="20"/>
                <w:lang w:val="es-ES_tradnl"/>
              </w:rPr>
            </w:pPr>
            <w:r w:rsidRPr="00572BE9">
              <w:rPr>
                <w:rFonts w:ascii="Cambria" w:hAnsi="Cambria"/>
                <w:b/>
                <w:bCs/>
                <w:color w:val="FFFFFF" w:themeColor="background1"/>
                <w:sz w:val="20"/>
                <w:szCs w:val="20"/>
                <w:lang w:val="es-ES_tradnl"/>
              </w:rPr>
              <w:t>Presentación dentro de plazo:</w:t>
            </w:r>
          </w:p>
        </w:tc>
        <w:tc>
          <w:tcPr>
            <w:tcW w:w="5760" w:type="dxa"/>
            <w:vAlign w:val="center"/>
          </w:tcPr>
          <w:p w14:paraId="2AF0FC69" w14:textId="7ECC11B1" w:rsidR="003239B8" w:rsidRPr="00572BE9" w:rsidRDefault="00EA665E" w:rsidP="008D2290">
            <w:pPr>
              <w:rPr>
                <w:rFonts w:ascii="Cambria" w:hAnsi="Cambria"/>
                <w:bCs/>
                <w:sz w:val="20"/>
                <w:szCs w:val="20"/>
                <w:lang w:val="es-ES_tradnl"/>
              </w:rPr>
            </w:pPr>
            <w:r>
              <w:rPr>
                <w:rFonts w:ascii="Cambria" w:hAnsi="Cambria"/>
                <w:bCs/>
                <w:sz w:val="20"/>
                <w:szCs w:val="20"/>
                <w:lang w:val="es-ES_tradnl"/>
              </w:rPr>
              <w:t>No</w:t>
            </w:r>
          </w:p>
        </w:tc>
      </w:tr>
    </w:tbl>
    <w:p w14:paraId="56FD5D57" w14:textId="6B800BB2" w:rsidR="003239B8" w:rsidRPr="00572BE9" w:rsidRDefault="00223A29" w:rsidP="003239B8">
      <w:pPr>
        <w:spacing w:before="240" w:after="240"/>
        <w:ind w:firstLine="720"/>
        <w:jc w:val="both"/>
        <w:rPr>
          <w:rFonts w:asciiTheme="majorHAnsi" w:hAnsiTheme="majorHAnsi"/>
          <w:b/>
          <w:sz w:val="20"/>
          <w:szCs w:val="20"/>
          <w:lang w:val="es-ES_tradnl"/>
        </w:rPr>
      </w:pPr>
      <w:r w:rsidRPr="00572BE9">
        <w:rPr>
          <w:rFonts w:asciiTheme="majorHAnsi" w:hAnsiTheme="majorHAnsi"/>
          <w:b/>
          <w:sz w:val="20"/>
          <w:szCs w:val="20"/>
          <w:lang w:val="es-ES_tradnl"/>
        </w:rPr>
        <w:t xml:space="preserve">V. </w:t>
      </w:r>
      <w:r w:rsidRPr="00572BE9">
        <w:rPr>
          <w:rFonts w:asciiTheme="majorHAnsi" w:hAnsiTheme="majorHAnsi"/>
          <w:b/>
          <w:sz w:val="20"/>
          <w:szCs w:val="20"/>
          <w:lang w:val="es-ES_tradnl"/>
        </w:rPr>
        <w:tab/>
      </w:r>
      <w:r w:rsidR="004241A0" w:rsidRPr="00572BE9">
        <w:rPr>
          <w:rFonts w:asciiTheme="majorHAnsi" w:hAnsiTheme="majorHAnsi"/>
          <w:b/>
          <w:sz w:val="20"/>
          <w:szCs w:val="20"/>
          <w:lang w:val="es-ES_tradnl"/>
        </w:rPr>
        <w:t>POSICIÓN DE LAS PARTES</w:t>
      </w:r>
      <w:r w:rsidR="003239B8" w:rsidRPr="00572BE9">
        <w:rPr>
          <w:rFonts w:asciiTheme="majorHAnsi" w:hAnsiTheme="majorHAnsi"/>
          <w:b/>
          <w:sz w:val="20"/>
          <w:szCs w:val="20"/>
          <w:lang w:val="es-ES_tradnl"/>
        </w:rPr>
        <w:t xml:space="preserve"> </w:t>
      </w:r>
    </w:p>
    <w:p w14:paraId="2A4D917E" w14:textId="6CA12783" w:rsidR="00766407" w:rsidRPr="00572BE9" w:rsidRDefault="00766407" w:rsidP="003239B8">
      <w:pPr>
        <w:spacing w:before="240" w:after="240"/>
        <w:ind w:firstLine="720"/>
        <w:jc w:val="both"/>
        <w:rPr>
          <w:rFonts w:asciiTheme="majorHAnsi" w:hAnsiTheme="majorHAnsi"/>
          <w:bCs/>
          <w:i/>
          <w:iCs/>
          <w:sz w:val="20"/>
          <w:szCs w:val="20"/>
          <w:lang w:val="es-ES_tradnl"/>
        </w:rPr>
      </w:pPr>
      <w:r w:rsidRPr="00572BE9">
        <w:rPr>
          <w:rFonts w:asciiTheme="majorHAnsi" w:hAnsiTheme="majorHAnsi"/>
          <w:bCs/>
          <w:i/>
          <w:iCs/>
          <w:sz w:val="20"/>
          <w:szCs w:val="20"/>
          <w:lang w:val="es-ES_tradnl"/>
        </w:rPr>
        <w:t>Alegatos del peticionario</w:t>
      </w:r>
    </w:p>
    <w:p w14:paraId="472695CE" w14:textId="66995B81" w:rsidR="00926258" w:rsidRPr="00572BE9" w:rsidRDefault="00E61484" w:rsidP="00B10411">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El peticionario aduce que las </w:t>
      </w:r>
      <w:r w:rsidR="00C47401" w:rsidRPr="00572BE9">
        <w:rPr>
          <w:rFonts w:asciiTheme="majorHAnsi" w:hAnsiTheme="majorHAnsi"/>
          <w:bCs/>
          <w:sz w:val="20"/>
          <w:szCs w:val="20"/>
          <w:lang w:val="es-ES_tradnl"/>
        </w:rPr>
        <w:t xml:space="preserve">seis presuntas víctimas </w:t>
      </w:r>
      <w:r w:rsidR="00203BAD" w:rsidRPr="00572BE9">
        <w:rPr>
          <w:rFonts w:asciiTheme="majorHAnsi" w:hAnsiTheme="majorHAnsi"/>
          <w:bCs/>
          <w:sz w:val="20"/>
          <w:szCs w:val="20"/>
          <w:lang w:val="es-ES_tradnl"/>
        </w:rPr>
        <w:t xml:space="preserve">son integrantes de </w:t>
      </w:r>
      <w:r w:rsidR="00C47401" w:rsidRPr="00572BE9">
        <w:rPr>
          <w:rFonts w:asciiTheme="majorHAnsi" w:hAnsiTheme="majorHAnsi"/>
          <w:bCs/>
          <w:sz w:val="20"/>
          <w:szCs w:val="20"/>
          <w:lang w:val="es-ES_tradnl"/>
        </w:rPr>
        <w:t xml:space="preserve">una familia </w:t>
      </w:r>
      <w:r w:rsidR="00572BE9" w:rsidRPr="00572BE9">
        <w:rPr>
          <w:rFonts w:asciiTheme="majorHAnsi" w:hAnsiTheme="majorHAnsi"/>
          <w:bCs/>
          <w:sz w:val="20"/>
          <w:szCs w:val="20"/>
          <w:lang w:val="es-ES_tradnl"/>
        </w:rPr>
        <w:t xml:space="preserve">y </w:t>
      </w:r>
      <w:r w:rsidRPr="00572BE9">
        <w:rPr>
          <w:rFonts w:asciiTheme="majorHAnsi" w:hAnsiTheme="majorHAnsi"/>
          <w:bCs/>
          <w:sz w:val="20"/>
          <w:szCs w:val="20"/>
          <w:lang w:val="es-ES_tradnl"/>
        </w:rPr>
        <w:t>que fueron desplazados forzadamente de Puerto Alvira del municipio de Mapiripán</w:t>
      </w:r>
      <w:r w:rsidR="008D64C4" w:rsidRPr="00572BE9">
        <w:rPr>
          <w:rFonts w:asciiTheme="majorHAnsi" w:hAnsiTheme="majorHAnsi"/>
          <w:bCs/>
          <w:sz w:val="20"/>
          <w:szCs w:val="20"/>
          <w:lang w:val="es-ES_tradnl"/>
        </w:rPr>
        <w:t xml:space="preserve">, departamento de </w:t>
      </w:r>
      <w:r w:rsidRPr="00572BE9">
        <w:rPr>
          <w:rFonts w:asciiTheme="majorHAnsi" w:hAnsiTheme="majorHAnsi"/>
          <w:bCs/>
          <w:sz w:val="20"/>
          <w:szCs w:val="20"/>
          <w:lang w:val="es-ES_tradnl"/>
        </w:rPr>
        <w:t>Meta</w:t>
      </w:r>
      <w:r w:rsidR="008D64C4" w:rsidRPr="00572BE9">
        <w:rPr>
          <w:rFonts w:asciiTheme="majorHAnsi" w:hAnsiTheme="majorHAnsi"/>
          <w:bCs/>
          <w:sz w:val="20"/>
          <w:szCs w:val="20"/>
          <w:lang w:val="es-ES_tradnl"/>
        </w:rPr>
        <w:t>,</w:t>
      </w:r>
      <w:r w:rsidRPr="00572BE9">
        <w:rPr>
          <w:rFonts w:asciiTheme="majorHAnsi" w:hAnsiTheme="majorHAnsi"/>
          <w:bCs/>
          <w:sz w:val="20"/>
          <w:szCs w:val="20"/>
          <w:lang w:val="es-ES_tradnl"/>
        </w:rPr>
        <w:t xml:space="preserve"> por paramilitares</w:t>
      </w:r>
      <w:r w:rsidR="008D64C4" w:rsidRPr="00572BE9">
        <w:rPr>
          <w:rFonts w:asciiTheme="majorHAnsi" w:hAnsiTheme="majorHAnsi"/>
          <w:bCs/>
          <w:sz w:val="20"/>
          <w:szCs w:val="20"/>
          <w:lang w:val="es-ES_tradnl"/>
        </w:rPr>
        <w:t xml:space="preserve">. Alega la </w:t>
      </w:r>
      <w:r w:rsidR="003878C8" w:rsidRPr="00572BE9">
        <w:rPr>
          <w:rFonts w:asciiTheme="majorHAnsi" w:hAnsiTheme="majorHAnsi"/>
          <w:bCs/>
          <w:sz w:val="20"/>
          <w:szCs w:val="20"/>
          <w:lang w:val="es-ES_tradnl"/>
        </w:rPr>
        <w:t xml:space="preserve">responsabilidad </w:t>
      </w:r>
      <w:r w:rsidR="008D64C4" w:rsidRPr="00572BE9">
        <w:rPr>
          <w:rFonts w:asciiTheme="majorHAnsi" w:hAnsiTheme="majorHAnsi"/>
          <w:bCs/>
          <w:sz w:val="20"/>
          <w:szCs w:val="20"/>
          <w:lang w:val="es-ES_tradnl"/>
        </w:rPr>
        <w:t xml:space="preserve">internacional </w:t>
      </w:r>
      <w:r w:rsidR="003878C8" w:rsidRPr="00572BE9">
        <w:rPr>
          <w:rFonts w:asciiTheme="majorHAnsi" w:hAnsiTheme="majorHAnsi"/>
          <w:bCs/>
          <w:sz w:val="20"/>
          <w:szCs w:val="20"/>
          <w:lang w:val="es-ES_tradnl"/>
        </w:rPr>
        <w:t xml:space="preserve">del Estado colombiano por </w:t>
      </w:r>
      <w:r w:rsidR="00C47401" w:rsidRPr="00572BE9">
        <w:rPr>
          <w:rFonts w:asciiTheme="majorHAnsi" w:hAnsiTheme="majorHAnsi"/>
          <w:bCs/>
          <w:sz w:val="20"/>
          <w:szCs w:val="20"/>
          <w:lang w:val="es-ES_tradnl"/>
        </w:rPr>
        <w:t>omisión</w:t>
      </w:r>
      <w:r w:rsidR="003878C8" w:rsidRPr="00572BE9">
        <w:rPr>
          <w:rFonts w:asciiTheme="majorHAnsi" w:hAnsiTheme="majorHAnsi"/>
          <w:bCs/>
          <w:sz w:val="20"/>
          <w:szCs w:val="20"/>
          <w:lang w:val="es-ES_tradnl"/>
        </w:rPr>
        <w:t xml:space="preserve"> </w:t>
      </w:r>
      <w:r w:rsidR="00C47401" w:rsidRPr="00572BE9">
        <w:rPr>
          <w:rFonts w:asciiTheme="majorHAnsi" w:hAnsiTheme="majorHAnsi"/>
          <w:bCs/>
          <w:sz w:val="20"/>
          <w:szCs w:val="20"/>
          <w:lang w:val="es-ES_tradnl"/>
        </w:rPr>
        <w:t>en la protección de la zona y</w:t>
      </w:r>
      <w:r w:rsidR="003878C8" w:rsidRPr="00572BE9">
        <w:rPr>
          <w:rFonts w:asciiTheme="majorHAnsi" w:hAnsiTheme="majorHAnsi"/>
          <w:bCs/>
          <w:sz w:val="20"/>
          <w:szCs w:val="20"/>
          <w:lang w:val="es-ES_tradnl"/>
        </w:rPr>
        <w:t xml:space="preserve"> </w:t>
      </w:r>
      <w:r w:rsidR="002F6E38" w:rsidRPr="00572BE9">
        <w:rPr>
          <w:rFonts w:asciiTheme="majorHAnsi" w:hAnsiTheme="majorHAnsi"/>
          <w:bCs/>
          <w:sz w:val="20"/>
          <w:szCs w:val="20"/>
          <w:lang w:val="es-ES_tradnl"/>
        </w:rPr>
        <w:t>la prolongación excesiva</w:t>
      </w:r>
      <w:r w:rsidR="00203BAD" w:rsidRPr="00572BE9">
        <w:rPr>
          <w:rFonts w:asciiTheme="majorHAnsi" w:hAnsiTheme="majorHAnsi"/>
          <w:bCs/>
          <w:sz w:val="20"/>
          <w:szCs w:val="20"/>
          <w:lang w:val="es-ES_tradnl"/>
        </w:rPr>
        <w:t xml:space="preserve"> la</w:t>
      </w:r>
      <w:r w:rsidR="003878C8" w:rsidRPr="00572BE9">
        <w:rPr>
          <w:rFonts w:asciiTheme="majorHAnsi" w:hAnsiTheme="majorHAnsi"/>
          <w:bCs/>
          <w:sz w:val="20"/>
          <w:szCs w:val="20"/>
          <w:lang w:val="es-ES_tradnl"/>
        </w:rPr>
        <w:t xml:space="preserve"> </w:t>
      </w:r>
      <w:r w:rsidR="00C47401" w:rsidRPr="00572BE9">
        <w:rPr>
          <w:rFonts w:asciiTheme="majorHAnsi" w:hAnsiTheme="majorHAnsi"/>
          <w:bCs/>
          <w:sz w:val="20"/>
          <w:szCs w:val="20"/>
          <w:lang w:val="es-ES_tradnl"/>
        </w:rPr>
        <w:t>investigación</w:t>
      </w:r>
      <w:r w:rsidR="003878C8" w:rsidRPr="00572BE9">
        <w:rPr>
          <w:rFonts w:asciiTheme="majorHAnsi" w:hAnsiTheme="majorHAnsi"/>
          <w:bCs/>
          <w:sz w:val="20"/>
          <w:szCs w:val="20"/>
          <w:lang w:val="es-ES_tradnl"/>
        </w:rPr>
        <w:t xml:space="preserve"> de los hechos</w:t>
      </w:r>
      <w:r w:rsidR="00C47401" w:rsidRPr="00572BE9">
        <w:rPr>
          <w:rFonts w:asciiTheme="majorHAnsi" w:hAnsiTheme="majorHAnsi"/>
          <w:bCs/>
          <w:sz w:val="20"/>
          <w:szCs w:val="20"/>
          <w:lang w:val="es-ES_tradnl"/>
        </w:rPr>
        <w:t xml:space="preserve"> y sanción a los responsables. </w:t>
      </w:r>
    </w:p>
    <w:p w14:paraId="0DCFA277" w14:textId="3C9EED8C" w:rsidR="00FC083D" w:rsidRPr="00572BE9" w:rsidRDefault="008D64C4" w:rsidP="00B10411">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En su petición inicial, el peticionario presenta los siguientes hechos: el 4 de mayo de 1998 las presuntas víctimas fueron desplazadas de la población de Puerto Alvira por paramilitares de las Autodefensas Unidas de Colombia en total estado de indefensión, causándoseles un grave daño económico y moral</w:t>
      </w:r>
      <w:r w:rsidRPr="00572BE9">
        <w:rPr>
          <w:rFonts w:asciiTheme="majorHAnsi" w:hAnsiTheme="majorHAnsi"/>
          <w:bCs/>
          <w:i/>
          <w:iCs/>
          <w:sz w:val="20"/>
          <w:szCs w:val="20"/>
          <w:lang w:val="es-ES_tradnl"/>
        </w:rPr>
        <w:t xml:space="preserve"> “no superado hasta ahora”</w:t>
      </w:r>
      <w:r w:rsidRPr="00572BE9">
        <w:rPr>
          <w:rFonts w:asciiTheme="majorHAnsi" w:hAnsiTheme="majorHAnsi"/>
          <w:bCs/>
          <w:sz w:val="20"/>
          <w:szCs w:val="20"/>
          <w:lang w:val="es-ES_tradnl"/>
        </w:rPr>
        <w:t xml:space="preserve">, según apunta. Según alega existió una omisión del Estado de su deber de prevenir los hechos. Que el Estado no ha indemnizado de manera justa a las presuntas víctimas por los daños morales y económicos causados. </w:t>
      </w:r>
      <w:r w:rsidR="00FC083D" w:rsidRPr="00572BE9">
        <w:rPr>
          <w:rFonts w:asciiTheme="majorHAnsi" w:hAnsiTheme="majorHAnsi"/>
          <w:bCs/>
          <w:sz w:val="20"/>
          <w:szCs w:val="20"/>
          <w:lang w:val="es-ES_tradnl"/>
        </w:rPr>
        <w:t>Igualmente dice textualmente: “</w:t>
      </w:r>
      <w:r w:rsidR="00FC083D" w:rsidRPr="00572BE9">
        <w:rPr>
          <w:rFonts w:asciiTheme="majorHAnsi" w:hAnsiTheme="majorHAnsi"/>
          <w:bCs/>
          <w:i/>
          <w:iCs/>
          <w:sz w:val="20"/>
          <w:szCs w:val="20"/>
          <w:lang w:val="es-ES_tradnl"/>
        </w:rPr>
        <w:t>en el presente caso no se ha recurrido a la Jurisdicción Interna del Estado de Colombia, por encontrarse vencidos los términos para reclamar</w:t>
      </w:r>
      <w:r w:rsidR="00FC083D" w:rsidRPr="00572BE9">
        <w:rPr>
          <w:rFonts w:asciiTheme="majorHAnsi" w:hAnsiTheme="majorHAnsi"/>
          <w:bCs/>
          <w:sz w:val="20"/>
          <w:szCs w:val="20"/>
          <w:lang w:val="es-ES_tradnl"/>
        </w:rPr>
        <w:t>”. En cuanto a los recursos internos, el peticionario se limita a decir que “</w:t>
      </w:r>
      <w:r w:rsidR="00FC083D" w:rsidRPr="00572BE9">
        <w:rPr>
          <w:rFonts w:asciiTheme="majorHAnsi" w:hAnsiTheme="majorHAnsi"/>
          <w:bCs/>
          <w:i/>
          <w:iCs/>
          <w:sz w:val="20"/>
          <w:szCs w:val="20"/>
          <w:lang w:val="es-ES_tradnl"/>
        </w:rPr>
        <w:t xml:space="preserve">en el presente caso se recurrió a la jurisdicción interna […], posteriormente el Estado colombiano abrió un proceso con la ley 975 de 2005, con el ánimo que se supiera la verdad se hiciera justicia y reparara, pero ninguno de los tres objetivos se </w:t>
      </w:r>
      <w:r w:rsidR="00AB452E" w:rsidRPr="00572BE9">
        <w:rPr>
          <w:rFonts w:asciiTheme="majorHAnsi" w:hAnsiTheme="majorHAnsi"/>
          <w:bCs/>
          <w:i/>
          <w:iCs/>
          <w:sz w:val="20"/>
          <w:szCs w:val="20"/>
          <w:lang w:val="es-ES_tradnl"/>
        </w:rPr>
        <w:t>alcanzó</w:t>
      </w:r>
      <w:r w:rsidR="00FC083D" w:rsidRPr="00572BE9">
        <w:rPr>
          <w:rFonts w:asciiTheme="majorHAnsi" w:hAnsiTheme="majorHAnsi"/>
          <w:bCs/>
          <w:i/>
          <w:iCs/>
          <w:sz w:val="20"/>
          <w:szCs w:val="20"/>
          <w:lang w:val="es-ES_tradnl"/>
        </w:rPr>
        <w:t xml:space="preserve"> (sic)</w:t>
      </w:r>
      <w:r w:rsidR="00FC083D" w:rsidRPr="00572BE9">
        <w:rPr>
          <w:rFonts w:asciiTheme="majorHAnsi" w:hAnsiTheme="majorHAnsi"/>
          <w:bCs/>
          <w:sz w:val="20"/>
          <w:szCs w:val="20"/>
          <w:lang w:val="es-ES_tradnl"/>
        </w:rPr>
        <w:t>”. Luego critica en términos genéricos a la jurisdicción de justicia y paz.</w:t>
      </w:r>
    </w:p>
    <w:p w14:paraId="5DF9ED89" w14:textId="3FF87D12" w:rsidR="00FC083D" w:rsidRPr="00572BE9" w:rsidRDefault="002A38B1" w:rsidP="00B10411">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Ante la evidente escasez de información aportada por el peticionario en su petición inicial, y en el ánimo de darle la oportunidad de que completara su petición, </w:t>
      </w:r>
      <w:r w:rsidR="00F065C0" w:rsidRPr="00572BE9">
        <w:rPr>
          <w:rFonts w:asciiTheme="majorHAnsi" w:hAnsiTheme="majorHAnsi"/>
          <w:bCs/>
          <w:sz w:val="20"/>
          <w:szCs w:val="20"/>
          <w:lang w:val="es-ES_tradnl"/>
        </w:rPr>
        <w:t xml:space="preserve">en 2016 </w:t>
      </w:r>
      <w:r w:rsidRPr="00572BE9">
        <w:rPr>
          <w:rFonts w:asciiTheme="majorHAnsi" w:hAnsiTheme="majorHAnsi"/>
          <w:bCs/>
          <w:sz w:val="20"/>
          <w:szCs w:val="20"/>
          <w:lang w:val="es-ES_tradnl"/>
        </w:rPr>
        <w:t>la Secretaría Ejecutiva facultada por el artículo 26 del Reglamento de la institución le dirigió al peticionario una solicitud de información comprensiva</w:t>
      </w:r>
      <w:r w:rsidR="00C55E72" w:rsidRPr="00572BE9">
        <w:rPr>
          <w:rFonts w:asciiTheme="majorHAnsi" w:hAnsiTheme="majorHAnsi"/>
          <w:bCs/>
          <w:sz w:val="20"/>
          <w:szCs w:val="20"/>
          <w:lang w:val="es-ES_tradnl"/>
        </w:rPr>
        <w:t xml:space="preserve"> consistente en seis preguntas puntuales,</w:t>
      </w:r>
      <w:r w:rsidRPr="00572BE9">
        <w:rPr>
          <w:rFonts w:asciiTheme="majorHAnsi" w:hAnsiTheme="majorHAnsi"/>
          <w:bCs/>
          <w:sz w:val="20"/>
          <w:szCs w:val="20"/>
          <w:lang w:val="es-ES_tradnl"/>
        </w:rPr>
        <w:t xml:space="preserve"> </w:t>
      </w:r>
      <w:r w:rsidR="00C55E72" w:rsidRPr="00572BE9">
        <w:rPr>
          <w:rFonts w:asciiTheme="majorHAnsi" w:hAnsiTheme="majorHAnsi"/>
          <w:bCs/>
          <w:sz w:val="20"/>
          <w:szCs w:val="20"/>
          <w:lang w:val="es-ES_tradnl"/>
        </w:rPr>
        <w:t>a las que el peticionario</w:t>
      </w:r>
      <w:r w:rsidRPr="00572BE9">
        <w:rPr>
          <w:rFonts w:asciiTheme="majorHAnsi" w:hAnsiTheme="majorHAnsi"/>
          <w:bCs/>
          <w:sz w:val="20"/>
          <w:szCs w:val="20"/>
          <w:lang w:val="es-ES_tradnl"/>
        </w:rPr>
        <w:t xml:space="preserve"> respondió</w:t>
      </w:r>
      <w:r w:rsidR="00C55E72" w:rsidRPr="00572BE9">
        <w:rPr>
          <w:rFonts w:asciiTheme="majorHAnsi" w:hAnsiTheme="majorHAnsi"/>
          <w:bCs/>
          <w:sz w:val="20"/>
          <w:szCs w:val="20"/>
          <w:lang w:val="es-ES_tradnl"/>
        </w:rPr>
        <w:t xml:space="preserve"> a tres de ellas</w:t>
      </w:r>
      <w:r w:rsidR="00563ACE" w:rsidRPr="00572BE9">
        <w:rPr>
          <w:rFonts w:asciiTheme="majorHAnsi" w:hAnsiTheme="majorHAnsi"/>
          <w:bCs/>
          <w:sz w:val="20"/>
          <w:szCs w:val="20"/>
          <w:lang w:val="es-ES_tradnl"/>
        </w:rPr>
        <w:t>, en 2018,</w:t>
      </w:r>
      <w:r w:rsidRPr="00572BE9">
        <w:rPr>
          <w:rFonts w:asciiTheme="majorHAnsi" w:hAnsiTheme="majorHAnsi"/>
          <w:bCs/>
          <w:sz w:val="20"/>
          <w:szCs w:val="20"/>
          <w:lang w:val="es-ES_tradnl"/>
        </w:rPr>
        <w:t xml:space="preserve"> de la siguiente manera:</w:t>
      </w:r>
    </w:p>
    <w:p w14:paraId="459B1CEE" w14:textId="0B909542" w:rsidR="002A38B1" w:rsidRPr="00572BE9" w:rsidRDefault="002A38B1" w:rsidP="002A38B1">
      <w:pPr>
        <w:pStyle w:val="ListParagraph"/>
        <w:spacing w:before="240" w:after="240"/>
        <w:ind w:left="709"/>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a) </w:t>
      </w:r>
      <w:r w:rsidRPr="00572BE9">
        <w:rPr>
          <w:rFonts w:asciiTheme="majorHAnsi" w:hAnsiTheme="majorHAnsi"/>
          <w:bCs/>
          <w:sz w:val="20"/>
          <w:szCs w:val="20"/>
          <w:lang w:val="es-ES_tradnl"/>
        </w:rPr>
        <w:tab/>
      </w:r>
      <w:r w:rsidRPr="00572BE9">
        <w:rPr>
          <w:rFonts w:asciiTheme="majorHAnsi" w:hAnsiTheme="majorHAnsi"/>
          <w:bCs/>
          <w:i/>
          <w:iCs/>
          <w:sz w:val="20"/>
          <w:szCs w:val="20"/>
          <w:lang w:val="es-ES_tradnl"/>
        </w:rPr>
        <w:t>Pregunta de la Secretaría Ejecutiva</w:t>
      </w:r>
      <w:r w:rsidRPr="00572BE9">
        <w:rPr>
          <w:rFonts w:asciiTheme="majorHAnsi" w:hAnsiTheme="majorHAnsi"/>
          <w:bCs/>
          <w:sz w:val="20"/>
          <w:szCs w:val="20"/>
          <w:lang w:val="es-ES_tradnl"/>
        </w:rPr>
        <w:t xml:space="preserve">: </w:t>
      </w:r>
      <w:r w:rsidRPr="00572BE9">
        <w:rPr>
          <w:rFonts w:asciiTheme="majorHAnsi" w:hAnsiTheme="majorHAnsi"/>
          <w:bCs/>
          <w:i/>
          <w:iCs/>
          <w:sz w:val="20"/>
          <w:szCs w:val="20"/>
          <w:lang w:val="es-ES_tradnl"/>
        </w:rPr>
        <w:t>en la petición se indica que no se habría acudido a la jurisdicción interna por vencimiento de términos. Amplíe la información al respecto</w:t>
      </w:r>
      <w:r w:rsidRPr="00572BE9">
        <w:rPr>
          <w:rFonts w:asciiTheme="majorHAnsi" w:hAnsiTheme="majorHAnsi"/>
          <w:bCs/>
          <w:sz w:val="20"/>
          <w:szCs w:val="20"/>
          <w:lang w:val="es-ES_tradnl"/>
        </w:rPr>
        <w:t xml:space="preserve">. Respuesta del peticionario:  </w:t>
      </w:r>
    </w:p>
    <w:p w14:paraId="44BAC052" w14:textId="48D51D6D" w:rsidR="00563ACE" w:rsidRPr="00572BE9" w:rsidRDefault="00563ACE" w:rsidP="00563ACE">
      <w:pPr>
        <w:pStyle w:val="ListParagraph"/>
        <w:spacing w:before="240" w:after="240"/>
        <w:ind w:left="1440" w:right="720"/>
        <w:jc w:val="both"/>
        <w:rPr>
          <w:rFonts w:asciiTheme="majorHAnsi" w:hAnsiTheme="majorHAnsi"/>
          <w:bCs/>
          <w:sz w:val="20"/>
          <w:szCs w:val="20"/>
          <w:lang w:val="es-ES_tradnl"/>
        </w:rPr>
      </w:pPr>
      <w:r w:rsidRPr="00572BE9">
        <w:rPr>
          <w:rFonts w:asciiTheme="majorHAnsi" w:hAnsiTheme="majorHAnsi"/>
          <w:bCs/>
          <w:sz w:val="20"/>
          <w:szCs w:val="20"/>
          <w:lang w:val="es-ES_tradnl"/>
        </w:rPr>
        <w:t>La investigación se inició de oficio porque el hecho es una de las más grandes masacres ocurridas en Colombia.</w:t>
      </w:r>
    </w:p>
    <w:p w14:paraId="758299C1" w14:textId="6A45AD44" w:rsidR="00F065C0" w:rsidRPr="00572BE9" w:rsidRDefault="00563ACE" w:rsidP="00F065C0">
      <w:pPr>
        <w:pStyle w:val="ListParagraph"/>
        <w:spacing w:before="240" w:after="240"/>
        <w:ind w:left="1440" w:right="720"/>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Como este hecho quedó impune, tras la sentencia de la Corte Interamericana sobre Mapiripán y Puerto Alvira, el estado Colombiano </w:t>
      </w:r>
      <w:r w:rsidR="00F065C0" w:rsidRPr="00572BE9">
        <w:rPr>
          <w:rFonts w:asciiTheme="majorHAnsi" w:hAnsiTheme="majorHAnsi"/>
          <w:bCs/>
          <w:sz w:val="20"/>
          <w:szCs w:val="20"/>
          <w:lang w:val="es-ES_tradnl"/>
        </w:rPr>
        <w:t xml:space="preserve">(sic) </w:t>
      </w:r>
      <w:r w:rsidRPr="00572BE9">
        <w:rPr>
          <w:rFonts w:asciiTheme="majorHAnsi" w:hAnsiTheme="majorHAnsi"/>
          <w:bCs/>
          <w:sz w:val="20"/>
          <w:szCs w:val="20"/>
          <w:lang w:val="es-ES_tradnl"/>
        </w:rPr>
        <w:t xml:space="preserve">se vio obligado a abrir el proceso penal especial conocido como de Justicia y Paz, que se inició en el segundo semestre del año 2005 y hasta el día de hoy falta imputar </w:t>
      </w:r>
      <w:r w:rsidR="00F065C0" w:rsidRPr="00572BE9">
        <w:rPr>
          <w:rFonts w:asciiTheme="majorHAnsi" w:hAnsiTheme="majorHAnsi"/>
          <w:bCs/>
          <w:sz w:val="20"/>
          <w:szCs w:val="20"/>
          <w:lang w:val="es-ES_tradnl"/>
        </w:rPr>
        <w:t xml:space="preserve">los hechos frente a la familia de la señora UBENY ESCOBAR POBRE, su esposo el señor HERNÁN BAQUERO IPUZ y sus hijos JHON JAIRO BAQUERO, CINDY TATIANA BAQUERO ESCOBAR. Es decir han pasado 19 años del hecho y no ha habido pronta y cumplida justicia por parte del estado Colombiano violando los compromisos del pacto de derechos humanos. Por esto se recurre a la justicia internacional. </w:t>
      </w:r>
    </w:p>
    <w:p w14:paraId="0F8D2847" w14:textId="0E150689" w:rsidR="005E36EC" w:rsidRPr="00572BE9" w:rsidRDefault="005E36EC" w:rsidP="002A38B1">
      <w:pPr>
        <w:pStyle w:val="ListParagraph"/>
        <w:spacing w:before="240" w:after="240"/>
        <w:ind w:left="709"/>
        <w:jc w:val="both"/>
        <w:rPr>
          <w:rFonts w:asciiTheme="majorHAnsi" w:hAnsiTheme="majorHAnsi"/>
          <w:bCs/>
          <w:sz w:val="20"/>
          <w:szCs w:val="20"/>
          <w:lang w:val="es-ES_tradnl"/>
        </w:rPr>
      </w:pPr>
      <w:r w:rsidRPr="00572BE9">
        <w:rPr>
          <w:rFonts w:asciiTheme="majorHAnsi" w:hAnsiTheme="majorHAnsi"/>
          <w:bCs/>
          <w:sz w:val="20"/>
          <w:szCs w:val="20"/>
          <w:lang w:val="es-ES_tradnl"/>
        </w:rPr>
        <w:lastRenderedPageBreak/>
        <w:t xml:space="preserve">b) </w:t>
      </w:r>
      <w:r w:rsidR="00563ACE" w:rsidRPr="00572BE9">
        <w:rPr>
          <w:rFonts w:asciiTheme="majorHAnsi" w:hAnsiTheme="majorHAnsi"/>
          <w:bCs/>
          <w:sz w:val="20"/>
          <w:szCs w:val="20"/>
          <w:lang w:val="es-ES_tradnl"/>
        </w:rPr>
        <w:tab/>
      </w:r>
      <w:r w:rsidRPr="00572BE9">
        <w:rPr>
          <w:rFonts w:asciiTheme="majorHAnsi" w:hAnsiTheme="majorHAnsi"/>
          <w:bCs/>
          <w:i/>
          <w:iCs/>
          <w:sz w:val="20"/>
          <w:szCs w:val="20"/>
          <w:lang w:val="es-ES_tradnl"/>
        </w:rPr>
        <w:t>P/. Indique si ha interpuesto algún recurso judicial o administrativo para obtener una compensación o reparación por las violaciones alegadas.</w:t>
      </w:r>
      <w:r w:rsidRPr="00572BE9">
        <w:rPr>
          <w:rFonts w:asciiTheme="majorHAnsi" w:hAnsiTheme="majorHAnsi"/>
          <w:bCs/>
          <w:sz w:val="20"/>
          <w:szCs w:val="20"/>
          <w:lang w:val="es-ES_tradnl"/>
        </w:rPr>
        <w:t xml:space="preserve"> R/.</w:t>
      </w:r>
      <w:r w:rsidR="00563ACE" w:rsidRPr="00572BE9">
        <w:rPr>
          <w:rFonts w:asciiTheme="majorHAnsi" w:hAnsiTheme="majorHAnsi"/>
          <w:bCs/>
          <w:sz w:val="20"/>
          <w:szCs w:val="20"/>
          <w:lang w:val="es-ES_tradnl"/>
        </w:rPr>
        <w:t xml:space="preserve"> </w:t>
      </w:r>
    </w:p>
    <w:p w14:paraId="57A880C6" w14:textId="733B9355" w:rsidR="00F065C0" w:rsidRPr="00572BE9" w:rsidRDefault="00F065C0" w:rsidP="00F065C0">
      <w:pPr>
        <w:pStyle w:val="ListParagraph"/>
        <w:spacing w:before="240" w:after="240"/>
        <w:ind w:left="1440" w:right="720"/>
        <w:jc w:val="both"/>
        <w:rPr>
          <w:rFonts w:asciiTheme="majorHAnsi" w:hAnsiTheme="majorHAnsi"/>
          <w:bCs/>
          <w:sz w:val="20"/>
          <w:szCs w:val="20"/>
          <w:lang w:val="es-ES_tradnl"/>
        </w:rPr>
      </w:pPr>
      <w:r w:rsidRPr="00572BE9">
        <w:rPr>
          <w:rFonts w:asciiTheme="majorHAnsi" w:hAnsiTheme="majorHAnsi"/>
          <w:bCs/>
          <w:sz w:val="20"/>
          <w:szCs w:val="20"/>
          <w:lang w:val="es-ES_tradnl"/>
        </w:rPr>
        <w:t>S</w:t>
      </w:r>
      <w:r w:rsidR="00360587" w:rsidRPr="00572BE9">
        <w:rPr>
          <w:rFonts w:asciiTheme="majorHAnsi" w:hAnsiTheme="majorHAnsi"/>
          <w:bCs/>
          <w:sz w:val="20"/>
          <w:szCs w:val="20"/>
          <w:lang w:val="es-ES_tradnl"/>
        </w:rPr>
        <w:t>í</w:t>
      </w:r>
      <w:r w:rsidRPr="00572BE9">
        <w:rPr>
          <w:rFonts w:asciiTheme="majorHAnsi" w:hAnsiTheme="majorHAnsi"/>
          <w:bCs/>
          <w:sz w:val="20"/>
          <w:szCs w:val="20"/>
          <w:lang w:val="es-ES_tradnl"/>
        </w:rPr>
        <w:t>, se tiene una demanda en Justicia Transicional que inicio (sic) en el año 2005 y en la actualidad se está preparando la audiencia de imputado, después de 19 años de ocurrido los hechos (sic) y 11 de trámite del proceso penal especial.</w:t>
      </w:r>
    </w:p>
    <w:p w14:paraId="6B79484A" w14:textId="1D7537E6" w:rsidR="005E36EC" w:rsidRPr="00572BE9" w:rsidRDefault="005E36EC" w:rsidP="002A38B1">
      <w:pPr>
        <w:pStyle w:val="ListParagraph"/>
        <w:spacing w:before="240" w:after="240"/>
        <w:ind w:left="709"/>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c) </w:t>
      </w:r>
      <w:r w:rsidR="00563ACE" w:rsidRPr="00572BE9">
        <w:rPr>
          <w:rFonts w:asciiTheme="majorHAnsi" w:hAnsiTheme="majorHAnsi"/>
          <w:bCs/>
          <w:sz w:val="20"/>
          <w:szCs w:val="20"/>
          <w:lang w:val="es-ES_tradnl"/>
        </w:rPr>
        <w:tab/>
      </w:r>
      <w:r w:rsidRPr="00572BE9">
        <w:rPr>
          <w:rFonts w:asciiTheme="majorHAnsi" w:hAnsiTheme="majorHAnsi"/>
          <w:bCs/>
          <w:i/>
          <w:iCs/>
          <w:sz w:val="20"/>
          <w:szCs w:val="20"/>
          <w:lang w:val="es-ES_tradnl"/>
        </w:rPr>
        <w:t>P/. Si siguió algún procedimiento ante Acción Social y el Registro Único de Víctimas indique a nombre de quién presentaría la solicitud de inscripción, las fechas en que realizaría el trámite, y las comunicaciones que habría recibido de parte de la entidad</w:t>
      </w:r>
      <w:r w:rsidRPr="00572BE9">
        <w:rPr>
          <w:rFonts w:asciiTheme="majorHAnsi" w:hAnsiTheme="majorHAnsi"/>
          <w:bCs/>
          <w:sz w:val="20"/>
          <w:szCs w:val="20"/>
          <w:lang w:val="es-ES_tradnl"/>
        </w:rPr>
        <w:t>. R/.</w:t>
      </w:r>
    </w:p>
    <w:p w14:paraId="34EE23DC" w14:textId="749ED446" w:rsidR="00F065C0" w:rsidRPr="00572BE9" w:rsidRDefault="00F065C0" w:rsidP="00F065C0">
      <w:pPr>
        <w:pStyle w:val="ListParagraph"/>
        <w:spacing w:before="240" w:after="240"/>
        <w:ind w:left="1440" w:right="720"/>
        <w:jc w:val="both"/>
        <w:rPr>
          <w:rFonts w:asciiTheme="majorHAnsi" w:hAnsiTheme="majorHAnsi"/>
          <w:bCs/>
          <w:sz w:val="20"/>
          <w:szCs w:val="20"/>
          <w:lang w:val="es-ES_tradnl"/>
        </w:rPr>
      </w:pPr>
      <w:r w:rsidRPr="00572BE9">
        <w:rPr>
          <w:rFonts w:asciiTheme="majorHAnsi" w:hAnsiTheme="majorHAnsi"/>
          <w:bCs/>
          <w:sz w:val="20"/>
          <w:szCs w:val="20"/>
          <w:lang w:val="es-ES_tradnl"/>
        </w:rPr>
        <w:t>Recién ocurrido el hecho recibió Un millón trescientos mil pesos Cmte. ($ 1.300.00) como ayuda de emergencia inmediata para salir de la gravedad del hecho, pero no se ha recibido reparación.</w:t>
      </w:r>
      <w:r w:rsidR="00572BE9">
        <w:rPr>
          <w:rFonts w:asciiTheme="majorHAnsi" w:hAnsiTheme="majorHAnsi"/>
          <w:bCs/>
          <w:sz w:val="20"/>
          <w:szCs w:val="20"/>
          <w:lang w:val="es-ES_tradnl"/>
        </w:rPr>
        <w:t xml:space="preserve"> </w:t>
      </w:r>
    </w:p>
    <w:p w14:paraId="5E2E7165" w14:textId="501A5EDF" w:rsidR="009C0C72" w:rsidRPr="00572BE9" w:rsidRDefault="009C0C72" w:rsidP="009C0C72">
      <w:pPr>
        <w:pStyle w:val="ListParagraph"/>
        <w:numPr>
          <w:ilvl w:val="0"/>
          <w:numId w:val="61"/>
        </w:numPr>
        <w:spacing w:before="240" w:after="240"/>
        <w:ind w:left="142" w:firstLine="567"/>
        <w:jc w:val="both"/>
        <w:rPr>
          <w:rFonts w:asciiTheme="majorHAnsi" w:hAnsiTheme="majorHAnsi"/>
          <w:bCs/>
          <w:color w:val="auto"/>
          <w:sz w:val="20"/>
          <w:szCs w:val="20"/>
          <w:lang w:val="es-ES_tradnl"/>
        </w:rPr>
      </w:pPr>
      <w:r w:rsidRPr="00572BE9">
        <w:rPr>
          <w:rFonts w:asciiTheme="majorHAnsi" w:hAnsiTheme="majorHAnsi"/>
          <w:bCs/>
          <w:color w:val="auto"/>
          <w:sz w:val="20"/>
          <w:szCs w:val="20"/>
          <w:lang w:val="es-ES_tradnl"/>
        </w:rPr>
        <w:t xml:space="preserve">Cabe resaltar que el 6 de marzo de 2023, la Comisión le pidió </w:t>
      </w:r>
      <w:r w:rsidR="00572BE9">
        <w:rPr>
          <w:rFonts w:asciiTheme="majorHAnsi" w:hAnsiTheme="majorHAnsi"/>
          <w:bCs/>
          <w:color w:val="auto"/>
          <w:sz w:val="20"/>
          <w:szCs w:val="20"/>
          <w:lang w:val="es-ES_tradnl"/>
        </w:rPr>
        <w:t xml:space="preserve">nuevamente </w:t>
      </w:r>
      <w:r w:rsidRPr="00572BE9">
        <w:rPr>
          <w:rFonts w:asciiTheme="majorHAnsi" w:hAnsiTheme="majorHAnsi"/>
          <w:bCs/>
          <w:color w:val="auto"/>
          <w:sz w:val="20"/>
          <w:szCs w:val="20"/>
          <w:lang w:val="es-ES_tradnl"/>
        </w:rPr>
        <w:t>a</w:t>
      </w:r>
      <w:r w:rsidR="00572BE9">
        <w:rPr>
          <w:rFonts w:asciiTheme="majorHAnsi" w:hAnsiTheme="majorHAnsi"/>
          <w:bCs/>
          <w:color w:val="auto"/>
          <w:sz w:val="20"/>
          <w:szCs w:val="20"/>
          <w:lang w:val="es-ES_tradnl"/>
        </w:rPr>
        <w:t xml:space="preserve"> la</w:t>
      </w:r>
      <w:r w:rsidRPr="00572BE9">
        <w:rPr>
          <w:rFonts w:asciiTheme="majorHAnsi" w:hAnsiTheme="majorHAnsi"/>
          <w:bCs/>
          <w:color w:val="auto"/>
          <w:sz w:val="20"/>
          <w:szCs w:val="20"/>
          <w:lang w:val="es-ES_tradnl"/>
        </w:rPr>
        <w:t xml:space="preserve"> parte peticionaria </w:t>
      </w:r>
      <w:r w:rsidR="00C55E72" w:rsidRPr="00572BE9">
        <w:rPr>
          <w:rFonts w:asciiTheme="majorHAnsi" w:hAnsiTheme="majorHAnsi"/>
          <w:bCs/>
          <w:color w:val="auto"/>
          <w:sz w:val="20"/>
          <w:szCs w:val="20"/>
          <w:lang w:val="es-ES_tradnl"/>
        </w:rPr>
        <w:t xml:space="preserve">que respondiera la </w:t>
      </w:r>
      <w:r w:rsidRPr="00572BE9">
        <w:rPr>
          <w:rFonts w:asciiTheme="majorHAnsi" w:hAnsiTheme="majorHAnsi"/>
          <w:bCs/>
          <w:color w:val="auto"/>
          <w:sz w:val="20"/>
          <w:szCs w:val="20"/>
          <w:lang w:val="es-ES_tradnl"/>
        </w:rPr>
        <w:t>información adicional,</w:t>
      </w:r>
      <w:r w:rsidR="00C55E72" w:rsidRPr="00572BE9">
        <w:rPr>
          <w:rFonts w:asciiTheme="majorHAnsi" w:hAnsiTheme="majorHAnsi"/>
          <w:bCs/>
          <w:color w:val="auto"/>
          <w:sz w:val="20"/>
          <w:szCs w:val="20"/>
          <w:lang w:val="es-ES_tradnl"/>
        </w:rPr>
        <w:t xml:space="preserve"> mandándole de nueva ocasión las seis preguntas</w:t>
      </w:r>
      <w:r w:rsidR="00C55E72" w:rsidRPr="00572BE9">
        <w:rPr>
          <w:rStyle w:val="FootnoteReference"/>
          <w:rFonts w:asciiTheme="majorHAnsi" w:hAnsiTheme="majorHAnsi"/>
          <w:bCs/>
          <w:color w:val="auto"/>
          <w:sz w:val="20"/>
          <w:szCs w:val="20"/>
          <w:lang w:val="es-ES_tradnl"/>
        </w:rPr>
        <w:footnoteReference w:id="7"/>
      </w:r>
      <w:r w:rsidR="00C55E72" w:rsidRPr="00572BE9">
        <w:rPr>
          <w:rFonts w:asciiTheme="majorHAnsi" w:hAnsiTheme="majorHAnsi"/>
          <w:bCs/>
          <w:color w:val="auto"/>
          <w:sz w:val="20"/>
          <w:szCs w:val="20"/>
          <w:lang w:val="es-ES_tradnl"/>
        </w:rPr>
        <w:t xml:space="preserve"> y</w:t>
      </w:r>
      <w:r w:rsidRPr="00572BE9">
        <w:rPr>
          <w:rFonts w:asciiTheme="majorHAnsi" w:hAnsiTheme="majorHAnsi"/>
          <w:bCs/>
          <w:color w:val="auto"/>
          <w:sz w:val="20"/>
          <w:szCs w:val="20"/>
          <w:lang w:val="es-ES_tradnl"/>
        </w:rPr>
        <w:t xml:space="preserve"> otorgándole una semana para poder contestar. No obstante, tras más de cinco meses, el peticionario no se pronunció al respecto.</w:t>
      </w:r>
      <w:r w:rsidR="00360587" w:rsidRPr="00572BE9">
        <w:rPr>
          <w:rFonts w:asciiTheme="majorHAnsi" w:hAnsiTheme="majorHAnsi"/>
          <w:bCs/>
          <w:color w:val="auto"/>
          <w:sz w:val="20"/>
          <w:szCs w:val="20"/>
          <w:lang w:val="es-ES_tradnl"/>
        </w:rPr>
        <w:t xml:space="preserve"> </w:t>
      </w:r>
    </w:p>
    <w:p w14:paraId="7A4804E9" w14:textId="5D0EAF7C" w:rsidR="00B830DC" w:rsidRPr="00572BE9" w:rsidRDefault="00572BE9" w:rsidP="00B830DC">
      <w:pPr>
        <w:pStyle w:val="ListParagraph"/>
        <w:spacing w:before="240" w:after="240"/>
        <w:ind w:left="709"/>
        <w:jc w:val="both"/>
        <w:rPr>
          <w:rFonts w:asciiTheme="majorHAnsi" w:hAnsiTheme="majorHAnsi"/>
          <w:bCs/>
          <w:i/>
          <w:iCs/>
          <w:sz w:val="20"/>
          <w:szCs w:val="20"/>
          <w:lang w:val="es-ES_tradnl"/>
        </w:rPr>
      </w:pPr>
      <w:r>
        <w:rPr>
          <w:rFonts w:asciiTheme="majorHAnsi" w:hAnsiTheme="majorHAnsi"/>
          <w:i/>
          <w:iCs/>
          <w:sz w:val="20"/>
          <w:szCs w:val="20"/>
          <w:lang w:val="es-ES_tradnl"/>
        </w:rPr>
        <w:t>Alegatos del</w:t>
      </w:r>
      <w:r w:rsidR="00B830DC" w:rsidRPr="00572BE9">
        <w:rPr>
          <w:rFonts w:asciiTheme="majorHAnsi" w:hAnsiTheme="majorHAnsi"/>
          <w:i/>
          <w:iCs/>
          <w:sz w:val="20"/>
          <w:szCs w:val="20"/>
          <w:lang w:val="es-ES_tradnl"/>
        </w:rPr>
        <w:t xml:space="preserve"> Estado colombiano</w:t>
      </w:r>
    </w:p>
    <w:p w14:paraId="36B345E0" w14:textId="25B20788" w:rsidR="004B3885" w:rsidRPr="00572BE9" w:rsidRDefault="004B3885" w:rsidP="004B3885">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Por su parte, el Estado </w:t>
      </w:r>
      <w:r w:rsidR="00C55E72" w:rsidRPr="00572BE9">
        <w:rPr>
          <w:rFonts w:asciiTheme="majorHAnsi" w:hAnsiTheme="majorHAnsi"/>
          <w:bCs/>
          <w:sz w:val="20"/>
          <w:szCs w:val="20"/>
          <w:lang w:val="es-ES_tradnl"/>
        </w:rPr>
        <w:t>narra</w:t>
      </w:r>
      <w:r w:rsidR="00B830DC" w:rsidRPr="00572BE9">
        <w:rPr>
          <w:rFonts w:asciiTheme="majorHAnsi" w:hAnsiTheme="majorHAnsi"/>
          <w:bCs/>
          <w:sz w:val="20"/>
          <w:szCs w:val="20"/>
          <w:lang w:val="es-ES_tradnl"/>
        </w:rPr>
        <w:t xml:space="preserve"> que</w:t>
      </w:r>
      <w:r w:rsidRPr="00572BE9">
        <w:rPr>
          <w:rFonts w:asciiTheme="majorHAnsi" w:hAnsiTheme="majorHAnsi"/>
          <w:bCs/>
          <w:sz w:val="20"/>
          <w:szCs w:val="20"/>
          <w:lang w:val="es-ES_tradnl"/>
        </w:rPr>
        <w:t xml:space="preserve"> el 4 de mayo de 1998 un grupo de aproximadamente </w:t>
      </w:r>
      <w:r w:rsidR="00B830DC" w:rsidRPr="00572BE9">
        <w:rPr>
          <w:rFonts w:asciiTheme="majorHAnsi" w:hAnsiTheme="majorHAnsi"/>
          <w:bCs/>
          <w:sz w:val="20"/>
          <w:szCs w:val="20"/>
          <w:lang w:val="es-ES_tradnl"/>
        </w:rPr>
        <w:t>ciento sesenta</w:t>
      </w:r>
      <w:r w:rsidRPr="00572BE9">
        <w:rPr>
          <w:rFonts w:asciiTheme="majorHAnsi" w:hAnsiTheme="majorHAnsi"/>
          <w:bCs/>
          <w:sz w:val="20"/>
          <w:szCs w:val="20"/>
          <w:lang w:val="es-ES_tradnl"/>
        </w:rPr>
        <w:t xml:space="preserve"> hombres </w:t>
      </w:r>
      <w:r w:rsidR="00A46F73" w:rsidRPr="00572BE9">
        <w:rPr>
          <w:rFonts w:asciiTheme="majorHAnsi" w:hAnsiTheme="majorHAnsi"/>
          <w:bCs/>
          <w:sz w:val="20"/>
          <w:szCs w:val="20"/>
          <w:lang w:val="es-ES_tradnl"/>
        </w:rPr>
        <w:t xml:space="preserve">armados </w:t>
      </w:r>
      <w:r w:rsidR="00B830DC" w:rsidRPr="00572BE9">
        <w:rPr>
          <w:rFonts w:asciiTheme="majorHAnsi" w:hAnsiTheme="majorHAnsi"/>
          <w:bCs/>
          <w:sz w:val="20"/>
          <w:szCs w:val="20"/>
          <w:lang w:val="es-ES_tradnl"/>
        </w:rPr>
        <w:t xml:space="preserve">entraron </w:t>
      </w:r>
      <w:r w:rsidR="00A46F73" w:rsidRPr="00572BE9">
        <w:rPr>
          <w:rFonts w:asciiTheme="majorHAnsi" w:hAnsiTheme="majorHAnsi"/>
          <w:bCs/>
          <w:sz w:val="20"/>
          <w:szCs w:val="20"/>
          <w:lang w:val="es-ES_tradnl"/>
        </w:rPr>
        <w:t>en varios camiones</w:t>
      </w:r>
      <w:r w:rsidRPr="00572BE9">
        <w:rPr>
          <w:rFonts w:asciiTheme="majorHAnsi" w:hAnsiTheme="majorHAnsi"/>
          <w:bCs/>
          <w:sz w:val="20"/>
          <w:szCs w:val="20"/>
          <w:lang w:val="es-ES_tradnl"/>
        </w:rPr>
        <w:t xml:space="preserve"> al caserío de Puert</w:t>
      </w:r>
      <w:r w:rsidR="00B830DC" w:rsidRPr="00572BE9">
        <w:rPr>
          <w:rFonts w:asciiTheme="majorHAnsi" w:hAnsiTheme="majorHAnsi"/>
          <w:bCs/>
          <w:sz w:val="20"/>
          <w:szCs w:val="20"/>
          <w:lang w:val="es-ES_tradnl"/>
        </w:rPr>
        <w:t>o</w:t>
      </w:r>
      <w:r w:rsidRPr="00572BE9">
        <w:rPr>
          <w:rFonts w:asciiTheme="majorHAnsi" w:hAnsiTheme="majorHAnsi"/>
          <w:bCs/>
          <w:sz w:val="20"/>
          <w:szCs w:val="20"/>
          <w:lang w:val="es-ES_tradnl"/>
        </w:rPr>
        <w:t xml:space="preserve"> Alvira, conocido como </w:t>
      </w:r>
      <w:r w:rsidRPr="00572BE9">
        <w:rPr>
          <w:rFonts w:asciiTheme="majorHAnsi" w:hAnsiTheme="majorHAnsi"/>
          <w:bCs/>
          <w:i/>
          <w:iCs/>
          <w:sz w:val="20"/>
          <w:szCs w:val="20"/>
          <w:lang w:val="es-ES_tradnl"/>
        </w:rPr>
        <w:t xml:space="preserve">Caño Jabón. </w:t>
      </w:r>
      <w:r w:rsidRPr="00572BE9">
        <w:rPr>
          <w:rFonts w:asciiTheme="majorHAnsi" w:hAnsiTheme="majorHAnsi"/>
          <w:bCs/>
          <w:sz w:val="20"/>
          <w:szCs w:val="20"/>
          <w:lang w:val="es-ES_tradnl"/>
        </w:rPr>
        <w:t>Los miembros del grupo</w:t>
      </w:r>
      <w:r w:rsidR="00C55E72" w:rsidRPr="00572BE9">
        <w:rPr>
          <w:rFonts w:asciiTheme="majorHAnsi" w:hAnsiTheme="majorHAnsi"/>
          <w:bCs/>
          <w:sz w:val="20"/>
          <w:szCs w:val="20"/>
          <w:lang w:val="es-ES_tradnl"/>
        </w:rPr>
        <w:t xml:space="preserve"> armado </w:t>
      </w:r>
      <w:r w:rsidRPr="00572BE9">
        <w:rPr>
          <w:rFonts w:asciiTheme="majorHAnsi" w:hAnsiTheme="majorHAnsi"/>
          <w:bCs/>
          <w:sz w:val="20"/>
          <w:szCs w:val="20"/>
          <w:lang w:val="es-ES_tradnl"/>
        </w:rPr>
        <w:t xml:space="preserve">intimidaron a la población y lanzaron consignas en contra de las agrupaciones de oposición armada. Durante dos horas y media, el grupo armado obligó a los habitantes del caserío a salir de sus casas y los dividió en dos grupos. Procedieron a agredirlos verbalmente y señalarlos de colaboradores de las FARC, posteriormente escogieron a varias personas y los asesinaron. Al mismo tiempo, </w:t>
      </w:r>
      <w:r w:rsidR="00B830DC" w:rsidRPr="00572BE9">
        <w:rPr>
          <w:rFonts w:asciiTheme="majorHAnsi" w:hAnsiTheme="majorHAnsi"/>
          <w:bCs/>
          <w:sz w:val="20"/>
          <w:szCs w:val="20"/>
          <w:lang w:val="es-ES_tradnl"/>
        </w:rPr>
        <w:t>otros miembros del grupo armado</w:t>
      </w:r>
      <w:r w:rsidRPr="00572BE9">
        <w:rPr>
          <w:rFonts w:asciiTheme="majorHAnsi" w:hAnsiTheme="majorHAnsi"/>
          <w:bCs/>
          <w:sz w:val="20"/>
          <w:szCs w:val="20"/>
          <w:lang w:val="es-ES_tradnl"/>
        </w:rPr>
        <w:t xml:space="preserve"> saquearon almacenes, dinamitaron la pista aérea, quemaron un avión junto a una estación de servicio de combustible</w:t>
      </w:r>
      <w:r w:rsidR="00B830DC" w:rsidRPr="00572BE9">
        <w:rPr>
          <w:rFonts w:asciiTheme="majorHAnsi" w:hAnsiTheme="majorHAnsi"/>
          <w:bCs/>
          <w:sz w:val="20"/>
          <w:szCs w:val="20"/>
          <w:lang w:val="es-ES_tradnl"/>
        </w:rPr>
        <w:t>,</w:t>
      </w:r>
      <w:r w:rsidRPr="00572BE9">
        <w:rPr>
          <w:rFonts w:asciiTheme="majorHAnsi" w:hAnsiTheme="majorHAnsi"/>
          <w:bCs/>
          <w:sz w:val="20"/>
          <w:szCs w:val="20"/>
          <w:lang w:val="es-ES_tradnl"/>
        </w:rPr>
        <w:t xml:space="preserve"> </w:t>
      </w:r>
      <w:r w:rsidR="00B830DC" w:rsidRPr="00572BE9">
        <w:rPr>
          <w:rFonts w:asciiTheme="majorHAnsi" w:hAnsiTheme="majorHAnsi"/>
          <w:bCs/>
          <w:sz w:val="20"/>
          <w:szCs w:val="20"/>
          <w:lang w:val="es-ES_tradnl"/>
        </w:rPr>
        <w:t xml:space="preserve">afectando </w:t>
      </w:r>
      <w:r w:rsidRPr="00572BE9">
        <w:rPr>
          <w:rFonts w:asciiTheme="majorHAnsi" w:hAnsiTheme="majorHAnsi"/>
          <w:bCs/>
          <w:sz w:val="20"/>
          <w:szCs w:val="20"/>
          <w:lang w:val="es-ES_tradnl"/>
        </w:rPr>
        <w:t>varias viviendas y establecimientos comerciales.</w:t>
      </w:r>
    </w:p>
    <w:p w14:paraId="130CD859" w14:textId="75AD83B2" w:rsidR="004B3885" w:rsidRPr="00572BE9" w:rsidRDefault="00855A12" w:rsidP="00367E40">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Colombia p</w:t>
      </w:r>
      <w:r w:rsidR="00045CF4" w:rsidRPr="00572BE9">
        <w:rPr>
          <w:rFonts w:asciiTheme="majorHAnsi" w:hAnsiTheme="majorHAnsi"/>
          <w:bCs/>
          <w:sz w:val="20"/>
          <w:szCs w:val="20"/>
          <w:lang w:val="es-ES_tradnl"/>
        </w:rPr>
        <w:t>ide que la p</w:t>
      </w:r>
      <w:r w:rsidR="00085EE5" w:rsidRPr="00572BE9">
        <w:rPr>
          <w:rFonts w:asciiTheme="majorHAnsi" w:hAnsiTheme="majorHAnsi"/>
          <w:bCs/>
          <w:sz w:val="20"/>
          <w:szCs w:val="20"/>
          <w:lang w:val="es-ES_tradnl"/>
        </w:rPr>
        <w:t>etición</w:t>
      </w:r>
      <w:r w:rsidR="00045CF4" w:rsidRPr="00572BE9">
        <w:rPr>
          <w:rFonts w:asciiTheme="majorHAnsi" w:hAnsiTheme="majorHAnsi"/>
          <w:bCs/>
          <w:sz w:val="20"/>
          <w:szCs w:val="20"/>
          <w:lang w:val="es-ES_tradnl"/>
        </w:rPr>
        <w:t xml:space="preserve"> sea inadmisible por dos motivos</w:t>
      </w:r>
      <w:r w:rsidR="003878C8" w:rsidRPr="00572BE9">
        <w:rPr>
          <w:rFonts w:asciiTheme="majorHAnsi" w:hAnsiTheme="majorHAnsi"/>
          <w:bCs/>
          <w:sz w:val="20"/>
          <w:szCs w:val="20"/>
          <w:lang w:val="es-ES_tradnl"/>
        </w:rPr>
        <w:t>: i)</w:t>
      </w:r>
      <w:r w:rsidR="00045CF4" w:rsidRPr="00572BE9">
        <w:rPr>
          <w:rFonts w:asciiTheme="majorHAnsi" w:hAnsiTheme="majorHAnsi"/>
          <w:bCs/>
          <w:sz w:val="20"/>
          <w:szCs w:val="20"/>
          <w:lang w:val="es-ES_tradnl"/>
        </w:rPr>
        <w:t xml:space="preserve"> falta de agotamiento de recursos internos</w:t>
      </w:r>
      <w:r w:rsidR="00085EE5" w:rsidRPr="00572BE9">
        <w:rPr>
          <w:rFonts w:asciiTheme="majorHAnsi" w:hAnsiTheme="majorHAnsi"/>
          <w:bCs/>
          <w:sz w:val="20"/>
          <w:szCs w:val="20"/>
          <w:lang w:val="es-ES_tradnl"/>
        </w:rPr>
        <w:t xml:space="preserve"> </w:t>
      </w:r>
      <w:r w:rsidR="00045CF4" w:rsidRPr="00572BE9">
        <w:rPr>
          <w:rFonts w:asciiTheme="majorHAnsi" w:hAnsiTheme="majorHAnsi"/>
          <w:bCs/>
          <w:sz w:val="20"/>
          <w:szCs w:val="20"/>
          <w:lang w:val="es-ES_tradnl"/>
        </w:rPr>
        <w:t>en la jurisdicción penal</w:t>
      </w:r>
      <w:r w:rsidR="00C55E72" w:rsidRPr="00572BE9">
        <w:rPr>
          <w:rFonts w:asciiTheme="majorHAnsi" w:hAnsiTheme="majorHAnsi"/>
          <w:bCs/>
          <w:sz w:val="20"/>
          <w:szCs w:val="20"/>
          <w:lang w:val="es-ES_tradnl"/>
        </w:rPr>
        <w:t>, en el proceso de justicia</w:t>
      </w:r>
      <w:r w:rsidR="00045CF4" w:rsidRPr="00572BE9">
        <w:rPr>
          <w:rFonts w:asciiTheme="majorHAnsi" w:hAnsiTheme="majorHAnsi"/>
          <w:bCs/>
          <w:sz w:val="20"/>
          <w:szCs w:val="20"/>
          <w:lang w:val="es-ES_tradnl"/>
        </w:rPr>
        <w:t xml:space="preserve"> transicional</w:t>
      </w:r>
      <w:r w:rsidR="00B830DC" w:rsidRPr="00572BE9">
        <w:rPr>
          <w:rFonts w:asciiTheme="majorHAnsi" w:hAnsiTheme="majorHAnsi"/>
          <w:bCs/>
          <w:sz w:val="20"/>
          <w:szCs w:val="20"/>
          <w:lang w:val="es-ES_tradnl"/>
        </w:rPr>
        <w:t>,</w:t>
      </w:r>
      <w:r w:rsidR="00085EE5" w:rsidRPr="00572BE9">
        <w:rPr>
          <w:rFonts w:asciiTheme="majorHAnsi" w:hAnsiTheme="majorHAnsi"/>
          <w:bCs/>
          <w:sz w:val="20"/>
          <w:szCs w:val="20"/>
          <w:lang w:val="es-ES_tradnl"/>
        </w:rPr>
        <w:t xml:space="preserve"> y</w:t>
      </w:r>
      <w:r w:rsidR="00C55E72" w:rsidRPr="00572BE9">
        <w:rPr>
          <w:rFonts w:asciiTheme="majorHAnsi" w:hAnsiTheme="majorHAnsi"/>
          <w:bCs/>
          <w:sz w:val="20"/>
          <w:szCs w:val="20"/>
          <w:lang w:val="es-ES_tradnl"/>
        </w:rPr>
        <w:t xml:space="preserve"> en el</w:t>
      </w:r>
      <w:r w:rsidR="00085EE5" w:rsidRPr="00572BE9">
        <w:rPr>
          <w:rFonts w:asciiTheme="majorHAnsi" w:hAnsiTheme="majorHAnsi"/>
          <w:bCs/>
          <w:sz w:val="20"/>
          <w:szCs w:val="20"/>
          <w:lang w:val="es-ES_tradnl"/>
        </w:rPr>
        <w:t xml:space="preserve"> de reparación directa;</w:t>
      </w:r>
      <w:r w:rsidR="00045CF4" w:rsidRPr="00572BE9">
        <w:rPr>
          <w:rFonts w:asciiTheme="majorHAnsi" w:hAnsiTheme="majorHAnsi"/>
          <w:bCs/>
          <w:sz w:val="20"/>
          <w:szCs w:val="20"/>
          <w:lang w:val="es-ES_tradnl"/>
        </w:rPr>
        <w:t xml:space="preserve"> y </w:t>
      </w:r>
      <w:r w:rsidR="003878C8" w:rsidRPr="00572BE9">
        <w:rPr>
          <w:rFonts w:asciiTheme="majorHAnsi" w:hAnsiTheme="majorHAnsi"/>
          <w:bCs/>
          <w:sz w:val="20"/>
          <w:szCs w:val="20"/>
          <w:lang w:val="es-ES_tradnl"/>
        </w:rPr>
        <w:t>ii)</w:t>
      </w:r>
      <w:r w:rsidR="00045CF4" w:rsidRPr="00572BE9">
        <w:rPr>
          <w:rFonts w:asciiTheme="majorHAnsi" w:hAnsiTheme="majorHAnsi"/>
          <w:bCs/>
          <w:sz w:val="20"/>
          <w:szCs w:val="20"/>
          <w:lang w:val="es-ES_tradnl"/>
        </w:rPr>
        <w:t xml:space="preserve"> la presentación de cargos manifiestamente infundados en los términos del artículo 47.c</w:t>
      </w:r>
      <w:r w:rsidRPr="00572BE9">
        <w:rPr>
          <w:rFonts w:asciiTheme="majorHAnsi" w:hAnsiTheme="majorHAnsi"/>
          <w:bCs/>
          <w:sz w:val="20"/>
          <w:szCs w:val="20"/>
          <w:lang w:val="es-ES_tradnl"/>
        </w:rPr>
        <w:t>)</w:t>
      </w:r>
      <w:r w:rsidR="00045CF4" w:rsidRPr="00572BE9">
        <w:rPr>
          <w:rFonts w:asciiTheme="majorHAnsi" w:hAnsiTheme="majorHAnsi"/>
          <w:bCs/>
          <w:sz w:val="20"/>
          <w:szCs w:val="20"/>
          <w:lang w:val="es-ES_tradnl"/>
        </w:rPr>
        <w:t xml:space="preserve"> de la </w:t>
      </w:r>
      <w:r w:rsidR="009C0C72" w:rsidRPr="00572BE9">
        <w:rPr>
          <w:rFonts w:asciiTheme="majorHAnsi" w:hAnsiTheme="majorHAnsi"/>
          <w:bCs/>
          <w:sz w:val="20"/>
          <w:szCs w:val="20"/>
          <w:lang w:val="es-ES_tradnl"/>
        </w:rPr>
        <w:t>Convención Americana</w:t>
      </w:r>
      <w:r w:rsidR="00045CF4" w:rsidRPr="00572BE9">
        <w:rPr>
          <w:rFonts w:asciiTheme="majorHAnsi" w:hAnsiTheme="majorHAnsi"/>
          <w:bCs/>
          <w:sz w:val="20"/>
          <w:szCs w:val="20"/>
          <w:lang w:val="es-ES_tradnl"/>
        </w:rPr>
        <w:t>.</w:t>
      </w:r>
    </w:p>
    <w:p w14:paraId="1802B2C3" w14:textId="7B8964DE" w:rsidR="00483151" w:rsidRPr="00572BE9" w:rsidRDefault="00085EE5" w:rsidP="00367E40">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E</w:t>
      </w:r>
      <w:r w:rsidR="00483151" w:rsidRPr="00572BE9">
        <w:rPr>
          <w:rFonts w:asciiTheme="majorHAnsi" w:hAnsiTheme="majorHAnsi"/>
          <w:bCs/>
          <w:sz w:val="20"/>
          <w:szCs w:val="20"/>
          <w:lang w:val="es-ES_tradnl"/>
        </w:rPr>
        <w:t>n cuanto a la falta de agotamiento de recursos internos</w:t>
      </w:r>
      <w:r w:rsidR="00A46F73" w:rsidRPr="00572BE9">
        <w:rPr>
          <w:rFonts w:asciiTheme="majorHAnsi" w:hAnsiTheme="majorHAnsi"/>
          <w:bCs/>
          <w:sz w:val="20"/>
          <w:szCs w:val="20"/>
          <w:lang w:val="es-ES_tradnl"/>
        </w:rPr>
        <w:t xml:space="preserve">, </w:t>
      </w:r>
      <w:r w:rsidR="00855A12" w:rsidRPr="00572BE9">
        <w:rPr>
          <w:rFonts w:asciiTheme="majorHAnsi" w:hAnsiTheme="majorHAnsi"/>
          <w:bCs/>
          <w:sz w:val="20"/>
          <w:szCs w:val="20"/>
          <w:lang w:val="es-ES_tradnl"/>
        </w:rPr>
        <w:t xml:space="preserve">indica que se </w:t>
      </w:r>
      <w:r w:rsidRPr="00572BE9">
        <w:rPr>
          <w:rFonts w:asciiTheme="majorHAnsi" w:hAnsiTheme="majorHAnsi"/>
          <w:bCs/>
          <w:sz w:val="20"/>
          <w:szCs w:val="20"/>
          <w:lang w:val="es-ES_tradnl"/>
        </w:rPr>
        <w:t xml:space="preserve">inició </w:t>
      </w:r>
      <w:r w:rsidR="002B28C6" w:rsidRPr="00572BE9">
        <w:rPr>
          <w:rFonts w:asciiTheme="majorHAnsi" w:hAnsiTheme="majorHAnsi"/>
          <w:bCs/>
          <w:sz w:val="20"/>
          <w:szCs w:val="20"/>
          <w:lang w:val="es-ES_tradnl"/>
        </w:rPr>
        <w:t xml:space="preserve">una </w:t>
      </w:r>
      <w:r w:rsidR="00483151" w:rsidRPr="00572BE9">
        <w:rPr>
          <w:rFonts w:asciiTheme="majorHAnsi" w:hAnsiTheme="majorHAnsi"/>
          <w:bCs/>
          <w:sz w:val="20"/>
          <w:szCs w:val="20"/>
          <w:lang w:val="es-ES_tradnl"/>
        </w:rPr>
        <w:t xml:space="preserve">investigación </w:t>
      </w:r>
      <w:r w:rsidR="00C55E72" w:rsidRPr="00572BE9">
        <w:rPr>
          <w:rFonts w:asciiTheme="majorHAnsi" w:hAnsiTheme="majorHAnsi"/>
          <w:bCs/>
          <w:sz w:val="20"/>
          <w:szCs w:val="20"/>
          <w:lang w:val="es-ES_tradnl"/>
        </w:rPr>
        <w:t xml:space="preserve">penal </w:t>
      </w:r>
      <w:r w:rsidR="002B28C6" w:rsidRPr="00572BE9">
        <w:rPr>
          <w:rFonts w:asciiTheme="majorHAnsi" w:hAnsiTheme="majorHAnsi"/>
          <w:bCs/>
          <w:sz w:val="20"/>
          <w:szCs w:val="20"/>
          <w:lang w:val="es-ES_tradnl"/>
        </w:rPr>
        <w:t>luego de que</w:t>
      </w:r>
      <w:r w:rsidR="00483151" w:rsidRPr="00572BE9">
        <w:rPr>
          <w:rFonts w:asciiTheme="majorHAnsi" w:hAnsiTheme="majorHAnsi"/>
          <w:bCs/>
          <w:sz w:val="20"/>
          <w:szCs w:val="20"/>
          <w:lang w:val="es-ES_tradnl"/>
        </w:rPr>
        <w:t xml:space="preserve"> ocurrieron los hechos</w:t>
      </w:r>
      <w:r w:rsidR="002B28C6" w:rsidRPr="00572BE9">
        <w:rPr>
          <w:rFonts w:asciiTheme="majorHAnsi" w:hAnsiTheme="majorHAnsi"/>
          <w:bCs/>
          <w:sz w:val="20"/>
          <w:szCs w:val="20"/>
          <w:lang w:val="es-ES_tradnl"/>
        </w:rPr>
        <w:t xml:space="preserve">. No obstante, </w:t>
      </w:r>
      <w:r w:rsidR="00483151" w:rsidRPr="00572BE9">
        <w:rPr>
          <w:rFonts w:asciiTheme="majorHAnsi" w:hAnsiTheme="majorHAnsi"/>
          <w:bCs/>
          <w:sz w:val="20"/>
          <w:szCs w:val="20"/>
          <w:lang w:val="es-ES_tradnl"/>
        </w:rPr>
        <w:t xml:space="preserve">la acción penal </w:t>
      </w:r>
      <w:r w:rsidR="002B28C6" w:rsidRPr="00572BE9">
        <w:rPr>
          <w:rFonts w:asciiTheme="majorHAnsi" w:hAnsiTheme="majorHAnsi"/>
          <w:bCs/>
          <w:sz w:val="20"/>
          <w:szCs w:val="20"/>
          <w:lang w:val="es-ES_tradnl"/>
        </w:rPr>
        <w:t xml:space="preserve">no </w:t>
      </w:r>
      <w:r w:rsidR="00483151" w:rsidRPr="00572BE9">
        <w:rPr>
          <w:rFonts w:asciiTheme="majorHAnsi" w:hAnsiTheme="majorHAnsi"/>
          <w:bCs/>
          <w:sz w:val="20"/>
          <w:szCs w:val="20"/>
          <w:lang w:val="es-ES_tradnl"/>
        </w:rPr>
        <w:t xml:space="preserve">ha concluido puesto </w:t>
      </w:r>
      <w:r w:rsidR="002B28C6" w:rsidRPr="00572BE9">
        <w:rPr>
          <w:rFonts w:asciiTheme="majorHAnsi" w:hAnsiTheme="majorHAnsi"/>
          <w:bCs/>
          <w:sz w:val="20"/>
          <w:szCs w:val="20"/>
          <w:lang w:val="es-ES_tradnl"/>
        </w:rPr>
        <w:t xml:space="preserve">que la Fiscalía 57 de la Dirección Especializada contra las Violaciones a los Derechos Humanos </w:t>
      </w:r>
      <w:r w:rsidR="00483151" w:rsidRPr="00572BE9">
        <w:rPr>
          <w:rFonts w:asciiTheme="majorHAnsi" w:hAnsiTheme="majorHAnsi"/>
          <w:bCs/>
          <w:sz w:val="20"/>
          <w:szCs w:val="20"/>
          <w:lang w:val="es-ES_tradnl"/>
        </w:rPr>
        <w:t xml:space="preserve">continúa </w:t>
      </w:r>
      <w:r w:rsidR="002B28C6" w:rsidRPr="00572BE9">
        <w:rPr>
          <w:rFonts w:asciiTheme="majorHAnsi" w:hAnsiTheme="majorHAnsi"/>
          <w:bCs/>
          <w:sz w:val="20"/>
          <w:szCs w:val="20"/>
          <w:lang w:val="es-ES_tradnl"/>
        </w:rPr>
        <w:t>con las</w:t>
      </w:r>
      <w:r w:rsidR="00483151" w:rsidRPr="00572BE9">
        <w:rPr>
          <w:rFonts w:asciiTheme="majorHAnsi" w:hAnsiTheme="majorHAnsi"/>
          <w:bCs/>
          <w:sz w:val="20"/>
          <w:szCs w:val="20"/>
          <w:lang w:val="es-ES_tradnl"/>
        </w:rPr>
        <w:t xml:space="preserve"> actuaciones necesarias para esclarecer las circunstancias de tiempo, modo y lugar en las que ocurrió la masacre de Puerto Alvira</w:t>
      </w:r>
      <w:r w:rsidR="00855A12" w:rsidRPr="00572BE9">
        <w:rPr>
          <w:rFonts w:asciiTheme="majorHAnsi" w:hAnsiTheme="majorHAnsi"/>
          <w:bCs/>
          <w:sz w:val="20"/>
          <w:szCs w:val="20"/>
          <w:lang w:val="es-ES_tradnl"/>
        </w:rPr>
        <w:t>,</w:t>
      </w:r>
      <w:r w:rsidR="00483151" w:rsidRPr="00572BE9">
        <w:rPr>
          <w:rFonts w:asciiTheme="majorHAnsi" w:hAnsiTheme="majorHAnsi"/>
          <w:bCs/>
          <w:sz w:val="20"/>
          <w:szCs w:val="20"/>
          <w:lang w:val="es-ES_tradnl"/>
        </w:rPr>
        <w:t xml:space="preserve"> </w:t>
      </w:r>
      <w:r w:rsidR="002B28C6" w:rsidRPr="00572BE9">
        <w:rPr>
          <w:rFonts w:asciiTheme="majorHAnsi" w:hAnsiTheme="majorHAnsi"/>
          <w:bCs/>
          <w:sz w:val="20"/>
          <w:szCs w:val="20"/>
          <w:lang w:val="es-ES_tradnl"/>
        </w:rPr>
        <w:t xml:space="preserve">y </w:t>
      </w:r>
      <w:r w:rsidR="00483151" w:rsidRPr="00572BE9">
        <w:rPr>
          <w:rFonts w:asciiTheme="majorHAnsi" w:hAnsiTheme="majorHAnsi"/>
          <w:bCs/>
          <w:sz w:val="20"/>
          <w:szCs w:val="20"/>
          <w:lang w:val="es-ES_tradnl"/>
        </w:rPr>
        <w:t xml:space="preserve">el posterior desplazamiento forzado de las presuntas víctimas. </w:t>
      </w:r>
      <w:r w:rsidR="00C55E72" w:rsidRPr="00572BE9">
        <w:rPr>
          <w:rFonts w:asciiTheme="majorHAnsi" w:hAnsiTheme="majorHAnsi"/>
          <w:bCs/>
          <w:sz w:val="20"/>
          <w:szCs w:val="20"/>
          <w:lang w:val="es-ES_tradnl"/>
        </w:rPr>
        <w:t>Asimismo</w:t>
      </w:r>
      <w:r w:rsidR="00483151" w:rsidRPr="00572BE9">
        <w:rPr>
          <w:rFonts w:asciiTheme="majorHAnsi" w:hAnsiTheme="majorHAnsi"/>
          <w:bCs/>
          <w:sz w:val="20"/>
          <w:szCs w:val="20"/>
          <w:lang w:val="es-ES_tradnl"/>
        </w:rPr>
        <w:t>, el Estado no considera que se configura</w:t>
      </w:r>
      <w:r w:rsidR="002B28C6" w:rsidRPr="00572BE9">
        <w:rPr>
          <w:rFonts w:asciiTheme="majorHAnsi" w:hAnsiTheme="majorHAnsi"/>
          <w:bCs/>
          <w:sz w:val="20"/>
          <w:szCs w:val="20"/>
          <w:lang w:val="es-ES_tradnl"/>
        </w:rPr>
        <w:t xml:space="preserve">n las </w:t>
      </w:r>
      <w:r w:rsidR="00483151" w:rsidRPr="00572BE9">
        <w:rPr>
          <w:rFonts w:asciiTheme="majorHAnsi" w:hAnsiTheme="majorHAnsi"/>
          <w:bCs/>
          <w:sz w:val="20"/>
          <w:szCs w:val="20"/>
          <w:lang w:val="es-ES_tradnl"/>
        </w:rPr>
        <w:t>excepciones del artículo 46.2 de la</w:t>
      </w:r>
      <w:r w:rsidR="009C0C72" w:rsidRPr="00572BE9">
        <w:rPr>
          <w:rFonts w:asciiTheme="majorHAnsi" w:hAnsiTheme="majorHAnsi"/>
          <w:bCs/>
          <w:sz w:val="20"/>
          <w:szCs w:val="20"/>
          <w:lang w:val="es-ES_tradnl"/>
        </w:rPr>
        <w:t xml:space="preserve"> Convención Americana</w:t>
      </w:r>
      <w:r w:rsidR="00483151" w:rsidRPr="00572BE9">
        <w:rPr>
          <w:rFonts w:asciiTheme="majorHAnsi" w:hAnsiTheme="majorHAnsi"/>
          <w:bCs/>
          <w:sz w:val="20"/>
          <w:szCs w:val="20"/>
          <w:lang w:val="es-ES_tradnl"/>
        </w:rPr>
        <w:t xml:space="preserve">. </w:t>
      </w:r>
    </w:p>
    <w:p w14:paraId="6F08D908" w14:textId="5C102FB4" w:rsidR="00CF288C" w:rsidRPr="00572BE9" w:rsidRDefault="00873241" w:rsidP="00CF288C">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lastRenderedPageBreak/>
        <w:t>También, e</w:t>
      </w:r>
      <w:r w:rsidR="00483151" w:rsidRPr="00572BE9">
        <w:rPr>
          <w:rFonts w:asciiTheme="majorHAnsi" w:hAnsiTheme="majorHAnsi"/>
          <w:bCs/>
          <w:sz w:val="20"/>
          <w:szCs w:val="20"/>
          <w:lang w:val="es-ES_tradnl"/>
        </w:rPr>
        <w:t>l Estado señala que existe</w:t>
      </w:r>
      <w:r w:rsidRPr="00572BE9">
        <w:rPr>
          <w:rFonts w:asciiTheme="majorHAnsi" w:hAnsiTheme="majorHAnsi"/>
          <w:bCs/>
          <w:sz w:val="20"/>
          <w:szCs w:val="20"/>
          <w:lang w:val="es-ES_tradnl"/>
        </w:rPr>
        <w:t xml:space="preserve"> </w:t>
      </w:r>
      <w:r w:rsidR="00483151" w:rsidRPr="00572BE9">
        <w:rPr>
          <w:rFonts w:asciiTheme="majorHAnsi" w:hAnsiTheme="majorHAnsi"/>
          <w:bCs/>
          <w:sz w:val="20"/>
          <w:szCs w:val="20"/>
          <w:lang w:val="es-ES_tradnl"/>
        </w:rPr>
        <w:t>una serie de sentencias</w:t>
      </w:r>
      <w:r w:rsidRPr="00572BE9">
        <w:rPr>
          <w:rFonts w:asciiTheme="majorHAnsi" w:hAnsiTheme="majorHAnsi"/>
          <w:bCs/>
          <w:sz w:val="20"/>
          <w:szCs w:val="20"/>
          <w:lang w:val="es-ES_tradnl"/>
        </w:rPr>
        <w:t xml:space="preserve"> de procesos penales</w:t>
      </w:r>
      <w:r w:rsidR="00E66DCD" w:rsidRPr="00572BE9">
        <w:rPr>
          <w:rFonts w:asciiTheme="majorHAnsi" w:hAnsiTheme="majorHAnsi"/>
          <w:bCs/>
          <w:sz w:val="20"/>
          <w:szCs w:val="20"/>
          <w:lang w:val="es-ES_tradnl"/>
        </w:rPr>
        <w:t xml:space="preserve"> ya emitidas</w:t>
      </w:r>
      <w:r w:rsidRPr="00572BE9">
        <w:rPr>
          <w:rFonts w:asciiTheme="majorHAnsi" w:hAnsiTheme="majorHAnsi"/>
          <w:bCs/>
          <w:sz w:val="20"/>
          <w:szCs w:val="20"/>
          <w:lang w:val="es-ES_tradnl"/>
        </w:rPr>
        <w:t>, relativas a la masacre de Puerto Alvira</w:t>
      </w:r>
      <w:r w:rsidR="00483151" w:rsidRPr="00572BE9">
        <w:rPr>
          <w:rStyle w:val="FootnoteReference"/>
          <w:rFonts w:asciiTheme="majorHAnsi" w:hAnsiTheme="majorHAnsi"/>
          <w:bCs/>
          <w:sz w:val="20"/>
          <w:szCs w:val="20"/>
          <w:lang w:val="es-ES_tradnl"/>
        </w:rPr>
        <w:footnoteReference w:id="8"/>
      </w:r>
      <w:r w:rsidRPr="00572BE9">
        <w:rPr>
          <w:rFonts w:asciiTheme="majorHAnsi" w:hAnsiTheme="majorHAnsi"/>
          <w:bCs/>
          <w:sz w:val="20"/>
          <w:szCs w:val="20"/>
          <w:lang w:val="es-ES_tradnl"/>
        </w:rPr>
        <w:t>; a</w:t>
      </w:r>
      <w:r w:rsidR="00CF288C" w:rsidRPr="00572BE9">
        <w:rPr>
          <w:rFonts w:asciiTheme="majorHAnsi" w:hAnsiTheme="majorHAnsi"/>
          <w:bCs/>
          <w:sz w:val="20"/>
          <w:szCs w:val="20"/>
          <w:lang w:val="es-ES_tradnl"/>
        </w:rPr>
        <w:t xml:space="preserve">simismo, </w:t>
      </w:r>
      <w:r w:rsidR="003D1811" w:rsidRPr="00572BE9">
        <w:rPr>
          <w:rFonts w:asciiTheme="majorHAnsi" w:hAnsiTheme="majorHAnsi"/>
          <w:bCs/>
          <w:sz w:val="20"/>
          <w:szCs w:val="20"/>
          <w:lang w:val="es-ES_tradnl"/>
        </w:rPr>
        <w:t>asevera</w:t>
      </w:r>
      <w:r w:rsidR="00CF288C" w:rsidRPr="00572BE9">
        <w:rPr>
          <w:rFonts w:asciiTheme="majorHAnsi" w:hAnsiTheme="majorHAnsi"/>
          <w:bCs/>
          <w:sz w:val="20"/>
          <w:szCs w:val="20"/>
          <w:lang w:val="es-ES_tradnl"/>
        </w:rPr>
        <w:t xml:space="preserve"> que la</w:t>
      </w:r>
      <w:r w:rsidR="002B28C6" w:rsidRPr="00572BE9">
        <w:rPr>
          <w:rFonts w:asciiTheme="majorHAnsi" w:hAnsiTheme="majorHAnsi"/>
          <w:bCs/>
          <w:sz w:val="20"/>
          <w:szCs w:val="20"/>
          <w:lang w:val="es-ES_tradnl"/>
        </w:rPr>
        <w:t xml:space="preserve"> </w:t>
      </w:r>
      <w:r w:rsidR="00CF288C" w:rsidRPr="00572BE9">
        <w:rPr>
          <w:rFonts w:asciiTheme="majorHAnsi" w:hAnsiTheme="majorHAnsi"/>
          <w:bCs/>
          <w:sz w:val="20"/>
          <w:szCs w:val="20"/>
          <w:lang w:val="es-ES_tradnl"/>
        </w:rPr>
        <w:t>Fiscalía 57</w:t>
      </w:r>
      <w:r w:rsidR="002B28C6" w:rsidRPr="00572BE9">
        <w:rPr>
          <w:rFonts w:asciiTheme="majorHAnsi" w:hAnsiTheme="majorHAnsi"/>
          <w:bCs/>
          <w:sz w:val="20"/>
          <w:szCs w:val="20"/>
          <w:lang w:val="es-ES_tradnl"/>
        </w:rPr>
        <w:t>,</w:t>
      </w:r>
      <w:r w:rsidR="00CF288C" w:rsidRPr="00572BE9">
        <w:rPr>
          <w:rFonts w:asciiTheme="majorHAnsi" w:hAnsiTheme="majorHAnsi"/>
          <w:bCs/>
          <w:sz w:val="20"/>
          <w:szCs w:val="20"/>
          <w:lang w:val="es-ES_tradnl"/>
        </w:rPr>
        <w:t xml:space="preserve"> en varias de sus resoluciones </w:t>
      </w:r>
      <w:r w:rsidR="002B28C6" w:rsidRPr="00572BE9">
        <w:rPr>
          <w:rFonts w:asciiTheme="majorHAnsi" w:hAnsiTheme="majorHAnsi"/>
          <w:bCs/>
          <w:sz w:val="20"/>
          <w:szCs w:val="20"/>
          <w:lang w:val="es-ES_tradnl"/>
        </w:rPr>
        <w:t>–</w:t>
      </w:r>
      <w:r w:rsidR="00CF288C" w:rsidRPr="00572BE9">
        <w:rPr>
          <w:rFonts w:asciiTheme="majorHAnsi" w:hAnsiTheme="majorHAnsi"/>
          <w:bCs/>
          <w:sz w:val="20"/>
          <w:szCs w:val="20"/>
          <w:lang w:val="es-ES_tradnl"/>
        </w:rPr>
        <w:t>no especifican cuáles</w:t>
      </w:r>
      <w:r w:rsidR="002B28C6" w:rsidRPr="00572BE9">
        <w:rPr>
          <w:rFonts w:asciiTheme="majorHAnsi" w:hAnsiTheme="majorHAnsi"/>
          <w:bCs/>
          <w:sz w:val="20"/>
          <w:szCs w:val="20"/>
          <w:lang w:val="es-ES_tradnl"/>
        </w:rPr>
        <w:t>–, ha</w:t>
      </w:r>
      <w:r w:rsidR="00CF288C" w:rsidRPr="00572BE9">
        <w:rPr>
          <w:rFonts w:asciiTheme="majorHAnsi" w:hAnsiTheme="majorHAnsi"/>
          <w:bCs/>
          <w:sz w:val="20"/>
          <w:szCs w:val="20"/>
          <w:lang w:val="es-ES_tradnl"/>
        </w:rPr>
        <w:t xml:space="preserve"> considerado </w:t>
      </w:r>
      <w:r w:rsidRPr="00572BE9">
        <w:rPr>
          <w:rFonts w:asciiTheme="majorHAnsi" w:hAnsiTheme="majorHAnsi"/>
          <w:bCs/>
          <w:sz w:val="20"/>
          <w:szCs w:val="20"/>
          <w:lang w:val="es-ES_tradnl"/>
        </w:rPr>
        <w:t xml:space="preserve">a esa </w:t>
      </w:r>
      <w:r w:rsidR="00CF288C" w:rsidRPr="00572BE9">
        <w:rPr>
          <w:rFonts w:asciiTheme="majorHAnsi" w:hAnsiTheme="majorHAnsi"/>
          <w:bCs/>
          <w:sz w:val="20"/>
          <w:szCs w:val="20"/>
          <w:lang w:val="es-ES_tradnl"/>
        </w:rPr>
        <w:t>la masacre como un crimen de lesa humanidad</w:t>
      </w:r>
      <w:r w:rsidR="003D1811" w:rsidRPr="00572BE9">
        <w:rPr>
          <w:rFonts w:asciiTheme="majorHAnsi" w:hAnsiTheme="majorHAnsi"/>
          <w:bCs/>
          <w:sz w:val="20"/>
          <w:szCs w:val="20"/>
          <w:lang w:val="es-ES_tradnl"/>
        </w:rPr>
        <w:t xml:space="preserve">. </w:t>
      </w:r>
      <w:r w:rsidRPr="00572BE9">
        <w:rPr>
          <w:rFonts w:asciiTheme="majorHAnsi" w:hAnsiTheme="majorHAnsi"/>
          <w:bCs/>
          <w:sz w:val="20"/>
          <w:szCs w:val="20"/>
          <w:lang w:val="es-ES_tradnl"/>
        </w:rPr>
        <w:t>El Estado informa que actualmente</w:t>
      </w:r>
      <w:r w:rsidR="003D1811" w:rsidRPr="00572BE9">
        <w:rPr>
          <w:rFonts w:asciiTheme="majorHAnsi" w:hAnsiTheme="majorHAnsi"/>
          <w:bCs/>
          <w:sz w:val="20"/>
          <w:szCs w:val="20"/>
          <w:lang w:val="es-ES_tradnl"/>
        </w:rPr>
        <w:t xml:space="preserve"> i</w:t>
      </w:r>
      <w:r w:rsidR="002B28C6" w:rsidRPr="00572BE9">
        <w:rPr>
          <w:rFonts w:asciiTheme="majorHAnsi" w:hAnsiTheme="majorHAnsi"/>
          <w:bCs/>
          <w:sz w:val="20"/>
          <w:szCs w:val="20"/>
          <w:lang w:val="es-ES_tradnl"/>
        </w:rPr>
        <w:t xml:space="preserve">nvestiga la masacre </w:t>
      </w:r>
      <w:r w:rsidR="00CF288C" w:rsidRPr="00572BE9">
        <w:rPr>
          <w:rFonts w:asciiTheme="majorHAnsi" w:hAnsiTheme="majorHAnsi"/>
          <w:bCs/>
          <w:sz w:val="20"/>
          <w:szCs w:val="20"/>
          <w:lang w:val="es-ES_tradnl"/>
        </w:rPr>
        <w:t xml:space="preserve">con el Radicado 351 </w:t>
      </w:r>
      <w:r w:rsidR="0078544D" w:rsidRPr="00572BE9">
        <w:rPr>
          <w:rFonts w:asciiTheme="majorHAnsi" w:hAnsiTheme="majorHAnsi"/>
          <w:bCs/>
          <w:sz w:val="20"/>
          <w:szCs w:val="20"/>
          <w:lang w:val="es-ES_tradnl"/>
        </w:rPr>
        <w:t>contra</w:t>
      </w:r>
      <w:r w:rsidR="00CF288C" w:rsidRPr="00572BE9">
        <w:rPr>
          <w:rFonts w:asciiTheme="majorHAnsi" w:hAnsiTheme="majorHAnsi"/>
          <w:bCs/>
          <w:sz w:val="20"/>
          <w:szCs w:val="20"/>
          <w:lang w:val="es-ES_tradnl"/>
        </w:rPr>
        <w:t xml:space="preserve"> ocho </w:t>
      </w:r>
      <w:r w:rsidR="00504B6B" w:rsidRPr="00572BE9">
        <w:rPr>
          <w:rFonts w:asciiTheme="majorHAnsi" w:hAnsiTheme="majorHAnsi"/>
          <w:bCs/>
          <w:sz w:val="20"/>
          <w:szCs w:val="20"/>
          <w:lang w:val="es-ES_tradnl"/>
        </w:rPr>
        <w:t>acusados</w:t>
      </w:r>
      <w:r w:rsidR="003D1811" w:rsidRPr="00572BE9">
        <w:rPr>
          <w:rStyle w:val="FootnoteReference"/>
          <w:rFonts w:asciiTheme="majorHAnsi" w:hAnsiTheme="majorHAnsi"/>
          <w:bCs/>
          <w:sz w:val="20"/>
          <w:szCs w:val="20"/>
          <w:lang w:val="es-ES_tradnl"/>
        </w:rPr>
        <w:footnoteReference w:id="9"/>
      </w:r>
      <w:r w:rsidRPr="00572BE9">
        <w:rPr>
          <w:rFonts w:asciiTheme="majorHAnsi" w:hAnsiTheme="majorHAnsi"/>
          <w:bCs/>
          <w:sz w:val="20"/>
          <w:szCs w:val="20"/>
          <w:lang w:val="es-ES_tradnl"/>
        </w:rPr>
        <w:t xml:space="preserve"> ante </w:t>
      </w:r>
      <w:r w:rsidR="00CF288C" w:rsidRPr="00572BE9">
        <w:rPr>
          <w:rFonts w:asciiTheme="majorHAnsi" w:hAnsiTheme="majorHAnsi"/>
          <w:bCs/>
          <w:sz w:val="20"/>
          <w:szCs w:val="20"/>
          <w:lang w:val="es-ES_tradnl"/>
        </w:rPr>
        <w:t>el Juzgado Primero Penal del Circuito Especializado de Villavicencio en donde</w:t>
      </w:r>
      <w:r w:rsidRPr="00572BE9">
        <w:rPr>
          <w:rFonts w:asciiTheme="majorHAnsi" w:hAnsiTheme="majorHAnsi"/>
          <w:bCs/>
          <w:sz w:val="20"/>
          <w:szCs w:val="20"/>
          <w:lang w:val="es-ES_tradnl"/>
        </w:rPr>
        <w:t>, en 2020,</w:t>
      </w:r>
      <w:r w:rsidR="00CF288C" w:rsidRPr="00572BE9">
        <w:rPr>
          <w:rFonts w:asciiTheme="majorHAnsi" w:hAnsiTheme="majorHAnsi"/>
          <w:bCs/>
          <w:sz w:val="20"/>
          <w:szCs w:val="20"/>
          <w:lang w:val="es-ES_tradnl"/>
        </w:rPr>
        <w:t xml:space="preserve"> se enc</w:t>
      </w:r>
      <w:r w:rsidRPr="00572BE9">
        <w:rPr>
          <w:rFonts w:asciiTheme="majorHAnsi" w:hAnsiTheme="majorHAnsi"/>
          <w:bCs/>
          <w:sz w:val="20"/>
          <w:szCs w:val="20"/>
          <w:lang w:val="es-ES_tradnl"/>
        </w:rPr>
        <w:t>ontraba</w:t>
      </w:r>
      <w:r w:rsidR="00CF288C" w:rsidRPr="00572BE9">
        <w:rPr>
          <w:rFonts w:asciiTheme="majorHAnsi" w:hAnsiTheme="majorHAnsi"/>
          <w:bCs/>
          <w:sz w:val="20"/>
          <w:szCs w:val="20"/>
          <w:lang w:val="es-ES_tradnl"/>
        </w:rPr>
        <w:t xml:space="preserve"> en turno el expediente para fallo de primera instancia. </w:t>
      </w:r>
    </w:p>
    <w:p w14:paraId="75FB71D8" w14:textId="480532B8" w:rsidR="00CF288C" w:rsidRPr="00572BE9" w:rsidRDefault="00CF288C" w:rsidP="00CF288C">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Manifiesta que </w:t>
      </w:r>
      <w:r w:rsidR="0078544D" w:rsidRPr="00572BE9">
        <w:rPr>
          <w:rFonts w:asciiTheme="majorHAnsi" w:hAnsiTheme="majorHAnsi"/>
          <w:bCs/>
          <w:sz w:val="20"/>
          <w:szCs w:val="20"/>
          <w:lang w:val="es-ES_tradnl"/>
        </w:rPr>
        <w:t>en dicha</w:t>
      </w:r>
      <w:r w:rsidRPr="00572BE9">
        <w:rPr>
          <w:rFonts w:asciiTheme="majorHAnsi" w:hAnsiTheme="majorHAnsi"/>
          <w:bCs/>
          <w:sz w:val="20"/>
          <w:szCs w:val="20"/>
          <w:lang w:val="es-ES_tradnl"/>
        </w:rPr>
        <w:t xml:space="preserve"> investigación penal no consta que las presuntas víctimas han participado en los procesos</w:t>
      </w:r>
      <w:r w:rsidR="009C0C72" w:rsidRPr="00572BE9">
        <w:rPr>
          <w:rFonts w:asciiTheme="majorHAnsi" w:hAnsiTheme="majorHAnsi"/>
          <w:bCs/>
          <w:sz w:val="20"/>
          <w:szCs w:val="20"/>
          <w:lang w:val="es-ES_tradnl"/>
        </w:rPr>
        <w:t xml:space="preserve"> y que,</w:t>
      </w:r>
      <w:r w:rsidRPr="00572BE9">
        <w:rPr>
          <w:rFonts w:asciiTheme="majorHAnsi" w:hAnsiTheme="majorHAnsi"/>
          <w:bCs/>
          <w:sz w:val="20"/>
          <w:szCs w:val="20"/>
          <w:lang w:val="es-ES_tradnl"/>
        </w:rPr>
        <w:t xml:space="preserve"> conforme a la Ley 600 de</w:t>
      </w:r>
      <w:r w:rsidR="00855A12" w:rsidRPr="00572BE9">
        <w:rPr>
          <w:rFonts w:asciiTheme="majorHAnsi" w:hAnsiTheme="majorHAnsi"/>
          <w:bCs/>
          <w:sz w:val="20"/>
          <w:szCs w:val="20"/>
          <w:lang w:val="es-ES_tradnl"/>
        </w:rPr>
        <w:t>l</w:t>
      </w:r>
      <w:r w:rsidRPr="00572BE9">
        <w:rPr>
          <w:rFonts w:asciiTheme="majorHAnsi" w:hAnsiTheme="majorHAnsi"/>
          <w:bCs/>
          <w:sz w:val="20"/>
          <w:szCs w:val="20"/>
          <w:lang w:val="es-ES_tradnl"/>
        </w:rPr>
        <w:t xml:space="preserve"> 2000</w:t>
      </w:r>
      <w:r w:rsidR="003576D7" w:rsidRPr="00572BE9">
        <w:rPr>
          <w:rFonts w:asciiTheme="majorHAnsi" w:hAnsiTheme="majorHAnsi"/>
          <w:bCs/>
          <w:sz w:val="20"/>
          <w:szCs w:val="20"/>
          <w:lang w:val="es-ES_tradnl"/>
        </w:rPr>
        <w:t xml:space="preserve">, </w:t>
      </w:r>
      <w:r w:rsidRPr="00572BE9">
        <w:rPr>
          <w:rFonts w:asciiTheme="majorHAnsi" w:hAnsiTheme="majorHAnsi"/>
          <w:bCs/>
          <w:sz w:val="20"/>
          <w:szCs w:val="20"/>
          <w:lang w:val="es-ES_tradnl"/>
        </w:rPr>
        <w:t xml:space="preserve">quienes se consideren afectados pueden ejercer acción civil dentro del proceso penal, para obtener resarcimiento de los daños y perjuicios y acceder a la verdad de lo ocurrido. </w:t>
      </w:r>
      <w:r w:rsidR="009C0C72" w:rsidRPr="00572BE9">
        <w:rPr>
          <w:rFonts w:asciiTheme="majorHAnsi" w:hAnsiTheme="majorHAnsi"/>
          <w:bCs/>
          <w:sz w:val="20"/>
          <w:szCs w:val="20"/>
          <w:lang w:val="es-ES_tradnl"/>
        </w:rPr>
        <w:t xml:space="preserve"> El Estado asegura </w:t>
      </w:r>
      <w:r w:rsidR="00EB2797" w:rsidRPr="00572BE9">
        <w:rPr>
          <w:rFonts w:asciiTheme="majorHAnsi" w:hAnsiTheme="majorHAnsi"/>
          <w:bCs/>
          <w:sz w:val="20"/>
          <w:szCs w:val="20"/>
          <w:lang w:val="es-ES_tradnl"/>
        </w:rPr>
        <w:t>que,</w:t>
      </w:r>
      <w:r w:rsidR="009C0C72" w:rsidRPr="00572BE9">
        <w:rPr>
          <w:rFonts w:asciiTheme="majorHAnsi" w:hAnsiTheme="majorHAnsi"/>
          <w:bCs/>
          <w:sz w:val="20"/>
          <w:szCs w:val="20"/>
          <w:lang w:val="es-ES_tradnl"/>
        </w:rPr>
        <w:t xml:space="preserve"> </w:t>
      </w:r>
      <w:r w:rsidR="0078544D" w:rsidRPr="00572BE9">
        <w:rPr>
          <w:rFonts w:asciiTheme="majorHAnsi" w:hAnsiTheme="majorHAnsi"/>
          <w:bCs/>
          <w:sz w:val="20"/>
          <w:szCs w:val="20"/>
          <w:lang w:val="es-ES_tradnl"/>
        </w:rPr>
        <w:t>s</w:t>
      </w:r>
      <w:r w:rsidRPr="00572BE9">
        <w:rPr>
          <w:rFonts w:asciiTheme="majorHAnsi" w:hAnsiTheme="majorHAnsi"/>
          <w:bCs/>
          <w:sz w:val="20"/>
          <w:szCs w:val="20"/>
          <w:lang w:val="es-ES_tradnl"/>
        </w:rPr>
        <w:t>i bien es labor de la Fiscalía adelantar diligencias</w:t>
      </w:r>
      <w:r w:rsidR="00572BE9">
        <w:rPr>
          <w:rFonts w:asciiTheme="majorHAnsi" w:hAnsiTheme="majorHAnsi"/>
          <w:bCs/>
          <w:sz w:val="20"/>
          <w:szCs w:val="20"/>
          <w:lang w:val="es-ES_tradnl"/>
        </w:rPr>
        <w:t>,</w:t>
      </w:r>
      <w:r w:rsidRPr="00572BE9">
        <w:rPr>
          <w:rFonts w:asciiTheme="majorHAnsi" w:hAnsiTheme="majorHAnsi"/>
          <w:bCs/>
          <w:sz w:val="20"/>
          <w:szCs w:val="20"/>
          <w:lang w:val="es-ES_tradnl"/>
        </w:rPr>
        <w:t xml:space="preserve"> </w:t>
      </w:r>
      <w:r w:rsidR="00873241" w:rsidRPr="00572BE9">
        <w:rPr>
          <w:rFonts w:asciiTheme="majorHAnsi" w:hAnsiTheme="majorHAnsi"/>
          <w:bCs/>
          <w:sz w:val="20"/>
          <w:szCs w:val="20"/>
          <w:lang w:val="es-ES_tradnl"/>
        </w:rPr>
        <w:t xml:space="preserve">la participación de las víctimas en los procesos es importante. </w:t>
      </w:r>
    </w:p>
    <w:p w14:paraId="5B165169" w14:textId="0B00BE1C" w:rsidR="003576D7" w:rsidRPr="00572BE9" w:rsidRDefault="003576D7" w:rsidP="00CF288C">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Respecto a las investigaciones y procesos ante la jurisdicción transicional, </w:t>
      </w:r>
      <w:r w:rsidR="00873241" w:rsidRPr="00572BE9">
        <w:rPr>
          <w:rFonts w:asciiTheme="majorHAnsi" w:hAnsiTheme="majorHAnsi"/>
          <w:bCs/>
          <w:sz w:val="20"/>
          <w:szCs w:val="20"/>
          <w:lang w:val="es-ES_tradnl"/>
        </w:rPr>
        <w:t xml:space="preserve">indica que el proceso comenzó en 2005 y que </w:t>
      </w:r>
      <w:r w:rsidRPr="00572BE9">
        <w:rPr>
          <w:rFonts w:asciiTheme="majorHAnsi" w:hAnsiTheme="majorHAnsi"/>
          <w:bCs/>
          <w:sz w:val="20"/>
          <w:szCs w:val="20"/>
          <w:lang w:val="es-ES_tradnl"/>
        </w:rPr>
        <w:t>la Fiscalía 21 Delegada ante el Tribunal de Justicia y Paz de Bogotá maneja el Caso 1116 por la masacre Puerto Alvira.</w:t>
      </w:r>
    </w:p>
    <w:p w14:paraId="3ACD6009" w14:textId="7D6FA0C7" w:rsidR="003576D7" w:rsidRPr="00572BE9" w:rsidRDefault="00873241" w:rsidP="00873241">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El Estado no considera que se configure la </w:t>
      </w:r>
      <w:r w:rsidR="003576D7" w:rsidRPr="00572BE9">
        <w:rPr>
          <w:rFonts w:asciiTheme="majorHAnsi" w:hAnsiTheme="majorHAnsi"/>
          <w:bCs/>
          <w:sz w:val="20"/>
          <w:szCs w:val="20"/>
          <w:lang w:val="es-ES_tradnl"/>
        </w:rPr>
        <w:t>excepción a la falta de agotamiento de recursos internos, consagrada en el artículo 46.2 de la CADH puesto que existe el debido proceso legal para proteger los derechos de las presuntas víctimas</w:t>
      </w:r>
      <w:r w:rsidR="0078544D" w:rsidRPr="00572BE9">
        <w:rPr>
          <w:rFonts w:asciiTheme="majorHAnsi" w:hAnsiTheme="majorHAnsi"/>
          <w:bCs/>
          <w:sz w:val="20"/>
          <w:szCs w:val="20"/>
          <w:lang w:val="es-ES_tradnl"/>
        </w:rPr>
        <w:t xml:space="preserve"> </w:t>
      </w:r>
      <w:r w:rsidR="00293936" w:rsidRPr="00572BE9">
        <w:rPr>
          <w:rFonts w:asciiTheme="majorHAnsi" w:hAnsiTheme="majorHAnsi"/>
          <w:bCs/>
          <w:sz w:val="20"/>
          <w:szCs w:val="20"/>
          <w:lang w:val="es-ES_tradnl"/>
        </w:rPr>
        <w:t>y</w:t>
      </w:r>
      <w:r w:rsidR="0078544D" w:rsidRPr="00572BE9">
        <w:rPr>
          <w:rFonts w:asciiTheme="majorHAnsi" w:hAnsiTheme="majorHAnsi"/>
          <w:bCs/>
          <w:sz w:val="20"/>
          <w:szCs w:val="20"/>
          <w:lang w:val="es-ES_tradnl"/>
        </w:rPr>
        <w:t xml:space="preserve"> </w:t>
      </w:r>
      <w:r w:rsidR="003576D7" w:rsidRPr="00572BE9">
        <w:rPr>
          <w:rFonts w:asciiTheme="majorHAnsi" w:hAnsiTheme="majorHAnsi"/>
          <w:bCs/>
          <w:sz w:val="20"/>
          <w:szCs w:val="20"/>
          <w:lang w:val="es-ES_tradnl"/>
        </w:rPr>
        <w:t>que no existió impedimento alguno para acceder a los recursos internos</w:t>
      </w:r>
      <w:r w:rsidR="0078544D" w:rsidRPr="00572BE9">
        <w:rPr>
          <w:rFonts w:asciiTheme="majorHAnsi" w:hAnsiTheme="majorHAnsi"/>
          <w:bCs/>
          <w:sz w:val="20"/>
          <w:szCs w:val="20"/>
          <w:lang w:val="es-ES_tradnl"/>
        </w:rPr>
        <w:t>.</w:t>
      </w:r>
      <w:r w:rsidRPr="00572BE9">
        <w:rPr>
          <w:rFonts w:asciiTheme="majorHAnsi" w:hAnsiTheme="majorHAnsi"/>
          <w:bCs/>
          <w:sz w:val="20"/>
          <w:szCs w:val="20"/>
          <w:lang w:val="es-ES_tradnl"/>
        </w:rPr>
        <w:t xml:space="preserve"> También porque considera que ha</w:t>
      </w:r>
      <w:r w:rsidR="003576D7" w:rsidRPr="00572BE9">
        <w:rPr>
          <w:rFonts w:asciiTheme="majorHAnsi" w:hAnsiTheme="majorHAnsi"/>
          <w:bCs/>
          <w:sz w:val="20"/>
          <w:szCs w:val="20"/>
          <w:lang w:val="es-ES_tradnl"/>
        </w:rPr>
        <w:t xml:space="preserve"> empleado un plazo razonable para llevar a cabo la</w:t>
      </w:r>
      <w:r w:rsidRPr="00572BE9">
        <w:rPr>
          <w:rFonts w:asciiTheme="majorHAnsi" w:hAnsiTheme="majorHAnsi"/>
          <w:bCs/>
          <w:sz w:val="20"/>
          <w:szCs w:val="20"/>
          <w:lang w:val="es-ES_tradnl"/>
        </w:rPr>
        <w:t>s investigaciones</w:t>
      </w:r>
      <w:r w:rsidR="003576D7" w:rsidRPr="00572BE9">
        <w:rPr>
          <w:rFonts w:asciiTheme="majorHAnsi" w:hAnsiTheme="majorHAnsi"/>
          <w:bCs/>
          <w:sz w:val="20"/>
          <w:szCs w:val="20"/>
          <w:lang w:val="es-ES_tradnl"/>
        </w:rPr>
        <w:t>, considerando la complejidad del asunto</w:t>
      </w:r>
      <w:r w:rsidRPr="00572BE9">
        <w:rPr>
          <w:rFonts w:asciiTheme="majorHAnsi" w:hAnsiTheme="majorHAnsi"/>
          <w:bCs/>
          <w:sz w:val="20"/>
          <w:szCs w:val="20"/>
          <w:lang w:val="es-ES_tradnl"/>
        </w:rPr>
        <w:t xml:space="preserve">. </w:t>
      </w:r>
    </w:p>
    <w:p w14:paraId="78DDFE7E" w14:textId="0CB21242" w:rsidR="003576D7" w:rsidRPr="00572BE9" w:rsidRDefault="004A1FEA" w:rsidP="00901C05">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Por otro lado, externa que las presuntas víctimas no interpusieron acción de reparación directa y considera que este es el recurso adecuado y efectivo para solicitar reclamaciones judiciales de responsabilidad contra el Estado y el correlativo deber de reparar integralmente a los afectados. Razona pues que si la Comisión admite las pretensiones sobre reparaciones estaría desconociendo su naturaleza subsidiaria y los esfuerzos del Estado de dotar a los ciudadanos de recursos adecuados y efectivos. Tampoco considera que apliquen las excepciones de falta de agotamiento sobre la reparación puesto que existe el recurso y no se les ha impedido a las presuntas víctimas el activarlo.</w:t>
      </w:r>
    </w:p>
    <w:p w14:paraId="67E66D04" w14:textId="41D5EF77" w:rsidR="00CF288C" w:rsidRPr="00572BE9" w:rsidRDefault="005E7308" w:rsidP="0071770C">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lastRenderedPageBreak/>
        <w:t xml:space="preserve">Además, </w:t>
      </w:r>
      <w:r w:rsidR="00873241" w:rsidRPr="00572BE9">
        <w:rPr>
          <w:rFonts w:asciiTheme="majorHAnsi" w:hAnsiTheme="majorHAnsi"/>
          <w:bCs/>
          <w:sz w:val="20"/>
          <w:szCs w:val="20"/>
          <w:lang w:val="es-ES_tradnl"/>
        </w:rPr>
        <w:t>el Estado subraya que en el</w:t>
      </w:r>
      <w:r w:rsidR="004A1FEA" w:rsidRPr="00572BE9">
        <w:rPr>
          <w:rFonts w:asciiTheme="majorHAnsi" w:hAnsiTheme="majorHAnsi"/>
          <w:bCs/>
          <w:sz w:val="20"/>
          <w:szCs w:val="20"/>
          <w:lang w:val="es-ES_tradnl"/>
        </w:rPr>
        <w:t xml:space="preserve"> Registro Único de Víctimas</w:t>
      </w:r>
      <w:r w:rsidR="00873241" w:rsidRPr="00572BE9">
        <w:rPr>
          <w:rFonts w:asciiTheme="majorHAnsi" w:hAnsiTheme="majorHAnsi"/>
          <w:bCs/>
          <w:sz w:val="20"/>
          <w:szCs w:val="20"/>
          <w:lang w:val="es-ES_tradnl"/>
        </w:rPr>
        <w:t xml:space="preserve"> ya</w:t>
      </w:r>
      <w:r w:rsidR="004A1FEA" w:rsidRPr="00572BE9">
        <w:rPr>
          <w:rFonts w:asciiTheme="majorHAnsi" w:hAnsiTheme="majorHAnsi"/>
          <w:bCs/>
          <w:sz w:val="20"/>
          <w:szCs w:val="20"/>
          <w:lang w:val="es-ES_tradnl"/>
        </w:rPr>
        <w:t xml:space="preserve"> se encuentran incluidas cinco de las presuntas víctimas, por el desplazamiento forzado</w:t>
      </w:r>
      <w:r w:rsidR="004A1FEA" w:rsidRPr="00572BE9">
        <w:rPr>
          <w:rFonts w:asciiTheme="majorHAnsi" w:hAnsiTheme="majorHAnsi"/>
          <w:bCs/>
          <w:sz w:val="20"/>
          <w:szCs w:val="20"/>
          <w:vertAlign w:val="superscript"/>
          <w:lang w:val="es-ES_tradnl"/>
        </w:rPr>
        <w:footnoteReference w:id="10"/>
      </w:r>
      <w:r w:rsidRPr="00572BE9">
        <w:rPr>
          <w:rFonts w:asciiTheme="majorHAnsi" w:hAnsiTheme="majorHAnsi"/>
          <w:bCs/>
          <w:sz w:val="20"/>
          <w:szCs w:val="20"/>
          <w:lang w:val="es-ES_tradnl"/>
        </w:rPr>
        <w:t xml:space="preserve">, y enuncia </w:t>
      </w:r>
      <w:r w:rsidR="00873241" w:rsidRPr="00572BE9">
        <w:rPr>
          <w:rFonts w:asciiTheme="majorHAnsi" w:hAnsiTheme="majorHAnsi"/>
          <w:bCs/>
          <w:sz w:val="20"/>
          <w:szCs w:val="20"/>
          <w:lang w:val="es-ES_tradnl"/>
        </w:rPr>
        <w:t xml:space="preserve">los </w:t>
      </w:r>
      <w:r w:rsidR="003942D7" w:rsidRPr="00572BE9">
        <w:rPr>
          <w:rFonts w:asciiTheme="majorHAnsi" w:hAnsiTheme="majorHAnsi"/>
          <w:bCs/>
          <w:sz w:val="20"/>
          <w:szCs w:val="20"/>
          <w:lang w:val="es-ES_tradnl"/>
        </w:rPr>
        <w:t>apoyos económicos que se ha</w:t>
      </w:r>
      <w:r w:rsidR="00873241" w:rsidRPr="00572BE9">
        <w:rPr>
          <w:rFonts w:asciiTheme="majorHAnsi" w:hAnsiTheme="majorHAnsi"/>
          <w:bCs/>
          <w:sz w:val="20"/>
          <w:szCs w:val="20"/>
          <w:lang w:val="es-ES_tradnl"/>
        </w:rPr>
        <w:t>n realizado a su favor</w:t>
      </w:r>
      <w:r w:rsidR="003942D7" w:rsidRPr="00572BE9">
        <w:rPr>
          <w:rStyle w:val="FootnoteReference"/>
          <w:rFonts w:asciiTheme="majorHAnsi" w:hAnsiTheme="majorHAnsi"/>
          <w:bCs/>
          <w:sz w:val="20"/>
          <w:szCs w:val="20"/>
          <w:lang w:val="es-ES_tradnl"/>
        </w:rPr>
        <w:footnoteReference w:id="11"/>
      </w:r>
      <w:r w:rsidR="003942D7" w:rsidRPr="00572BE9">
        <w:rPr>
          <w:rFonts w:asciiTheme="majorHAnsi" w:hAnsiTheme="majorHAnsi"/>
          <w:bCs/>
          <w:sz w:val="20"/>
          <w:szCs w:val="20"/>
          <w:lang w:val="es-ES_tradnl"/>
        </w:rPr>
        <w:t>. En cuanto a la indemnización administrativa, añade que a través de resolución 4102019-87585 del 30 de noviembre de 2019 se reconoció la medida de indemnización administrativa por el desplazamiento forzado a las presuntas víctimas por un valor de 40 SMLMV</w:t>
      </w:r>
      <w:r w:rsidR="003942D7" w:rsidRPr="00572BE9">
        <w:rPr>
          <w:rFonts w:asciiTheme="majorHAnsi" w:hAnsiTheme="majorHAnsi"/>
          <w:bCs/>
          <w:sz w:val="20"/>
          <w:szCs w:val="20"/>
          <w:vertAlign w:val="superscript"/>
          <w:lang w:val="es-ES_tradnl"/>
        </w:rPr>
        <w:footnoteReference w:id="12"/>
      </w:r>
      <w:r w:rsidR="003942D7" w:rsidRPr="00572BE9">
        <w:rPr>
          <w:rFonts w:asciiTheme="majorHAnsi" w:hAnsiTheme="majorHAnsi"/>
          <w:bCs/>
          <w:sz w:val="20"/>
          <w:szCs w:val="20"/>
          <w:lang w:val="es-ES_tradnl"/>
        </w:rPr>
        <w:t>, en un porcentaje de 20% a cada uno.</w:t>
      </w:r>
    </w:p>
    <w:p w14:paraId="3857BD7B" w14:textId="5697E7D1" w:rsidR="00483151" w:rsidRPr="00572BE9" w:rsidRDefault="00097FCB" w:rsidP="00097FCB">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 xml:space="preserve">Por último, el Estado pide inadmisibilidad por tratarse de alegaciones manifiestamente infundadas. </w:t>
      </w:r>
      <w:r w:rsidR="00E66DCD" w:rsidRPr="00572BE9">
        <w:rPr>
          <w:rFonts w:asciiTheme="majorHAnsi" w:hAnsiTheme="majorHAnsi"/>
          <w:bCs/>
          <w:sz w:val="20"/>
          <w:szCs w:val="20"/>
          <w:lang w:val="es-ES_tradnl"/>
        </w:rPr>
        <w:t>C</w:t>
      </w:r>
      <w:r w:rsidRPr="00572BE9">
        <w:rPr>
          <w:rFonts w:asciiTheme="majorHAnsi" w:hAnsiTheme="majorHAnsi"/>
          <w:bCs/>
          <w:sz w:val="20"/>
          <w:szCs w:val="20"/>
          <w:lang w:val="es-ES_tradnl"/>
        </w:rPr>
        <w:t>onsidera que no se evidencia que el Estado conocía de un riesgo real e inmediato respecto a las presuntas víctimas, por lo que no se configuraría una falta al deber de prevención; tampoco que agentes estatales participaron en los hechos, ni que hubo tolerancia o aquiescencia por parte de agentes estatales en la comisión de los hechos, sino que éstos fueron de autoría de miembros de grupos de autodefensas ilegales y el Estado no conocía una situación de riesgo contra la vida e integridad de las presuntas víctimas. Aseveran de igual manera que no se allegaron elementos que sustente</w:t>
      </w:r>
      <w:r w:rsidR="00F01BCD" w:rsidRPr="00572BE9">
        <w:rPr>
          <w:rFonts w:asciiTheme="majorHAnsi" w:hAnsiTheme="majorHAnsi"/>
          <w:bCs/>
          <w:sz w:val="20"/>
          <w:szCs w:val="20"/>
          <w:lang w:val="es-ES_tradnl"/>
        </w:rPr>
        <w:t>n</w:t>
      </w:r>
      <w:r w:rsidRPr="00572BE9">
        <w:rPr>
          <w:rFonts w:asciiTheme="majorHAnsi" w:hAnsiTheme="majorHAnsi"/>
          <w:bCs/>
          <w:sz w:val="20"/>
          <w:szCs w:val="20"/>
          <w:lang w:val="es-ES_tradnl"/>
        </w:rPr>
        <w:t xml:space="preserve"> los alegatos de que el Estado no brindó seguridad en la zona de los hechos.</w:t>
      </w:r>
    </w:p>
    <w:p w14:paraId="51F68C92" w14:textId="77777777" w:rsidR="003239B8" w:rsidRPr="00572BE9" w:rsidRDefault="003239B8" w:rsidP="003239B8">
      <w:pPr>
        <w:spacing w:before="240" w:after="240"/>
        <w:ind w:firstLine="720"/>
        <w:jc w:val="both"/>
        <w:rPr>
          <w:rFonts w:ascii="Cambria" w:hAnsi="Cambria"/>
          <w:sz w:val="20"/>
          <w:szCs w:val="20"/>
          <w:lang w:val="es-ES_tradnl"/>
        </w:rPr>
      </w:pPr>
      <w:r w:rsidRPr="00572BE9">
        <w:rPr>
          <w:rFonts w:asciiTheme="majorHAnsi" w:eastAsia="Cambria" w:hAnsiTheme="majorHAnsi" w:cs="Cambria"/>
          <w:b/>
          <w:bCs/>
          <w:color w:val="000000"/>
          <w:sz w:val="20"/>
          <w:szCs w:val="20"/>
          <w:u w:color="000000"/>
          <w:lang w:val="es-ES_tradnl" w:eastAsia="es-ES"/>
        </w:rPr>
        <w:t>VI.</w:t>
      </w:r>
      <w:r w:rsidRPr="00572BE9">
        <w:rPr>
          <w:rFonts w:asciiTheme="majorHAnsi" w:eastAsia="Cambria" w:hAnsiTheme="majorHAnsi" w:cs="Cambria"/>
          <w:b/>
          <w:bCs/>
          <w:color w:val="000000"/>
          <w:sz w:val="20"/>
          <w:szCs w:val="20"/>
          <w:u w:color="000000"/>
          <w:lang w:val="es-ES_tradnl" w:eastAsia="es-ES"/>
        </w:rPr>
        <w:tab/>
      </w:r>
      <w:r w:rsidR="004A6A54" w:rsidRPr="00572BE9">
        <w:rPr>
          <w:rFonts w:asciiTheme="majorHAnsi" w:hAnsiTheme="majorHAnsi"/>
          <w:b/>
          <w:bCs/>
          <w:sz w:val="20"/>
          <w:szCs w:val="20"/>
          <w:lang w:val="es-ES_tradnl"/>
        </w:rPr>
        <w:t xml:space="preserve">ANÁLISIS DE </w:t>
      </w:r>
      <w:r w:rsidR="00C21FEF" w:rsidRPr="00572BE9">
        <w:rPr>
          <w:rFonts w:asciiTheme="majorHAnsi" w:hAnsiTheme="majorHAnsi"/>
          <w:b/>
          <w:sz w:val="20"/>
          <w:szCs w:val="20"/>
          <w:lang w:val="es-ES_tradnl"/>
        </w:rPr>
        <w:t>AGOTAMIENTO DE LOS RECURSOS INTERNOS Y PLAZO DE PRESENTACIÓN</w:t>
      </w:r>
      <w:r w:rsidR="00C21FEF" w:rsidRPr="00572BE9">
        <w:rPr>
          <w:rFonts w:asciiTheme="majorHAnsi" w:eastAsia="Cambria" w:hAnsiTheme="majorHAnsi" w:cs="Cambria"/>
          <w:b/>
          <w:bCs/>
          <w:color w:val="000000"/>
          <w:sz w:val="20"/>
          <w:szCs w:val="20"/>
          <w:u w:color="000000"/>
          <w:lang w:val="es-ES_tradnl" w:eastAsia="es-ES"/>
        </w:rPr>
        <w:t xml:space="preserve"> </w:t>
      </w:r>
    </w:p>
    <w:p w14:paraId="7433FDD3" w14:textId="0ED3C3AA" w:rsidR="00632C85" w:rsidRPr="00572BE9" w:rsidRDefault="00632C85" w:rsidP="00AC425E">
      <w:pPr>
        <w:pStyle w:val="ListParagraph"/>
        <w:numPr>
          <w:ilvl w:val="0"/>
          <w:numId w:val="61"/>
        </w:numPr>
        <w:spacing w:before="240" w:after="240"/>
        <w:ind w:left="142" w:firstLine="567"/>
        <w:jc w:val="both"/>
        <w:rPr>
          <w:sz w:val="20"/>
          <w:szCs w:val="20"/>
          <w:lang w:val="es-ES_tradnl"/>
        </w:rPr>
      </w:pPr>
      <w:r w:rsidRPr="00572BE9">
        <w:rPr>
          <w:sz w:val="20"/>
          <w:szCs w:val="20"/>
          <w:lang w:val="es-ES_tradnl"/>
        </w:rPr>
        <w:t>El peticionario</w:t>
      </w:r>
      <w:r w:rsidR="00443073" w:rsidRPr="00572BE9">
        <w:rPr>
          <w:sz w:val="20"/>
          <w:szCs w:val="20"/>
          <w:lang w:val="es-ES_tradnl"/>
        </w:rPr>
        <w:t xml:space="preserve"> arguye responsabilidad del Estado puesto que no existió protección contra los hechos de</w:t>
      </w:r>
      <w:r w:rsidR="00E269F1" w:rsidRPr="00572BE9">
        <w:rPr>
          <w:sz w:val="20"/>
          <w:szCs w:val="20"/>
          <w:lang w:val="es-ES_tradnl"/>
        </w:rPr>
        <w:t xml:space="preserve">sencadenados el 4 de </w:t>
      </w:r>
      <w:r w:rsidR="00443073" w:rsidRPr="00572BE9">
        <w:rPr>
          <w:sz w:val="20"/>
          <w:szCs w:val="20"/>
          <w:lang w:val="es-ES_tradnl"/>
        </w:rPr>
        <w:t>mayo de 1998</w:t>
      </w:r>
      <w:r w:rsidR="00AC425E" w:rsidRPr="00572BE9">
        <w:rPr>
          <w:sz w:val="20"/>
          <w:szCs w:val="20"/>
          <w:lang w:val="es-ES_tradnl"/>
        </w:rPr>
        <w:t>; s</w:t>
      </w:r>
      <w:r w:rsidRPr="00572BE9">
        <w:rPr>
          <w:sz w:val="20"/>
          <w:szCs w:val="20"/>
          <w:lang w:val="es-ES_tradnl"/>
        </w:rPr>
        <w:t>ostiene</w:t>
      </w:r>
      <w:r w:rsidR="00E269F1" w:rsidRPr="00572BE9">
        <w:rPr>
          <w:sz w:val="20"/>
          <w:szCs w:val="20"/>
          <w:lang w:val="es-ES_tradnl"/>
        </w:rPr>
        <w:t xml:space="preserve"> también</w:t>
      </w:r>
      <w:r w:rsidRPr="00572BE9">
        <w:rPr>
          <w:sz w:val="20"/>
          <w:szCs w:val="20"/>
          <w:lang w:val="es-ES_tradnl"/>
        </w:rPr>
        <w:t xml:space="preserve"> que </w:t>
      </w:r>
      <w:r w:rsidR="00AC425E" w:rsidRPr="00572BE9">
        <w:rPr>
          <w:sz w:val="20"/>
          <w:szCs w:val="20"/>
          <w:lang w:val="es-ES_tradnl"/>
        </w:rPr>
        <w:t>las investigaciones penales no han</w:t>
      </w:r>
      <w:r w:rsidRPr="00572BE9">
        <w:rPr>
          <w:sz w:val="20"/>
          <w:szCs w:val="20"/>
          <w:lang w:val="es-ES_tradnl"/>
        </w:rPr>
        <w:t xml:space="preserve"> sido </w:t>
      </w:r>
      <w:r w:rsidR="00EE0100">
        <w:rPr>
          <w:sz w:val="20"/>
          <w:szCs w:val="20"/>
          <w:lang w:val="es-ES_tradnl"/>
        </w:rPr>
        <w:t>efica</w:t>
      </w:r>
      <w:r w:rsidR="007708B3">
        <w:rPr>
          <w:sz w:val="20"/>
          <w:szCs w:val="20"/>
          <w:lang w:val="es-ES_tradnl"/>
        </w:rPr>
        <w:t>ces</w:t>
      </w:r>
      <w:r w:rsidRPr="00572BE9">
        <w:rPr>
          <w:sz w:val="20"/>
          <w:szCs w:val="20"/>
          <w:lang w:val="es-ES_tradnl"/>
        </w:rPr>
        <w:t xml:space="preserve"> al grado de que no se ha sancionado a los responsables</w:t>
      </w:r>
      <w:r w:rsidR="00E269F1" w:rsidRPr="00572BE9">
        <w:rPr>
          <w:sz w:val="20"/>
          <w:szCs w:val="20"/>
          <w:lang w:val="es-ES_tradnl"/>
        </w:rPr>
        <w:t xml:space="preserve"> hasta la fecha</w:t>
      </w:r>
      <w:r w:rsidRPr="00572BE9">
        <w:rPr>
          <w:sz w:val="20"/>
          <w:szCs w:val="20"/>
          <w:lang w:val="es-ES_tradnl"/>
        </w:rPr>
        <w:t xml:space="preserve">. El Estado, </w:t>
      </w:r>
      <w:r w:rsidR="00443073" w:rsidRPr="00572BE9">
        <w:rPr>
          <w:sz w:val="20"/>
          <w:szCs w:val="20"/>
          <w:lang w:val="es-ES_tradnl"/>
        </w:rPr>
        <w:t>por su parte</w:t>
      </w:r>
      <w:r w:rsidRPr="00572BE9">
        <w:rPr>
          <w:sz w:val="20"/>
          <w:szCs w:val="20"/>
          <w:lang w:val="es-ES_tradnl"/>
        </w:rPr>
        <w:t xml:space="preserve">, afirma que </w:t>
      </w:r>
      <w:r w:rsidR="00AC425E" w:rsidRPr="00572BE9">
        <w:rPr>
          <w:sz w:val="20"/>
          <w:szCs w:val="20"/>
          <w:lang w:val="es-ES_tradnl"/>
        </w:rPr>
        <w:t xml:space="preserve">la petición es infundada y que la parte peticionaria no allegó elementos que sustenten la responsabilidad del Estado. Por otro lado, considera que </w:t>
      </w:r>
      <w:r w:rsidRPr="00572BE9">
        <w:rPr>
          <w:sz w:val="20"/>
          <w:szCs w:val="20"/>
          <w:lang w:val="es-ES_tradnl"/>
        </w:rPr>
        <w:t xml:space="preserve">los recursos internos tanto en la jurisdicción </w:t>
      </w:r>
      <w:r w:rsidR="004A7A2E" w:rsidRPr="00572BE9">
        <w:rPr>
          <w:sz w:val="20"/>
          <w:szCs w:val="20"/>
          <w:lang w:val="es-ES_tradnl"/>
        </w:rPr>
        <w:t xml:space="preserve">penal y </w:t>
      </w:r>
      <w:r w:rsidRPr="00572BE9">
        <w:rPr>
          <w:sz w:val="20"/>
          <w:szCs w:val="20"/>
          <w:lang w:val="es-ES_tradnl"/>
        </w:rPr>
        <w:t>en la de justicia transicional</w:t>
      </w:r>
      <w:r w:rsidR="00AC425E" w:rsidRPr="00572BE9">
        <w:rPr>
          <w:sz w:val="20"/>
          <w:szCs w:val="20"/>
          <w:lang w:val="es-ES_tradnl"/>
        </w:rPr>
        <w:t xml:space="preserve"> no han concluido</w:t>
      </w:r>
      <w:r w:rsidR="004A7A2E" w:rsidRPr="00572BE9">
        <w:rPr>
          <w:sz w:val="20"/>
          <w:szCs w:val="20"/>
          <w:lang w:val="es-ES_tradnl"/>
        </w:rPr>
        <w:t xml:space="preserve"> </w:t>
      </w:r>
      <w:r w:rsidR="00AC425E" w:rsidRPr="00572BE9">
        <w:rPr>
          <w:sz w:val="20"/>
          <w:szCs w:val="20"/>
          <w:lang w:val="es-ES_tradnl"/>
        </w:rPr>
        <w:t xml:space="preserve">por </w:t>
      </w:r>
      <w:r w:rsidR="004A7A2E" w:rsidRPr="00572BE9">
        <w:rPr>
          <w:sz w:val="20"/>
          <w:szCs w:val="20"/>
          <w:lang w:val="es-ES_tradnl"/>
        </w:rPr>
        <w:t>la</w:t>
      </w:r>
      <w:r w:rsidR="00AC425E" w:rsidRPr="00572BE9">
        <w:rPr>
          <w:sz w:val="20"/>
          <w:szCs w:val="20"/>
          <w:lang w:val="es-ES_tradnl"/>
        </w:rPr>
        <w:t xml:space="preserve"> misma</w:t>
      </w:r>
      <w:r w:rsidR="004A7A2E" w:rsidRPr="00572BE9">
        <w:rPr>
          <w:sz w:val="20"/>
          <w:szCs w:val="20"/>
          <w:lang w:val="es-ES_tradnl"/>
        </w:rPr>
        <w:t xml:space="preserve"> naturaleza de los hechos y su complejidad</w:t>
      </w:r>
      <w:r w:rsidRPr="00572BE9">
        <w:rPr>
          <w:sz w:val="20"/>
          <w:szCs w:val="20"/>
          <w:lang w:val="es-ES_tradnl"/>
        </w:rPr>
        <w:t>.</w:t>
      </w:r>
      <w:r w:rsidR="00F51D72" w:rsidRPr="00572BE9">
        <w:rPr>
          <w:sz w:val="20"/>
          <w:szCs w:val="20"/>
          <w:lang w:val="es-ES_tradnl"/>
        </w:rPr>
        <w:t xml:space="preserve"> </w:t>
      </w:r>
      <w:r w:rsidR="00AC425E" w:rsidRPr="00572BE9">
        <w:rPr>
          <w:sz w:val="20"/>
          <w:szCs w:val="20"/>
          <w:lang w:val="es-ES_tradnl"/>
        </w:rPr>
        <w:t xml:space="preserve">Además, </w:t>
      </w:r>
      <w:r w:rsidR="00AC425E" w:rsidRPr="00572BE9">
        <w:rPr>
          <w:rFonts w:asciiTheme="majorHAnsi" w:hAnsiTheme="majorHAnsi"/>
          <w:bCs/>
          <w:sz w:val="20"/>
          <w:szCs w:val="20"/>
          <w:lang w:val="es-ES_tradnl"/>
        </w:rPr>
        <w:t xml:space="preserve">que el peticionario no presentó una acción de reparación directa. </w:t>
      </w:r>
    </w:p>
    <w:p w14:paraId="3FEB26E1" w14:textId="3E781A5B" w:rsidR="004A7A2E" w:rsidRDefault="00AC425E" w:rsidP="00D25290">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No obstante, e</w:t>
      </w:r>
      <w:r w:rsidR="005B4603" w:rsidRPr="00572BE9">
        <w:rPr>
          <w:rFonts w:asciiTheme="majorHAnsi" w:hAnsiTheme="majorHAnsi"/>
          <w:bCs/>
          <w:sz w:val="20"/>
          <w:szCs w:val="20"/>
          <w:lang w:val="es-ES_tradnl"/>
        </w:rPr>
        <w:t xml:space="preserve">sta Comisión </w:t>
      </w:r>
      <w:r w:rsidR="004A7A2E" w:rsidRPr="00572BE9">
        <w:rPr>
          <w:rFonts w:asciiTheme="majorHAnsi" w:hAnsiTheme="majorHAnsi"/>
          <w:bCs/>
          <w:sz w:val="20"/>
          <w:szCs w:val="20"/>
          <w:lang w:val="es-ES_tradnl"/>
        </w:rPr>
        <w:t>observa que el peticionario no presentó un mínimo de argumentación suficiente relativa a los procesos judiciales</w:t>
      </w:r>
      <w:r w:rsidRPr="00572BE9">
        <w:rPr>
          <w:rFonts w:asciiTheme="majorHAnsi" w:hAnsiTheme="majorHAnsi"/>
          <w:bCs/>
          <w:sz w:val="20"/>
          <w:szCs w:val="20"/>
          <w:lang w:val="es-ES_tradnl"/>
        </w:rPr>
        <w:t xml:space="preserve"> –penal, justicia transicional y reparación directa –</w:t>
      </w:r>
      <w:r w:rsidR="004A7A2E" w:rsidRPr="00572BE9">
        <w:rPr>
          <w:rFonts w:asciiTheme="majorHAnsi" w:hAnsiTheme="majorHAnsi"/>
          <w:bCs/>
          <w:sz w:val="20"/>
          <w:szCs w:val="20"/>
          <w:lang w:val="es-ES_tradnl"/>
        </w:rPr>
        <w:t xml:space="preserve">. Pese a que la CIDH pidió en dos ocasiones información adicional </w:t>
      </w:r>
      <w:r w:rsidR="00D01AFE">
        <w:rPr>
          <w:rFonts w:asciiTheme="majorHAnsi" w:hAnsiTheme="majorHAnsi"/>
          <w:bCs/>
          <w:sz w:val="20"/>
          <w:szCs w:val="20"/>
          <w:lang w:val="es-ES_tradnl"/>
        </w:rPr>
        <w:t>al peticionario</w:t>
      </w:r>
      <w:r w:rsidR="004A7A2E" w:rsidRPr="00572BE9">
        <w:rPr>
          <w:rFonts w:asciiTheme="majorHAnsi" w:hAnsiTheme="majorHAnsi"/>
          <w:bCs/>
          <w:sz w:val="20"/>
          <w:szCs w:val="20"/>
          <w:lang w:val="es-ES_tradnl"/>
        </w:rPr>
        <w:t xml:space="preserve">, en los términos del artículo 28 de su Reglamento, </w:t>
      </w:r>
      <w:r w:rsidR="00D01AFE">
        <w:rPr>
          <w:rFonts w:asciiTheme="majorHAnsi" w:hAnsiTheme="majorHAnsi"/>
          <w:bCs/>
          <w:sz w:val="20"/>
          <w:szCs w:val="20"/>
          <w:lang w:val="es-ES_tradnl"/>
        </w:rPr>
        <w:t>este</w:t>
      </w:r>
      <w:r w:rsidR="004A7A2E" w:rsidRPr="00572BE9">
        <w:rPr>
          <w:rFonts w:asciiTheme="majorHAnsi" w:hAnsiTheme="majorHAnsi"/>
          <w:bCs/>
          <w:sz w:val="20"/>
          <w:szCs w:val="20"/>
          <w:lang w:val="es-ES_tradnl"/>
        </w:rPr>
        <w:t xml:space="preserve"> se limitó a </w:t>
      </w:r>
      <w:r w:rsidR="0056376A">
        <w:rPr>
          <w:rFonts w:asciiTheme="majorHAnsi" w:hAnsiTheme="majorHAnsi"/>
          <w:bCs/>
          <w:sz w:val="20"/>
          <w:szCs w:val="20"/>
          <w:lang w:val="es-ES_tradnl"/>
        </w:rPr>
        <w:t>enviar</w:t>
      </w:r>
      <w:r w:rsidR="004A7A2E" w:rsidRPr="00572BE9">
        <w:rPr>
          <w:rFonts w:asciiTheme="majorHAnsi" w:hAnsiTheme="majorHAnsi"/>
          <w:bCs/>
          <w:sz w:val="20"/>
          <w:szCs w:val="20"/>
          <w:lang w:val="es-ES_tradnl"/>
        </w:rPr>
        <w:t xml:space="preserve"> una narración incompleta o simplemente no respond</w:t>
      </w:r>
      <w:r w:rsidRPr="00572BE9">
        <w:rPr>
          <w:rFonts w:asciiTheme="majorHAnsi" w:hAnsiTheme="majorHAnsi"/>
          <w:bCs/>
          <w:sz w:val="20"/>
          <w:szCs w:val="20"/>
          <w:lang w:val="es-ES_tradnl"/>
        </w:rPr>
        <w:t>ió</w:t>
      </w:r>
      <w:r w:rsidR="004A7A2E" w:rsidRPr="00572BE9">
        <w:rPr>
          <w:rFonts w:asciiTheme="majorHAnsi" w:hAnsiTheme="majorHAnsi"/>
          <w:bCs/>
          <w:sz w:val="20"/>
          <w:szCs w:val="20"/>
          <w:lang w:val="es-ES_tradnl"/>
        </w:rPr>
        <w:t xml:space="preserve">. En este sentido, se considera que el peticionario no ha cumplido con su deber de exponer mínimamente su postura jurídica respecto a los procesos judiciales. </w:t>
      </w:r>
    </w:p>
    <w:p w14:paraId="1AECD904" w14:textId="207E3343" w:rsidR="00572BE9" w:rsidRPr="00572BE9" w:rsidRDefault="00572BE9" w:rsidP="00D25290">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Por lo tanto, la Comisión Interamericana considera que no cuenta con información suficiente que le permita verificar el cumplimiento del requisito de agotamiento de los recursos internos establecido en el artículo 46.1.a) de la Convención Americana, ni el requisito del plazo de presentación establecido en el artículo 46.1.b) del mismo instrumento.</w:t>
      </w:r>
    </w:p>
    <w:p w14:paraId="6145F03A" w14:textId="47600DB1" w:rsidR="004A7A2E" w:rsidRPr="00572BE9" w:rsidRDefault="004A7A2E" w:rsidP="00D25290">
      <w:pPr>
        <w:pStyle w:val="ListParagraph"/>
        <w:numPr>
          <w:ilvl w:val="0"/>
          <w:numId w:val="61"/>
        </w:numPr>
        <w:spacing w:before="240" w:after="240"/>
        <w:ind w:left="142" w:firstLine="567"/>
        <w:jc w:val="both"/>
        <w:rPr>
          <w:rFonts w:asciiTheme="majorHAnsi" w:hAnsiTheme="majorHAnsi"/>
          <w:bCs/>
          <w:sz w:val="20"/>
          <w:szCs w:val="20"/>
          <w:lang w:val="es-ES_tradnl"/>
        </w:rPr>
      </w:pPr>
      <w:r w:rsidRPr="00572BE9">
        <w:rPr>
          <w:rFonts w:asciiTheme="majorHAnsi" w:hAnsiTheme="majorHAnsi"/>
          <w:bCs/>
          <w:sz w:val="20"/>
          <w:szCs w:val="20"/>
          <w:lang w:val="es-ES_tradnl"/>
        </w:rPr>
        <w:t>Finalmente,</w:t>
      </w:r>
      <w:r w:rsidR="00AC425E" w:rsidRPr="00572BE9">
        <w:rPr>
          <w:rFonts w:asciiTheme="majorHAnsi" w:hAnsiTheme="majorHAnsi"/>
          <w:bCs/>
          <w:sz w:val="20"/>
          <w:szCs w:val="20"/>
          <w:lang w:val="es-ES_tradnl"/>
        </w:rPr>
        <w:t xml:space="preserve"> la</w:t>
      </w:r>
      <w:r w:rsidRPr="00572BE9">
        <w:rPr>
          <w:rFonts w:asciiTheme="majorHAnsi" w:hAnsiTheme="majorHAnsi"/>
          <w:bCs/>
          <w:sz w:val="20"/>
          <w:szCs w:val="20"/>
          <w:lang w:val="es-ES_tradnl"/>
        </w:rPr>
        <w:t xml:space="preserve"> 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derecho internacional de los derechos humanos</w:t>
      </w:r>
      <w:r w:rsidRPr="00572BE9">
        <w:rPr>
          <w:rStyle w:val="FootnoteReference"/>
          <w:rFonts w:asciiTheme="majorHAnsi" w:hAnsiTheme="majorHAnsi"/>
          <w:bCs/>
          <w:sz w:val="20"/>
          <w:szCs w:val="20"/>
          <w:lang w:val="es-ES_tradnl"/>
        </w:rPr>
        <w:footnoteReference w:id="13"/>
      </w:r>
      <w:r w:rsidRPr="00572BE9">
        <w:rPr>
          <w:rFonts w:asciiTheme="majorHAnsi" w:hAnsiTheme="majorHAnsi"/>
          <w:bCs/>
          <w:sz w:val="20"/>
          <w:szCs w:val="20"/>
          <w:lang w:val="es-ES_tradnl"/>
        </w:rPr>
        <w:t>.</w:t>
      </w:r>
    </w:p>
    <w:p w14:paraId="027C9F2F" w14:textId="77777777" w:rsidR="00A553BB" w:rsidRDefault="00A553BB" w:rsidP="003239B8">
      <w:pPr>
        <w:pStyle w:val="ListParagraph"/>
        <w:spacing w:before="240" w:after="240"/>
        <w:jc w:val="both"/>
        <w:rPr>
          <w:rFonts w:asciiTheme="majorHAnsi" w:hAnsiTheme="majorHAnsi"/>
          <w:b/>
          <w:bCs/>
          <w:sz w:val="20"/>
          <w:szCs w:val="20"/>
          <w:lang w:val="es-ES_tradnl"/>
        </w:rPr>
      </w:pPr>
    </w:p>
    <w:p w14:paraId="445BF42E" w14:textId="7EA10653" w:rsidR="003239B8" w:rsidRPr="00572BE9" w:rsidRDefault="003239B8" w:rsidP="003239B8">
      <w:pPr>
        <w:pStyle w:val="ListParagraph"/>
        <w:spacing w:before="240" w:after="240"/>
        <w:jc w:val="both"/>
        <w:rPr>
          <w:rFonts w:asciiTheme="majorHAnsi" w:hAnsiTheme="majorHAnsi"/>
          <w:b/>
          <w:bCs/>
          <w:sz w:val="20"/>
          <w:szCs w:val="20"/>
          <w:lang w:val="es-ES_tradnl"/>
        </w:rPr>
      </w:pPr>
      <w:r w:rsidRPr="00572BE9">
        <w:rPr>
          <w:rFonts w:asciiTheme="majorHAnsi" w:hAnsiTheme="majorHAnsi"/>
          <w:b/>
          <w:bCs/>
          <w:sz w:val="20"/>
          <w:szCs w:val="20"/>
          <w:lang w:val="es-ES_tradnl"/>
        </w:rPr>
        <w:lastRenderedPageBreak/>
        <w:t xml:space="preserve">VIII. </w:t>
      </w:r>
      <w:r w:rsidRPr="00572BE9">
        <w:rPr>
          <w:rFonts w:asciiTheme="majorHAnsi" w:hAnsiTheme="majorHAnsi"/>
          <w:b/>
          <w:bCs/>
          <w:sz w:val="20"/>
          <w:szCs w:val="20"/>
          <w:lang w:val="es-ES_tradnl"/>
        </w:rPr>
        <w:tab/>
        <w:t>DECISIÓN</w:t>
      </w:r>
    </w:p>
    <w:p w14:paraId="7CCCB663" w14:textId="1BBEB8E3" w:rsidR="000419AD" w:rsidRPr="00572BE9" w:rsidRDefault="000419AD" w:rsidP="00305835">
      <w:pPr>
        <w:pStyle w:val="ListParagraph"/>
        <w:numPr>
          <w:ilvl w:val="0"/>
          <w:numId w:val="55"/>
        </w:numPr>
        <w:rPr>
          <w:rFonts w:eastAsia="Arial Unicode MS" w:cs="Times New Roman"/>
          <w:color w:val="auto"/>
          <w:sz w:val="20"/>
          <w:szCs w:val="20"/>
          <w:lang w:val="es-ES_tradnl" w:eastAsia="en-US"/>
        </w:rPr>
      </w:pPr>
      <w:r w:rsidRPr="00572BE9">
        <w:rPr>
          <w:rFonts w:eastAsia="Arial Unicode MS" w:cs="Times New Roman"/>
          <w:color w:val="auto"/>
          <w:sz w:val="20"/>
          <w:szCs w:val="20"/>
          <w:lang w:val="es-ES_tradnl" w:eastAsia="en-US"/>
        </w:rPr>
        <w:t>Declarar inadmisible la presente petición</w:t>
      </w:r>
      <w:r w:rsidR="003F2519" w:rsidRPr="00572BE9">
        <w:rPr>
          <w:rFonts w:eastAsia="Arial Unicode MS" w:cs="Times New Roman"/>
          <w:color w:val="auto"/>
          <w:sz w:val="20"/>
          <w:szCs w:val="20"/>
          <w:lang w:val="es-ES_tradnl" w:eastAsia="en-US"/>
        </w:rPr>
        <w:t xml:space="preserve">; y </w:t>
      </w:r>
    </w:p>
    <w:p w14:paraId="547DFF8E" w14:textId="77777777" w:rsidR="000419AD" w:rsidRPr="00572BE9" w:rsidRDefault="000419AD" w:rsidP="000419AD">
      <w:pPr>
        <w:pStyle w:val="ListParagraph"/>
        <w:rPr>
          <w:rFonts w:eastAsia="Arial Unicode MS" w:cs="Times New Roman"/>
          <w:color w:val="auto"/>
          <w:sz w:val="20"/>
          <w:szCs w:val="20"/>
          <w:lang w:val="es-ES_tradnl" w:eastAsia="en-US"/>
        </w:rPr>
      </w:pPr>
    </w:p>
    <w:p w14:paraId="0CCD3EB6" w14:textId="53EABDA4" w:rsidR="00557BE9" w:rsidRDefault="004A6A54" w:rsidP="00AC42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72BE9">
        <w:rPr>
          <w:rFonts w:asciiTheme="majorHAnsi" w:hAnsiTheme="majorHAnsi"/>
          <w:sz w:val="20"/>
          <w:szCs w:val="20"/>
          <w:lang w:val="es-ES_tradnl"/>
        </w:rPr>
        <w:t xml:space="preserve">Notificar a las partes la presente decisión; </w:t>
      </w:r>
      <w:r w:rsidR="003F2519" w:rsidRPr="00572BE9">
        <w:rPr>
          <w:rFonts w:asciiTheme="majorHAnsi" w:hAnsiTheme="majorHAnsi"/>
          <w:sz w:val="20"/>
          <w:szCs w:val="20"/>
          <w:lang w:val="es-ES_tradnl"/>
        </w:rPr>
        <w:t xml:space="preserve">y </w:t>
      </w:r>
      <w:r w:rsidRPr="00572BE9">
        <w:rPr>
          <w:rFonts w:asciiTheme="majorHAnsi" w:hAnsiTheme="majorHAnsi"/>
          <w:sz w:val="20"/>
          <w:szCs w:val="20"/>
          <w:lang w:val="es-ES_tradnl"/>
        </w:rPr>
        <w:t>publicar esta decisión e incluirla en su Informe Anual a la Asamblea General de la Organización de los Estados Americanos.</w:t>
      </w:r>
    </w:p>
    <w:p w14:paraId="02804099" w14:textId="1995C188" w:rsidR="005E43E2" w:rsidRPr="003221CB" w:rsidRDefault="005E43E2" w:rsidP="003221C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 días del mes de agosto de 2023.  (Firmado): Esmeralda Arosemena de Troitiño, Primer</w:t>
      </w:r>
      <w:r w:rsidR="00BE36D8">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Vicepresidenta; Joel Hernández García, Julissa Mantilla Falcón y Stuardo Ralón Orellana, </w:t>
      </w:r>
      <w:r w:rsidR="003221C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D3AD632" w14:textId="77777777" w:rsidR="005E43E2" w:rsidRPr="00FF1B07" w:rsidRDefault="005E43E2" w:rsidP="005E43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74875DDC" w14:textId="77777777" w:rsidR="00A553BB" w:rsidRPr="00572BE9" w:rsidRDefault="00A553BB" w:rsidP="00A553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sectPr w:rsidR="00A553BB" w:rsidRPr="00572B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ABDB" w14:textId="77777777" w:rsidR="001A7C64" w:rsidRDefault="001A7C64">
      <w:r>
        <w:separator/>
      </w:r>
    </w:p>
  </w:endnote>
  <w:endnote w:type="continuationSeparator" w:id="0">
    <w:p w14:paraId="675225C7" w14:textId="77777777" w:rsidR="001A7C64" w:rsidRDefault="001A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B653" w14:textId="77777777" w:rsidR="001A7C64" w:rsidRPr="000F35ED" w:rsidRDefault="001A7C6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AFB5AA" w14:textId="77777777" w:rsidR="001A7C64" w:rsidRPr="000F35ED" w:rsidRDefault="001A7C64" w:rsidP="000F35ED">
      <w:pPr>
        <w:rPr>
          <w:rFonts w:asciiTheme="majorHAnsi" w:hAnsiTheme="majorHAnsi"/>
          <w:sz w:val="16"/>
          <w:szCs w:val="16"/>
        </w:rPr>
      </w:pPr>
      <w:r w:rsidRPr="000F35ED">
        <w:rPr>
          <w:rFonts w:asciiTheme="majorHAnsi" w:hAnsiTheme="majorHAnsi"/>
          <w:sz w:val="16"/>
          <w:szCs w:val="16"/>
        </w:rPr>
        <w:separator/>
      </w:r>
    </w:p>
    <w:p w14:paraId="39D92DA0" w14:textId="77777777" w:rsidR="001A7C64" w:rsidRPr="000F35ED" w:rsidRDefault="001A7C6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07FD57C" w14:textId="77777777" w:rsidR="001A7C64" w:rsidRPr="000F35ED" w:rsidRDefault="001A7C6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AB4A591" w14:textId="0D25B522" w:rsidR="00B80721" w:rsidRDefault="009B53CC" w:rsidP="004E329A">
      <w:pPr>
        <w:autoSpaceDE w:val="0"/>
        <w:autoSpaceDN w:val="0"/>
        <w:adjustRightInd w:val="0"/>
        <w:ind w:firstLine="709"/>
        <w:jc w:val="both"/>
        <w:rPr>
          <w:rFonts w:asciiTheme="majorHAnsi" w:eastAsia="Calibri" w:hAnsiTheme="majorHAnsi" w:cs="Calibri"/>
          <w:color w:val="000000"/>
          <w:sz w:val="16"/>
          <w:szCs w:val="16"/>
          <w:u w:color="000000"/>
          <w:lang w:val="es-CO" w:eastAsia="es-ES"/>
        </w:rPr>
      </w:pPr>
      <w:r w:rsidRPr="009B53CC">
        <w:rPr>
          <w:rStyle w:val="FootnoteReference"/>
          <w:rFonts w:asciiTheme="majorHAnsi" w:eastAsia="Calibri" w:hAnsiTheme="majorHAnsi" w:cs="Calibri"/>
          <w:color w:val="000000"/>
          <w:sz w:val="16"/>
          <w:szCs w:val="16"/>
          <w:u w:color="000000"/>
          <w:lang w:eastAsia="es-ES"/>
        </w:rPr>
        <w:footnoteRef/>
      </w:r>
      <w:r w:rsidRPr="009B53CC">
        <w:rPr>
          <w:lang w:val="es-ES"/>
        </w:rPr>
        <w:t xml:space="preserve"> </w:t>
      </w:r>
      <w:r w:rsidR="00810C95" w:rsidRPr="002F6E38">
        <w:rPr>
          <w:rFonts w:asciiTheme="majorHAnsi" w:eastAsia="Calibri" w:hAnsiTheme="majorHAnsi" w:cs="Calibri"/>
          <w:color w:val="000000"/>
          <w:sz w:val="16"/>
          <w:szCs w:val="16"/>
          <w:u w:color="000000"/>
          <w:lang w:val="es-CO" w:eastAsia="es-ES"/>
        </w:rPr>
        <w:t>E</w:t>
      </w:r>
      <w:r w:rsidR="00451D1B" w:rsidRPr="00451D1B">
        <w:rPr>
          <w:rFonts w:asciiTheme="majorHAnsi" w:eastAsia="Calibri" w:hAnsiTheme="majorHAnsi" w:cs="Calibri"/>
          <w:color w:val="000000"/>
          <w:sz w:val="16"/>
          <w:szCs w:val="16"/>
          <w:u w:color="000000"/>
          <w:lang w:val="es-CO" w:eastAsia="es-ES"/>
        </w:rPr>
        <w:t>n comunicación a la Comisión del 9 de abril de 2019, el peticionario refiere que la presunta víctima directa es Ubeny Escobar Pobre</w:t>
      </w:r>
      <w:r w:rsidR="00451D1B">
        <w:rPr>
          <w:rFonts w:asciiTheme="majorHAnsi" w:eastAsia="Calibri" w:hAnsiTheme="majorHAnsi" w:cs="Calibri"/>
          <w:color w:val="000000"/>
          <w:sz w:val="16"/>
          <w:szCs w:val="16"/>
          <w:u w:color="000000"/>
          <w:lang w:val="es-CO" w:eastAsia="es-ES"/>
        </w:rPr>
        <w:t xml:space="preserve"> </w:t>
      </w:r>
      <w:r w:rsidR="00451D1B" w:rsidRPr="00451D1B">
        <w:rPr>
          <w:rFonts w:asciiTheme="majorHAnsi" w:eastAsia="Calibri" w:hAnsiTheme="majorHAnsi" w:cs="Calibri"/>
          <w:color w:val="000000"/>
          <w:sz w:val="16"/>
          <w:szCs w:val="16"/>
          <w:u w:color="000000"/>
          <w:lang w:val="es-CO" w:eastAsia="es-ES"/>
        </w:rPr>
        <w:t>y las presuntas víctimas indirectas son Hernán Baquero Ipuz, Jhon Jairo Baquero Escobar y Juan Carlos Baquero Escobar</w:t>
      </w:r>
      <w:r w:rsidR="00B80721">
        <w:rPr>
          <w:rFonts w:asciiTheme="majorHAnsi" w:eastAsia="Calibri" w:hAnsiTheme="majorHAnsi" w:cs="Calibri"/>
          <w:color w:val="000000"/>
          <w:sz w:val="16"/>
          <w:szCs w:val="16"/>
          <w:u w:color="000000"/>
          <w:lang w:val="es-CO" w:eastAsia="es-ES"/>
        </w:rPr>
        <w:t xml:space="preserve">; pese a que en la petición inicial había mencionado también a </w:t>
      </w:r>
      <w:r w:rsidR="00B80721" w:rsidRPr="00B80721">
        <w:rPr>
          <w:rFonts w:asciiTheme="majorHAnsi" w:eastAsia="Calibri" w:hAnsiTheme="majorHAnsi" w:cs="Calibri"/>
          <w:bCs/>
          <w:color w:val="000000"/>
          <w:sz w:val="16"/>
          <w:szCs w:val="16"/>
          <w:u w:color="000000"/>
          <w:lang w:val="es-ES_tradnl" w:eastAsia="es-ES"/>
        </w:rPr>
        <w:t>Brayan Stivenson Baquero Escobar</w:t>
      </w:r>
      <w:r w:rsidR="00B80721">
        <w:rPr>
          <w:rFonts w:asciiTheme="majorHAnsi" w:eastAsia="Calibri" w:hAnsiTheme="majorHAnsi" w:cs="Calibri"/>
          <w:bCs/>
          <w:color w:val="000000"/>
          <w:sz w:val="16"/>
          <w:szCs w:val="16"/>
          <w:u w:color="000000"/>
          <w:lang w:val="es-ES_tradnl" w:eastAsia="es-ES"/>
        </w:rPr>
        <w:t xml:space="preserve"> y a</w:t>
      </w:r>
      <w:r w:rsidR="00B80721" w:rsidRPr="00B80721">
        <w:rPr>
          <w:rFonts w:asciiTheme="majorHAnsi" w:eastAsia="Calibri" w:hAnsiTheme="majorHAnsi" w:cs="Calibri"/>
          <w:bCs/>
          <w:color w:val="000000"/>
          <w:sz w:val="16"/>
          <w:szCs w:val="16"/>
          <w:u w:color="000000"/>
          <w:lang w:val="es-ES_tradnl" w:eastAsia="es-ES"/>
        </w:rPr>
        <w:t xml:space="preserve"> Cindy Tatiana Baquero Escobar</w:t>
      </w:r>
      <w:r w:rsidR="00B80721">
        <w:rPr>
          <w:rFonts w:asciiTheme="majorHAnsi" w:eastAsia="Calibri" w:hAnsiTheme="majorHAnsi" w:cs="Calibri"/>
          <w:bCs/>
          <w:color w:val="000000"/>
          <w:sz w:val="16"/>
          <w:szCs w:val="16"/>
          <w:u w:color="000000"/>
          <w:lang w:val="es-ES_tradnl" w:eastAsia="es-ES"/>
        </w:rPr>
        <w:t>.</w:t>
      </w:r>
    </w:p>
    <w:p w14:paraId="6398D238" w14:textId="48DC145E" w:rsidR="009B53CC" w:rsidRPr="002F6E38" w:rsidRDefault="00451D1B" w:rsidP="004E329A">
      <w:pPr>
        <w:autoSpaceDE w:val="0"/>
        <w:autoSpaceDN w:val="0"/>
        <w:adjustRightInd w:val="0"/>
        <w:ind w:firstLine="709"/>
        <w:jc w:val="both"/>
        <w:rPr>
          <w:rFonts w:asciiTheme="majorHAnsi" w:eastAsia="Calibri" w:hAnsiTheme="majorHAnsi" w:cs="Calibri"/>
          <w:color w:val="000000"/>
          <w:sz w:val="16"/>
          <w:szCs w:val="16"/>
          <w:u w:color="000000"/>
          <w:lang w:val="es-CO" w:eastAsia="es-ES"/>
        </w:rPr>
      </w:pPr>
      <w:r>
        <w:rPr>
          <w:rFonts w:asciiTheme="majorHAnsi" w:eastAsia="Calibri" w:hAnsiTheme="majorHAnsi" w:cs="Calibri"/>
          <w:color w:val="000000"/>
          <w:sz w:val="16"/>
          <w:szCs w:val="16"/>
          <w:u w:color="000000"/>
          <w:lang w:val="es-CO" w:eastAsia="es-ES"/>
        </w:rPr>
        <w:t>Por su parte, e</w:t>
      </w:r>
      <w:r w:rsidR="00810C95" w:rsidRPr="002F6E38">
        <w:rPr>
          <w:rFonts w:asciiTheme="majorHAnsi" w:eastAsia="Calibri" w:hAnsiTheme="majorHAnsi" w:cs="Calibri"/>
          <w:color w:val="000000"/>
          <w:sz w:val="16"/>
          <w:szCs w:val="16"/>
          <w:u w:color="000000"/>
          <w:lang w:val="es-CO" w:eastAsia="es-ES"/>
        </w:rPr>
        <w:t>l Estado manifestó en su comunicación del 26 de octubre de 2020 que l</w:t>
      </w:r>
      <w:r w:rsidR="009B53CC" w:rsidRPr="002F6E38">
        <w:rPr>
          <w:rFonts w:asciiTheme="majorHAnsi" w:eastAsia="Calibri" w:hAnsiTheme="majorHAnsi" w:cs="Calibri"/>
          <w:color w:val="000000"/>
          <w:sz w:val="16"/>
          <w:szCs w:val="16"/>
          <w:u w:color="000000"/>
          <w:lang w:val="es-CO" w:eastAsia="es-ES"/>
        </w:rPr>
        <w:t>a petición se recibió con nueve presuntas víctimas</w:t>
      </w:r>
      <w:r w:rsidR="00810C95" w:rsidRPr="002F6E38">
        <w:rPr>
          <w:rFonts w:asciiTheme="majorHAnsi" w:eastAsia="Calibri" w:hAnsiTheme="majorHAnsi" w:cs="Calibri"/>
          <w:color w:val="000000"/>
          <w:sz w:val="16"/>
          <w:szCs w:val="16"/>
          <w:u w:color="000000"/>
          <w:lang w:val="es-CO" w:eastAsia="es-ES"/>
        </w:rPr>
        <w:t xml:space="preserve"> y </w:t>
      </w:r>
      <w:r w:rsidR="009B53CC" w:rsidRPr="002F6E38">
        <w:rPr>
          <w:rFonts w:asciiTheme="majorHAnsi" w:eastAsia="Calibri" w:hAnsiTheme="majorHAnsi" w:cs="Calibri"/>
          <w:color w:val="000000"/>
          <w:sz w:val="16"/>
          <w:szCs w:val="16"/>
          <w:u w:color="000000"/>
          <w:lang w:val="es-CO" w:eastAsia="es-ES"/>
        </w:rPr>
        <w:t xml:space="preserve">pidió a </w:t>
      </w:r>
      <w:r w:rsidR="00D80DE9" w:rsidRPr="002F6E38">
        <w:rPr>
          <w:rFonts w:asciiTheme="majorHAnsi" w:eastAsia="Calibri" w:hAnsiTheme="majorHAnsi" w:cs="Calibri"/>
          <w:color w:val="000000"/>
          <w:sz w:val="16"/>
          <w:szCs w:val="16"/>
          <w:u w:color="000000"/>
          <w:lang w:val="es-CO" w:eastAsia="es-ES"/>
        </w:rPr>
        <w:t>la</w:t>
      </w:r>
      <w:r w:rsidR="009B53CC" w:rsidRPr="002F6E38">
        <w:rPr>
          <w:rFonts w:asciiTheme="majorHAnsi" w:eastAsia="Calibri" w:hAnsiTheme="majorHAnsi" w:cs="Calibri"/>
          <w:color w:val="000000"/>
          <w:sz w:val="16"/>
          <w:szCs w:val="16"/>
          <w:u w:color="000000"/>
          <w:lang w:val="es-CO" w:eastAsia="es-ES"/>
        </w:rPr>
        <w:t xml:space="preserve"> Comisión que se limite el análisis de admisibilidad a seis personas</w:t>
      </w:r>
      <w:r w:rsidR="00D80DE9" w:rsidRPr="002F6E38">
        <w:rPr>
          <w:rFonts w:asciiTheme="majorHAnsi" w:eastAsia="Calibri" w:hAnsiTheme="majorHAnsi" w:cs="Calibri"/>
          <w:color w:val="000000"/>
          <w:sz w:val="16"/>
          <w:szCs w:val="16"/>
          <w:u w:color="000000"/>
          <w:lang w:val="es-CO" w:eastAsia="es-ES"/>
        </w:rPr>
        <w:t xml:space="preserve">. Menciona sobre </w:t>
      </w:r>
      <w:r w:rsidR="009B53CC" w:rsidRPr="002F6E38">
        <w:rPr>
          <w:rFonts w:asciiTheme="majorHAnsi" w:eastAsia="Calibri" w:hAnsiTheme="majorHAnsi" w:cs="Calibri"/>
          <w:color w:val="000000"/>
          <w:sz w:val="16"/>
          <w:szCs w:val="16"/>
          <w:u w:color="000000"/>
          <w:lang w:val="es-CO" w:eastAsia="es-ES"/>
        </w:rPr>
        <w:t>las restantes tres personas enlistadas:</w:t>
      </w:r>
    </w:p>
    <w:p w14:paraId="78C5A6D3" w14:textId="50903662" w:rsidR="009B53CC" w:rsidRPr="002F6E38" w:rsidRDefault="009B53CC" w:rsidP="004E32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hanging="153"/>
        <w:contextualSpacing/>
        <w:jc w:val="both"/>
        <w:rPr>
          <w:rFonts w:asciiTheme="majorHAnsi" w:eastAsia="Calibri" w:hAnsiTheme="majorHAnsi" w:cs="Calibri"/>
          <w:sz w:val="16"/>
          <w:szCs w:val="16"/>
          <w:lang w:val="es-CO"/>
        </w:rPr>
      </w:pPr>
      <w:r w:rsidRPr="002F6E38">
        <w:rPr>
          <w:rFonts w:asciiTheme="majorHAnsi" w:eastAsia="Calibri" w:hAnsiTheme="majorHAnsi" w:cs="Calibri"/>
          <w:sz w:val="16"/>
          <w:szCs w:val="16"/>
          <w:lang w:val="es-CO"/>
        </w:rPr>
        <w:t xml:space="preserve">Tatiana Baquero Escobar y Cindy Tatiana Baquero Escobar </w:t>
      </w:r>
      <w:r w:rsidR="00203BAD" w:rsidRPr="002F6E38">
        <w:rPr>
          <w:rFonts w:asciiTheme="majorHAnsi" w:eastAsia="Calibri" w:hAnsiTheme="majorHAnsi" w:cs="Calibri"/>
          <w:sz w:val="16"/>
          <w:szCs w:val="16"/>
          <w:lang w:val="es-CO"/>
        </w:rPr>
        <w:t>al ser</w:t>
      </w:r>
      <w:r w:rsidRPr="002F6E38">
        <w:rPr>
          <w:rFonts w:asciiTheme="majorHAnsi" w:eastAsia="Calibri" w:hAnsiTheme="majorHAnsi" w:cs="Calibri"/>
          <w:sz w:val="16"/>
          <w:szCs w:val="16"/>
          <w:lang w:val="es-CO"/>
        </w:rPr>
        <w:t xml:space="preserve"> la misma persona </w:t>
      </w:r>
    </w:p>
    <w:p w14:paraId="519DEFDA" w14:textId="5AB28B25" w:rsidR="009B53CC" w:rsidRPr="002F6E38" w:rsidRDefault="009B53CC" w:rsidP="004E32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hanging="153"/>
        <w:contextualSpacing/>
        <w:jc w:val="both"/>
        <w:rPr>
          <w:rFonts w:asciiTheme="majorHAnsi" w:eastAsia="Calibri" w:hAnsiTheme="majorHAnsi" w:cs="Calibri"/>
          <w:sz w:val="16"/>
          <w:szCs w:val="16"/>
          <w:lang w:val="es-CO"/>
        </w:rPr>
      </w:pPr>
      <w:r w:rsidRPr="002F6E38">
        <w:rPr>
          <w:rFonts w:asciiTheme="majorHAnsi" w:eastAsia="Calibri" w:hAnsiTheme="majorHAnsi" w:cs="Calibri"/>
          <w:sz w:val="16"/>
          <w:szCs w:val="16"/>
          <w:lang w:val="es-CO"/>
        </w:rPr>
        <w:t xml:space="preserve">Ubeny Escobar Pobre y Ubeny Escobar Podre </w:t>
      </w:r>
      <w:r w:rsidR="00203BAD" w:rsidRPr="002F6E38">
        <w:rPr>
          <w:rFonts w:asciiTheme="majorHAnsi" w:eastAsia="Calibri" w:hAnsiTheme="majorHAnsi" w:cs="Calibri"/>
          <w:sz w:val="16"/>
          <w:szCs w:val="16"/>
          <w:lang w:val="es-CO"/>
        </w:rPr>
        <w:t>al ser</w:t>
      </w:r>
      <w:r w:rsidRPr="002F6E38">
        <w:rPr>
          <w:rFonts w:asciiTheme="majorHAnsi" w:eastAsia="Calibri" w:hAnsiTheme="majorHAnsi" w:cs="Calibri"/>
          <w:sz w:val="16"/>
          <w:szCs w:val="16"/>
          <w:lang w:val="es-CO"/>
        </w:rPr>
        <w:t xml:space="preserve"> la misma persona</w:t>
      </w:r>
    </w:p>
    <w:p w14:paraId="33075A22" w14:textId="40D04F04" w:rsidR="009B53CC" w:rsidRPr="002F6E38" w:rsidRDefault="009B53CC" w:rsidP="004E329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ind w:hanging="153"/>
        <w:contextualSpacing/>
        <w:jc w:val="both"/>
        <w:rPr>
          <w:rFonts w:asciiTheme="majorHAnsi" w:eastAsia="Calibri" w:hAnsiTheme="majorHAnsi" w:cs="Calibri"/>
          <w:sz w:val="16"/>
          <w:szCs w:val="16"/>
          <w:lang w:val="es-CO"/>
        </w:rPr>
      </w:pPr>
      <w:r w:rsidRPr="002F6E38">
        <w:rPr>
          <w:rFonts w:asciiTheme="majorHAnsi" w:eastAsia="Calibri" w:hAnsiTheme="majorHAnsi" w:cs="Calibri"/>
          <w:sz w:val="16"/>
          <w:szCs w:val="16"/>
          <w:lang w:val="es-CO"/>
        </w:rPr>
        <w:t>El homicidio del señor Jorge Alberto Su</w:t>
      </w:r>
      <w:r w:rsidR="00203BAD" w:rsidRPr="002F6E38">
        <w:rPr>
          <w:rFonts w:asciiTheme="majorHAnsi" w:eastAsia="Calibri" w:hAnsiTheme="majorHAnsi" w:cs="Calibri"/>
          <w:sz w:val="16"/>
          <w:szCs w:val="16"/>
          <w:lang w:val="es-CO"/>
        </w:rPr>
        <w:t>á</w:t>
      </w:r>
      <w:r w:rsidRPr="002F6E38">
        <w:rPr>
          <w:rFonts w:asciiTheme="majorHAnsi" w:eastAsia="Calibri" w:hAnsiTheme="majorHAnsi" w:cs="Calibri"/>
          <w:sz w:val="16"/>
          <w:szCs w:val="16"/>
          <w:lang w:val="es-CO"/>
        </w:rPr>
        <w:t>rez Merlo hace parte de la P-2039-13 ante la CIDH, la que se encuentra en etapa de admisibilidad, por lo que el Estado pide inadmisibilidad sobre dicha presunta víctima con base en duplicidad.</w:t>
      </w:r>
    </w:p>
    <w:p w14:paraId="3911EB94" w14:textId="248F7876" w:rsidR="009B53CC" w:rsidRPr="002F6E38" w:rsidRDefault="00D72100" w:rsidP="004E329A">
      <w:pPr>
        <w:autoSpaceDE w:val="0"/>
        <w:autoSpaceDN w:val="0"/>
        <w:adjustRightInd w:val="0"/>
        <w:ind w:firstLine="709"/>
        <w:jc w:val="both"/>
        <w:rPr>
          <w:rFonts w:asciiTheme="majorHAnsi" w:eastAsia="Calibri" w:hAnsiTheme="majorHAnsi" w:cs="Calibri"/>
          <w:color w:val="000000"/>
          <w:sz w:val="16"/>
          <w:szCs w:val="16"/>
          <w:u w:color="000000"/>
          <w:lang w:val="es-CO" w:eastAsia="es-ES"/>
        </w:rPr>
      </w:pPr>
      <w:r w:rsidRPr="002F6E38">
        <w:rPr>
          <w:rFonts w:asciiTheme="majorHAnsi" w:eastAsia="Calibri" w:hAnsiTheme="majorHAnsi" w:cs="Calibri"/>
          <w:color w:val="000000"/>
          <w:sz w:val="16"/>
          <w:szCs w:val="16"/>
          <w:u w:color="000000"/>
          <w:lang w:val="es-CO" w:eastAsia="es-ES"/>
        </w:rPr>
        <w:t xml:space="preserve">Esta Comisión nota que las presuntas víctimas originales en la petición son seis, </w:t>
      </w:r>
      <w:r w:rsidR="009B53CC" w:rsidRPr="002F6E38">
        <w:rPr>
          <w:rFonts w:asciiTheme="majorHAnsi" w:eastAsia="Calibri" w:hAnsiTheme="majorHAnsi" w:cs="Calibri"/>
          <w:color w:val="000000"/>
          <w:sz w:val="16"/>
          <w:szCs w:val="16"/>
          <w:u w:color="000000"/>
          <w:lang w:val="es-CO" w:eastAsia="es-ES"/>
        </w:rPr>
        <w:t xml:space="preserve">a saber: </w:t>
      </w:r>
      <w:r w:rsidR="00B80721" w:rsidRPr="002F6E38">
        <w:rPr>
          <w:rFonts w:asciiTheme="majorHAnsi" w:eastAsia="Calibri" w:hAnsiTheme="majorHAnsi" w:cs="Calibri"/>
          <w:color w:val="000000"/>
          <w:sz w:val="16"/>
          <w:szCs w:val="16"/>
          <w:u w:color="000000"/>
          <w:lang w:val="es-CO" w:eastAsia="es-ES"/>
        </w:rPr>
        <w:t>Ubeny Escobar Pobre</w:t>
      </w:r>
      <w:r w:rsidR="00B80721">
        <w:rPr>
          <w:rFonts w:asciiTheme="majorHAnsi" w:eastAsia="Calibri" w:hAnsiTheme="majorHAnsi" w:cs="Calibri"/>
          <w:color w:val="000000"/>
          <w:sz w:val="16"/>
          <w:szCs w:val="16"/>
          <w:u w:color="000000"/>
          <w:lang w:val="es-CO" w:eastAsia="es-ES"/>
        </w:rPr>
        <w:t xml:space="preserve">, </w:t>
      </w:r>
      <w:r w:rsidR="009B53CC" w:rsidRPr="002F6E38">
        <w:rPr>
          <w:rFonts w:asciiTheme="majorHAnsi" w:eastAsia="Calibri" w:hAnsiTheme="majorHAnsi" w:cs="Calibri"/>
          <w:color w:val="000000"/>
          <w:sz w:val="16"/>
          <w:szCs w:val="16"/>
          <w:u w:color="000000"/>
          <w:lang w:val="es-CO" w:eastAsia="es-ES"/>
        </w:rPr>
        <w:t>Brayan Stivenson Baquero Escobar, Cindy Tatiana Baquero Escobar, Hernán Baquero Ipuz, Jhon Jairo Baquero Escobar</w:t>
      </w:r>
      <w:r w:rsidR="00B80721">
        <w:rPr>
          <w:rFonts w:asciiTheme="majorHAnsi" w:eastAsia="Calibri" w:hAnsiTheme="majorHAnsi" w:cs="Calibri"/>
          <w:color w:val="000000"/>
          <w:sz w:val="16"/>
          <w:szCs w:val="16"/>
          <w:u w:color="000000"/>
          <w:lang w:val="es-CO" w:eastAsia="es-ES"/>
        </w:rPr>
        <w:t xml:space="preserve"> y</w:t>
      </w:r>
      <w:r w:rsidR="009B53CC" w:rsidRPr="002F6E38">
        <w:rPr>
          <w:rFonts w:asciiTheme="majorHAnsi" w:eastAsia="Calibri" w:hAnsiTheme="majorHAnsi" w:cs="Calibri"/>
          <w:color w:val="000000"/>
          <w:sz w:val="16"/>
          <w:szCs w:val="16"/>
          <w:u w:color="000000"/>
          <w:lang w:val="es-CO" w:eastAsia="es-ES"/>
        </w:rPr>
        <w:t xml:space="preserve"> Juan Carlos Baquero Escobar.</w:t>
      </w:r>
      <w:r w:rsidRPr="002F6E38">
        <w:rPr>
          <w:rFonts w:asciiTheme="majorHAnsi" w:eastAsia="Calibri" w:hAnsiTheme="majorHAnsi" w:cs="Calibri"/>
          <w:color w:val="000000"/>
          <w:sz w:val="16"/>
          <w:szCs w:val="16"/>
          <w:u w:color="000000"/>
          <w:lang w:val="es-CO" w:eastAsia="es-ES"/>
        </w:rPr>
        <w:t xml:space="preserve"> </w:t>
      </w:r>
    </w:p>
    <w:p w14:paraId="668969B5" w14:textId="43CC1BBF" w:rsidR="00D72100" w:rsidRPr="002F6E38" w:rsidRDefault="00D72100" w:rsidP="004E329A">
      <w:pPr>
        <w:autoSpaceDE w:val="0"/>
        <w:autoSpaceDN w:val="0"/>
        <w:adjustRightInd w:val="0"/>
        <w:ind w:firstLine="709"/>
        <w:jc w:val="both"/>
        <w:rPr>
          <w:rFonts w:asciiTheme="majorHAnsi" w:eastAsia="Calibri" w:hAnsiTheme="majorHAnsi" w:cs="Calibri"/>
          <w:color w:val="000000"/>
          <w:sz w:val="16"/>
          <w:szCs w:val="16"/>
          <w:u w:color="000000"/>
          <w:lang w:val="es-CO" w:eastAsia="es-ES"/>
        </w:rPr>
      </w:pPr>
      <w:r w:rsidRPr="002F6E38">
        <w:rPr>
          <w:rFonts w:asciiTheme="majorHAnsi" w:eastAsia="Calibri" w:hAnsiTheme="majorHAnsi" w:cs="Calibri"/>
          <w:color w:val="000000"/>
          <w:sz w:val="16"/>
          <w:szCs w:val="16"/>
          <w:u w:color="000000"/>
          <w:lang w:val="es-CO" w:eastAsia="es-ES"/>
        </w:rPr>
        <w:t>En las primeras dos situaciones que menciona el Estado, se entiende que es una repetición de nombres y se refiere a las mismas personas</w:t>
      </w:r>
      <w:r w:rsidR="00203BAD" w:rsidRPr="002F6E38">
        <w:rPr>
          <w:rFonts w:asciiTheme="majorHAnsi" w:eastAsia="Calibri" w:hAnsiTheme="majorHAnsi" w:cs="Calibri"/>
          <w:color w:val="000000"/>
          <w:sz w:val="16"/>
          <w:szCs w:val="16"/>
          <w:u w:color="000000"/>
          <w:lang w:val="es-CO" w:eastAsia="es-ES"/>
        </w:rPr>
        <w:t>;</w:t>
      </w:r>
      <w:r w:rsidRPr="002F6E38">
        <w:rPr>
          <w:rFonts w:asciiTheme="majorHAnsi" w:eastAsia="Calibri" w:hAnsiTheme="majorHAnsi" w:cs="Calibri"/>
          <w:color w:val="000000"/>
          <w:sz w:val="16"/>
          <w:szCs w:val="16"/>
          <w:u w:color="000000"/>
          <w:lang w:val="es-CO" w:eastAsia="es-ES"/>
        </w:rPr>
        <w:t xml:space="preserve"> y</w:t>
      </w:r>
      <w:r w:rsidR="00203BAD" w:rsidRPr="002F6E38">
        <w:rPr>
          <w:rFonts w:asciiTheme="majorHAnsi" w:eastAsia="Calibri" w:hAnsiTheme="majorHAnsi" w:cs="Calibri"/>
          <w:color w:val="000000"/>
          <w:sz w:val="16"/>
          <w:szCs w:val="16"/>
          <w:u w:color="000000"/>
          <w:lang w:val="es-CO" w:eastAsia="es-ES"/>
        </w:rPr>
        <w:t>,</w:t>
      </w:r>
      <w:r w:rsidRPr="002F6E38">
        <w:rPr>
          <w:rFonts w:asciiTheme="majorHAnsi" w:eastAsia="Calibri" w:hAnsiTheme="majorHAnsi" w:cs="Calibri"/>
          <w:color w:val="000000"/>
          <w:sz w:val="16"/>
          <w:szCs w:val="16"/>
          <w:u w:color="000000"/>
          <w:lang w:val="es-CO" w:eastAsia="es-ES"/>
        </w:rPr>
        <w:t xml:space="preserve"> en la tercera, </w:t>
      </w:r>
      <w:r w:rsidR="002F6E38" w:rsidRPr="002F6E38">
        <w:rPr>
          <w:rFonts w:asciiTheme="majorHAnsi" w:eastAsia="Calibri" w:hAnsiTheme="majorHAnsi" w:cs="Calibri"/>
          <w:color w:val="000000"/>
          <w:sz w:val="16"/>
          <w:szCs w:val="16"/>
          <w:u w:color="000000"/>
          <w:lang w:val="es-CO" w:eastAsia="es-ES"/>
        </w:rPr>
        <w:t>el</w:t>
      </w:r>
      <w:r w:rsidRPr="002F6E38">
        <w:rPr>
          <w:rFonts w:asciiTheme="majorHAnsi" w:eastAsia="Calibri" w:hAnsiTheme="majorHAnsi" w:cs="Calibri"/>
          <w:color w:val="000000"/>
          <w:sz w:val="16"/>
          <w:szCs w:val="16"/>
          <w:u w:color="000000"/>
          <w:lang w:val="es-CO" w:eastAsia="es-ES"/>
        </w:rPr>
        <w:t xml:space="preserve"> señor Jorge Alberto Suárez Merlo </w:t>
      </w:r>
      <w:r w:rsidR="002F6E38" w:rsidRPr="002F6E38">
        <w:rPr>
          <w:rFonts w:asciiTheme="majorHAnsi" w:eastAsia="Calibri" w:hAnsiTheme="majorHAnsi" w:cs="Calibri"/>
          <w:color w:val="000000"/>
          <w:sz w:val="16"/>
          <w:szCs w:val="16"/>
          <w:u w:color="000000"/>
          <w:lang w:val="es-CO" w:eastAsia="es-ES"/>
        </w:rPr>
        <w:t>hijo de</w:t>
      </w:r>
      <w:r w:rsidRPr="002F6E38">
        <w:rPr>
          <w:rFonts w:asciiTheme="majorHAnsi" w:eastAsia="Calibri" w:hAnsiTheme="majorHAnsi" w:cs="Calibri"/>
          <w:color w:val="000000"/>
          <w:sz w:val="16"/>
          <w:szCs w:val="16"/>
          <w:u w:color="000000"/>
          <w:lang w:val="es-CO" w:eastAsia="es-ES"/>
        </w:rPr>
        <w:t xml:space="preserve"> la señora Cindy Tatiana Baquero Escobar, </w:t>
      </w:r>
      <w:r w:rsidR="002F6E38" w:rsidRPr="002F6E38">
        <w:rPr>
          <w:rFonts w:asciiTheme="majorHAnsi" w:eastAsia="Calibri" w:hAnsiTheme="majorHAnsi" w:cs="Calibri"/>
          <w:color w:val="000000"/>
          <w:sz w:val="16"/>
          <w:szCs w:val="16"/>
          <w:u w:color="000000"/>
          <w:lang w:val="es-CO" w:eastAsia="es-ES"/>
        </w:rPr>
        <w:t>es presentado de manera contextual</w:t>
      </w:r>
      <w:r w:rsidR="00EB2797">
        <w:rPr>
          <w:rFonts w:asciiTheme="majorHAnsi" w:eastAsia="Calibri" w:hAnsiTheme="majorHAnsi" w:cs="Calibri"/>
          <w:color w:val="000000"/>
          <w:sz w:val="16"/>
          <w:szCs w:val="16"/>
          <w:u w:color="000000"/>
          <w:lang w:val="es-CO" w:eastAsia="es-ES"/>
        </w:rPr>
        <w:t>.</w:t>
      </w:r>
    </w:p>
  </w:footnote>
  <w:footnote w:id="3">
    <w:p w14:paraId="53BFB1B4" w14:textId="77777777" w:rsidR="00383298" w:rsidRPr="002F6E38" w:rsidRDefault="00383298" w:rsidP="00383298">
      <w:pPr>
        <w:pStyle w:val="FootnoteText"/>
        <w:ind w:firstLine="709"/>
        <w:jc w:val="both"/>
        <w:rPr>
          <w:rFonts w:asciiTheme="majorHAnsi" w:hAnsiTheme="majorHAnsi"/>
          <w:sz w:val="16"/>
          <w:szCs w:val="16"/>
          <w:lang w:val="es-ES"/>
        </w:rPr>
      </w:pPr>
      <w:r w:rsidRPr="002F6E38">
        <w:rPr>
          <w:rStyle w:val="FootnoteReference"/>
          <w:rFonts w:asciiTheme="majorHAnsi" w:hAnsiTheme="majorHAnsi"/>
          <w:sz w:val="16"/>
          <w:szCs w:val="16"/>
        </w:rPr>
        <w:footnoteRef/>
      </w:r>
      <w:r w:rsidRPr="002F6E38">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4">
    <w:p w14:paraId="5680E637" w14:textId="77777777" w:rsidR="00383298" w:rsidRPr="006E49D3" w:rsidRDefault="00383298" w:rsidP="00383298">
      <w:pPr>
        <w:pStyle w:val="FootnoteText"/>
        <w:ind w:firstLine="720"/>
        <w:jc w:val="both"/>
        <w:rPr>
          <w:rFonts w:asciiTheme="majorHAnsi" w:hAnsiTheme="majorHAnsi"/>
          <w:sz w:val="16"/>
          <w:szCs w:val="16"/>
          <w:lang w:val="es-CO"/>
        </w:rPr>
      </w:pPr>
      <w:r w:rsidRPr="002F6E38">
        <w:rPr>
          <w:rStyle w:val="FootnoteReference"/>
          <w:rFonts w:asciiTheme="majorHAnsi" w:hAnsiTheme="majorHAnsi"/>
          <w:sz w:val="16"/>
          <w:szCs w:val="16"/>
        </w:rPr>
        <w:footnoteRef/>
      </w:r>
      <w:r w:rsidRPr="002F6E38">
        <w:rPr>
          <w:rFonts w:asciiTheme="majorHAnsi" w:hAnsiTheme="majorHAnsi"/>
          <w:sz w:val="16"/>
          <w:szCs w:val="16"/>
          <w:lang w:val="es-CO"/>
        </w:rPr>
        <w:t xml:space="preserve"> En adelante, “la Convención Americana” o “la Convención”.</w:t>
      </w:r>
    </w:p>
  </w:footnote>
  <w:footnote w:id="5">
    <w:p w14:paraId="1AFEF3B0" w14:textId="269FCD1B"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450066">
        <w:rPr>
          <w:rFonts w:asciiTheme="majorHAnsi" w:hAnsiTheme="majorHAnsi"/>
          <w:sz w:val="16"/>
          <w:szCs w:val="16"/>
          <w:lang w:val="es-ES"/>
        </w:rPr>
        <w:t>Las observaciones de cada parte fueron debidamente trasladadas a la parte contraria.</w:t>
      </w:r>
      <w:r w:rsidR="009A56CE" w:rsidRPr="00450066">
        <w:rPr>
          <w:rFonts w:asciiTheme="majorHAnsi" w:hAnsiTheme="majorHAnsi"/>
          <w:sz w:val="16"/>
          <w:szCs w:val="16"/>
          <w:lang w:val="es-ES"/>
        </w:rPr>
        <w:t xml:space="preserve"> </w:t>
      </w:r>
    </w:p>
  </w:footnote>
  <w:footnote w:id="6">
    <w:p w14:paraId="02DB71A0" w14:textId="62B83DE4" w:rsidR="00CB2310" w:rsidRPr="00BF47EB" w:rsidRDefault="00CB2310" w:rsidP="00BF47EB">
      <w:pPr>
        <w:pStyle w:val="FootnoteText"/>
        <w:ind w:firstLine="720"/>
        <w:jc w:val="both"/>
        <w:rPr>
          <w:rFonts w:asciiTheme="majorHAnsi" w:hAnsiTheme="majorHAnsi"/>
          <w:sz w:val="16"/>
          <w:szCs w:val="16"/>
          <w:lang w:val="es-ES"/>
        </w:rPr>
      </w:pPr>
      <w:r w:rsidRPr="00BF47EB">
        <w:rPr>
          <w:rStyle w:val="FootnoteReference"/>
          <w:rFonts w:asciiTheme="majorHAnsi" w:hAnsiTheme="majorHAnsi"/>
          <w:sz w:val="16"/>
          <w:szCs w:val="16"/>
        </w:rPr>
        <w:footnoteRef/>
      </w:r>
      <w:r w:rsidRPr="00BF47EB">
        <w:rPr>
          <w:rFonts w:asciiTheme="majorHAnsi" w:hAnsiTheme="majorHAnsi"/>
          <w:sz w:val="16"/>
          <w:szCs w:val="16"/>
          <w:lang w:val="es-ES"/>
        </w:rPr>
        <w:t xml:space="preserve"> El Estado pidió prórroga para contestar el </w:t>
      </w:r>
      <w:r w:rsidR="00BF47EB" w:rsidRPr="00BF47EB">
        <w:rPr>
          <w:rFonts w:asciiTheme="majorHAnsi" w:hAnsiTheme="majorHAnsi"/>
          <w:sz w:val="16"/>
          <w:szCs w:val="16"/>
          <w:lang w:val="es-ES"/>
        </w:rPr>
        <w:t>3 de diciembre de 2019. Sin embargo,</w:t>
      </w:r>
      <w:r w:rsidR="00BF47EB">
        <w:rPr>
          <w:rFonts w:asciiTheme="majorHAnsi" w:hAnsiTheme="majorHAnsi"/>
          <w:sz w:val="16"/>
          <w:szCs w:val="16"/>
          <w:lang w:val="es-ES"/>
        </w:rPr>
        <w:t xml:space="preserve"> a falta de respuesta,</w:t>
      </w:r>
      <w:r w:rsidR="00BF47EB" w:rsidRPr="00BF47EB">
        <w:rPr>
          <w:rFonts w:asciiTheme="majorHAnsi" w:hAnsiTheme="majorHAnsi"/>
          <w:sz w:val="16"/>
          <w:szCs w:val="16"/>
          <w:lang w:val="es-ES"/>
        </w:rPr>
        <w:t xml:space="preserve"> el 9 de julio de 2020 la CIDH reiteró la solicitud de información al Estado</w:t>
      </w:r>
      <w:r w:rsidR="00BF47EB">
        <w:rPr>
          <w:rFonts w:asciiTheme="majorHAnsi" w:hAnsiTheme="majorHAnsi"/>
          <w:sz w:val="16"/>
          <w:szCs w:val="16"/>
          <w:lang w:val="es-ES"/>
        </w:rPr>
        <w:t>.</w:t>
      </w:r>
    </w:p>
  </w:footnote>
  <w:footnote w:id="7">
    <w:p w14:paraId="55D934AC" w14:textId="35D2B475" w:rsidR="00C55E72" w:rsidRPr="00C55E72" w:rsidRDefault="00C55E72" w:rsidP="00C55E72">
      <w:pPr>
        <w:pStyle w:val="ListParagraph"/>
        <w:spacing w:before="240"/>
        <w:ind w:left="709"/>
        <w:jc w:val="both"/>
        <w:rPr>
          <w:sz w:val="16"/>
          <w:szCs w:val="16"/>
          <w:lang w:val="es-ES"/>
        </w:rPr>
      </w:pPr>
      <w:r w:rsidRPr="00C55E72">
        <w:rPr>
          <w:rStyle w:val="FootnoteReference"/>
          <w:sz w:val="16"/>
          <w:szCs w:val="16"/>
        </w:rPr>
        <w:footnoteRef/>
      </w:r>
      <w:r w:rsidRPr="00C55E72">
        <w:rPr>
          <w:sz w:val="16"/>
          <w:szCs w:val="16"/>
          <w:lang w:val="es-ES"/>
        </w:rPr>
        <w:t xml:space="preserve"> Las preguntas restantes</w:t>
      </w:r>
      <w:r>
        <w:rPr>
          <w:sz w:val="16"/>
          <w:szCs w:val="16"/>
          <w:lang w:val="es-ES"/>
        </w:rPr>
        <w:t>, de las que la Comisión no recibió respuesta, son las siguientes</w:t>
      </w:r>
      <w:r w:rsidRPr="00C55E72">
        <w:rPr>
          <w:sz w:val="16"/>
          <w:szCs w:val="16"/>
          <w:lang w:val="es-ES"/>
        </w:rPr>
        <w:t xml:space="preserve">: </w:t>
      </w:r>
    </w:p>
    <w:p w14:paraId="4347B4AF" w14:textId="211777C2" w:rsidR="00C55E72" w:rsidRPr="00C55E72" w:rsidRDefault="00C55E72" w:rsidP="00C55E72">
      <w:pPr>
        <w:pStyle w:val="FootnoteText"/>
        <w:ind w:left="567"/>
        <w:jc w:val="both"/>
        <w:rPr>
          <w:rFonts w:asciiTheme="majorHAnsi" w:hAnsiTheme="majorHAnsi"/>
          <w:sz w:val="16"/>
          <w:szCs w:val="16"/>
          <w:lang w:val="es-ES_tradnl"/>
        </w:rPr>
      </w:pPr>
      <w:r w:rsidRPr="00C55E72">
        <w:rPr>
          <w:rFonts w:asciiTheme="majorHAnsi" w:hAnsiTheme="majorHAnsi"/>
          <w:sz w:val="16"/>
          <w:szCs w:val="16"/>
          <w:lang w:val="es-ES_tradnl"/>
        </w:rPr>
        <w:t xml:space="preserve">d) </w:t>
      </w:r>
      <w:r w:rsidRPr="00C55E72">
        <w:rPr>
          <w:rFonts w:asciiTheme="majorHAnsi" w:hAnsiTheme="majorHAnsi"/>
          <w:sz w:val="16"/>
          <w:szCs w:val="16"/>
          <w:lang w:val="es-ES_tradnl"/>
        </w:rPr>
        <w:tab/>
        <w:t xml:space="preserve">Si ha presentado un recurso judicial o una denuncia penal indique la fecha del mismo, el trámite que se le ha dado y el estado del proceso. De ser posible adjunte copia de estos documentos. En caso de no contar con la información solicitada, explique las razones por las cuales no puede dar respuesta. </w:t>
      </w:r>
    </w:p>
    <w:p w14:paraId="30EB6BBA" w14:textId="77777777" w:rsidR="00C55E72" w:rsidRPr="00C55E72" w:rsidRDefault="00C55E72" w:rsidP="00C55E72">
      <w:pPr>
        <w:pStyle w:val="FootnoteText"/>
        <w:ind w:left="567"/>
        <w:jc w:val="both"/>
        <w:rPr>
          <w:rFonts w:asciiTheme="majorHAnsi" w:hAnsiTheme="majorHAnsi"/>
          <w:sz w:val="16"/>
          <w:szCs w:val="16"/>
          <w:lang w:val="es-ES_tradnl"/>
        </w:rPr>
      </w:pPr>
      <w:r w:rsidRPr="00C55E72">
        <w:rPr>
          <w:rFonts w:asciiTheme="majorHAnsi" w:hAnsiTheme="majorHAnsi"/>
          <w:sz w:val="16"/>
          <w:szCs w:val="16"/>
          <w:lang w:val="es-ES_tradnl"/>
        </w:rPr>
        <w:t xml:space="preserve">e) </w:t>
      </w:r>
      <w:r w:rsidRPr="00C55E72">
        <w:rPr>
          <w:rFonts w:asciiTheme="majorHAnsi" w:hAnsiTheme="majorHAnsi"/>
          <w:sz w:val="16"/>
          <w:szCs w:val="16"/>
          <w:lang w:val="es-ES_tradnl"/>
        </w:rPr>
        <w:tab/>
        <w:t>Precise si se reconoció algún monto por concepto de reparación, quién sería la persona beneficiaria, si sería un pago único o periódico y cuál sería el estado de cumplimiento de dicho pago. En caso de haberse presentado un incumplimiento indique qué acciones habría adelantado para denunciar la situación.</w:t>
      </w:r>
    </w:p>
    <w:p w14:paraId="5290835B" w14:textId="1C5A1C87" w:rsidR="00C55E72" w:rsidRPr="00C55E72" w:rsidRDefault="00C55E72" w:rsidP="00C55E72">
      <w:pPr>
        <w:pStyle w:val="FootnoteText"/>
        <w:ind w:left="567"/>
        <w:jc w:val="both"/>
        <w:rPr>
          <w:rFonts w:asciiTheme="majorHAnsi" w:hAnsiTheme="majorHAnsi"/>
          <w:sz w:val="16"/>
          <w:szCs w:val="16"/>
          <w:lang w:val="es-ES_tradnl"/>
        </w:rPr>
      </w:pPr>
      <w:r w:rsidRPr="00C55E72">
        <w:rPr>
          <w:rFonts w:asciiTheme="majorHAnsi" w:hAnsiTheme="majorHAnsi"/>
          <w:sz w:val="16"/>
          <w:szCs w:val="16"/>
          <w:lang w:val="es-ES_tradnl"/>
        </w:rPr>
        <w:t xml:space="preserve">f) </w:t>
      </w:r>
      <w:r w:rsidR="00572BE9">
        <w:rPr>
          <w:rFonts w:asciiTheme="majorHAnsi" w:hAnsiTheme="majorHAnsi"/>
          <w:sz w:val="16"/>
          <w:szCs w:val="16"/>
          <w:lang w:val="es-ES_tradnl"/>
        </w:rPr>
        <w:tab/>
      </w:r>
      <w:r w:rsidRPr="00C55E72">
        <w:rPr>
          <w:rFonts w:asciiTheme="majorHAnsi" w:hAnsiTheme="majorHAnsi"/>
          <w:sz w:val="16"/>
          <w:szCs w:val="16"/>
          <w:lang w:val="es-ES_tradnl"/>
        </w:rPr>
        <w:tab/>
        <w:t xml:space="preserve">En los anexos se encuentra una solicitud elevada a la CMRR. Indique la fecha y contenido de la respuesta recibida, así como el estado de cumplimiento de la misma. De ser posible adjunte copia del documento. </w:t>
      </w:r>
    </w:p>
    <w:p w14:paraId="48782E87" w14:textId="0D0C0A29" w:rsidR="00C55E72" w:rsidRPr="00C55E72" w:rsidRDefault="00C55E72" w:rsidP="00C55E72">
      <w:pPr>
        <w:pStyle w:val="FootnoteText"/>
        <w:rPr>
          <w:lang w:val="es-ES"/>
        </w:rPr>
      </w:pPr>
    </w:p>
  </w:footnote>
  <w:footnote w:id="8">
    <w:p w14:paraId="2F0AD78B" w14:textId="6CCE9ACB" w:rsidR="00483151" w:rsidRPr="00483151" w:rsidRDefault="00483151" w:rsidP="00C55E72">
      <w:pPr>
        <w:pStyle w:val="FootnoteText"/>
        <w:ind w:firstLine="426"/>
        <w:jc w:val="both"/>
        <w:rPr>
          <w:rFonts w:asciiTheme="majorHAnsi" w:hAnsiTheme="majorHAnsi"/>
          <w:sz w:val="16"/>
          <w:szCs w:val="16"/>
          <w:lang w:val="es-ES_tradnl"/>
        </w:rPr>
      </w:pPr>
      <w:r w:rsidRPr="00483151">
        <w:rPr>
          <w:rStyle w:val="FootnoteReference"/>
          <w:rFonts w:asciiTheme="majorHAnsi" w:hAnsiTheme="majorHAnsi"/>
          <w:sz w:val="16"/>
          <w:szCs w:val="16"/>
        </w:rPr>
        <w:footnoteRef/>
      </w:r>
      <w:r w:rsidRPr="00483151">
        <w:rPr>
          <w:rFonts w:asciiTheme="majorHAnsi" w:hAnsiTheme="majorHAnsi"/>
          <w:sz w:val="16"/>
          <w:szCs w:val="16"/>
          <w:lang w:val="es-ES"/>
        </w:rPr>
        <w:t xml:space="preserve"> </w:t>
      </w:r>
      <w:r w:rsidRPr="00483151">
        <w:rPr>
          <w:rFonts w:asciiTheme="majorHAnsi" w:hAnsiTheme="majorHAnsi"/>
          <w:sz w:val="16"/>
          <w:szCs w:val="16"/>
          <w:lang w:val="es-ES_tradnl"/>
        </w:rPr>
        <w:t xml:space="preserve">El Estado enuncia que, para los hechos del 4 de mayo de 1998 diversos juzgados profirieron diferentes sentencias y procede a enunciarlas: </w:t>
      </w:r>
    </w:p>
    <w:p w14:paraId="4DFBBE18" w14:textId="77777777" w:rsidR="00483151" w:rsidRPr="00483151" w:rsidRDefault="00483151" w:rsidP="00483151">
      <w:pPr>
        <w:pStyle w:val="FootnoteText"/>
        <w:numPr>
          <w:ilvl w:val="0"/>
          <w:numId w:val="62"/>
        </w:numPr>
        <w:ind w:left="567" w:hanging="141"/>
        <w:jc w:val="both"/>
        <w:rPr>
          <w:rFonts w:asciiTheme="majorHAnsi" w:hAnsiTheme="majorHAnsi"/>
          <w:sz w:val="16"/>
          <w:szCs w:val="16"/>
          <w:lang w:val="es-ES_tradnl"/>
        </w:rPr>
      </w:pPr>
      <w:r w:rsidRPr="00483151">
        <w:rPr>
          <w:rFonts w:asciiTheme="majorHAnsi" w:hAnsiTheme="majorHAnsi"/>
          <w:sz w:val="16"/>
          <w:szCs w:val="16"/>
          <w:lang w:val="es-ES_tradnl"/>
        </w:rPr>
        <w:t>Sentencia del 23 de diciembre de 2005 proferida por el Juzgado Segundo del Circuito Especializado de Descongestión de Villavicencio, condenando a cinco personas a 450 meses de prisión por homicidio agravado, terrorismo, hurto calificado y agravado, y concierto para delinquir.</w:t>
      </w:r>
    </w:p>
    <w:p w14:paraId="4DB88D50" w14:textId="77777777" w:rsidR="00483151" w:rsidRPr="00483151" w:rsidRDefault="00483151" w:rsidP="00483151">
      <w:pPr>
        <w:pStyle w:val="FootnoteText"/>
        <w:numPr>
          <w:ilvl w:val="0"/>
          <w:numId w:val="62"/>
        </w:numPr>
        <w:ind w:left="567" w:hanging="141"/>
        <w:jc w:val="both"/>
        <w:rPr>
          <w:rFonts w:asciiTheme="majorHAnsi" w:hAnsiTheme="majorHAnsi"/>
          <w:sz w:val="16"/>
          <w:szCs w:val="16"/>
          <w:lang w:val="es-ES_tradnl"/>
        </w:rPr>
      </w:pPr>
      <w:r w:rsidRPr="00483151">
        <w:rPr>
          <w:rFonts w:asciiTheme="majorHAnsi" w:hAnsiTheme="majorHAnsi"/>
          <w:sz w:val="16"/>
          <w:szCs w:val="16"/>
          <w:lang w:val="es-ES_tradnl"/>
        </w:rPr>
        <w:t>Sentencia del 23 de mayo de 2006 por el Juzgado Cuarto del Circuito Penal Especializado de Villavicencio que absolvió a una persona.</w:t>
      </w:r>
    </w:p>
    <w:p w14:paraId="3C1213CC" w14:textId="77777777" w:rsidR="00483151" w:rsidRPr="00483151" w:rsidRDefault="00483151" w:rsidP="00483151">
      <w:pPr>
        <w:pStyle w:val="FootnoteText"/>
        <w:numPr>
          <w:ilvl w:val="0"/>
          <w:numId w:val="62"/>
        </w:numPr>
        <w:ind w:left="567" w:hanging="141"/>
        <w:jc w:val="both"/>
        <w:rPr>
          <w:rFonts w:asciiTheme="majorHAnsi" w:hAnsiTheme="majorHAnsi"/>
          <w:sz w:val="16"/>
          <w:szCs w:val="16"/>
          <w:lang w:val="es-ES_tradnl"/>
        </w:rPr>
      </w:pPr>
      <w:r w:rsidRPr="00483151">
        <w:rPr>
          <w:rFonts w:asciiTheme="majorHAnsi" w:hAnsiTheme="majorHAnsi"/>
          <w:sz w:val="16"/>
          <w:szCs w:val="16"/>
          <w:lang w:val="es-ES_tradnl"/>
        </w:rPr>
        <w:t>Sentencia del 16 de marzo de 2010 emitida por el Juzgado Cuarto Penal del Circuito Especializado de Villavicencio en la que se condena a una persona a 264 meses de prisión por homicidio agravado, terrorismo y hurto calificado y agravado; además de absolverlo de desaparición forzada, desplazamiento forzado y hurto.</w:t>
      </w:r>
    </w:p>
    <w:p w14:paraId="1C8E5BDE" w14:textId="77777777" w:rsidR="00483151" w:rsidRPr="00483151" w:rsidRDefault="00483151" w:rsidP="00483151">
      <w:pPr>
        <w:pStyle w:val="FootnoteText"/>
        <w:numPr>
          <w:ilvl w:val="0"/>
          <w:numId w:val="62"/>
        </w:numPr>
        <w:ind w:left="567" w:hanging="141"/>
        <w:jc w:val="both"/>
        <w:rPr>
          <w:rFonts w:asciiTheme="majorHAnsi" w:hAnsiTheme="majorHAnsi"/>
          <w:sz w:val="16"/>
          <w:szCs w:val="16"/>
          <w:lang w:val="es-ES_tradnl"/>
        </w:rPr>
      </w:pPr>
      <w:r w:rsidRPr="00483151">
        <w:rPr>
          <w:rFonts w:asciiTheme="majorHAnsi" w:hAnsiTheme="majorHAnsi"/>
          <w:sz w:val="16"/>
          <w:szCs w:val="16"/>
          <w:lang w:val="es-ES_tradnl"/>
        </w:rPr>
        <w:t>Sentencia del 30 de agosto de 2010 por el Juzgado Cuarto Penal del Circuito Especializado de Villavicencio en la que se condena a una persona a 240 meses de prisión por el homicidio de 18 personas, terrorismo y concierto para delinquir.</w:t>
      </w:r>
    </w:p>
    <w:p w14:paraId="1C671690" w14:textId="77777777" w:rsidR="00483151" w:rsidRPr="00483151" w:rsidRDefault="00483151" w:rsidP="00483151">
      <w:pPr>
        <w:pStyle w:val="FootnoteText"/>
        <w:numPr>
          <w:ilvl w:val="0"/>
          <w:numId w:val="62"/>
        </w:numPr>
        <w:ind w:left="567" w:hanging="141"/>
        <w:jc w:val="both"/>
        <w:rPr>
          <w:rFonts w:asciiTheme="majorHAnsi" w:hAnsiTheme="majorHAnsi"/>
          <w:sz w:val="16"/>
          <w:szCs w:val="16"/>
          <w:lang w:val="es-ES_tradnl"/>
        </w:rPr>
      </w:pPr>
      <w:r w:rsidRPr="00483151">
        <w:rPr>
          <w:rFonts w:asciiTheme="majorHAnsi" w:hAnsiTheme="majorHAnsi"/>
          <w:sz w:val="16"/>
          <w:szCs w:val="16"/>
          <w:lang w:val="es-ES_tradnl"/>
        </w:rPr>
        <w:t>Sentencia del 30 de abril de 2021 por el Juzgado Cuarto Penal del Circuito Especializado de Villavicencio donde se condenó a dos personas a 288 meses de prisión por el homicidio de 18 personas en concurso con terrorismo y concierto para delinquir agravado.</w:t>
      </w:r>
    </w:p>
    <w:p w14:paraId="39D94DA8" w14:textId="77777777" w:rsidR="00483151" w:rsidRPr="00483151" w:rsidRDefault="00483151" w:rsidP="00483151">
      <w:pPr>
        <w:pStyle w:val="FootnoteText"/>
        <w:numPr>
          <w:ilvl w:val="0"/>
          <w:numId w:val="62"/>
        </w:numPr>
        <w:ind w:left="567" w:hanging="141"/>
        <w:jc w:val="both"/>
        <w:rPr>
          <w:rFonts w:asciiTheme="majorHAnsi" w:hAnsiTheme="majorHAnsi"/>
          <w:sz w:val="16"/>
          <w:szCs w:val="16"/>
          <w:lang w:val="es-ES_tradnl"/>
        </w:rPr>
      </w:pPr>
      <w:r w:rsidRPr="00483151">
        <w:rPr>
          <w:rFonts w:asciiTheme="majorHAnsi" w:hAnsiTheme="majorHAnsi"/>
          <w:sz w:val="16"/>
          <w:szCs w:val="16"/>
          <w:lang w:val="es-ES_tradnl"/>
        </w:rPr>
        <w:t>Sentencia del 28 de septiembre de 2012 proferida por el Juzgado Cuarto Penal del Circuito Especializado Adjunto a Villavicencio donde se condena a cinco personas a 288 meses de prisión, sin indicar por cuál delito; además se les absolvió por hurto calificado, desaparición y desplazamiento forzados.</w:t>
      </w:r>
    </w:p>
    <w:p w14:paraId="6084FA79" w14:textId="77777777" w:rsidR="00483151" w:rsidRPr="00483151" w:rsidRDefault="00483151" w:rsidP="00483151">
      <w:pPr>
        <w:pStyle w:val="FootnoteText"/>
        <w:numPr>
          <w:ilvl w:val="0"/>
          <w:numId w:val="62"/>
        </w:numPr>
        <w:ind w:left="567" w:hanging="141"/>
        <w:jc w:val="both"/>
        <w:rPr>
          <w:rFonts w:asciiTheme="majorHAnsi" w:hAnsiTheme="majorHAnsi"/>
          <w:sz w:val="16"/>
          <w:szCs w:val="16"/>
          <w:lang w:val="es-ES_tradnl"/>
        </w:rPr>
      </w:pPr>
      <w:r w:rsidRPr="00483151">
        <w:rPr>
          <w:rFonts w:asciiTheme="majorHAnsi" w:hAnsiTheme="majorHAnsi"/>
          <w:sz w:val="16"/>
          <w:szCs w:val="16"/>
          <w:lang w:val="es-ES_tradnl"/>
        </w:rPr>
        <w:t>Sentencia del 13 de febrero de 2014 por el Juzgado Cuarto Penal del Circuito Especializado de Villavicencio en la que se condena a una persona a 480 meses de prisión por el homicidio de 17 personas.</w:t>
      </w:r>
    </w:p>
    <w:p w14:paraId="02897FAE" w14:textId="067DC6C9" w:rsidR="00483151" w:rsidRPr="00483151" w:rsidRDefault="00483151" w:rsidP="003D1811">
      <w:pPr>
        <w:pStyle w:val="FootnoteText"/>
        <w:numPr>
          <w:ilvl w:val="0"/>
          <w:numId w:val="62"/>
        </w:numPr>
        <w:spacing w:after="120"/>
        <w:ind w:left="567" w:hanging="141"/>
        <w:jc w:val="both"/>
        <w:rPr>
          <w:rFonts w:asciiTheme="majorHAnsi" w:hAnsiTheme="majorHAnsi"/>
          <w:sz w:val="16"/>
          <w:szCs w:val="16"/>
          <w:lang w:val="es-ES_tradnl"/>
        </w:rPr>
      </w:pPr>
      <w:r w:rsidRPr="00483151">
        <w:rPr>
          <w:rFonts w:asciiTheme="majorHAnsi" w:hAnsiTheme="majorHAnsi"/>
          <w:sz w:val="16"/>
          <w:szCs w:val="16"/>
          <w:lang w:val="es-ES_tradnl"/>
        </w:rPr>
        <w:t>Sentencia del 26 de noviembre de 2015 por el Juzgado Primero Penal del Circuito Especializado de Villavicencio donde se condenó a una persona a 273 meses de prisión por concierto para delinquir.</w:t>
      </w:r>
    </w:p>
  </w:footnote>
  <w:footnote w:id="9">
    <w:p w14:paraId="02C542E6" w14:textId="24F88C00" w:rsidR="003D1811" w:rsidRPr="003D1811" w:rsidRDefault="003D1811" w:rsidP="003D1811">
      <w:pPr>
        <w:pStyle w:val="FootnoteText"/>
        <w:spacing w:after="120"/>
        <w:ind w:firstLine="426"/>
        <w:jc w:val="both"/>
        <w:rPr>
          <w:rFonts w:ascii="Cambria" w:hAnsi="Cambria"/>
          <w:sz w:val="16"/>
          <w:szCs w:val="16"/>
          <w:lang w:val="es-ES_tradnl"/>
        </w:rPr>
      </w:pPr>
      <w:r w:rsidRPr="003D1811">
        <w:rPr>
          <w:rStyle w:val="FootnoteReference"/>
          <w:rFonts w:ascii="Cambria" w:hAnsi="Cambria"/>
          <w:sz w:val="16"/>
          <w:szCs w:val="16"/>
        </w:rPr>
        <w:footnoteRef/>
      </w:r>
      <w:r w:rsidRPr="003D1811">
        <w:rPr>
          <w:rFonts w:ascii="Cambria" w:hAnsi="Cambria"/>
          <w:sz w:val="16"/>
          <w:szCs w:val="16"/>
          <w:lang w:val="es-ES"/>
        </w:rPr>
        <w:t xml:space="preserve"> </w:t>
      </w:r>
      <w:r w:rsidRPr="003D1811">
        <w:rPr>
          <w:rFonts w:ascii="Cambria" w:hAnsi="Cambria"/>
          <w:sz w:val="16"/>
          <w:szCs w:val="16"/>
          <w:lang w:val="es-ES_tradnl"/>
        </w:rPr>
        <w:t>Radicado 351 de la Fiscalía 57 de la Dirección Especializada contra las Violaciones a los Derechos Humanos, contra ocho personas acusadas por homicidio agravado en concurso homogéneo sucesivo y simultáneo con los delitos de desaparición forzada, desplazamiento forzado, concierto para delinquir, terrorismo, secuestro simple y hurto agravado y calificado</w:t>
      </w:r>
      <w:r>
        <w:rPr>
          <w:rFonts w:ascii="Cambria" w:hAnsi="Cambria"/>
          <w:sz w:val="16"/>
          <w:szCs w:val="16"/>
          <w:lang w:val="es-ES_tradnl"/>
        </w:rPr>
        <w:t>.</w:t>
      </w:r>
    </w:p>
    <w:p w14:paraId="5D1233DC" w14:textId="64A432D1" w:rsidR="003D1811" w:rsidRPr="003D1811" w:rsidRDefault="003D1811">
      <w:pPr>
        <w:pStyle w:val="FootnoteText"/>
        <w:rPr>
          <w:lang w:val="es-ES_tradnl"/>
        </w:rPr>
      </w:pPr>
    </w:p>
  </w:footnote>
  <w:footnote w:id="10">
    <w:p w14:paraId="0ACE4F59" w14:textId="77777777" w:rsidR="004A1FEA" w:rsidRPr="005251EC" w:rsidRDefault="004A1FEA" w:rsidP="00E66DCD">
      <w:pPr>
        <w:pStyle w:val="FootnoteText"/>
        <w:ind w:firstLine="426"/>
        <w:jc w:val="both"/>
        <w:rPr>
          <w:rFonts w:asciiTheme="majorHAnsi" w:hAnsiTheme="majorHAnsi"/>
          <w:sz w:val="16"/>
          <w:szCs w:val="16"/>
          <w:lang w:val="es-ES"/>
        </w:rPr>
      </w:pPr>
      <w:r w:rsidRPr="004A1FEA">
        <w:rPr>
          <w:rStyle w:val="FootnoteReference"/>
          <w:rFonts w:asciiTheme="majorHAnsi" w:hAnsiTheme="majorHAnsi"/>
          <w:sz w:val="16"/>
          <w:szCs w:val="16"/>
        </w:rPr>
        <w:footnoteRef/>
      </w:r>
      <w:r w:rsidRPr="004A1FEA">
        <w:rPr>
          <w:rFonts w:asciiTheme="majorHAnsi" w:hAnsiTheme="majorHAnsi"/>
          <w:sz w:val="16"/>
          <w:szCs w:val="16"/>
          <w:lang w:val="es-ES"/>
        </w:rPr>
        <w:t xml:space="preserve"> </w:t>
      </w:r>
      <w:r w:rsidRPr="004A1FEA">
        <w:rPr>
          <w:rFonts w:asciiTheme="majorHAnsi" w:hAnsiTheme="majorHAnsi"/>
          <w:sz w:val="16"/>
          <w:szCs w:val="16"/>
          <w:lang w:val="es-ES_tradnl"/>
        </w:rPr>
        <w:t>Ubeny Escobar Pobre, Cindy Tatiana Baquero Escobar, Brayan Stivenson Baquero Escobar, Hernán Baquero Ipuz y Jhon Jairo Baquero Escobar.</w:t>
      </w:r>
    </w:p>
  </w:footnote>
  <w:footnote w:id="11">
    <w:p w14:paraId="2441A10A" w14:textId="13FF3817" w:rsidR="003942D7" w:rsidRPr="003942D7" w:rsidRDefault="003942D7" w:rsidP="00E66DCD">
      <w:pPr>
        <w:pStyle w:val="FootnoteText"/>
        <w:ind w:firstLine="426"/>
        <w:jc w:val="both"/>
        <w:rPr>
          <w:rFonts w:asciiTheme="majorHAnsi" w:hAnsiTheme="majorHAnsi"/>
          <w:sz w:val="16"/>
          <w:szCs w:val="16"/>
          <w:lang w:val="es-ES"/>
        </w:rPr>
      </w:pPr>
      <w:r w:rsidRPr="003942D7">
        <w:rPr>
          <w:rStyle w:val="FootnoteReference"/>
          <w:rFonts w:asciiTheme="majorHAnsi" w:hAnsiTheme="majorHAnsi"/>
          <w:sz w:val="16"/>
          <w:szCs w:val="16"/>
        </w:rPr>
        <w:footnoteRef/>
      </w:r>
      <w:r w:rsidRPr="003942D7">
        <w:rPr>
          <w:rFonts w:asciiTheme="majorHAnsi" w:hAnsiTheme="majorHAnsi"/>
          <w:sz w:val="16"/>
          <w:szCs w:val="16"/>
          <w:lang w:val="es-ES"/>
        </w:rPr>
        <w:t xml:space="preserve"> </w:t>
      </w:r>
      <w:r w:rsidRPr="003942D7">
        <w:rPr>
          <w:rFonts w:asciiTheme="majorHAnsi" w:hAnsiTheme="majorHAnsi"/>
          <w:sz w:val="16"/>
          <w:szCs w:val="16"/>
          <w:lang w:val="es-ES_tradnl"/>
        </w:rPr>
        <w:t>Afirma que mediante resolución 20143001167676 de 2014 se ordenó el pago de alojamiento en la fase de atención humanitaria de transición a la señora Ubeny Escobar Pobre. Del mismo modo, por resolución 0600120160650151 de 2016 se reconoció y ordenó el pago de atención humanitaria de transición al señor Hernán Baquero Ipuz como jefe de hogar</w:t>
      </w:r>
      <w:r>
        <w:rPr>
          <w:rFonts w:asciiTheme="majorHAnsi" w:hAnsiTheme="majorHAnsi"/>
          <w:sz w:val="16"/>
          <w:szCs w:val="16"/>
          <w:lang w:val="es-ES_tradnl"/>
        </w:rPr>
        <w:t>.</w:t>
      </w:r>
    </w:p>
  </w:footnote>
  <w:footnote w:id="12">
    <w:p w14:paraId="10E3646D" w14:textId="1412C6AC" w:rsidR="003942D7" w:rsidRPr="003942D7" w:rsidRDefault="003942D7" w:rsidP="003942D7">
      <w:pPr>
        <w:pStyle w:val="FootnoteText"/>
        <w:ind w:firstLine="426"/>
        <w:jc w:val="both"/>
        <w:rPr>
          <w:rFonts w:asciiTheme="majorHAnsi" w:hAnsiTheme="majorHAnsi"/>
          <w:sz w:val="16"/>
          <w:szCs w:val="16"/>
          <w:lang w:val="es-ES_tradnl"/>
        </w:rPr>
      </w:pPr>
      <w:r w:rsidRPr="003942D7">
        <w:rPr>
          <w:rStyle w:val="FootnoteReference"/>
          <w:rFonts w:asciiTheme="majorHAnsi" w:hAnsiTheme="majorHAnsi"/>
          <w:sz w:val="16"/>
          <w:szCs w:val="16"/>
        </w:rPr>
        <w:footnoteRef/>
      </w:r>
      <w:r w:rsidRPr="003942D7">
        <w:rPr>
          <w:rFonts w:asciiTheme="majorHAnsi" w:hAnsiTheme="majorHAnsi"/>
          <w:sz w:val="16"/>
          <w:szCs w:val="16"/>
          <w:lang w:val="es-ES"/>
        </w:rPr>
        <w:t xml:space="preserve"> </w:t>
      </w:r>
      <w:r w:rsidR="00F01BCD">
        <w:rPr>
          <w:rFonts w:asciiTheme="majorHAnsi" w:hAnsiTheme="majorHAnsi"/>
          <w:sz w:val="16"/>
          <w:szCs w:val="16"/>
          <w:lang w:val="es-ES_tradnl"/>
        </w:rPr>
        <w:t>Alrededor de</w:t>
      </w:r>
      <w:r w:rsidRPr="003942D7">
        <w:rPr>
          <w:rFonts w:asciiTheme="majorHAnsi" w:hAnsiTheme="majorHAnsi"/>
          <w:sz w:val="16"/>
          <w:szCs w:val="16"/>
          <w:lang w:val="es-ES_tradnl"/>
        </w:rPr>
        <w:t xml:space="preserve"> 33,124,640.00 pesos colombianos, lo que equivaldría, aproximadamente, a 11,180 USD, o sea 2,236 USD por presunta víctima</w:t>
      </w:r>
      <w:r w:rsidR="003F2519">
        <w:rPr>
          <w:rFonts w:asciiTheme="majorHAnsi" w:hAnsiTheme="majorHAnsi"/>
          <w:sz w:val="16"/>
          <w:szCs w:val="16"/>
          <w:lang w:val="es-ES_tradnl"/>
        </w:rPr>
        <w:t>; conforme a</w:t>
      </w:r>
      <w:r w:rsidR="003F2519" w:rsidRPr="003F2519">
        <w:rPr>
          <w:rFonts w:asciiTheme="majorHAnsi" w:hAnsiTheme="majorHAnsi"/>
          <w:sz w:val="16"/>
          <w:szCs w:val="16"/>
          <w:lang w:val="es-ES_tradnl"/>
        </w:rPr>
        <w:t>l Banco de la República Colombia, encontrado en: https://www.banrep.gov.co/es/estadisticas/trm</w:t>
      </w:r>
    </w:p>
  </w:footnote>
  <w:footnote w:id="13">
    <w:p w14:paraId="0F41661E" w14:textId="46BE56B7" w:rsidR="004A7A2E" w:rsidRPr="004A7A2E" w:rsidRDefault="004A7A2E" w:rsidP="004A7A2E">
      <w:pPr>
        <w:pStyle w:val="FootnoteText"/>
        <w:ind w:firstLine="426"/>
        <w:jc w:val="both"/>
        <w:rPr>
          <w:rFonts w:ascii="Cambria" w:hAnsi="Cambria"/>
          <w:sz w:val="16"/>
          <w:szCs w:val="16"/>
          <w:lang w:val="es-ES"/>
        </w:rPr>
      </w:pPr>
      <w:r w:rsidRPr="004A7A2E">
        <w:rPr>
          <w:rStyle w:val="FootnoteReference"/>
          <w:rFonts w:ascii="Cambria" w:hAnsi="Cambria"/>
          <w:sz w:val="16"/>
          <w:szCs w:val="16"/>
        </w:rPr>
        <w:footnoteRef/>
      </w:r>
      <w:r w:rsidRPr="004A7A2E">
        <w:rPr>
          <w:rFonts w:ascii="Cambria" w:hAnsi="Cambria"/>
          <w:sz w:val="16"/>
          <w:szCs w:val="16"/>
          <w:lang w:val="es-ES"/>
        </w:rPr>
        <w:t xml:space="preserve"> </w:t>
      </w:r>
      <w:r w:rsidRPr="004A7A2E">
        <w:rPr>
          <w:rFonts w:ascii="Cambria" w:hAnsi="Cambria"/>
          <w:bCs/>
          <w:sz w:val="16"/>
          <w:szCs w:val="16"/>
          <w:lang w:val="es-ES"/>
        </w:rPr>
        <w:t>CIDH, Informe No. 193/22. Petición 1153-12 Inadmibisibilidad. Luis Alejandro Cárdenas Tafur y Familia. Colombia. 3 de agosto de 2022, párr. 15 y CIDH, Informe No. 23/23. Petición 1987-12 Inadmibisibilidad. A.A, B.B y C.C. Colombia. 26 de febrero de 2023, párr.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A1295" w:rsidP="00A50FCF">
    <w:pPr>
      <w:pStyle w:val="Header"/>
      <w:tabs>
        <w:tab w:val="clear" w:pos="4320"/>
        <w:tab w:val="clear" w:pos="8640"/>
      </w:tabs>
      <w:jc w:val="center"/>
      <w:rPr>
        <w:sz w:val="22"/>
        <w:szCs w:val="22"/>
      </w:rPr>
    </w:pPr>
    <w:r>
      <w:rPr>
        <w:noProof/>
        <w:sz w:val="22"/>
        <w:szCs w:val="22"/>
        <w:bdr w:val="nil"/>
      </w:rPr>
      <w:pict w14:anchorId="26E1949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080B71"/>
    <w:multiLevelType w:val="hybridMultilevel"/>
    <w:tmpl w:val="1EE22E3A"/>
    <w:lvl w:ilvl="0" w:tplc="67EAD190">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2B7D7C"/>
    <w:multiLevelType w:val="hybridMultilevel"/>
    <w:tmpl w:val="C2A82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392B3E"/>
    <w:multiLevelType w:val="hybridMultilevel"/>
    <w:tmpl w:val="44749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D0467A5"/>
    <w:multiLevelType w:val="hybridMultilevel"/>
    <w:tmpl w:val="F004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4"/>
  </w:num>
  <w:num w:numId="3" w16cid:durableId="1836843260">
    <w:abstractNumId w:val="55"/>
  </w:num>
  <w:num w:numId="4" w16cid:durableId="2018339747">
    <w:abstractNumId w:val="21"/>
  </w:num>
  <w:num w:numId="5" w16cid:durableId="368341374">
    <w:abstractNumId w:val="49"/>
  </w:num>
  <w:num w:numId="6" w16cid:durableId="1074009954">
    <w:abstractNumId w:val="28"/>
  </w:num>
  <w:num w:numId="7" w16cid:durableId="1545016965">
    <w:abstractNumId w:val="5"/>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6"/>
  </w:num>
  <w:num w:numId="17" w16cid:durableId="1790273299">
    <w:abstractNumId w:val="7"/>
  </w:num>
  <w:num w:numId="18" w16cid:durableId="2128112662">
    <w:abstractNumId w:val="8"/>
  </w:num>
  <w:num w:numId="19" w16cid:durableId="7217114">
    <w:abstractNumId w:val="9"/>
  </w:num>
  <w:num w:numId="20" w16cid:durableId="1858302314">
    <w:abstractNumId w:val="10"/>
  </w:num>
  <w:num w:numId="21" w16cid:durableId="1702172520">
    <w:abstractNumId w:val="11"/>
  </w:num>
  <w:num w:numId="22" w16cid:durableId="1700861223">
    <w:abstractNumId w:val="12"/>
  </w:num>
  <w:num w:numId="23" w16cid:durableId="1025131478">
    <w:abstractNumId w:val="14"/>
  </w:num>
  <w:num w:numId="24" w16cid:durableId="477890311">
    <w:abstractNumId w:val="15"/>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60"/>
  </w:num>
  <w:num w:numId="50" w16cid:durableId="2025083079">
    <w:abstractNumId w:val="61"/>
  </w:num>
  <w:num w:numId="51" w16cid:durableId="530342504">
    <w:abstractNumId w:val="20"/>
  </w:num>
  <w:num w:numId="52" w16cid:durableId="955454438">
    <w:abstractNumId w:val="42"/>
  </w:num>
  <w:num w:numId="53" w16cid:durableId="586957926">
    <w:abstractNumId w:val="52"/>
  </w:num>
  <w:num w:numId="54" w16cid:durableId="1498381482">
    <w:abstractNumId w:val="47"/>
  </w:num>
  <w:num w:numId="55" w16cid:durableId="1930308158">
    <w:abstractNumId w:val="44"/>
  </w:num>
  <w:num w:numId="56" w16cid:durableId="71783945">
    <w:abstractNumId w:val="27"/>
  </w:num>
  <w:num w:numId="57" w16cid:durableId="327246300">
    <w:abstractNumId w:val="25"/>
  </w:num>
  <w:num w:numId="58" w16cid:durableId="823088829">
    <w:abstractNumId w:val="37"/>
  </w:num>
  <w:num w:numId="59" w16cid:durableId="39213851">
    <w:abstractNumId w:val="45"/>
  </w:num>
  <w:num w:numId="60" w16cid:durableId="693459824">
    <w:abstractNumId w:val="16"/>
  </w:num>
  <w:num w:numId="61" w16cid:durableId="1035233343">
    <w:abstractNumId w:val="59"/>
  </w:num>
  <w:num w:numId="62" w16cid:durableId="895703371">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5CF4"/>
    <w:rsid w:val="00052001"/>
    <w:rsid w:val="000531AF"/>
    <w:rsid w:val="00071174"/>
    <w:rsid w:val="000716C5"/>
    <w:rsid w:val="00075E23"/>
    <w:rsid w:val="00085EE5"/>
    <w:rsid w:val="000915B0"/>
    <w:rsid w:val="0009344A"/>
    <w:rsid w:val="00097FCB"/>
    <w:rsid w:val="000A392E"/>
    <w:rsid w:val="000A575F"/>
    <w:rsid w:val="000A7A2F"/>
    <w:rsid w:val="000C6F53"/>
    <w:rsid w:val="000D05CB"/>
    <w:rsid w:val="000D10DB"/>
    <w:rsid w:val="000E5EB5"/>
    <w:rsid w:val="000F35ED"/>
    <w:rsid w:val="001004FE"/>
    <w:rsid w:val="00107131"/>
    <w:rsid w:val="0010736F"/>
    <w:rsid w:val="00113A0F"/>
    <w:rsid w:val="00113F73"/>
    <w:rsid w:val="00121CC2"/>
    <w:rsid w:val="00122D54"/>
    <w:rsid w:val="0013084B"/>
    <w:rsid w:val="00131425"/>
    <w:rsid w:val="00133EE5"/>
    <w:rsid w:val="00152C49"/>
    <w:rsid w:val="00167A34"/>
    <w:rsid w:val="00180747"/>
    <w:rsid w:val="001A520D"/>
    <w:rsid w:val="001A7870"/>
    <w:rsid w:val="001A7C64"/>
    <w:rsid w:val="001B3A00"/>
    <w:rsid w:val="001B478B"/>
    <w:rsid w:val="001C1B41"/>
    <w:rsid w:val="001D0100"/>
    <w:rsid w:val="001D65EF"/>
    <w:rsid w:val="001D7F96"/>
    <w:rsid w:val="001E3507"/>
    <w:rsid w:val="001E49E7"/>
    <w:rsid w:val="001F0A94"/>
    <w:rsid w:val="001F7201"/>
    <w:rsid w:val="002030C1"/>
    <w:rsid w:val="00203BAD"/>
    <w:rsid w:val="00206537"/>
    <w:rsid w:val="00223A29"/>
    <w:rsid w:val="002250A3"/>
    <w:rsid w:val="002255C2"/>
    <w:rsid w:val="00235217"/>
    <w:rsid w:val="00246D1F"/>
    <w:rsid w:val="00247403"/>
    <w:rsid w:val="00247542"/>
    <w:rsid w:val="00265972"/>
    <w:rsid w:val="00266B61"/>
    <w:rsid w:val="0026712A"/>
    <w:rsid w:val="002704DB"/>
    <w:rsid w:val="00293936"/>
    <w:rsid w:val="002A0AAE"/>
    <w:rsid w:val="002A38B1"/>
    <w:rsid w:val="002A5820"/>
    <w:rsid w:val="002B28C6"/>
    <w:rsid w:val="002D2B26"/>
    <w:rsid w:val="002D5C92"/>
    <w:rsid w:val="002D7EA2"/>
    <w:rsid w:val="002E187C"/>
    <w:rsid w:val="002F6E38"/>
    <w:rsid w:val="002F77E9"/>
    <w:rsid w:val="00302733"/>
    <w:rsid w:val="00305835"/>
    <w:rsid w:val="00306F33"/>
    <w:rsid w:val="00314078"/>
    <w:rsid w:val="0031535D"/>
    <w:rsid w:val="003221CB"/>
    <w:rsid w:val="003239B8"/>
    <w:rsid w:val="0033169F"/>
    <w:rsid w:val="00344977"/>
    <w:rsid w:val="00346C95"/>
    <w:rsid w:val="00356185"/>
    <w:rsid w:val="003576D7"/>
    <w:rsid w:val="00360380"/>
    <w:rsid w:val="00360587"/>
    <w:rsid w:val="0037519E"/>
    <w:rsid w:val="00383298"/>
    <w:rsid w:val="00386CF0"/>
    <w:rsid w:val="003878C8"/>
    <w:rsid w:val="00394073"/>
    <w:rsid w:val="003942D7"/>
    <w:rsid w:val="003B70FB"/>
    <w:rsid w:val="003C676B"/>
    <w:rsid w:val="003D1811"/>
    <w:rsid w:val="003D3BC2"/>
    <w:rsid w:val="003D7941"/>
    <w:rsid w:val="003E66E0"/>
    <w:rsid w:val="003E6CA1"/>
    <w:rsid w:val="003F2519"/>
    <w:rsid w:val="003F5154"/>
    <w:rsid w:val="00401E28"/>
    <w:rsid w:val="00405F9C"/>
    <w:rsid w:val="004065A8"/>
    <w:rsid w:val="004165C2"/>
    <w:rsid w:val="004241A0"/>
    <w:rsid w:val="00441ECB"/>
    <w:rsid w:val="00443073"/>
    <w:rsid w:val="00445193"/>
    <w:rsid w:val="00450066"/>
    <w:rsid w:val="00451D1B"/>
    <w:rsid w:val="004556BC"/>
    <w:rsid w:val="004612F0"/>
    <w:rsid w:val="00462C1B"/>
    <w:rsid w:val="00467B7E"/>
    <w:rsid w:val="00473BB4"/>
    <w:rsid w:val="004752F8"/>
    <w:rsid w:val="00477592"/>
    <w:rsid w:val="0047765E"/>
    <w:rsid w:val="00483151"/>
    <w:rsid w:val="00486F1C"/>
    <w:rsid w:val="0049419D"/>
    <w:rsid w:val="004A057B"/>
    <w:rsid w:val="004A1FEA"/>
    <w:rsid w:val="004A5A52"/>
    <w:rsid w:val="004A6A54"/>
    <w:rsid w:val="004A7A2E"/>
    <w:rsid w:val="004B3885"/>
    <w:rsid w:val="004B421C"/>
    <w:rsid w:val="004C20D2"/>
    <w:rsid w:val="004C2312"/>
    <w:rsid w:val="004C4B62"/>
    <w:rsid w:val="004C54C9"/>
    <w:rsid w:val="004D4ABA"/>
    <w:rsid w:val="004D6025"/>
    <w:rsid w:val="004E2649"/>
    <w:rsid w:val="004E329A"/>
    <w:rsid w:val="004F4877"/>
    <w:rsid w:val="004F626F"/>
    <w:rsid w:val="00501399"/>
    <w:rsid w:val="005047ED"/>
    <w:rsid w:val="00504B6B"/>
    <w:rsid w:val="0050633D"/>
    <w:rsid w:val="00507BC4"/>
    <w:rsid w:val="005128E4"/>
    <w:rsid w:val="005133DB"/>
    <w:rsid w:val="00514504"/>
    <w:rsid w:val="00521E1F"/>
    <w:rsid w:val="005251EC"/>
    <w:rsid w:val="00525560"/>
    <w:rsid w:val="00526C45"/>
    <w:rsid w:val="00544C49"/>
    <w:rsid w:val="005516A1"/>
    <w:rsid w:val="005559EF"/>
    <w:rsid w:val="00557BE9"/>
    <w:rsid w:val="00563557"/>
    <w:rsid w:val="0056376A"/>
    <w:rsid w:val="00563ACE"/>
    <w:rsid w:val="00572BE9"/>
    <w:rsid w:val="0057402A"/>
    <w:rsid w:val="005771D0"/>
    <w:rsid w:val="0059191A"/>
    <w:rsid w:val="005921FF"/>
    <w:rsid w:val="005A24ED"/>
    <w:rsid w:val="005A6D0E"/>
    <w:rsid w:val="005B4603"/>
    <w:rsid w:val="005B52B0"/>
    <w:rsid w:val="005B6656"/>
    <w:rsid w:val="005B6806"/>
    <w:rsid w:val="005C4225"/>
    <w:rsid w:val="005E3536"/>
    <w:rsid w:val="005E36EC"/>
    <w:rsid w:val="005E43E2"/>
    <w:rsid w:val="005E7308"/>
    <w:rsid w:val="005F0DAD"/>
    <w:rsid w:val="005F0F33"/>
    <w:rsid w:val="00600DEB"/>
    <w:rsid w:val="00627C9F"/>
    <w:rsid w:val="00627FB1"/>
    <w:rsid w:val="006311E9"/>
    <w:rsid w:val="00632354"/>
    <w:rsid w:val="00632C85"/>
    <w:rsid w:val="00635421"/>
    <w:rsid w:val="00642810"/>
    <w:rsid w:val="00644CCF"/>
    <w:rsid w:val="00652333"/>
    <w:rsid w:val="0068009E"/>
    <w:rsid w:val="00683E55"/>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741F"/>
    <w:rsid w:val="00766268"/>
    <w:rsid w:val="00766407"/>
    <w:rsid w:val="0076643F"/>
    <w:rsid w:val="007708B3"/>
    <w:rsid w:val="007744B6"/>
    <w:rsid w:val="00774A3D"/>
    <w:rsid w:val="00777F63"/>
    <w:rsid w:val="00780956"/>
    <w:rsid w:val="0078544D"/>
    <w:rsid w:val="007A5817"/>
    <w:rsid w:val="007B05C4"/>
    <w:rsid w:val="007B0A06"/>
    <w:rsid w:val="007B60E9"/>
    <w:rsid w:val="007B6CC3"/>
    <w:rsid w:val="007B76D3"/>
    <w:rsid w:val="007C3334"/>
    <w:rsid w:val="007C715A"/>
    <w:rsid w:val="007D2B98"/>
    <w:rsid w:val="007E21BC"/>
    <w:rsid w:val="007E7C82"/>
    <w:rsid w:val="007F2AA1"/>
    <w:rsid w:val="007F588D"/>
    <w:rsid w:val="007F74EE"/>
    <w:rsid w:val="00803F1C"/>
    <w:rsid w:val="0080600E"/>
    <w:rsid w:val="00810C95"/>
    <w:rsid w:val="00814688"/>
    <w:rsid w:val="00817612"/>
    <w:rsid w:val="008254F7"/>
    <w:rsid w:val="008263BE"/>
    <w:rsid w:val="008338A4"/>
    <w:rsid w:val="00834D49"/>
    <w:rsid w:val="00837C45"/>
    <w:rsid w:val="00844730"/>
    <w:rsid w:val="008457C2"/>
    <w:rsid w:val="00855A12"/>
    <w:rsid w:val="00857A82"/>
    <w:rsid w:val="00873241"/>
    <w:rsid w:val="00873836"/>
    <w:rsid w:val="00885737"/>
    <w:rsid w:val="00890650"/>
    <w:rsid w:val="008944DC"/>
    <w:rsid w:val="00897E12"/>
    <w:rsid w:val="008A7E0F"/>
    <w:rsid w:val="008B12F5"/>
    <w:rsid w:val="008C5E2D"/>
    <w:rsid w:val="008C68CC"/>
    <w:rsid w:val="008D64C4"/>
    <w:rsid w:val="008D768D"/>
    <w:rsid w:val="008E3759"/>
    <w:rsid w:val="008E3BFE"/>
    <w:rsid w:val="008F1912"/>
    <w:rsid w:val="0090270B"/>
    <w:rsid w:val="009036AD"/>
    <w:rsid w:val="009041DC"/>
    <w:rsid w:val="00917B5A"/>
    <w:rsid w:val="00920A58"/>
    <w:rsid w:val="00920A8C"/>
    <w:rsid w:val="00926258"/>
    <w:rsid w:val="00934A2C"/>
    <w:rsid w:val="0096706E"/>
    <w:rsid w:val="00974491"/>
    <w:rsid w:val="00975C4E"/>
    <w:rsid w:val="00981FBA"/>
    <w:rsid w:val="009935AC"/>
    <w:rsid w:val="00997BC5"/>
    <w:rsid w:val="009A4F41"/>
    <w:rsid w:val="009A56CE"/>
    <w:rsid w:val="009B381B"/>
    <w:rsid w:val="009B53CC"/>
    <w:rsid w:val="009B7AEE"/>
    <w:rsid w:val="009C0C72"/>
    <w:rsid w:val="009D1753"/>
    <w:rsid w:val="009D35EF"/>
    <w:rsid w:val="009D7611"/>
    <w:rsid w:val="009E0B61"/>
    <w:rsid w:val="009E53DE"/>
    <w:rsid w:val="00A11212"/>
    <w:rsid w:val="00A11E44"/>
    <w:rsid w:val="00A15562"/>
    <w:rsid w:val="00A30100"/>
    <w:rsid w:val="00A328B3"/>
    <w:rsid w:val="00A46F73"/>
    <w:rsid w:val="00A50FCF"/>
    <w:rsid w:val="00A528D1"/>
    <w:rsid w:val="00A553BB"/>
    <w:rsid w:val="00A610CD"/>
    <w:rsid w:val="00A625AE"/>
    <w:rsid w:val="00A724B1"/>
    <w:rsid w:val="00A758AA"/>
    <w:rsid w:val="00A83201"/>
    <w:rsid w:val="00AA09A2"/>
    <w:rsid w:val="00AA1295"/>
    <w:rsid w:val="00AA4F86"/>
    <w:rsid w:val="00AA7007"/>
    <w:rsid w:val="00AA7996"/>
    <w:rsid w:val="00AB452E"/>
    <w:rsid w:val="00AC19CB"/>
    <w:rsid w:val="00AC425E"/>
    <w:rsid w:val="00AE5488"/>
    <w:rsid w:val="00AE5AAD"/>
    <w:rsid w:val="00AE63D9"/>
    <w:rsid w:val="00AE68D1"/>
    <w:rsid w:val="00AE6F91"/>
    <w:rsid w:val="00AF5571"/>
    <w:rsid w:val="00B04818"/>
    <w:rsid w:val="00B0523A"/>
    <w:rsid w:val="00B07341"/>
    <w:rsid w:val="00B2600B"/>
    <w:rsid w:val="00B30539"/>
    <w:rsid w:val="00B314DB"/>
    <w:rsid w:val="00B361F2"/>
    <w:rsid w:val="00B3718B"/>
    <w:rsid w:val="00B3745F"/>
    <w:rsid w:val="00B45BAD"/>
    <w:rsid w:val="00B4632A"/>
    <w:rsid w:val="00B530F1"/>
    <w:rsid w:val="00B5337E"/>
    <w:rsid w:val="00B62C90"/>
    <w:rsid w:val="00B65EB4"/>
    <w:rsid w:val="00B80721"/>
    <w:rsid w:val="00B830DC"/>
    <w:rsid w:val="00B93D7F"/>
    <w:rsid w:val="00BA276C"/>
    <w:rsid w:val="00BB019D"/>
    <w:rsid w:val="00BB306F"/>
    <w:rsid w:val="00BB4EDC"/>
    <w:rsid w:val="00BB6007"/>
    <w:rsid w:val="00BD01F0"/>
    <w:rsid w:val="00BD0FF5"/>
    <w:rsid w:val="00BD4B89"/>
    <w:rsid w:val="00BD5922"/>
    <w:rsid w:val="00BE36D8"/>
    <w:rsid w:val="00BE5E6F"/>
    <w:rsid w:val="00BF02CB"/>
    <w:rsid w:val="00BF47EB"/>
    <w:rsid w:val="00BF6FD8"/>
    <w:rsid w:val="00C03680"/>
    <w:rsid w:val="00C054DF"/>
    <w:rsid w:val="00C13393"/>
    <w:rsid w:val="00C21762"/>
    <w:rsid w:val="00C21FEF"/>
    <w:rsid w:val="00C23BA4"/>
    <w:rsid w:val="00C24543"/>
    <w:rsid w:val="00C256A2"/>
    <w:rsid w:val="00C25ADB"/>
    <w:rsid w:val="00C41D8A"/>
    <w:rsid w:val="00C47401"/>
    <w:rsid w:val="00C51515"/>
    <w:rsid w:val="00C55E72"/>
    <w:rsid w:val="00C5660B"/>
    <w:rsid w:val="00C66B72"/>
    <w:rsid w:val="00C87AC4"/>
    <w:rsid w:val="00C9567A"/>
    <w:rsid w:val="00CA5EDC"/>
    <w:rsid w:val="00CB212D"/>
    <w:rsid w:val="00CB2310"/>
    <w:rsid w:val="00CB2660"/>
    <w:rsid w:val="00CB602D"/>
    <w:rsid w:val="00CC5E90"/>
    <w:rsid w:val="00CD046C"/>
    <w:rsid w:val="00CE076C"/>
    <w:rsid w:val="00CE5199"/>
    <w:rsid w:val="00CE66D5"/>
    <w:rsid w:val="00CF288C"/>
    <w:rsid w:val="00CF637A"/>
    <w:rsid w:val="00D01AFE"/>
    <w:rsid w:val="00D059DE"/>
    <w:rsid w:val="00D05ABD"/>
    <w:rsid w:val="00D074F4"/>
    <w:rsid w:val="00D13FCE"/>
    <w:rsid w:val="00D25290"/>
    <w:rsid w:val="00D306D1"/>
    <w:rsid w:val="00D30800"/>
    <w:rsid w:val="00D34786"/>
    <w:rsid w:val="00D37BFC"/>
    <w:rsid w:val="00D47A8E"/>
    <w:rsid w:val="00D52D14"/>
    <w:rsid w:val="00D712D3"/>
    <w:rsid w:val="00D71422"/>
    <w:rsid w:val="00D72100"/>
    <w:rsid w:val="00D72DC6"/>
    <w:rsid w:val="00D7558D"/>
    <w:rsid w:val="00D80DE9"/>
    <w:rsid w:val="00D8183B"/>
    <w:rsid w:val="00D81D92"/>
    <w:rsid w:val="00D876F9"/>
    <w:rsid w:val="00D93A22"/>
    <w:rsid w:val="00DA7B5F"/>
    <w:rsid w:val="00DC11E7"/>
    <w:rsid w:val="00DC24E3"/>
    <w:rsid w:val="00DC7023"/>
    <w:rsid w:val="00DC769A"/>
    <w:rsid w:val="00DD3D86"/>
    <w:rsid w:val="00DD4AD2"/>
    <w:rsid w:val="00DE2862"/>
    <w:rsid w:val="00DF1EC4"/>
    <w:rsid w:val="00E02224"/>
    <w:rsid w:val="00E0340B"/>
    <w:rsid w:val="00E04A90"/>
    <w:rsid w:val="00E0551F"/>
    <w:rsid w:val="00E219C7"/>
    <w:rsid w:val="00E269F1"/>
    <w:rsid w:val="00E4118C"/>
    <w:rsid w:val="00E43157"/>
    <w:rsid w:val="00E461CE"/>
    <w:rsid w:val="00E53400"/>
    <w:rsid w:val="00E573E4"/>
    <w:rsid w:val="00E61484"/>
    <w:rsid w:val="00E64C3D"/>
    <w:rsid w:val="00E66DCD"/>
    <w:rsid w:val="00E720CA"/>
    <w:rsid w:val="00E76E06"/>
    <w:rsid w:val="00E800BD"/>
    <w:rsid w:val="00E84EB5"/>
    <w:rsid w:val="00E85662"/>
    <w:rsid w:val="00E8789F"/>
    <w:rsid w:val="00E97B71"/>
    <w:rsid w:val="00EA3D34"/>
    <w:rsid w:val="00EA665E"/>
    <w:rsid w:val="00EB2797"/>
    <w:rsid w:val="00EB454D"/>
    <w:rsid w:val="00ED549D"/>
    <w:rsid w:val="00ED5E10"/>
    <w:rsid w:val="00ED76BE"/>
    <w:rsid w:val="00EE00E9"/>
    <w:rsid w:val="00EE0100"/>
    <w:rsid w:val="00EF1AAA"/>
    <w:rsid w:val="00EF619B"/>
    <w:rsid w:val="00F00B55"/>
    <w:rsid w:val="00F01BCD"/>
    <w:rsid w:val="00F02AD1"/>
    <w:rsid w:val="00F065C0"/>
    <w:rsid w:val="00F253CC"/>
    <w:rsid w:val="00F37106"/>
    <w:rsid w:val="00F44E25"/>
    <w:rsid w:val="00F519CF"/>
    <w:rsid w:val="00F51D72"/>
    <w:rsid w:val="00F56BA5"/>
    <w:rsid w:val="00F56ECB"/>
    <w:rsid w:val="00F60E22"/>
    <w:rsid w:val="00F73A3C"/>
    <w:rsid w:val="00F81395"/>
    <w:rsid w:val="00F81BB8"/>
    <w:rsid w:val="00F90100"/>
    <w:rsid w:val="00F907A4"/>
    <w:rsid w:val="00F90C64"/>
    <w:rsid w:val="00F917D1"/>
    <w:rsid w:val="00F9653B"/>
    <w:rsid w:val="00F967B0"/>
    <w:rsid w:val="00FB28AB"/>
    <w:rsid w:val="00FB62CF"/>
    <w:rsid w:val="00FC083D"/>
    <w:rsid w:val="00FC6CDC"/>
    <w:rsid w:val="00FD3C3B"/>
    <w:rsid w:val="00FE07DD"/>
    <w:rsid w:val="00FE6B45"/>
    <w:rsid w:val="00FF55F3"/>
    <w:rsid w:val="00FF5851"/>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504B6B"/>
    <w:rPr>
      <w:sz w:val="16"/>
      <w:szCs w:val="16"/>
    </w:rPr>
  </w:style>
  <w:style w:type="paragraph" w:styleId="CommentText">
    <w:name w:val="annotation text"/>
    <w:basedOn w:val="Normal"/>
    <w:link w:val="CommentTextChar"/>
    <w:uiPriority w:val="99"/>
    <w:semiHidden/>
    <w:unhideWhenUsed/>
    <w:rsid w:val="00504B6B"/>
    <w:rPr>
      <w:sz w:val="20"/>
      <w:szCs w:val="20"/>
    </w:rPr>
  </w:style>
  <w:style w:type="character" w:customStyle="1" w:styleId="CommentTextChar">
    <w:name w:val="Comment Text Char"/>
    <w:basedOn w:val="DefaultParagraphFont"/>
    <w:link w:val="CommentText"/>
    <w:uiPriority w:val="99"/>
    <w:semiHidden/>
    <w:rsid w:val="00504B6B"/>
    <w:rPr>
      <w:lang w:val="en-US" w:eastAsia="en-US"/>
    </w:rPr>
  </w:style>
  <w:style w:type="paragraph" w:styleId="CommentSubject">
    <w:name w:val="annotation subject"/>
    <w:basedOn w:val="CommentText"/>
    <w:next w:val="CommentText"/>
    <w:link w:val="CommentSubjectChar"/>
    <w:uiPriority w:val="99"/>
    <w:semiHidden/>
    <w:unhideWhenUsed/>
    <w:rsid w:val="00504B6B"/>
    <w:rPr>
      <w:b/>
      <w:bCs/>
    </w:rPr>
  </w:style>
  <w:style w:type="character" w:customStyle="1" w:styleId="CommentSubjectChar">
    <w:name w:val="Comment Subject Char"/>
    <w:basedOn w:val="CommentTextChar"/>
    <w:link w:val="CommentSubject"/>
    <w:uiPriority w:val="99"/>
    <w:semiHidden/>
    <w:rsid w:val="00504B6B"/>
    <w:rPr>
      <w:b/>
      <w:bCs/>
      <w:lang w:val="en-US" w:eastAsia="en-US"/>
    </w:rPr>
  </w:style>
  <w:style w:type="paragraph" w:customStyle="1" w:styleId="paragraph">
    <w:name w:val="paragraph"/>
    <w:basedOn w:val="Normal"/>
    <w:rsid w:val="005E43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E43E2"/>
  </w:style>
  <w:style w:type="character" w:customStyle="1" w:styleId="eop">
    <w:name w:val="eop"/>
    <w:basedOn w:val="DefaultParagraphFont"/>
    <w:rsid w:val="005E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6E9F"/>
    <w:rsid w:val="00192AC8"/>
    <w:rsid w:val="00200821"/>
    <w:rsid w:val="0025189E"/>
    <w:rsid w:val="0025245B"/>
    <w:rsid w:val="002A3923"/>
    <w:rsid w:val="00394049"/>
    <w:rsid w:val="003B0C71"/>
    <w:rsid w:val="004868DF"/>
    <w:rsid w:val="004B5BBB"/>
    <w:rsid w:val="004C4D32"/>
    <w:rsid w:val="004F2DF8"/>
    <w:rsid w:val="00517E2A"/>
    <w:rsid w:val="0063288B"/>
    <w:rsid w:val="006D3128"/>
    <w:rsid w:val="006F24A1"/>
    <w:rsid w:val="0072708A"/>
    <w:rsid w:val="00761C02"/>
    <w:rsid w:val="00875B8A"/>
    <w:rsid w:val="008953BC"/>
    <w:rsid w:val="009A261B"/>
    <w:rsid w:val="00AA2E17"/>
    <w:rsid w:val="00AC15A4"/>
    <w:rsid w:val="00B0336C"/>
    <w:rsid w:val="00C05464"/>
    <w:rsid w:val="00D241E9"/>
    <w:rsid w:val="00D7750D"/>
    <w:rsid w:val="00D972A8"/>
    <w:rsid w:val="00ED7830"/>
    <w:rsid w:val="00F00D2F"/>
    <w:rsid w:val="00F128DF"/>
    <w:rsid w:val="00F356F1"/>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4F77-DD67-4516-B058-FF770456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2144</Words>
  <Characters>12226</Characters>
  <Application>Microsoft Office Word</Application>
  <DocSecurity>0</DocSecurity>
  <Lines>101</Lines>
  <Paragraphs>28</Paragraphs>
  <ScaleCrop>false</ScaleCrop>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2023-09-11T19:07:00Z</dcterms:created>
  <dcterms:modified xsi:type="dcterms:W3CDTF">2023-09-11T19:07:00Z</dcterms:modified>
</cp:coreProperties>
</file>