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8B270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2911CC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7795">
                              <w:rPr>
                                <w:rFonts w:asciiTheme="majorHAnsi" w:hAnsiTheme="majorHAnsi" w:cs="Arial"/>
                                <w:b/>
                                <w:bCs/>
                                <w:color w:val="0D0D0D" w:themeColor="text1" w:themeTint="F2"/>
                                <w:sz w:val="36"/>
                                <w:szCs w:val="22"/>
                                <w:lang w:val="es-ES_tradnl"/>
                              </w:rPr>
                              <w:t>90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14E306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0966">
                              <w:rPr>
                                <w:rFonts w:asciiTheme="majorHAnsi" w:hAnsiTheme="majorHAnsi" w:cs="Arial"/>
                                <w:b/>
                                <w:color w:val="0D0D0D" w:themeColor="text1" w:themeTint="F2"/>
                                <w:sz w:val="36"/>
                                <w:szCs w:val="22"/>
                                <w:lang w:val="es-ES_tradnl"/>
                              </w:rPr>
                              <w:t>2542</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095E68A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612A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0D108882" w:rsidR="005B52B0" w:rsidRPr="0010736F" w:rsidRDefault="00CC09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 JAIME SALAZAR GONZÁLEZ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2911CC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7795">
                        <w:rPr>
                          <w:rFonts w:asciiTheme="majorHAnsi" w:hAnsiTheme="majorHAnsi" w:cs="Arial"/>
                          <w:b/>
                          <w:bCs/>
                          <w:color w:val="0D0D0D" w:themeColor="text1" w:themeTint="F2"/>
                          <w:sz w:val="36"/>
                          <w:szCs w:val="22"/>
                          <w:lang w:val="es-ES_tradnl"/>
                        </w:rPr>
                        <w:t>90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785B6C">
                        <w:rPr>
                          <w:rFonts w:asciiTheme="majorHAnsi" w:hAnsiTheme="majorHAnsi" w:cs="Arial"/>
                          <w:b/>
                          <w:bCs/>
                          <w:color w:val="0D0D0D" w:themeColor="text1" w:themeTint="F2"/>
                          <w:sz w:val="36"/>
                          <w:szCs w:val="22"/>
                          <w:lang w:val="es-ES_tradnl"/>
                        </w:rPr>
                        <w:t>3</w:t>
                      </w:r>
                    </w:p>
                    <w:p w14:paraId="45F30ECA" w14:textId="514E306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C0966">
                        <w:rPr>
                          <w:rFonts w:asciiTheme="majorHAnsi" w:hAnsiTheme="majorHAnsi" w:cs="Arial"/>
                          <w:b/>
                          <w:color w:val="0D0D0D" w:themeColor="text1" w:themeTint="F2"/>
                          <w:sz w:val="36"/>
                          <w:szCs w:val="22"/>
                          <w:lang w:val="es-ES_tradnl"/>
                        </w:rPr>
                        <w:t>2542</w:t>
                      </w:r>
                      <w:r w:rsidR="001D21C7">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095E68A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3612A4">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0D108882" w:rsidR="005B52B0" w:rsidRPr="0010736F" w:rsidRDefault="00CC096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JHON JAIME SALAZAR GONZÁLEZ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AC03B24" w:rsidR="00627C9F" w:rsidRPr="00E20BD0" w:rsidRDefault="00834D49" w:rsidP="007A5817">
                            <w:pPr>
                              <w:spacing w:line="276" w:lineRule="auto"/>
                              <w:jc w:val="right"/>
                              <w:rPr>
                                <w:rFonts w:asciiTheme="minorHAnsi" w:hAnsiTheme="minorHAnsi"/>
                                <w:color w:val="FFFFFF" w:themeColor="background1"/>
                                <w:sz w:val="22"/>
                                <w:lang w:val="es-AR"/>
                              </w:rPr>
                            </w:pPr>
                            <w:r w:rsidRPr="00E20BD0">
                              <w:rPr>
                                <w:rFonts w:asciiTheme="minorHAnsi" w:hAnsiTheme="minorHAnsi"/>
                                <w:color w:val="FFFFFF" w:themeColor="background1"/>
                                <w:sz w:val="22"/>
                                <w:lang w:val="es-AR"/>
                              </w:rPr>
                              <w:t>OEA/Ser.L/V/II</w:t>
                            </w:r>
                          </w:p>
                          <w:p w14:paraId="71D2D5D2" w14:textId="6E9D185C" w:rsidR="00627C9F" w:rsidRPr="00E20BD0" w:rsidRDefault="00627C9F" w:rsidP="007A5817">
                            <w:pPr>
                              <w:spacing w:line="276" w:lineRule="auto"/>
                              <w:jc w:val="right"/>
                              <w:rPr>
                                <w:rFonts w:asciiTheme="minorHAnsi" w:hAnsiTheme="minorHAnsi"/>
                                <w:color w:val="FFFFFF" w:themeColor="background1"/>
                                <w:sz w:val="22"/>
                                <w:lang w:val="es-AR"/>
                              </w:rPr>
                            </w:pPr>
                            <w:r w:rsidRPr="00E20BD0">
                              <w:rPr>
                                <w:rFonts w:asciiTheme="minorHAnsi" w:hAnsiTheme="minorHAnsi"/>
                                <w:color w:val="FFFFFF" w:themeColor="background1"/>
                                <w:sz w:val="22"/>
                                <w:lang w:val="es-AR"/>
                              </w:rPr>
                              <w:t xml:space="preserve">Doc. </w:t>
                            </w:r>
                            <w:r w:rsidR="00F9610A" w:rsidRPr="00E20BD0">
                              <w:rPr>
                                <w:rFonts w:asciiTheme="minorHAnsi" w:hAnsiTheme="minorHAnsi"/>
                                <w:color w:val="FFFFFF" w:themeColor="background1"/>
                                <w:sz w:val="22"/>
                                <w:lang w:val="es-AR"/>
                              </w:rPr>
                              <w:t>100</w:t>
                            </w:r>
                          </w:p>
                          <w:p w14:paraId="4061DBBD" w14:textId="410501C2" w:rsidR="00627C9F" w:rsidRPr="00C25ADB" w:rsidRDefault="00F9610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2AC03B24" w:rsidR="00627C9F" w:rsidRPr="00E20BD0" w:rsidRDefault="00834D49" w:rsidP="007A5817">
                      <w:pPr>
                        <w:spacing w:line="276" w:lineRule="auto"/>
                        <w:jc w:val="right"/>
                        <w:rPr>
                          <w:rFonts w:asciiTheme="minorHAnsi" w:hAnsiTheme="minorHAnsi"/>
                          <w:color w:val="FFFFFF" w:themeColor="background1"/>
                          <w:sz w:val="22"/>
                          <w:lang w:val="es-AR"/>
                        </w:rPr>
                      </w:pPr>
                      <w:r w:rsidRPr="00E20BD0">
                        <w:rPr>
                          <w:rFonts w:asciiTheme="minorHAnsi" w:hAnsiTheme="minorHAnsi"/>
                          <w:color w:val="FFFFFF" w:themeColor="background1"/>
                          <w:sz w:val="22"/>
                          <w:lang w:val="es-AR"/>
                        </w:rPr>
                        <w:t>OEA/Ser.L/V/II</w:t>
                      </w:r>
                    </w:p>
                    <w:p w14:paraId="71D2D5D2" w14:textId="6E9D185C" w:rsidR="00627C9F" w:rsidRPr="00E20BD0" w:rsidRDefault="00627C9F" w:rsidP="007A5817">
                      <w:pPr>
                        <w:spacing w:line="276" w:lineRule="auto"/>
                        <w:jc w:val="right"/>
                        <w:rPr>
                          <w:rFonts w:asciiTheme="minorHAnsi" w:hAnsiTheme="minorHAnsi"/>
                          <w:color w:val="FFFFFF" w:themeColor="background1"/>
                          <w:sz w:val="22"/>
                          <w:lang w:val="es-AR"/>
                        </w:rPr>
                      </w:pPr>
                      <w:r w:rsidRPr="00E20BD0">
                        <w:rPr>
                          <w:rFonts w:asciiTheme="minorHAnsi" w:hAnsiTheme="minorHAnsi"/>
                          <w:color w:val="FFFFFF" w:themeColor="background1"/>
                          <w:sz w:val="22"/>
                          <w:lang w:val="es-AR"/>
                        </w:rPr>
                        <w:t xml:space="preserve">Doc. </w:t>
                      </w:r>
                      <w:r w:rsidR="00F9610A" w:rsidRPr="00E20BD0">
                        <w:rPr>
                          <w:rFonts w:asciiTheme="minorHAnsi" w:hAnsiTheme="minorHAnsi"/>
                          <w:color w:val="FFFFFF" w:themeColor="background1"/>
                          <w:sz w:val="22"/>
                          <w:lang w:val="es-AR"/>
                        </w:rPr>
                        <w:t>100</w:t>
                      </w:r>
                    </w:p>
                    <w:p w14:paraId="4061DBBD" w14:textId="410501C2" w:rsidR="00627C9F" w:rsidRPr="00C25ADB" w:rsidRDefault="00F9610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785B6C">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EBD4DA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9610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9610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F9610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EBD4DA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9610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F9610A">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785B6C">
                        <w:rPr>
                          <w:rFonts w:asciiTheme="majorHAnsi" w:hAnsiTheme="majorHAnsi"/>
                          <w:color w:val="0D0D0D" w:themeColor="text1" w:themeTint="F2"/>
                          <w:sz w:val="18"/>
                          <w:szCs w:val="22"/>
                          <w:lang w:val="es-ES"/>
                        </w:rPr>
                        <w:t>3</w:t>
                      </w:r>
                      <w:r w:rsidR="00F9610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4DA23" w14:textId="77777777" w:rsidR="0096162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61621" w:rsidRPr="00961621">
                              <w:rPr>
                                <w:rFonts w:asciiTheme="majorHAnsi" w:hAnsiTheme="majorHAnsi"/>
                                <w:color w:val="595959" w:themeColor="text1" w:themeTint="A6"/>
                                <w:sz w:val="18"/>
                                <w:szCs w:val="18"/>
                                <w:lang w:val="pt-BR"/>
                              </w:rPr>
                              <w:t>90</w:t>
                            </w:r>
                            <w:r w:rsidR="007B05C4" w:rsidRPr="00961621">
                              <w:rPr>
                                <w:rFonts w:asciiTheme="majorHAnsi" w:hAnsiTheme="majorHAnsi"/>
                                <w:color w:val="595959" w:themeColor="text1" w:themeTint="A6"/>
                                <w:sz w:val="18"/>
                                <w:szCs w:val="18"/>
                                <w:lang w:val="pt-BR"/>
                              </w:rPr>
                              <w:t>/</w:t>
                            </w:r>
                            <w:r w:rsidR="00961621" w:rsidRPr="00961621">
                              <w:rPr>
                                <w:rFonts w:asciiTheme="majorHAnsi" w:hAnsiTheme="majorHAnsi"/>
                                <w:color w:val="595959" w:themeColor="text1" w:themeTint="A6"/>
                                <w:sz w:val="18"/>
                                <w:szCs w:val="18"/>
                                <w:lang w:val="pt-BR"/>
                              </w:rPr>
                              <w:t>23</w:t>
                            </w:r>
                            <w:r w:rsidRPr="0096162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C0966">
                              <w:rPr>
                                <w:rFonts w:asciiTheme="majorHAnsi" w:hAnsiTheme="majorHAnsi"/>
                                <w:color w:val="595959" w:themeColor="text1" w:themeTint="A6"/>
                                <w:sz w:val="18"/>
                                <w:szCs w:val="18"/>
                                <w:lang w:val="es-ES"/>
                              </w:rPr>
                              <w:t>2542</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3612A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26F764F3" w:rsidR="00113F73" w:rsidRPr="007B05C4" w:rsidRDefault="00CC096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Jhon Jaime Salazar González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61621">
                              <w:rPr>
                                <w:rFonts w:asciiTheme="majorHAnsi" w:hAnsiTheme="majorHAnsi"/>
                                <w:color w:val="595959" w:themeColor="text1" w:themeTint="A6"/>
                                <w:sz w:val="18"/>
                                <w:szCs w:val="18"/>
                                <w:lang w:val="es-ES"/>
                              </w:rPr>
                              <w:t>9 de junio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754DA23" w14:textId="77777777" w:rsidR="0096162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61621" w:rsidRPr="00961621">
                        <w:rPr>
                          <w:rFonts w:asciiTheme="majorHAnsi" w:hAnsiTheme="majorHAnsi"/>
                          <w:color w:val="595959" w:themeColor="text1" w:themeTint="A6"/>
                          <w:sz w:val="18"/>
                          <w:szCs w:val="18"/>
                          <w:lang w:val="pt-BR"/>
                        </w:rPr>
                        <w:t>90</w:t>
                      </w:r>
                      <w:r w:rsidR="007B05C4" w:rsidRPr="00961621">
                        <w:rPr>
                          <w:rFonts w:asciiTheme="majorHAnsi" w:hAnsiTheme="majorHAnsi"/>
                          <w:color w:val="595959" w:themeColor="text1" w:themeTint="A6"/>
                          <w:sz w:val="18"/>
                          <w:szCs w:val="18"/>
                          <w:lang w:val="pt-BR"/>
                        </w:rPr>
                        <w:t>/</w:t>
                      </w:r>
                      <w:r w:rsidR="00961621" w:rsidRPr="00961621">
                        <w:rPr>
                          <w:rFonts w:asciiTheme="majorHAnsi" w:hAnsiTheme="majorHAnsi"/>
                          <w:color w:val="595959" w:themeColor="text1" w:themeTint="A6"/>
                          <w:sz w:val="18"/>
                          <w:szCs w:val="18"/>
                          <w:lang w:val="pt-BR"/>
                        </w:rPr>
                        <w:t>23</w:t>
                      </w:r>
                      <w:r w:rsidRPr="0096162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CC0966">
                        <w:rPr>
                          <w:rFonts w:asciiTheme="majorHAnsi" w:hAnsiTheme="majorHAnsi"/>
                          <w:color w:val="595959" w:themeColor="text1" w:themeTint="A6"/>
                          <w:sz w:val="18"/>
                          <w:szCs w:val="18"/>
                          <w:lang w:val="es-ES"/>
                        </w:rPr>
                        <w:t>2542</w:t>
                      </w:r>
                      <w:r w:rsidR="001D21C7">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3612A4">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26F764F3" w:rsidR="00113F73" w:rsidRPr="007B05C4" w:rsidRDefault="00CC096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Jhon Jaime Salazar González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61621">
                        <w:rPr>
                          <w:rFonts w:asciiTheme="majorHAnsi" w:hAnsiTheme="majorHAnsi"/>
                          <w:color w:val="595959" w:themeColor="text1" w:themeTint="A6"/>
                          <w:sz w:val="18"/>
                          <w:szCs w:val="18"/>
                          <w:lang w:val="es-ES"/>
                        </w:rPr>
                        <w:t>9 de junio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F7131D5" w:rsidR="00D72DC6" w:rsidRPr="00D72DC6" w:rsidRDefault="00961621" w:rsidP="00F02AD1">
                            <w:pPr>
                              <w:rPr>
                                <w:color w:val="FFFFFF" w:themeColor="background1"/>
                                <w14:textFill>
                                  <w14:noFill/>
                                </w14:textFill>
                              </w:rPr>
                            </w:pPr>
                            <w:r>
                              <w:rPr>
                                <w:noProof/>
                                <w:color w:val="FFFFFF" w:themeColor="background1"/>
                              </w:rPr>
                              <w:drawing>
                                <wp:inline distT="0" distB="0" distL="0" distR="0" wp14:anchorId="049166B0" wp14:editId="591D2B2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F7131D5" w:rsidR="00D72DC6" w:rsidRPr="00D72DC6" w:rsidRDefault="00961621" w:rsidP="00F02AD1">
                      <w:pPr>
                        <w:rPr>
                          <w:color w:val="FFFFFF" w:themeColor="background1"/>
                          <w14:textFill>
                            <w14:noFill/>
                          </w14:textFill>
                        </w:rPr>
                      </w:pPr>
                      <w:r>
                        <w:rPr>
                          <w:noProof/>
                          <w:color w:val="FFFFFF" w:themeColor="background1"/>
                        </w:rPr>
                        <w:drawing>
                          <wp:inline distT="0" distB="0" distL="0" distR="0" wp14:anchorId="049166B0" wp14:editId="591D2B2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1075B">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1075B" w:rsidRDefault="004A6A54" w:rsidP="005516A1">
      <w:pPr>
        <w:tabs>
          <w:tab w:val="center" w:pos="5400"/>
        </w:tabs>
        <w:suppressAutoHyphens/>
        <w:jc w:val="center"/>
        <w:rPr>
          <w:rFonts w:asciiTheme="majorHAnsi" w:hAnsiTheme="majorHAnsi"/>
          <w:b/>
          <w:sz w:val="20"/>
          <w:lang w:val="es-419"/>
        </w:rPr>
        <w:sectPr w:rsidR="0070697F" w:rsidRPr="0011075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92AF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4E433AE8" w:rsidR="003239B8" w:rsidRPr="0011075B" w:rsidRDefault="00CC0966" w:rsidP="008D2290">
            <w:pPr>
              <w:jc w:val="both"/>
              <w:rPr>
                <w:rFonts w:ascii="Cambria" w:hAnsi="Cambria"/>
                <w:bCs/>
                <w:sz w:val="20"/>
                <w:szCs w:val="20"/>
                <w:lang w:val="es-419"/>
              </w:rPr>
            </w:pPr>
            <w:r>
              <w:rPr>
                <w:rFonts w:ascii="Cambria" w:hAnsi="Cambria"/>
                <w:sz w:val="20"/>
                <w:szCs w:val="20"/>
                <w:lang w:val="es-ES"/>
              </w:rPr>
              <w:t>Carlos Arturo León Ardila</w:t>
            </w:r>
          </w:p>
        </w:tc>
      </w:tr>
      <w:tr w:rsidR="003239B8" w:rsidRPr="00E20BD0"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0F7653"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0AD2F7CF" w:rsidR="001D21C7" w:rsidRPr="00AC56F7" w:rsidRDefault="00CC0966" w:rsidP="00792AF9">
            <w:pPr>
              <w:jc w:val="both"/>
              <w:rPr>
                <w:rFonts w:ascii="Cambria" w:hAnsi="Cambria"/>
                <w:bCs/>
                <w:sz w:val="20"/>
                <w:szCs w:val="20"/>
                <w:lang w:val="es-419"/>
              </w:rPr>
            </w:pPr>
            <w:r>
              <w:rPr>
                <w:rFonts w:ascii="Cambria" w:hAnsi="Cambria"/>
                <w:bCs/>
                <w:sz w:val="20"/>
                <w:szCs w:val="20"/>
                <w:lang w:val="es-ES"/>
              </w:rPr>
              <w:t>Jhon Jaime Salazar González y familiares</w:t>
            </w:r>
            <w:r w:rsidR="00AC56F7" w:rsidRPr="00AC56F7">
              <w:rPr>
                <w:rFonts w:ascii="Cambria" w:hAnsi="Cambria"/>
                <w:bCs/>
                <w:sz w:val="20"/>
                <w:szCs w:val="20"/>
                <w:vertAlign w:val="superscript"/>
                <w:lang w:val="es-419"/>
              </w:rPr>
              <w:footnoteReference w:id="2"/>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E20BD0"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2AF995D0" w:rsidR="00223A29" w:rsidRPr="0011075B" w:rsidRDefault="00A34797" w:rsidP="00AC56F7">
            <w:pPr>
              <w:jc w:val="both"/>
              <w:rPr>
                <w:rFonts w:ascii="Cambria" w:hAnsi="Cambria"/>
                <w:bCs/>
                <w:sz w:val="20"/>
                <w:szCs w:val="20"/>
                <w:lang w:val="es-419"/>
              </w:rPr>
            </w:pPr>
            <w:r w:rsidRPr="0011075B">
              <w:rPr>
                <w:rFonts w:ascii="Cambria" w:hAnsi="Cambria"/>
                <w:bCs/>
                <w:sz w:val="20"/>
                <w:szCs w:val="20"/>
                <w:lang w:val="es-419" w:bidi="es-ES"/>
              </w:rPr>
              <w:t>Artículos</w:t>
            </w:r>
            <w:r w:rsidR="00D60CFC">
              <w:rPr>
                <w:rFonts w:ascii="Cambria" w:hAnsi="Cambria"/>
                <w:bCs/>
                <w:sz w:val="20"/>
                <w:szCs w:val="20"/>
                <w:lang w:val="es-419" w:bidi="es-ES"/>
              </w:rPr>
              <w:t xml:space="preserve"> 5 (integridad personal), 7 (libertad personal), 8 (garantías judiciales) y 21 (propiedad) de la Convención Americana sobre Derechos Humanos</w:t>
            </w:r>
            <w:r w:rsidR="00D60CFC" w:rsidRPr="00D60CFC">
              <w:rPr>
                <w:rFonts w:ascii="Cambria" w:hAnsi="Cambria"/>
                <w:bCs/>
                <w:sz w:val="20"/>
                <w:szCs w:val="20"/>
                <w:vertAlign w:val="superscript"/>
                <w:lang w:val="es-419" w:bidi="es-ES"/>
              </w:rPr>
              <w:footnoteReference w:id="4"/>
            </w:r>
            <w:r w:rsidR="00D60CFC">
              <w:rPr>
                <w:rFonts w:ascii="Cambria" w:hAnsi="Cambria"/>
                <w:bCs/>
                <w:sz w:val="20"/>
                <w:szCs w:val="20"/>
                <w:lang w:val="es-419" w:bidi="es-ES"/>
              </w:rPr>
              <w:t>; artículos I (vida, libertad, seguridad e integridad), XI (salud y bienestar)</w:t>
            </w:r>
            <w:r w:rsidR="00AC56F7">
              <w:rPr>
                <w:rFonts w:ascii="Cambria" w:hAnsi="Cambria"/>
                <w:bCs/>
                <w:sz w:val="20"/>
                <w:szCs w:val="20"/>
                <w:lang w:val="es-419" w:bidi="es-ES"/>
              </w:rPr>
              <w:t>, VIII (residencia y tránsito), XVIII (justicia) de la Declaración Americana de los Derechos y Deberes del Hombre</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92AF9"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1AFF6197" w:rsidR="00792AF9" w:rsidRPr="0011075B" w:rsidRDefault="00CC0966" w:rsidP="00792AF9">
            <w:pPr>
              <w:jc w:val="both"/>
              <w:rPr>
                <w:rFonts w:ascii="Cambria" w:hAnsi="Cambria"/>
                <w:bCs/>
                <w:sz w:val="20"/>
                <w:szCs w:val="20"/>
                <w:lang w:val="es-419"/>
              </w:rPr>
            </w:pPr>
            <w:r>
              <w:rPr>
                <w:rFonts w:ascii="Cambria" w:hAnsi="Cambria"/>
                <w:bCs/>
                <w:sz w:val="20"/>
                <w:szCs w:val="20"/>
                <w:lang w:val="es-419"/>
              </w:rPr>
              <w:t>13 de agosto de 2012</w:t>
            </w:r>
          </w:p>
        </w:tc>
      </w:tr>
      <w:tr w:rsidR="00792AF9" w:rsidRPr="0011075B"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1E15289F" w:rsidR="00792AF9" w:rsidRPr="0011075B" w:rsidRDefault="00CC0966" w:rsidP="00792AF9">
            <w:pPr>
              <w:jc w:val="both"/>
              <w:rPr>
                <w:rFonts w:ascii="Cambria" w:hAnsi="Cambria"/>
                <w:bCs/>
                <w:sz w:val="20"/>
                <w:szCs w:val="20"/>
                <w:lang w:val="es-419"/>
              </w:rPr>
            </w:pPr>
            <w:r>
              <w:rPr>
                <w:rFonts w:ascii="Cambria" w:hAnsi="Cambria"/>
                <w:bCs/>
                <w:sz w:val="20"/>
                <w:szCs w:val="20"/>
                <w:lang w:val="es-419"/>
              </w:rPr>
              <w:t>11 de agosto de 2020</w:t>
            </w:r>
          </w:p>
        </w:tc>
      </w:tr>
      <w:tr w:rsidR="00792AF9" w:rsidRPr="0011075B"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3D0CF4EA" w:rsidR="00792AF9" w:rsidRPr="0011075B" w:rsidRDefault="00CC0966" w:rsidP="00792AF9">
            <w:pPr>
              <w:jc w:val="both"/>
              <w:rPr>
                <w:rFonts w:ascii="Cambria" w:hAnsi="Cambria"/>
                <w:bCs/>
                <w:sz w:val="20"/>
                <w:szCs w:val="20"/>
                <w:lang w:val="es-419"/>
              </w:rPr>
            </w:pPr>
            <w:r>
              <w:rPr>
                <w:rFonts w:ascii="Cambria" w:hAnsi="Cambria"/>
                <w:bCs/>
                <w:sz w:val="20"/>
                <w:szCs w:val="20"/>
                <w:lang w:val="es-419"/>
              </w:rPr>
              <w:t>16 de agosto de 2022</w:t>
            </w:r>
          </w:p>
        </w:tc>
      </w:tr>
      <w:tr w:rsidR="00D7504E" w:rsidRPr="0011075B" w14:paraId="564885B9" w14:textId="77777777" w:rsidTr="004A6A54">
        <w:tc>
          <w:tcPr>
            <w:tcW w:w="3600" w:type="dxa"/>
            <w:tcBorders>
              <w:top w:val="single" w:sz="6" w:space="0" w:color="auto"/>
              <w:bottom w:val="single" w:sz="6" w:space="0" w:color="auto"/>
            </w:tcBorders>
            <w:shd w:val="clear" w:color="auto" w:fill="386294"/>
            <w:vAlign w:val="center"/>
          </w:tcPr>
          <w:p w14:paraId="687A106B" w14:textId="6FEAC49F" w:rsidR="00D7504E" w:rsidRPr="0011075B" w:rsidRDefault="00D7504E" w:rsidP="00792AF9">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2DD4C2F9" w14:textId="756A7C3C" w:rsidR="00D7504E" w:rsidRDefault="00D7504E" w:rsidP="00792AF9">
            <w:pPr>
              <w:jc w:val="both"/>
              <w:rPr>
                <w:rFonts w:ascii="Cambria" w:hAnsi="Cambria"/>
                <w:bCs/>
                <w:sz w:val="20"/>
                <w:szCs w:val="20"/>
                <w:lang w:val="es-419"/>
              </w:rPr>
            </w:pPr>
          </w:p>
        </w:tc>
      </w:tr>
      <w:tr w:rsidR="00792AF9" w:rsidRPr="0011075B"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792AF9" w:rsidRPr="0011075B" w:rsidRDefault="00792AF9" w:rsidP="00792AF9">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6B47064C" w14:textId="3E987A96" w:rsidR="00792AF9" w:rsidRPr="0011075B" w:rsidRDefault="00CC0966" w:rsidP="00792AF9">
            <w:pPr>
              <w:jc w:val="both"/>
              <w:rPr>
                <w:rFonts w:ascii="Cambria" w:hAnsi="Cambria"/>
                <w:bCs/>
                <w:sz w:val="20"/>
                <w:szCs w:val="20"/>
                <w:lang w:val="es-419"/>
              </w:rPr>
            </w:pPr>
            <w:r>
              <w:rPr>
                <w:rFonts w:ascii="Cambria" w:hAnsi="Cambria"/>
                <w:bCs/>
                <w:sz w:val="20"/>
                <w:szCs w:val="20"/>
                <w:lang w:val="es-419"/>
              </w:rPr>
              <w:t>23 de diciembre de 2022</w:t>
            </w:r>
          </w:p>
        </w:tc>
      </w:tr>
      <w:tr w:rsidR="00CC0966" w:rsidRPr="00CC0966" w14:paraId="47E93A26" w14:textId="77777777" w:rsidTr="004A6A54">
        <w:tc>
          <w:tcPr>
            <w:tcW w:w="3600" w:type="dxa"/>
            <w:tcBorders>
              <w:top w:val="single" w:sz="6" w:space="0" w:color="auto"/>
              <w:bottom w:val="single" w:sz="6" w:space="0" w:color="auto"/>
            </w:tcBorders>
            <w:shd w:val="clear" w:color="auto" w:fill="386294"/>
            <w:vAlign w:val="center"/>
          </w:tcPr>
          <w:p w14:paraId="73583A83" w14:textId="31FE9426" w:rsidR="00CC0966" w:rsidRPr="0011075B" w:rsidRDefault="00CC0966" w:rsidP="00792AF9">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Observaciones adicionales de la parte peticionaria:</w:t>
            </w:r>
          </w:p>
        </w:tc>
        <w:tc>
          <w:tcPr>
            <w:tcW w:w="5760" w:type="dxa"/>
            <w:vAlign w:val="center"/>
          </w:tcPr>
          <w:p w14:paraId="1AC9B9CA" w14:textId="5B05B982" w:rsidR="00CC0966" w:rsidRDefault="00CC0966" w:rsidP="00792AF9">
            <w:pPr>
              <w:jc w:val="both"/>
              <w:rPr>
                <w:rFonts w:ascii="Cambria" w:hAnsi="Cambria"/>
                <w:bCs/>
                <w:sz w:val="20"/>
                <w:szCs w:val="20"/>
                <w:lang w:val="es-419"/>
              </w:rPr>
            </w:pPr>
            <w:r>
              <w:rPr>
                <w:rFonts w:ascii="Cambria" w:hAnsi="Cambria"/>
                <w:bCs/>
                <w:sz w:val="20"/>
                <w:szCs w:val="20"/>
                <w:lang w:val="es-419"/>
              </w:rPr>
              <w:t>8 de febrero de 2023</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C416BC">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C416BC">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C416BC">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E20BD0" w14:paraId="34C2A0A9" w14:textId="77777777" w:rsidTr="00C416BC">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61B00333" w:rsidR="003239B8" w:rsidRPr="0011075B" w:rsidRDefault="00A004BB" w:rsidP="008D2290">
            <w:pPr>
              <w:jc w:val="both"/>
              <w:rPr>
                <w:rFonts w:ascii="Cambria" w:hAnsi="Cambria"/>
                <w:bCs/>
                <w:sz w:val="20"/>
                <w:szCs w:val="20"/>
                <w:lang w:val="es-419"/>
              </w:rPr>
            </w:pPr>
            <w:r w:rsidRPr="0011075B">
              <w:rPr>
                <w:rFonts w:ascii="Cambria" w:hAnsi="Cambria"/>
                <w:bCs/>
                <w:sz w:val="20"/>
                <w:szCs w:val="20"/>
                <w:lang w:val="es-419" w:bidi="es-ES"/>
              </w:rPr>
              <w:t>Sí, Convención Americana (depósito de instrumento realizado el 31 de julio de 1973)</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11075B" w14:paraId="161C8568" w14:textId="77777777" w:rsidTr="00C416BC">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3"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CC0966" w14:paraId="3ED57BF3" w14:textId="77777777" w:rsidTr="00C416BC">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3" w:type="dxa"/>
            <w:vAlign w:val="center"/>
          </w:tcPr>
          <w:p w14:paraId="4DAE9D4D" w14:textId="309B724C" w:rsidR="0026174C" w:rsidRPr="0011075B" w:rsidRDefault="003612A4" w:rsidP="004612A5">
            <w:pPr>
              <w:jc w:val="both"/>
              <w:rPr>
                <w:rFonts w:ascii="Cambria" w:hAnsi="Cambria"/>
                <w:bCs/>
                <w:sz w:val="20"/>
                <w:szCs w:val="20"/>
                <w:lang w:val="es-419"/>
              </w:rPr>
            </w:pPr>
            <w:r>
              <w:rPr>
                <w:rFonts w:ascii="Cambria" w:hAnsi="Cambria"/>
                <w:bCs/>
                <w:sz w:val="20"/>
                <w:szCs w:val="20"/>
                <w:lang w:val="es-419"/>
              </w:rPr>
              <w:t>Ninguno</w:t>
            </w:r>
            <w:r w:rsidR="0026174C" w:rsidRPr="004612A5">
              <w:rPr>
                <w:rFonts w:ascii="Cambria" w:hAnsi="Cambria"/>
                <w:bCs/>
                <w:sz w:val="20"/>
                <w:szCs w:val="20"/>
                <w:lang w:val="es-419"/>
              </w:rPr>
              <w:t xml:space="preserve"> </w:t>
            </w:r>
          </w:p>
        </w:tc>
      </w:tr>
      <w:tr w:rsidR="003239B8" w:rsidRPr="00E20BD0" w14:paraId="5702249F" w14:textId="77777777" w:rsidTr="00C416BC">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3" w:type="dxa"/>
            <w:vAlign w:val="center"/>
          </w:tcPr>
          <w:p w14:paraId="7F7C1A19" w14:textId="25B006CA" w:rsidR="003239B8" w:rsidRPr="004612A5" w:rsidRDefault="003612A4" w:rsidP="008D2290">
            <w:pPr>
              <w:rPr>
                <w:rFonts w:ascii="Cambria" w:hAnsi="Cambria"/>
                <w:bCs/>
                <w:sz w:val="20"/>
                <w:szCs w:val="20"/>
                <w:lang w:val="es-419"/>
              </w:rPr>
            </w:pPr>
            <w:r>
              <w:rPr>
                <w:rFonts w:ascii="Cambria" w:hAnsi="Cambria"/>
                <w:bCs/>
                <w:sz w:val="20"/>
                <w:szCs w:val="20"/>
                <w:lang w:val="es-419" w:bidi="es-ES"/>
              </w:rPr>
              <w:t>No</w:t>
            </w:r>
            <w:r w:rsidR="0026174C" w:rsidRPr="004612A5">
              <w:rPr>
                <w:rFonts w:ascii="Cambria" w:hAnsi="Cambria"/>
                <w:bCs/>
                <w:sz w:val="20"/>
                <w:szCs w:val="20"/>
                <w:lang w:val="es-419" w:bidi="es-ES"/>
              </w:rPr>
              <w:t>, en los términos de la Sección VI</w:t>
            </w:r>
          </w:p>
        </w:tc>
      </w:tr>
      <w:tr w:rsidR="003239B8" w:rsidRPr="00E20BD0" w14:paraId="7A101B89" w14:textId="77777777" w:rsidTr="00C416BC">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3" w:type="dxa"/>
            <w:vAlign w:val="center"/>
          </w:tcPr>
          <w:p w14:paraId="2AF0FC69" w14:textId="6A174E4B" w:rsidR="003239B8" w:rsidRPr="004612A5" w:rsidRDefault="003612A4" w:rsidP="008D2290">
            <w:pPr>
              <w:rPr>
                <w:rFonts w:ascii="Cambria" w:hAnsi="Cambria"/>
                <w:bCs/>
                <w:sz w:val="20"/>
                <w:szCs w:val="20"/>
                <w:lang w:val="es-419"/>
              </w:rPr>
            </w:pPr>
            <w:r>
              <w:rPr>
                <w:rFonts w:ascii="Cambria" w:hAnsi="Cambria"/>
                <w:bCs/>
                <w:sz w:val="20"/>
                <w:szCs w:val="20"/>
                <w:lang w:val="es-419" w:bidi="es-ES"/>
              </w:rPr>
              <w:t>No</w:t>
            </w:r>
            <w:r w:rsidR="00A004BB" w:rsidRPr="004612A5">
              <w:rPr>
                <w:rFonts w:ascii="Cambria" w:hAnsi="Cambria"/>
                <w:bCs/>
                <w:sz w:val="20"/>
                <w:szCs w:val="20"/>
                <w:lang w:val="es-419" w:bidi="es-ES"/>
              </w:rPr>
              <w:t xml:space="preserve">, en los términos de la </w:t>
            </w:r>
            <w:r w:rsidR="0026174C" w:rsidRPr="004612A5">
              <w:rPr>
                <w:rFonts w:ascii="Cambria" w:hAnsi="Cambria"/>
                <w:bCs/>
                <w:sz w:val="20"/>
                <w:szCs w:val="20"/>
                <w:lang w:val="es-419" w:bidi="es-ES"/>
              </w:rPr>
              <w:t>S</w:t>
            </w:r>
            <w:r w:rsidR="00A004BB" w:rsidRPr="004612A5">
              <w:rPr>
                <w:rFonts w:ascii="Cambria" w:hAnsi="Cambria"/>
                <w:bCs/>
                <w:sz w:val="20"/>
                <w:szCs w:val="20"/>
                <w:lang w:val="es-419" w:bidi="es-ES"/>
              </w:rPr>
              <w:t>ección VI</w:t>
            </w:r>
          </w:p>
        </w:tc>
      </w:tr>
    </w:tbl>
    <w:p w14:paraId="56FD5D57" w14:textId="5C6A37CD" w:rsidR="003239B8" w:rsidRPr="009D21AD" w:rsidRDefault="00223A29" w:rsidP="003A4D4D">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9D21AD">
        <w:rPr>
          <w:rFonts w:asciiTheme="majorHAnsi" w:hAnsiTheme="majorHAnsi"/>
          <w:b/>
          <w:sz w:val="20"/>
          <w:szCs w:val="20"/>
          <w:lang w:val="es-419"/>
        </w:rPr>
        <w:t>POSICIÓN DE LAS PARTES</w:t>
      </w:r>
      <w:r w:rsidR="003239B8" w:rsidRPr="009D21AD">
        <w:rPr>
          <w:rFonts w:asciiTheme="majorHAnsi" w:hAnsiTheme="majorHAnsi"/>
          <w:b/>
          <w:sz w:val="20"/>
          <w:szCs w:val="20"/>
          <w:lang w:val="es-419"/>
        </w:rPr>
        <w:t xml:space="preserve"> </w:t>
      </w:r>
    </w:p>
    <w:p w14:paraId="4EA306E2" w14:textId="33F2C516" w:rsidR="00785B6C" w:rsidRPr="009D21AD" w:rsidRDefault="00785B6C" w:rsidP="003A4D4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9D21AD">
        <w:rPr>
          <w:i/>
          <w:iCs/>
          <w:sz w:val="20"/>
          <w:szCs w:val="20"/>
          <w:lang w:val="es-419"/>
        </w:rPr>
        <w:t xml:space="preserve">Posición </w:t>
      </w:r>
      <w:r w:rsidR="00DC4168">
        <w:rPr>
          <w:i/>
          <w:iCs/>
          <w:sz w:val="20"/>
          <w:szCs w:val="20"/>
          <w:lang w:val="es-419"/>
        </w:rPr>
        <w:t>del peticionario</w:t>
      </w:r>
    </w:p>
    <w:p w14:paraId="370BE2C2" w14:textId="50DBFCF1" w:rsidR="00D7504E" w:rsidRDefault="00DC4168" w:rsidP="004356E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El peticionario</w:t>
      </w:r>
      <w:r w:rsidR="00F71A15" w:rsidRPr="009D21AD">
        <w:rPr>
          <w:sz w:val="20"/>
          <w:szCs w:val="20"/>
          <w:lang w:val="es-419"/>
        </w:rPr>
        <w:t xml:space="preserve"> denuncia </w:t>
      </w:r>
      <w:r w:rsidR="007D5AC7" w:rsidRPr="009D21AD">
        <w:rPr>
          <w:sz w:val="20"/>
          <w:szCs w:val="20"/>
          <w:lang w:val="es-419"/>
        </w:rPr>
        <w:t>a</w:t>
      </w:r>
      <w:r w:rsidR="00F71A15" w:rsidRPr="009D21AD">
        <w:rPr>
          <w:sz w:val="20"/>
          <w:szCs w:val="20"/>
          <w:lang w:val="es-419"/>
        </w:rPr>
        <w:t xml:space="preserve">l Estado por </w:t>
      </w:r>
      <w:r w:rsidR="008410CF">
        <w:rPr>
          <w:sz w:val="20"/>
          <w:szCs w:val="20"/>
          <w:lang w:val="es-419"/>
        </w:rPr>
        <w:t>el asesinato</w:t>
      </w:r>
      <w:r w:rsidR="00F71A15" w:rsidRPr="009D21AD">
        <w:rPr>
          <w:sz w:val="20"/>
          <w:szCs w:val="20"/>
          <w:lang w:val="es-419"/>
        </w:rPr>
        <w:t xml:space="preserve"> de</w:t>
      </w:r>
      <w:r w:rsidR="00FF798A" w:rsidRPr="009D21AD">
        <w:rPr>
          <w:sz w:val="20"/>
          <w:szCs w:val="20"/>
          <w:lang w:val="es-419"/>
        </w:rPr>
        <w:t xml:space="preserve"> </w:t>
      </w:r>
      <w:r w:rsidR="00D60CFC">
        <w:rPr>
          <w:sz w:val="20"/>
          <w:szCs w:val="20"/>
          <w:lang w:val="es-419"/>
        </w:rPr>
        <w:t>Jhon Jaime Salazar González</w:t>
      </w:r>
      <w:r w:rsidR="008410CF">
        <w:rPr>
          <w:sz w:val="20"/>
          <w:szCs w:val="20"/>
          <w:lang w:val="es-419"/>
        </w:rPr>
        <w:t xml:space="preserve"> a manos de paramilitares</w:t>
      </w:r>
      <w:r w:rsidR="00FF798A" w:rsidRPr="009D21AD">
        <w:rPr>
          <w:sz w:val="20"/>
          <w:szCs w:val="20"/>
          <w:lang w:val="es-419"/>
        </w:rPr>
        <w:t>,</w:t>
      </w:r>
      <w:r w:rsidR="00F71A15" w:rsidRPr="009D21AD">
        <w:rPr>
          <w:sz w:val="20"/>
          <w:szCs w:val="20"/>
          <w:lang w:val="es-419"/>
        </w:rPr>
        <w:t xml:space="preserve"> la falta de investigación y sanción de los responsables</w:t>
      </w:r>
      <w:r w:rsidR="008410CF">
        <w:rPr>
          <w:sz w:val="20"/>
          <w:szCs w:val="20"/>
          <w:lang w:val="es-419"/>
        </w:rPr>
        <w:t xml:space="preserve">, y el desplazamiento forzado de los </w:t>
      </w:r>
      <w:r w:rsidR="008410CF">
        <w:rPr>
          <w:sz w:val="20"/>
          <w:szCs w:val="20"/>
          <w:lang w:val="es-419"/>
        </w:rPr>
        <w:lastRenderedPageBreak/>
        <w:t>familiares del fallecido.</w:t>
      </w:r>
    </w:p>
    <w:p w14:paraId="032A653B" w14:textId="7894910E" w:rsidR="00D60CFC" w:rsidRDefault="008410CF" w:rsidP="00D8641A">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 xml:space="preserve">Según </w:t>
      </w:r>
      <w:r w:rsidR="002861DF">
        <w:rPr>
          <w:sz w:val="20"/>
          <w:szCs w:val="20"/>
          <w:lang w:val="es-419"/>
        </w:rPr>
        <w:t>el peticionario</w:t>
      </w:r>
      <w:r>
        <w:rPr>
          <w:sz w:val="20"/>
          <w:szCs w:val="20"/>
          <w:lang w:val="es-419"/>
        </w:rPr>
        <w:t xml:space="preserve">, </w:t>
      </w:r>
      <w:r w:rsidRPr="008410CF">
        <w:rPr>
          <w:sz w:val="20"/>
          <w:szCs w:val="20"/>
          <w:lang w:val="es-419"/>
        </w:rPr>
        <w:t>el 16 de noviembre de 1999, el Sr. Jhon Jaime Salazar González fue asesinado por miembros de las Autodefensas Unidas de Colombia (AUC) en el municipio de Yopal, departamento del Casanare</w:t>
      </w:r>
      <w:r w:rsidR="00C44EFB">
        <w:rPr>
          <w:sz w:val="20"/>
          <w:szCs w:val="20"/>
          <w:lang w:val="es-419"/>
        </w:rPr>
        <w:t>. Los paramilitares, argumenta el peticionario, actuaban en la zona contando con la omisión y abandono del Estado. El peticionario considera que el asesinato se produjo en un contexto de tolerancia, complicidad y aquiescencia del Estado con respecto a las actividades paramilitares.</w:t>
      </w:r>
      <w:r>
        <w:rPr>
          <w:sz w:val="20"/>
          <w:szCs w:val="20"/>
          <w:lang w:val="es-419"/>
        </w:rPr>
        <w:t xml:space="preserve"> </w:t>
      </w:r>
      <w:r w:rsidR="00C44EFB">
        <w:rPr>
          <w:sz w:val="20"/>
          <w:szCs w:val="20"/>
          <w:lang w:val="es-419"/>
        </w:rPr>
        <w:t>Adicionalmente, e</w:t>
      </w:r>
      <w:r>
        <w:rPr>
          <w:sz w:val="20"/>
          <w:szCs w:val="20"/>
          <w:lang w:val="es-419"/>
        </w:rPr>
        <w:t xml:space="preserve">l </w:t>
      </w:r>
      <w:r w:rsidR="000B4E46">
        <w:rPr>
          <w:sz w:val="20"/>
          <w:szCs w:val="20"/>
          <w:lang w:val="es-419"/>
        </w:rPr>
        <w:t xml:space="preserve">peticionario sostiene que el </w:t>
      </w:r>
      <w:r>
        <w:rPr>
          <w:sz w:val="20"/>
          <w:szCs w:val="20"/>
          <w:lang w:val="es-419"/>
        </w:rPr>
        <w:t xml:space="preserve">asesinato se produjo tras </w:t>
      </w:r>
      <w:r w:rsidR="000B4E46">
        <w:rPr>
          <w:sz w:val="20"/>
          <w:szCs w:val="20"/>
          <w:lang w:val="es-419"/>
        </w:rPr>
        <w:t>varias</w:t>
      </w:r>
      <w:r>
        <w:rPr>
          <w:sz w:val="20"/>
          <w:szCs w:val="20"/>
          <w:lang w:val="es-419"/>
        </w:rPr>
        <w:t xml:space="preserve"> amenazas, persecución y extorsión sufridas por el Sr. Salazar González por </w:t>
      </w:r>
      <w:r w:rsidR="000B4E46">
        <w:rPr>
          <w:sz w:val="20"/>
          <w:szCs w:val="20"/>
          <w:lang w:val="es-419"/>
        </w:rPr>
        <w:t xml:space="preserve">los paramilitares. </w:t>
      </w:r>
      <w:r w:rsidR="000B4E46" w:rsidRPr="00D8641A">
        <w:rPr>
          <w:sz w:val="20"/>
          <w:szCs w:val="20"/>
          <w:lang w:val="es-419"/>
        </w:rPr>
        <w:t>Sin embargo, no presenta fechas u otros detalles sobre estos hechos.</w:t>
      </w:r>
    </w:p>
    <w:p w14:paraId="7A8B10C0" w14:textId="1FE07436" w:rsidR="00D8641A" w:rsidRPr="007926EA" w:rsidRDefault="002861DF" w:rsidP="00667B65">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7926EA">
        <w:rPr>
          <w:sz w:val="20"/>
          <w:szCs w:val="20"/>
          <w:lang w:val="es-419"/>
        </w:rPr>
        <w:t>El peticionario informa que</w:t>
      </w:r>
      <w:r w:rsidR="007926EA" w:rsidRPr="007926EA">
        <w:rPr>
          <w:sz w:val="20"/>
          <w:szCs w:val="20"/>
          <w:lang w:val="es-419"/>
        </w:rPr>
        <w:t>, el 18 de noviembre de 1999,</w:t>
      </w:r>
      <w:r w:rsidRPr="007926EA">
        <w:rPr>
          <w:sz w:val="20"/>
          <w:szCs w:val="20"/>
          <w:lang w:val="es-419"/>
        </w:rPr>
        <w:t xml:space="preserve"> la Fiscalía F 31 Seccional de Yopal inició la investigación previa</w:t>
      </w:r>
      <w:r w:rsidR="007926EA" w:rsidRPr="007926EA">
        <w:rPr>
          <w:sz w:val="20"/>
          <w:szCs w:val="20"/>
          <w:lang w:val="es-419"/>
        </w:rPr>
        <w:t xml:space="preserve"> y ordenó la práctica de pruebas. No hay información adicional sobre </w:t>
      </w:r>
      <w:r w:rsidR="00D74BD6">
        <w:rPr>
          <w:sz w:val="20"/>
          <w:szCs w:val="20"/>
          <w:lang w:val="es-419"/>
        </w:rPr>
        <w:t>qué</w:t>
      </w:r>
      <w:r w:rsidR="007926EA" w:rsidRPr="007926EA">
        <w:rPr>
          <w:sz w:val="20"/>
          <w:szCs w:val="20"/>
          <w:lang w:val="es-419"/>
        </w:rPr>
        <w:t xml:space="preserve"> diligencias fueron </w:t>
      </w:r>
      <w:r w:rsidR="00D74BD6">
        <w:rPr>
          <w:sz w:val="20"/>
          <w:szCs w:val="20"/>
          <w:lang w:val="es-419"/>
        </w:rPr>
        <w:t>realizadas</w:t>
      </w:r>
      <w:r w:rsidR="007926EA" w:rsidRPr="007926EA">
        <w:rPr>
          <w:sz w:val="20"/>
          <w:szCs w:val="20"/>
          <w:lang w:val="es-419"/>
        </w:rPr>
        <w:t xml:space="preserve"> por la Fiscalía a continuación. El 24 de julio de 2001, la Fiscalía adoptó resolución de archivo, y la investigación fue enviada al archivo de la Fiscalía General.</w:t>
      </w:r>
      <w:r w:rsidR="007926EA">
        <w:rPr>
          <w:sz w:val="20"/>
          <w:szCs w:val="20"/>
          <w:lang w:val="es-419"/>
        </w:rPr>
        <w:t xml:space="preserve"> </w:t>
      </w:r>
      <w:r w:rsidR="007C3EF8" w:rsidRPr="007926EA">
        <w:rPr>
          <w:sz w:val="20"/>
          <w:szCs w:val="20"/>
          <w:lang w:val="es-419"/>
        </w:rPr>
        <w:t>El peticionario c</w:t>
      </w:r>
      <w:r w:rsidR="00DC4168" w:rsidRPr="007926EA">
        <w:rPr>
          <w:sz w:val="20"/>
          <w:szCs w:val="20"/>
          <w:lang w:val="es-419"/>
        </w:rPr>
        <w:t xml:space="preserve">onsidera que el archivo de las investigaciones no agota los recursos internos </w:t>
      </w:r>
      <w:r w:rsidR="007C3EF8" w:rsidRPr="007926EA">
        <w:rPr>
          <w:sz w:val="20"/>
          <w:szCs w:val="20"/>
          <w:lang w:val="es-419"/>
        </w:rPr>
        <w:t>porque</w:t>
      </w:r>
      <w:r w:rsidR="00DC4168" w:rsidRPr="007926EA">
        <w:rPr>
          <w:sz w:val="20"/>
          <w:szCs w:val="20"/>
          <w:lang w:val="es-419"/>
        </w:rPr>
        <w:t xml:space="preserve"> </w:t>
      </w:r>
      <w:r w:rsidR="007C3EF8" w:rsidRPr="007926EA">
        <w:rPr>
          <w:sz w:val="20"/>
          <w:szCs w:val="20"/>
          <w:lang w:val="es-419"/>
        </w:rPr>
        <w:t>es posible la determinación contraria de desarchivo y continuidad de las investigaciones</w:t>
      </w:r>
      <w:r w:rsidR="00DF4DBC">
        <w:rPr>
          <w:sz w:val="20"/>
          <w:szCs w:val="20"/>
          <w:lang w:val="es-419"/>
        </w:rPr>
        <w:t>.</w:t>
      </w:r>
    </w:p>
    <w:p w14:paraId="2040D172" w14:textId="49252479" w:rsidR="00EE1104" w:rsidRDefault="00D8641A" w:rsidP="00051E9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C44EFB">
        <w:rPr>
          <w:sz w:val="20"/>
          <w:szCs w:val="20"/>
          <w:lang w:val="es-419"/>
        </w:rPr>
        <w:t>El peticionario alega que la Sra. Rubiano Guar</w:t>
      </w:r>
      <w:r w:rsidR="00DC4168" w:rsidRPr="00C44EFB">
        <w:rPr>
          <w:sz w:val="20"/>
          <w:szCs w:val="20"/>
          <w:lang w:val="es-419"/>
        </w:rPr>
        <w:t>n</w:t>
      </w:r>
      <w:r w:rsidRPr="00C44EFB">
        <w:rPr>
          <w:sz w:val="20"/>
          <w:szCs w:val="20"/>
          <w:lang w:val="es-419"/>
        </w:rPr>
        <w:t>izo</w:t>
      </w:r>
      <w:r w:rsidR="007926EA" w:rsidRPr="00C44EFB">
        <w:rPr>
          <w:sz w:val="20"/>
          <w:szCs w:val="20"/>
          <w:lang w:val="es-419"/>
        </w:rPr>
        <w:t>,</w:t>
      </w:r>
      <w:r w:rsidRPr="00C44EFB">
        <w:rPr>
          <w:sz w:val="20"/>
          <w:szCs w:val="20"/>
          <w:lang w:val="es-419"/>
        </w:rPr>
        <w:t xml:space="preserve"> “en diferentes oportunidades”</w:t>
      </w:r>
      <w:r w:rsidR="007926EA" w:rsidRPr="00C44EFB">
        <w:rPr>
          <w:sz w:val="20"/>
          <w:szCs w:val="20"/>
          <w:lang w:val="es-419"/>
        </w:rPr>
        <w:t>,</w:t>
      </w:r>
      <w:r w:rsidRPr="00C44EFB">
        <w:rPr>
          <w:sz w:val="20"/>
          <w:szCs w:val="20"/>
          <w:lang w:val="es-419"/>
        </w:rPr>
        <w:t xml:space="preserve"> fue víctima de amenazas, atropellos y confrontaciones de los sectores en conflicto en Yopal. Para salvar su vida, tuvo que abandonar el municipio junto con sus dos hijos Jaime Andrés Salazar Rubiano y Paula Andrea Salazar Rubiano, dejando todas sus actividades de subsistencia para formar parte del cinturón de desarraigados a la ciudad de Villavicencio, Meta, en malas condiciones sicológicas, morales, económicas y familiares.</w:t>
      </w:r>
      <w:r w:rsidR="00C44EFB" w:rsidRPr="00C44EFB">
        <w:rPr>
          <w:sz w:val="20"/>
          <w:szCs w:val="20"/>
          <w:lang w:val="es-419"/>
        </w:rPr>
        <w:t xml:space="preserve"> </w:t>
      </w:r>
      <w:r w:rsidRPr="00C44EFB">
        <w:rPr>
          <w:sz w:val="20"/>
          <w:szCs w:val="20"/>
          <w:lang w:val="es-419"/>
        </w:rPr>
        <w:t>Sin embargo, el peticionario no presenta fechas u otros detalles sobre las citadas amenazas, atropellos y confrontaciones, tampoco sobre el desplazamiento.</w:t>
      </w:r>
      <w:r w:rsidR="00C44EFB" w:rsidRPr="00C44EFB">
        <w:rPr>
          <w:sz w:val="20"/>
          <w:szCs w:val="20"/>
          <w:lang w:val="es-419"/>
        </w:rPr>
        <w:t xml:space="preserve"> El peticionario no informa la edad exacta de los hijos de la Sra. Rubiano Guarnizo a la época; no obstante, </w:t>
      </w:r>
      <w:r w:rsidR="000F7614">
        <w:rPr>
          <w:sz w:val="20"/>
          <w:szCs w:val="20"/>
          <w:lang w:val="es-419"/>
        </w:rPr>
        <w:t xml:space="preserve">sí </w:t>
      </w:r>
      <w:r w:rsidR="00C44EFB" w:rsidRPr="00C44EFB">
        <w:rPr>
          <w:sz w:val="20"/>
          <w:szCs w:val="20"/>
          <w:lang w:val="es-419"/>
        </w:rPr>
        <w:t xml:space="preserve">señala que eran menores de edad. </w:t>
      </w:r>
    </w:p>
    <w:p w14:paraId="54AEE62E" w14:textId="695941DE" w:rsidR="00D8641A" w:rsidRPr="00C44EFB" w:rsidRDefault="00C44EFB" w:rsidP="00051E9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C44EFB">
        <w:rPr>
          <w:sz w:val="20"/>
          <w:szCs w:val="20"/>
          <w:lang w:val="es-419"/>
        </w:rPr>
        <w:t xml:space="preserve">Adicionalmente, </w:t>
      </w:r>
      <w:r>
        <w:rPr>
          <w:sz w:val="20"/>
          <w:szCs w:val="20"/>
          <w:lang w:val="es-419"/>
        </w:rPr>
        <w:t>e</w:t>
      </w:r>
      <w:r w:rsidRPr="00C44EFB">
        <w:rPr>
          <w:sz w:val="20"/>
          <w:szCs w:val="20"/>
          <w:lang w:val="es-419"/>
        </w:rPr>
        <w:t>l</w:t>
      </w:r>
      <w:r w:rsidR="00D8641A" w:rsidRPr="00C44EFB">
        <w:rPr>
          <w:sz w:val="20"/>
          <w:szCs w:val="20"/>
          <w:lang w:val="es-419"/>
        </w:rPr>
        <w:t xml:space="preserve"> peticionario </w:t>
      </w:r>
      <w:r w:rsidR="00DC4168" w:rsidRPr="00C44EFB">
        <w:rPr>
          <w:sz w:val="20"/>
          <w:szCs w:val="20"/>
          <w:lang w:val="es-419"/>
        </w:rPr>
        <w:t xml:space="preserve">informa que la Sra. Rubiano Guarnizo presentó una solicitud administrativa (radicado 152854) en </w:t>
      </w:r>
      <w:r w:rsidR="007926EA" w:rsidRPr="00C44EFB">
        <w:rPr>
          <w:sz w:val="20"/>
          <w:szCs w:val="20"/>
          <w:lang w:val="es-419"/>
        </w:rPr>
        <w:t xml:space="preserve">21 de noviembre de </w:t>
      </w:r>
      <w:r w:rsidR="00DC4168" w:rsidRPr="00C44EFB">
        <w:rPr>
          <w:sz w:val="20"/>
          <w:szCs w:val="20"/>
          <w:lang w:val="es-419"/>
        </w:rPr>
        <w:t xml:space="preserve">2008 ante la </w:t>
      </w:r>
      <w:r w:rsidR="002861DF" w:rsidRPr="00C44EFB">
        <w:rPr>
          <w:sz w:val="20"/>
          <w:szCs w:val="20"/>
          <w:lang w:val="es-419"/>
        </w:rPr>
        <w:t xml:space="preserve">Oficina de la Presidencia de la República de </w:t>
      </w:r>
      <w:r w:rsidR="00DC4168" w:rsidRPr="00C44EFB">
        <w:rPr>
          <w:sz w:val="20"/>
          <w:szCs w:val="20"/>
          <w:lang w:val="es-419"/>
        </w:rPr>
        <w:t xml:space="preserve">Acción Social, dependencia del </w:t>
      </w:r>
      <w:r w:rsidR="007926EA" w:rsidRPr="00C44EFB">
        <w:rPr>
          <w:sz w:val="20"/>
          <w:szCs w:val="20"/>
          <w:lang w:val="es-419"/>
        </w:rPr>
        <w:t>M</w:t>
      </w:r>
      <w:r w:rsidR="00DC4168" w:rsidRPr="00C44EFB">
        <w:rPr>
          <w:sz w:val="20"/>
          <w:szCs w:val="20"/>
          <w:lang w:val="es-419"/>
        </w:rPr>
        <w:t>inisterio de Interior y Justicia, con el fin de que fuera reconocida como víctima del conflicto armado</w:t>
      </w:r>
      <w:r w:rsidR="007926EA" w:rsidRPr="00C44EFB">
        <w:rPr>
          <w:sz w:val="20"/>
          <w:szCs w:val="20"/>
          <w:lang w:val="es-419"/>
        </w:rPr>
        <w:t>, junto con sus hijos. Sin embargo, no presenta fechas u otros detalles sobre estos hechos.</w:t>
      </w:r>
    </w:p>
    <w:p w14:paraId="7AB55DFD" w14:textId="451C0707" w:rsidR="00D7504E" w:rsidRPr="009D21AD" w:rsidRDefault="00D7504E" w:rsidP="00D157D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i/>
          <w:iCs/>
          <w:sz w:val="20"/>
          <w:szCs w:val="20"/>
          <w:lang w:val="es-419"/>
        </w:rPr>
      </w:pPr>
      <w:r w:rsidRPr="009D21AD">
        <w:rPr>
          <w:i/>
          <w:iCs/>
          <w:sz w:val="20"/>
          <w:szCs w:val="20"/>
          <w:lang w:val="es-419"/>
        </w:rPr>
        <w:t xml:space="preserve">Posición del Estado </w:t>
      </w:r>
      <w:r w:rsidR="00E97E7D" w:rsidRPr="009D21AD">
        <w:rPr>
          <w:i/>
          <w:iCs/>
          <w:sz w:val="20"/>
          <w:szCs w:val="20"/>
          <w:lang w:val="es-419"/>
        </w:rPr>
        <w:t>colombiano</w:t>
      </w:r>
    </w:p>
    <w:p w14:paraId="26EB4299" w14:textId="2091A256" w:rsidR="00C44EFB" w:rsidRPr="00C44EFB" w:rsidRDefault="00C44EFB" w:rsidP="00C44EF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C44EFB">
        <w:rPr>
          <w:sz w:val="20"/>
          <w:szCs w:val="20"/>
          <w:lang w:val="es-ES"/>
        </w:rPr>
        <w:t>El Estado</w:t>
      </w:r>
      <w:r w:rsidR="000F7614">
        <w:rPr>
          <w:sz w:val="20"/>
          <w:szCs w:val="20"/>
          <w:lang w:val="es-ES"/>
        </w:rPr>
        <w:t>, por su parte,</w:t>
      </w:r>
      <w:r w:rsidRPr="00C44EFB">
        <w:rPr>
          <w:sz w:val="20"/>
          <w:szCs w:val="20"/>
          <w:lang w:val="es-ES"/>
        </w:rPr>
        <w:t xml:space="preserve"> informa que frente a la muerte del señor Jhon Jaime Salazar González, la Fiscalía General de la Nación adelantó investigación bajo el radicado 6181. La investigación estuvo a cargo de la Fiscalía 31 Seccional de Yopal. Pese a los esfuerzos de la Fiscalía por determinar las circunstancias de modo, tiempo y lugar, en aras de identificar los autores y partícipes en la ocurrencia de los hechos, </w:t>
      </w:r>
      <w:r w:rsidR="002A7C9D">
        <w:rPr>
          <w:sz w:val="20"/>
          <w:szCs w:val="20"/>
          <w:lang w:val="es-ES"/>
        </w:rPr>
        <w:t>esto fue imposible, por lo que</w:t>
      </w:r>
      <w:r w:rsidRPr="00C44EFB">
        <w:rPr>
          <w:sz w:val="20"/>
          <w:szCs w:val="20"/>
          <w:lang w:val="es-ES"/>
        </w:rPr>
        <w:t xml:space="preserve"> el 24 de julio de 2001 emitió </w:t>
      </w:r>
      <w:r w:rsidR="002A7C9D">
        <w:rPr>
          <w:sz w:val="20"/>
          <w:szCs w:val="20"/>
          <w:lang w:val="es-ES"/>
        </w:rPr>
        <w:t xml:space="preserve">una </w:t>
      </w:r>
      <w:r w:rsidRPr="00C44EFB">
        <w:rPr>
          <w:sz w:val="20"/>
          <w:szCs w:val="20"/>
          <w:lang w:val="es-ES"/>
        </w:rPr>
        <w:t>resolución inhibitoria</w:t>
      </w:r>
      <w:r w:rsidR="002069DD">
        <w:rPr>
          <w:sz w:val="20"/>
          <w:szCs w:val="20"/>
          <w:lang w:val="es-ES"/>
        </w:rPr>
        <w:t>,</w:t>
      </w:r>
      <w:r w:rsidRPr="00C44EFB">
        <w:rPr>
          <w:sz w:val="20"/>
          <w:szCs w:val="20"/>
          <w:lang w:val="es-ES"/>
        </w:rPr>
        <w:t xml:space="preserve"> y procedió al archivo de la investigación. </w:t>
      </w:r>
    </w:p>
    <w:p w14:paraId="55C15718" w14:textId="23CDBD7E" w:rsidR="00C44EFB" w:rsidRPr="009A53F2" w:rsidRDefault="00C44EFB" w:rsidP="00C44EF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C44EFB">
        <w:rPr>
          <w:sz w:val="20"/>
          <w:szCs w:val="20"/>
          <w:lang w:val="es-ES"/>
        </w:rPr>
        <w:t>En relación con el presunto desplazamiento forzado del que alega ser víctima la señora Nubia Paulina Rubiano Guarnizo y sus hijos, Jaime Andrés Salazar Rubiano y Paula Andrea Salazar Rubiano, el Estado señala no hay constancia alguna de alguna denuncia por estos hechos.</w:t>
      </w:r>
    </w:p>
    <w:p w14:paraId="5F40CA9B" w14:textId="764E3290" w:rsidR="009A53F2" w:rsidRPr="00F5297C" w:rsidRDefault="009A53F2" w:rsidP="00C44EF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ES"/>
        </w:rPr>
        <w:t>El Estado considera que la petición es inadmisible por su presentación extemporánea, una vez que los recursos internos se agotaron con el archivo de las investigaciones penales el 24 de julio de 2001, y la petición fue presentada el 13 de agosto de 2012.</w:t>
      </w:r>
    </w:p>
    <w:p w14:paraId="4F5B4383" w14:textId="374869FA" w:rsidR="00F5297C" w:rsidRPr="00F5297C" w:rsidRDefault="00F5297C" w:rsidP="00F5297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F5297C">
        <w:rPr>
          <w:sz w:val="20"/>
          <w:szCs w:val="20"/>
          <w:lang w:val="es-ES"/>
        </w:rPr>
        <w:t xml:space="preserve">El Estado sostiene además que la petición es inadmisible por presentar cargos manifiestamente infundados, una vez que, en resumen: i) el peticionario no acredita las violaciones de los derechos que alega, </w:t>
      </w:r>
      <w:r>
        <w:rPr>
          <w:sz w:val="20"/>
          <w:szCs w:val="20"/>
          <w:lang w:val="es-ES"/>
        </w:rPr>
        <w:t>especialmente</w:t>
      </w:r>
      <w:r w:rsidRPr="00F5297C">
        <w:rPr>
          <w:sz w:val="20"/>
          <w:szCs w:val="20"/>
          <w:lang w:val="es-ES"/>
        </w:rPr>
        <w:t xml:space="preserve"> las violaciones derivadas del supuesto desplazamiento</w:t>
      </w:r>
      <w:r>
        <w:rPr>
          <w:sz w:val="20"/>
          <w:szCs w:val="20"/>
          <w:lang w:val="es-ES"/>
        </w:rPr>
        <w:t>; ii)</w:t>
      </w:r>
      <w:r w:rsidRPr="00F5297C">
        <w:rPr>
          <w:sz w:val="20"/>
          <w:szCs w:val="20"/>
          <w:lang w:val="es-ES"/>
        </w:rPr>
        <w:t xml:space="preserve"> el asesinato del Sr. Salazar González, como indica el proprio peticionario, fue provocado por terceros, lo que excluiría la posibilidad de responsabilidad estatal; ii</w:t>
      </w:r>
      <w:r>
        <w:rPr>
          <w:sz w:val="20"/>
          <w:szCs w:val="20"/>
          <w:lang w:val="es-ES"/>
        </w:rPr>
        <w:t>i</w:t>
      </w:r>
      <w:r w:rsidRPr="00F5297C">
        <w:rPr>
          <w:sz w:val="20"/>
          <w:szCs w:val="20"/>
          <w:lang w:val="es-ES"/>
        </w:rPr>
        <w:t xml:space="preserve">) no existen elementos que permitan concluir que existía un riesgo </w:t>
      </w:r>
      <w:r w:rsidRPr="00F5297C">
        <w:rPr>
          <w:sz w:val="20"/>
          <w:szCs w:val="20"/>
          <w:lang w:val="es-ES"/>
        </w:rPr>
        <w:lastRenderedPageBreak/>
        <w:t>real o inmediato sobre el Sr. Salazar González</w:t>
      </w:r>
      <w:r>
        <w:rPr>
          <w:sz w:val="20"/>
          <w:szCs w:val="20"/>
          <w:lang w:val="es-ES"/>
        </w:rPr>
        <w:t xml:space="preserve"> y sus familiares</w:t>
      </w:r>
      <w:r w:rsidRPr="00F5297C">
        <w:rPr>
          <w:sz w:val="20"/>
          <w:szCs w:val="20"/>
          <w:lang w:val="es-ES"/>
        </w:rPr>
        <w:t>, que las autoridades conocieron o debían conocer; así, no hay elementos para justificar la eventual falta de debida diligencia por parte del Estado frente al asesinato del Sr. Salazar González</w:t>
      </w:r>
      <w:r>
        <w:rPr>
          <w:sz w:val="20"/>
          <w:szCs w:val="20"/>
          <w:lang w:val="es-ES"/>
        </w:rPr>
        <w:t xml:space="preserve"> y el alegado desplazamiento.</w:t>
      </w:r>
    </w:p>
    <w:p w14:paraId="40C03DDB" w14:textId="429E5BCE" w:rsidR="00D7504E" w:rsidRPr="005642D6" w:rsidRDefault="00810048" w:rsidP="00EA60D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5642D6">
        <w:rPr>
          <w:sz w:val="20"/>
          <w:szCs w:val="20"/>
          <w:lang w:val="es-ES"/>
        </w:rPr>
        <w:t>E</w:t>
      </w:r>
      <w:r w:rsidR="005642D6" w:rsidRPr="005642D6">
        <w:rPr>
          <w:sz w:val="20"/>
          <w:szCs w:val="20"/>
          <w:lang w:val="es-ES"/>
        </w:rPr>
        <w:t>n conclusión, e</w:t>
      </w:r>
      <w:r w:rsidR="00F5297C" w:rsidRPr="005642D6">
        <w:rPr>
          <w:sz w:val="20"/>
          <w:szCs w:val="20"/>
          <w:lang w:val="es-ES"/>
        </w:rPr>
        <w:t>l Estado argumenta que la petición es inadmisible por falta de agotamiento de</w:t>
      </w:r>
      <w:r w:rsidR="00421CDB" w:rsidRPr="005642D6">
        <w:rPr>
          <w:sz w:val="20"/>
          <w:szCs w:val="20"/>
          <w:lang w:val="es-ES"/>
        </w:rPr>
        <w:t xml:space="preserve"> tres tipos de recursos internos disponibles a las presuntas víctimas. En primero lugar, </w:t>
      </w:r>
      <w:r w:rsidR="00F5297C" w:rsidRPr="005642D6">
        <w:rPr>
          <w:sz w:val="20"/>
          <w:szCs w:val="20"/>
          <w:lang w:val="es-ES"/>
        </w:rPr>
        <w:t>las presuntas víctimas no interpusieron recurso frente a la decisión de archivo de 24 de julio de 2001 proferida en el marco de la acción penal. De conformidad con el artículo 327 del Código de Procedimiento Penal</w:t>
      </w:r>
      <w:r w:rsidR="00B24827">
        <w:rPr>
          <w:rStyle w:val="FootnoteReference"/>
          <w:sz w:val="20"/>
          <w:szCs w:val="20"/>
          <w:lang w:val="es-ES"/>
        </w:rPr>
        <w:footnoteReference w:id="6"/>
      </w:r>
      <w:r w:rsidR="00F5297C" w:rsidRPr="005642D6">
        <w:rPr>
          <w:sz w:val="20"/>
          <w:szCs w:val="20"/>
          <w:lang w:val="es-ES"/>
        </w:rPr>
        <w:t>, afirma el Estado, frente a dicha decisión procedían los recursos de reposición y de apelación por parte del Ministerio Público, del denunciante o querellante y del perjudicado o sus apoderados constituidos para el efecto. Estos recursos no fueron interpuestos.</w:t>
      </w:r>
      <w:r w:rsidR="005642D6" w:rsidRPr="005642D6">
        <w:rPr>
          <w:sz w:val="20"/>
          <w:szCs w:val="20"/>
          <w:lang w:val="es-ES"/>
        </w:rPr>
        <w:t xml:space="preserve"> </w:t>
      </w:r>
      <w:r w:rsidR="00421CDB" w:rsidRPr="005642D6">
        <w:rPr>
          <w:sz w:val="20"/>
          <w:szCs w:val="20"/>
          <w:lang w:val="es-ES"/>
        </w:rPr>
        <w:t>En segundo lugar, las presuntas víctimas no presentaron la acción de reparación directa. El Estado argumenta que la acción de reparación directa cumple, a nivel interno, dos funciones esenciales: i) declarar que un fallo en la administración ha generado un daño que no está obligado a soportar un ciudadano</w:t>
      </w:r>
      <w:r w:rsidR="004F6F8A">
        <w:rPr>
          <w:sz w:val="20"/>
          <w:szCs w:val="20"/>
          <w:lang w:val="es-ES"/>
        </w:rPr>
        <w:t>;</w:t>
      </w:r>
      <w:r w:rsidR="00421CDB" w:rsidRPr="005642D6">
        <w:rPr>
          <w:sz w:val="20"/>
          <w:szCs w:val="20"/>
          <w:lang w:val="es-ES"/>
        </w:rPr>
        <w:t xml:space="preserve"> y ii) decretar las medidas necesarias para reparar integralmente a las víctimas. Según el Estado, la responsabilidad de la administración se da a partir de la verificación del desconocimiento de las obligaciones convencionales.</w:t>
      </w:r>
      <w:r w:rsidR="005642D6">
        <w:rPr>
          <w:sz w:val="20"/>
          <w:szCs w:val="20"/>
          <w:lang w:val="es-ES"/>
        </w:rPr>
        <w:t xml:space="preserve"> </w:t>
      </w:r>
      <w:r w:rsidR="00421CDB" w:rsidRPr="005642D6">
        <w:rPr>
          <w:sz w:val="20"/>
          <w:szCs w:val="20"/>
          <w:lang w:val="es-ES"/>
        </w:rPr>
        <w:t>En tercero lugar, el Estado afirma que las presuntas víctimas no agotaron la acción penal frente a los alegados hechos de desplazamiento forzado, y reitera que no existe registro de denuncia del citado desplazamiento.</w:t>
      </w:r>
    </w:p>
    <w:p w14:paraId="6B466593" w14:textId="23EAD031" w:rsidR="00B83158" w:rsidRPr="009D21AD" w:rsidRDefault="00B83158" w:rsidP="003A4D4D">
      <w:pPr>
        <w:spacing w:before="240" w:after="240"/>
        <w:ind w:firstLine="720"/>
        <w:jc w:val="both"/>
        <w:rPr>
          <w:rFonts w:ascii="Cambria" w:hAnsi="Cambria"/>
          <w:sz w:val="20"/>
          <w:szCs w:val="20"/>
          <w:lang w:val="es-419"/>
        </w:rPr>
      </w:pPr>
      <w:r w:rsidRPr="009D21AD">
        <w:rPr>
          <w:rFonts w:asciiTheme="majorHAnsi" w:hAnsiTheme="majorHAnsi"/>
          <w:b/>
          <w:sz w:val="20"/>
          <w:szCs w:val="20"/>
          <w:lang w:val="es-419"/>
        </w:rPr>
        <w:t xml:space="preserve">VI. </w:t>
      </w:r>
      <w:r w:rsidRPr="009D21AD">
        <w:rPr>
          <w:rFonts w:asciiTheme="majorHAnsi" w:hAnsiTheme="majorHAnsi"/>
          <w:b/>
          <w:sz w:val="20"/>
          <w:szCs w:val="20"/>
          <w:lang w:val="es-419"/>
        </w:rPr>
        <w:tab/>
      </w:r>
      <w:r w:rsidRPr="009D21AD">
        <w:rPr>
          <w:rFonts w:asciiTheme="majorHAnsi" w:hAnsiTheme="majorHAnsi"/>
          <w:b/>
          <w:bCs/>
          <w:sz w:val="20"/>
          <w:szCs w:val="20"/>
          <w:lang w:val="es-419"/>
        </w:rPr>
        <w:t xml:space="preserve">ANÁLISIS DE </w:t>
      </w:r>
      <w:r w:rsidRPr="009D21AD">
        <w:rPr>
          <w:rFonts w:asciiTheme="majorHAnsi" w:hAnsiTheme="majorHAnsi"/>
          <w:b/>
          <w:sz w:val="20"/>
          <w:szCs w:val="20"/>
          <w:lang w:val="es-419"/>
        </w:rPr>
        <w:t>AGOTAMIENTO DE LOS RECURSOS INTERNOS Y PLAZO DE PRESENTACIÓN</w:t>
      </w:r>
      <w:r w:rsidRPr="009D21AD">
        <w:rPr>
          <w:rFonts w:asciiTheme="majorHAnsi" w:eastAsia="Cambria" w:hAnsiTheme="majorHAnsi" w:cs="Cambria"/>
          <w:b/>
          <w:bCs/>
          <w:color w:val="000000"/>
          <w:sz w:val="20"/>
          <w:szCs w:val="20"/>
          <w:u w:color="000000"/>
          <w:lang w:val="es-419" w:eastAsia="es-ES"/>
        </w:rPr>
        <w:t xml:space="preserve"> </w:t>
      </w:r>
    </w:p>
    <w:p w14:paraId="707D7B8E" w14:textId="19503692" w:rsidR="005642D6" w:rsidRDefault="005642D6" w:rsidP="00A03C8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 xml:space="preserve">El peticionario denuncia el Estado por i) la muerte del Sr. Salazar González a manos de paramilitares y la falta de investigación y </w:t>
      </w:r>
      <w:r w:rsidR="00A924CF">
        <w:rPr>
          <w:sz w:val="20"/>
          <w:szCs w:val="20"/>
          <w:lang w:val="es-419"/>
        </w:rPr>
        <w:t>sanción</w:t>
      </w:r>
      <w:r>
        <w:rPr>
          <w:sz w:val="20"/>
          <w:szCs w:val="20"/>
          <w:lang w:val="es-419"/>
        </w:rPr>
        <w:t xml:space="preserve"> de los hechos, así como ii) por el desplazamiento forzado de los familiares después de que sufrieron una serie de amenazas, atropellos y confrontaciones.</w:t>
      </w:r>
    </w:p>
    <w:p w14:paraId="65E1D335" w14:textId="6B6581BD" w:rsidR="00673C7E" w:rsidRPr="005642D6" w:rsidRDefault="005642D6" w:rsidP="005642D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5642D6">
        <w:rPr>
          <w:sz w:val="20"/>
          <w:szCs w:val="20"/>
          <w:lang w:val="es-419"/>
        </w:rPr>
        <w:t xml:space="preserve">Con respecto al punto i), </w:t>
      </w:r>
      <w:r w:rsidR="006A2CE3" w:rsidRPr="005642D6">
        <w:rPr>
          <w:sz w:val="20"/>
          <w:szCs w:val="20"/>
          <w:lang w:val="es-419"/>
        </w:rPr>
        <w:t>la posición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274B08" w:rsidRPr="005642D6">
        <w:rPr>
          <w:sz w:val="20"/>
          <w:szCs w:val="20"/>
          <w:lang w:val="es-419"/>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5642D6">
        <w:rPr>
          <w:bCs/>
          <w:sz w:val="20"/>
          <w:szCs w:val="20"/>
          <w:vertAlign w:val="superscript"/>
          <w:lang w:val="es-419"/>
        </w:rPr>
        <w:footnoteReference w:id="7"/>
      </w:r>
      <w:r w:rsidR="00274B08" w:rsidRPr="005642D6">
        <w:rPr>
          <w:sz w:val="20"/>
          <w:szCs w:val="20"/>
          <w:lang w:val="es-419"/>
        </w:rPr>
        <w:t xml:space="preserve">. </w:t>
      </w:r>
    </w:p>
    <w:p w14:paraId="27FCACFE" w14:textId="48936938" w:rsidR="005642D6" w:rsidRPr="00BB74E7" w:rsidRDefault="00F17870" w:rsidP="00F9370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BB74E7">
        <w:rPr>
          <w:sz w:val="20"/>
          <w:szCs w:val="20"/>
          <w:lang w:val="es-419"/>
        </w:rPr>
        <w:t xml:space="preserve">En el presente caso, </w:t>
      </w:r>
      <w:r w:rsidR="00FA641A" w:rsidRPr="00BB74E7">
        <w:rPr>
          <w:sz w:val="20"/>
          <w:szCs w:val="20"/>
          <w:lang w:val="es-419"/>
        </w:rPr>
        <w:t>de acuerdo con</w:t>
      </w:r>
      <w:r w:rsidRPr="00BB74E7">
        <w:rPr>
          <w:sz w:val="20"/>
          <w:szCs w:val="20"/>
          <w:lang w:val="es-419"/>
        </w:rPr>
        <w:t xml:space="preserve"> la información proporcionada por las partes, la Comisión observa que tras la muerte de la presunta víctima </w:t>
      </w:r>
      <w:r w:rsidR="00AD11B8" w:rsidRPr="00BB74E7">
        <w:rPr>
          <w:sz w:val="20"/>
          <w:szCs w:val="20"/>
          <w:lang w:val="es-419"/>
        </w:rPr>
        <w:t xml:space="preserve">el </w:t>
      </w:r>
      <w:r w:rsidR="005642D6" w:rsidRPr="00BB74E7">
        <w:rPr>
          <w:sz w:val="20"/>
          <w:szCs w:val="20"/>
          <w:lang w:val="es-419"/>
        </w:rPr>
        <w:t>1</w:t>
      </w:r>
      <w:r w:rsidR="00AD11B8" w:rsidRPr="00BB74E7">
        <w:rPr>
          <w:sz w:val="20"/>
          <w:szCs w:val="20"/>
          <w:lang w:val="es-419"/>
        </w:rPr>
        <w:t xml:space="preserve">6 de </w:t>
      </w:r>
      <w:r w:rsidR="005642D6" w:rsidRPr="00BB74E7">
        <w:rPr>
          <w:sz w:val="20"/>
          <w:szCs w:val="20"/>
          <w:lang w:val="es-419"/>
        </w:rPr>
        <w:t>noviembre de 1999</w:t>
      </w:r>
      <w:r w:rsidRPr="00BB74E7">
        <w:rPr>
          <w:sz w:val="20"/>
          <w:szCs w:val="20"/>
          <w:lang w:val="es-419"/>
        </w:rPr>
        <w:t xml:space="preserve">, </w:t>
      </w:r>
      <w:r w:rsidR="005642D6" w:rsidRPr="00BB74E7">
        <w:rPr>
          <w:sz w:val="20"/>
          <w:szCs w:val="20"/>
          <w:lang w:val="es-419"/>
        </w:rPr>
        <w:t>la Fiscalía 31 Seccional de Yopal inició</w:t>
      </w:r>
      <w:r w:rsidRPr="00BB74E7">
        <w:rPr>
          <w:sz w:val="20"/>
          <w:szCs w:val="20"/>
          <w:lang w:val="es-419"/>
        </w:rPr>
        <w:t xml:space="preserve"> una investigación penal </w:t>
      </w:r>
      <w:r w:rsidR="005642D6" w:rsidRPr="00BB74E7">
        <w:rPr>
          <w:sz w:val="20"/>
          <w:szCs w:val="20"/>
          <w:lang w:val="es-419"/>
        </w:rPr>
        <w:t xml:space="preserve">el 18 de noviembre de 1999. Sin embargo, el 24 de julio de 2001 la Fiscalía determinó el archivo de la investigación. </w:t>
      </w:r>
      <w:r w:rsidR="005642D6" w:rsidRPr="00BB74E7">
        <w:rPr>
          <w:sz w:val="20"/>
          <w:szCs w:val="20"/>
          <w:lang w:val="es-ES"/>
        </w:rPr>
        <w:t xml:space="preserve">La CIDH </w:t>
      </w:r>
      <w:r w:rsidR="00BB74E7">
        <w:rPr>
          <w:sz w:val="20"/>
          <w:szCs w:val="20"/>
          <w:lang w:val="es-ES"/>
        </w:rPr>
        <w:t>observa</w:t>
      </w:r>
      <w:r w:rsidR="005642D6" w:rsidRPr="00BB74E7">
        <w:rPr>
          <w:sz w:val="20"/>
          <w:szCs w:val="20"/>
          <w:lang w:val="es-ES"/>
        </w:rPr>
        <w:t xml:space="preserve"> que</w:t>
      </w:r>
      <w:r w:rsidR="00BB74E7" w:rsidRPr="00BB74E7">
        <w:rPr>
          <w:sz w:val="20"/>
          <w:szCs w:val="20"/>
          <w:lang w:val="es-ES"/>
        </w:rPr>
        <w:t xml:space="preserve"> el peticionario </w:t>
      </w:r>
      <w:r w:rsidR="005642D6" w:rsidRPr="00BB74E7">
        <w:rPr>
          <w:sz w:val="20"/>
          <w:szCs w:val="20"/>
          <w:lang w:val="es-ES"/>
        </w:rPr>
        <w:t>no utilizó ningún medio para impugnar o revocar el auto inhibitorio proferido por la fiscalía</w:t>
      </w:r>
      <w:r w:rsidR="006D6EEA">
        <w:rPr>
          <w:sz w:val="20"/>
          <w:szCs w:val="20"/>
          <w:lang w:val="es-ES"/>
        </w:rPr>
        <w:t>; ni ofrece elementos de convicción que indiquen se le haya impedido impugnar esta decisión</w:t>
      </w:r>
      <w:r w:rsidR="008123B4">
        <w:rPr>
          <w:sz w:val="20"/>
          <w:szCs w:val="20"/>
          <w:lang w:val="es-ES"/>
        </w:rPr>
        <w:t>, y que sea procedente alguna otra excepción al agotamiento de esta vía</w:t>
      </w:r>
      <w:r w:rsidR="005642D6" w:rsidRPr="00BB74E7">
        <w:rPr>
          <w:sz w:val="20"/>
          <w:szCs w:val="20"/>
          <w:lang w:val="es-ES"/>
        </w:rPr>
        <w:t xml:space="preserve">. </w:t>
      </w:r>
      <w:r w:rsidR="0082449E">
        <w:rPr>
          <w:sz w:val="20"/>
          <w:szCs w:val="20"/>
          <w:lang w:val="es-ES"/>
        </w:rPr>
        <w:t xml:space="preserve">Además, esta decisión final respecto de este proceso se dio más de diez años antes de la presentación de la petición a </w:t>
      </w:r>
      <w:r w:rsidR="00590A44">
        <w:rPr>
          <w:sz w:val="20"/>
          <w:szCs w:val="20"/>
          <w:lang w:val="es-ES"/>
        </w:rPr>
        <w:t xml:space="preserve">CIDH. </w:t>
      </w:r>
      <w:r w:rsidR="005642D6" w:rsidRPr="00BB74E7">
        <w:rPr>
          <w:sz w:val="20"/>
          <w:szCs w:val="20"/>
          <w:lang w:val="es-ES"/>
        </w:rPr>
        <w:t>De esta manera, la CIDH considera</w:t>
      </w:r>
      <w:r w:rsidR="00590A44">
        <w:rPr>
          <w:sz w:val="20"/>
          <w:szCs w:val="20"/>
          <w:lang w:val="es-ES"/>
        </w:rPr>
        <w:t xml:space="preserve"> este extremo de la petición no cumple con los requisitos </w:t>
      </w:r>
      <w:r w:rsidR="00590A44">
        <w:rPr>
          <w:sz w:val="20"/>
          <w:szCs w:val="20"/>
          <w:lang w:val="es-ES"/>
        </w:rPr>
        <w:lastRenderedPageBreak/>
        <w:t xml:space="preserve">establecidos en los artículos 46.1.a) y b) </w:t>
      </w:r>
      <w:r w:rsidR="005642D6" w:rsidRPr="00BB74E7">
        <w:rPr>
          <w:sz w:val="20"/>
          <w:szCs w:val="20"/>
          <w:lang w:val="es-ES"/>
        </w:rPr>
        <w:t>de la Convención Americana</w:t>
      </w:r>
      <w:r w:rsidR="005642D6" w:rsidRPr="005642D6">
        <w:rPr>
          <w:bCs/>
          <w:sz w:val="20"/>
          <w:szCs w:val="20"/>
          <w:vertAlign w:val="superscript"/>
          <w:lang w:val="es-419"/>
        </w:rPr>
        <w:footnoteReference w:id="8"/>
      </w:r>
      <w:r w:rsidR="005642D6" w:rsidRPr="00BB74E7">
        <w:rPr>
          <w:sz w:val="20"/>
          <w:szCs w:val="20"/>
          <w:lang w:val="es-ES"/>
        </w:rPr>
        <w:t>.</w:t>
      </w:r>
    </w:p>
    <w:p w14:paraId="76BB5E88" w14:textId="5C9D3AC5" w:rsidR="00DF4DBC" w:rsidRDefault="00EF5B04" w:rsidP="00DF4DB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sidRPr="00DF4DBC">
        <w:rPr>
          <w:sz w:val="20"/>
          <w:szCs w:val="20"/>
          <w:lang w:val="es-419"/>
        </w:rPr>
        <w:t xml:space="preserve">Con respecto al punto ii), </w:t>
      </w:r>
      <w:r w:rsidR="00DF4DBC" w:rsidRPr="00DF4DBC">
        <w:rPr>
          <w:sz w:val="20"/>
          <w:szCs w:val="20"/>
          <w:lang w:val="es-419"/>
        </w:rPr>
        <w:t>e</w:t>
      </w:r>
      <w:r w:rsidRPr="00DF4DBC">
        <w:rPr>
          <w:sz w:val="20"/>
          <w:szCs w:val="20"/>
          <w:lang w:val="es-419"/>
        </w:rPr>
        <w:t xml:space="preserve">l Estado argumenta que no existe registro de denuncias referentes al desplazamiento forzado. El peticionario, de su parte, informa que la Sra. Rubiano Guarnizo inició un procedimiento administrativo en 21 de noviembre de 2008 ante la Oficina de la Presidencia de la República de Acción Social, dependencia del Ministerio de Interior y Justicia, con el fin de que fuera reconocida como víctima del conflicto armado, junto con sus hijos; sin embargo, no presenta fechas u otros detalles sobre estos hechos. La Comisión Interamericana nota que el anexo presentado por el peticionario consiste en copia de una hoja con datos muy básicos y genéricos, como el número del radicado (“radicación de acción social 152854”) y la fecha de radicación (21 de noviembre de 2008). La copia, además, indica el Sr. Salazar González como la víctima. No hay información adicional. </w:t>
      </w:r>
      <w:r w:rsidR="00DF4DBC" w:rsidRPr="00DF4DBC">
        <w:rPr>
          <w:sz w:val="20"/>
          <w:szCs w:val="20"/>
          <w:lang w:val="es-419"/>
        </w:rPr>
        <w:t>Adicionalmente, la Comisión observa e</w:t>
      </w:r>
      <w:r w:rsidRPr="00DF4DBC">
        <w:rPr>
          <w:sz w:val="20"/>
          <w:szCs w:val="20"/>
          <w:lang w:val="es-419"/>
        </w:rPr>
        <w:t xml:space="preserve">l peticionario no aclara de qué manera las presuntas víctimas denunciaron o buscaron cualquier recurso interno frente a las amenazas, atropellos y confrontaciones que supuestamente generaron el desplazamiento forzado. </w:t>
      </w:r>
    </w:p>
    <w:p w14:paraId="46CBACD8" w14:textId="7C2390EA" w:rsidR="00A654BB" w:rsidRPr="00DF4DBC" w:rsidRDefault="00DF4DBC" w:rsidP="00DF4DB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419"/>
        </w:rPr>
      </w:pPr>
      <w:r>
        <w:rPr>
          <w:sz w:val="20"/>
          <w:szCs w:val="20"/>
          <w:lang w:val="es-419"/>
        </w:rPr>
        <w:t>La</w:t>
      </w:r>
      <w:r w:rsidRPr="00DF4DBC">
        <w:rPr>
          <w:sz w:val="20"/>
          <w:szCs w:val="20"/>
          <w:lang w:val="es-419"/>
        </w:rPr>
        <w:t xml:space="preserve"> CIDH considera, como lo ha hecho en otras oportunidades, que el recurso idóneo a agotar en relación con el delito de desplazamiento forzado es la denuncia penal de los hechos</w:t>
      </w:r>
      <w:r w:rsidRPr="005642D6">
        <w:rPr>
          <w:bCs/>
          <w:sz w:val="20"/>
          <w:szCs w:val="20"/>
          <w:vertAlign w:val="superscript"/>
          <w:lang w:val="es-419"/>
        </w:rPr>
        <w:footnoteReference w:id="9"/>
      </w:r>
      <w:r w:rsidRPr="00DF4DBC">
        <w:rPr>
          <w:sz w:val="20"/>
          <w:szCs w:val="20"/>
          <w:lang w:val="es-419"/>
        </w:rPr>
        <w:t xml:space="preserve">. Sin embargo, el peticionario no ha aportado elementos que permitan establecer que, en efecto, habría acudido a esta vía ni agotando los procedimientos correspondientes al respecto de sus alegatos sobre el desplazamiento sufrido por las presuntas víctimas. </w:t>
      </w:r>
      <w:r>
        <w:rPr>
          <w:sz w:val="20"/>
          <w:szCs w:val="20"/>
          <w:lang w:val="es-419"/>
        </w:rPr>
        <w:t>E</w:t>
      </w:r>
      <w:r w:rsidRPr="00DF4DBC">
        <w:rPr>
          <w:sz w:val="20"/>
          <w:szCs w:val="20"/>
          <w:lang w:val="es-419"/>
        </w:rPr>
        <w:t xml:space="preserve">l peticionario no ha aportado información relativa al agotamiento de los recursos internos que permita a la CIDH verificar que la petición cumple con </w:t>
      </w:r>
      <w:r w:rsidR="00BB74E7">
        <w:rPr>
          <w:sz w:val="20"/>
          <w:szCs w:val="20"/>
          <w:lang w:val="es-419"/>
        </w:rPr>
        <w:t>la regla del previo agotamiento</w:t>
      </w:r>
      <w:r w:rsidRPr="00DF4DBC">
        <w:rPr>
          <w:sz w:val="20"/>
          <w:szCs w:val="20"/>
          <w:lang w:val="es-419"/>
        </w:rPr>
        <w:t>. En atención a estas consideraciones, la Comisión Interamericana concluye que este extremo de la petición no cumple con el requisito establecido en el artículo 46.1.a) de la Convención Americana.</w:t>
      </w:r>
      <w:r>
        <w:rPr>
          <w:sz w:val="20"/>
          <w:szCs w:val="20"/>
          <w:lang w:val="es-419"/>
        </w:rPr>
        <w:t xml:space="preserve"> </w:t>
      </w:r>
      <w:r w:rsidRPr="00DF4DBC">
        <w:rPr>
          <w:sz w:val="20"/>
          <w:szCs w:val="20"/>
          <w:lang w:val="es-ES"/>
        </w:rPr>
        <w:t>En virtud de lo anterior, resulta innecesario analizar la caracterización de los hechos denunciados como posibles violaciones de las garantías judiciales de las presuntas víctimas</w:t>
      </w:r>
      <w:r w:rsidRPr="005642D6">
        <w:rPr>
          <w:bCs/>
          <w:sz w:val="20"/>
          <w:szCs w:val="20"/>
          <w:vertAlign w:val="superscript"/>
          <w:lang w:val="es-419"/>
        </w:rPr>
        <w:footnoteReference w:id="10"/>
      </w:r>
      <w:r w:rsidRPr="00DF4DBC">
        <w:rPr>
          <w:sz w:val="20"/>
          <w:szCs w:val="20"/>
          <w:lang w:val="es-ES"/>
        </w:rPr>
        <w:t>.</w:t>
      </w:r>
    </w:p>
    <w:p w14:paraId="40DABB4D" w14:textId="6CFCC80C" w:rsidR="006E3BAD" w:rsidRPr="009D21AD" w:rsidRDefault="006E3BAD" w:rsidP="003A4D4D">
      <w:pPr>
        <w:pStyle w:val="ListParagraph"/>
        <w:spacing w:before="240" w:after="240"/>
        <w:ind w:left="0" w:firstLine="709"/>
        <w:jc w:val="both"/>
        <w:rPr>
          <w:rFonts w:asciiTheme="majorHAnsi" w:hAnsiTheme="majorHAnsi"/>
          <w:b/>
          <w:sz w:val="20"/>
          <w:szCs w:val="20"/>
          <w:lang w:val="es-419"/>
        </w:rPr>
      </w:pPr>
      <w:r w:rsidRPr="009D21AD">
        <w:rPr>
          <w:rFonts w:asciiTheme="majorHAnsi" w:hAnsiTheme="majorHAnsi"/>
          <w:b/>
          <w:sz w:val="20"/>
          <w:szCs w:val="20"/>
          <w:lang w:val="es-419"/>
        </w:rPr>
        <w:t xml:space="preserve">VII. </w:t>
      </w:r>
      <w:r w:rsidRPr="009D21AD">
        <w:rPr>
          <w:rFonts w:asciiTheme="majorHAnsi" w:hAnsiTheme="majorHAnsi"/>
          <w:b/>
          <w:sz w:val="20"/>
          <w:szCs w:val="20"/>
          <w:lang w:val="es-419"/>
        </w:rPr>
        <w:tab/>
      </w:r>
      <w:r w:rsidRPr="009D21AD">
        <w:rPr>
          <w:rFonts w:asciiTheme="majorHAnsi" w:hAnsiTheme="majorHAnsi"/>
          <w:b/>
          <w:bCs/>
          <w:sz w:val="20"/>
          <w:szCs w:val="20"/>
          <w:lang w:val="es-419"/>
        </w:rPr>
        <w:t>DECISIÓ</w:t>
      </w:r>
      <w:r w:rsidR="005F2DC5" w:rsidRPr="009D21AD">
        <w:rPr>
          <w:rFonts w:asciiTheme="majorHAnsi" w:hAnsiTheme="majorHAnsi"/>
          <w:b/>
          <w:bCs/>
          <w:sz w:val="20"/>
          <w:szCs w:val="20"/>
          <w:lang w:val="es-419"/>
        </w:rPr>
        <w:t>N</w:t>
      </w:r>
    </w:p>
    <w:p w14:paraId="776C2EB8" w14:textId="04573644" w:rsidR="006E3BAD" w:rsidRPr="009D21AD" w:rsidRDefault="006E3BAD" w:rsidP="003A4D4D">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9D21AD">
        <w:rPr>
          <w:sz w:val="20"/>
          <w:szCs w:val="20"/>
          <w:lang w:val="es-419"/>
        </w:rPr>
        <w:t xml:space="preserve">Declarar </w:t>
      </w:r>
      <w:r w:rsidR="00DF4DBC">
        <w:rPr>
          <w:sz w:val="20"/>
          <w:szCs w:val="20"/>
          <w:lang w:val="es-419"/>
        </w:rPr>
        <w:t>in</w:t>
      </w:r>
      <w:r w:rsidRPr="009D21AD">
        <w:rPr>
          <w:sz w:val="20"/>
          <w:szCs w:val="20"/>
          <w:lang w:val="es-419"/>
        </w:rPr>
        <w:t>admisible la presente petición</w:t>
      </w:r>
      <w:r w:rsidR="0026174C" w:rsidRPr="009D21AD">
        <w:rPr>
          <w:sz w:val="20"/>
          <w:szCs w:val="20"/>
          <w:lang w:val="es-419"/>
        </w:rPr>
        <w:t>; y</w:t>
      </w:r>
    </w:p>
    <w:p w14:paraId="4632F8A8" w14:textId="20C98148" w:rsidR="007C3799" w:rsidRDefault="006E3BAD" w:rsidP="007C3799">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sz w:val="20"/>
          <w:szCs w:val="20"/>
          <w:lang w:val="es-419"/>
        </w:rPr>
      </w:pPr>
      <w:r w:rsidRPr="009D21AD">
        <w:rPr>
          <w:sz w:val="20"/>
          <w:szCs w:val="20"/>
          <w:lang w:val="es-419"/>
        </w:rPr>
        <w:t>Notificar a las partes la presente decisión; y publicar esta decisión e incluirla en su Informe Anual a la Asamblea General de la Organización de los Estados Americanos.</w:t>
      </w:r>
    </w:p>
    <w:p w14:paraId="6F200649" w14:textId="0BDC0626" w:rsidR="00A93FCF" w:rsidRPr="00E20BD0" w:rsidRDefault="004A01E7" w:rsidP="00E20BD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D08DD">
        <w:rPr>
          <w:rStyle w:val="normaltextrun"/>
          <w:rFonts w:ascii="Cambria" w:hAnsi="Cambria" w:cs="Segoe UI"/>
          <w:sz w:val="20"/>
          <w:szCs w:val="20"/>
          <w:lang w:val="es-CL"/>
        </w:rPr>
        <w:t>9</w:t>
      </w:r>
      <w:r>
        <w:rPr>
          <w:rStyle w:val="normaltextrun"/>
          <w:rFonts w:ascii="Cambria" w:hAnsi="Cambria" w:cs="Segoe UI"/>
          <w:sz w:val="20"/>
          <w:szCs w:val="20"/>
          <w:lang w:val="es-CL"/>
        </w:rPr>
        <w:t xml:space="preserve"> días del mes de junio de 2023.  (Firmado): Esmeralda Arosemena de Troitiño, Primer</w:t>
      </w:r>
      <w:r w:rsidR="00E20BD0">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E20BD0">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Julissa Mantilla Falcón y Stuardo Ralón Orellana, </w:t>
      </w:r>
      <w:r w:rsidR="00E20BD0">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eastAsia="Trebuchet MS" w:hAnsi="Cambria" w:cs="Segoe UI"/>
          <w:sz w:val="20"/>
          <w:szCs w:val="20"/>
          <w:lang w:val="es-ES"/>
        </w:rPr>
        <w:t> </w:t>
      </w:r>
    </w:p>
    <w:sectPr w:rsidR="00A93FCF" w:rsidRPr="00E20BD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49D9" w14:textId="77777777" w:rsidR="00D117CA" w:rsidRDefault="00D117CA">
      <w:r>
        <w:separator/>
      </w:r>
    </w:p>
  </w:endnote>
  <w:endnote w:type="continuationSeparator" w:id="0">
    <w:p w14:paraId="4172B1D1" w14:textId="77777777" w:rsidR="00D117CA" w:rsidRDefault="00D1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FFFB" w14:textId="77777777" w:rsidR="00D117CA" w:rsidRPr="000F35ED" w:rsidRDefault="00D117C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407695" w14:textId="77777777" w:rsidR="00D117CA" w:rsidRPr="000F35ED" w:rsidRDefault="00D117CA" w:rsidP="000F35ED">
      <w:pPr>
        <w:rPr>
          <w:rFonts w:asciiTheme="majorHAnsi" w:hAnsiTheme="majorHAnsi"/>
          <w:sz w:val="16"/>
          <w:szCs w:val="16"/>
        </w:rPr>
      </w:pPr>
      <w:r w:rsidRPr="000F35ED">
        <w:rPr>
          <w:rFonts w:asciiTheme="majorHAnsi" w:hAnsiTheme="majorHAnsi"/>
          <w:sz w:val="16"/>
          <w:szCs w:val="16"/>
        </w:rPr>
        <w:separator/>
      </w:r>
    </w:p>
    <w:p w14:paraId="56120B4B" w14:textId="77777777" w:rsidR="00D117CA" w:rsidRPr="000F35ED" w:rsidRDefault="00D117C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2645194" w14:textId="77777777" w:rsidR="00D117CA" w:rsidRPr="000F35ED" w:rsidRDefault="00D117C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7975C6" w14:textId="24FEA843" w:rsidR="00AC56F7" w:rsidRPr="00B24827" w:rsidRDefault="00AC56F7"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Los familiares identificados por el peticionario son: Nubia Paulina Rubiano Guarnizo (esposa), Jaime Andrés Salazar Rubiano y Paula Andrea Salazar Rubiano (hijos).</w:t>
      </w:r>
    </w:p>
  </w:footnote>
  <w:footnote w:id="3">
    <w:p w14:paraId="66E930B8" w14:textId="0F8D0D77" w:rsidR="004A6A54" w:rsidRPr="00B24827" w:rsidRDefault="004A6A54"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Conforme a lo dispuesto en el artículo 17.2.a del Reglamento de la Comisión, el Comisionado </w:t>
      </w:r>
      <w:r w:rsidR="00E2321A" w:rsidRPr="00B24827">
        <w:rPr>
          <w:rFonts w:asciiTheme="majorHAnsi" w:hAnsiTheme="majorHAnsi"/>
          <w:sz w:val="16"/>
          <w:szCs w:val="16"/>
          <w:lang w:val="es-419"/>
        </w:rPr>
        <w:t>Carlos Bernal Pulido</w:t>
      </w:r>
      <w:r w:rsidRPr="00B24827">
        <w:rPr>
          <w:rFonts w:asciiTheme="majorHAnsi" w:hAnsiTheme="majorHAnsi"/>
          <w:sz w:val="16"/>
          <w:szCs w:val="16"/>
          <w:lang w:val="es-419"/>
        </w:rPr>
        <w:t xml:space="preserve">, de nacionalidad </w:t>
      </w:r>
      <w:r w:rsidR="00E2321A" w:rsidRPr="00B24827">
        <w:rPr>
          <w:rFonts w:asciiTheme="majorHAnsi" w:hAnsiTheme="majorHAnsi"/>
          <w:sz w:val="16"/>
          <w:szCs w:val="16"/>
          <w:lang w:val="es-419"/>
        </w:rPr>
        <w:t>colombiana</w:t>
      </w:r>
      <w:r w:rsidRPr="00B24827">
        <w:rPr>
          <w:rFonts w:asciiTheme="majorHAnsi" w:hAnsiTheme="majorHAnsi"/>
          <w:sz w:val="16"/>
          <w:szCs w:val="16"/>
          <w:lang w:val="es-419"/>
        </w:rPr>
        <w:t>, no participó en el debate ni en la decisión del presente asunto.</w:t>
      </w:r>
    </w:p>
  </w:footnote>
  <w:footnote w:id="4">
    <w:p w14:paraId="70358AB8" w14:textId="77777777" w:rsidR="00D60CFC" w:rsidRPr="00B24827" w:rsidRDefault="00D60CFC"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En adelante “la Convención Americana” o “la Convención”.</w:t>
      </w:r>
    </w:p>
  </w:footnote>
  <w:footnote w:id="5">
    <w:p w14:paraId="1AFEF3B0" w14:textId="77777777" w:rsidR="008E3BFE" w:rsidRPr="00B24827" w:rsidRDefault="008E3BFE"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Las observaciones de cada parte fueron debidamente trasladadas a la parte contraria.</w:t>
      </w:r>
    </w:p>
  </w:footnote>
  <w:footnote w:id="6">
    <w:p w14:paraId="1B8A50FB" w14:textId="0C667956" w:rsidR="00B24827" w:rsidRPr="00B24827" w:rsidRDefault="00B24827" w:rsidP="00B24827">
      <w:pPr>
        <w:pStyle w:val="FootnoteText"/>
        <w:ind w:firstLine="720"/>
        <w:jc w:val="both"/>
        <w:rPr>
          <w:rFonts w:asciiTheme="majorHAnsi" w:hAnsiTheme="majorHAnsi"/>
          <w:sz w:val="16"/>
          <w:szCs w:val="16"/>
          <w:lang w:val="es-ES"/>
        </w:rPr>
      </w:pPr>
      <w:r w:rsidRPr="00B24827">
        <w:rPr>
          <w:rStyle w:val="FootnoteReference"/>
          <w:rFonts w:asciiTheme="majorHAnsi" w:hAnsiTheme="majorHAnsi"/>
          <w:sz w:val="16"/>
          <w:szCs w:val="16"/>
        </w:rPr>
        <w:footnoteRef/>
      </w:r>
      <w:r w:rsidRPr="00B24827">
        <w:rPr>
          <w:rFonts w:asciiTheme="majorHAnsi" w:hAnsiTheme="majorHAnsi"/>
          <w:sz w:val="16"/>
          <w:szCs w:val="16"/>
          <w:lang w:val="es-ES"/>
        </w:rPr>
        <w:t xml:space="preserve"> “</w:t>
      </w:r>
      <w:r w:rsidRPr="00B24827">
        <w:rPr>
          <w:rFonts w:asciiTheme="majorHAnsi" w:hAnsiTheme="majorHAnsi"/>
          <w:i/>
          <w:iCs/>
          <w:sz w:val="16"/>
          <w:szCs w:val="16"/>
          <w:lang w:val="es-ES"/>
        </w:rPr>
        <w:t>El juez de control de garantías deberá efectuar el control de legalidad de las solicitudes individuales o colectivas respectivas dentro de los cinco (5) días siguientes a la determinación de la Fiscalía de dar aplicación al principio de oportunidad. Dicho control será obligatorio y automático y se realizará en audiencia especial en la que la víctima y el Ministerio Público podrán controvertir la prueba aducida por la Fiscalía General de la Nación para sustentar la decisión. El juez resolverá de plano. La aplicación del principio de oportunidad y los preacuerdos de los posibles imputados o acusados y la Fiscalía, no podrá comprometer la presunción de inocencia y solo procederán si hay un mínimo de prueba que permita inferir la autoría o participación en la conducta y su tipicidad.</w:t>
      </w:r>
      <w:r w:rsidRPr="00B24827">
        <w:rPr>
          <w:rFonts w:asciiTheme="majorHAnsi" w:hAnsiTheme="majorHAnsi"/>
          <w:sz w:val="16"/>
          <w:szCs w:val="16"/>
          <w:lang w:val="es-ES"/>
        </w:rPr>
        <w:t>”</w:t>
      </w:r>
    </w:p>
  </w:footnote>
  <w:footnote w:id="7">
    <w:p w14:paraId="09CDCE09" w14:textId="4CF4EE44" w:rsidR="00274B08" w:rsidRPr="00B24827" w:rsidRDefault="00274B08"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sidR="005642D6" w:rsidRPr="00B24827">
        <w:rPr>
          <w:rFonts w:asciiTheme="majorHAnsi" w:hAnsiTheme="majorHAnsi"/>
          <w:sz w:val="16"/>
          <w:szCs w:val="16"/>
          <w:lang w:val="es-419"/>
        </w:rPr>
        <w:t>CIDH, Informe No. 13/22. Petición 1332-11. Admisibilidad. Orlando Hernández Ramírez y familiares. Colombia. 9 de febrero de 2022, párrafo 7; CIDH, Informe No. 72/18, Petición 1131-08. Admisibilidad. Moisés de Jesús Hernández Pinto y familia. Guatemala. 20 de junio de 2018, párrafo 10; CIDH, Informe No. 70/14. Petición 1453-06. Admisibilidad. Maicon de Souza Silva. Renato da Silva Paixão y otros. 25 de julio de 2014, párrafo 18; Informe No. 3/12, Petición 12.224, Admisibilidad, Santiago Antezana Cueto y otros, Perú, 27 de enero de 2012, párrafo 24; Informe No. 124/17, Petición 21-08, Admisibilidad, Fernanda López Medina y otros, Perú, 7 de septiembre de 2017, párrafos 3, 9-11; CIDH, Informe No. 159/17, Petición 712-08. Admisibilidad. Sebastián Larroza Velázquez y familia. Paraguay. 30 de noviembre de 2017, párrafo 14.</w:t>
      </w:r>
    </w:p>
  </w:footnote>
  <w:footnote w:id="8">
    <w:p w14:paraId="53AB2F0F" w14:textId="79D1D9E7" w:rsidR="005642D6" w:rsidRPr="00B24827" w:rsidRDefault="005642D6"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sidR="00BB74E7">
        <w:rPr>
          <w:rFonts w:asciiTheme="majorHAnsi" w:hAnsiTheme="majorHAnsi"/>
          <w:sz w:val="16"/>
          <w:szCs w:val="16"/>
          <w:lang w:val="es-419"/>
        </w:rPr>
        <w:t>Similarmente</w:t>
      </w:r>
      <w:r w:rsidRPr="00B24827">
        <w:rPr>
          <w:rFonts w:asciiTheme="majorHAnsi" w:hAnsiTheme="majorHAnsi"/>
          <w:sz w:val="16"/>
          <w:szCs w:val="16"/>
          <w:lang w:val="es-419"/>
        </w:rPr>
        <w:t xml:space="preserve">: </w:t>
      </w:r>
      <w:hyperlink r:id="rId1" w:history="1">
        <w:r w:rsidR="003612A4" w:rsidRPr="00B24827">
          <w:rPr>
            <w:rStyle w:val="Hyperlink"/>
            <w:rFonts w:asciiTheme="majorHAnsi" w:hAnsiTheme="majorHAnsi"/>
            <w:sz w:val="16"/>
            <w:szCs w:val="16"/>
            <w:u w:val="none"/>
            <w:lang w:val="es-419"/>
          </w:rPr>
          <w:t>CIDH, Informe No. 153/22. Petición 1466-08. Inadmisibilidad. Ana Delia Campo Peláez y familiares. Colombia. 30 de junio de 2022</w:t>
        </w:r>
      </w:hyperlink>
      <w:r w:rsidR="003612A4" w:rsidRPr="00B24827">
        <w:rPr>
          <w:rFonts w:asciiTheme="majorHAnsi" w:hAnsiTheme="majorHAnsi"/>
          <w:sz w:val="16"/>
          <w:szCs w:val="16"/>
          <w:lang w:val="es-419"/>
        </w:rPr>
        <w:t xml:space="preserve">, </w:t>
      </w:r>
      <w:r w:rsidRPr="00B24827">
        <w:rPr>
          <w:rFonts w:asciiTheme="majorHAnsi" w:hAnsiTheme="majorHAnsi"/>
          <w:sz w:val="16"/>
          <w:szCs w:val="16"/>
          <w:lang w:val="es-419"/>
        </w:rPr>
        <w:t>párrafo 11.</w:t>
      </w:r>
    </w:p>
  </w:footnote>
  <w:footnote w:id="9">
    <w:p w14:paraId="373B03AC" w14:textId="0B822298" w:rsidR="00DF4DBC" w:rsidRPr="00B24827" w:rsidRDefault="00DF4DBC"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sidR="00797775" w:rsidRPr="00B24827">
        <w:rPr>
          <w:rFonts w:asciiTheme="majorHAnsi" w:hAnsiTheme="majorHAnsi"/>
          <w:sz w:val="16"/>
          <w:szCs w:val="16"/>
          <w:lang w:val="es-419"/>
        </w:rPr>
        <w:t>CIDH, Informe No. 11/17. 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Colombia. 4 de mayo de 2018, párr. 11.</w:t>
      </w:r>
    </w:p>
  </w:footnote>
  <w:footnote w:id="10">
    <w:p w14:paraId="60524294" w14:textId="7B0F5C3A" w:rsidR="00DF4DBC" w:rsidRPr="00B24827" w:rsidRDefault="00DF4DBC" w:rsidP="00B24827">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Similarmente: </w:t>
      </w:r>
      <w:r w:rsidR="00797775" w:rsidRPr="00B24827">
        <w:rPr>
          <w:rFonts w:asciiTheme="majorHAnsi" w:hAnsiTheme="majorHAnsi"/>
          <w:sz w:val="16"/>
          <w:szCs w:val="16"/>
          <w:lang w:val="es-419"/>
        </w:rPr>
        <w:t xml:space="preserve">CIDH, Informe No. 8/22. Petición 1889-10. Admisibilidad. Jairo Rocha González y familia. Colombia. Jairo Rocha González y familia. 9 de febrero de 2022, </w:t>
      </w:r>
      <w:r w:rsidRPr="00B24827">
        <w:rPr>
          <w:rFonts w:asciiTheme="majorHAnsi" w:hAnsiTheme="majorHAnsi"/>
          <w:sz w:val="16"/>
          <w:szCs w:val="16"/>
          <w:lang w:val="es-419"/>
        </w:rPr>
        <w:t>párrafo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F765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337EF"/>
    <w:rsid w:val="00040C3A"/>
    <w:rsid w:val="000419AD"/>
    <w:rsid w:val="000433C9"/>
    <w:rsid w:val="000444E7"/>
    <w:rsid w:val="00071174"/>
    <w:rsid w:val="000716C5"/>
    <w:rsid w:val="000729FC"/>
    <w:rsid w:val="00073C01"/>
    <w:rsid w:val="00075E23"/>
    <w:rsid w:val="00082615"/>
    <w:rsid w:val="00091A11"/>
    <w:rsid w:val="0009344A"/>
    <w:rsid w:val="00096E49"/>
    <w:rsid w:val="000970F4"/>
    <w:rsid w:val="00097397"/>
    <w:rsid w:val="000A392E"/>
    <w:rsid w:val="000A575F"/>
    <w:rsid w:val="000A7046"/>
    <w:rsid w:val="000B4054"/>
    <w:rsid w:val="000B4E46"/>
    <w:rsid w:val="000B66F4"/>
    <w:rsid w:val="000B7730"/>
    <w:rsid w:val="000D05CB"/>
    <w:rsid w:val="000D10DB"/>
    <w:rsid w:val="000E5EB5"/>
    <w:rsid w:val="000E615D"/>
    <w:rsid w:val="000F0246"/>
    <w:rsid w:val="000F35ED"/>
    <w:rsid w:val="000F7614"/>
    <w:rsid w:val="000F7653"/>
    <w:rsid w:val="001009D5"/>
    <w:rsid w:val="0010550C"/>
    <w:rsid w:val="00107131"/>
    <w:rsid w:val="0010736F"/>
    <w:rsid w:val="0011075B"/>
    <w:rsid w:val="00113F73"/>
    <w:rsid w:val="00117C83"/>
    <w:rsid w:val="00121CC2"/>
    <w:rsid w:val="001235CB"/>
    <w:rsid w:val="00131425"/>
    <w:rsid w:val="00133EE5"/>
    <w:rsid w:val="00165562"/>
    <w:rsid w:val="00167A34"/>
    <w:rsid w:val="001A520D"/>
    <w:rsid w:val="001A7870"/>
    <w:rsid w:val="001A7D7B"/>
    <w:rsid w:val="001B11A3"/>
    <w:rsid w:val="001B3A00"/>
    <w:rsid w:val="001C1B41"/>
    <w:rsid w:val="001D21C7"/>
    <w:rsid w:val="001D65EF"/>
    <w:rsid w:val="001E15E7"/>
    <w:rsid w:val="001E49E7"/>
    <w:rsid w:val="001F3629"/>
    <w:rsid w:val="001F7201"/>
    <w:rsid w:val="002069DD"/>
    <w:rsid w:val="00211A7C"/>
    <w:rsid w:val="00220F8C"/>
    <w:rsid w:val="00223A29"/>
    <w:rsid w:val="002250A3"/>
    <w:rsid w:val="00234F71"/>
    <w:rsid w:val="00235217"/>
    <w:rsid w:val="00237C68"/>
    <w:rsid w:val="00246D1F"/>
    <w:rsid w:val="00247403"/>
    <w:rsid w:val="00247542"/>
    <w:rsid w:val="002616DA"/>
    <w:rsid w:val="0026174C"/>
    <w:rsid w:val="00266B61"/>
    <w:rsid w:val="0026712A"/>
    <w:rsid w:val="002704DB"/>
    <w:rsid w:val="00274B08"/>
    <w:rsid w:val="00280B37"/>
    <w:rsid w:val="002829E1"/>
    <w:rsid w:val="002861DF"/>
    <w:rsid w:val="002A0AAE"/>
    <w:rsid w:val="002A5820"/>
    <w:rsid w:val="002A7C9D"/>
    <w:rsid w:val="002B1533"/>
    <w:rsid w:val="002B5D46"/>
    <w:rsid w:val="002D2B26"/>
    <w:rsid w:val="002D7E73"/>
    <w:rsid w:val="002D7EA2"/>
    <w:rsid w:val="002E187C"/>
    <w:rsid w:val="002E3E8B"/>
    <w:rsid w:val="002F3F8C"/>
    <w:rsid w:val="00301A08"/>
    <w:rsid w:val="00302733"/>
    <w:rsid w:val="00305835"/>
    <w:rsid w:val="00306F33"/>
    <w:rsid w:val="00311663"/>
    <w:rsid w:val="00313449"/>
    <w:rsid w:val="00314078"/>
    <w:rsid w:val="0031535D"/>
    <w:rsid w:val="00320210"/>
    <w:rsid w:val="003239B8"/>
    <w:rsid w:val="0033169F"/>
    <w:rsid w:val="00344977"/>
    <w:rsid w:val="003459D0"/>
    <w:rsid w:val="00346C95"/>
    <w:rsid w:val="00356185"/>
    <w:rsid w:val="00360380"/>
    <w:rsid w:val="003612A4"/>
    <w:rsid w:val="00367FF5"/>
    <w:rsid w:val="00372C18"/>
    <w:rsid w:val="0037519E"/>
    <w:rsid w:val="00375EC1"/>
    <w:rsid w:val="00380295"/>
    <w:rsid w:val="00386CF0"/>
    <w:rsid w:val="003873A3"/>
    <w:rsid w:val="00387EEE"/>
    <w:rsid w:val="003A4D4D"/>
    <w:rsid w:val="003B70FB"/>
    <w:rsid w:val="003C676B"/>
    <w:rsid w:val="003D3BC2"/>
    <w:rsid w:val="003D67A9"/>
    <w:rsid w:val="003E51E9"/>
    <w:rsid w:val="003E6CA1"/>
    <w:rsid w:val="003F5154"/>
    <w:rsid w:val="003F6974"/>
    <w:rsid w:val="003F740A"/>
    <w:rsid w:val="00405F9C"/>
    <w:rsid w:val="004065A8"/>
    <w:rsid w:val="00411221"/>
    <w:rsid w:val="00415793"/>
    <w:rsid w:val="00415AE5"/>
    <w:rsid w:val="004165C2"/>
    <w:rsid w:val="004205D0"/>
    <w:rsid w:val="00421CDB"/>
    <w:rsid w:val="004241A0"/>
    <w:rsid w:val="00427B38"/>
    <w:rsid w:val="004356E8"/>
    <w:rsid w:val="00441ECB"/>
    <w:rsid w:val="00445193"/>
    <w:rsid w:val="00451601"/>
    <w:rsid w:val="00454013"/>
    <w:rsid w:val="004612A5"/>
    <w:rsid w:val="00462C1B"/>
    <w:rsid w:val="00465F99"/>
    <w:rsid w:val="00467B7E"/>
    <w:rsid w:val="00473BB4"/>
    <w:rsid w:val="00477592"/>
    <w:rsid w:val="00480458"/>
    <w:rsid w:val="00486F1C"/>
    <w:rsid w:val="0049419D"/>
    <w:rsid w:val="00496630"/>
    <w:rsid w:val="004A01E7"/>
    <w:rsid w:val="004A057B"/>
    <w:rsid w:val="004A6A54"/>
    <w:rsid w:val="004B0385"/>
    <w:rsid w:val="004B421C"/>
    <w:rsid w:val="004C20D2"/>
    <w:rsid w:val="004C2312"/>
    <w:rsid w:val="004C3882"/>
    <w:rsid w:val="004C4B62"/>
    <w:rsid w:val="004C54C9"/>
    <w:rsid w:val="004D4ABA"/>
    <w:rsid w:val="004D6025"/>
    <w:rsid w:val="004E013A"/>
    <w:rsid w:val="004E2649"/>
    <w:rsid w:val="004F1840"/>
    <w:rsid w:val="004F1B17"/>
    <w:rsid w:val="004F626F"/>
    <w:rsid w:val="004F6F8A"/>
    <w:rsid w:val="00501399"/>
    <w:rsid w:val="005043EB"/>
    <w:rsid w:val="005047ED"/>
    <w:rsid w:val="0050633D"/>
    <w:rsid w:val="00507BC4"/>
    <w:rsid w:val="005128E4"/>
    <w:rsid w:val="005133DB"/>
    <w:rsid w:val="00514504"/>
    <w:rsid w:val="00521E1F"/>
    <w:rsid w:val="00525560"/>
    <w:rsid w:val="00544C49"/>
    <w:rsid w:val="005516A1"/>
    <w:rsid w:val="005559EF"/>
    <w:rsid w:val="005627DD"/>
    <w:rsid w:val="00563557"/>
    <w:rsid w:val="005642D6"/>
    <w:rsid w:val="005677E8"/>
    <w:rsid w:val="0057358A"/>
    <w:rsid w:val="0057402A"/>
    <w:rsid w:val="005771D0"/>
    <w:rsid w:val="00590A44"/>
    <w:rsid w:val="0059191A"/>
    <w:rsid w:val="005921FF"/>
    <w:rsid w:val="0059395A"/>
    <w:rsid w:val="005A24ED"/>
    <w:rsid w:val="005A6D0E"/>
    <w:rsid w:val="005B039F"/>
    <w:rsid w:val="005B2E32"/>
    <w:rsid w:val="005B52B0"/>
    <w:rsid w:val="005B6806"/>
    <w:rsid w:val="005C4225"/>
    <w:rsid w:val="005F0DAD"/>
    <w:rsid w:val="005F0F33"/>
    <w:rsid w:val="005F2DC5"/>
    <w:rsid w:val="005F7AA2"/>
    <w:rsid w:val="00600DEB"/>
    <w:rsid w:val="00607AC6"/>
    <w:rsid w:val="00627562"/>
    <w:rsid w:val="00627C9F"/>
    <w:rsid w:val="006311E9"/>
    <w:rsid w:val="00632354"/>
    <w:rsid w:val="00635421"/>
    <w:rsid w:val="00635B94"/>
    <w:rsid w:val="00642810"/>
    <w:rsid w:val="0065005F"/>
    <w:rsid w:val="00650DD4"/>
    <w:rsid w:val="00652333"/>
    <w:rsid w:val="0067340A"/>
    <w:rsid w:val="00673C7E"/>
    <w:rsid w:val="0068009E"/>
    <w:rsid w:val="006830E1"/>
    <w:rsid w:val="00692219"/>
    <w:rsid w:val="00693EB9"/>
    <w:rsid w:val="006961F5"/>
    <w:rsid w:val="006A17D2"/>
    <w:rsid w:val="006A2CE3"/>
    <w:rsid w:val="006A5F9D"/>
    <w:rsid w:val="006A73E6"/>
    <w:rsid w:val="006B2D5C"/>
    <w:rsid w:val="006C0918"/>
    <w:rsid w:val="006C0ECF"/>
    <w:rsid w:val="006C4EB1"/>
    <w:rsid w:val="006D6EEA"/>
    <w:rsid w:val="006E0166"/>
    <w:rsid w:val="006E2FFB"/>
    <w:rsid w:val="006E3BAD"/>
    <w:rsid w:val="006E405A"/>
    <w:rsid w:val="006E543C"/>
    <w:rsid w:val="006E7B34"/>
    <w:rsid w:val="006F342A"/>
    <w:rsid w:val="006F4E29"/>
    <w:rsid w:val="0070040D"/>
    <w:rsid w:val="0070081D"/>
    <w:rsid w:val="0070697F"/>
    <w:rsid w:val="007103C4"/>
    <w:rsid w:val="00720C06"/>
    <w:rsid w:val="0072199C"/>
    <w:rsid w:val="00722C9F"/>
    <w:rsid w:val="00723817"/>
    <w:rsid w:val="007253B8"/>
    <w:rsid w:val="0073741F"/>
    <w:rsid w:val="007650C4"/>
    <w:rsid w:val="0076643F"/>
    <w:rsid w:val="00777F63"/>
    <w:rsid w:val="00785B6C"/>
    <w:rsid w:val="007900A1"/>
    <w:rsid w:val="007926EA"/>
    <w:rsid w:val="00792AF9"/>
    <w:rsid w:val="00793F1C"/>
    <w:rsid w:val="00797775"/>
    <w:rsid w:val="007A5817"/>
    <w:rsid w:val="007B05C4"/>
    <w:rsid w:val="007B60E9"/>
    <w:rsid w:val="007B6595"/>
    <w:rsid w:val="007B6CC3"/>
    <w:rsid w:val="007B76D3"/>
    <w:rsid w:val="007C3334"/>
    <w:rsid w:val="007C3799"/>
    <w:rsid w:val="007C3EF8"/>
    <w:rsid w:val="007C4209"/>
    <w:rsid w:val="007D2B98"/>
    <w:rsid w:val="007D5AC7"/>
    <w:rsid w:val="007D7374"/>
    <w:rsid w:val="007E0899"/>
    <w:rsid w:val="007E21BC"/>
    <w:rsid w:val="007E6888"/>
    <w:rsid w:val="007E7C82"/>
    <w:rsid w:val="007F2AA1"/>
    <w:rsid w:val="007F588D"/>
    <w:rsid w:val="007F74F8"/>
    <w:rsid w:val="00803F1C"/>
    <w:rsid w:val="0080600E"/>
    <w:rsid w:val="00810048"/>
    <w:rsid w:val="008123B4"/>
    <w:rsid w:val="00814688"/>
    <w:rsid w:val="00817612"/>
    <w:rsid w:val="0082449E"/>
    <w:rsid w:val="008338A4"/>
    <w:rsid w:val="00834D49"/>
    <w:rsid w:val="00837C45"/>
    <w:rsid w:val="008410CF"/>
    <w:rsid w:val="00841CD0"/>
    <w:rsid w:val="00844730"/>
    <w:rsid w:val="008457C2"/>
    <w:rsid w:val="00847A52"/>
    <w:rsid w:val="00857A82"/>
    <w:rsid w:val="0087012B"/>
    <w:rsid w:val="00872CBE"/>
    <w:rsid w:val="00873836"/>
    <w:rsid w:val="00885737"/>
    <w:rsid w:val="00890650"/>
    <w:rsid w:val="008944DC"/>
    <w:rsid w:val="00895F48"/>
    <w:rsid w:val="00897E12"/>
    <w:rsid w:val="008A7E0F"/>
    <w:rsid w:val="008B12F5"/>
    <w:rsid w:val="008C5E2D"/>
    <w:rsid w:val="008D08DD"/>
    <w:rsid w:val="008D768D"/>
    <w:rsid w:val="008E2546"/>
    <w:rsid w:val="008E3759"/>
    <w:rsid w:val="008E3BFE"/>
    <w:rsid w:val="008F1912"/>
    <w:rsid w:val="0090270B"/>
    <w:rsid w:val="009041DC"/>
    <w:rsid w:val="00917B5A"/>
    <w:rsid w:val="00920A58"/>
    <w:rsid w:val="00920A8C"/>
    <w:rsid w:val="00920CDA"/>
    <w:rsid w:val="00934A2C"/>
    <w:rsid w:val="00940970"/>
    <w:rsid w:val="00947B3B"/>
    <w:rsid w:val="00957C0E"/>
    <w:rsid w:val="00961621"/>
    <w:rsid w:val="0096706E"/>
    <w:rsid w:val="00974312"/>
    <w:rsid w:val="00974491"/>
    <w:rsid w:val="00975C4E"/>
    <w:rsid w:val="00981FBA"/>
    <w:rsid w:val="00982364"/>
    <w:rsid w:val="009917E2"/>
    <w:rsid w:val="00997BC5"/>
    <w:rsid w:val="009A4F41"/>
    <w:rsid w:val="009A53F2"/>
    <w:rsid w:val="009B381B"/>
    <w:rsid w:val="009D1753"/>
    <w:rsid w:val="009D21AD"/>
    <w:rsid w:val="009D2D7C"/>
    <w:rsid w:val="009D7611"/>
    <w:rsid w:val="009E0B61"/>
    <w:rsid w:val="009E53DE"/>
    <w:rsid w:val="009E7F46"/>
    <w:rsid w:val="009E7FF3"/>
    <w:rsid w:val="00A004BB"/>
    <w:rsid w:val="00A0110F"/>
    <w:rsid w:val="00A11212"/>
    <w:rsid w:val="00A11E44"/>
    <w:rsid w:val="00A2648A"/>
    <w:rsid w:val="00A30100"/>
    <w:rsid w:val="00A328B3"/>
    <w:rsid w:val="00A33F07"/>
    <w:rsid w:val="00A34797"/>
    <w:rsid w:val="00A50FCF"/>
    <w:rsid w:val="00A528D1"/>
    <w:rsid w:val="00A54589"/>
    <w:rsid w:val="00A610CD"/>
    <w:rsid w:val="00A6212A"/>
    <w:rsid w:val="00A654BB"/>
    <w:rsid w:val="00A758AA"/>
    <w:rsid w:val="00A8075F"/>
    <w:rsid w:val="00A924CF"/>
    <w:rsid w:val="00A93FCF"/>
    <w:rsid w:val="00A96AD2"/>
    <w:rsid w:val="00AA09A2"/>
    <w:rsid w:val="00AA65DC"/>
    <w:rsid w:val="00AA7996"/>
    <w:rsid w:val="00AB3141"/>
    <w:rsid w:val="00AC19CB"/>
    <w:rsid w:val="00AC56F7"/>
    <w:rsid w:val="00AD11B8"/>
    <w:rsid w:val="00AE5488"/>
    <w:rsid w:val="00AE6F91"/>
    <w:rsid w:val="00AF1AF9"/>
    <w:rsid w:val="00AF5571"/>
    <w:rsid w:val="00B0247A"/>
    <w:rsid w:val="00B05FBE"/>
    <w:rsid w:val="00B07341"/>
    <w:rsid w:val="00B24827"/>
    <w:rsid w:val="00B27DA2"/>
    <w:rsid w:val="00B30539"/>
    <w:rsid w:val="00B314DB"/>
    <w:rsid w:val="00B361F2"/>
    <w:rsid w:val="00B3718B"/>
    <w:rsid w:val="00B3745F"/>
    <w:rsid w:val="00B4632A"/>
    <w:rsid w:val="00B530F1"/>
    <w:rsid w:val="00B54326"/>
    <w:rsid w:val="00B7504A"/>
    <w:rsid w:val="00B83158"/>
    <w:rsid w:val="00B839E1"/>
    <w:rsid w:val="00B8488B"/>
    <w:rsid w:val="00B93D7F"/>
    <w:rsid w:val="00B9773B"/>
    <w:rsid w:val="00BA2401"/>
    <w:rsid w:val="00BA276C"/>
    <w:rsid w:val="00BA27E4"/>
    <w:rsid w:val="00BB019D"/>
    <w:rsid w:val="00BB306F"/>
    <w:rsid w:val="00BB6B26"/>
    <w:rsid w:val="00BB74E7"/>
    <w:rsid w:val="00BC7795"/>
    <w:rsid w:val="00BD0FF5"/>
    <w:rsid w:val="00BD4B89"/>
    <w:rsid w:val="00BD5922"/>
    <w:rsid w:val="00BF02CB"/>
    <w:rsid w:val="00BF6FD8"/>
    <w:rsid w:val="00C03680"/>
    <w:rsid w:val="00C054DF"/>
    <w:rsid w:val="00C1359B"/>
    <w:rsid w:val="00C21762"/>
    <w:rsid w:val="00C21FEF"/>
    <w:rsid w:val="00C23BA4"/>
    <w:rsid w:val="00C24543"/>
    <w:rsid w:val="00C256A2"/>
    <w:rsid w:val="00C25ADB"/>
    <w:rsid w:val="00C416BC"/>
    <w:rsid w:val="00C442C0"/>
    <w:rsid w:val="00C44EFB"/>
    <w:rsid w:val="00C51515"/>
    <w:rsid w:val="00C5660B"/>
    <w:rsid w:val="00C56831"/>
    <w:rsid w:val="00C66B72"/>
    <w:rsid w:val="00C721DB"/>
    <w:rsid w:val="00C87AC4"/>
    <w:rsid w:val="00C9124E"/>
    <w:rsid w:val="00C9567A"/>
    <w:rsid w:val="00CB212D"/>
    <w:rsid w:val="00CB2660"/>
    <w:rsid w:val="00CC0966"/>
    <w:rsid w:val="00CC5E90"/>
    <w:rsid w:val="00CD046C"/>
    <w:rsid w:val="00CE076C"/>
    <w:rsid w:val="00CE2B69"/>
    <w:rsid w:val="00CE5199"/>
    <w:rsid w:val="00CE66D5"/>
    <w:rsid w:val="00CF637A"/>
    <w:rsid w:val="00D059DE"/>
    <w:rsid w:val="00D05ABD"/>
    <w:rsid w:val="00D117CA"/>
    <w:rsid w:val="00D13189"/>
    <w:rsid w:val="00D13FCE"/>
    <w:rsid w:val="00D157D8"/>
    <w:rsid w:val="00D160B0"/>
    <w:rsid w:val="00D306D1"/>
    <w:rsid w:val="00D30800"/>
    <w:rsid w:val="00D34786"/>
    <w:rsid w:val="00D37BFC"/>
    <w:rsid w:val="00D43178"/>
    <w:rsid w:val="00D471A2"/>
    <w:rsid w:val="00D47A8E"/>
    <w:rsid w:val="00D51094"/>
    <w:rsid w:val="00D52D14"/>
    <w:rsid w:val="00D60CFC"/>
    <w:rsid w:val="00D712D3"/>
    <w:rsid w:val="00D71422"/>
    <w:rsid w:val="00D72DC6"/>
    <w:rsid w:val="00D74BD6"/>
    <w:rsid w:val="00D7504E"/>
    <w:rsid w:val="00D7558D"/>
    <w:rsid w:val="00D77709"/>
    <w:rsid w:val="00D81D92"/>
    <w:rsid w:val="00D8641A"/>
    <w:rsid w:val="00D876F9"/>
    <w:rsid w:val="00D91B3D"/>
    <w:rsid w:val="00D92F63"/>
    <w:rsid w:val="00DA7B5F"/>
    <w:rsid w:val="00DB4FFB"/>
    <w:rsid w:val="00DC11E7"/>
    <w:rsid w:val="00DC24E3"/>
    <w:rsid w:val="00DC4168"/>
    <w:rsid w:val="00DC7023"/>
    <w:rsid w:val="00DC769A"/>
    <w:rsid w:val="00DD3D86"/>
    <w:rsid w:val="00DD4AD2"/>
    <w:rsid w:val="00DE077D"/>
    <w:rsid w:val="00DE0A58"/>
    <w:rsid w:val="00DE2862"/>
    <w:rsid w:val="00DF1EC4"/>
    <w:rsid w:val="00DF4DBC"/>
    <w:rsid w:val="00E026D3"/>
    <w:rsid w:val="00E0340B"/>
    <w:rsid w:val="00E04A90"/>
    <w:rsid w:val="00E0551F"/>
    <w:rsid w:val="00E20BD0"/>
    <w:rsid w:val="00E219C7"/>
    <w:rsid w:val="00E2321A"/>
    <w:rsid w:val="00E313BA"/>
    <w:rsid w:val="00E40E47"/>
    <w:rsid w:val="00E410B9"/>
    <w:rsid w:val="00E4118C"/>
    <w:rsid w:val="00E43157"/>
    <w:rsid w:val="00E461CE"/>
    <w:rsid w:val="00E46F5E"/>
    <w:rsid w:val="00E573E4"/>
    <w:rsid w:val="00E6042A"/>
    <w:rsid w:val="00E64C3D"/>
    <w:rsid w:val="00E656B2"/>
    <w:rsid w:val="00E65776"/>
    <w:rsid w:val="00E720CA"/>
    <w:rsid w:val="00E84EB5"/>
    <w:rsid w:val="00E85662"/>
    <w:rsid w:val="00E8697B"/>
    <w:rsid w:val="00E8789F"/>
    <w:rsid w:val="00E97B71"/>
    <w:rsid w:val="00E97E7D"/>
    <w:rsid w:val="00EA3D34"/>
    <w:rsid w:val="00EB0DBF"/>
    <w:rsid w:val="00EB1149"/>
    <w:rsid w:val="00EB454D"/>
    <w:rsid w:val="00EB77C7"/>
    <w:rsid w:val="00EC3073"/>
    <w:rsid w:val="00ED549D"/>
    <w:rsid w:val="00ED5E10"/>
    <w:rsid w:val="00ED76BE"/>
    <w:rsid w:val="00EE00E9"/>
    <w:rsid w:val="00EE1104"/>
    <w:rsid w:val="00EE36C0"/>
    <w:rsid w:val="00EE70BA"/>
    <w:rsid w:val="00EE7778"/>
    <w:rsid w:val="00EF1AAA"/>
    <w:rsid w:val="00EF5B04"/>
    <w:rsid w:val="00EF619B"/>
    <w:rsid w:val="00F00B55"/>
    <w:rsid w:val="00F02AD1"/>
    <w:rsid w:val="00F17870"/>
    <w:rsid w:val="00F253CC"/>
    <w:rsid w:val="00F37106"/>
    <w:rsid w:val="00F37489"/>
    <w:rsid w:val="00F44E25"/>
    <w:rsid w:val="00F4699B"/>
    <w:rsid w:val="00F47A4D"/>
    <w:rsid w:val="00F519CF"/>
    <w:rsid w:val="00F5297C"/>
    <w:rsid w:val="00F56BA5"/>
    <w:rsid w:val="00F60C89"/>
    <w:rsid w:val="00F60E22"/>
    <w:rsid w:val="00F71A15"/>
    <w:rsid w:val="00F80D59"/>
    <w:rsid w:val="00F81395"/>
    <w:rsid w:val="00F81BB8"/>
    <w:rsid w:val="00F8227D"/>
    <w:rsid w:val="00F859BF"/>
    <w:rsid w:val="00F909E7"/>
    <w:rsid w:val="00F90C64"/>
    <w:rsid w:val="00F917D1"/>
    <w:rsid w:val="00F9610A"/>
    <w:rsid w:val="00F9653B"/>
    <w:rsid w:val="00F97F6F"/>
    <w:rsid w:val="00FA641A"/>
    <w:rsid w:val="00FB62CF"/>
    <w:rsid w:val="00FC6219"/>
    <w:rsid w:val="00FD3C3B"/>
    <w:rsid w:val="00FE07DD"/>
    <w:rsid w:val="00FE2DEF"/>
    <w:rsid w:val="00FE6B45"/>
    <w:rsid w:val="00FF55F3"/>
    <w:rsid w:val="00FF5851"/>
    <w:rsid w:val="00FF798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paragraph" w:customStyle="1" w:styleId="paragraph">
    <w:name w:val="paragraph"/>
    <w:basedOn w:val="Normal"/>
    <w:rsid w:val="004A01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basedOn w:val="NoList"/>
    <w:pPr>
      <w:numPr>
        <w:numId w:val="1"/>
      </w:numPr>
    </w:pPr>
  </w:style>
  <w:style w:type="character" w:customStyle="1" w:styleId="normaltextrun">
    <w:name w:val="normaltextrun"/>
    <w:basedOn w:val="DefaultParagraphFont"/>
    <w:rsid w:val="004A01E7"/>
  </w:style>
  <w:style w:type="numbering" w:customStyle="1" w:styleId="List210">
    <w:name w:val="List 21"/>
    <w:basedOn w:val="NoList"/>
    <w:pPr>
      <w:numPr>
        <w:numId w:val="52"/>
      </w:numPr>
    </w:pPr>
  </w:style>
  <w:style w:type="character" w:customStyle="1" w:styleId="eop">
    <w:name w:val="eop"/>
    <w:basedOn w:val="DefaultParagraphFont"/>
    <w:rsid w:val="004A01E7"/>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
    <w:link w:val="FootnoteTextChar"/>
    <w:uiPriority w:val="99"/>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839E1"/>
    <w:rPr>
      <w:sz w:val="16"/>
      <w:szCs w:val="16"/>
    </w:rPr>
  </w:style>
  <w:style w:type="paragraph" w:styleId="CommentText">
    <w:name w:val="annotation text"/>
    <w:basedOn w:val="Normal"/>
    <w:link w:val="CommentTextChar"/>
    <w:uiPriority w:val="99"/>
    <w:semiHidden/>
    <w:unhideWhenUsed/>
    <w:rsid w:val="00B839E1"/>
    <w:rPr>
      <w:sz w:val="20"/>
      <w:szCs w:val="20"/>
    </w:rPr>
  </w:style>
  <w:style w:type="character" w:customStyle="1" w:styleId="CommentTextChar">
    <w:name w:val="Comment Text Char"/>
    <w:basedOn w:val="DefaultParagraphFont"/>
    <w:link w:val="CommentText"/>
    <w:uiPriority w:val="99"/>
    <w:semiHidden/>
    <w:rsid w:val="00B839E1"/>
    <w:rPr>
      <w:lang w:val="en-US" w:eastAsia="en-US"/>
    </w:rPr>
  </w:style>
  <w:style w:type="paragraph" w:styleId="CommentSubject">
    <w:name w:val="annotation subject"/>
    <w:basedOn w:val="CommentText"/>
    <w:next w:val="CommentText"/>
    <w:link w:val="CommentSubjectChar"/>
    <w:uiPriority w:val="99"/>
    <w:semiHidden/>
    <w:unhideWhenUsed/>
    <w:rsid w:val="00B839E1"/>
    <w:rPr>
      <w:b/>
      <w:bCs/>
    </w:rPr>
  </w:style>
  <w:style w:type="character" w:customStyle="1" w:styleId="CommentSubjectChar">
    <w:name w:val="Comment Subject Char"/>
    <w:basedOn w:val="CommentTextChar"/>
    <w:link w:val="CommentSubject"/>
    <w:uiPriority w:val="99"/>
    <w:semiHidden/>
    <w:rsid w:val="00B839E1"/>
    <w:rPr>
      <w:b/>
      <w:bCs/>
      <w:lang w:val="en-US" w:eastAsia="en-US"/>
    </w:rPr>
  </w:style>
  <w:style w:type="character" w:styleId="FollowedHyperlink">
    <w:name w:val="FollowedHyperlink"/>
    <w:basedOn w:val="DefaultParagraphFont"/>
    <w:uiPriority w:val="99"/>
    <w:semiHidden/>
    <w:unhideWhenUsed/>
    <w:rsid w:val="00BB7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200821"/>
    <w:rsid w:val="00206FBE"/>
    <w:rsid w:val="0025245B"/>
    <w:rsid w:val="002A3923"/>
    <w:rsid w:val="00385EA4"/>
    <w:rsid w:val="00394049"/>
    <w:rsid w:val="003B0C71"/>
    <w:rsid w:val="003B4EB1"/>
    <w:rsid w:val="003D2EA0"/>
    <w:rsid w:val="004B5BBB"/>
    <w:rsid w:val="004F2DF8"/>
    <w:rsid w:val="00517E2A"/>
    <w:rsid w:val="00691564"/>
    <w:rsid w:val="006C4FCA"/>
    <w:rsid w:val="006D12AA"/>
    <w:rsid w:val="006F24A1"/>
    <w:rsid w:val="007E201D"/>
    <w:rsid w:val="00875B8A"/>
    <w:rsid w:val="009A261B"/>
    <w:rsid w:val="00A36A58"/>
    <w:rsid w:val="00AA2E17"/>
    <w:rsid w:val="00AC15A4"/>
    <w:rsid w:val="00B0336C"/>
    <w:rsid w:val="00B81238"/>
    <w:rsid w:val="00D241E9"/>
    <w:rsid w:val="00D7750D"/>
    <w:rsid w:val="00E26EC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2023-07-10T21:33:00Z</dcterms:created>
  <dcterms:modified xsi:type="dcterms:W3CDTF">2023-07-10T21:33:00Z</dcterms:modified>
</cp:coreProperties>
</file>