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7E5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F38E39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C17C5">
                              <w:rPr>
                                <w:rFonts w:asciiTheme="majorHAnsi" w:hAnsiTheme="majorHAnsi" w:cs="Arial"/>
                                <w:b/>
                                <w:bCs/>
                                <w:color w:val="0D0D0D" w:themeColor="text1" w:themeTint="F2"/>
                                <w:sz w:val="36"/>
                                <w:szCs w:val="22"/>
                                <w:lang w:val="es-ES_tradnl"/>
                              </w:rPr>
                              <w:t>285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12D045E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6396F">
                              <w:rPr>
                                <w:rFonts w:asciiTheme="majorHAnsi" w:hAnsiTheme="majorHAnsi" w:cs="Arial"/>
                                <w:b/>
                                <w:color w:val="0D0D0D" w:themeColor="text1" w:themeTint="F2"/>
                                <w:sz w:val="36"/>
                                <w:szCs w:val="22"/>
                                <w:lang w:val="es-ES_tradnl"/>
                              </w:rPr>
                              <w:t>123</w:t>
                            </w:r>
                            <w:r w:rsidR="00246D1F" w:rsidRPr="004E2649">
                              <w:rPr>
                                <w:rFonts w:asciiTheme="majorHAnsi" w:hAnsiTheme="majorHAnsi" w:cs="Arial"/>
                                <w:b/>
                                <w:color w:val="0D0D0D" w:themeColor="text1" w:themeTint="F2"/>
                                <w:sz w:val="36"/>
                                <w:szCs w:val="22"/>
                                <w:lang w:val="es-ES_tradnl"/>
                              </w:rPr>
                              <w:t>-</w:t>
                            </w:r>
                            <w:r w:rsidR="00425529">
                              <w:rPr>
                                <w:rFonts w:asciiTheme="majorHAnsi" w:hAnsiTheme="majorHAnsi" w:cs="Arial"/>
                                <w:b/>
                                <w:color w:val="0D0D0D" w:themeColor="text1" w:themeTint="F2"/>
                                <w:sz w:val="36"/>
                                <w:szCs w:val="22"/>
                                <w:lang w:val="es-ES_tradnl"/>
                              </w:rPr>
                              <w:t>1</w:t>
                            </w:r>
                            <w:r w:rsidR="0006396F">
                              <w:rPr>
                                <w:rFonts w:asciiTheme="majorHAnsi" w:hAnsiTheme="majorHAnsi" w:cs="Arial"/>
                                <w:b/>
                                <w:color w:val="0D0D0D" w:themeColor="text1" w:themeTint="F2"/>
                                <w:sz w:val="36"/>
                                <w:szCs w:val="22"/>
                                <w:lang w:val="es-ES_tradnl"/>
                              </w:rPr>
                              <w:t>1</w:t>
                            </w:r>
                            <w:r w:rsidR="00246D1F" w:rsidRPr="004E2649">
                              <w:rPr>
                                <w:rFonts w:asciiTheme="majorHAnsi" w:hAnsiTheme="majorHAnsi" w:cs="Arial"/>
                                <w:b/>
                                <w:color w:val="0D0D0D" w:themeColor="text1" w:themeTint="F2"/>
                                <w:sz w:val="36"/>
                                <w:szCs w:val="22"/>
                                <w:lang w:val="es-ES_tradnl"/>
                              </w:rPr>
                              <w:t xml:space="preserve"> </w:t>
                            </w:r>
                          </w:p>
                          <w:p w14:paraId="70CF6833" w14:textId="3E9E3CF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56127DA9" w:rsidR="005B52B0" w:rsidRPr="00C37182" w:rsidRDefault="00C37182" w:rsidP="00997BC5">
                            <w:pPr>
                              <w:spacing w:line="276" w:lineRule="auto"/>
                              <w:rPr>
                                <w:rFonts w:asciiTheme="majorHAnsi" w:hAnsiTheme="majorHAnsi" w:cs="Arial"/>
                                <w:color w:val="0D0D0D" w:themeColor="text1" w:themeTint="F2"/>
                                <w:szCs w:val="22"/>
                                <w:lang w:val="pt-BR"/>
                              </w:rPr>
                            </w:pPr>
                            <w:r w:rsidRPr="00C37182">
                              <w:rPr>
                                <w:rFonts w:asciiTheme="majorHAnsi" w:hAnsiTheme="majorHAnsi" w:cs="Arial"/>
                                <w:color w:val="0D0D0D" w:themeColor="text1" w:themeTint="F2"/>
                                <w:szCs w:val="22"/>
                                <w:lang w:val="pt-BR"/>
                              </w:rPr>
                              <w:t>MIGUEL ÁNGEL H</w:t>
                            </w:r>
                            <w:r>
                              <w:rPr>
                                <w:rFonts w:asciiTheme="majorHAnsi" w:hAnsiTheme="majorHAnsi" w:cs="Arial"/>
                                <w:color w:val="0D0D0D" w:themeColor="text1" w:themeTint="F2"/>
                                <w:szCs w:val="22"/>
                                <w:lang w:val="pt-BR"/>
                              </w:rPr>
                              <w:t>ERNÁNDEZ NÚÑEZ</w:t>
                            </w:r>
                          </w:p>
                          <w:bookmarkEnd w:id="0"/>
                          <w:p w14:paraId="35068D0D" w14:textId="0DC00239" w:rsidR="005B52B0" w:rsidRPr="00C37182" w:rsidRDefault="00441E0D" w:rsidP="00997BC5">
                            <w:pPr>
                              <w:spacing w:line="276" w:lineRule="auto"/>
                              <w:rPr>
                                <w:rFonts w:asciiTheme="majorHAnsi" w:hAnsiTheme="majorHAnsi" w:cs="Arial"/>
                                <w:color w:val="0D0D0D" w:themeColor="text1" w:themeTint="F2"/>
                                <w:szCs w:val="22"/>
                                <w:lang w:val="pt-BR"/>
                              </w:rPr>
                            </w:pPr>
                            <w:r w:rsidRPr="00C37182">
                              <w:rPr>
                                <w:rFonts w:asciiTheme="majorHAnsi" w:hAnsiTheme="majorHAnsi" w:cs="Arial"/>
                                <w:color w:val="0D0D0D" w:themeColor="text1" w:themeTint="F2"/>
                                <w:szCs w:val="22"/>
                                <w:lang w:val="pt-BR"/>
                              </w:rPr>
                              <w:t>COSTA RICA</w:t>
                            </w:r>
                          </w:p>
                          <w:p w14:paraId="575DFD52" w14:textId="77777777" w:rsidR="005B52B0" w:rsidRPr="00C37182"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F38E39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C17C5">
                        <w:rPr>
                          <w:rFonts w:asciiTheme="majorHAnsi" w:hAnsiTheme="majorHAnsi" w:cs="Arial"/>
                          <w:b/>
                          <w:bCs/>
                          <w:color w:val="0D0D0D" w:themeColor="text1" w:themeTint="F2"/>
                          <w:sz w:val="36"/>
                          <w:szCs w:val="22"/>
                          <w:lang w:val="es-ES_tradnl"/>
                        </w:rPr>
                        <w:t>285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12D045E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6396F">
                        <w:rPr>
                          <w:rFonts w:asciiTheme="majorHAnsi" w:hAnsiTheme="majorHAnsi" w:cs="Arial"/>
                          <w:b/>
                          <w:color w:val="0D0D0D" w:themeColor="text1" w:themeTint="F2"/>
                          <w:sz w:val="36"/>
                          <w:szCs w:val="22"/>
                          <w:lang w:val="es-ES_tradnl"/>
                        </w:rPr>
                        <w:t>123</w:t>
                      </w:r>
                      <w:r w:rsidR="00246D1F" w:rsidRPr="004E2649">
                        <w:rPr>
                          <w:rFonts w:asciiTheme="majorHAnsi" w:hAnsiTheme="majorHAnsi" w:cs="Arial"/>
                          <w:b/>
                          <w:color w:val="0D0D0D" w:themeColor="text1" w:themeTint="F2"/>
                          <w:sz w:val="36"/>
                          <w:szCs w:val="22"/>
                          <w:lang w:val="es-ES_tradnl"/>
                        </w:rPr>
                        <w:t>-</w:t>
                      </w:r>
                      <w:r w:rsidR="00425529">
                        <w:rPr>
                          <w:rFonts w:asciiTheme="majorHAnsi" w:hAnsiTheme="majorHAnsi" w:cs="Arial"/>
                          <w:b/>
                          <w:color w:val="0D0D0D" w:themeColor="text1" w:themeTint="F2"/>
                          <w:sz w:val="36"/>
                          <w:szCs w:val="22"/>
                          <w:lang w:val="es-ES_tradnl"/>
                        </w:rPr>
                        <w:t>1</w:t>
                      </w:r>
                      <w:r w:rsidR="0006396F">
                        <w:rPr>
                          <w:rFonts w:asciiTheme="majorHAnsi" w:hAnsiTheme="majorHAnsi" w:cs="Arial"/>
                          <w:b/>
                          <w:color w:val="0D0D0D" w:themeColor="text1" w:themeTint="F2"/>
                          <w:sz w:val="36"/>
                          <w:szCs w:val="22"/>
                          <w:lang w:val="es-ES_tradnl"/>
                        </w:rPr>
                        <w:t>1</w:t>
                      </w:r>
                      <w:r w:rsidR="00246D1F" w:rsidRPr="004E2649">
                        <w:rPr>
                          <w:rFonts w:asciiTheme="majorHAnsi" w:hAnsiTheme="majorHAnsi" w:cs="Arial"/>
                          <w:b/>
                          <w:color w:val="0D0D0D" w:themeColor="text1" w:themeTint="F2"/>
                          <w:sz w:val="36"/>
                          <w:szCs w:val="22"/>
                          <w:lang w:val="es-ES_tradnl"/>
                        </w:rPr>
                        <w:t xml:space="preserve"> </w:t>
                      </w:r>
                    </w:p>
                    <w:p w14:paraId="70CF6833" w14:textId="3E9E3CF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6127DA9" w:rsidR="005B52B0" w:rsidRPr="00C37182" w:rsidRDefault="00C37182" w:rsidP="00997BC5">
                      <w:pPr>
                        <w:spacing w:line="276" w:lineRule="auto"/>
                        <w:rPr>
                          <w:rFonts w:asciiTheme="majorHAnsi" w:hAnsiTheme="majorHAnsi" w:cs="Arial"/>
                          <w:color w:val="0D0D0D" w:themeColor="text1" w:themeTint="F2"/>
                          <w:szCs w:val="22"/>
                          <w:lang w:val="pt-BR"/>
                        </w:rPr>
                      </w:pPr>
                      <w:r w:rsidRPr="00C37182">
                        <w:rPr>
                          <w:rFonts w:asciiTheme="majorHAnsi" w:hAnsiTheme="majorHAnsi" w:cs="Arial"/>
                          <w:color w:val="0D0D0D" w:themeColor="text1" w:themeTint="F2"/>
                          <w:szCs w:val="22"/>
                          <w:lang w:val="pt-BR"/>
                        </w:rPr>
                        <w:t>MIGUEL ÁNGEL H</w:t>
                      </w:r>
                      <w:r>
                        <w:rPr>
                          <w:rFonts w:asciiTheme="majorHAnsi" w:hAnsiTheme="majorHAnsi" w:cs="Arial"/>
                          <w:color w:val="0D0D0D" w:themeColor="text1" w:themeTint="F2"/>
                          <w:szCs w:val="22"/>
                          <w:lang w:val="pt-BR"/>
                        </w:rPr>
                        <w:t>ERNÁNDEZ NÚÑEZ</w:t>
                      </w:r>
                    </w:p>
                    <w:bookmarkEnd w:id="1"/>
                    <w:p w14:paraId="35068D0D" w14:textId="0DC00239" w:rsidR="005B52B0" w:rsidRPr="00C37182" w:rsidRDefault="00441E0D" w:rsidP="00997BC5">
                      <w:pPr>
                        <w:spacing w:line="276" w:lineRule="auto"/>
                        <w:rPr>
                          <w:rFonts w:asciiTheme="majorHAnsi" w:hAnsiTheme="majorHAnsi" w:cs="Arial"/>
                          <w:color w:val="0D0D0D" w:themeColor="text1" w:themeTint="F2"/>
                          <w:szCs w:val="22"/>
                          <w:lang w:val="pt-BR"/>
                        </w:rPr>
                      </w:pPr>
                      <w:r w:rsidRPr="00C37182">
                        <w:rPr>
                          <w:rFonts w:asciiTheme="majorHAnsi" w:hAnsiTheme="majorHAnsi" w:cs="Arial"/>
                          <w:color w:val="0D0D0D" w:themeColor="text1" w:themeTint="F2"/>
                          <w:szCs w:val="22"/>
                          <w:lang w:val="pt-BR"/>
                        </w:rPr>
                        <w:t>COSTA RICA</w:t>
                      </w:r>
                    </w:p>
                    <w:p w14:paraId="575DFD52" w14:textId="77777777" w:rsidR="005B52B0" w:rsidRPr="00C37182" w:rsidRDefault="005B52B0" w:rsidP="007A5817">
                      <w:pPr>
                        <w:rPr>
                          <w:color w:val="0D0D0D" w:themeColor="text1" w:themeTint="F2"/>
                          <w:lang w:val="pt-BR"/>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D8F8E35" w:rsidR="00627C9F" w:rsidRPr="00520720" w:rsidRDefault="00834D49" w:rsidP="007A5817">
                            <w:pPr>
                              <w:spacing w:line="276" w:lineRule="auto"/>
                              <w:jc w:val="right"/>
                              <w:rPr>
                                <w:rFonts w:asciiTheme="minorHAnsi" w:hAnsiTheme="minorHAnsi"/>
                                <w:color w:val="FFFFFF" w:themeColor="background1"/>
                                <w:sz w:val="22"/>
                                <w:lang w:val="es-419"/>
                              </w:rPr>
                            </w:pPr>
                            <w:r w:rsidRPr="00520720">
                              <w:rPr>
                                <w:rFonts w:asciiTheme="minorHAnsi" w:hAnsiTheme="minorHAnsi"/>
                                <w:color w:val="FFFFFF" w:themeColor="background1"/>
                                <w:sz w:val="22"/>
                                <w:lang w:val="es-419"/>
                              </w:rPr>
                              <w:t>OEA/Ser.L/V/II</w:t>
                            </w:r>
                          </w:p>
                          <w:p w14:paraId="6A41611B" w14:textId="6A4B4038" w:rsidR="00627C9F" w:rsidRPr="00520720" w:rsidRDefault="00627C9F" w:rsidP="007A5817">
                            <w:pPr>
                              <w:spacing w:line="276" w:lineRule="auto"/>
                              <w:jc w:val="right"/>
                              <w:rPr>
                                <w:rFonts w:asciiTheme="minorHAnsi" w:hAnsiTheme="minorHAnsi"/>
                                <w:color w:val="FFFFFF" w:themeColor="background1"/>
                                <w:sz w:val="22"/>
                                <w:lang w:val="es-419"/>
                              </w:rPr>
                            </w:pPr>
                            <w:r w:rsidRPr="00520720">
                              <w:rPr>
                                <w:rFonts w:asciiTheme="minorHAnsi" w:hAnsiTheme="minorHAnsi"/>
                                <w:color w:val="FFFFFF" w:themeColor="background1"/>
                                <w:sz w:val="22"/>
                                <w:lang w:val="es-419"/>
                              </w:rPr>
                              <w:t xml:space="preserve">Doc. </w:t>
                            </w:r>
                            <w:r w:rsidR="00A078BC" w:rsidRPr="00520720">
                              <w:rPr>
                                <w:rFonts w:asciiTheme="minorHAnsi" w:hAnsiTheme="minorHAnsi"/>
                                <w:color w:val="FFFFFF" w:themeColor="background1"/>
                                <w:sz w:val="22"/>
                                <w:lang w:val="es-419"/>
                              </w:rPr>
                              <w:t>305</w:t>
                            </w:r>
                          </w:p>
                          <w:p w14:paraId="69373ED2" w14:textId="447F13D7" w:rsidR="00627C9F" w:rsidRPr="00C25ADB" w:rsidRDefault="009C17C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3D8F8E35" w:rsidR="00627C9F" w:rsidRPr="00520720" w:rsidRDefault="00834D49" w:rsidP="007A5817">
                      <w:pPr>
                        <w:spacing w:line="276" w:lineRule="auto"/>
                        <w:jc w:val="right"/>
                        <w:rPr>
                          <w:rFonts w:asciiTheme="minorHAnsi" w:hAnsiTheme="minorHAnsi"/>
                          <w:color w:val="FFFFFF" w:themeColor="background1"/>
                          <w:sz w:val="22"/>
                          <w:lang w:val="es-419"/>
                        </w:rPr>
                      </w:pPr>
                      <w:r w:rsidRPr="00520720">
                        <w:rPr>
                          <w:rFonts w:asciiTheme="minorHAnsi" w:hAnsiTheme="minorHAnsi"/>
                          <w:color w:val="FFFFFF" w:themeColor="background1"/>
                          <w:sz w:val="22"/>
                          <w:lang w:val="es-419"/>
                        </w:rPr>
                        <w:t>OEA/Ser.L/V/II</w:t>
                      </w:r>
                    </w:p>
                    <w:p w14:paraId="6A41611B" w14:textId="6A4B4038" w:rsidR="00627C9F" w:rsidRPr="00520720" w:rsidRDefault="00627C9F" w:rsidP="007A5817">
                      <w:pPr>
                        <w:spacing w:line="276" w:lineRule="auto"/>
                        <w:jc w:val="right"/>
                        <w:rPr>
                          <w:rFonts w:asciiTheme="minorHAnsi" w:hAnsiTheme="minorHAnsi"/>
                          <w:color w:val="FFFFFF" w:themeColor="background1"/>
                          <w:sz w:val="22"/>
                          <w:lang w:val="es-419"/>
                        </w:rPr>
                      </w:pPr>
                      <w:r w:rsidRPr="00520720">
                        <w:rPr>
                          <w:rFonts w:asciiTheme="minorHAnsi" w:hAnsiTheme="minorHAnsi"/>
                          <w:color w:val="FFFFFF" w:themeColor="background1"/>
                          <w:sz w:val="22"/>
                          <w:lang w:val="es-419"/>
                        </w:rPr>
                        <w:t xml:space="preserve">Doc. </w:t>
                      </w:r>
                      <w:r w:rsidR="00A078BC" w:rsidRPr="00520720">
                        <w:rPr>
                          <w:rFonts w:asciiTheme="minorHAnsi" w:hAnsiTheme="minorHAnsi"/>
                          <w:color w:val="FFFFFF" w:themeColor="background1"/>
                          <w:sz w:val="22"/>
                          <w:lang w:val="es-419"/>
                        </w:rPr>
                        <w:t>305</w:t>
                      </w:r>
                    </w:p>
                    <w:p w14:paraId="69373ED2" w14:textId="447F13D7" w:rsidR="00627C9F" w:rsidRPr="00C25ADB" w:rsidRDefault="009C17C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869FFB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C17C5">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9C17C5">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9C17C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869FFB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C17C5">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9C17C5">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9C17C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652797" w14:textId="77777777" w:rsidR="00D713C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17B83" w:rsidRPr="00F17B83">
                              <w:rPr>
                                <w:rFonts w:asciiTheme="majorHAnsi" w:hAnsiTheme="majorHAnsi"/>
                                <w:color w:val="595959" w:themeColor="text1" w:themeTint="A6"/>
                                <w:sz w:val="18"/>
                                <w:szCs w:val="18"/>
                                <w:lang w:val="pt-BR"/>
                              </w:rPr>
                              <w:t>285</w:t>
                            </w:r>
                            <w:r w:rsidR="007B05C4" w:rsidRPr="00F17B83">
                              <w:rPr>
                                <w:rFonts w:asciiTheme="majorHAnsi" w:hAnsiTheme="majorHAnsi"/>
                                <w:color w:val="595959" w:themeColor="text1" w:themeTint="A6"/>
                                <w:sz w:val="18"/>
                                <w:szCs w:val="18"/>
                                <w:lang w:val="pt-BR"/>
                              </w:rPr>
                              <w:t>/</w:t>
                            </w:r>
                            <w:r w:rsidR="00F17B83" w:rsidRPr="00F17B83">
                              <w:rPr>
                                <w:rFonts w:asciiTheme="majorHAnsi" w:hAnsiTheme="majorHAnsi"/>
                                <w:color w:val="595959" w:themeColor="text1" w:themeTint="A6"/>
                                <w:sz w:val="18"/>
                                <w:szCs w:val="18"/>
                                <w:lang w:val="pt-BR"/>
                              </w:rPr>
                              <w:t>23</w:t>
                            </w:r>
                            <w:r w:rsidRPr="00F17B8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17B83">
                              <w:rPr>
                                <w:rFonts w:asciiTheme="majorHAnsi" w:hAnsiTheme="majorHAnsi"/>
                                <w:color w:val="595959" w:themeColor="text1" w:themeTint="A6"/>
                                <w:sz w:val="18"/>
                                <w:szCs w:val="18"/>
                                <w:lang w:val="es-ES"/>
                              </w:rPr>
                              <w:t>123</w:t>
                            </w:r>
                            <w:r w:rsidR="00441E0D">
                              <w:rPr>
                                <w:rFonts w:asciiTheme="majorHAnsi" w:hAnsiTheme="majorHAnsi"/>
                                <w:color w:val="595959" w:themeColor="text1" w:themeTint="A6"/>
                                <w:sz w:val="18"/>
                                <w:szCs w:val="18"/>
                                <w:lang w:val="es-ES"/>
                              </w:rPr>
                              <w:t>-</w:t>
                            </w:r>
                            <w:r w:rsidR="00F17B83">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00CF00D9">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0D1B22CF" w14:textId="28F984B7" w:rsidR="00113F73" w:rsidRPr="007B05C4" w:rsidRDefault="00C3718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Miguel Ángel Hernández Núñez</w:t>
                            </w:r>
                            <w:r w:rsidR="00113F73" w:rsidRPr="00890650">
                              <w:rPr>
                                <w:rFonts w:asciiTheme="majorHAnsi" w:hAnsiTheme="majorHAnsi"/>
                                <w:color w:val="595959" w:themeColor="text1" w:themeTint="A6"/>
                                <w:sz w:val="18"/>
                                <w:szCs w:val="18"/>
                                <w:lang w:val="es-ES_tradnl"/>
                              </w:rPr>
                              <w:t xml:space="preserve">. </w:t>
                            </w:r>
                            <w:r w:rsidR="00441E0D">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250DAD">
                              <w:rPr>
                                <w:rFonts w:asciiTheme="majorHAnsi" w:hAnsiTheme="majorHAnsi"/>
                                <w:color w:val="595959" w:themeColor="text1" w:themeTint="A6"/>
                                <w:sz w:val="18"/>
                                <w:szCs w:val="18"/>
                                <w:lang w:val="es-ES"/>
                              </w:rPr>
                              <w:t>31 de octubre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7652797" w14:textId="77777777" w:rsidR="00D713C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17B83" w:rsidRPr="00F17B83">
                        <w:rPr>
                          <w:rFonts w:asciiTheme="majorHAnsi" w:hAnsiTheme="majorHAnsi"/>
                          <w:color w:val="595959" w:themeColor="text1" w:themeTint="A6"/>
                          <w:sz w:val="18"/>
                          <w:szCs w:val="18"/>
                          <w:lang w:val="pt-BR"/>
                        </w:rPr>
                        <w:t>285</w:t>
                      </w:r>
                      <w:r w:rsidR="007B05C4" w:rsidRPr="00F17B83">
                        <w:rPr>
                          <w:rFonts w:asciiTheme="majorHAnsi" w:hAnsiTheme="majorHAnsi"/>
                          <w:color w:val="595959" w:themeColor="text1" w:themeTint="A6"/>
                          <w:sz w:val="18"/>
                          <w:szCs w:val="18"/>
                          <w:lang w:val="pt-BR"/>
                        </w:rPr>
                        <w:t>/</w:t>
                      </w:r>
                      <w:r w:rsidR="00F17B83" w:rsidRPr="00F17B83">
                        <w:rPr>
                          <w:rFonts w:asciiTheme="majorHAnsi" w:hAnsiTheme="majorHAnsi"/>
                          <w:color w:val="595959" w:themeColor="text1" w:themeTint="A6"/>
                          <w:sz w:val="18"/>
                          <w:szCs w:val="18"/>
                          <w:lang w:val="pt-BR"/>
                        </w:rPr>
                        <w:t>23</w:t>
                      </w:r>
                      <w:r w:rsidRPr="00F17B8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17B83">
                        <w:rPr>
                          <w:rFonts w:asciiTheme="majorHAnsi" w:hAnsiTheme="majorHAnsi"/>
                          <w:color w:val="595959" w:themeColor="text1" w:themeTint="A6"/>
                          <w:sz w:val="18"/>
                          <w:szCs w:val="18"/>
                          <w:lang w:val="es-ES"/>
                        </w:rPr>
                        <w:t>123</w:t>
                      </w:r>
                      <w:r w:rsidR="00441E0D">
                        <w:rPr>
                          <w:rFonts w:asciiTheme="majorHAnsi" w:hAnsiTheme="majorHAnsi"/>
                          <w:color w:val="595959" w:themeColor="text1" w:themeTint="A6"/>
                          <w:sz w:val="18"/>
                          <w:szCs w:val="18"/>
                          <w:lang w:val="es-ES"/>
                        </w:rPr>
                        <w:t>-</w:t>
                      </w:r>
                      <w:r w:rsidR="00F17B83">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00CF00D9">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0D1B22CF" w14:textId="28F984B7" w:rsidR="00113F73" w:rsidRPr="007B05C4" w:rsidRDefault="00C3718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Miguel Ángel Hernández Núñez</w:t>
                      </w:r>
                      <w:r w:rsidR="00113F73" w:rsidRPr="00890650">
                        <w:rPr>
                          <w:rFonts w:asciiTheme="majorHAnsi" w:hAnsiTheme="majorHAnsi"/>
                          <w:color w:val="595959" w:themeColor="text1" w:themeTint="A6"/>
                          <w:sz w:val="18"/>
                          <w:szCs w:val="18"/>
                          <w:lang w:val="es-ES_tradnl"/>
                        </w:rPr>
                        <w:t xml:space="preserve">. </w:t>
                      </w:r>
                      <w:r w:rsidR="00441E0D">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250DAD">
                        <w:rPr>
                          <w:rFonts w:asciiTheme="majorHAnsi" w:hAnsiTheme="majorHAnsi"/>
                          <w:color w:val="595959" w:themeColor="text1" w:themeTint="A6"/>
                          <w:sz w:val="18"/>
                          <w:szCs w:val="18"/>
                          <w:lang w:val="es-ES"/>
                        </w:rPr>
                        <w:t>31 de octubre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7EFA120" w:rsidR="00D72DC6" w:rsidRPr="00D72DC6" w:rsidRDefault="00F17B83" w:rsidP="00F02AD1">
                            <w:pPr>
                              <w:rPr>
                                <w:color w:val="FFFFFF" w:themeColor="background1"/>
                                <w14:textFill>
                                  <w14:noFill/>
                                </w14:textFill>
                              </w:rPr>
                            </w:pPr>
                            <w:r>
                              <w:rPr>
                                <w:noProof/>
                                <w:color w:val="FFFFFF" w:themeColor="background1"/>
                              </w:rPr>
                              <w:drawing>
                                <wp:inline distT="0" distB="0" distL="0" distR="0" wp14:anchorId="5F05052A" wp14:editId="5EA41378">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17EFA120" w:rsidR="00D72DC6" w:rsidRPr="00D72DC6" w:rsidRDefault="00F17B83" w:rsidP="00F02AD1">
                      <w:pPr>
                        <w:rPr>
                          <w:color w:val="FFFFFF" w:themeColor="background1"/>
                          <w14:textFill>
                            <w14:noFill/>
                          </w14:textFill>
                        </w:rPr>
                      </w:pPr>
                      <w:r>
                        <w:rPr>
                          <w:noProof/>
                          <w:color w:val="FFFFFF" w:themeColor="background1"/>
                        </w:rPr>
                        <w:drawing>
                          <wp:inline distT="0" distB="0" distL="0" distR="0" wp14:anchorId="5F05052A" wp14:editId="5EA41378">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607C44">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37182"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7EB3A803" w:rsidR="003239B8" w:rsidRPr="005A254F" w:rsidRDefault="00C37182" w:rsidP="008D2290">
            <w:pPr>
              <w:jc w:val="both"/>
              <w:rPr>
                <w:rFonts w:ascii="Cambria" w:hAnsi="Cambria"/>
                <w:bCs/>
                <w:sz w:val="20"/>
                <w:szCs w:val="20"/>
                <w:lang w:val="es-PE"/>
              </w:rPr>
            </w:pPr>
            <w:r>
              <w:rPr>
                <w:rFonts w:ascii="Cambria" w:hAnsi="Cambria"/>
                <w:bCs/>
                <w:sz w:val="20"/>
                <w:szCs w:val="20"/>
                <w:lang w:val="es-ES"/>
              </w:rPr>
              <w:t>Miguel Ángel Hernández Núñez</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966C9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6F602258" w:rsidR="003239B8" w:rsidRPr="000D05CB" w:rsidRDefault="00C37182" w:rsidP="008D2290">
            <w:pPr>
              <w:jc w:val="both"/>
              <w:rPr>
                <w:rFonts w:ascii="Cambria" w:hAnsi="Cambria"/>
                <w:bCs/>
                <w:sz w:val="20"/>
                <w:szCs w:val="20"/>
                <w:lang w:val="es-ES"/>
              </w:rPr>
            </w:pPr>
            <w:r>
              <w:rPr>
                <w:rFonts w:ascii="Cambria" w:hAnsi="Cambria"/>
                <w:bCs/>
                <w:sz w:val="20"/>
                <w:szCs w:val="20"/>
                <w:lang w:val="es-ES"/>
              </w:rPr>
              <w:t>Miguel Ángel Hernández Núñez</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EA411B2" w:rsidR="003239B8" w:rsidRPr="000D05CB" w:rsidRDefault="00441E0D" w:rsidP="008D2290">
            <w:pPr>
              <w:jc w:val="both"/>
              <w:rPr>
                <w:rFonts w:ascii="Cambria" w:hAnsi="Cambria"/>
                <w:bCs/>
                <w:sz w:val="20"/>
                <w:szCs w:val="20"/>
              </w:rPr>
            </w:pPr>
            <w:r>
              <w:rPr>
                <w:rFonts w:ascii="Cambria" w:hAnsi="Cambria"/>
                <w:bCs/>
                <w:sz w:val="20"/>
                <w:szCs w:val="20"/>
              </w:rPr>
              <w:t>Costa Rica</w:t>
            </w:r>
          </w:p>
        </w:tc>
      </w:tr>
      <w:tr w:rsidR="00223A29" w:rsidRPr="00526D2B"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37AEA998" w:rsidR="00223A29" w:rsidRPr="0061609D" w:rsidRDefault="0061609D" w:rsidP="008D2290">
            <w:pPr>
              <w:jc w:val="both"/>
              <w:rPr>
                <w:rFonts w:ascii="Cambria" w:hAnsi="Cambria"/>
                <w:bCs/>
                <w:sz w:val="20"/>
                <w:szCs w:val="20"/>
                <w:lang w:val="es-US"/>
              </w:rPr>
            </w:pPr>
            <w:r w:rsidRPr="001E2981">
              <w:rPr>
                <w:rFonts w:ascii="Cambria" w:hAnsi="Cambria"/>
                <w:bCs/>
                <w:sz w:val="20"/>
                <w:szCs w:val="20"/>
                <w:lang w:val="es-PE"/>
              </w:rPr>
              <w:t>Artículos</w:t>
            </w:r>
            <w:r w:rsidR="00D64022">
              <w:rPr>
                <w:rFonts w:ascii="Cambria" w:hAnsi="Cambria"/>
                <w:bCs/>
                <w:sz w:val="20"/>
                <w:szCs w:val="20"/>
                <w:lang w:val="es-PE"/>
              </w:rPr>
              <w:t xml:space="preserve"> 5 (</w:t>
            </w:r>
            <w:r w:rsidR="007517AF">
              <w:rPr>
                <w:rFonts w:ascii="Cambria" w:hAnsi="Cambria"/>
                <w:bCs/>
                <w:sz w:val="20"/>
                <w:szCs w:val="20"/>
                <w:lang w:val="es-PE"/>
              </w:rPr>
              <w:t>integridad personal),</w:t>
            </w:r>
            <w:r>
              <w:rPr>
                <w:rFonts w:ascii="Cambria" w:hAnsi="Cambria"/>
                <w:bCs/>
                <w:sz w:val="20"/>
                <w:szCs w:val="20"/>
                <w:lang w:val="es-PE"/>
              </w:rPr>
              <w:t xml:space="preserve"> </w:t>
            </w:r>
            <w:r>
              <w:rPr>
                <w:rFonts w:ascii="Cambria" w:hAnsi="Cambria"/>
                <w:bCs/>
                <w:sz w:val="20"/>
                <w:szCs w:val="20"/>
                <w:lang w:val="es-ES"/>
              </w:rPr>
              <w:t>8 (garantías judiciales) y 25 (protección judicial) de la Convención Americana sobre Derechos Humanos</w:t>
            </w:r>
            <w:r>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0923333D" w:rsidR="004C2312" w:rsidRPr="003239B8" w:rsidRDefault="00BB2BDA" w:rsidP="002625EA">
            <w:pPr>
              <w:jc w:val="both"/>
              <w:rPr>
                <w:rFonts w:ascii="Cambria" w:hAnsi="Cambria"/>
                <w:bCs/>
                <w:sz w:val="20"/>
                <w:szCs w:val="20"/>
                <w:lang w:val="es-ES"/>
              </w:rPr>
            </w:pPr>
            <w:r>
              <w:rPr>
                <w:rFonts w:ascii="Cambria" w:hAnsi="Cambria"/>
                <w:bCs/>
                <w:sz w:val="20"/>
                <w:szCs w:val="20"/>
                <w:lang w:val="es-ES"/>
              </w:rPr>
              <w:t>19 de enero de 2011</w:t>
            </w:r>
          </w:p>
        </w:tc>
      </w:tr>
      <w:tr w:rsidR="00131425" w:rsidRPr="00526D2B"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48719B" w:rsidRDefault="00131425" w:rsidP="004A6A54">
            <w:pPr>
              <w:jc w:val="center"/>
              <w:rPr>
                <w:rFonts w:ascii="Cambria" w:hAnsi="Cambria"/>
                <w:b/>
                <w:bCs/>
                <w:color w:val="FFFFFF" w:themeColor="background1"/>
                <w:sz w:val="20"/>
                <w:szCs w:val="20"/>
                <w:lang w:val="es-PE"/>
              </w:rPr>
            </w:pPr>
            <w:r w:rsidRPr="0048719B">
              <w:rPr>
                <w:rFonts w:ascii="Cambria" w:hAnsi="Cambria"/>
                <w:b/>
                <w:bCs/>
                <w:color w:val="FFFFFF" w:themeColor="background1"/>
                <w:sz w:val="20"/>
                <w:szCs w:val="20"/>
                <w:lang w:val="es-PE"/>
              </w:rPr>
              <w:t>Información adicional recibida durante la etapa de estudio:</w:t>
            </w:r>
          </w:p>
        </w:tc>
        <w:tc>
          <w:tcPr>
            <w:tcW w:w="5760" w:type="dxa"/>
            <w:vAlign w:val="center"/>
          </w:tcPr>
          <w:p w14:paraId="30151270" w14:textId="704EB323" w:rsidR="00131425" w:rsidRPr="00A47ED2" w:rsidRDefault="00174A77" w:rsidP="002625EA">
            <w:pPr>
              <w:jc w:val="both"/>
              <w:rPr>
                <w:rFonts w:ascii="Cambria" w:hAnsi="Cambria"/>
                <w:bCs/>
                <w:sz w:val="20"/>
                <w:szCs w:val="20"/>
                <w:lang w:val="es-PE"/>
              </w:rPr>
            </w:pPr>
            <w:r>
              <w:rPr>
                <w:rFonts w:ascii="Cambria" w:hAnsi="Cambria"/>
                <w:bCs/>
                <w:sz w:val="20"/>
                <w:szCs w:val="20"/>
                <w:lang w:val="es-PE"/>
              </w:rPr>
              <w:t>12 de junio de 2011</w:t>
            </w:r>
            <w:r w:rsidR="002900B6">
              <w:rPr>
                <w:rFonts w:ascii="Cambria" w:hAnsi="Cambria"/>
                <w:bCs/>
                <w:sz w:val="20"/>
                <w:szCs w:val="20"/>
                <w:lang w:val="es-PE"/>
              </w:rPr>
              <w:t xml:space="preserve"> y 7 de noviembre de 2016</w:t>
            </w:r>
          </w:p>
        </w:tc>
      </w:tr>
      <w:tr w:rsidR="004C2312" w:rsidRPr="006C0D4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N</w:t>
            </w:r>
            <w:r w:rsidR="004C2312" w:rsidRPr="0048719B">
              <w:rPr>
                <w:rFonts w:ascii="Cambria" w:hAnsi="Cambria"/>
                <w:b/>
                <w:color w:val="FFFFFF" w:themeColor="background1"/>
                <w:sz w:val="20"/>
                <w:szCs w:val="20"/>
                <w:lang w:val="es-PE"/>
              </w:rPr>
              <w:t>otificación de la petición al Estado:</w:t>
            </w:r>
          </w:p>
        </w:tc>
        <w:tc>
          <w:tcPr>
            <w:tcW w:w="5760" w:type="dxa"/>
            <w:vAlign w:val="center"/>
          </w:tcPr>
          <w:p w14:paraId="1519DA6A" w14:textId="6B607906" w:rsidR="004C2312" w:rsidRPr="0048719B" w:rsidRDefault="00A35E08" w:rsidP="008D2290">
            <w:pPr>
              <w:jc w:val="both"/>
              <w:rPr>
                <w:rFonts w:ascii="Cambria" w:hAnsi="Cambria"/>
                <w:bCs/>
                <w:sz w:val="20"/>
                <w:szCs w:val="20"/>
                <w:lang w:val="es-PE"/>
              </w:rPr>
            </w:pPr>
            <w:r>
              <w:rPr>
                <w:rFonts w:ascii="Cambria" w:hAnsi="Cambria"/>
                <w:bCs/>
                <w:sz w:val="20"/>
                <w:szCs w:val="20"/>
                <w:lang w:val="es-PE"/>
              </w:rPr>
              <w:t>1 de noviembre de 2016</w:t>
            </w:r>
          </w:p>
        </w:tc>
      </w:tr>
      <w:tr w:rsidR="004C2312" w:rsidRPr="00791760"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P</w:t>
            </w:r>
            <w:r w:rsidR="004C2312" w:rsidRPr="0048719B">
              <w:rPr>
                <w:rFonts w:ascii="Cambria" w:hAnsi="Cambria"/>
                <w:b/>
                <w:color w:val="FFFFFF" w:themeColor="background1"/>
                <w:sz w:val="20"/>
                <w:szCs w:val="20"/>
                <w:lang w:val="es-PE"/>
              </w:rPr>
              <w:t>rimera respuesta del Estado:</w:t>
            </w:r>
          </w:p>
        </w:tc>
        <w:tc>
          <w:tcPr>
            <w:tcW w:w="5760" w:type="dxa"/>
            <w:vAlign w:val="center"/>
          </w:tcPr>
          <w:p w14:paraId="1972B99E" w14:textId="74AF420C" w:rsidR="004C2312" w:rsidRPr="0048719B" w:rsidRDefault="00231123" w:rsidP="008D2290">
            <w:pPr>
              <w:jc w:val="both"/>
              <w:rPr>
                <w:rFonts w:ascii="Cambria" w:hAnsi="Cambria"/>
                <w:bCs/>
                <w:sz w:val="20"/>
                <w:szCs w:val="20"/>
                <w:lang w:val="es-PE"/>
              </w:rPr>
            </w:pPr>
            <w:r>
              <w:rPr>
                <w:rFonts w:ascii="Cambria" w:hAnsi="Cambria"/>
                <w:bCs/>
                <w:sz w:val="20"/>
                <w:szCs w:val="20"/>
                <w:lang w:val="es-PE"/>
              </w:rPr>
              <w:t>25 de enero de 2017</w:t>
            </w:r>
          </w:p>
        </w:tc>
      </w:tr>
      <w:tr w:rsidR="00791760" w:rsidRPr="00526D2B" w14:paraId="196F8C00" w14:textId="77777777" w:rsidTr="004A6A54">
        <w:tc>
          <w:tcPr>
            <w:tcW w:w="3600" w:type="dxa"/>
            <w:tcBorders>
              <w:top w:val="single" w:sz="6" w:space="0" w:color="auto"/>
              <w:bottom w:val="single" w:sz="6" w:space="0" w:color="auto"/>
            </w:tcBorders>
            <w:shd w:val="clear" w:color="auto" w:fill="386294"/>
            <w:vAlign w:val="center"/>
          </w:tcPr>
          <w:p w14:paraId="08A5BE10" w14:textId="63418C36" w:rsidR="00791760" w:rsidRPr="0048719B" w:rsidRDefault="00AF620C" w:rsidP="004A6A54">
            <w:pPr>
              <w:jc w:val="center"/>
              <w:rPr>
                <w:rFonts w:ascii="Cambria" w:hAnsi="Cambria"/>
                <w:b/>
                <w:color w:val="FFFFFF" w:themeColor="background1"/>
                <w:sz w:val="20"/>
                <w:szCs w:val="20"/>
                <w:lang w:val="es-PE"/>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59793192" w14:textId="18BD0013" w:rsidR="00791760" w:rsidRDefault="0058071F" w:rsidP="008D2290">
            <w:pPr>
              <w:jc w:val="both"/>
              <w:rPr>
                <w:rFonts w:ascii="Cambria" w:hAnsi="Cambria"/>
                <w:bCs/>
                <w:sz w:val="20"/>
                <w:szCs w:val="20"/>
                <w:lang w:val="es-PE"/>
              </w:rPr>
            </w:pPr>
            <w:r>
              <w:rPr>
                <w:rFonts w:ascii="Cambria" w:hAnsi="Cambria"/>
                <w:bCs/>
                <w:sz w:val="20"/>
                <w:szCs w:val="20"/>
                <w:lang w:val="es-PE"/>
              </w:rPr>
              <w:t>15 de septiembre de 2017</w:t>
            </w:r>
            <w:r w:rsidR="003F12C0">
              <w:rPr>
                <w:rFonts w:ascii="Cambria" w:hAnsi="Cambria"/>
                <w:bCs/>
                <w:sz w:val="20"/>
                <w:szCs w:val="20"/>
                <w:lang w:val="es-PE"/>
              </w:rPr>
              <w:t xml:space="preserve">, </w:t>
            </w:r>
            <w:r w:rsidR="00276060">
              <w:rPr>
                <w:rFonts w:ascii="Cambria" w:hAnsi="Cambria"/>
                <w:bCs/>
                <w:sz w:val="20"/>
                <w:szCs w:val="20"/>
                <w:lang w:val="es-PE"/>
              </w:rPr>
              <w:t>21 de</w:t>
            </w:r>
            <w:r w:rsidR="00624ABA">
              <w:rPr>
                <w:rFonts w:ascii="Cambria" w:hAnsi="Cambria"/>
                <w:bCs/>
                <w:sz w:val="20"/>
                <w:szCs w:val="20"/>
                <w:lang w:val="es-PE"/>
              </w:rPr>
              <w:t xml:space="preserve"> enero de 2019</w:t>
            </w:r>
            <w:r w:rsidR="009F5CE2">
              <w:rPr>
                <w:rFonts w:ascii="Cambria" w:hAnsi="Cambria"/>
                <w:bCs/>
                <w:sz w:val="20"/>
                <w:szCs w:val="20"/>
                <w:lang w:val="es-PE"/>
              </w:rPr>
              <w:t xml:space="preserve">, </w:t>
            </w:r>
            <w:r w:rsidR="00C56FF8">
              <w:rPr>
                <w:rFonts w:ascii="Cambria" w:hAnsi="Cambria"/>
                <w:bCs/>
                <w:sz w:val="20"/>
                <w:szCs w:val="20"/>
                <w:lang w:val="es-PE"/>
              </w:rPr>
              <w:t>24 de septiembre de 2019</w:t>
            </w:r>
            <w:r w:rsidR="009F5CE2">
              <w:rPr>
                <w:rFonts w:ascii="Cambria" w:hAnsi="Cambria"/>
                <w:bCs/>
                <w:sz w:val="20"/>
                <w:szCs w:val="20"/>
                <w:lang w:val="es-PE"/>
              </w:rPr>
              <w:t>, 1 de junio de 2020</w:t>
            </w:r>
            <w:r w:rsidR="00A7663C">
              <w:rPr>
                <w:rFonts w:ascii="Cambria" w:hAnsi="Cambria"/>
                <w:bCs/>
                <w:sz w:val="20"/>
                <w:szCs w:val="20"/>
                <w:lang w:val="es-PE"/>
              </w:rPr>
              <w:t>, 20 de ju</w:t>
            </w:r>
            <w:r w:rsidR="00567299">
              <w:rPr>
                <w:rFonts w:ascii="Cambria" w:hAnsi="Cambria"/>
                <w:bCs/>
                <w:sz w:val="20"/>
                <w:szCs w:val="20"/>
                <w:lang w:val="es-PE"/>
              </w:rPr>
              <w:t>l</w:t>
            </w:r>
            <w:r w:rsidR="00A7663C">
              <w:rPr>
                <w:rFonts w:ascii="Cambria" w:hAnsi="Cambria"/>
                <w:bCs/>
                <w:sz w:val="20"/>
                <w:szCs w:val="20"/>
                <w:lang w:val="es-PE"/>
              </w:rPr>
              <w:t>io de 2</w:t>
            </w:r>
            <w:r w:rsidR="00567299">
              <w:rPr>
                <w:rFonts w:ascii="Cambria" w:hAnsi="Cambria"/>
                <w:bCs/>
                <w:sz w:val="20"/>
                <w:szCs w:val="20"/>
                <w:lang w:val="es-PE"/>
              </w:rPr>
              <w:t>020</w:t>
            </w:r>
            <w:r w:rsidR="00AC67AF">
              <w:rPr>
                <w:rFonts w:ascii="Cambria" w:hAnsi="Cambria"/>
                <w:bCs/>
                <w:sz w:val="20"/>
                <w:szCs w:val="20"/>
                <w:lang w:val="es-PE"/>
              </w:rPr>
              <w:t xml:space="preserve"> y</w:t>
            </w:r>
            <w:r w:rsidR="00567299">
              <w:rPr>
                <w:rFonts w:ascii="Cambria" w:hAnsi="Cambria"/>
                <w:bCs/>
                <w:sz w:val="20"/>
                <w:szCs w:val="20"/>
                <w:lang w:val="es-PE"/>
              </w:rPr>
              <w:t xml:space="preserve"> 27 de octubre de 2020</w:t>
            </w:r>
          </w:p>
        </w:tc>
      </w:tr>
      <w:tr w:rsidR="00303948" w:rsidRPr="00526D2B" w14:paraId="275AD04F" w14:textId="77777777" w:rsidTr="004A6A54">
        <w:tc>
          <w:tcPr>
            <w:tcW w:w="3600" w:type="dxa"/>
            <w:tcBorders>
              <w:top w:val="single" w:sz="6" w:space="0" w:color="auto"/>
              <w:bottom w:val="single" w:sz="6" w:space="0" w:color="auto"/>
            </w:tcBorders>
            <w:shd w:val="clear" w:color="auto" w:fill="386294"/>
            <w:vAlign w:val="center"/>
          </w:tcPr>
          <w:p w14:paraId="6AAD5C12" w14:textId="1FDF6153" w:rsidR="00303948" w:rsidRPr="0048719B" w:rsidRDefault="0046105F" w:rsidP="0046105F">
            <w:pPr>
              <w:jc w:val="center"/>
              <w:rPr>
                <w:rFonts w:ascii="Cambria" w:hAnsi="Cambria"/>
                <w:b/>
                <w:color w:val="FFFFFF" w:themeColor="background1"/>
                <w:sz w:val="20"/>
                <w:szCs w:val="20"/>
                <w:lang w:val="es-PE"/>
              </w:rPr>
            </w:pPr>
            <w:r w:rsidRPr="0048719B">
              <w:rPr>
                <w:rFonts w:ascii="Cambria" w:hAnsi="Cambria"/>
                <w:b/>
                <w:bCs/>
                <w:color w:val="FFFFFF" w:themeColor="background1"/>
                <w:sz w:val="20"/>
                <w:szCs w:val="20"/>
                <w:lang w:val="es-PE"/>
              </w:rPr>
              <w:t>Observaciones adicionales del Estado</w:t>
            </w:r>
            <w:r>
              <w:rPr>
                <w:rFonts w:ascii="Cambria" w:hAnsi="Cambria"/>
                <w:b/>
                <w:bCs/>
                <w:color w:val="FFFFFF" w:themeColor="background1"/>
                <w:sz w:val="20"/>
                <w:szCs w:val="20"/>
                <w:lang w:val="es-PE"/>
              </w:rPr>
              <w:t>:</w:t>
            </w:r>
          </w:p>
        </w:tc>
        <w:tc>
          <w:tcPr>
            <w:tcW w:w="5760" w:type="dxa"/>
            <w:vAlign w:val="center"/>
          </w:tcPr>
          <w:p w14:paraId="17B21EF8" w14:textId="338E62F1" w:rsidR="00303948" w:rsidRPr="0048719B" w:rsidRDefault="00186175" w:rsidP="008D2290">
            <w:pPr>
              <w:jc w:val="both"/>
              <w:rPr>
                <w:rFonts w:ascii="Cambria" w:hAnsi="Cambria"/>
                <w:bCs/>
                <w:sz w:val="20"/>
                <w:szCs w:val="20"/>
                <w:lang w:val="es-PE"/>
              </w:rPr>
            </w:pPr>
            <w:r>
              <w:rPr>
                <w:rFonts w:ascii="Cambria" w:hAnsi="Cambria"/>
                <w:bCs/>
                <w:sz w:val="20"/>
                <w:szCs w:val="20"/>
                <w:lang w:val="es-PE"/>
              </w:rPr>
              <w:t>9 de septiembre de 2019</w:t>
            </w:r>
            <w:r w:rsidR="009630A1">
              <w:rPr>
                <w:rFonts w:ascii="Cambria" w:hAnsi="Cambria"/>
                <w:bCs/>
                <w:sz w:val="20"/>
                <w:szCs w:val="20"/>
                <w:lang w:val="es-PE"/>
              </w:rPr>
              <w:t xml:space="preserve"> y </w:t>
            </w:r>
            <w:r w:rsidR="00E15B4A">
              <w:rPr>
                <w:rFonts w:ascii="Cambria" w:hAnsi="Cambria"/>
                <w:bCs/>
                <w:sz w:val="20"/>
                <w:szCs w:val="20"/>
                <w:lang w:val="es-PE"/>
              </w:rPr>
              <w:t>11 de febrero de 2021</w:t>
            </w:r>
          </w:p>
        </w:tc>
      </w:tr>
    </w:tbl>
    <w:p w14:paraId="21DAA666" w14:textId="2F8F0F9C"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58FDBB2A"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7EDE1F5B"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2114778A"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526D2B"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410C8E10" w:rsidR="003239B8" w:rsidRPr="00B3745F" w:rsidRDefault="00B472EC" w:rsidP="008D2290">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el 8 de abril de 1970)</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6D1946"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0A715263" w:rsidR="00EE00E9" w:rsidRPr="00DC24E3" w:rsidRDefault="005F327D" w:rsidP="008D2290">
            <w:pPr>
              <w:jc w:val="both"/>
              <w:rPr>
                <w:rFonts w:ascii="Cambria" w:hAnsi="Cambria"/>
                <w:bCs/>
                <w:sz w:val="20"/>
                <w:szCs w:val="20"/>
                <w:lang w:val="es-ES"/>
              </w:rPr>
            </w:pPr>
            <w:r>
              <w:rPr>
                <w:rFonts w:ascii="Cambria" w:hAnsi="Cambria"/>
                <w:bCs/>
                <w:sz w:val="20"/>
                <w:szCs w:val="20"/>
                <w:lang w:val="es-ES"/>
              </w:rPr>
              <w:t>No</w:t>
            </w:r>
          </w:p>
        </w:tc>
      </w:tr>
      <w:tr w:rsidR="003239B8" w:rsidRPr="00526D2B"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4302BC2F" w:rsidR="003239B8" w:rsidRPr="005F327D" w:rsidRDefault="008757EB" w:rsidP="008D2290">
            <w:pPr>
              <w:jc w:val="both"/>
              <w:rPr>
                <w:rFonts w:ascii="Cambria" w:hAnsi="Cambria"/>
                <w:bCs/>
                <w:sz w:val="20"/>
                <w:szCs w:val="20"/>
                <w:lang w:val="es-PE"/>
              </w:rPr>
            </w:pPr>
            <w:r>
              <w:rPr>
                <w:rFonts w:asciiTheme="majorHAnsi" w:hAnsiTheme="majorHAnsi"/>
                <w:bCs/>
                <w:sz w:val="20"/>
                <w:szCs w:val="20"/>
                <w:lang w:val="es-ES"/>
              </w:rPr>
              <w:t xml:space="preserve">Artículos </w:t>
            </w:r>
            <w:r w:rsidRPr="00A0082E">
              <w:rPr>
                <w:rFonts w:asciiTheme="majorHAnsi" w:hAnsiTheme="majorHAnsi"/>
                <w:bCs/>
                <w:sz w:val="20"/>
                <w:szCs w:val="20"/>
                <w:lang w:val="es-ES"/>
              </w:rPr>
              <w:t xml:space="preserve">7 (libertad personal), </w:t>
            </w:r>
            <w:r w:rsidRPr="00A0082E">
              <w:rPr>
                <w:rFonts w:asciiTheme="majorHAnsi" w:hAnsiTheme="majorHAnsi"/>
                <w:bCs/>
                <w:sz w:val="20"/>
                <w:szCs w:val="20"/>
                <w:lang w:val="es-US"/>
              </w:rPr>
              <w:t xml:space="preserve">8 (garantías judiciales) </w:t>
            </w:r>
            <w:r w:rsidRPr="00A0082E">
              <w:rPr>
                <w:rFonts w:asciiTheme="majorHAnsi" w:hAnsiTheme="majorHAnsi"/>
                <w:bCs/>
                <w:sz w:val="20"/>
                <w:szCs w:val="20"/>
                <w:lang w:val="es-419"/>
              </w:rPr>
              <w:t>y 25 (protección judicial) de la Convención Americana</w:t>
            </w:r>
          </w:p>
        </w:tc>
      </w:tr>
      <w:tr w:rsidR="003239B8" w:rsidRPr="00526D2B"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5632E5F8" w:rsidR="003239B8" w:rsidRPr="00DC24E3" w:rsidRDefault="005F327D" w:rsidP="008D2290">
            <w:pPr>
              <w:rPr>
                <w:rFonts w:ascii="Cambria" w:hAnsi="Cambria"/>
                <w:bCs/>
                <w:sz w:val="20"/>
                <w:szCs w:val="20"/>
                <w:lang w:val="es-ES"/>
              </w:rPr>
            </w:pPr>
            <w:r>
              <w:rPr>
                <w:rFonts w:ascii="Cambria" w:hAnsi="Cambria"/>
                <w:bCs/>
                <w:sz w:val="20"/>
                <w:szCs w:val="20"/>
                <w:lang w:val="es-ES"/>
              </w:rPr>
              <w:t>Sí, en los términos de la sección VII</w:t>
            </w:r>
          </w:p>
        </w:tc>
      </w:tr>
      <w:tr w:rsidR="003239B8" w:rsidRPr="00526D2B"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09869D9F" w:rsidR="003239B8" w:rsidRPr="005F327D" w:rsidRDefault="005F327D" w:rsidP="008D2290">
            <w:pPr>
              <w:rPr>
                <w:rFonts w:ascii="Cambria" w:hAnsi="Cambria"/>
                <w:bCs/>
                <w:sz w:val="20"/>
                <w:szCs w:val="20"/>
                <w:lang w:val="es-US"/>
              </w:rPr>
            </w:pPr>
            <w:r>
              <w:rPr>
                <w:rFonts w:ascii="Cambria" w:hAnsi="Cambria"/>
                <w:bCs/>
                <w:sz w:val="20"/>
                <w:szCs w:val="20"/>
                <w:lang w:val="es-ES"/>
              </w:rPr>
              <w:t>Sí, en los términos de la sección VII</w:t>
            </w:r>
          </w:p>
        </w:tc>
      </w:tr>
    </w:tbl>
    <w:p w14:paraId="18E6423B" w14:textId="0107F3A7" w:rsidR="003239B8" w:rsidRPr="00C7096A"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C7096A">
        <w:rPr>
          <w:rFonts w:asciiTheme="majorHAnsi" w:hAnsiTheme="majorHAnsi"/>
          <w:b/>
          <w:sz w:val="20"/>
          <w:szCs w:val="20"/>
          <w:lang w:val="es-ES_tradnl"/>
        </w:rPr>
        <w:t>POSICIÓN DE LAS PARTES</w:t>
      </w:r>
    </w:p>
    <w:p w14:paraId="6CB72300" w14:textId="41137ED5" w:rsidR="00BA237E" w:rsidRPr="00C7096A" w:rsidRDefault="008E3587" w:rsidP="003239B8">
      <w:pPr>
        <w:spacing w:before="240" w:after="240"/>
        <w:ind w:firstLine="720"/>
        <w:jc w:val="both"/>
        <w:rPr>
          <w:rFonts w:asciiTheme="majorHAnsi" w:hAnsiTheme="majorHAnsi"/>
          <w:bCs/>
          <w:i/>
          <w:iCs/>
          <w:sz w:val="20"/>
          <w:szCs w:val="20"/>
          <w:lang w:val="es-ES_tradnl"/>
        </w:rPr>
      </w:pPr>
      <w:r w:rsidRPr="00C7096A">
        <w:rPr>
          <w:rFonts w:asciiTheme="majorHAnsi" w:hAnsiTheme="majorHAnsi"/>
          <w:bCs/>
          <w:i/>
          <w:iCs/>
          <w:sz w:val="20"/>
          <w:szCs w:val="20"/>
          <w:lang w:val="es-ES_tradnl"/>
        </w:rPr>
        <w:t>Alegatos de la parte peticionaria</w:t>
      </w:r>
    </w:p>
    <w:p w14:paraId="7D08023B" w14:textId="1CBCA6EE" w:rsidR="00DD71BE" w:rsidRPr="00C7096A" w:rsidRDefault="00371F31" w:rsidP="00EA2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7096A">
        <w:rPr>
          <w:rFonts w:ascii="Cambria" w:hAnsi="Cambria"/>
          <w:sz w:val="20"/>
          <w:szCs w:val="20"/>
          <w:lang w:val="es-ES_tradnl"/>
        </w:rPr>
        <w:t xml:space="preserve">El señor </w:t>
      </w:r>
      <w:r w:rsidR="00EA22B2" w:rsidRPr="00C7096A">
        <w:rPr>
          <w:rFonts w:ascii="Cambria" w:hAnsi="Cambria"/>
          <w:sz w:val="20"/>
          <w:szCs w:val="20"/>
          <w:lang w:val="es-ES_tradnl"/>
        </w:rPr>
        <w:t xml:space="preserve">Hernández Núñez, en su condición de peticionario y presunta víctima, denuncia que no tuvo acceso a un recurso de apelación que permita la revisión integral de su condena por el delito de homicidio calificado. Asimismo, afirma que </w:t>
      </w:r>
      <w:r w:rsidR="00DD71BE" w:rsidRPr="00C7096A">
        <w:rPr>
          <w:rFonts w:ascii="Cambria" w:hAnsi="Cambria"/>
          <w:sz w:val="20"/>
          <w:szCs w:val="20"/>
          <w:lang w:val="es-ES_tradnl"/>
        </w:rPr>
        <w:t xml:space="preserve">también </w:t>
      </w:r>
      <w:r w:rsidR="00153FBA" w:rsidRPr="00C7096A">
        <w:rPr>
          <w:rFonts w:ascii="Cambria" w:hAnsi="Cambria"/>
          <w:sz w:val="20"/>
          <w:szCs w:val="20"/>
          <w:lang w:val="es-ES_tradnl"/>
        </w:rPr>
        <w:t xml:space="preserve">se </w:t>
      </w:r>
      <w:r w:rsidR="00DD71BE" w:rsidRPr="00C7096A">
        <w:rPr>
          <w:rFonts w:ascii="Cambria" w:hAnsi="Cambria"/>
          <w:sz w:val="20"/>
          <w:szCs w:val="20"/>
          <w:lang w:val="es-ES_tradnl"/>
        </w:rPr>
        <w:t xml:space="preserve">afectó su derecho a contar con un juez imparcial, </w:t>
      </w:r>
      <w:r w:rsidR="00585654" w:rsidRPr="00C7096A">
        <w:rPr>
          <w:rFonts w:ascii="Cambria" w:hAnsi="Cambria"/>
          <w:sz w:val="20"/>
          <w:szCs w:val="20"/>
          <w:lang w:val="es-ES_tradnl"/>
        </w:rPr>
        <w:t xml:space="preserve">debido a la conformación de su tribunal de juicio oral. </w:t>
      </w:r>
      <w:r w:rsidR="00DD71BE" w:rsidRPr="00C7096A">
        <w:rPr>
          <w:rFonts w:ascii="Cambria" w:hAnsi="Cambria"/>
          <w:sz w:val="20"/>
          <w:szCs w:val="20"/>
          <w:lang w:val="es-ES_tradnl"/>
        </w:rPr>
        <w:t xml:space="preserve"> </w:t>
      </w:r>
    </w:p>
    <w:p w14:paraId="530F9EA8" w14:textId="0A5D1BC7" w:rsidR="00F91D90" w:rsidRPr="00C7096A" w:rsidRDefault="00B314A1" w:rsidP="00EA22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7096A">
        <w:rPr>
          <w:rFonts w:ascii="Cambria" w:hAnsi="Cambria"/>
          <w:sz w:val="20"/>
          <w:szCs w:val="20"/>
          <w:lang w:val="es-ES_tradnl"/>
        </w:rPr>
        <w:lastRenderedPageBreak/>
        <w:t xml:space="preserve">Señala que el </w:t>
      </w:r>
      <w:r w:rsidR="008B25B6" w:rsidRPr="00C7096A">
        <w:rPr>
          <w:rFonts w:ascii="Cambria" w:hAnsi="Cambria"/>
          <w:sz w:val="20"/>
          <w:szCs w:val="20"/>
          <w:lang w:val="es-ES_tradnl"/>
        </w:rPr>
        <w:t>11 de diciembre de 2005 el Tribunal de Juicio de San José, sede Desamparos, mediante la sentencia</w:t>
      </w:r>
      <w:r w:rsidR="00A46B4E" w:rsidRPr="00C7096A">
        <w:rPr>
          <w:rFonts w:ascii="Cambria" w:hAnsi="Cambria"/>
          <w:sz w:val="20"/>
          <w:szCs w:val="20"/>
          <w:lang w:val="es-ES_tradnl"/>
        </w:rPr>
        <w:t xml:space="preserve"> N.º 408-05, </w:t>
      </w:r>
      <w:r w:rsidRPr="00C7096A">
        <w:rPr>
          <w:rFonts w:ascii="Cambria" w:hAnsi="Cambria"/>
          <w:sz w:val="20"/>
          <w:szCs w:val="20"/>
          <w:lang w:val="es-ES_tradnl"/>
        </w:rPr>
        <w:t xml:space="preserve">lo condenó </w:t>
      </w:r>
      <w:r w:rsidR="00A014D9" w:rsidRPr="00C7096A">
        <w:rPr>
          <w:rFonts w:ascii="Cambria" w:hAnsi="Cambria"/>
          <w:sz w:val="20"/>
          <w:szCs w:val="20"/>
          <w:lang w:val="es-ES_tradnl"/>
        </w:rPr>
        <w:t xml:space="preserve">a cuarenta años de pena privativa de libertad por la comisión de dos delitos de homicidio calificado. </w:t>
      </w:r>
      <w:r w:rsidR="00F91D90" w:rsidRPr="00C7096A">
        <w:rPr>
          <w:rFonts w:ascii="Cambria" w:hAnsi="Cambria"/>
          <w:sz w:val="20"/>
          <w:szCs w:val="20"/>
          <w:lang w:val="es-ES_tradnl"/>
        </w:rPr>
        <w:t>Al respecto,</w:t>
      </w:r>
      <w:r w:rsidR="00BB44E6" w:rsidRPr="00C7096A">
        <w:rPr>
          <w:rFonts w:ascii="Cambria" w:hAnsi="Cambria"/>
          <w:sz w:val="20"/>
          <w:szCs w:val="20"/>
          <w:lang w:val="es-ES_tradnl"/>
        </w:rPr>
        <w:t xml:space="preserve"> además de cuestionar la fundamentación de la decisión, el peticionario alega</w:t>
      </w:r>
      <w:r w:rsidR="00F91D90" w:rsidRPr="00C7096A">
        <w:rPr>
          <w:rFonts w:ascii="Cambria" w:hAnsi="Cambria"/>
          <w:sz w:val="20"/>
          <w:szCs w:val="20"/>
          <w:lang w:val="es-ES_tradnl"/>
        </w:rPr>
        <w:t xml:space="preserve"> que tres de los integrantes de dicho tribunal ya habían conocido su caso, pues denegaron el recurso de apelación que presentó contra la ampliación de su régimen de prisión preventiva.</w:t>
      </w:r>
    </w:p>
    <w:p w14:paraId="1C42B798" w14:textId="240E4094" w:rsidR="001A6EA4" w:rsidRPr="00C7096A" w:rsidRDefault="001A6EA4" w:rsidP="00A27F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7096A">
        <w:rPr>
          <w:rFonts w:ascii="Cambria" w:hAnsi="Cambria"/>
          <w:sz w:val="20"/>
          <w:szCs w:val="20"/>
          <w:lang w:val="es-ES_tradnl"/>
        </w:rPr>
        <w:t xml:space="preserve">Ante ello, indica que presentó un recurso de casación, </w:t>
      </w:r>
      <w:r w:rsidR="00E758EA" w:rsidRPr="00C7096A">
        <w:rPr>
          <w:rFonts w:ascii="Cambria" w:hAnsi="Cambria"/>
          <w:sz w:val="20"/>
          <w:szCs w:val="20"/>
          <w:lang w:val="es-ES_tradnl"/>
        </w:rPr>
        <w:t xml:space="preserve">cuestionando </w:t>
      </w:r>
      <w:r w:rsidR="00F91D90" w:rsidRPr="00C7096A">
        <w:rPr>
          <w:rFonts w:ascii="Cambria" w:hAnsi="Cambria"/>
          <w:sz w:val="20"/>
          <w:szCs w:val="20"/>
          <w:lang w:val="es-ES_tradnl"/>
        </w:rPr>
        <w:t xml:space="preserve">que </w:t>
      </w:r>
      <w:r w:rsidR="00E758EA" w:rsidRPr="00C7096A">
        <w:rPr>
          <w:rFonts w:ascii="Cambria" w:hAnsi="Cambria"/>
          <w:sz w:val="20"/>
          <w:szCs w:val="20"/>
          <w:lang w:val="es-ES_tradnl"/>
        </w:rPr>
        <w:t>el tribunal de juicio cometió irregularidades en la tramitación del proceso</w:t>
      </w:r>
      <w:r w:rsidR="007B4B33" w:rsidRPr="00C7096A">
        <w:rPr>
          <w:rFonts w:ascii="Cambria" w:hAnsi="Cambria"/>
          <w:sz w:val="20"/>
          <w:szCs w:val="20"/>
          <w:lang w:val="es-ES_tradnl"/>
        </w:rPr>
        <w:t>, no valoró adecuadamente el acervo probatorio y tampoco motivo debidamente de su decisión</w:t>
      </w:r>
      <w:r w:rsidRPr="00C7096A">
        <w:rPr>
          <w:rFonts w:ascii="Cambria" w:hAnsi="Cambria"/>
          <w:sz w:val="20"/>
          <w:szCs w:val="20"/>
          <w:lang w:val="es-ES_tradnl"/>
        </w:rPr>
        <w:t>. Sin embargo</w:t>
      </w:r>
      <w:r w:rsidR="001C3E3B" w:rsidRPr="00C7096A">
        <w:rPr>
          <w:rFonts w:ascii="Cambria" w:hAnsi="Cambria"/>
          <w:sz w:val="20"/>
          <w:szCs w:val="20"/>
          <w:lang w:val="es-ES_tradnl"/>
        </w:rPr>
        <w:t>, el 7 de diciembre de 2006 la Sala Tercera de la Corte Suprema de Justicia declaró infundado e</w:t>
      </w:r>
      <w:r w:rsidR="00BD78F5" w:rsidRPr="00C7096A">
        <w:rPr>
          <w:rFonts w:ascii="Cambria" w:hAnsi="Cambria"/>
          <w:sz w:val="20"/>
          <w:szCs w:val="20"/>
          <w:lang w:val="es-ES_tradnl"/>
        </w:rPr>
        <w:t>stos</w:t>
      </w:r>
      <w:r w:rsidR="001C3E3B" w:rsidRPr="00C7096A">
        <w:rPr>
          <w:rFonts w:ascii="Cambria" w:hAnsi="Cambria"/>
          <w:sz w:val="20"/>
          <w:szCs w:val="20"/>
          <w:lang w:val="es-ES_tradnl"/>
        </w:rPr>
        <w:t xml:space="preserve"> reclamo</w:t>
      </w:r>
      <w:r w:rsidR="00BD78F5" w:rsidRPr="00C7096A">
        <w:rPr>
          <w:rFonts w:ascii="Cambria" w:hAnsi="Cambria"/>
          <w:sz w:val="20"/>
          <w:szCs w:val="20"/>
          <w:lang w:val="es-ES_tradnl"/>
        </w:rPr>
        <w:t>s</w:t>
      </w:r>
      <w:r w:rsidR="001C3E3B" w:rsidRPr="00C7096A">
        <w:rPr>
          <w:rFonts w:ascii="Cambria" w:hAnsi="Cambria"/>
          <w:sz w:val="20"/>
          <w:szCs w:val="20"/>
          <w:lang w:val="es-ES_tradnl"/>
        </w:rPr>
        <w:t xml:space="preserve">, </w:t>
      </w:r>
      <w:r w:rsidR="00BD78F5" w:rsidRPr="00C7096A">
        <w:rPr>
          <w:rFonts w:ascii="Cambria" w:hAnsi="Cambria"/>
          <w:sz w:val="20"/>
          <w:szCs w:val="20"/>
          <w:lang w:val="es-ES_tradnl"/>
        </w:rPr>
        <w:t>confirmando el fallo de primera instancia</w:t>
      </w:r>
      <w:r w:rsidR="001C3E3B" w:rsidRPr="00C7096A">
        <w:rPr>
          <w:rFonts w:ascii="Cambria" w:hAnsi="Cambria"/>
          <w:sz w:val="20"/>
          <w:szCs w:val="20"/>
          <w:lang w:val="es-ES_tradnl"/>
        </w:rPr>
        <w:t xml:space="preserve">. </w:t>
      </w:r>
      <w:r w:rsidR="0077349A" w:rsidRPr="00C7096A">
        <w:rPr>
          <w:rFonts w:ascii="Cambria" w:hAnsi="Cambria"/>
          <w:sz w:val="20"/>
          <w:szCs w:val="20"/>
          <w:lang w:val="es-ES_tradnl"/>
        </w:rPr>
        <w:t xml:space="preserve">Esta decisión se notificó el 17 de enero de 2007. </w:t>
      </w:r>
    </w:p>
    <w:p w14:paraId="6DC7F25E" w14:textId="3ADA51D1" w:rsidR="00873D33" w:rsidRPr="00C7096A" w:rsidRDefault="00585654" w:rsidP="005856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7096A">
        <w:rPr>
          <w:rFonts w:ascii="Cambria" w:hAnsi="Cambria"/>
          <w:sz w:val="20"/>
          <w:szCs w:val="20"/>
          <w:lang w:val="es-ES_tradnl"/>
        </w:rPr>
        <w:t>Tras ello</w:t>
      </w:r>
      <w:r w:rsidR="006F45AE" w:rsidRPr="00C7096A">
        <w:rPr>
          <w:rFonts w:ascii="Cambria" w:hAnsi="Cambria"/>
          <w:sz w:val="20"/>
          <w:szCs w:val="20"/>
          <w:lang w:val="es-ES_tradnl"/>
        </w:rPr>
        <w:t xml:space="preserve">, informa que </w:t>
      </w:r>
      <w:r w:rsidR="00777C1F" w:rsidRPr="00C7096A">
        <w:rPr>
          <w:rFonts w:ascii="Cambria" w:hAnsi="Cambria"/>
          <w:sz w:val="20"/>
          <w:szCs w:val="20"/>
          <w:lang w:val="es-ES_tradnl"/>
        </w:rPr>
        <w:t>inició un procedimiento de revisión, alegando</w:t>
      </w:r>
      <w:r w:rsidR="00BD78F5" w:rsidRPr="00C7096A">
        <w:rPr>
          <w:rFonts w:ascii="Cambria" w:hAnsi="Cambria"/>
          <w:sz w:val="20"/>
          <w:szCs w:val="20"/>
          <w:lang w:val="es-ES_tradnl"/>
        </w:rPr>
        <w:t xml:space="preserve"> principalmente</w:t>
      </w:r>
      <w:r w:rsidR="00777C1F" w:rsidRPr="00C7096A">
        <w:rPr>
          <w:rFonts w:ascii="Cambria" w:hAnsi="Cambria"/>
          <w:sz w:val="20"/>
          <w:szCs w:val="20"/>
          <w:lang w:val="es-ES_tradnl"/>
        </w:rPr>
        <w:t xml:space="preserve"> </w:t>
      </w:r>
      <w:r w:rsidR="00873D33" w:rsidRPr="00C7096A">
        <w:rPr>
          <w:rFonts w:ascii="Cambria" w:hAnsi="Cambria"/>
          <w:sz w:val="20"/>
          <w:szCs w:val="20"/>
          <w:lang w:val="es-ES_tradnl"/>
        </w:rPr>
        <w:t>la afectación de</w:t>
      </w:r>
      <w:r w:rsidRPr="00C7096A">
        <w:rPr>
          <w:rFonts w:ascii="Cambria" w:hAnsi="Cambria"/>
          <w:sz w:val="20"/>
          <w:szCs w:val="20"/>
          <w:lang w:val="es-ES_tradnl"/>
        </w:rPr>
        <w:t xml:space="preserve"> su</w:t>
      </w:r>
      <w:r w:rsidR="00873D33" w:rsidRPr="00C7096A">
        <w:rPr>
          <w:rFonts w:ascii="Cambria" w:hAnsi="Cambria"/>
          <w:sz w:val="20"/>
          <w:szCs w:val="20"/>
          <w:lang w:val="es-ES_tradnl"/>
        </w:rPr>
        <w:t xml:space="preserve"> derecho a</w:t>
      </w:r>
      <w:r w:rsidRPr="00C7096A">
        <w:rPr>
          <w:rFonts w:ascii="Cambria" w:hAnsi="Cambria"/>
          <w:sz w:val="20"/>
          <w:szCs w:val="20"/>
          <w:lang w:val="es-ES_tradnl"/>
        </w:rPr>
        <w:t xml:space="preserve"> contar con un</w:t>
      </w:r>
      <w:r w:rsidR="00873D33" w:rsidRPr="00C7096A">
        <w:rPr>
          <w:rFonts w:ascii="Cambria" w:hAnsi="Cambria"/>
          <w:sz w:val="20"/>
          <w:szCs w:val="20"/>
          <w:lang w:val="es-ES_tradnl"/>
        </w:rPr>
        <w:t xml:space="preserve"> juez imparcial</w:t>
      </w:r>
      <w:r w:rsidRPr="00C7096A">
        <w:rPr>
          <w:rFonts w:ascii="Cambria" w:hAnsi="Cambria"/>
          <w:sz w:val="20"/>
          <w:szCs w:val="20"/>
          <w:lang w:val="es-ES_tradnl"/>
        </w:rPr>
        <w:t>, debido a la participación</w:t>
      </w:r>
      <w:r w:rsidR="00BD69DF" w:rsidRPr="00C7096A">
        <w:rPr>
          <w:rFonts w:ascii="Cambria" w:hAnsi="Cambria"/>
          <w:sz w:val="20"/>
          <w:szCs w:val="20"/>
          <w:lang w:val="es-ES_tradnl"/>
        </w:rPr>
        <w:t xml:space="preserve"> previa</w:t>
      </w:r>
      <w:r w:rsidRPr="00C7096A">
        <w:rPr>
          <w:rFonts w:ascii="Cambria" w:hAnsi="Cambria"/>
          <w:sz w:val="20"/>
          <w:szCs w:val="20"/>
          <w:lang w:val="es-ES_tradnl"/>
        </w:rPr>
        <w:t xml:space="preserve"> que tuvieron tres de los magistrados de su tribunal de juicio </w:t>
      </w:r>
      <w:r w:rsidR="00BD69DF" w:rsidRPr="00C7096A">
        <w:rPr>
          <w:rFonts w:ascii="Cambria" w:hAnsi="Cambria"/>
          <w:sz w:val="20"/>
          <w:szCs w:val="20"/>
          <w:lang w:val="es-ES_tradnl"/>
        </w:rPr>
        <w:t xml:space="preserve">en la </w:t>
      </w:r>
      <w:r w:rsidRPr="00C7096A">
        <w:rPr>
          <w:rFonts w:ascii="Cambria" w:hAnsi="Cambria"/>
          <w:sz w:val="20"/>
          <w:szCs w:val="20"/>
          <w:lang w:val="es-ES_tradnl"/>
        </w:rPr>
        <w:t xml:space="preserve">ampliación de su prisión preventiva. </w:t>
      </w:r>
      <w:r w:rsidR="00E920AA" w:rsidRPr="00C7096A">
        <w:rPr>
          <w:rFonts w:ascii="Cambria" w:hAnsi="Cambria"/>
          <w:sz w:val="20"/>
          <w:szCs w:val="20"/>
          <w:lang w:val="es-ES_tradnl"/>
        </w:rPr>
        <w:t xml:space="preserve">No obstante, el 4 de junio de 2010 la Sala Tercera de la Corte Suprema de Justicia </w:t>
      </w:r>
      <w:r w:rsidR="00AE4607" w:rsidRPr="00C7096A">
        <w:rPr>
          <w:rFonts w:ascii="Cambria" w:hAnsi="Cambria"/>
          <w:sz w:val="20"/>
          <w:szCs w:val="20"/>
          <w:lang w:val="es-ES_tradnl"/>
        </w:rPr>
        <w:t>declaró infundado tal procedimiento, argumentando que</w:t>
      </w:r>
      <w:r w:rsidR="008C2988" w:rsidRPr="00C7096A">
        <w:rPr>
          <w:rFonts w:ascii="Cambria" w:hAnsi="Cambria"/>
          <w:sz w:val="20"/>
          <w:szCs w:val="20"/>
          <w:lang w:val="es-ES_tradnl"/>
        </w:rPr>
        <w:t xml:space="preserve"> </w:t>
      </w:r>
      <w:r w:rsidR="00873D33" w:rsidRPr="00C7096A">
        <w:rPr>
          <w:rFonts w:ascii="Cambria" w:hAnsi="Cambria"/>
          <w:sz w:val="20"/>
          <w:szCs w:val="20"/>
          <w:lang w:val="es-ES_tradnl"/>
        </w:rPr>
        <w:t>lo siguiente:</w:t>
      </w:r>
    </w:p>
    <w:p w14:paraId="26B517BD" w14:textId="068B6ACB" w:rsidR="00873D33" w:rsidRPr="00C7096A" w:rsidRDefault="006E4C90" w:rsidP="00C02F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C7096A">
        <w:rPr>
          <w:rFonts w:ascii="Cambria" w:hAnsi="Cambria"/>
          <w:sz w:val="20"/>
          <w:szCs w:val="20"/>
          <w:lang w:val="es-ES_tradnl"/>
        </w:rPr>
        <w:t>(…) La jurisprudencia tanto constitucional como de esta Sala, ha señalado que la imparcialidad del Juez no se compromete por el solo hecho de haber participado en etapas previas del debate, sino que cada caso deber ser cuidadosamente analizado a fin de identificar sospechas de parcialidad, que pudieran comprometer el ejercicio de la función jurisdiccional. En el presente caso, mediante resolución de las 7:45 horas, del 8 de septiembre de 2005 (…) el</w:t>
      </w:r>
      <w:r w:rsidR="00E7643E" w:rsidRPr="00C7096A">
        <w:rPr>
          <w:rFonts w:ascii="Cambria" w:hAnsi="Cambria"/>
          <w:sz w:val="20"/>
          <w:szCs w:val="20"/>
          <w:lang w:val="es-ES_tradnl"/>
        </w:rPr>
        <w:t xml:space="preserve"> Tribunal de Desamparados, en integración colegiada idéntica a la que dictó la sentencia, ordenó la prórroga de la prisión preventiva contra Miguel Ángel Hernández Núñez, considerando para ello que los elementos de prueba permitían sustentar en grado de probabilidad la participación del encartado en los tres homicidios por los cuales se le investigaba. En cuanto al caso (…), se consideró que la prueba de que disponía era “</w:t>
      </w:r>
      <w:r w:rsidR="00E7643E" w:rsidRPr="00C7096A">
        <w:rPr>
          <w:rFonts w:ascii="Cambria" w:hAnsi="Cambria"/>
          <w:i/>
          <w:iCs/>
          <w:sz w:val="20"/>
          <w:szCs w:val="20"/>
          <w:lang w:val="es-ES_tradnl"/>
        </w:rPr>
        <w:t>suficiente para sustentar la sospecha de culpabilidad</w:t>
      </w:r>
      <w:r w:rsidR="00E7643E" w:rsidRPr="00C7096A">
        <w:rPr>
          <w:rFonts w:ascii="Cambria" w:hAnsi="Cambria"/>
          <w:sz w:val="20"/>
          <w:szCs w:val="20"/>
          <w:lang w:val="es-ES_tradnl"/>
        </w:rPr>
        <w:t>” del imputado, y se hizo referencia a la existencia de un anticipo jurisdiccional de prueba, en el que deponente indicó tener varios años de conocer al encartado, y haberlo visto salir de la vivienda de las ofendidas poco después de escuchar tres detonaciones que acabaron con la vida de estas. Requisito indispensable para la imposición de cualquier medida cautelar</w:t>
      </w:r>
      <w:r w:rsidR="00FD72AB" w:rsidRPr="00C7096A">
        <w:rPr>
          <w:rFonts w:ascii="Cambria" w:hAnsi="Cambria"/>
          <w:sz w:val="20"/>
          <w:szCs w:val="20"/>
          <w:lang w:val="es-ES_tradnl"/>
        </w:rPr>
        <w:t>, es el análisis de los elementos de convicción recolectados en la investigación a fin de determinar si de los mismos se desprende en grado de probabilidad la culpabilidad del encartado. En el presente caso, de la información contenida en el anticipo jurisdiccional de prueba, deriva el Tribunal la probabilidad en cuanto a la participación del encartado en el hecho de sangre, sin que ello pueda derivarse una sospecha de parcialidad en su contra, pues</w:t>
      </w:r>
      <w:r w:rsidR="006247E3" w:rsidRPr="00C7096A">
        <w:rPr>
          <w:rFonts w:ascii="Cambria" w:hAnsi="Cambria"/>
          <w:sz w:val="20"/>
          <w:szCs w:val="20"/>
          <w:lang w:val="es-ES_tradnl"/>
        </w:rPr>
        <w:t xml:space="preserve"> su labora se circunscribió a verificar el indicio de probabilidad exigido por la ley para imponer la medida cautelar, sin entrar en mayores consideraciones en cuanto al peso o valor probatorio que tenía tal probanza, ni emitir juicio alguno en cuanto a la veracidad, confiabilidad o contundencia de la información obtenida por ese medio o de la declaración de la testigo, aspectos que quedaron para el</w:t>
      </w:r>
      <w:r w:rsidR="00EA027C" w:rsidRPr="00C7096A">
        <w:rPr>
          <w:rFonts w:ascii="Cambria" w:hAnsi="Cambria"/>
          <w:sz w:val="20"/>
          <w:szCs w:val="20"/>
          <w:lang w:val="es-ES_tradnl"/>
        </w:rPr>
        <w:t xml:space="preserve"> análisis de fondo del caso, una vez que se pudo relacionar esa prueba con los restantes elementos. Por dicho se declara sin lugar el reclamo por falta de objetividad. </w:t>
      </w:r>
    </w:p>
    <w:p w14:paraId="7B657A6F" w14:textId="6E3C870A" w:rsidR="002B1886" w:rsidRPr="00C7096A" w:rsidRDefault="00933562" w:rsidP="00A27F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7096A">
        <w:rPr>
          <w:rFonts w:ascii="Cambria" w:hAnsi="Cambria"/>
          <w:sz w:val="20"/>
          <w:szCs w:val="20"/>
          <w:lang w:val="es-ES_tradnl"/>
        </w:rPr>
        <w:t>Asimismo</w:t>
      </w:r>
      <w:r w:rsidR="00EA027C" w:rsidRPr="00C7096A">
        <w:rPr>
          <w:rFonts w:ascii="Cambria" w:hAnsi="Cambria"/>
          <w:sz w:val="20"/>
          <w:szCs w:val="20"/>
          <w:lang w:val="es-ES_tradnl"/>
        </w:rPr>
        <w:t xml:space="preserve">, </w:t>
      </w:r>
      <w:r w:rsidRPr="00C7096A">
        <w:rPr>
          <w:rFonts w:ascii="Cambria" w:hAnsi="Cambria"/>
          <w:sz w:val="20"/>
          <w:szCs w:val="20"/>
          <w:lang w:val="es-ES_tradnl"/>
        </w:rPr>
        <w:t>l</w:t>
      </w:r>
      <w:r w:rsidR="00EA027C" w:rsidRPr="00C7096A">
        <w:rPr>
          <w:rFonts w:ascii="Cambria" w:hAnsi="Cambria"/>
          <w:sz w:val="20"/>
          <w:szCs w:val="20"/>
          <w:lang w:val="es-ES_tradnl"/>
        </w:rPr>
        <w:t>a Sala Tercera de la Corte Suprema de Justicia</w:t>
      </w:r>
      <w:r w:rsidR="00327F52" w:rsidRPr="00C7096A">
        <w:rPr>
          <w:rFonts w:ascii="Cambria" w:hAnsi="Cambria"/>
          <w:sz w:val="20"/>
          <w:szCs w:val="20"/>
          <w:lang w:val="es-ES_tradnl"/>
        </w:rPr>
        <w:t xml:space="preserve"> </w:t>
      </w:r>
      <w:r w:rsidR="00CB77D5" w:rsidRPr="00C7096A">
        <w:rPr>
          <w:rFonts w:ascii="Cambria" w:hAnsi="Cambria"/>
          <w:sz w:val="20"/>
          <w:szCs w:val="20"/>
          <w:lang w:val="es-ES_tradnl"/>
        </w:rPr>
        <w:t xml:space="preserve">argumentó </w:t>
      </w:r>
      <w:r w:rsidR="00327F52" w:rsidRPr="00C7096A">
        <w:rPr>
          <w:rFonts w:ascii="Cambria" w:hAnsi="Cambria"/>
          <w:sz w:val="20"/>
          <w:szCs w:val="20"/>
          <w:lang w:val="es-ES_tradnl"/>
        </w:rPr>
        <w:t>que no existió una vulneración al derecho a la defensa de la presunta víctima ni hubo ninguna actuación irregular en la tramitación del proceso</w:t>
      </w:r>
      <w:r w:rsidRPr="00C7096A">
        <w:rPr>
          <w:rFonts w:ascii="Cambria" w:hAnsi="Cambria"/>
          <w:sz w:val="20"/>
          <w:szCs w:val="20"/>
          <w:lang w:val="es-ES_tradnl"/>
        </w:rPr>
        <w:t>, por lo que correspondía mantener en firme su condena</w:t>
      </w:r>
      <w:r w:rsidR="00327F52" w:rsidRPr="00C7096A">
        <w:rPr>
          <w:rFonts w:ascii="Cambria" w:hAnsi="Cambria"/>
          <w:sz w:val="20"/>
          <w:szCs w:val="20"/>
          <w:lang w:val="es-ES_tradnl"/>
        </w:rPr>
        <w:t xml:space="preserve">. </w:t>
      </w:r>
      <w:r w:rsidR="003C48AF" w:rsidRPr="00C7096A">
        <w:rPr>
          <w:rFonts w:ascii="Cambria" w:hAnsi="Cambria"/>
          <w:sz w:val="20"/>
          <w:szCs w:val="20"/>
          <w:lang w:val="es-ES_tradnl"/>
        </w:rPr>
        <w:t xml:space="preserve">Afirma </w:t>
      </w:r>
      <w:r w:rsidR="00EA027C" w:rsidRPr="00C7096A">
        <w:rPr>
          <w:rFonts w:ascii="Cambria" w:hAnsi="Cambria"/>
          <w:sz w:val="20"/>
          <w:szCs w:val="20"/>
          <w:lang w:val="es-ES_tradnl"/>
        </w:rPr>
        <w:t xml:space="preserve">que le </w:t>
      </w:r>
      <w:r w:rsidR="00FB557A" w:rsidRPr="00C7096A">
        <w:rPr>
          <w:rFonts w:ascii="Cambria" w:hAnsi="Cambria"/>
          <w:sz w:val="20"/>
          <w:szCs w:val="20"/>
          <w:lang w:val="es-ES_tradnl"/>
        </w:rPr>
        <w:t>notific</w:t>
      </w:r>
      <w:r w:rsidR="00EA027C" w:rsidRPr="00C7096A">
        <w:rPr>
          <w:rFonts w:ascii="Cambria" w:hAnsi="Cambria"/>
          <w:sz w:val="20"/>
          <w:szCs w:val="20"/>
          <w:lang w:val="es-ES_tradnl"/>
        </w:rPr>
        <w:t>aron esta decisión el</w:t>
      </w:r>
      <w:r w:rsidR="00FB557A" w:rsidRPr="00C7096A">
        <w:rPr>
          <w:rFonts w:ascii="Cambria" w:hAnsi="Cambria"/>
          <w:sz w:val="20"/>
          <w:szCs w:val="20"/>
          <w:lang w:val="es-ES_tradnl"/>
        </w:rPr>
        <w:t xml:space="preserve"> 27 de agosto de 2010.</w:t>
      </w:r>
    </w:p>
    <w:p w14:paraId="1E54B149" w14:textId="29BD27B6" w:rsidR="0077349A" w:rsidRPr="00C7096A" w:rsidRDefault="002B1886" w:rsidP="00A27F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7096A">
        <w:rPr>
          <w:rFonts w:ascii="Cambria" w:hAnsi="Cambria"/>
          <w:sz w:val="20"/>
          <w:szCs w:val="20"/>
          <w:lang w:val="es-ES_tradnl"/>
        </w:rPr>
        <w:t xml:space="preserve">Con base en estas consideraciones, </w:t>
      </w:r>
      <w:r w:rsidR="008A3E05" w:rsidRPr="00C7096A">
        <w:rPr>
          <w:rFonts w:ascii="Cambria" w:hAnsi="Cambria"/>
          <w:sz w:val="20"/>
          <w:szCs w:val="20"/>
          <w:lang w:val="es-ES_tradnl"/>
        </w:rPr>
        <w:t>alega</w:t>
      </w:r>
      <w:r w:rsidRPr="00C7096A">
        <w:rPr>
          <w:rFonts w:ascii="Cambria" w:hAnsi="Cambria"/>
          <w:sz w:val="20"/>
          <w:szCs w:val="20"/>
          <w:lang w:val="es-ES_tradnl"/>
        </w:rPr>
        <w:t xml:space="preserve"> que el Estado vulneró </w:t>
      </w:r>
      <w:r w:rsidR="00933562" w:rsidRPr="00C7096A">
        <w:rPr>
          <w:rFonts w:ascii="Cambria" w:hAnsi="Cambria"/>
          <w:sz w:val="20"/>
          <w:szCs w:val="20"/>
          <w:lang w:val="es-ES_tradnl"/>
        </w:rPr>
        <w:t>su</w:t>
      </w:r>
      <w:r w:rsidRPr="00C7096A">
        <w:rPr>
          <w:rFonts w:ascii="Cambria" w:hAnsi="Cambria"/>
          <w:sz w:val="20"/>
          <w:szCs w:val="20"/>
          <w:lang w:val="es-ES_tradnl"/>
        </w:rPr>
        <w:t xml:space="preserve"> derecho </w:t>
      </w:r>
      <w:r w:rsidR="00933562" w:rsidRPr="00C7096A">
        <w:rPr>
          <w:rFonts w:ascii="Cambria" w:hAnsi="Cambria"/>
          <w:sz w:val="20"/>
          <w:szCs w:val="20"/>
          <w:lang w:val="es-ES_tradnl"/>
        </w:rPr>
        <w:t>a</w:t>
      </w:r>
      <w:r w:rsidRPr="00C7096A">
        <w:rPr>
          <w:rFonts w:ascii="Cambria" w:hAnsi="Cambria"/>
          <w:sz w:val="20"/>
          <w:szCs w:val="20"/>
          <w:lang w:val="es-ES_tradnl"/>
        </w:rPr>
        <w:t xml:space="preserve"> recurrir el fallo, debido a que no contó con un recurso de apelación que permita la revisión integral de su condena de primera instancia. Además,</w:t>
      </w:r>
      <w:r w:rsidR="00E96967" w:rsidRPr="00C7096A">
        <w:rPr>
          <w:rFonts w:ascii="Cambria" w:hAnsi="Cambria"/>
          <w:sz w:val="20"/>
          <w:szCs w:val="20"/>
          <w:lang w:val="es-ES_tradnl"/>
        </w:rPr>
        <w:t xml:space="preserve"> que su tribunal de juicio vulneró su derecho a contar con un juez imparcial, pues sus integrantes previamente habían emitido una resolución que avaló la ampliación de su prisión preventiva</w:t>
      </w:r>
      <w:r w:rsidRPr="00C7096A">
        <w:rPr>
          <w:rFonts w:ascii="Cambria" w:hAnsi="Cambria"/>
          <w:sz w:val="20"/>
          <w:szCs w:val="20"/>
          <w:lang w:val="es-ES_tradnl"/>
        </w:rPr>
        <w:t>.</w:t>
      </w:r>
      <w:r w:rsidR="00AE4607" w:rsidRPr="00C7096A">
        <w:rPr>
          <w:rFonts w:ascii="Cambria" w:hAnsi="Cambria"/>
          <w:sz w:val="20"/>
          <w:szCs w:val="20"/>
          <w:lang w:val="es-ES_tradnl"/>
        </w:rPr>
        <w:t xml:space="preserve"> </w:t>
      </w:r>
      <w:r w:rsidR="00D64022" w:rsidRPr="00C7096A">
        <w:rPr>
          <w:rFonts w:ascii="Cambria" w:hAnsi="Cambria"/>
          <w:sz w:val="20"/>
          <w:szCs w:val="20"/>
          <w:lang w:val="es-ES_tradnl"/>
        </w:rPr>
        <w:lastRenderedPageBreak/>
        <w:t xml:space="preserve">Finalmente, considera que la pena impuesta constituye un trato cruel, inhumano y degradante, dado el tiempo que debe permanecer en prisión. </w:t>
      </w:r>
    </w:p>
    <w:p w14:paraId="4D689013" w14:textId="1C17F9C5" w:rsidR="00522C3B" w:rsidRPr="00C7096A" w:rsidRDefault="00522C3B" w:rsidP="00522C3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_tradnl"/>
        </w:rPr>
      </w:pPr>
      <w:r w:rsidRPr="00C7096A">
        <w:rPr>
          <w:i/>
          <w:iCs/>
          <w:sz w:val="20"/>
          <w:szCs w:val="20"/>
          <w:lang w:val="es-ES_tradnl"/>
        </w:rPr>
        <w:t>Alegatos del Estado</w:t>
      </w:r>
      <w:r w:rsidR="00C02F63" w:rsidRPr="00C7096A">
        <w:rPr>
          <w:i/>
          <w:iCs/>
          <w:sz w:val="20"/>
          <w:szCs w:val="20"/>
          <w:lang w:val="es-ES_tradnl"/>
        </w:rPr>
        <w:t xml:space="preserve"> costarricense</w:t>
      </w:r>
    </w:p>
    <w:p w14:paraId="0916697B" w14:textId="1CD78FF8" w:rsidR="008244BD" w:rsidRPr="00C7096A" w:rsidRDefault="00522C3B" w:rsidP="00C279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C7096A">
        <w:rPr>
          <w:rFonts w:ascii="Cambria" w:hAnsi="Cambria"/>
          <w:sz w:val="20"/>
          <w:szCs w:val="20"/>
          <w:lang w:val="es-ES_tradnl"/>
        </w:rPr>
        <w:t>Por su parte,</w:t>
      </w:r>
      <w:r w:rsidR="00074DA6" w:rsidRPr="00C7096A">
        <w:rPr>
          <w:rFonts w:ascii="Cambria" w:hAnsi="Cambria"/>
          <w:sz w:val="20"/>
          <w:szCs w:val="20"/>
          <w:lang w:val="es-ES_tradnl"/>
        </w:rPr>
        <w:t xml:space="preserve"> el Estado </w:t>
      </w:r>
      <w:r w:rsidR="00E34925" w:rsidRPr="00C7096A">
        <w:rPr>
          <w:rFonts w:ascii="Cambria" w:hAnsi="Cambria"/>
          <w:sz w:val="20"/>
          <w:szCs w:val="20"/>
          <w:lang w:val="es-ES_tradnl"/>
        </w:rPr>
        <w:t>plantea que la petición es inadmisible por falta de agotamiento de la jurisdicción doméstica</w:t>
      </w:r>
      <w:r w:rsidR="00B82BD2" w:rsidRPr="00C7096A">
        <w:rPr>
          <w:rFonts w:ascii="Cambria" w:hAnsi="Cambria"/>
          <w:sz w:val="20"/>
          <w:szCs w:val="20"/>
          <w:lang w:val="es-ES_tradnl"/>
        </w:rPr>
        <w:t xml:space="preserve">. </w:t>
      </w:r>
      <w:r w:rsidR="008A3E05" w:rsidRPr="00C7096A">
        <w:rPr>
          <w:rFonts w:ascii="Cambria" w:hAnsi="Cambria"/>
          <w:sz w:val="20"/>
          <w:szCs w:val="20"/>
          <w:lang w:val="es-ES_tradnl"/>
        </w:rPr>
        <w:t>Aduce</w:t>
      </w:r>
      <w:r w:rsidR="00D84C59" w:rsidRPr="00C7096A">
        <w:rPr>
          <w:rFonts w:ascii="Cambria" w:hAnsi="Cambria"/>
          <w:sz w:val="20"/>
          <w:szCs w:val="20"/>
          <w:lang w:val="es-ES_tradnl"/>
        </w:rPr>
        <w:t xml:space="preserve"> </w:t>
      </w:r>
      <w:r w:rsidR="002B1ACC" w:rsidRPr="00C7096A">
        <w:rPr>
          <w:rFonts w:ascii="Cambria" w:hAnsi="Cambria"/>
          <w:sz w:val="20"/>
          <w:szCs w:val="20"/>
          <w:lang w:val="es-ES_tradnl"/>
        </w:rPr>
        <w:t xml:space="preserve">que el señor Hernández Núñez </w:t>
      </w:r>
      <w:r w:rsidR="00D84C59" w:rsidRPr="00C7096A">
        <w:rPr>
          <w:rFonts w:ascii="Cambria" w:hAnsi="Cambria"/>
          <w:sz w:val="20"/>
          <w:szCs w:val="20"/>
          <w:lang w:val="es-ES_tradnl"/>
        </w:rPr>
        <w:t>no</w:t>
      </w:r>
      <w:r w:rsidR="002B1ACC" w:rsidRPr="00C7096A">
        <w:rPr>
          <w:rFonts w:ascii="Cambria" w:hAnsi="Cambria"/>
          <w:sz w:val="20"/>
          <w:szCs w:val="20"/>
          <w:lang w:val="es-ES_tradnl"/>
        </w:rPr>
        <w:t xml:space="preserve"> utilizó los mecanismos especiales de revisión, a pesar de que están ideados precisamente para aquellas personas con sentencias condenatorias en firme, que consideran vulnerado su derecho a recurrir su fallo condenatorio de conformidad con el artículo 8.2.h) de la Convención. </w:t>
      </w:r>
      <w:r w:rsidR="00C640C5" w:rsidRPr="00C7096A">
        <w:rPr>
          <w:rFonts w:ascii="Cambria" w:hAnsi="Cambria"/>
          <w:sz w:val="20"/>
          <w:szCs w:val="20"/>
          <w:lang w:val="es-ES_tradnl"/>
        </w:rPr>
        <w:t>M</w:t>
      </w:r>
      <w:r w:rsidR="008244BD" w:rsidRPr="00C7096A">
        <w:rPr>
          <w:rFonts w:ascii="Cambria" w:hAnsi="Cambria"/>
          <w:sz w:val="20"/>
          <w:szCs w:val="20"/>
          <w:lang w:val="es-ES_tradnl"/>
        </w:rPr>
        <w:t>anifiesta que la presunta víctima, tuvo la oportunidad de interponer el procedimiento de revisión especial establecido en el Transitorio III de la Ley N.º 8837 y, a pesar de ello, decidió no hacerlo.</w:t>
      </w:r>
    </w:p>
    <w:p w14:paraId="1F4C845E" w14:textId="18AA0375" w:rsidR="00C27964" w:rsidRPr="00C7096A" w:rsidRDefault="008244BD" w:rsidP="00C279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C7096A">
        <w:rPr>
          <w:rFonts w:ascii="Cambria" w:hAnsi="Cambria"/>
          <w:sz w:val="20"/>
          <w:szCs w:val="20"/>
          <w:lang w:val="es-ES_tradnl"/>
        </w:rPr>
        <w:t xml:space="preserve">Sin perjuicio de ello, manifiesta que el señor Hernández Núñez </w:t>
      </w:r>
      <w:r w:rsidR="00516926" w:rsidRPr="00C7096A">
        <w:rPr>
          <w:rFonts w:ascii="Cambria" w:hAnsi="Cambria"/>
          <w:sz w:val="20"/>
          <w:szCs w:val="20"/>
          <w:lang w:val="es-ES_tradnl"/>
        </w:rPr>
        <w:t xml:space="preserve">tampoco </w:t>
      </w:r>
      <w:r w:rsidRPr="00C7096A">
        <w:rPr>
          <w:rFonts w:ascii="Cambria" w:hAnsi="Cambria"/>
          <w:sz w:val="20"/>
          <w:szCs w:val="20"/>
          <w:lang w:val="es-ES_tradnl"/>
        </w:rPr>
        <w:t xml:space="preserve">presentó alegatos referidos a la presunta afectación </w:t>
      </w:r>
      <w:r w:rsidR="00516926" w:rsidRPr="00C7096A">
        <w:rPr>
          <w:rFonts w:ascii="Cambria" w:hAnsi="Cambria"/>
          <w:sz w:val="20"/>
          <w:szCs w:val="20"/>
          <w:lang w:val="es-ES_tradnl"/>
        </w:rPr>
        <w:t>a su</w:t>
      </w:r>
      <w:r w:rsidRPr="00C7096A">
        <w:rPr>
          <w:rFonts w:ascii="Cambria" w:hAnsi="Cambria"/>
          <w:sz w:val="20"/>
          <w:szCs w:val="20"/>
          <w:lang w:val="es-ES_tradnl"/>
        </w:rPr>
        <w:t xml:space="preserve"> derecho a recurrir el fallo o a la integridad personal en su recurso de casación. Manifiesta que</w:t>
      </w:r>
      <w:r w:rsidR="0098350E" w:rsidRPr="00C7096A">
        <w:rPr>
          <w:rFonts w:ascii="Cambria" w:hAnsi="Cambria"/>
          <w:sz w:val="20"/>
          <w:szCs w:val="20"/>
          <w:lang w:val="es-ES_tradnl"/>
        </w:rPr>
        <w:t xml:space="preserve">, </w:t>
      </w:r>
      <w:r w:rsidR="00986594" w:rsidRPr="00C7096A">
        <w:rPr>
          <w:rFonts w:ascii="Cambria" w:hAnsi="Cambria"/>
          <w:sz w:val="20"/>
          <w:szCs w:val="20"/>
          <w:lang w:val="es-ES_tradnl"/>
        </w:rPr>
        <w:t xml:space="preserve">en virtud de las modificaciones </w:t>
      </w:r>
      <w:r w:rsidR="0098350E" w:rsidRPr="00C7096A">
        <w:rPr>
          <w:rFonts w:ascii="Cambria" w:hAnsi="Cambria"/>
          <w:sz w:val="20"/>
          <w:szCs w:val="20"/>
          <w:lang w:val="es-ES_tradnl"/>
        </w:rPr>
        <w:t>realizadas por la</w:t>
      </w:r>
      <w:r w:rsidR="0098350E" w:rsidRPr="00C7096A">
        <w:rPr>
          <w:rFonts w:asciiTheme="majorHAnsi" w:hAnsiTheme="majorHAnsi"/>
          <w:sz w:val="20"/>
          <w:szCs w:val="20"/>
          <w:lang w:val="es-ES_tradnl"/>
        </w:rPr>
        <w:t xml:space="preserve"> Ley </w:t>
      </w:r>
      <w:r w:rsidR="0098350E" w:rsidRPr="00C7096A">
        <w:rPr>
          <w:rFonts w:ascii="Cambria" w:hAnsi="Cambria"/>
          <w:sz w:val="20"/>
          <w:szCs w:val="20"/>
          <w:lang w:val="es-ES_tradnl"/>
        </w:rPr>
        <w:t>N.º</w:t>
      </w:r>
      <w:r w:rsidR="0098350E" w:rsidRPr="00C7096A">
        <w:rPr>
          <w:rFonts w:asciiTheme="majorHAnsi" w:hAnsiTheme="majorHAnsi"/>
          <w:sz w:val="20"/>
          <w:szCs w:val="20"/>
          <w:lang w:val="es-ES_tradnl"/>
        </w:rPr>
        <w:t xml:space="preserve"> 8503,</w:t>
      </w:r>
      <w:r w:rsidRPr="00C7096A">
        <w:rPr>
          <w:rFonts w:ascii="Cambria" w:hAnsi="Cambria"/>
          <w:sz w:val="20"/>
          <w:szCs w:val="20"/>
          <w:lang w:val="es-ES_tradnl"/>
        </w:rPr>
        <w:t xml:space="preserve"> dicha vía resultaba idónea y efectiva para atender </w:t>
      </w:r>
      <w:r w:rsidR="0098350E" w:rsidRPr="00C7096A">
        <w:rPr>
          <w:rFonts w:ascii="Cambria" w:hAnsi="Cambria"/>
          <w:sz w:val="20"/>
          <w:szCs w:val="20"/>
          <w:lang w:val="es-ES_tradnl"/>
        </w:rPr>
        <w:t>los reclamos de la presunta víctima</w:t>
      </w:r>
      <w:r w:rsidR="00A365A3" w:rsidRPr="00C7096A">
        <w:rPr>
          <w:rFonts w:ascii="Cambria" w:hAnsi="Cambria"/>
          <w:sz w:val="20"/>
          <w:szCs w:val="20"/>
          <w:lang w:val="es-ES_tradnl"/>
        </w:rPr>
        <w:t>;</w:t>
      </w:r>
      <w:r w:rsidR="00F84E5B" w:rsidRPr="00C7096A">
        <w:rPr>
          <w:rFonts w:ascii="Cambria" w:hAnsi="Cambria"/>
          <w:sz w:val="20"/>
          <w:szCs w:val="20"/>
          <w:lang w:val="es-ES_tradnl"/>
        </w:rPr>
        <w:t xml:space="preserve"> sin embargo, est</w:t>
      </w:r>
      <w:r w:rsidR="00D97F4C" w:rsidRPr="00C7096A">
        <w:rPr>
          <w:rFonts w:ascii="Cambria" w:hAnsi="Cambria"/>
          <w:sz w:val="20"/>
          <w:szCs w:val="20"/>
          <w:lang w:val="es-ES_tradnl"/>
        </w:rPr>
        <w:t>e</w:t>
      </w:r>
      <w:r w:rsidR="00F84E5B" w:rsidRPr="00C7096A">
        <w:rPr>
          <w:rFonts w:ascii="Cambria" w:hAnsi="Cambria"/>
          <w:sz w:val="20"/>
          <w:szCs w:val="20"/>
          <w:lang w:val="es-ES_tradnl"/>
        </w:rPr>
        <w:t xml:space="preserve"> omitió presentar </w:t>
      </w:r>
      <w:r w:rsidR="001116C1" w:rsidRPr="00C7096A">
        <w:rPr>
          <w:rFonts w:ascii="Cambria" w:hAnsi="Cambria"/>
          <w:sz w:val="20"/>
          <w:szCs w:val="20"/>
          <w:lang w:val="es-ES_tradnl"/>
        </w:rPr>
        <w:t>estos</w:t>
      </w:r>
      <w:r w:rsidR="00F84E5B" w:rsidRPr="00C7096A">
        <w:rPr>
          <w:rFonts w:ascii="Cambria" w:hAnsi="Cambria"/>
          <w:sz w:val="20"/>
          <w:szCs w:val="20"/>
          <w:lang w:val="es-ES_tradnl"/>
        </w:rPr>
        <w:t xml:space="preserve"> </w:t>
      </w:r>
      <w:r w:rsidR="00333C0E" w:rsidRPr="00C7096A">
        <w:rPr>
          <w:rFonts w:ascii="Cambria" w:hAnsi="Cambria"/>
          <w:sz w:val="20"/>
          <w:szCs w:val="20"/>
          <w:lang w:val="es-ES_tradnl"/>
        </w:rPr>
        <w:t>cue</w:t>
      </w:r>
      <w:r w:rsidR="001116C1" w:rsidRPr="00C7096A">
        <w:rPr>
          <w:rFonts w:ascii="Cambria" w:hAnsi="Cambria"/>
          <w:sz w:val="20"/>
          <w:szCs w:val="20"/>
          <w:lang w:val="es-ES_tradnl"/>
        </w:rPr>
        <w:t>stionamientos</w:t>
      </w:r>
      <w:r w:rsidR="00F84E5B" w:rsidRPr="00C7096A">
        <w:rPr>
          <w:rFonts w:ascii="Cambria" w:hAnsi="Cambria"/>
          <w:sz w:val="20"/>
          <w:szCs w:val="20"/>
          <w:lang w:val="es-ES_tradnl"/>
        </w:rPr>
        <w:t xml:space="preserve"> mediante dicho </w:t>
      </w:r>
      <w:r w:rsidR="00D97F4C" w:rsidRPr="00C7096A">
        <w:rPr>
          <w:rFonts w:ascii="Cambria" w:hAnsi="Cambria"/>
          <w:sz w:val="20"/>
          <w:szCs w:val="20"/>
          <w:lang w:val="es-ES_tradnl"/>
        </w:rPr>
        <w:t>recurso</w:t>
      </w:r>
      <w:r w:rsidR="0098350E" w:rsidRPr="00C7096A">
        <w:rPr>
          <w:rFonts w:ascii="Cambria" w:hAnsi="Cambria"/>
          <w:sz w:val="20"/>
          <w:szCs w:val="20"/>
          <w:lang w:val="es-ES_tradnl"/>
        </w:rPr>
        <w:t xml:space="preserve">. </w:t>
      </w:r>
      <w:r w:rsidR="00EF238C" w:rsidRPr="00C7096A">
        <w:rPr>
          <w:rFonts w:ascii="Cambria" w:hAnsi="Cambria"/>
          <w:sz w:val="20"/>
          <w:szCs w:val="20"/>
          <w:lang w:val="es-ES_tradnl"/>
        </w:rPr>
        <w:t>Por las citadas razones, solicita a la Comisión que declare inadmisible el presente asunto por no cumpl</w:t>
      </w:r>
      <w:r w:rsidR="00F84E5B" w:rsidRPr="00C7096A">
        <w:rPr>
          <w:rFonts w:ascii="Cambria" w:hAnsi="Cambria"/>
          <w:sz w:val="20"/>
          <w:szCs w:val="20"/>
          <w:lang w:val="es-ES_tradnl"/>
        </w:rPr>
        <w:t>ir</w:t>
      </w:r>
      <w:r w:rsidR="00EF238C" w:rsidRPr="00C7096A">
        <w:rPr>
          <w:rFonts w:ascii="Cambria" w:hAnsi="Cambria"/>
          <w:sz w:val="20"/>
          <w:szCs w:val="20"/>
          <w:lang w:val="es-ES_tradnl"/>
        </w:rPr>
        <w:t xml:space="preserve"> con el requisito previsto en el artículo</w:t>
      </w:r>
      <w:r w:rsidR="00282711" w:rsidRPr="00C7096A">
        <w:rPr>
          <w:rFonts w:ascii="Cambria" w:hAnsi="Cambria"/>
          <w:sz w:val="20"/>
          <w:szCs w:val="20"/>
          <w:lang w:val="es-ES_tradnl"/>
        </w:rPr>
        <w:t xml:space="preserve"> 46.1.a) de la Convención. </w:t>
      </w:r>
    </w:p>
    <w:p w14:paraId="00FA0B30" w14:textId="021F60DF" w:rsidR="00AE043C" w:rsidRPr="00C7096A" w:rsidRDefault="00D97F4C" w:rsidP="00C279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C7096A">
        <w:rPr>
          <w:rFonts w:ascii="Cambria" w:hAnsi="Cambria"/>
          <w:sz w:val="20"/>
          <w:szCs w:val="20"/>
          <w:lang w:val="es-ES_tradnl"/>
        </w:rPr>
        <w:t>Asimismo</w:t>
      </w:r>
      <w:r w:rsidR="00AE043C" w:rsidRPr="00C7096A">
        <w:rPr>
          <w:rFonts w:ascii="Cambria" w:hAnsi="Cambria"/>
          <w:sz w:val="20"/>
          <w:szCs w:val="20"/>
          <w:lang w:val="es-ES_tradnl"/>
        </w:rPr>
        <w:t xml:space="preserve">, alega que la petición debe ser declarada inadmisible </w:t>
      </w:r>
      <w:r w:rsidR="00AB1464" w:rsidRPr="00C7096A">
        <w:rPr>
          <w:rFonts w:ascii="Cambria" w:hAnsi="Cambria"/>
          <w:sz w:val="20"/>
          <w:szCs w:val="20"/>
          <w:lang w:val="es-ES_tradnl"/>
        </w:rPr>
        <w:t xml:space="preserve">por extemporánea. Arguye que en caso la Comisión estime que la presunta víctima agotó la jurisdicción interna con el uso de la vía de casación, </w:t>
      </w:r>
      <w:r w:rsidR="0014698F" w:rsidRPr="00C7096A">
        <w:rPr>
          <w:rFonts w:ascii="Cambria" w:hAnsi="Cambria"/>
          <w:sz w:val="20"/>
          <w:szCs w:val="20"/>
          <w:lang w:val="es-ES_tradnl"/>
        </w:rPr>
        <w:t>tal situación configura</w:t>
      </w:r>
      <w:r w:rsidR="001116C1" w:rsidRPr="00C7096A">
        <w:rPr>
          <w:rFonts w:ascii="Cambria" w:hAnsi="Cambria"/>
          <w:sz w:val="20"/>
          <w:szCs w:val="20"/>
          <w:lang w:val="es-ES_tradnl"/>
        </w:rPr>
        <w:t>ría</w:t>
      </w:r>
      <w:r w:rsidR="0014698F" w:rsidRPr="00C7096A">
        <w:rPr>
          <w:rFonts w:ascii="Cambria" w:hAnsi="Cambria"/>
          <w:sz w:val="20"/>
          <w:szCs w:val="20"/>
          <w:lang w:val="es-ES_tradnl"/>
        </w:rPr>
        <w:t xml:space="preserve"> que el presente reclamo haya sido presentado </w:t>
      </w:r>
      <w:r w:rsidR="00AB340D" w:rsidRPr="00C7096A">
        <w:rPr>
          <w:rFonts w:ascii="Cambria" w:hAnsi="Cambria"/>
          <w:sz w:val="20"/>
          <w:szCs w:val="20"/>
          <w:lang w:val="es-ES_tradnl"/>
        </w:rPr>
        <w:t xml:space="preserve">cuatro años después de la notificación de la decisión que resolvió tal recurso. En </w:t>
      </w:r>
      <w:r w:rsidR="006A650B" w:rsidRPr="00C7096A">
        <w:rPr>
          <w:rFonts w:ascii="Cambria" w:hAnsi="Cambria"/>
          <w:sz w:val="20"/>
          <w:szCs w:val="20"/>
          <w:lang w:val="es-ES_tradnl"/>
        </w:rPr>
        <w:t>consecuencia, de ser este el supuesto, el presente reclamo no cumpliría con el requisito de plazo previsto en el artículo 46.1.b) de la Convención.</w:t>
      </w:r>
    </w:p>
    <w:p w14:paraId="1E6C45D3" w14:textId="60F834AB" w:rsidR="0068324E" w:rsidRPr="00C7096A" w:rsidRDefault="0068324E" w:rsidP="006832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C7096A">
        <w:rPr>
          <w:rFonts w:ascii="Cambria" w:hAnsi="Cambria"/>
          <w:sz w:val="20"/>
          <w:szCs w:val="20"/>
          <w:lang w:val="es-ES_tradnl"/>
        </w:rPr>
        <w:t xml:space="preserve">Finalmente, sostiene </w:t>
      </w:r>
      <w:r w:rsidRPr="00C7096A">
        <w:rPr>
          <w:rFonts w:asciiTheme="majorHAnsi" w:hAnsiTheme="majorHAnsi"/>
          <w:bCs/>
          <w:sz w:val="20"/>
          <w:szCs w:val="20"/>
          <w:lang w:val="es-ES_tradnl"/>
        </w:rPr>
        <w:t xml:space="preserve">que la parte peticionaria pretende que la Comisión actúe como una cuarta instancia judicial y revise las valoraciones de hecho y de derecho efectuadas por los jueces y tribunales internos que actuaron en la esfera de su competencia, sin demostrar que estos hayan vulnerado algún derecho reconocido en la Convención. </w:t>
      </w:r>
    </w:p>
    <w:p w14:paraId="3ABF7135" w14:textId="05A6021A" w:rsidR="0068324E" w:rsidRPr="00C7096A" w:rsidRDefault="0068324E" w:rsidP="006832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7096A">
        <w:rPr>
          <w:rFonts w:ascii="Cambria" w:hAnsi="Cambria"/>
          <w:sz w:val="20"/>
          <w:szCs w:val="20"/>
          <w:lang w:val="es-ES_tradnl"/>
        </w:rPr>
        <w:t xml:space="preserve">Destaca que </w:t>
      </w:r>
      <w:r w:rsidR="00A856F6" w:rsidRPr="00C7096A">
        <w:rPr>
          <w:rFonts w:ascii="Cambria" w:hAnsi="Cambria"/>
          <w:sz w:val="20"/>
          <w:szCs w:val="20"/>
          <w:lang w:val="es-ES_tradnl"/>
        </w:rPr>
        <w:t>en el</w:t>
      </w:r>
      <w:r w:rsidRPr="00C7096A">
        <w:rPr>
          <w:rFonts w:ascii="Cambria" w:hAnsi="Cambria"/>
          <w:sz w:val="20"/>
          <w:szCs w:val="20"/>
          <w:lang w:val="es-ES_tradnl"/>
        </w:rPr>
        <w:t xml:space="preserve"> ordenamiento costarricense se han previsto una diversidad de recursos, principalmente judiciales, con el fin de ofrecer a las personas medios para determinar derechos de distinta índole. En esa línea, específica que tales medios cumplen con las reglas del debido proceso y garantizan un acceso justo y una discusión equilibrada en los procesos, por lo que estos respetan las normas de la Convención Americana. Por ende, considera que no corresponde a la Comisión analizar el presente asunto, pues no se ha acreditado la existencia de una sentencia nacional que haya sido dictada al margen del debido proceso o que aparentemente haya violado cualquier otro derecho garantizado por la Convención.</w:t>
      </w:r>
    </w:p>
    <w:p w14:paraId="6FC6758A" w14:textId="7FE50ED8" w:rsidR="003A5F8F" w:rsidRPr="00C7096A" w:rsidRDefault="003A5F8F" w:rsidP="006832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7096A">
        <w:rPr>
          <w:rFonts w:ascii="Cambria" w:hAnsi="Cambria"/>
          <w:sz w:val="20"/>
          <w:szCs w:val="20"/>
          <w:lang w:val="es-ES_tradnl"/>
        </w:rPr>
        <w:t>Respecto a la presunta afectación a</w:t>
      </w:r>
      <w:r w:rsidR="008F6714" w:rsidRPr="00C7096A">
        <w:rPr>
          <w:rFonts w:ascii="Cambria" w:hAnsi="Cambria"/>
          <w:sz w:val="20"/>
          <w:szCs w:val="20"/>
          <w:lang w:val="es-ES_tradnl"/>
        </w:rPr>
        <w:t xml:space="preserve"> la garantía de</w:t>
      </w:r>
      <w:r w:rsidRPr="00C7096A">
        <w:rPr>
          <w:rFonts w:ascii="Cambria" w:hAnsi="Cambria"/>
          <w:sz w:val="20"/>
          <w:szCs w:val="20"/>
          <w:lang w:val="es-ES_tradnl"/>
        </w:rPr>
        <w:t xml:space="preserve"> contar con un juez imparcial, sostiene que</w:t>
      </w:r>
      <w:r w:rsidR="008F6714" w:rsidRPr="00C7096A">
        <w:rPr>
          <w:rFonts w:ascii="Cambria" w:hAnsi="Cambria"/>
          <w:sz w:val="20"/>
          <w:szCs w:val="20"/>
          <w:lang w:val="es-ES_tradnl"/>
        </w:rPr>
        <w:t xml:space="preserve">, de acuerdo con la jurisprudencia constitucional costarricense, dicho </w:t>
      </w:r>
      <w:r w:rsidR="00FD1C5E" w:rsidRPr="00C7096A">
        <w:rPr>
          <w:rFonts w:ascii="Cambria" w:hAnsi="Cambria"/>
          <w:sz w:val="20"/>
          <w:szCs w:val="20"/>
          <w:lang w:val="es-ES_tradnl"/>
        </w:rPr>
        <w:t>principio no se compromete por el solo hecho de que una autoridad judicial haya participado en etapas previas del debate, sino que cada caso debe ser cuidadosamente analizado a fin de identificar sospechas de parcialidad</w:t>
      </w:r>
      <w:r w:rsidR="00BC39C5" w:rsidRPr="00C7096A">
        <w:rPr>
          <w:rFonts w:ascii="Cambria" w:hAnsi="Cambria"/>
          <w:sz w:val="20"/>
          <w:szCs w:val="20"/>
          <w:lang w:val="es-ES_tradnl"/>
        </w:rPr>
        <w:t xml:space="preserve"> que pudieran comprometer el ejercicio de la función jurisdiccional. </w:t>
      </w:r>
      <w:r w:rsidR="00B1545F" w:rsidRPr="00C7096A">
        <w:rPr>
          <w:rFonts w:ascii="Cambria" w:hAnsi="Cambria"/>
          <w:sz w:val="20"/>
          <w:szCs w:val="20"/>
          <w:lang w:val="es-ES_tradnl"/>
        </w:rPr>
        <w:t xml:space="preserve">En el presente asunto, manifiesta que la Sala Tercera de la Corte Suprema valoró el citado alegado y, después de un </w:t>
      </w:r>
      <w:r w:rsidR="0057225B" w:rsidRPr="00C7096A">
        <w:rPr>
          <w:rFonts w:ascii="Cambria" w:hAnsi="Cambria"/>
          <w:sz w:val="20"/>
          <w:szCs w:val="20"/>
          <w:lang w:val="es-ES_tradnl"/>
        </w:rPr>
        <w:t>análisis de fondo, concluyó mediante una debida motivación que no había afectado la referida garantía. En consecuencia, reitera que en caso la CIDH analizará este asunto, estaría actuando como una cuarta instancia judicial.</w:t>
      </w:r>
    </w:p>
    <w:p w14:paraId="3CDBB522" w14:textId="63D9382A" w:rsidR="007705D7" w:rsidRPr="00C7096A" w:rsidRDefault="007705D7" w:rsidP="00C279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C7096A">
        <w:rPr>
          <w:rFonts w:asciiTheme="majorHAnsi" w:hAnsiTheme="majorHAnsi"/>
          <w:b/>
          <w:bCs/>
          <w:sz w:val="20"/>
          <w:szCs w:val="20"/>
          <w:lang w:val="es-ES_tradnl"/>
        </w:rPr>
        <w:t>VI.</w:t>
      </w:r>
      <w:r w:rsidRPr="00C7096A">
        <w:rPr>
          <w:rFonts w:asciiTheme="majorHAnsi" w:hAnsiTheme="majorHAnsi"/>
          <w:b/>
          <w:bCs/>
          <w:sz w:val="20"/>
          <w:szCs w:val="20"/>
          <w:lang w:val="es-ES_tradnl"/>
        </w:rPr>
        <w:tab/>
        <w:t>CONSIDERACIONES PREVIAS</w:t>
      </w:r>
    </w:p>
    <w:p w14:paraId="4A12D7E1" w14:textId="487D75ED" w:rsidR="00CD17F6" w:rsidRPr="00C7096A"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C7096A">
        <w:rPr>
          <w:rFonts w:asciiTheme="majorHAnsi" w:hAnsiTheme="majorHAnsi"/>
          <w:bCs/>
          <w:sz w:val="20"/>
          <w:szCs w:val="20"/>
          <w:lang w:val="es-ES_tradnl"/>
        </w:rPr>
        <w:t xml:space="preserve">La Comisión observa que el objeto principal de la presente petición se centra en cuestionar 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 la presente petición. </w:t>
      </w:r>
    </w:p>
    <w:p w14:paraId="4FF09DE4" w14:textId="77777777" w:rsidR="00CD17F6" w:rsidRPr="00C7096A"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7096A">
        <w:rPr>
          <w:rFonts w:asciiTheme="majorHAnsi" w:hAnsiTheme="majorHAnsi"/>
          <w:bCs/>
          <w:sz w:val="20"/>
          <w:szCs w:val="20"/>
          <w:lang w:val="es-ES_tradnl"/>
        </w:rPr>
        <w:lastRenderedPageBreak/>
        <w:t xml:space="preserve">Así, la CIDH recuerda que en la sentencia del caso </w:t>
      </w:r>
      <w:r w:rsidRPr="00C7096A">
        <w:rPr>
          <w:rFonts w:asciiTheme="majorHAnsi" w:hAnsiTheme="majorHAnsi"/>
          <w:bCs/>
          <w:i/>
          <w:iCs/>
          <w:sz w:val="20"/>
          <w:szCs w:val="20"/>
          <w:lang w:val="es-ES_tradnl"/>
        </w:rPr>
        <w:t xml:space="preserve">Herrera Ulloa vs. Costa Rica </w:t>
      </w:r>
      <w:r w:rsidRPr="00C7096A">
        <w:rPr>
          <w:rFonts w:asciiTheme="majorHAnsi" w:hAnsiTheme="majorHAnsi"/>
          <w:bCs/>
          <w:sz w:val="20"/>
          <w:szCs w:val="20"/>
          <w:lang w:val="es-ES_tradnl"/>
        </w:rPr>
        <w:t>del 2 de julio de 2004, la Corte Interamericana de Derechos Humanos</w:t>
      </w:r>
      <w:r w:rsidRPr="00C7096A">
        <w:rPr>
          <w:rStyle w:val="FootnoteReference"/>
          <w:rFonts w:asciiTheme="majorHAnsi" w:hAnsiTheme="majorHAnsi"/>
          <w:bCs/>
          <w:sz w:val="20"/>
          <w:szCs w:val="20"/>
          <w:lang w:val="es-ES_tradnl"/>
        </w:rPr>
        <w:footnoteReference w:id="4"/>
      </w:r>
      <w:r w:rsidRPr="00C7096A">
        <w:rPr>
          <w:rFonts w:asciiTheme="majorHAnsi" w:hAnsiTheme="majorHAnsi"/>
          <w:bCs/>
          <w:sz w:val="20"/>
          <w:szCs w:val="20"/>
          <w:lang w:val="es-ES_tradnl"/>
        </w:rPr>
        <w:t xml:space="preserve"> examinó la regulación establecida en el Código Procesal Penal vigente desde 1998; y concluyó que no contaba con “</w:t>
      </w:r>
      <w:r w:rsidRPr="00C7096A">
        <w:rPr>
          <w:rFonts w:asciiTheme="majorHAnsi" w:hAnsiTheme="majorHAnsi"/>
          <w:bCs/>
          <w:i/>
          <w:iCs/>
          <w:sz w:val="20"/>
          <w:szCs w:val="20"/>
          <w:lang w:val="es-ES_tradnl"/>
        </w:rPr>
        <w:t xml:space="preserve">un recurso que </w:t>
      </w:r>
      <w:r w:rsidRPr="00C7096A">
        <w:rPr>
          <w:rFonts w:asciiTheme="majorHAnsi" w:hAnsiTheme="majorHAnsi"/>
          <w:i/>
          <w:iCs/>
          <w:sz w:val="20"/>
          <w:szCs w:val="20"/>
          <w:lang w:val="es-ES_tradnl"/>
        </w:rPr>
        <w:t>permitiera que el tribunal superior realizara un análisis o examen comprensivo e integral de todas las cuestiones debatidas y analizadas por el tribunal inferior</w:t>
      </w:r>
      <w:r w:rsidRPr="00C7096A">
        <w:rPr>
          <w:rFonts w:asciiTheme="majorHAnsi" w:hAnsiTheme="majorHAnsi"/>
          <w:sz w:val="20"/>
          <w:szCs w:val="20"/>
          <w:lang w:val="es-ES_tradnl"/>
        </w:rPr>
        <w:t>”, dada las limitaciones que tenía la regulación del recurso de casación en el ámbito penal</w:t>
      </w:r>
      <w:r w:rsidRPr="00C7096A">
        <w:rPr>
          <w:rStyle w:val="FootnoteReference"/>
          <w:rFonts w:asciiTheme="majorHAnsi" w:hAnsiTheme="majorHAnsi"/>
          <w:sz w:val="20"/>
          <w:szCs w:val="20"/>
          <w:lang w:val="es-ES_tradnl"/>
        </w:rPr>
        <w:footnoteReference w:id="5"/>
      </w:r>
      <w:r w:rsidRPr="00C7096A">
        <w:rPr>
          <w:rFonts w:asciiTheme="majorHAnsi" w:hAnsiTheme="majorHAnsi"/>
          <w:sz w:val="20"/>
          <w:szCs w:val="20"/>
          <w:lang w:val="es-ES_tradnl"/>
        </w:rPr>
        <w:t>. En consecuencia, la Corte IDH declaró que el Estado costarricense violó el artículo 8.2.h) de la Convención en relación con sus artículos 1.1 y 2 en perjuicio del señor Mauricio Herrera Ulloa, al no haber garantizado su derecho a recurrir el fallo; y ordenó a Costa Rica “</w:t>
      </w:r>
      <w:r w:rsidRPr="00C7096A">
        <w:rPr>
          <w:rFonts w:asciiTheme="majorHAnsi" w:hAnsiTheme="majorHAnsi"/>
          <w:i/>
          <w:iCs/>
          <w:sz w:val="20"/>
          <w:szCs w:val="20"/>
          <w:lang w:val="es-ES_tradnl"/>
        </w:rPr>
        <w:t>adecuar su ordenamiento jurídico interno a lo establecido en el artículo 8.2.h de la Convención Americana, en relación con el artículo 2 de la misma</w:t>
      </w:r>
      <w:r w:rsidRPr="00C7096A">
        <w:rPr>
          <w:rFonts w:asciiTheme="majorHAnsi" w:hAnsiTheme="majorHAnsi"/>
          <w:sz w:val="20"/>
          <w:szCs w:val="20"/>
          <w:lang w:val="es-ES_tradnl"/>
        </w:rPr>
        <w:t>”</w:t>
      </w:r>
      <w:r w:rsidRPr="00C7096A">
        <w:rPr>
          <w:rStyle w:val="FootnoteReference"/>
          <w:rFonts w:asciiTheme="majorHAnsi" w:hAnsiTheme="majorHAnsi"/>
          <w:sz w:val="20"/>
          <w:szCs w:val="20"/>
          <w:lang w:val="es-ES_tradnl"/>
        </w:rPr>
        <w:footnoteReference w:id="6"/>
      </w:r>
      <w:r w:rsidRPr="00C7096A">
        <w:rPr>
          <w:rFonts w:asciiTheme="majorHAnsi" w:hAnsiTheme="majorHAnsi"/>
          <w:sz w:val="20"/>
          <w:szCs w:val="20"/>
          <w:lang w:val="es-ES_tradnl"/>
        </w:rPr>
        <w:t>.</w:t>
      </w:r>
    </w:p>
    <w:p w14:paraId="5CE614C9" w14:textId="21B3044C" w:rsidR="00CD17F6" w:rsidRPr="00C7096A"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7096A">
        <w:rPr>
          <w:rFonts w:asciiTheme="majorHAnsi" w:hAnsiTheme="majorHAnsi"/>
          <w:bCs/>
          <w:sz w:val="20"/>
          <w:szCs w:val="20"/>
          <w:lang w:val="es-ES_tradnl"/>
        </w:rPr>
        <w:t>Como consecuencia de esta sentencia, Costa Rica reformó la regulación de su sistema procesal penal a efectos de contar con una regulación acorde con las obligaciones contempladas en el artículo 8.2.h) de la Convención Americana. Así, el 6 de</w:t>
      </w:r>
      <w:r w:rsidRPr="00C7096A">
        <w:rPr>
          <w:rFonts w:asciiTheme="majorHAnsi" w:hAnsiTheme="majorHAnsi"/>
          <w:sz w:val="20"/>
          <w:szCs w:val="20"/>
          <w:lang w:val="es-ES_tradnl"/>
        </w:rPr>
        <w:t xml:space="preserve"> junio de 2006 entró en vigor la Ley No. 8503, denominada “Ley de Apertura de la Casación Penal”, la cual modificó y adicionó distintos artículos del Código Procesal Penal relacionados con los recursos de casación y revisión. Asimismo, tal legislación estableció en su Transitorio I, un procedimiento de revisión especial para “</w:t>
      </w:r>
      <w:r w:rsidRPr="00C7096A">
        <w:rPr>
          <w:rFonts w:asciiTheme="majorHAnsi" w:hAnsiTheme="majorHAnsi"/>
          <w:i/>
          <w:iCs/>
          <w:sz w:val="20"/>
          <w:szCs w:val="20"/>
          <w:lang w:val="es-ES_tradnl"/>
        </w:rPr>
        <w:t>las personas condenadas por un hecho delictivo con fecha anterior a esta Ley, a quienes se les haya obstaculizado formular recurso de casación contra la sentencia, en razón de las reglas que regulaban su admisibilidad en aquella fecha […] invocando, en cada caso, el agravio y los aspectos de hecho y de derecho que no fueron posibles de conocer en casación</w:t>
      </w:r>
      <w:r w:rsidRPr="00C7096A">
        <w:rPr>
          <w:rFonts w:asciiTheme="majorHAnsi" w:hAnsiTheme="majorHAnsi"/>
          <w:sz w:val="20"/>
          <w:szCs w:val="20"/>
          <w:lang w:val="es-ES_tradnl"/>
        </w:rPr>
        <w:t>”. En virtud de ello, la Corte Interamericana consideró que “</w:t>
      </w:r>
      <w:r w:rsidRPr="00C7096A">
        <w:rPr>
          <w:rFonts w:asciiTheme="majorHAnsi" w:hAnsiTheme="majorHAnsi"/>
          <w:i/>
          <w:iCs/>
          <w:sz w:val="20"/>
          <w:szCs w:val="20"/>
          <w:lang w:val="es-ES_tradnl"/>
        </w:rPr>
        <w:t>a través de la causal de revisión creada por el Transitorio I, una persona condenada penalmente podría, en principio, obtener una revisión integral de su sentencia que incluya tanto cuestiones de hecho como de derecho</w:t>
      </w:r>
      <w:r w:rsidRPr="00C7096A">
        <w:rPr>
          <w:rFonts w:asciiTheme="majorHAnsi" w:hAnsiTheme="majorHAnsi"/>
          <w:sz w:val="20"/>
          <w:szCs w:val="20"/>
          <w:lang w:val="es-ES_tradnl"/>
        </w:rPr>
        <w:t>”</w:t>
      </w:r>
      <w:r w:rsidRPr="00C7096A">
        <w:rPr>
          <w:rStyle w:val="FootnoteReference"/>
          <w:rFonts w:asciiTheme="majorHAnsi" w:hAnsiTheme="majorHAnsi"/>
          <w:sz w:val="20"/>
          <w:szCs w:val="20"/>
          <w:lang w:val="es-ES_tradnl"/>
        </w:rPr>
        <w:footnoteReference w:id="7"/>
      </w:r>
      <w:r w:rsidRPr="00C7096A">
        <w:rPr>
          <w:rFonts w:asciiTheme="majorHAnsi" w:hAnsiTheme="majorHAnsi"/>
          <w:sz w:val="20"/>
          <w:szCs w:val="20"/>
          <w:lang w:val="es-ES_tradnl"/>
        </w:rPr>
        <w:t>.</w:t>
      </w:r>
    </w:p>
    <w:p w14:paraId="01B83E83" w14:textId="5B053F44" w:rsidR="00CD17F6" w:rsidRPr="00C7096A"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7096A">
        <w:rPr>
          <w:rFonts w:asciiTheme="majorHAnsi" w:hAnsiTheme="majorHAnsi"/>
          <w:sz w:val="20"/>
          <w:szCs w:val="20"/>
          <w:lang w:val="es-ES_tradnl"/>
        </w:rPr>
        <w:t>Asimismo</w:t>
      </w:r>
      <w:r w:rsidR="007C1952" w:rsidRPr="00C7096A">
        <w:rPr>
          <w:rFonts w:asciiTheme="majorHAnsi" w:hAnsiTheme="majorHAnsi"/>
          <w:sz w:val="20"/>
          <w:szCs w:val="20"/>
          <w:lang w:val="es-ES_tradnl"/>
        </w:rPr>
        <w:t>,</w:t>
      </w:r>
      <w:r w:rsidRPr="00C7096A">
        <w:rPr>
          <w:rFonts w:asciiTheme="majorHAnsi" w:hAnsiTheme="majorHAnsi"/>
          <w:sz w:val="20"/>
          <w:szCs w:val="20"/>
          <w:lang w:val="es-ES_tradnl"/>
        </w:rPr>
        <w:t xml:space="preserve"> </w:t>
      </w:r>
      <w:r w:rsidR="007C1952" w:rsidRPr="00C7096A">
        <w:rPr>
          <w:rFonts w:asciiTheme="majorHAnsi" w:hAnsiTheme="majorHAnsi"/>
          <w:sz w:val="20"/>
          <w:szCs w:val="20"/>
          <w:lang w:val="es-ES_tradnl"/>
        </w:rPr>
        <w:t xml:space="preserve">y en lo relevante para el presente caso, </w:t>
      </w:r>
      <w:r w:rsidRPr="00C7096A">
        <w:rPr>
          <w:rFonts w:asciiTheme="majorHAnsi" w:hAnsiTheme="majorHAnsi"/>
          <w:sz w:val="20"/>
          <w:szCs w:val="20"/>
          <w:lang w:val="es-ES_tradnl"/>
        </w:rPr>
        <w:t xml:space="preserve">la citada ley incorporó diversas modificaciones al régimen legal del recurso de casación contenido en el Código Procesal Penal. En primer término, se adicionó a la nómina de vicios de la sentencia que justifican la casación del art. 396 una nueva causal consistente en que “la sentencia no haya sido dictada mediante el debido proceso o con oportunidad de defensa”. En segundo lugar, y con respecto a la amplitud del examen del tribunal de casación, la ley 8503 incorporó el artículo 449 bis al Código Procesal Penal, el cual reza: </w:t>
      </w:r>
    </w:p>
    <w:p w14:paraId="1442D2C0" w14:textId="77777777" w:rsidR="00CD17F6" w:rsidRPr="00C7096A" w:rsidRDefault="00CD17F6" w:rsidP="00CD17F6">
      <w:pPr>
        <w:pStyle w:val="NormalWeb"/>
        <w:spacing w:before="0" w:beforeAutospacing="0" w:after="0" w:afterAutospacing="0"/>
        <w:ind w:left="709" w:right="798"/>
        <w:jc w:val="both"/>
        <w:rPr>
          <w:rFonts w:asciiTheme="majorHAnsi" w:hAnsiTheme="majorHAnsi" w:cs="Calibri"/>
          <w:sz w:val="20"/>
          <w:szCs w:val="20"/>
          <w:lang w:val="es-ES_tradnl"/>
        </w:rPr>
      </w:pPr>
      <w:r w:rsidRPr="00C7096A">
        <w:rPr>
          <w:rFonts w:asciiTheme="majorHAnsi" w:hAnsiTheme="majorHAnsi" w:cs="Calibri"/>
          <w:sz w:val="20"/>
          <w:szCs w:val="20"/>
          <w:lang w:val="es-ES_tradnl"/>
        </w:rPr>
        <w:t xml:space="preserve">El Tribunal de Casación apreciará la procedencia de los reclamos invocados en el recurso y sus fundamentos, examinando las actuaciones y los registros de la audiencia, de modo que pueda valorar la forma en que los jueces de juicio apreciaron la prueba y fundamentaron su decisión. De no tener registros suficientes para realizar esa apreciación, podrá reproducir en casación la prueba oral del juicio que, en su criterio, sea necesaria para examinar la procedencia del reclamo, y la valorará en relación con el resto de las actuaciones. </w:t>
      </w:r>
    </w:p>
    <w:p w14:paraId="629BDB34" w14:textId="77777777" w:rsidR="00CD17F6" w:rsidRPr="00C7096A" w:rsidRDefault="00CD17F6" w:rsidP="00CD17F6">
      <w:pPr>
        <w:pStyle w:val="NormalWeb"/>
        <w:spacing w:before="0" w:beforeAutospacing="0" w:after="0" w:afterAutospacing="0"/>
        <w:ind w:left="709" w:right="798"/>
        <w:jc w:val="both"/>
        <w:rPr>
          <w:rFonts w:asciiTheme="majorHAnsi" w:hAnsiTheme="majorHAnsi"/>
          <w:sz w:val="20"/>
          <w:szCs w:val="20"/>
          <w:lang w:val="es-ES_tradnl"/>
        </w:rPr>
      </w:pPr>
    </w:p>
    <w:p w14:paraId="1035475D" w14:textId="77777777" w:rsidR="00CD17F6" w:rsidRPr="00C7096A" w:rsidRDefault="00CD17F6" w:rsidP="00CD17F6">
      <w:pPr>
        <w:pStyle w:val="NormalWeb"/>
        <w:spacing w:before="0" w:beforeAutospacing="0" w:after="0" w:afterAutospacing="0"/>
        <w:ind w:left="709" w:right="798"/>
        <w:jc w:val="both"/>
        <w:rPr>
          <w:rFonts w:asciiTheme="majorHAnsi" w:hAnsiTheme="majorHAnsi" w:cs="Calibri"/>
          <w:sz w:val="20"/>
          <w:szCs w:val="20"/>
          <w:lang w:val="es-ES_tradnl"/>
        </w:rPr>
      </w:pPr>
      <w:r w:rsidRPr="00C7096A">
        <w:rPr>
          <w:rFonts w:asciiTheme="majorHAnsi" w:hAnsiTheme="majorHAnsi" w:cs="Calibri"/>
          <w:sz w:val="20"/>
          <w:szCs w:val="20"/>
          <w:lang w:val="es-ES_tradnl"/>
        </w:rPr>
        <w:t>De igual manera, podrá valorar en forma directa la prueba que se haya introducido por escrito al juicio.</w:t>
      </w:r>
    </w:p>
    <w:p w14:paraId="66FF7CB8" w14:textId="77777777" w:rsidR="00CD17F6" w:rsidRPr="00C7096A"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7096A">
        <w:rPr>
          <w:rFonts w:asciiTheme="majorHAnsi" w:hAnsiTheme="majorHAnsi"/>
          <w:bCs/>
          <w:sz w:val="20"/>
          <w:szCs w:val="20"/>
          <w:lang w:val="es-ES_tradnl"/>
        </w:rPr>
        <w:t>Adicionalmente, tanto la Comisión como la Corte IDH también constataron que e</w:t>
      </w:r>
      <w:r w:rsidRPr="00C7096A">
        <w:rPr>
          <w:rFonts w:asciiTheme="majorHAnsi" w:hAnsiTheme="majorHAnsi"/>
          <w:sz w:val="20"/>
          <w:szCs w:val="20"/>
          <w:lang w:val="es-ES_tradnl"/>
        </w:rPr>
        <w:t xml:space="preserve">l 9 de junio de 2010 se publicó la Ley No. 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pueden interponer, por única vez, un procedimiento de revisión en los primeros seis meses; y ii) para las personas cuyos recursos de casación se </w:t>
      </w:r>
      <w:r w:rsidRPr="00C7096A">
        <w:rPr>
          <w:rFonts w:asciiTheme="majorHAnsi" w:hAnsiTheme="majorHAnsi"/>
          <w:sz w:val="20"/>
          <w:szCs w:val="20"/>
          <w:lang w:val="es-ES_tradnl"/>
        </w:rPr>
        <w:lastRenderedPageBreak/>
        <w:t>encontraban pendientes de resolución al momento de la entrada en vigencia de la ley, se estableció que podían solicitar la conversión del recurso de casación ya presentado a uno de apelación conforme a la nueva norma.</w:t>
      </w:r>
    </w:p>
    <w:p w14:paraId="7260990D" w14:textId="77777777" w:rsidR="00CD17F6" w:rsidRPr="00C7096A"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7096A">
        <w:rPr>
          <w:rFonts w:asciiTheme="majorHAnsi" w:hAnsiTheme="majorHAnsi"/>
          <w:sz w:val="20"/>
          <w:szCs w:val="20"/>
          <w:lang w:val="es-ES_tradnl"/>
        </w:rPr>
        <w:t xml:space="preserve">Como consecuencia de las citadas modificaciones, en la sentencia del caso </w:t>
      </w:r>
      <w:r w:rsidRPr="00C7096A">
        <w:rPr>
          <w:rFonts w:asciiTheme="majorHAnsi" w:hAnsiTheme="majorHAnsi"/>
          <w:i/>
          <w:iCs/>
          <w:sz w:val="20"/>
          <w:szCs w:val="20"/>
          <w:lang w:val="es-ES_tradnl"/>
        </w:rPr>
        <w:t>Amrhein y otros vs. Costa Rica</w:t>
      </w:r>
      <w:r w:rsidRPr="00C7096A">
        <w:rPr>
          <w:rFonts w:asciiTheme="majorHAnsi" w:hAnsiTheme="majorHAnsi"/>
          <w:sz w:val="20"/>
          <w:szCs w:val="20"/>
          <w:lang w:val="es-ES_tradnl"/>
        </w:rPr>
        <w:t xml:space="preserve"> del 25 de abril de 2018, la Corte Interamericana evaluó nuevamente la regulación procesal penal costarricense; y amplió sus criterios jurídicos tanto respecto al agotamiento de la jurisdicción interna, como al análisis de fondo de casos sobre la misma temática. </w:t>
      </w:r>
    </w:p>
    <w:p w14:paraId="7EDC6B60" w14:textId="77777777" w:rsidR="00CD17F6" w:rsidRPr="00C7096A"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7096A">
        <w:rPr>
          <w:rFonts w:asciiTheme="majorHAnsi" w:hAnsiTheme="majorHAnsi"/>
          <w:sz w:val="20"/>
          <w:szCs w:val="20"/>
          <w:lang w:val="es-ES_tradnl"/>
        </w:rPr>
        <w:t>En relación con el primer punto, la Comisión destaca que, en el citado caso, la Corte IDH consideró que las presuntas víctimas debieron haber interpuesto el recurso de revisión especial con base en el Transitorio I de la Ley 8503 de 2006 durante el trámite de admisibilidad de la petición, pues estaba destinado específicamente a personas con condenas ya en firme; y por ello, “</w:t>
      </w:r>
      <w:r w:rsidRPr="00C7096A">
        <w:rPr>
          <w:rFonts w:asciiTheme="majorHAnsi" w:hAnsiTheme="majorHAnsi"/>
          <w:i/>
          <w:iCs/>
          <w:sz w:val="20"/>
          <w:szCs w:val="20"/>
          <w:lang w:val="es-ES_tradnl"/>
        </w:rPr>
        <w:t>el hecho de que se trataría de un recurso extraordinario no puede ser determinante, per se, para concluir su inefectividad”</w:t>
      </w:r>
      <w:r w:rsidRPr="00C7096A">
        <w:rPr>
          <w:rStyle w:val="FootnoteReference"/>
          <w:rFonts w:asciiTheme="majorHAnsi" w:hAnsiTheme="majorHAnsi"/>
          <w:i/>
          <w:iCs/>
          <w:sz w:val="20"/>
          <w:szCs w:val="20"/>
          <w:lang w:val="es-ES_tradnl"/>
        </w:rPr>
        <w:footnoteReference w:id="8"/>
      </w:r>
      <w:r w:rsidRPr="00C7096A">
        <w:rPr>
          <w:rFonts w:asciiTheme="majorHAnsi" w:hAnsiTheme="majorHAnsi"/>
          <w:i/>
          <w:iCs/>
          <w:sz w:val="20"/>
          <w:szCs w:val="20"/>
          <w:lang w:val="es-ES_tradnl"/>
        </w:rPr>
        <w:t xml:space="preserve">. </w:t>
      </w:r>
      <w:r w:rsidRPr="00C7096A">
        <w:rPr>
          <w:rFonts w:asciiTheme="majorHAnsi" w:hAnsiTheme="majorHAnsi"/>
          <w:sz w:val="20"/>
          <w:szCs w:val="20"/>
          <w:lang w:val="es-ES_tradnl"/>
        </w:rPr>
        <w:t xml:space="preserve">En consecuencia, siguiendo la citada jurisprudencia, la Comisión considera que a efectos de determinar la admisibilidad de un asunto sobre esta temática debe determinar si la citada vía recursiva estuvo a disposición de las presuntas víctimas tras la emisión de su condena, y de ser este el supuesto, verificar si agotaron o no tal recurso. </w:t>
      </w:r>
    </w:p>
    <w:p w14:paraId="69103231" w14:textId="77777777" w:rsidR="00CD17F6" w:rsidRPr="00C7096A"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7096A">
        <w:rPr>
          <w:rFonts w:asciiTheme="majorHAnsi" w:hAnsiTheme="majorHAnsi"/>
          <w:sz w:val="20"/>
          <w:szCs w:val="20"/>
          <w:lang w:val="es-ES_tradnl"/>
        </w:rPr>
        <w:t>Finalmente, a efectos del análisis de caracterización de las peticiones, la Comisión nota que la Corte Interamericana concluyó en la citada sentencia que no correspondía “</w:t>
      </w:r>
      <w:r w:rsidRPr="00C7096A">
        <w:rPr>
          <w:rFonts w:asciiTheme="majorHAnsi" w:hAnsiTheme="majorHAnsi"/>
          <w:i/>
          <w:iCs/>
          <w:sz w:val="20"/>
          <w:szCs w:val="20"/>
          <w:lang w:val="es-ES_tradnl"/>
        </w:rPr>
        <w:t>declarar una violación al artículo 2 de la Convención Americana por la forma en que está regulado el sistema recursivo costarricense, ni por la forma en que dicho Estado atendió la situación de personas cuyas sentencias ya estaban en firme con anterioridad a la vigencia de las Leyes 8503 y 8837, ya que, a través de dichas reformas, subsanó las deficiencias en la aplicación de las normas recursivas</w:t>
      </w:r>
      <w:r w:rsidRPr="00C7096A">
        <w:rPr>
          <w:rFonts w:asciiTheme="majorHAnsi" w:hAnsiTheme="majorHAnsi"/>
          <w:sz w:val="20"/>
          <w:szCs w:val="20"/>
          <w:lang w:val="es-ES_tradnl"/>
        </w:rPr>
        <w:t xml:space="preserve"> […]”</w:t>
      </w:r>
      <w:r w:rsidRPr="00C7096A">
        <w:rPr>
          <w:rStyle w:val="FootnoteReference"/>
          <w:rFonts w:asciiTheme="majorHAnsi" w:hAnsiTheme="majorHAnsi"/>
          <w:sz w:val="20"/>
          <w:szCs w:val="20"/>
          <w:lang w:val="es-ES_tradnl"/>
        </w:rPr>
        <w:footnoteReference w:id="9"/>
      </w:r>
      <w:r w:rsidRPr="00C7096A">
        <w:rPr>
          <w:rFonts w:asciiTheme="majorHAnsi" w:hAnsiTheme="majorHAnsi"/>
          <w:sz w:val="20"/>
          <w:szCs w:val="20"/>
          <w:lang w:val="es-ES_tradnl"/>
        </w:rPr>
        <w:t xml:space="preserve">. Asimismo, recuerda que en la resolución de supervisión de cumplimiento del 22 de noviembre de 2010 del caso </w:t>
      </w:r>
      <w:r w:rsidRPr="00C7096A">
        <w:rPr>
          <w:rFonts w:asciiTheme="majorHAnsi" w:hAnsiTheme="majorHAnsi"/>
          <w:i/>
          <w:iCs/>
          <w:sz w:val="20"/>
          <w:szCs w:val="20"/>
          <w:lang w:val="es-ES_tradnl"/>
        </w:rPr>
        <w:t xml:space="preserve">Herrera Ulloa vs. Costa Rica, </w:t>
      </w:r>
      <w:r w:rsidRPr="00C7096A">
        <w:rPr>
          <w:rFonts w:asciiTheme="majorHAnsi" w:hAnsiTheme="majorHAnsi"/>
          <w:sz w:val="20"/>
          <w:szCs w:val="20"/>
          <w:lang w:val="es-ES_tradnl"/>
        </w:rPr>
        <w:t>el Tribunal valoró positivamente las reformas introducidas en la legislación procesal penal; y en virtud de tales modificaciones concluyó que “</w:t>
      </w:r>
      <w:r w:rsidRPr="00C7096A">
        <w:rPr>
          <w:rFonts w:asciiTheme="majorHAnsi" w:hAnsiTheme="majorHAnsi"/>
          <w:i/>
          <w:iCs/>
          <w:sz w:val="20"/>
          <w:szCs w:val="20"/>
          <w:lang w:val="es-ES_tradnl"/>
        </w:rPr>
        <w:t>al garantizar la posibilidad de un amplio control de la sentencia emitida por un tribunal de juicio en materia penal a nivel interno</w:t>
      </w:r>
      <w:r w:rsidRPr="00C7096A">
        <w:rPr>
          <w:rFonts w:asciiTheme="majorHAnsi" w:hAnsiTheme="majorHAnsi"/>
          <w:sz w:val="20"/>
          <w:szCs w:val="20"/>
          <w:lang w:val="es-ES_tradnl"/>
        </w:rPr>
        <w:t>”</w:t>
      </w:r>
      <w:r w:rsidRPr="00C7096A">
        <w:rPr>
          <w:rStyle w:val="FootnoteReference"/>
          <w:rFonts w:asciiTheme="majorHAnsi" w:hAnsiTheme="majorHAnsi"/>
          <w:sz w:val="20"/>
          <w:szCs w:val="20"/>
          <w:lang w:val="es-ES_tradnl"/>
        </w:rPr>
        <w:footnoteReference w:id="10"/>
      </w:r>
      <w:r w:rsidRPr="00C7096A">
        <w:rPr>
          <w:rFonts w:asciiTheme="majorHAnsi" w:hAnsiTheme="majorHAnsi"/>
          <w:sz w:val="20"/>
          <w:szCs w:val="20"/>
          <w:lang w:val="es-ES_tradnl"/>
        </w:rPr>
        <w:t xml:space="preserve">, Costa Rica había cumplido con adecuar su legislación interna. </w:t>
      </w:r>
    </w:p>
    <w:p w14:paraId="2D62666E" w14:textId="77777777" w:rsidR="00CD17F6" w:rsidRPr="00C7096A"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7096A">
        <w:rPr>
          <w:rFonts w:asciiTheme="majorHAnsi" w:hAnsiTheme="majorHAnsi"/>
          <w:sz w:val="20"/>
          <w:szCs w:val="20"/>
          <w:lang w:val="es-ES_tradnl"/>
        </w:rPr>
        <w:t>Sin perjuicio de ello, la Comisión destaca que las citadas normas</w:t>
      </w:r>
      <w:r w:rsidRPr="00C7096A">
        <w:rPr>
          <w:rFonts w:asciiTheme="majorHAnsi" w:hAnsiTheme="majorHAnsi" w:cs="Calibri"/>
          <w:sz w:val="20"/>
          <w:szCs w:val="20"/>
          <w:lang w:val="es-ES_tradnl"/>
        </w:rPr>
        <w:t xml:space="preserve"> reconocieron a aquellas personas cuyas sentencias condenatorias ya habían adquirido calidad de cosa juzgada la posibilidad de interponer un procedimiento de revisión, aunque supeditado al cumplimiento de ciertos requisitos. En el caso de la ley 8503, la Comisión destaca que se exigía que el recurrente invoque en su presentación “</w:t>
      </w:r>
      <w:r w:rsidRPr="00C7096A">
        <w:rPr>
          <w:rFonts w:asciiTheme="majorHAnsi" w:hAnsiTheme="majorHAnsi" w:cs="Calibri"/>
          <w:i/>
          <w:iCs/>
          <w:sz w:val="20"/>
          <w:szCs w:val="20"/>
          <w:lang w:val="es-ES_tradnl"/>
        </w:rPr>
        <w:t>el agravio y los aspectos de hecho y derecho que no fueron posibles de conocer en casación</w:t>
      </w:r>
      <w:r w:rsidRPr="00C7096A">
        <w:rPr>
          <w:rFonts w:asciiTheme="majorHAnsi" w:hAnsiTheme="majorHAnsi" w:cs="Calibri"/>
          <w:sz w:val="20"/>
          <w:szCs w:val="20"/>
          <w:lang w:val="es-ES_tradnl"/>
        </w:rPr>
        <w:t>”. Por su parte, el Transitorio III de la ley 8837 demandaba para la procedencia del procedimiento de revisión que el condenado “</w:t>
      </w:r>
      <w:r w:rsidRPr="00C7096A">
        <w:rPr>
          <w:rFonts w:asciiTheme="majorHAnsi" w:hAnsiTheme="majorHAnsi" w:cs="Calibri"/>
          <w:i/>
          <w:iCs/>
          <w:sz w:val="20"/>
          <w:szCs w:val="20"/>
          <w:lang w:val="es-ES_tradnl"/>
        </w:rPr>
        <w:t>haya alegado con anterioridad la vulneración del artículo 8.2.h de la Convención</w:t>
      </w:r>
      <w:r w:rsidRPr="00C7096A">
        <w:rPr>
          <w:rFonts w:asciiTheme="majorHAnsi" w:hAnsiTheme="majorHAnsi" w:cs="Calibri"/>
          <w:sz w:val="20"/>
          <w:szCs w:val="20"/>
          <w:lang w:val="es-ES_tradnl"/>
        </w:rPr>
        <w:t xml:space="preserve">”.   </w:t>
      </w:r>
    </w:p>
    <w:p w14:paraId="330061A1" w14:textId="77777777" w:rsidR="00CD17F6" w:rsidRPr="00C7096A"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C7096A">
        <w:rPr>
          <w:rFonts w:asciiTheme="majorHAnsi" w:hAnsiTheme="majorHAnsi" w:cs="Calibri"/>
          <w:sz w:val="20"/>
          <w:szCs w:val="20"/>
          <w:lang w:val="es-ES_tradnl"/>
        </w:rPr>
        <w:t>En tal sentido, la Comisión reafirma que la manera en que se encontraba regulado el procedimiento de revisión establecido por el Transitorio I de la ley 8503 podía generar limitaciones en términos de la accesibilidad del recurso, y, en consecuencia, no garantiza en sí mismo el derecho a la revisión integral del fallo condenatorio a todos aquellos que fueron condenados durante la vigencia del texto originario del Código Procesal Penal</w:t>
      </w:r>
      <w:r w:rsidRPr="00C7096A">
        <w:rPr>
          <w:rStyle w:val="FootnoteReference"/>
          <w:rFonts w:asciiTheme="majorHAnsi" w:hAnsiTheme="majorHAnsi" w:cs="Calibri"/>
          <w:sz w:val="20"/>
          <w:szCs w:val="20"/>
          <w:lang w:val="es-ES_tradnl"/>
        </w:rPr>
        <w:footnoteReference w:id="11"/>
      </w:r>
      <w:r w:rsidRPr="00C7096A">
        <w:rPr>
          <w:rFonts w:asciiTheme="majorHAnsi" w:hAnsiTheme="majorHAnsi" w:cs="Calibri"/>
          <w:sz w:val="20"/>
          <w:szCs w:val="20"/>
          <w:lang w:val="es-ES_tradnl"/>
        </w:rPr>
        <w:t xml:space="preserve">. Idéntica conclusión cabe realizar respecto del recurso de revisión consagrado en el Transitorio III de la ley 8837, toda vez que la norma incluía la exigencia de haber alegado previamente la vulneración del derecho al recurso como un requisito de procedibilidad del recurso de revisión. </w:t>
      </w:r>
    </w:p>
    <w:p w14:paraId="30AE24E5" w14:textId="77777777" w:rsidR="00CD17F6" w:rsidRPr="00C7096A"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23CA4301" w14:textId="77777777" w:rsidR="00CD17F6" w:rsidRPr="00C7096A"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C7096A">
        <w:rPr>
          <w:rFonts w:asciiTheme="majorHAnsi" w:hAnsiTheme="majorHAnsi"/>
          <w:sz w:val="20"/>
          <w:szCs w:val="20"/>
          <w:lang w:val="es-ES_tradnl"/>
        </w:rPr>
        <w:t>No obstante, la Comisión reconoce, en primer término, que la Sala Constitucional de la Corte Suprema de Justicia de Costa Rica se refirió en reiterados pronunciamientos a la necesidad de “</w:t>
      </w:r>
      <w:r w:rsidRPr="00C7096A">
        <w:rPr>
          <w:rFonts w:asciiTheme="majorHAnsi" w:hAnsiTheme="majorHAnsi"/>
          <w:i/>
          <w:iCs/>
          <w:sz w:val="20"/>
          <w:szCs w:val="20"/>
          <w:lang w:val="es-ES_tradnl"/>
        </w:rPr>
        <w:t xml:space="preserve">asegurar el </w:t>
      </w:r>
      <w:r w:rsidRPr="00C7096A">
        <w:rPr>
          <w:rFonts w:asciiTheme="majorHAnsi" w:hAnsiTheme="majorHAnsi"/>
          <w:i/>
          <w:iCs/>
          <w:sz w:val="20"/>
          <w:szCs w:val="20"/>
          <w:lang w:val="es-ES_tradnl"/>
        </w:rPr>
        <w:lastRenderedPageBreak/>
        <w:t>derecho al recurso, excluyendo formalismos que impidieran la revisión de las sentencias de condena, a fin de satisfacer lo dispuesto por el artículo 8.2.h de la Convención</w:t>
      </w:r>
      <w:r w:rsidRPr="00C7096A">
        <w:rPr>
          <w:rFonts w:asciiTheme="majorHAnsi" w:hAnsiTheme="majorHAnsi"/>
          <w:sz w:val="20"/>
          <w:szCs w:val="20"/>
          <w:lang w:val="es-ES_tradnl"/>
        </w:rPr>
        <w:t>”</w:t>
      </w:r>
      <w:r w:rsidRPr="00C7096A">
        <w:rPr>
          <w:rStyle w:val="FootnoteReference"/>
          <w:rFonts w:asciiTheme="majorHAnsi" w:hAnsiTheme="majorHAnsi"/>
          <w:sz w:val="20"/>
          <w:szCs w:val="20"/>
          <w:lang w:val="es-ES_tradnl"/>
        </w:rPr>
        <w:footnoteReference w:id="12"/>
      </w:r>
      <w:r w:rsidRPr="00C7096A">
        <w:rPr>
          <w:rFonts w:asciiTheme="majorHAnsi" w:hAnsiTheme="majorHAnsi"/>
          <w:sz w:val="20"/>
          <w:szCs w:val="20"/>
          <w:lang w:val="es-ES_tradnl"/>
        </w:rPr>
        <w:t>.</w:t>
      </w:r>
    </w:p>
    <w:p w14:paraId="217940BA" w14:textId="77777777" w:rsidR="00CD17F6" w:rsidRPr="00C7096A"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43B4DE5C" w14:textId="77777777" w:rsidR="00CD17F6" w:rsidRPr="00C7096A"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C7096A">
        <w:rPr>
          <w:rFonts w:asciiTheme="majorHAnsi" w:hAnsiTheme="majorHAnsi"/>
          <w:sz w:val="20"/>
          <w:szCs w:val="20"/>
          <w:lang w:val="es-ES_tradnl"/>
        </w:rPr>
        <w:t xml:space="preserve">Asimismo, la CIDH considera que, a pesar de los obstáculos a la procedencia del recurso incorporados en la redacción del Transitorio I de la ley 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00C7096A">
        <w:rPr>
          <w:rFonts w:asciiTheme="majorHAnsi" w:hAnsiTheme="majorHAnsi"/>
          <w:i/>
          <w:iCs/>
          <w:sz w:val="20"/>
          <w:szCs w:val="20"/>
          <w:lang w:val="es-ES_tradnl"/>
        </w:rPr>
        <w:t>Herrera Ulloa</w:t>
      </w:r>
      <w:r w:rsidRPr="00C7096A">
        <w:rPr>
          <w:rFonts w:asciiTheme="majorHAnsi" w:hAnsiTheme="majorHAnsi"/>
          <w:sz w:val="20"/>
          <w:szCs w:val="20"/>
          <w:lang w:val="es-ES_tradnl"/>
        </w:rPr>
        <w:t xml:space="preserve">. </w:t>
      </w:r>
    </w:p>
    <w:p w14:paraId="0CC35182" w14:textId="77777777" w:rsidR="00CD17F6" w:rsidRPr="00C7096A"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3C1A92C9" w14:textId="77777777" w:rsidR="00CD17F6" w:rsidRPr="00C7096A"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C7096A">
        <w:rPr>
          <w:rFonts w:asciiTheme="majorHAnsi" w:hAnsiTheme="majorHAnsi"/>
          <w:sz w:val="20"/>
          <w:szCs w:val="20"/>
          <w:lang w:val="es-ES_tradnl"/>
        </w:rPr>
        <w:t>En particular, y en línea con lo decidido por la Corte, la Comisión observa que, teniendo en cuenta que tales modificaciones legislativas al sistema recursivo costarricense fueron adoptadas como resultado de los pronunciamientos de los órganos del Sistema Interamericano de derechos humanos, resulta razonable como causal de admisibilidad del recurso que los interesados deban invocar los posibles errores que hubiera podido cometer el juez o tribunal de la instancia inferior.</w:t>
      </w:r>
    </w:p>
    <w:p w14:paraId="627E0973" w14:textId="77777777" w:rsidR="00CD17F6" w:rsidRPr="00C7096A"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401CE00D" w14:textId="744DC604" w:rsidR="00D96818" w:rsidRPr="00C7096A"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7096A">
        <w:rPr>
          <w:rFonts w:asciiTheme="majorHAnsi" w:hAnsiTheme="majorHAnsi"/>
          <w:sz w:val="20"/>
          <w:szCs w:val="20"/>
          <w:lang w:val="es-ES_tradnl"/>
        </w:rPr>
        <w:t>En consecuencia, teniendo en cuenta las especificidades existentes respecto de este tema en el sistema costarricense, como resultado de las sentencias dictadas por el Sistema Interamericano, y concretamente con lo señalado por la Corte IDH en el caso “Amrhein”, la Comisión considera que no resulta apropiado realizar una evaluación en abstracto de cada uno de los recursos disponibles en la legislación procesal penal, sino que se debe efectuar “</w:t>
      </w:r>
      <w:r w:rsidRPr="00C7096A">
        <w:rPr>
          <w:rFonts w:asciiTheme="majorHAnsi" w:hAnsiTheme="majorHAnsi"/>
          <w:i/>
          <w:iCs/>
          <w:sz w:val="20"/>
          <w:szCs w:val="20"/>
          <w:lang w:val="es-ES_tradnl"/>
        </w:rPr>
        <w:t>un análisis, caso por caso, de los recursos efectivamente interpuestos por las presuntas víctimas a fin de determinar si la forma en que éstos fueron resueltos en el sistema recursivo costarricense, tomando en cuenta sus reformas, respetaron el derecho de aquellas a una revisión integral de sus sentencias condenatorias</w:t>
      </w:r>
      <w:r w:rsidRPr="00C7096A">
        <w:rPr>
          <w:rFonts w:asciiTheme="majorHAnsi" w:hAnsiTheme="majorHAnsi"/>
          <w:sz w:val="20"/>
          <w:szCs w:val="20"/>
          <w:lang w:val="es-ES_tradnl"/>
        </w:rPr>
        <w:t>”</w:t>
      </w:r>
      <w:r w:rsidRPr="00C7096A">
        <w:rPr>
          <w:rStyle w:val="FootnoteReference"/>
          <w:rFonts w:asciiTheme="majorHAnsi" w:hAnsiTheme="majorHAnsi"/>
          <w:sz w:val="20"/>
          <w:szCs w:val="20"/>
          <w:lang w:val="es-ES_tradnl"/>
        </w:rPr>
        <w:footnoteReference w:id="13"/>
      </w:r>
      <w:r w:rsidRPr="00C7096A">
        <w:rPr>
          <w:rFonts w:asciiTheme="majorHAnsi" w:hAnsiTheme="majorHAnsi"/>
          <w:sz w:val="20"/>
          <w:szCs w:val="20"/>
          <w:lang w:val="es-ES_tradnl"/>
        </w:rPr>
        <w:t xml:space="preserve">. Lo que en principio requiere de un análisis de fondo por parte de la CIDH, salvo que de la información de las partes se observe que los hechos planteados por el peticionario no caractericen </w:t>
      </w:r>
      <w:r w:rsidRPr="00C7096A">
        <w:rPr>
          <w:rFonts w:asciiTheme="majorHAnsi" w:hAnsiTheme="majorHAnsi"/>
          <w:i/>
          <w:iCs/>
          <w:sz w:val="20"/>
          <w:szCs w:val="20"/>
          <w:lang w:val="es-ES_tradnl"/>
        </w:rPr>
        <w:t>prima facie</w:t>
      </w:r>
      <w:r w:rsidRPr="00C7096A">
        <w:rPr>
          <w:rFonts w:asciiTheme="majorHAnsi" w:hAnsiTheme="majorHAnsi"/>
          <w:sz w:val="20"/>
          <w:szCs w:val="20"/>
          <w:lang w:val="es-ES_tradnl"/>
        </w:rPr>
        <w:t xml:space="preserve"> violaciones a la Convención Americana, en los términos de su artículo 47.</w:t>
      </w:r>
    </w:p>
    <w:p w14:paraId="6F4D4171" w14:textId="2F511DA4" w:rsidR="003239B8" w:rsidRPr="00C7096A" w:rsidRDefault="00D96818" w:rsidP="003239B8">
      <w:pPr>
        <w:spacing w:before="240" w:after="240"/>
        <w:ind w:firstLine="720"/>
        <w:jc w:val="both"/>
        <w:rPr>
          <w:rFonts w:ascii="Cambria" w:hAnsi="Cambria"/>
          <w:sz w:val="20"/>
          <w:szCs w:val="20"/>
          <w:lang w:val="es-ES_tradnl"/>
        </w:rPr>
      </w:pPr>
      <w:r w:rsidRPr="00C7096A">
        <w:rPr>
          <w:rFonts w:asciiTheme="majorHAnsi" w:eastAsia="Cambria" w:hAnsiTheme="majorHAnsi" w:cs="Cambria"/>
          <w:b/>
          <w:bCs/>
          <w:color w:val="000000"/>
          <w:sz w:val="20"/>
          <w:szCs w:val="20"/>
          <w:u w:color="000000"/>
          <w:lang w:val="es-ES_tradnl" w:eastAsia="es-ES"/>
        </w:rPr>
        <w:t>V</w:t>
      </w:r>
      <w:r w:rsidR="00746E82">
        <w:rPr>
          <w:rFonts w:asciiTheme="majorHAnsi" w:eastAsia="Cambria" w:hAnsiTheme="majorHAnsi" w:cs="Cambria"/>
          <w:b/>
          <w:bCs/>
          <w:color w:val="000000"/>
          <w:sz w:val="20"/>
          <w:szCs w:val="20"/>
          <w:u w:color="000000"/>
          <w:lang w:val="es-ES_tradnl" w:eastAsia="es-ES"/>
        </w:rPr>
        <w:t>I</w:t>
      </w:r>
      <w:r w:rsidRPr="00C7096A">
        <w:rPr>
          <w:rFonts w:asciiTheme="majorHAnsi" w:eastAsia="Cambria" w:hAnsiTheme="majorHAnsi" w:cs="Cambria"/>
          <w:b/>
          <w:bCs/>
          <w:color w:val="000000"/>
          <w:sz w:val="20"/>
          <w:szCs w:val="20"/>
          <w:u w:color="000000"/>
          <w:lang w:val="es-ES_tradnl" w:eastAsia="es-ES"/>
        </w:rPr>
        <w:t xml:space="preserve">I. </w:t>
      </w:r>
      <w:r w:rsidR="00E6378C" w:rsidRPr="00C7096A">
        <w:rPr>
          <w:rFonts w:asciiTheme="majorHAnsi" w:eastAsia="Cambria" w:hAnsiTheme="majorHAnsi" w:cs="Cambria"/>
          <w:b/>
          <w:bCs/>
          <w:color w:val="000000"/>
          <w:sz w:val="20"/>
          <w:szCs w:val="20"/>
          <w:u w:color="000000"/>
          <w:lang w:val="es-ES_tradnl" w:eastAsia="es-ES"/>
        </w:rPr>
        <w:tab/>
      </w:r>
      <w:r w:rsidR="004A6A54" w:rsidRPr="00C7096A">
        <w:rPr>
          <w:rFonts w:asciiTheme="majorHAnsi" w:hAnsiTheme="majorHAnsi"/>
          <w:b/>
          <w:bCs/>
          <w:sz w:val="20"/>
          <w:szCs w:val="20"/>
          <w:lang w:val="es-ES_tradnl"/>
        </w:rPr>
        <w:t xml:space="preserve">ANÁLISIS DE </w:t>
      </w:r>
      <w:r w:rsidR="00C21FEF" w:rsidRPr="00C7096A">
        <w:rPr>
          <w:rFonts w:asciiTheme="majorHAnsi" w:hAnsiTheme="majorHAnsi"/>
          <w:b/>
          <w:sz w:val="20"/>
          <w:szCs w:val="20"/>
          <w:lang w:val="es-ES_tradnl"/>
        </w:rPr>
        <w:t>AGOTAMIENTO DE LOS RECURSOS INTERNOS Y PLAZO DE PRESENTACIÓN</w:t>
      </w:r>
      <w:r w:rsidR="00C21FEF" w:rsidRPr="00C7096A">
        <w:rPr>
          <w:rFonts w:asciiTheme="majorHAnsi" w:eastAsia="Cambria" w:hAnsiTheme="majorHAnsi" w:cs="Cambria"/>
          <w:b/>
          <w:bCs/>
          <w:color w:val="000000"/>
          <w:sz w:val="20"/>
          <w:szCs w:val="20"/>
          <w:u w:color="000000"/>
          <w:lang w:val="es-ES_tradnl" w:eastAsia="es-ES"/>
        </w:rPr>
        <w:t xml:space="preserve"> </w:t>
      </w:r>
    </w:p>
    <w:p w14:paraId="4FD43859" w14:textId="291FD1ED" w:rsidR="00255317" w:rsidRPr="00C7096A" w:rsidRDefault="00255317" w:rsidP="002553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7096A">
        <w:rPr>
          <w:rFonts w:ascii="Cambria" w:hAnsi="Cambria"/>
          <w:sz w:val="20"/>
          <w:szCs w:val="20"/>
          <w:lang w:val="es-ES_tradnl"/>
        </w:rPr>
        <w:t xml:space="preserve">La Comisión observa que el 7 de diciembre de 2006 la Sala Tercera de la Corte Suprema de Justicia rechazó el recurso de casación presentado por la presunta víctima contra su sentencia condenatoria de primera instancia. Tras ello, el señor Hernández Núñez planteó un recurso revisión cuestionando su condena y, particularmente, la afectación a su derecho a contar con un juez imparcial. Sin embargo, el 4 de junio de 2010 la Sala Tercera de la Corte Suprema de Justicia declaró infundado tal procedimiento. Esta decisión </w:t>
      </w:r>
      <w:r w:rsidR="006E5CB9" w:rsidRPr="00C7096A">
        <w:rPr>
          <w:rFonts w:ascii="Cambria" w:hAnsi="Cambria"/>
          <w:sz w:val="20"/>
          <w:szCs w:val="20"/>
          <w:lang w:val="es-ES_tradnl"/>
        </w:rPr>
        <w:t xml:space="preserve">le fue notificada </w:t>
      </w:r>
      <w:r w:rsidRPr="00C7096A">
        <w:rPr>
          <w:rFonts w:ascii="Cambria" w:hAnsi="Cambria"/>
          <w:sz w:val="20"/>
          <w:szCs w:val="20"/>
          <w:lang w:val="es-ES_tradnl"/>
        </w:rPr>
        <w:t>el 27 de agosto de 2010.</w:t>
      </w:r>
    </w:p>
    <w:p w14:paraId="5C6CE7DA" w14:textId="77777777" w:rsidR="00255317" w:rsidRPr="00C7096A" w:rsidRDefault="00255317" w:rsidP="00255317">
      <w:pPr>
        <w:pStyle w:val="ListParagraph"/>
        <w:numPr>
          <w:ilvl w:val="0"/>
          <w:numId w:val="103"/>
        </w:numPr>
        <w:jc w:val="both"/>
        <w:rPr>
          <w:sz w:val="20"/>
          <w:szCs w:val="20"/>
          <w:lang w:val="es-ES_tradnl"/>
        </w:rPr>
      </w:pPr>
      <w:r w:rsidRPr="00C7096A">
        <w:rPr>
          <w:sz w:val="20"/>
          <w:szCs w:val="20"/>
          <w:lang w:val="es-ES_tradnl"/>
        </w:rPr>
        <w:t xml:space="preserve">Al respecto, el Estado plantea que la presunta víctima aún podía presentar el procedimiento especial de revisión contemplado en el Transitorio IIII de la Ley N.º 8837, dado que este entró en vigor el 9 de diciembre de 2011. </w:t>
      </w:r>
      <w:r w:rsidRPr="00C7096A">
        <w:rPr>
          <w:rFonts w:asciiTheme="majorHAnsi" w:hAnsiTheme="majorHAnsi"/>
          <w:sz w:val="20"/>
          <w:szCs w:val="20"/>
          <w:lang w:val="es-ES_tradnl"/>
        </w:rPr>
        <w:t>No obstante, la Comisión recuerda que, como regla general, la parte peticionaria solo tiene en principio la obligación de agotar las vías ordinarias a nivel interno</w:t>
      </w:r>
      <w:bookmarkStart w:id="2" w:name="_Hlk140146590"/>
      <w:r w:rsidRPr="00C7096A">
        <w:rPr>
          <w:rStyle w:val="FootnoteReference"/>
          <w:sz w:val="20"/>
          <w:szCs w:val="20"/>
          <w:lang w:val="es-ES_tradnl"/>
        </w:rPr>
        <w:footnoteReference w:id="14"/>
      </w:r>
      <w:bookmarkEnd w:id="2"/>
      <w:r w:rsidRPr="00C7096A">
        <w:rPr>
          <w:rFonts w:asciiTheme="majorHAnsi" w:hAnsiTheme="majorHAnsi"/>
          <w:sz w:val="20"/>
          <w:szCs w:val="20"/>
          <w:lang w:val="es-ES_tradnl"/>
        </w:rPr>
        <w:t>. En tal sentido,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C7096A">
        <w:rPr>
          <w:rStyle w:val="FootnoteReference"/>
          <w:rFonts w:asciiTheme="majorHAnsi" w:hAnsiTheme="majorHAnsi"/>
          <w:sz w:val="20"/>
          <w:szCs w:val="20"/>
          <w:lang w:val="es-ES_tradnl"/>
        </w:rPr>
        <w:footnoteReference w:id="15"/>
      </w:r>
      <w:r w:rsidRPr="00C7096A">
        <w:rPr>
          <w:rFonts w:asciiTheme="majorHAnsi" w:hAnsiTheme="majorHAnsi"/>
          <w:sz w:val="20"/>
          <w:szCs w:val="20"/>
          <w:lang w:val="es-ES_tradnl"/>
        </w:rPr>
        <w:t xml:space="preserve">. </w:t>
      </w:r>
    </w:p>
    <w:p w14:paraId="59076CA9" w14:textId="77777777" w:rsidR="00255317" w:rsidRPr="00C7096A" w:rsidRDefault="00255317" w:rsidP="00255317">
      <w:pPr>
        <w:pStyle w:val="ListParagraph"/>
        <w:jc w:val="both"/>
        <w:rPr>
          <w:sz w:val="20"/>
          <w:szCs w:val="20"/>
          <w:lang w:val="es-ES_tradnl"/>
        </w:rPr>
      </w:pPr>
    </w:p>
    <w:p w14:paraId="0CE080C4" w14:textId="610E1BFD" w:rsidR="00255317" w:rsidRPr="00C7096A" w:rsidRDefault="00255317" w:rsidP="004E0AD5">
      <w:pPr>
        <w:pStyle w:val="ListParagraph"/>
        <w:numPr>
          <w:ilvl w:val="0"/>
          <w:numId w:val="103"/>
        </w:numPr>
        <w:jc w:val="both"/>
        <w:rPr>
          <w:sz w:val="20"/>
          <w:szCs w:val="20"/>
          <w:lang w:val="es-ES_tradnl"/>
        </w:rPr>
      </w:pPr>
      <w:r w:rsidRPr="00C7096A">
        <w:rPr>
          <w:rFonts w:asciiTheme="majorHAnsi" w:hAnsiTheme="majorHAnsi"/>
          <w:sz w:val="20"/>
          <w:szCs w:val="20"/>
          <w:lang w:val="es-ES_tradnl"/>
        </w:rPr>
        <w:t xml:space="preserve">En el presente asunto, la Comisión considera que, por la forma cómo se encuentra regulado y por su posición dentro del procedimiento penal costarricense, el procedimiento especial de revisión contemplado en el Transitorio IIII de la Ley N.º 8837 es extraordinario. En consecuencia, su agotamiento no </w:t>
      </w:r>
      <w:r w:rsidRPr="00C7096A">
        <w:rPr>
          <w:rFonts w:asciiTheme="majorHAnsi" w:hAnsiTheme="majorHAnsi"/>
          <w:sz w:val="20"/>
          <w:szCs w:val="20"/>
          <w:lang w:val="es-ES_tradnl"/>
        </w:rPr>
        <w:lastRenderedPageBreak/>
        <w:t xml:space="preserve">resultaba obligatorio para la presunta víctima, en tanto esta cumplió con utilizar previamente la </w:t>
      </w:r>
      <w:r w:rsidRPr="00C7096A">
        <w:rPr>
          <w:sz w:val="20"/>
          <w:szCs w:val="20"/>
          <w:lang w:val="es-ES_tradnl"/>
        </w:rPr>
        <w:t xml:space="preserve">vía de casación, la cual, en virtud de las modificaciones introducidas por la </w:t>
      </w:r>
      <w:r w:rsidRPr="00C7096A">
        <w:rPr>
          <w:rFonts w:asciiTheme="majorHAnsi" w:hAnsiTheme="majorHAnsi"/>
          <w:sz w:val="20"/>
          <w:szCs w:val="20"/>
          <w:lang w:val="es-ES_tradnl"/>
        </w:rPr>
        <w:t xml:space="preserve">Ley </w:t>
      </w:r>
      <w:r w:rsidRPr="00C7096A">
        <w:rPr>
          <w:sz w:val="20"/>
          <w:szCs w:val="20"/>
          <w:lang w:val="es-ES_tradnl"/>
        </w:rPr>
        <w:t>N.º</w:t>
      </w:r>
      <w:r w:rsidRPr="00C7096A">
        <w:rPr>
          <w:rFonts w:asciiTheme="majorHAnsi" w:hAnsiTheme="majorHAnsi"/>
          <w:sz w:val="20"/>
          <w:szCs w:val="20"/>
          <w:lang w:val="es-ES_tradnl"/>
        </w:rPr>
        <w:t xml:space="preserve"> 8503, resultaba en principio una vía idónea para que sus reclamos, referidos a la</w:t>
      </w:r>
      <w:r w:rsidR="004E0AD5" w:rsidRPr="00C7096A">
        <w:rPr>
          <w:rFonts w:asciiTheme="majorHAnsi" w:hAnsiTheme="majorHAnsi"/>
          <w:sz w:val="20"/>
          <w:szCs w:val="20"/>
          <w:lang w:val="es-ES_tradnl"/>
        </w:rPr>
        <w:t xml:space="preserve"> inadecuada valoración del acervo probatorio y fundamentación de su condena, </w:t>
      </w:r>
      <w:r w:rsidRPr="00C7096A">
        <w:rPr>
          <w:rFonts w:asciiTheme="majorHAnsi" w:hAnsiTheme="majorHAnsi"/>
          <w:sz w:val="20"/>
          <w:szCs w:val="20"/>
          <w:lang w:val="es-ES_tradnl"/>
        </w:rPr>
        <w:t xml:space="preserve">sean debidamente sean atendidos. Además, cabe resaltar que, adicionalmente a este mecanismo, el señor </w:t>
      </w:r>
      <w:r w:rsidR="004E0AD5" w:rsidRPr="00C7096A">
        <w:rPr>
          <w:rFonts w:asciiTheme="majorHAnsi" w:hAnsiTheme="majorHAnsi"/>
          <w:sz w:val="20"/>
          <w:szCs w:val="20"/>
          <w:lang w:val="es-ES_tradnl"/>
        </w:rPr>
        <w:t>Hernández Núñez</w:t>
      </w:r>
      <w:r w:rsidRPr="00C7096A">
        <w:rPr>
          <w:rFonts w:asciiTheme="majorHAnsi" w:hAnsiTheme="majorHAnsi"/>
          <w:sz w:val="20"/>
          <w:szCs w:val="20"/>
          <w:lang w:val="es-ES_tradnl"/>
        </w:rPr>
        <w:t xml:space="preserve">, </w:t>
      </w:r>
      <w:r w:rsidRPr="00C7096A">
        <w:rPr>
          <w:sz w:val="20"/>
          <w:szCs w:val="20"/>
          <w:lang w:val="es-ES_tradnl"/>
        </w:rPr>
        <w:t xml:space="preserve">empleó </w:t>
      </w:r>
      <w:r w:rsidR="004E0AD5" w:rsidRPr="00C7096A">
        <w:rPr>
          <w:sz w:val="20"/>
          <w:szCs w:val="20"/>
          <w:lang w:val="es-ES_tradnl"/>
        </w:rPr>
        <w:t>un</w:t>
      </w:r>
      <w:r w:rsidRPr="00C7096A">
        <w:rPr>
          <w:sz w:val="20"/>
          <w:szCs w:val="20"/>
          <w:lang w:val="es-ES_tradnl"/>
        </w:rPr>
        <w:t xml:space="preserve"> </w:t>
      </w:r>
      <w:r w:rsidR="004E0AD5" w:rsidRPr="00C7096A">
        <w:rPr>
          <w:sz w:val="20"/>
          <w:szCs w:val="20"/>
          <w:lang w:val="es-ES_tradnl"/>
        </w:rPr>
        <w:t>procedimiento ordinario</w:t>
      </w:r>
      <w:r w:rsidRPr="00C7096A">
        <w:rPr>
          <w:sz w:val="20"/>
          <w:szCs w:val="20"/>
          <w:lang w:val="es-ES_tradnl"/>
        </w:rPr>
        <w:t xml:space="preserve"> de revisión con expectativas razonables de éxito</w:t>
      </w:r>
      <w:r w:rsidR="004E0AD5" w:rsidRPr="00C7096A">
        <w:rPr>
          <w:sz w:val="20"/>
          <w:szCs w:val="20"/>
          <w:lang w:val="es-ES_tradnl"/>
        </w:rPr>
        <w:t>, incluyendo alegatos referidos al derecho a contar con un juez imparcial</w:t>
      </w:r>
      <w:r w:rsidRPr="00C7096A">
        <w:rPr>
          <w:sz w:val="20"/>
          <w:szCs w:val="20"/>
          <w:lang w:val="es-ES_tradnl"/>
        </w:rPr>
        <w:t xml:space="preserve">. </w:t>
      </w:r>
    </w:p>
    <w:p w14:paraId="0361A8A8" w14:textId="77777777" w:rsidR="004E0AD5" w:rsidRPr="00C7096A" w:rsidRDefault="004E0AD5" w:rsidP="004E0AD5">
      <w:pPr>
        <w:pStyle w:val="ListParagraph"/>
        <w:jc w:val="both"/>
        <w:rPr>
          <w:sz w:val="20"/>
          <w:szCs w:val="20"/>
          <w:lang w:val="es-ES_tradnl"/>
        </w:rPr>
      </w:pPr>
    </w:p>
    <w:p w14:paraId="324B8F7F" w14:textId="152D7786" w:rsidR="00752A52" w:rsidRPr="00C7096A" w:rsidRDefault="004E0AD5" w:rsidP="00D04AF6">
      <w:pPr>
        <w:pStyle w:val="ListParagraph"/>
        <w:numPr>
          <w:ilvl w:val="0"/>
          <w:numId w:val="103"/>
        </w:numPr>
        <w:jc w:val="both"/>
        <w:rPr>
          <w:sz w:val="20"/>
          <w:szCs w:val="20"/>
          <w:lang w:val="es-ES_tradnl"/>
        </w:rPr>
      </w:pPr>
      <w:r w:rsidRPr="00C7096A">
        <w:rPr>
          <w:sz w:val="20"/>
          <w:szCs w:val="20"/>
          <w:lang w:val="es-ES_tradnl"/>
        </w:rPr>
        <w:t>Sin perjuicio de ello, la Comisión nota que el Estado también arguye</w:t>
      </w:r>
      <w:r w:rsidR="00D239F0" w:rsidRPr="00C7096A">
        <w:rPr>
          <w:sz w:val="20"/>
          <w:szCs w:val="20"/>
          <w:lang w:val="es-ES_tradnl"/>
        </w:rPr>
        <w:t xml:space="preserve"> que la presunta víctima no presentó en su recurso de casación alegatos referidos a la presunta afectación a su derecho a recurrir el fallo</w:t>
      </w:r>
      <w:r w:rsidR="00A2762A" w:rsidRPr="00C7096A">
        <w:rPr>
          <w:sz w:val="20"/>
          <w:szCs w:val="20"/>
          <w:lang w:val="es-ES_tradnl"/>
        </w:rPr>
        <w:t xml:space="preserve"> y a la integridad</w:t>
      </w:r>
      <w:r w:rsidR="00D239F0" w:rsidRPr="00C7096A">
        <w:rPr>
          <w:sz w:val="20"/>
          <w:szCs w:val="20"/>
          <w:lang w:val="es-ES_tradnl"/>
        </w:rPr>
        <w:t>. No obstante, la Comisión considera que, si bien el señor Hernández Núñez no alegó concretamente la vulneración de dicho</w:t>
      </w:r>
      <w:r w:rsidR="00A2762A" w:rsidRPr="00C7096A">
        <w:rPr>
          <w:sz w:val="20"/>
          <w:szCs w:val="20"/>
          <w:lang w:val="es-ES_tradnl"/>
        </w:rPr>
        <w:t>s</w:t>
      </w:r>
      <w:r w:rsidR="00D239F0" w:rsidRPr="00C7096A">
        <w:rPr>
          <w:sz w:val="20"/>
          <w:szCs w:val="20"/>
          <w:lang w:val="es-ES_tradnl"/>
        </w:rPr>
        <w:t xml:space="preserve"> derecho</w:t>
      </w:r>
      <w:r w:rsidR="00A2762A" w:rsidRPr="00C7096A">
        <w:rPr>
          <w:sz w:val="20"/>
          <w:szCs w:val="20"/>
          <w:lang w:val="es-ES_tradnl"/>
        </w:rPr>
        <w:t>s</w:t>
      </w:r>
      <w:r w:rsidR="00D239F0" w:rsidRPr="00C7096A">
        <w:rPr>
          <w:sz w:val="20"/>
          <w:szCs w:val="20"/>
          <w:lang w:val="es-ES_tradnl"/>
        </w:rPr>
        <w:t xml:space="preserve">, los </w:t>
      </w:r>
      <w:r w:rsidR="00682D85" w:rsidRPr="00C7096A">
        <w:rPr>
          <w:sz w:val="20"/>
          <w:szCs w:val="20"/>
          <w:lang w:val="es-ES_tradnl"/>
        </w:rPr>
        <w:t>argumentos</w:t>
      </w:r>
      <w:r w:rsidR="00D239F0" w:rsidRPr="00C7096A">
        <w:rPr>
          <w:sz w:val="20"/>
          <w:szCs w:val="20"/>
          <w:lang w:val="es-ES_tradnl"/>
        </w:rPr>
        <w:t xml:space="preserve"> presentados tanto en vía de casación como en el procedimiento de revisión est</w:t>
      </w:r>
      <w:r w:rsidR="00D04AF6" w:rsidRPr="00C7096A">
        <w:rPr>
          <w:sz w:val="20"/>
          <w:szCs w:val="20"/>
          <w:lang w:val="es-ES_tradnl"/>
        </w:rPr>
        <w:t xml:space="preserve">án claramente conectados con la controversia presentada en su petición. Así, la Comisión destaca que en ambos recursos el señor Hernández Núñez buscó </w:t>
      </w:r>
      <w:r w:rsidR="00D239F0" w:rsidRPr="00C7096A">
        <w:rPr>
          <w:sz w:val="20"/>
          <w:szCs w:val="20"/>
          <w:lang w:val="es-ES_tradnl"/>
        </w:rPr>
        <w:t>que una autoridad judicial revise distintos aspectos de hecho y derecho de su condena</w:t>
      </w:r>
      <w:r w:rsidR="00E47ABE" w:rsidRPr="00C7096A">
        <w:rPr>
          <w:sz w:val="20"/>
          <w:szCs w:val="20"/>
          <w:lang w:val="es-ES_tradnl"/>
        </w:rPr>
        <w:t>, conforme a lo dispuesto por el artículo 8.2.h) de la Convención</w:t>
      </w:r>
      <w:r w:rsidR="00A2762A" w:rsidRPr="00C7096A">
        <w:rPr>
          <w:sz w:val="20"/>
          <w:szCs w:val="20"/>
          <w:lang w:val="es-ES_tradnl"/>
        </w:rPr>
        <w:t xml:space="preserve">, y que se revise la fundamentación de la pena impuesta, </w:t>
      </w:r>
      <w:r w:rsidR="009C54C8" w:rsidRPr="00C7096A">
        <w:rPr>
          <w:sz w:val="20"/>
          <w:szCs w:val="20"/>
          <w:lang w:val="es-ES_tradnl"/>
        </w:rPr>
        <w:t>la cual a su criterio constituye un trato cruel, inhumano y degra</w:t>
      </w:r>
      <w:r w:rsidR="00D04AF6" w:rsidRPr="00C7096A">
        <w:rPr>
          <w:sz w:val="20"/>
          <w:szCs w:val="20"/>
          <w:lang w:val="es-ES_tradnl"/>
        </w:rPr>
        <w:t xml:space="preserve">dante, debido al elevado tiempo de cárcel que se le impuso. </w:t>
      </w:r>
      <w:r w:rsidR="00A2762A" w:rsidRPr="00C7096A">
        <w:rPr>
          <w:sz w:val="20"/>
          <w:szCs w:val="20"/>
          <w:lang w:val="es-ES_tradnl"/>
        </w:rPr>
        <w:t xml:space="preserve">A juicio de la Comisión, tal situación </w:t>
      </w:r>
      <w:r w:rsidR="00D04AF6" w:rsidRPr="00C7096A">
        <w:rPr>
          <w:sz w:val="20"/>
          <w:szCs w:val="20"/>
          <w:lang w:val="es-ES_tradnl"/>
        </w:rPr>
        <w:t>demuestra</w:t>
      </w:r>
      <w:r w:rsidR="00A2762A" w:rsidRPr="00C7096A">
        <w:rPr>
          <w:sz w:val="20"/>
          <w:szCs w:val="20"/>
          <w:lang w:val="es-ES_tradnl"/>
        </w:rPr>
        <w:t xml:space="preserve"> que el Estado tuvo la oportunidad de solventar la </w:t>
      </w:r>
      <w:r w:rsidR="00D04AF6" w:rsidRPr="00C7096A">
        <w:rPr>
          <w:sz w:val="20"/>
          <w:szCs w:val="20"/>
          <w:lang w:val="es-ES_tradnl"/>
        </w:rPr>
        <w:t xml:space="preserve">controversia jurídica presentada en este reclamo mediante sus mecanismos internos. </w:t>
      </w:r>
    </w:p>
    <w:p w14:paraId="54350415" w14:textId="77777777" w:rsidR="00D04AF6" w:rsidRPr="00C7096A" w:rsidRDefault="00D04AF6" w:rsidP="00D04AF6">
      <w:pPr>
        <w:pStyle w:val="ListParagraph"/>
        <w:jc w:val="both"/>
        <w:rPr>
          <w:sz w:val="20"/>
          <w:szCs w:val="20"/>
          <w:lang w:val="es-ES_tradnl"/>
        </w:rPr>
      </w:pPr>
    </w:p>
    <w:p w14:paraId="2B128B9F" w14:textId="147B7796" w:rsidR="00255317" w:rsidRPr="00C7096A" w:rsidRDefault="00A2762A" w:rsidP="002553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7096A">
        <w:rPr>
          <w:rFonts w:asciiTheme="majorHAnsi" w:hAnsiTheme="majorHAnsi"/>
          <w:sz w:val="20"/>
          <w:szCs w:val="20"/>
          <w:lang w:val="es-ES_tradnl"/>
        </w:rPr>
        <w:t>Por las razones expuestas</w:t>
      </w:r>
      <w:r w:rsidR="00255317" w:rsidRPr="00C7096A">
        <w:rPr>
          <w:rFonts w:asciiTheme="majorHAnsi" w:hAnsiTheme="majorHAnsi"/>
          <w:sz w:val="20"/>
          <w:szCs w:val="20"/>
          <w:lang w:val="es-ES_tradnl"/>
        </w:rPr>
        <w:t xml:space="preserve">, la Comisión considera que </w:t>
      </w:r>
      <w:r w:rsidRPr="00C7096A">
        <w:rPr>
          <w:rFonts w:asciiTheme="majorHAnsi" w:hAnsiTheme="majorHAnsi"/>
          <w:sz w:val="20"/>
          <w:szCs w:val="20"/>
          <w:lang w:val="es-ES_tradnl"/>
        </w:rPr>
        <w:t xml:space="preserve">el presente asunto </w:t>
      </w:r>
      <w:r w:rsidR="00255317" w:rsidRPr="00C7096A">
        <w:rPr>
          <w:rFonts w:asciiTheme="majorHAnsi" w:hAnsiTheme="majorHAnsi"/>
          <w:sz w:val="20"/>
          <w:szCs w:val="20"/>
          <w:lang w:val="es-ES_tradnl"/>
        </w:rPr>
        <w:t>cumple el requisito previsto en el artículo 46.1.a) de la Convención Americana. Asimismo, la Comisión concluye que también se cumple el requisito de plazo previsto en el artículo 46.1.b) de la Convención</w:t>
      </w:r>
      <w:r w:rsidR="004E0AD5" w:rsidRPr="00C7096A">
        <w:rPr>
          <w:rFonts w:asciiTheme="majorHAnsi" w:hAnsiTheme="majorHAnsi"/>
          <w:sz w:val="20"/>
          <w:szCs w:val="20"/>
          <w:lang w:val="es-ES_tradnl"/>
        </w:rPr>
        <w:t xml:space="preserve">, dado que el presente reclamo se presentó el </w:t>
      </w:r>
      <w:r w:rsidR="004E0AD5" w:rsidRPr="00C7096A">
        <w:rPr>
          <w:rFonts w:asciiTheme="majorHAnsi" w:hAnsiTheme="majorHAnsi"/>
          <w:bCs/>
          <w:sz w:val="20"/>
          <w:szCs w:val="20"/>
          <w:lang w:val="es-ES_tradnl"/>
        </w:rPr>
        <w:t xml:space="preserve">19 de enero de 2011 y la resolución que desestimó el procedimiento de revisión se notificó el </w:t>
      </w:r>
      <w:r w:rsidR="004E0AD5" w:rsidRPr="00C7096A">
        <w:rPr>
          <w:rFonts w:asciiTheme="majorHAnsi" w:hAnsiTheme="majorHAnsi"/>
          <w:sz w:val="20"/>
          <w:szCs w:val="20"/>
          <w:lang w:val="es-ES_tradnl"/>
        </w:rPr>
        <w:t>27 de agosto de 2010.</w:t>
      </w:r>
    </w:p>
    <w:p w14:paraId="4FFBE378" w14:textId="55EAFC43" w:rsidR="003239B8" w:rsidRPr="00C7096A" w:rsidRDefault="003239B8" w:rsidP="00C279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_tradnl"/>
        </w:rPr>
      </w:pPr>
      <w:r w:rsidRPr="00C7096A">
        <w:rPr>
          <w:rFonts w:asciiTheme="majorHAnsi" w:hAnsiTheme="majorHAnsi"/>
          <w:b/>
          <w:bCs/>
          <w:sz w:val="20"/>
          <w:szCs w:val="20"/>
          <w:lang w:val="es-ES_tradnl"/>
        </w:rPr>
        <w:t>V</w:t>
      </w:r>
      <w:r w:rsidR="00746E82">
        <w:rPr>
          <w:rFonts w:asciiTheme="majorHAnsi" w:hAnsiTheme="majorHAnsi"/>
          <w:b/>
          <w:bCs/>
          <w:sz w:val="20"/>
          <w:szCs w:val="20"/>
          <w:lang w:val="es-ES_tradnl"/>
        </w:rPr>
        <w:t>I</w:t>
      </w:r>
      <w:r w:rsidRPr="00C7096A">
        <w:rPr>
          <w:rFonts w:asciiTheme="majorHAnsi" w:hAnsiTheme="majorHAnsi"/>
          <w:b/>
          <w:bCs/>
          <w:sz w:val="20"/>
          <w:szCs w:val="20"/>
          <w:lang w:val="es-ES_tradnl"/>
        </w:rPr>
        <w:t>II.</w:t>
      </w:r>
      <w:r w:rsidRPr="00C7096A">
        <w:rPr>
          <w:rFonts w:asciiTheme="majorHAnsi" w:hAnsiTheme="majorHAnsi"/>
          <w:b/>
          <w:bCs/>
          <w:sz w:val="20"/>
          <w:szCs w:val="20"/>
          <w:lang w:val="es-ES_tradnl"/>
        </w:rPr>
        <w:tab/>
      </w:r>
      <w:r w:rsidR="004A6A54" w:rsidRPr="00C7096A">
        <w:rPr>
          <w:rFonts w:asciiTheme="majorHAnsi" w:hAnsiTheme="majorHAnsi"/>
          <w:b/>
          <w:bCs/>
          <w:sz w:val="20"/>
          <w:szCs w:val="20"/>
          <w:lang w:val="es-ES_tradnl"/>
        </w:rPr>
        <w:t xml:space="preserve">ANÁLISIS DE </w:t>
      </w:r>
      <w:r w:rsidR="00C21FEF" w:rsidRPr="00C7096A">
        <w:rPr>
          <w:rFonts w:asciiTheme="majorHAnsi" w:hAnsiTheme="majorHAnsi"/>
          <w:b/>
          <w:bCs/>
          <w:sz w:val="20"/>
          <w:szCs w:val="20"/>
          <w:lang w:val="es-ES_tradnl"/>
        </w:rPr>
        <w:t>CARACTERIZACIÓN DE LOS HECHOS ALEGADOS</w:t>
      </w:r>
    </w:p>
    <w:p w14:paraId="486C0050" w14:textId="7FD9BC82" w:rsidR="00626DC4" w:rsidRPr="00C7096A" w:rsidRDefault="00626DC4" w:rsidP="00626DC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C7096A">
        <w:rPr>
          <w:rFonts w:asciiTheme="majorHAnsi" w:hAnsiTheme="majorHAnsi"/>
          <w:sz w:val="20"/>
          <w:szCs w:val="20"/>
          <w:lang w:val="es-ES_tradnl"/>
        </w:rPr>
        <w:t xml:space="preserve">La </w:t>
      </w:r>
      <w:bookmarkStart w:id="3" w:name="_Hlk126872133"/>
      <w:r w:rsidRPr="00C7096A">
        <w:rPr>
          <w:rFonts w:asciiTheme="majorHAnsi" w:hAnsiTheme="majorHAnsi"/>
          <w:sz w:val="20"/>
          <w:szCs w:val="20"/>
          <w:lang w:val="es-ES_tradnl"/>
        </w:rPr>
        <w:t xml:space="preserve">CIDH recuerda que, en la presente etapa procesal, debe realizar una evaluación </w:t>
      </w:r>
      <w:r w:rsidRPr="00C7096A">
        <w:rPr>
          <w:rFonts w:asciiTheme="majorHAnsi" w:hAnsiTheme="majorHAnsi"/>
          <w:i/>
          <w:iCs/>
          <w:sz w:val="20"/>
          <w:szCs w:val="20"/>
          <w:lang w:val="es-ES_tradnl"/>
        </w:rPr>
        <w:t>prima facie</w:t>
      </w:r>
      <w:r w:rsidRPr="00C7096A">
        <w:rPr>
          <w:rFonts w:asciiTheme="majorHAnsi" w:hAnsiTheme="majorHAns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w:t>
      </w:r>
      <w:r w:rsidRPr="00C7096A">
        <w:rPr>
          <w:rFonts w:asciiTheme="majorHAnsi" w:hAnsiTheme="majorHAnsi"/>
          <w:i/>
          <w:iCs/>
          <w:sz w:val="20"/>
          <w:szCs w:val="20"/>
          <w:lang w:val="es-ES_tradnl"/>
        </w:rPr>
        <w:t>manifiestamente infundada</w:t>
      </w:r>
      <w:r w:rsidRPr="00C7096A">
        <w:rPr>
          <w:rFonts w:asciiTheme="majorHAnsi" w:hAnsiTheme="majorHAnsi"/>
          <w:sz w:val="20"/>
          <w:szCs w:val="20"/>
          <w:lang w:val="es-ES_tradnl"/>
        </w:rPr>
        <w:t>" o es "</w:t>
      </w:r>
      <w:r w:rsidRPr="00C7096A">
        <w:rPr>
          <w:rFonts w:asciiTheme="majorHAnsi" w:hAnsiTheme="majorHAnsi"/>
          <w:i/>
          <w:iCs/>
          <w:sz w:val="20"/>
          <w:szCs w:val="20"/>
          <w:lang w:val="es-ES_tradnl"/>
        </w:rPr>
        <w:t>evidente su total improcedencia</w:t>
      </w:r>
      <w:r w:rsidRPr="00C7096A">
        <w:rPr>
          <w:rFonts w:asciiTheme="majorHAnsi" w:hAnsiTheme="majorHAnsi"/>
          <w:sz w:val="20"/>
          <w:szCs w:val="20"/>
          <w:lang w:val="es-ES_tradnl"/>
        </w:rPr>
        <w:t>", conforme al 47.c) de la Convención Americana</w:t>
      </w:r>
      <w:bookmarkEnd w:id="3"/>
      <w:r w:rsidRPr="00C7096A">
        <w:rPr>
          <w:rFonts w:asciiTheme="majorHAnsi" w:hAnsiTheme="majorHAnsi"/>
          <w:sz w:val="20"/>
          <w:szCs w:val="20"/>
          <w:lang w:val="es-ES_tradnl"/>
        </w:rPr>
        <w:t>.</w:t>
      </w:r>
    </w:p>
    <w:p w14:paraId="5F21C52E" w14:textId="77777777" w:rsidR="009B5DC0" w:rsidRPr="00C7096A" w:rsidRDefault="009B5DC0" w:rsidP="009B5DC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EE0C45C" w14:textId="3EDF6A6D" w:rsidR="009B5DC0" w:rsidRPr="00C7096A" w:rsidRDefault="009B5DC0" w:rsidP="00626DC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C7096A">
        <w:rPr>
          <w:rFonts w:asciiTheme="majorHAnsi" w:hAnsiTheme="majorHAnsi"/>
          <w:sz w:val="20"/>
          <w:szCs w:val="20"/>
          <w:lang w:val="es-ES_tradnl"/>
        </w:rPr>
        <w:t>En el presente asunto, la Comisión observa que</w:t>
      </w:r>
      <w:r w:rsidR="00DD5158" w:rsidRPr="00C7096A">
        <w:rPr>
          <w:rFonts w:asciiTheme="majorHAnsi" w:hAnsiTheme="majorHAnsi"/>
          <w:sz w:val="20"/>
          <w:szCs w:val="20"/>
          <w:lang w:val="es-ES_tradnl"/>
        </w:rPr>
        <w:t xml:space="preserve">, además de los cuestionamientos referidos a los alcances del recurso de casación, la parte peticionaria denuncia la afectación de su derecho contar con un juez imparcial, debido a la participación que tuvieron tres de los cuatro magistrados que lo condenaron en la ampliación de su prisión preventiva. </w:t>
      </w:r>
    </w:p>
    <w:p w14:paraId="664A38A5" w14:textId="31B64778" w:rsidR="00626DC4" w:rsidRPr="00C7096A" w:rsidRDefault="00626DC4" w:rsidP="00626DC4">
      <w:pPr>
        <w:pStyle w:val="ListParagraph"/>
        <w:jc w:val="both"/>
        <w:rPr>
          <w:rFonts w:asciiTheme="majorHAnsi" w:hAnsiTheme="majorHAnsi"/>
          <w:sz w:val="20"/>
          <w:szCs w:val="20"/>
          <w:lang w:val="es-ES_tradnl"/>
        </w:rPr>
      </w:pPr>
    </w:p>
    <w:p w14:paraId="32A6D5D9" w14:textId="21AA5AB5" w:rsidR="00433864" w:rsidRPr="00C7096A" w:rsidRDefault="00DD5158" w:rsidP="00EC1E9F">
      <w:pPr>
        <w:pStyle w:val="ListParagraph"/>
        <w:numPr>
          <w:ilvl w:val="0"/>
          <w:numId w:val="103"/>
        </w:numPr>
        <w:jc w:val="both"/>
        <w:rPr>
          <w:rFonts w:asciiTheme="majorHAnsi" w:hAnsiTheme="majorHAnsi"/>
          <w:sz w:val="20"/>
          <w:szCs w:val="20"/>
          <w:lang w:val="es-ES_tradnl"/>
        </w:rPr>
      </w:pPr>
      <w:r w:rsidRPr="00C7096A">
        <w:rPr>
          <w:sz w:val="20"/>
          <w:szCs w:val="20"/>
          <w:lang w:val="es-ES_tradnl"/>
        </w:rPr>
        <w:t>Al respecto, l</w:t>
      </w:r>
      <w:r w:rsidR="00B5490A" w:rsidRPr="00C7096A">
        <w:rPr>
          <w:sz w:val="20"/>
          <w:szCs w:val="20"/>
          <w:lang w:val="es-ES_tradnl"/>
        </w:rPr>
        <w:t>a</w:t>
      </w:r>
      <w:r w:rsidR="00C20721" w:rsidRPr="00C7096A">
        <w:rPr>
          <w:sz w:val="20"/>
          <w:szCs w:val="20"/>
          <w:lang w:val="es-ES_tradnl"/>
        </w:rPr>
        <w:t xml:space="preserve"> Comisión</w:t>
      </w:r>
      <w:r w:rsidR="000A2600" w:rsidRPr="00C7096A">
        <w:rPr>
          <w:sz w:val="20"/>
          <w:szCs w:val="20"/>
          <w:lang w:val="es-ES_tradnl"/>
        </w:rPr>
        <w:t xml:space="preserve"> </w:t>
      </w:r>
      <w:r w:rsidR="00EC1E9F" w:rsidRPr="00C7096A">
        <w:rPr>
          <w:sz w:val="20"/>
          <w:szCs w:val="20"/>
          <w:lang w:val="es-ES_tradnl"/>
        </w:rPr>
        <w:t xml:space="preserve">recuerda que, la sentencia del caso </w:t>
      </w:r>
      <w:r w:rsidR="00732CBA" w:rsidRPr="00C7096A">
        <w:rPr>
          <w:i/>
          <w:iCs/>
          <w:sz w:val="20"/>
          <w:szCs w:val="20"/>
          <w:lang w:val="es-ES_tradnl"/>
        </w:rPr>
        <w:t>Tzompaxtle Tecpile y otros vs. México</w:t>
      </w:r>
      <w:r w:rsidR="0091422B" w:rsidRPr="00C7096A">
        <w:rPr>
          <w:sz w:val="20"/>
          <w:szCs w:val="20"/>
          <w:lang w:val="es-ES_tradnl"/>
        </w:rPr>
        <w:t>, la Corte Interamericana precisó que la procedencia de una medida de prisión preventiva “</w:t>
      </w:r>
      <w:r w:rsidR="00EC1E9F" w:rsidRPr="00C7096A">
        <w:rPr>
          <w:rFonts w:asciiTheme="majorHAnsi" w:hAnsiTheme="majorHAnsi"/>
          <w:i/>
          <w:iCs/>
          <w:sz w:val="20"/>
          <w:szCs w:val="20"/>
          <w:lang w:val="es-ES_tradnl"/>
        </w:rPr>
        <w:t>no debería tener ningún efecto respecto de la responsabilidad del imputado, dado que debe ser tomada por un juez o autoridad judicial diferente a la que finalmente toma</w:t>
      </w:r>
      <w:r w:rsidR="00B052FD" w:rsidRPr="00C7096A">
        <w:rPr>
          <w:rFonts w:asciiTheme="majorHAnsi" w:hAnsiTheme="majorHAnsi"/>
          <w:i/>
          <w:iCs/>
          <w:sz w:val="20"/>
          <w:szCs w:val="20"/>
          <w:lang w:val="es-ES_tradnl"/>
        </w:rPr>
        <w:t xml:space="preserve"> la determinación sobre el fondo</w:t>
      </w:r>
      <w:r w:rsidR="00B052FD" w:rsidRPr="00C7096A">
        <w:rPr>
          <w:rFonts w:asciiTheme="majorHAnsi" w:hAnsiTheme="majorHAnsi"/>
          <w:sz w:val="20"/>
          <w:szCs w:val="20"/>
          <w:lang w:val="es-ES_tradnl"/>
        </w:rPr>
        <w:t>”</w:t>
      </w:r>
      <w:r w:rsidR="00B052FD" w:rsidRPr="00C7096A">
        <w:rPr>
          <w:rStyle w:val="FootnoteReference"/>
          <w:rFonts w:asciiTheme="majorHAnsi" w:hAnsiTheme="majorHAnsi"/>
          <w:sz w:val="20"/>
          <w:szCs w:val="20"/>
          <w:lang w:val="es-ES_tradnl"/>
        </w:rPr>
        <w:footnoteReference w:id="16"/>
      </w:r>
      <w:r w:rsidR="00B052FD" w:rsidRPr="00C7096A">
        <w:rPr>
          <w:rFonts w:asciiTheme="majorHAnsi" w:hAnsiTheme="majorHAnsi"/>
          <w:sz w:val="20"/>
          <w:szCs w:val="20"/>
          <w:lang w:val="es-ES_tradnl"/>
        </w:rPr>
        <w:t xml:space="preserve">. </w:t>
      </w:r>
      <w:r w:rsidR="006E6144" w:rsidRPr="00C7096A">
        <w:rPr>
          <w:rFonts w:asciiTheme="majorHAnsi" w:hAnsiTheme="majorHAnsi"/>
          <w:sz w:val="20"/>
          <w:szCs w:val="20"/>
          <w:lang w:val="es-ES_tradnl"/>
        </w:rPr>
        <w:t xml:space="preserve">Asimismo, en su decisión del caso </w:t>
      </w:r>
      <w:r w:rsidR="00433864" w:rsidRPr="00C7096A">
        <w:rPr>
          <w:rFonts w:asciiTheme="majorHAnsi" w:hAnsiTheme="majorHAnsi"/>
          <w:i/>
          <w:iCs/>
          <w:sz w:val="20"/>
          <w:szCs w:val="20"/>
          <w:lang w:val="es-ES_tradnl"/>
        </w:rPr>
        <w:t>Scot Cochran Vs. Costa Rica</w:t>
      </w:r>
      <w:r w:rsidR="00433864" w:rsidRPr="00C7096A">
        <w:rPr>
          <w:rFonts w:asciiTheme="majorHAnsi" w:hAnsiTheme="majorHAnsi"/>
          <w:sz w:val="20"/>
          <w:szCs w:val="20"/>
          <w:lang w:val="es-ES_tradnl"/>
        </w:rPr>
        <w:t>, la Corte señaló que “</w:t>
      </w:r>
      <w:r w:rsidR="00433864" w:rsidRPr="00C7096A">
        <w:rPr>
          <w:rFonts w:asciiTheme="majorHAnsi" w:hAnsiTheme="majorHAnsi"/>
          <w:i/>
          <w:iCs/>
          <w:sz w:val="20"/>
          <w:szCs w:val="20"/>
          <w:lang w:val="es-ES_tradnl"/>
        </w:rPr>
        <w:t>corresponde al Estado adoptar las previsiones necesarias para reforzar en mayor medida la garantía del juez imparcial</w:t>
      </w:r>
      <w:r w:rsidR="00433864" w:rsidRPr="00C7096A">
        <w:rPr>
          <w:rFonts w:asciiTheme="majorHAnsi" w:hAnsiTheme="majorHAnsi"/>
          <w:sz w:val="20"/>
          <w:szCs w:val="20"/>
          <w:lang w:val="es-ES_tradnl"/>
        </w:rPr>
        <w:t xml:space="preserve">”, luego de constatar que en Costa Rica se permite la participación de jueces en tribunales encargados de determinar la responsabilidad penal del imputado a pesar de que estos ya hayan actuado </w:t>
      </w:r>
      <w:r w:rsidR="00555EBC" w:rsidRPr="00C7096A">
        <w:rPr>
          <w:rFonts w:asciiTheme="majorHAnsi" w:hAnsiTheme="majorHAnsi"/>
          <w:sz w:val="20"/>
          <w:szCs w:val="20"/>
          <w:lang w:val="es-ES_tradnl"/>
        </w:rPr>
        <w:t xml:space="preserve">en la adopción y </w:t>
      </w:r>
      <w:r w:rsidR="00433864" w:rsidRPr="00C7096A">
        <w:rPr>
          <w:rFonts w:asciiTheme="majorHAnsi" w:hAnsiTheme="majorHAnsi"/>
          <w:sz w:val="20"/>
          <w:szCs w:val="20"/>
          <w:lang w:val="es-ES_tradnl"/>
        </w:rPr>
        <w:t>revisión de medidas cautelares de privación de libertad.</w:t>
      </w:r>
    </w:p>
    <w:p w14:paraId="463FC29E" w14:textId="77777777" w:rsidR="009B5DC0" w:rsidRPr="00C7096A" w:rsidRDefault="009B5DC0" w:rsidP="009B5DC0">
      <w:pPr>
        <w:pStyle w:val="ListParagraph"/>
        <w:jc w:val="both"/>
        <w:rPr>
          <w:rFonts w:asciiTheme="majorHAnsi" w:hAnsiTheme="majorHAnsi"/>
          <w:sz w:val="20"/>
          <w:szCs w:val="20"/>
          <w:lang w:val="es-ES_tradnl"/>
        </w:rPr>
      </w:pPr>
    </w:p>
    <w:p w14:paraId="3DF558F5" w14:textId="4D19C2FC" w:rsidR="009B5DC0" w:rsidRPr="00C7096A" w:rsidRDefault="009B5DC0" w:rsidP="009B5DC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C7096A">
        <w:rPr>
          <w:rFonts w:asciiTheme="majorHAnsi" w:hAnsiTheme="majorHAnsi"/>
          <w:sz w:val="20"/>
          <w:szCs w:val="20"/>
          <w:lang w:val="es-ES_tradnl"/>
        </w:rPr>
        <w:lastRenderedPageBreak/>
        <w:t>En atención a estas consideraciones y tras examinar los elementos de hecho y de derecho expuestos por las partes, la Comisión estima que las alegaciones de la parte peticionaria</w:t>
      </w:r>
      <w:r w:rsidR="00A04342" w:rsidRPr="00C7096A">
        <w:rPr>
          <w:rFonts w:asciiTheme="majorHAnsi" w:hAnsiTheme="majorHAnsi"/>
          <w:sz w:val="20"/>
          <w:szCs w:val="20"/>
          <w:lang w:val="es-ES_tradnl"/>
        </w:rPr>
        <w:t xml:space="preserve"> </w:t>
      </w:r>
      <w:r w:rsidRPr="00C7096A">
        <w:rPr>
          <w:rFonts w:asciiTheme="majorHAnsi" w:hAnsiTheme="majorHAnsi"/>
          <w:sz w:val="20"/>
          <w:szCs w:val="20"/>
          <w:lang w:val="es-ES_tradnl"/>
        </w:rPr>
        <w:t>no resultan manifiestamente infundadas y requieren un estudio de fondo, pues los hechos alegados, de corroborarse como ciertos, podrían caracterizar violaciones a los artículos</w:t>
      </w:r>
      <w:r w:rsidRPr="00C7096A">
        <w:rPr>
          <w:rFonts w:asciiTheme="majorHAnsi" w:hAnsiTheme="majorHAnsi"/>
          <w:bCs/>
          <w:sz w:val="20"/>
          <w:szCs w:val="20"/>
          <w:lang w:val="es-ES_tradnl"/>
        </w:rPr>
        <w:t xml:space="preserve">  7 (libertad personal), 8 (garantías judiciales) y 25 (protección judicial) de la Convención Americana, en relación con sus artículos 1.1 </w:t>
      </w:r>
      <w:r w:rsidR="003F7BBE" w:rsidRPr="00C7096A">
        <w:rPr>
          <w:rFonts w:asciiTheme="majorHAnsi" w:hAnsiTheme="majorHAnsi"/>
          <w:bCs/>
          <w:sz w:val="20"/>
          <w:szCs w:val="20"/>
          <w:lang w:val="es-ES_tradnl"/>
        </w:rPr>
        <w:t xml:space="preserve">(obligación de respetar los derechos) </w:t>
      </w:r>
      <w:r w:rsidRPr="00C7096A">
        <w:rPr>
          <w:rFonts w:asciiTheme="majorHAnsi" w:hAnsiTheme="majorHAnsi"/>
          <w:bCs/>
          <w:sz w:val="20"/>
          <w:szCs w:val="20"/>
          <w:lang w:val="es-ES_tradnl"/>
        </w:rPr>
        <w:t>y 2</w:t>
      </w:r>
      <w:r w:rsidR="003F7BBE" w:rsidRPr="00C7096A">
        <w:rPr>
          <w:rFonts w:asciiTheme="majorHAnsi" w:hAnsiTheme="majorHAnsi"/>
          <w:bCs/>
          <w:sz w:val="20"/>
          <w:szCs w:val="20"/>
          <w:lang w:val="es-ES_tradnl"/>
        </w:rPr>
        <w:t xml:space="preserve"> (deber de adoptar disposiciones de derecho interno)</w:t>
      </w:r>
      <w:r w:rsidRPr="00C7096A">
        <w:rPr>
          <w:rFonts w:asciiTheme="majorHAnsi" w:hAnsiTheme="majorHAnsi"/>
          <w:bCs/>
          <w:sz w:val="20"/>
          <w:szCs w:val="20"/>
          <w:lang w:val="es-ES_tradnl"/>
        </w:rPr>
        <w:t>, en perjuicio del señor Hernández Núñez.</w:t>
      </w:r>
    </w:p>
    <w:p w14:paraId="0461B66A" w14:textId="77777777" w:rsidR="00916F4B" w:rsidRPr="00C7096A" w:rsidRDefault="00916F4B" w:rsidP="00916F4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C40D71C" w14:textId="76EA7288" w:rsidR="00916F4B" w:rsidRPr="00C7096A" w:rsidRDefault="00916F4B" w:rsidP="00916F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7096A">
        <w:rPr>
          <w:rFonts w:asciiTheme="majorHAnsi" w:hAnsiTheme="majorHAnsi"/>
          <w:bCs/>
          <w:sz w:val="20"/>
          <w:szCs w:val="20"/>
          <w:lang w:val="es-ES_tradnl"/>
        </w:rPr>
        <w:t xml:space="preserve">Respecto al artículo 5 (derecho a la integridad personal) de la Convención Americana, la Comisión considera que la parte peticionaria no aporta argumentos o información que permitan, </w:t>
      </w:r>
      <w:r w:rsidRPr="00C7096A">
        <w:rPr>
          <w:rFonts w:asciiTheme="majorHAnsi" w:hAnsiTheme="majorHAnsi"/>
          <w:bCs/>
          <w:i/>
          <w:iCs/>
          <w:sz w:val="20"/>
          <w:szCs w:val="20"/>
          <w:lang w:val="es-ES_tradnl"/>
        </w:rPr>
        <w:t>prima facie</w:t>
      </w:r>
      <w:r w:rsidRPr="00C7096A">
        <w:rPr>
          <w:rFonts w:asciiTheme="majorHAnsi" w:hAnsiTheme="majorHAnsi"/>
          <w:bCs/>
          <w:sz w:val="20"/>
          <w:szCs w:val="20"/>
          <w:lang w:val="es-ES_tradnl"/>
        </w:rPr>
        <w:t>, identificar su posible vulneración.</w:t>
      </w:r>
    </w:p>
    <w:p w14:paraId="6D432DF1" w14:textId="706B33D7" w:rsidR="00C27964" w:rsidRPr="00C7096A" w:rsidRDefault="006C187C" w:rsidP="00C279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7096A">
        <w:rPr>
          <w:rFonts w:asciiTheme="majorHAnsi" w:hAnsiTheme="majorHAnsi"/>
          <w:sz w:val="20"/>
          <w:szCs w:val="20"/>
          <w:lang w:val="es-ES_tradnl"/>
        </w:rPr>
        <w:t>Finalmente, cabe recordar que la Comisión no constituye una cuarta instancia que pueda realizar una valoración de la prueba referente a la posible culpabilidad o no de la presunta víctima en el presente caso</w:t>
      </w:r>
      <w:r w:rsidRPr="00C7096A">
        <w:rPr>
          <w:rStyle w:val="FootnoteReference"/>
          <w:rFonts w:asciiTheme="majorHAnsi" w:hAnsiTheme="majorHAnsi"/>
          <w:sz w:val="20"/>
          <w:szCs w:val="20"/>
          <w:lang w:val="es-ES_tradnl"/>
        </w:rPr>
        <w:footnoteReference w:id="17"/>
      </w:r>
      <w:r w:rsidRPr="00C7096A">
        <w:rPr>
          <w:rFonts w:asciiTheme="majorHAnsi" w:hAnsiTheme="majorHAnsi"/>
          <w:sz w:val="20"/>
          <w:szCs w:val="20"/>
          <w:lang w:val="es-ES_tradnl"/>
        </w:rPr>
        <w:t xml:space="preserve">. El propósito no es determinar la inocencia o culpabilidad del señor </w:t>
      </w:r>
      <w:r w:rsidR="009E48E1" w:rsidRPr="00C7096A">
        <w:rPr>
          <w:rFonts w:asciiTheme="majorHAnsi" w:hAnsiTheme="majorHAnsi"/>
          <w:sz w:val="20"/>
          <w:szCs w:val="20"/>
          <w:lang w:val="es-ES_tradnl"/>
        </w:rPr>
        <w:t>Hernández Núñez</w:t>
      </w:r>
      <w:r w:rsidRPr="00C7096A">
        <w:rPr>
          <w:rFonts w:asciiTheme="majorHAnsi" w:hAnsiTheme="majorHAnsi"/>
          <w:sz w:val="20"/>
          <w:szCs w:val="20"/>
          <w:lang w:val="es-ES_tradnl"/>
        </w:rPr>
        <w:t>, sino definir si las autoridades judiciales han afectado o no obligaciones estipuladas en la Convención.</w:t>
      </w:r>
    </w:p>
    <w:p w14:paraId="29BB41F5" w14:textId="124BA9EE" w:rsidR="003239B8" w:rsidRPr="00C7096A" w:rsidRDefault="003239B8" w:rsidP="00C27964">
      <w:pPr>
        <w:pStyle w:val="ListParagraph"/>
        <w:jc w:val="both"/>
        <w:rPr>
          <w:rFonts w:asciiTheme="majorHAnsi" w:hAnsiTheme="majorHAnsi"/>
          <w:b/>
          <w:bCs/>
          <w:sz w:val="20"/>
          <w:szCs w:val="20"/>
          <w:lang w:val="es-ES_tradnl"/>
        </w:rPr>
      </w:pPr>
      <w:r w:rsidRPr="00C7096A">
        <w:rPr>
          <w:rFonts w:asciiTheme="majorHAnsi" w:hAnsiTheme="majorHAnsi"/>
          <w:b/>
          <w:bCs/>
          <w:sz w:val="20"/>
          <w:szCs w:val="20"/>
          <w:lang w:val="es-ES_tradnl"/>
        </w:rPr>
        <w:t>I</w:t>
      </w:r>
      <w:r w:rsidR="00BF668E">
        <w:rPr>
          <w:rFonts w:asciiTheme="majorHAnsi" w:hAnsiTheme="majorHAnsi"/>
          <w:b/>
          <w:bCs/>
          <w:sz w:val="20"/>
          <w:szCs w:val="20"/>
          <w:lang w:val="es-ES_tradnl"/>
        </w:rPr>
        <w:t>X</w:t>
      </w:r>
      <w:r w:rsidRPr="00C7096A">
        <w:rPr>
          <w:rFonts w:asciiTheme="majorHAnsi" w:hAnsiTheme="majorHAnsi"/>
          <w:b/>
          <w:bCs/>
          <w:sz w:val="20"/>
          <w:szCs w:val="20"/>
          <w:lang w:val="es-ES_tradnl"/>
        </w:rPr>
        <w:t xml:space="preserve">. </w:t>
      </w:r>
      <w:r w:rsidRPr="00C7096A">
        <w:rPr>
          <w:rFonts w:asciiTheme="majorHAnsi" w:hAnsiTheme="majorHAnsi"/>
          <w:b/>
          <w:bCs/>
          <w:sz w:val="20"/>
          <w:szCs w:val="20"/>
          <w:lang w:val="es-ES_tradnl"/>
        </w:rPr>
        <w:tab/>
        <w:t>DECISIÓN</w:t>
      </w:r>
    </w:p>
    <w:p w14:paraId="378F2698" w14:textId="77777777" w:rsidR="00C27964" w:rsidRPr="00C7096A" w:rsidRDefault="00C27964" w:rsidP="00C27964">
      <w:pPr>
        <w:jc w:val="both"/>
        <w:rPr>
          <w:rFonts w:asciiTheme="majorHAnsi" w:hAnsiTheme="majorHAnsi"/>
          <w:b/>
          <w:bCs/>
          <w:sz w:val="20"/>
          <w:szCs w:val="20"/>
          <w:lang w:val="es-ES_tradnl"/>
        </w:rPr>
      </w:pPr>
    </w:p>
    <w:p w14:paraId="3035FEB7" w14:textId="55717B1D" w:rsidR="00D50C3A" w:rsidRPr="00C7096A" w:rsidRDefault="00D50C3A" w:rsidP="00D50C3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7096A">
        <w:rPr>
          <w:rFonts w:asciiTheme="majorHAnsi" w:hAnsiTheme="majorHAnsi"/>
          <w:sz w:val="20"/>
          <w:szCs w:val="20"/>
          <w:lang w:val="es-ES_tradnl"/>
        </w:rPr>
        <w:t xml:space="preserve">Declarar admisible la presente petición en relación con los artículos 7, 8 y 25 de la Convención Americana; </w:t>
      </w:r>
      <w:r w:rsidR="00F73D1E">
        <w:rPr>
          <w:rFonts w:asciiTheme="majorHAnsi" w:hAnsiTheme="majorHAnsi"/>
          <w:sz w:val="20"/>
          <w:szCs w:val="20"/>
          <w:lang w:val="es-ES_tradnl"/>
        </w:rPr>
        <w:t>y</w:t>
      </w:r>
    </w:p>
    <w:p w14:paraId="7CD4DFBD" w14:textId="10A366D9" w:rsidR="003239B8" w:rsidRPr="00C7096A" w:rsidRDefault="00D50C3A" w:rsidP="00D50C3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7096A">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AC80CA6" w14:textId="77809B7F" w:rsidR="00722C9F" w:rsidRPr="00526D2B" w:rsidRDefault="00F73D1E" w:rsidP="00526D2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31 días del mes de octubre de 2023.  (Firmado): Esmeralda Arosemena de Troitiño, Primera Vicepresidenta; Julissa Mantilla Falcón, Stuardo Ralón Orellana, Carlos Bernal Pulido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526D2B">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722C9F" w:rsidRPr="00526D2B" w:rsidSect="00607C4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77D58" w14:textId="77777777" w:rsidR="00607C44" w:rsidRDefault="00607C44">
      <w:r>
        <w:separator/>
      </w:r>
    </w:p>
  </w:endnote>
  <w:endnote w:type="continuationSeparator" w:id="0">
    <w:p w14:paraId="235D1760" w14:textId="77777777" w:rsidR="00607C44" w:rsidRDefault="0060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732E" w14:textId="77777777" w:rsidR="00607C44" w:rsidRPr="000F35ED" w:rsidRDefault="00607C4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9D05AA7" w14:textId="77777777" w:rsidR="00607C44" w:rsidRPr="000F35ED" w:rsidRDefault="00607C44" w:rsidP="000F35ED">
      <w:pPr>
        <w:rPr>
          <w:rFonts w:asciiTheme="majorHAnsi" w:hAnsiTheme="majorHAnsi"/>
          <w:sz w:val="16"/>
          <w:szCs w:val="16"/>
        </w:rPr>
      </w:pPr>
      <w:r w:rsidRPr="000F35ED">
        <w:rPr>
          <w:rFonts w:asciiTheme="majorHAnsi" w:hAnsiTheme="majorHAnsi"/>
          <w:sz w:val="16"/>
          <w:szCs w:val="16"/>
        </w:rPr>
        <w:separator/>
      </w:r>
    </w:p>
    <w:p w14:paraId="4932B4D3" w14:textId="77777777" w:rsidR="00607C44" w:rsidRPr="000F35ED" w:rsidRDefault="00607C4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9BEC8F1" w14:textId="77777777" w:rsidR="00607C44" w:rsidRPr="000F35ED" w:rsidRDefault="00607C4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153C417" w14:textId="77777777" w:rsidR="0061609D" w:rsidRPr="00916C1D" w:rsidRDefault="0061609D" w:rsidP="0061609D">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09399DFD" w14:textId="77777777" w:rsidR="00CD17F6" w:rsidRPr="00EA3787" w:rsidRDefault="00CD17F6" w:rsidP="00CD17F6">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es-US"/>
        </w:rPr>
        <w:t xml:space="preserve"> En adelante, la “Corte Interamericana” o la “Corte IDH”.</w:t>
      </w:r>
    </w:p>
  </w:footnote>
  <w:footnote w:id="5">
    <w:p w14:paraId="026EBBBF" w14:textId="77777777" w:rsidR="00CD17F6" w:rsidRPr="004D0E62" w:rsidRDefault="00CD17F6" w:rsidP="00CD17F6">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pt-BR"/>
        </w:rPr>
        <w:t xml:space="preserve"> Corte IDH. Caso Herrera Ulloa Vs. </w:t>
      </w:r>
      <w:r w:rsidRPr="00EA3787">
        <w:rPr>
          <w:rFonts w:asciiTheme="majorHAnsi" w:hAnsiTheme="majorHAnsi"/>
          <w:sz w:val="16"/>
          <w:szCs w:val="16"/>
          <w:lang w:val="es-US"/>
        </w:rPr>
        <w:t xml:space="preserve">Costa Rica. Excepciones Preliminares, Fondo, Reparaciones y Costas. </w:t>
      </w:r>
      <w:r w:rsidRPr="004D0E62">
        <w:rPr>
          <w:rFonts w:asciiTheme="majorHAnsi" w:hAnsiTheme="majorHAnsi"/>
          <w:sz w:val="16"/>
          <w:szCs w:val="16"/>
          <w:lang w:val="es-US"/>
        </w:rPr>
        <w:t xml:space="preserve">Sentencia de 2 de julio de 2004. Serie C No. 107, párr. 167. </w:t>
      </w:r>
    </w:p>
  </w:footnote>
  <w:footnote w:id="6">
    <w:p w14:paraId="6D2530C7" w14:textId="77777777" w:rsidR="00CD17F6" w:rsidRPr="008A508D" w:rsidRDefault="00CD17F6" w:rsidP="00CD17F6">
      <w:pPr>
        <w:pStyle w:val="FootnoteText"/>
        <w:ind w:firstLine="720"/>
        <w:jc w:val="both"/>
        <w:rPr>
          <w:lang w:val="es-US"/>
        </w:rPr>
      </w:pPr>
      <w:r w:rsidRPr="004D0E62">
        <w:rPr>
          <w:rStyle w:val="FootnoteReference"/>
          <w:rFonts w:asciiTheme="majorHAnsi" w:hAnsiTheme="majorHAnsi"/>
          <w:sz w:val="16"/>
          <w:szCs w:val="16"/>
        </w:rPr>
        <w:footnoteRef/>
      </w:r>
      <w:r w:rsidRPr="00526D2B">
        <w:rPr>
          <w:rFonts w:asciiTheme="majorHAnsi" w:hAnsiTheme="majorHAnsi"/>
          <w:sz w:val="16"/>
          <w:szCs w:val="16"/>
          <w:lang w:val="es-AR"/>
        </w:rPr>
        <w:t xml:space="preserve"> Corte IDH. Caso Herrera Ulloa Vs. </w:t>
      </w:r>
      <w:r w:rsidRPr="004D0E62">
        <w:rPr>
          <w:rFonts w:asciiTheme="majorHAnsi" w:hAnsiTheme="majorHAnsi"/>
          <w:sz w:val="16"/>
          <w:szCs w:val="16"/>
          <w:lang w:val="es-US"/>
        </w:rPr>
        <w:t xml:space="preserve">Costa Rica. Excepciones Preliminares, Fondo, Reparaciones y Costas. </w:t>
      </w:r>
      <w:r w:rsidRPr="003869D1">
        <w:rPr>
          <w:rFonts w:asciiTheme="majorHAnsi" w:hAnsiTheme="majorHAnsi"/>
          <w:sz w:val="16"/>
          <w:szCs w:val="16"/>
          <w:lang w:val="es-ES"/>
        </w:rPr>
        <w:t>Sentencia de 2 de julio de 2004. Serie C No. 107, párr. 198.</w:t>
      </w:r>
    </w:p>
  </w:footnote>
  <w:footnote w:id="7">
    <w:p w14:paraId="46CD2A72" w14:textId="77777777" w:rsidR="00CD17F6" w:rsidRPr="00565232" w:rsidRDefault="00CD17F6" w:rsidP="00CD17F6">
      <w:pPr>
        <w:pStyle w:val="FootnoteText"/>
        <w:ind w:firstLine="720"/>
        <w:jc w:val="both"/>
        <w:rPr>
          <w:rFonts w:asciiTheme="majorHAnsi" w:hAnsiTheme="majorHAnsi"/>
          <w:sz w:val="16"/>
          <w:szCs w:val="16"/>
          <w:lang w:val="es-US"/>
        </w:rPr>
      </w:pPr>
      <w:r w:rsidRPr="006A7DCD">
        <w:rPr>
          <w:rStyle w:val="FootnoteReference"/>
          <w:rFonts w:asciiTheme="majorHAnsi" w:hAnsiTheme="majorHAnsi"/>
          <w:sz w:val="16"/>
          <w:szCs w:val="16"/>
        </w:rPr>
        <w:footnoteRef/>
      </w:r>
      <w:r w:rsidRPr="006A7DCD">
        <w:rPr>
          <w:rFonts w:asciiTheme="majorHAnsi" w:hAnsiTheme="majorHAnsi"/>
          <w:sz w:val="16"/>
          <w:szCs w:val="16"/>
          <w:lang w:val="es-US"/>
        </w:rPr>
        <w:t xml:space="preserve"> Corte IDH. Caso Amrhein y otros Vs. Costa Rica. Excepciones Preliminares, Fondo, Reparaciones y Costas. Sentencia de 25 de abril de 2018. Serie C No. 354, párr. 262.</w:t>
      </w:r>
    </w:p>
  </w:footnote>
  <w:footnote w:id="8">
    <w:p w14:paraId="47E23466" w14:textId="77777777" w:rsidR="00CD17F6" w:rsidRPr="004D0E62" w:rsidRDefault="00CD17F6" w:rsidP="00CD17F6">
      <w:pPr>
        <w:pStyle w:val="FootnoteText"/>
        <w:ind w:firstLine="720"/>
        <w:jc w:val="both"/>
        <w:rPr>
          <w:rFonts w:asciiTheme="majorHAnsi" w:hAnsiTheme="majorHAnsi"/>
          <w:sz w:val="16"/>
          <w:szCs w:val="16"/>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 párr. 48. </w:t>
      </w:r>
    </w:p>
  </w:footnote>
  <w:footnote w:id="9">
    <w:p w14:paraId="4C0116DA" w14:textId="77777777" w:rsidR="00CD17F6" w:rsidRPr="008A508D" w:rsidRDefault="00CD17F6" w:rsidP="00CD17F6">
      <w:pPr>
        <w:pStyle w:val="FootnoteText"/>
        <w:ind w:firstLine="720"/>
        <w:jc w:val="both"/>
        <w:rPr>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w:t>
      </w:r>
      <w:r>
        <w:rPr>
          <w:rFonts w:asciiTheme="majorHAnsi" w:hAnsiTheme="majorHAnsi"/>
          <w:sz w:val="16"/>
          <w:szCs w:val="16"/>
          <w:lang w:val="es-US"/>
        </w:rPr>
        <w:t xml:space="preserve">, párr. 265. </w:t>
      </w:r>
    </w:p>
  </w:footnote>
  <w:footnote w:id="10">
    <w:p w14:paraId="60D69551" w14:textId="77777777" w:rsidR="00CD17F6" w:rsidRPr="00EE7817" w:rsidRDefault="00CD17F6" w:rsidP="00CD17F6">
      <w:pPr>
        <w:pStyle w:val="FootnoteText"/>
        <w:ind w:firstLine="720"/>
        <w:jc w:val="both"/>
        <w:rPr>
          <w:rFonts w:asciiTheme="majorHAnsi" w:hAnsiTheme="majorHAnsi"/>
          <w:sz w:val="16"/>
          <w:szCs w:val="16"/>
          <w:lang w:val="es-US"/>
        </w:rPr>
      </w:pPr>
      <w:r w:rsidRPr="00EE7817">
        <w:rPr>
          <w:rStyle w:val="FootnoteReference"/>
          <w:rFonts w:asciiTheme="majorHAnsi" w:hAnsiTheme="majorHAnsi"/>
          <w:sz w:val="16"/>
          <w:szCs w:val="16"/>
        </w:rPr>
        <w:footnoteRef/>
      </w:r>
      <w:r w:rsidRPr="00526D2B">
        <w:rPr>
          <w:rFonts w:asciiTheme="majorHAnsi" w:hAnsiTheme="majorHAnsi"/>
          <w:sz w:val="16"/>
          <w:szCs w:val="16"/>
          <w:lang w:val="es-US"/>
        </w:rPr>
        <w:t xml:space="preserve"> Corte IDH. Caso Herrera Ulloa Vs. </w:t>
      </w:r>
      <w:r w:rsidRPr="00EE7817">
        <w:rPr>
          <w:rFonts w:asciiTheme="majorHAnsi" w:hAnsiTheme="majorHAnsi"/>
          <w:sz w:val="16"/>
          <w:szCs w:val="16"/>
          <w:lang w:val="es-US"/>
        </w:rPr>
        <w:t>Costa Rica. Supervisión de Cumplimiento de Sentencia. Resolución de la Corte Interamericana de Derechos Humanos de 22 de noviembre de 2010</w:t>
      </w:r>
      <w:r>
        <w:rPr>
          <w:rFonts w:asciiTheme="majorHAnsi" w:hAnsiTheme="majorHAnsi"/>
          <w:sz w:val="16"/>
          <w:szCs w:val="16"/>
          <w:lang w:val="es-US"/>
        </w:rPr>
        <w:t xml:space="preserve">, párr. 16. </w:t>
      </w:r>
    </w:p>
  </w:footnote>
  <w:footnote w:id="11">
    <w:p w14:paraId="232B2263" w14:textId="77777777" w:rsidR="00CD17F6" w:rsidRPr="00735708" w:rsidRDefault="00CD17F6" w:rsidP="00CD17F6">
      <w:pPr>
        <w:pStyle w:val="FootnoteText"/>
        <w:ind w:firstLine="720"/>
        <w:jc w:val="both"/>
        <w:rPr>
          <w:rFonts w:ascii="Cambria" w:hAnsi="Cambria"/>
          <w:sz w:val="16"/>
          <w:szCs w:val="16"/>
          <w:lang w:val="es-AR"/>
        </w:rPr>
      </w:pPr>
      <w:r w:rsidRPr="00FA73F6">
        <w:rPr>
          <w:rStyle w:val="FootnoteReference"/>
          <w:rFonts w:ascii="Cambria" w:hAnsi="Cambria"/>
          <w:sz w:val="16"/>
          <w:szCs w:val="16"/>
        </w:rPr>
        <w:footnoteRef/>
      </w:r>
      <w:r w:rsidRPr="00FA73F6">
        <w:rPr>
          <w:rFonts w:ascii="Cambria" w:hAnsi="Cambria"/>
          <w:sz w:val="16"/>
          <w:szCs w:val="16"/>
          <w:lang w:val="es-US"/>
        </w:rPr>
        <w:t xml:space="preserve"> </w:t>
      </w:r>
      <w:r w:rsidRPr="00FA73F6">
        <w:rPr>
          <w:rFonts w:ascii="Cambria" w:hAnsi="Cambria"/>
          <w:sz w:val="16"/>
          <w:szCs w:val="16"/>
          <w:lang w:val="es-ES"/>
        </w:rPr>
        <w:t xml:space="preserve">CIDH. Informe No. 33/14. Caso 12.820. Fondo. Manfred Amrhein y otros. Costa Rica. 4 de abril de 2014. Párr. 217 a 220. </w:t>
      </w:r>
    </w:p>
  </w:footnote>
  <w:footnote w:id="12">
    <w:p w14:paraId="48D30143" w14:textId="77777777" w:rsidR="00CD17F6" w:rsidRPr="00CE3C79" w:rsidRDefault="00CD17F6" w:rsidP="00CD17F6">
      <w:pPr>
        <w:pStyle w:val="FootnoteText"/>
        <w:ind w:firstLine="720"/>
        <w:jc w:val="both"/>
        <w:rPr>
          <w:sz w:val="16"/>
          <w:szCs w:val="16"/>
          <w:lang w:val="es-US"/>
        </w:rPr>
      </w:pPr>
      <w:r w:rsidRPr="00FA73F6">
        <w:rPr>
          <w:rStyle w:val="FootnoteReference"/>
          <w:rFonts w:ascii="Cambria" w:hAnsi="Cambria"/>
          <w:sz w:val="16"/>
          <w:szCs w:val="16"/>
        </w:rPr>
        <w:footnoteRef/>
      </w:r>
      <w:r w:rsidRPr="00735708">
        <w:rPr>
          <w:rFonts w:ascii="Cambria" w:hAnsi="Cambria"/>
          <w:sz w:val="16"/>
          <w:szCs w:val="16"/>
          <w:lang w:val="es-AR"/>
        </w:rPr>
        <w:t xml:space="preserve"> </w:t>
      </w:r>
      <w:r w:rsidRPr="00FA73F6">
        <w:rPr>
          <w:rFonts w:ascii="Cambria" w:hAnsi="Cambria"/>
          <w:bCs/>
          <w:sz w:val="16"/>
          <w:szCs w:val="16"/>
          <w:shd w:val="clear" w:color="auto" w:fill="FFFFFF"/>
          <w:lang w:val="es-ES"/>
        </w:rPr>
        <w:t xml:space="preserve">Corte IDH. </w:t>
      </w:r>
      <w:r w:rsidRPr="00FA73F6">
        <w:rPr>
          <w:rFonts w:ascii="Cambria" w:hAnsi="Cambria"/>
          <w:bCs/>
          <w:i/>
          <w:sz w:val="16"/>
          <w:szCs w:val="16"/>
          <w:shd w:val="clear" w:color="auto" w:fill="FFFFFF"/>
          <w:lang w:val="es-ES"/>
        </w:rPr>
        <w:t>Caso Amrhein y otros Vs. Costa Rica</w:t>
      </w:r>
      <w:r w:rsidRPr="00FA73F6">
        <w:rPr>
          <w:rFonts w:ascii="Cambria" w:hAnsi="Cambria"/>
          <w:bCs/>
          <w:sz w:val="16"/>
          <w:szCs w:val="16"/>
          <w:shd w:val="clear" w:color="auto" w:fill="FFFFFF"/>
          <w:lang w:val="es-ES"/>
        </w:rPr>
        <w:t xml:space="preserve">. Excepciones Preliminares, Fondo, Reparaciones y Costas. </w:t>
      </w:r>
      <w:r w:rsidRPr="00CE3C79">
        <w:rPr>
          <w:rFonts w:ascii="Cambria" w:hAnsi="Cambria"/>
          <w:bCs/>
          <w:sz w:val="16"/>
          <w:szCs w:val="16"/>
          <w:shd w:val="clear" w:color="auto" w:fill="FFFFFF"/>
          <w:lang w:val="es-US"/>
        </w:rPr>
        <w:t>Sentencia de 25 de abril de 2018. Serie C No. 354. Párr. 260.</w:t>
      </w:r>
    </w:p>
  </w:footnote>
  <w:footnote w:id="13">
    <w:p w14:paraId="61E44440" w14:textId="77777777" w:rsidR="00CD17F6" w:rsidRPr="00C70A03" w:rsidRDefault="00CD17F6" w:rsidP="00CD17F6">
      <w:pPr>
        <w:pStyle w:val="FootnoteText"/>
        <w:ind w:firstLine="720"/>
        <w:jc w:val="both"/>
        <w:rPr>
          <w:rFonts w:asciiTheme="majorHAnsi" w:hAnsiTheme="majorHAnsi"/>
          <w:color w:val="auto"/>
          <w:sz w:val="16"/>
          <w:szCs w:val="16"/>
          <w:lang w:val="es-US"/>
        </w:rPr>
      </w:pPr>
      <w:r w:rsidRPr="00534D20">
        <w:rPr>
          <w:rStyle w:val="FootnoteReference"/>
          <w:rFonts w:ascii="Cambria" w:hAnsi="Cambria"/>
          <w:sz w:val="16"/>
          <w:szCs w:val="16"/>
          <w:lang w:val="es-ES"/>
        </w:rPr>
        <w:footnoteRef/>
      </w:r>
      <w:r w:rsidRPr="00534D20">
        <w:rPr>
          <w:rFonts w:ascii="Cambria" w:hAnsi="Cambria"/>
          <w:sz w:val="16"/>
          <w:szCs w:val="16"/>
          <w:lang w:val="es-ES"/>
        </w:rPr>
        <w:t xml:space="preserve"> </w:t>
      </w:r>
      <w:r w:rsidRPr="00534D20">
        <w:rPr>
          <w:rFonts w:ascii="Cambria" w:hAnsi="Cambria"/>
          <w:bCs/>
          <w:sz w:val="16"/>
          <w:szCs w:val="16"/>
          <w:shd w:val="clear" w:color="auto" w:fill="FFFFFF"/>
          <w:lang w:val="es-ES"/>
        </w:rPr>
        <w:t xml:space="preserve">Corte IDH. </w:t>
      </w:r>
      <w:r w:rsidRPr="00534D20">
        <w:rPr>
          <w:rFonts w:ascii="Cambria" w:hAnsi="Cambria"/>
          <w:bCs/>
          <w:i/>
          <w:sz w:val="16"/>
          <w:szCs w:val="16"/>
          <w:shd w:val="clear" w:color="auto" w:fill="FFFFFF"/>
          <w:lang w:val="es-ES"/>
        </w:rPr>
        <w:t>Caso Amrhein y otros Vs. Costa Rica</w:t>
      </w:r>
      <w:r w:rsidRPr="00534D20">
        <w:rPr>
          <w:rFonts w:ascii="Cambria" w:hAnsi="Cambria"/>
          <w:bCs/>
          <w:sz w:val="16"/>
          <w:szCs w:val="16"/>
          <w:shd w:val="clear" w:color="auto" w:fill="FFFFFF"/>
          <w:lang w:val="es-ES"/>
        </w:rPr>
        <w:t xml:space="preserve">. Excepciones Preliminares, Fondo, Reparaciones y Costas. Sentencia de 25 de abril de </w:t>
      </w:r>
      <w:r w:rsidRPr="00090967">
        <w:rPr>
          <w:rFonts w:ascii="Cambria" w:hAnsi="Cambria"/>
          <w:bCs/>
          <w:sz w:val="16"/>
          <w:szCs w:val="16"/>
          <w:shd w:val="clear" w:color="auto" w:fill="FFFFFF"/>
          <w:lang w:val="es-ES"/>
        </w:rPr>
        <w:t xml:space="preserve">2018. Serie </w:t>
      </w:r>
      <w:r w:rsidRPr="0013395A">
        <w:rPr>
          <w:rFonts w:asciiTheme="majorHAnsi" w:hAnsiTheme="majorHAnsi"/>
          <w:bCs/>
          <w:sz w:val="16"/>
          <w:szCs w:val="16"/>
          <w:shd w:val="clear" w:color="auto" w:fill="FFFFFF"/>
          <w:lang w:val="es-ES"/>
        </w:rPr>
        <w:t xml:space="preserve">C No. 354. Párr. </w:t>
      </w:r>
      <w:r w:rsidRPr="00C70A03">
        <w:rPr>
          <w:rFonts w:asciiTheme="majorHAnsi" w:hAnsiTheme="majorHAnsi"/>
          <w:bCs/>
          <w:color w:val="auto"/>
          <w:sz w:val="16"/>
          <w:szCs w:val="16"/>
          <w:shd w:val="clear" w:color="auto" w:fill="FFFFFF"/>
          <w:lang w:val="es-ES"/>
        </w:rPr>
        <w:t xml:space="preserve">266. </w:t>
      </w:r>
    </w:p>
  </w:footnote>
  <w:footnote w:id="14">
    <w:p w14:paraId="269B822D" w14:textId="77777777" w:rsidR="00255317" w:rsidRPr="00515E64" w:rsidRDefault="00255317" w:rsidP="00255317">
      <w:pPr>
        <w:pStyle w:val="FootnoteText"/>
        <w:ind w:firstLine="720"/>
        <w:jc w:val="both"/>
        <w:rPr>
          <w:rFonts w:asciiTheme="majorHAnsi" w:hAnsiTheme="majorHAnsi"/>
          <w:sz w:val="16"/>
          <w:szCs w:val="16"/>
          <w:lang w:val="es-US"/>
        </w:rPr>
      </w:pPr>
      <w:r w:rsidRPr="004A71F9">
        <w:rPr>
          <w:rStyle w:val="FootnoteReference"/>
          <w:rFonts w:asciiTheme="majorHAnsi" w:hAnsiTheme="majorHAnsi"/>
          <w:sz w:val="16"/>
          <w:szCs w:val="16"/>
        </w:rPr>
        <w:footnoteRef/>
      </w:r>
      <w:r w:rsidRPr="004A71F9">
        <w:rPr>
          <w:rFonts w:asciiTheme="majorHAnsi" w:hAnsiTheme="majorHAnsi"/>
          <w:sz w:val="16"/>
          <w:szCs w:val="16"/>
          <w:lang w:val="es-US"/>
        </w:rPr>
        <w:t xml:space="preserve"> CIDH, Informe No. 161/17, Petición 29-07. Admisibilidad. </w:t>
      </w:r>
      <w:r w:rsidRPr="00526D2B">
        <w:rPr>
          <w:rFonts w:asciiTheme="majorHAnsi" w:hAnsiTheme="majorHAnsi"/>
          <w:sz w:val="16"/>
          <w:szCs w:val="16"/>
        </w:rPr>
        <w:t xml:space="preserve">Andy Williams Garcés Suárez y familia. </w:t>
      </w:r>
      <w:r w:rsidRPr="00515E64">
        <w:rPr>
          <w:rFonts w:asciiTheme="majorHAnsi" w:hAnsiTheme="majorHAnsi"/>
          <w:sz w:val="16"/>
          <w:szCs w:val="16"/>
          <w:lang w:val="es-US"/>
        </w:rPr>
        <w:t>Perú. 30 de noviembre de 2017, párr. 12.</w:t>
      </w:r>
    </w:p>
  </w:footnote>
  <w:footnote w:id="15">
    <w:p w14:paraId="36DDCB25" w14:textId="77777777" w:rsidR="00255317" w:rsidRPr="00515E64" w:rsidRDefault="00255317" w:rsidP="00255317">
      <w:pPr>
        <w:pStyle w:val="FootnoteText"/>
        <w:ind w:firstLine="720"/>
        <w:jc w:val="both"/>
        <w:rPr>
          <w:rFonts w:asciiTheme="majorHAnsi" w:hAnsiTheme="majorHAnsi"/>
          <w:sz w:val="16"/>
          <w:szCs w:val="16"/>
          <w:lang w:val="es-US"/>
        </w:rPr>
      </w:pPr>
      <w:r w:rsidRPr="00515E64">
        <w:rPr>
          <w:rStyle w:val="FootnoteReference"/>
          <w:rFonts w:asciiTheme="majorHAnsi" w:hAnsiTheme="majorHAnsi"/>
          <w:sz w:val="16"/>
          <w:szCs w:val="16"/>
        </w:rPr>
        <w:footnoteRef/>
      </w:r>
      <w:r w:rsidRPr="00515E64">
        <w:rPr>
          <w:rFonts w:asciiTheme="majorHAnsi" w:hAnsiTheme="majorHAnsi"/>
          <w:sz w:val="16"/>
          <w:szCs w:val="16"/>
          <w:lang w:val="es-US"/>
        </w:rPr>
        <w:t xml:space="preserve"> CIDH, Informe No. 70/04, Petición 667/01, Admisibilidad, Jesús Manuel Naranjo Cárdenas y otros, Jubilados de la empresa</w:t>
      </w:r>
      <w:r>
        <w:rPr>
          <w:rFonts w:asciiTheme="majorHAnsi" w:hAnsiTheme="majorHAnsi"/>
          <w:sz w:val="16"/>
          <w:szCs w:val="16"/>
          <w:lang w:val="es-US"/>
        </w:rPr>
        <w:t xml:space="preserve"> </w:t>
      </w:r>
      <w:r w:rsidRPr="00515E64">
        <w:rPr>
          <w:rFonts w:asciiTheme="majorHAnsi" w:hAnsiTheme="majorHAnsi"/>
          <w:sz w:val="16"/>
          <w:szCs w:val="16"/>
          <w:lang w:val="es-US"/>
        </w:rPr>
        <w:t>venezolana de aviación VIASA. Venezuela, 15 de octubre de 2004, párr. 52.</w:t>
      </w:r>
    </w:p>
  </w:footnote>
  <w:footnote w:id="16">
    <w:p w14:paraId="42297DF8" w14:textId="11309B79" w:rsidR="00B052FD" w:rsidRPr="00BB44E6" w:rsidRDefault="00B052FD" w:rsidP="006F5018">
      <w:pPr>
        <w:pStyle w:val="FootnoteText"/>
        <w:ind w:firstLine="720"/>
        <w:jc w:val="both"/>
        <w:rPr>
          <w:rFonts w:asciiTheme="majorHAnsi" w:hAnsiTheme="majorHAnsi"/>
          <w:sz w:val="16"/>
          <w:szCs w:val="16"/>
          <w:lang w:val="es-PE"/>
        </w:rPr>
      </w:pPr>
      <w:r w:rsidRPr="002D21F1">
        <w:rPr>
          <w:rStyle w:val="FootnoteReference"/>
          <w:rFonts w:asciiTheme="majorHAnsi" w:hAnsiTheme="majorHAnsi"/>
          <w:sz w:val="16"/>
          <w:szCs w:val="16"/>
        </w:rPr>
        <w:footnoteRef/>
      </w:r>
      <w:r w:rsidRPr="002D21F1">
        <w:rPr>
          <w:rFonts w:asciiTheme="majorHAnsi" w:hAnsiTheme="majorHAnsi"/>
          <w:sz w:val="16"/>
          <w:szCs w:val="16"/>
          <w:lang w:val="es-US"/>
        </w:rPr>
        <w:t xml:space="preserve"> </w:t>
      </w:r>
      <w:r w:rsidR="002D21F1" w:rsidRPr="002D21F1">
        <w:rPr>
          <w:rFonts w:asciiTheme="majorHAnsi" w:hAnsiTheme="majorHAnsi"/>
          <w:sz w:val="16"/>
          <w:szCs w:val="16"/>
          <w:lang w:val="es-US"/>
        </w:rPr>
        <w:t xml:space="preserve">Corte IDH. Caso Tzompaxtle Tecpile y otros Vs. México. Excepción Preliminar, Fondo, Reparaciones y Costas. Sentencia de 7 de noviembre de 2022. Serie C No. 470, párr. 102. </w:t>
      </w:r>
    </w:p>
  </w:footnote>
  <w:footnote w:id="17">
    <w:p w14:paraId="32CEF49A" w14:textId="70CE2592" w:rsidR="006C187C" w:rsidRPr="009E48E1" w:rsidRDefault="00520720" w:rsidP="009E48E1">
      <w:pPr>
        <w:pStyle w:val="FootnoteText"/>
        <w:jc w:val="both"/>
        <w:rPr>
          <w:rFonts w:asciiTheme="majorHAnsi" w:hAnsiTheme="majorHAnsi"/>
          <w:sz w:val="16"/>
          <w:szCs w:val="16"/>
          <w:lang w:val="es-US"/>
        </w:rPr>
      </w:pPr>
      <w:r>
        <w:rPr>
          <w:rFonts w:asciiTheme="majorHAnsi" w:hAnsiTheme="majorHAnsi"/>
          <w:sz w:val="16"/>
          <w:szCs w:val="16"/>
          <w:lang w:val="es-US"/>
        </w:rPr>
        <w:tab/>
      </w:r>
      <w:r w:rsidR="006C187C" w:rsidRPr="009E48E1">
        <w:rPr>
          <w:rStyle w:val="FootnoteReference"/>
          <w:rFonts w:asciiTheme="majorHAnsi" w:hAnsiTheme="majorHAnsi"/>
          <w:sz w:val="16"/>
          <w:szCs w:val="16"/>
        </w:rPr>
        <w:footnoteRef/>
      </w:r>
      <w:r w:rsidR="006C187C" w:rsidRPr="009E48E1">
        <w:rPr>
          <w:rFonts w:asciiTheme="majorHAnsi" w:hAnsiTheme="majorHAnsi"/>
          <w:sz w:val="16"/>
          <w:szCs w:val="16"/>
          <w:lang w:val="es-US"/>
        </w:rPr>
        <w:t xml:space="preserve"> </w:t>
      </w:r>
      <w:r w:rsidR="009E48E1" w:rsidRPr="009E48E1">
        <w:rPr>
          <w:rFonts w:asciiTheme="majorHAnsi" w:hAnsiTheme="majorHAnsi"/>
          <w:sz w:val="16"/>
          <w:szCs w:val="16"/>
          <w:lang w:val="es-US"/>
        </w:rPr>
        <w:t>En sentido similar: Corte IDH, Caso de los “Niños de la Calle” (Villagrán Morales y otros) Vs. Guatemala. Fondo. Sentencia de</w:t>
      </w:r>
      <w:r w:rsidR="009E48E1">
        <w:rPr>
          <w:rFonts w:asciiTheme="majorHAnsi" w:hAnsiTheme="majorHAnsi"/>
          <w:sz w:val="16"/>
          <w:szCs w:val="16"/>
          <w:lang w:val="es-US"/>
        </w:rPr>
        <w:t xml:space="preserve"> </w:t>
      </w:r>
      <w:r w:rsidR="009E48E1" w:rsidRPr="009E48E1">
        <w:rPr>
          <w:rFonts w:asciiTheme="majorHAnsi" w:hAnsiTheme="majorHAnsi"/>
          <w:sz w:val="16"/>
          <w:szCs w:val="16"/>
          <w:lang w:val="es-US"/>
        </w:rPr>
        <w:t xml:space="preserve">19 de noviembre de 1999. Serie C No. 63, párr. </w:t>
      </w:r>
      <w:r w:rsidR="009E48E1" w:rsidRPr="00BB44E6">
        <w:rPr>
          <w:rFonts w:asciiTheme="majorHAnsi" w:hAnsiTheme="majorHAnsi"/>
          <w:sz w:val="16"/>
          <w:szCs w:val="16"/>
          <w:lang w:val="es-PE"/>
        </w:rPr>
        <w:t xml:space="preserve">222, Corte IDH, Caso Moya Solís Vs. </w:t>
      </w:r>
      <w:r w:rsidR="009E48E1" w:rsidRPr="009E48E1">
        <w:rPr>
          <w:rFonts w:asciiTheme="majorHAnsi" w:hAnsiTheme="majorHAnsi"/>
          <w:sz w:val="16"/>
          <w:szCs w:val="16"/>
          <w:lang w:val="es-US"/>
        </w:rPr>
        <w:t>Perú. Excepciones Preliminares, Fondo, Reparaciones y</w:t>
      </w:r>
      <w:r w:rsidR="009E48E1">
        <w:rPr>
          <w:rFonts w:asciiTheme="majorHAnsi" w:hAnsiTheme="majorHAnsi"/>
          <w:sz w:val="16"/>
          <w:szCs w:val="16"/>
          <w:lang w:val="es-US"/>
        </w:rPr>
        <w:t xml:space="preserve"> </w:t>
      </w:r>
      <w:r w:rsidR="009E48E1" w:rsidRPr="009E48E1">
        <w:rPr>
          <w:rFonts w:asciiTheme="majorHAnsi" w:hAnsiTheme="majorHAnsi"/>
          <w:sz w:val="16"/>
          <w:szCs w:val="16"/>
          <w:lang w:val="es-US"/>
        </w:rPr>
        <w:t>Costas. Sentencia de 3 de junio de 2021. Serie C No. 425, párr. 28; y Corte IDH, Caso Manuela y otros Vs. El Salvador. Excepciones</w:t>
      </w:r>
      <w:r w:rsidR="009E48E1">
        <w:rPr>
          <w:rFonts w:asciiTheme="majorHAnsi" w:hAnsiTheme="majorHAnsi"/>
          <w:sz w:val="16"/>
          <w:szCs w:val="16"/>
          <w:lang w:val="es-US"/>
        </w:rPr>
        <w:t xml:space="preserve"> </w:t>
      </w:r>
      <w:r w:rsidR="009E48E1" w:rsidRPr="009E48E1">
        <w:rPr>
          <w:rFonts w:asciiTheme="majorHAnsi" w:hAnsiTheme="majorHAnsi"/>
          <w:sz w:val="16"/>
          <w:szCs w:val="16"/>
          <w:lang w:val="es-US"/>
        </w:rPr>
        <w:t>preliminares, Fondo, Reparaciones y Costas. Sentencia de 2 de noviembre de 2021. Serie C No. 441, párr. 147.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66C9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7BA6EB28"/>
    <w:lvl w:ilvl="0" w:tplc="F656F49E">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2215D6"/>
    <w:multiLevelType w:val="hybridMultilevel"/>
    <w:tmpl w:val="25CA0E02"/>
    <w:lvl w:ilvl="0" w:tplc="458ECD9A">
      <w:start w:val="1"/>
      <w:numFmt w:val="decimal"/>
      <w:lvlText w:val="%1."/>
      <w:lvlJc w:val="left"/>
      <w:pPr>
        <w:ind w:left="1440" w:hanging="360"/>
      </w:pPr>
      <w:rPr>
        <w:i w:val="0"/>
        <w:iCs/>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3"/>
  </w:num>
  <w:num w:numId="9" w16cid:durableId="1616525600">
    <w:abstractNumId w:val="52"/>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9"/>
  </w:num>
  <w:num w:numId="13" w16cid:durableId="117527065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2"/>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6"/>
  </w:num>
  <w:num w:numId="53" w16cid:durableId="251017014">
    <w:abstractNumId w:val="0"/>
  </w:num>
  <w:num w:numId="54" w16cid:durableId="2134210098">
    <w:abstractNumId w:val="41"/>
  </w:num>
  <w:num w:numId="55" w16cid:durableId="608663301">
    <w:abstractNumId w:val="42"/>
  </w:num>
  <w:num w:numId="56" w16cid:durableId="255601910">
    <w:abstractNumId w:val="48"/>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3"/>
  </w:num>
  <w:num w:numId="76" w16cid:durableId="1445685242">
    <w:abstractNumId w:val="34"/>
  </w:num>
  <w:num w:numId="77" w16cid:durableId="2049792361">
    <w:abstractNumId w:val="35"/>
  </w:num>
  <w:num w:numId="78" w16cid:durableId="1766075673">
    <w:abstractNumId w:val="36"/>
  </w:num>
  <w:num w:numId="79" w16cid:durableId="1193613694">
    <w:abstractNumId w:val="37"/>
  </w:num>
  <w:num w:numId="80" w16cid:durableId="1731923604">
    <w:abstractNumId w:val="38"/>
  </w:num>
  <w:num w:numId="81" w16cid:durableId="1266036850">
    <w:abstractNumId w:val="39"/>
  </w:num>
  <w:num w:numId="82" w16cid:durableId="1881671385">
    <w:abstractNumId w:val="43"/>
  </w:num>
  <w:num w:numId="83" w16cid:durableId="1301611395">
    <w:abstractNumId w:val="44"/>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2"/>
  </w:num>
  <w:num w:numId="95" w16cid:durableId="1435326325">
    <w:abstractNumId w:val="45"/>
  </w:num>
  <w:num w:numId="96" w16cid:durableId="935866318">
    <w:abstractNumId w:val="57"/>
  </w:num>
  <w:num w:numId="97" w16cid:durableId="2089502159">
    <w:abstractNumId w:val="54"/>
  </w:num>
  <w:num w:numId="98" w16cid:durableId="749347125">
    <w:abstractNumId w:val="49"/>
  </w:num>
  <w:num w:numId="99" w16cid:durableId="456994649">
    <w:abstractNumId w:val="40"/>
  </w:num>
  <w:num w:numId="100" w16cid:durableId="378870339">
    <w:abstractNumId w:val="3"/>
  </w:num>
  <w:num w:numId="101" w16cid:durableId="1289773468">
    <w:abstractNumId w:val="27"/>
  </w:num>
  <w:num w:numId="102" w16cid:durableId="1186287539">
    <w:abstractNumId w:val="51"/>
  </w:num>
  <w:num w:numId="103" w16cid:durableId="1458334191">
    <w:abstractNumId w:val="6"/>
  </w:num>
  <w:num w:numId="104" w16cid:durableId="913318813">
    <w:abstractNumId w:val="66"/>
  </w:num>
  <w:num w:numId="105" w16cid:durableId="589050340">
    <w:abstractNumId w:val="55"/>
  </w:num>
  <w:num w:numId="106" w16cid:durableId="836576904">
    <w:abstractNumId w:val="4"/>
  </w:num>
  <w:num w:numId="107" w16cid:durableId="1173912010">
    <w:abstractNumId w:val="31"/>
  </w:num>
  <w:num w:numId="108" w16cid:durableId="2116440378">
    <w:abstractNumId w:val="14"/>
  </w:num>
  <w:num w:numId="109" w16cid:durableId="1694842942">
    <w:abstractNumId w:val="47"/>
  </w:num>
  <w:num w:numId="110" w16cid:durableId="668145208">
    <w:abstractNumId w:val="3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412"/>
    <w:rsid w:val="00006E1F"/>
    <w:rsid w:val="000070D7"/>
    <w:rsid w:val="000169E1"/>
    <w:rsid w:val="0001788C"/>
    <w:rsid w:val="000337EF"/>
    <w:rsid w:val="00033A10"/>
    <w:rsid w:val="00040C3A"/>
    <w:rsid w:val="000419AD"/>
    <w:rsid w:val="000433C9"/>
    <w:rsid w:val="000560E8"/>
    <w:rsid w:val="00056686"/>
    <w:rsid w:val="0006396F"/>
    <w:rsid w:val="00067EFC"/>
    <w:rsid w:val="000716C5"/>
    <w:rsid w:val="00074DA6"/>
    <w:rsid w:val="00075E23"/>
    <w:rsid w:val="00087200"/>
    <w:rsid w:val="0009344A"/>
    <w:rsid w:val="000A2600"/>
    <w:rsid w:val="000A392E"/>
    <w:rsid w:val="000A575F"/>
    <w:rsid w:val="000B062C"/>
    <w:rsid w:val="000B7BDE"/>
    <w:rsid w:val="000C6B62"/>
    <w:rsid w:val="000D05CB"/>
    <w:rsid w:val="000D10DB"/>
    <w:rsid w:val="000E4267"/>
    <w:rsid w:val="000E5EB5"/>
    <w:rsid w:val="000F35ED"/>
    <w:rsid w:val="000F553A"/>
    <w:rsid w:val="001006EF"/>
    <w:rsid w:val="001056E4"/>
    <w:rsid w:val="00106DC8"/>
    <w:rsid w:val="00107131"/>
    <w:rsid w:val="0010736F"/>
    <w:rsid w:val="001116C1"/>
    <w:rsid w:val="001136AD"/>
    <w:rsid w:val="00113F73"/>
    <w:rsid w:val="00121CC2"/>
    <w:rsid w:val="00131425"/>
    <w:rsid w:val="00133EE5"/>
    <w:rsid w:val="0014698F"/>
    <w:rsid w:val="00147573"/>
    <w:rsid w:val="00153FBA"/>
    <w:rsid w:val="00167A34"/>
    <w:rsid w:val="00174A77"/>
    <w:rsid w:val="00186175"/>
    <w:rsid w:val="001A6EA4"/>
    <w:rsid w:val="001A7870"/>
    <w:rsid w:val="001B3A00"/>
    <w:rsid w:val="001C1B41"/>
    <w:rsid w:val="001C2C15"/>
    <w:rsid w:val="001C3E3B"/>
    <w:rsid w:val="001D65EF"/>
    <w:rsid w:val="001D7945"/>
    <w:rsid w:val="001E1173"/>
    <w:rsid w:val="001E49E7"/>
    <w:rsid w:val="001F5511"/>
    <w:rsid w:val="001F7201"/>
    <w:rsid w:val="0020204D"/>
    <w:rsid w:val="00212F21"/>
    <w:rsid w:val="00223A29"/>
    <w:rsid w:val="002250A3"/>
    <w:rsid w:val="00231123"/>
    <w:rsid w:val="00235217"/>
    <w:rsid w:val="002469D2"/>
    <w:rsid w:val="00246D1F"/>
    <w:rsid w:val="00247403"/>
    <w:rsid w:val="00247542"/>
    <w:rsid w:val="00250DAD"/>
    <w:rsid w:val="002534DA"/>
    <w:rsid w:val="00255317"/>
    <w:rsid w:val="0026020D"/>
    <w:rsid w:val="00266B61"/>
    <w:rsid w:val="0026712A"/>
    <w:rsid w:val="00267436"/>
    <w:rsid w:val="002704DB"/>
    <w:rsid w:val="00276060"/>
    <w:rsid w:val="00282711"/>
    <w:rsid w:val="002866C1"/>
    <w:rsid w:val="002900B6"/>
    <w:rsid w:val="00291293"/>
    <w:rsid w:val="002956AC"/>
    <w:rsid w:val="002A0AAE"/>
    <w:rsid w:val="002A5820"/>
    <w:rsid w:val="002B1886"/>
    <w:rsid w:val="002B1ACC"/>
    <w:rsid w:val="002B2AB9"/>
    <w:rsid w:val="002B4563"/>
    <w:rsid w:val="002C4C7F"/>
    <w:rsid w:val="002D21F1"/>
    <w:rsid w:val="002D2B26"/>
    <w:rsid w:val="002D7EA2"/>
    <w:rsid w:val="002E187C"/>
    <w:rsid w:val="002E2EBB"/>
    <w:rsid w:val="002E3D1B"/>
    <w:rsid w:val="002E5381"/>
    <w:rsid w:val="002F1096"/>
    <w:rsid w:val="002F1716"/>
    <w:rsid w:val="002F414A"/>
    <w:rsid w:val="00302733"/>
    <w:rsid w:val="00303948"/>
    <w:rsid w:val="00303CD0"/>
    <w:rsid w:val="00311D9E"/>
    <w:rsid w:val="00314078"/>
    <w:rsid w:val="0031535D"/>
    <w:rsid w:val="003239B8"/>
    <w:rsid w:val="00327F52"/>
    <w:rsid w:val="00331632"/>
    <w:rsid w:val="0033169F"/>
    <w:rsid w:val="003328B5"/>
    <w:rsid w:val="00333C0E"/>
    <w:rsid w:val="00344977"/>
    <w:rsid w:val="00346C95"/>
    <w:rsid w:val="00356185"/>
    <w:rsid w:val="00360380"/>
    <w:rsid w:val="00371F31"/>
    <w:rsid w:val="0037519E"/>
    <w:rsid w:val="003770EE"/>
    <w:rsid w:val="00377313"/>
    <w:rsid w:val="003855D2"/>
    <w:rsid w:val="00385E02"/>
    <w:rsid w:val="00386CF0"/>
    <w:rsid w:val="003904D5"/>
    <w:rsid w:val="003A2583"/>
    <w:rsid w:val="003A5F8F"/>
    <w:rsid w:val="003B0026"/>
    <w:rsid w:val="003B70FB"/>
    <w:rsid w:val="003C48AF"/>
    <w:rsid w:val="003C676B"/>
    <w:rsid w:val="003D3BC2"/>
    <w:rsid w:val="003E6CA1"/>
    <w:rsid w:val="003E74F8"/>
    <w:rsid w:val="003F12C0"/>
    <w:rsid w:val="003F63AD"/>
    <w:rsid w:val="003F7BBE"/>
    <w:rsid w:val="00405F9C"/>
    <w:rsid w:val="004065A8"/>
    <w:rsid w:val="004165C2"/>
    <w:rsid w:val="00425529"/>
    <w:rsid w:val="00433864"/>
    <w:rsid w:val="00441524"/>
    <w:rsid w:val="00441E0D"/>
    <w:rsid w:val="00441ECB"/>
    <w:rsid w:val="004445EF"/>
    <w:rsid w:val="00445193"/>
    <w:rsid w:val="0046105F"/>
    <w:rsid w:val="004621CB"/>
    <w:rsid w:val="00462C1B"/>
    <w:rsid w:val="00465CCE"/>
    <w:rsid w:val="00467B7E"/>
    <w:rsid w:val="00472E35"/>
    <w:rsid w:val="00473BB4"/>
    <w:rsid w:val="00477592"/>
    <w:rsid w:val="00486F1C"/>
    <w:rsid w:val="0048719B"/>
    <w:rsid w:val="0049419D"/>
    <w:rsid w:val="004A0CC6"/>
    <w:rsid w:val="004A5246"/>
    <w:rsid w:val="004A6A54"/>
    <w:rsid w:val="004B6C88"/>
    <w:rsid w:val="004C11FC"/>
    <w:rsid w:val="004C20D2"/>
    <w:rsid w:val="004C2312"/>
    <w:rsid w:val="004C2E3B"/>
    <w:rsid w:val="004C4B62"/>
    <w:rsid w:val="004C54C9"/>
    <w:rsid w:val="004D4ABA"/>
    <w:rsid w:val="004D6025"/>
    <w:rsid w:val="004E0AD5"/>
    <w:rsid w:val="004E2649"/>
    <w:rsid w:val="004F23B8"/>
    <w:rsid w:val="004F626F"/>
    <w:rsid w:val="00501399"/>
    <w:rsid w:val="0050496D"/>
    <w:rsid w:val="0050633D"/>
    <w:rsid w:val="00507BC4"/>
    <w:rsid w:val="005128E4"/>
    <w:rsid w:val="005133DB"/>
    <w:rsid w:val="00514504"/>
    <w:rsid w:val="00516926"/>
    <w:rsid w:val="00520720"/>
    <w:rsid w:val="00522C3B"/>
    <w:rsid w:val="00525560"/>
    <w:rsid w:val="00526D2B"/>
    <w:rsid w:val="00544C49"/>
    <w:rsid w:val="00546BED"/>
    <w:rsid w:val="0055061C"/>
    <w:rsid w:val="005516A1"/>
    <w:rsid w:val="005559EF"/>
    <w:rsid w:val="00555EBC"/>
    <w:rsid w:val="005564B7"/>
    <w:rsid w:val="00563557"/>
    <w:rsid w:val="00567299"/>
    <w:rsid w:val="00570CA2"/>
    <w:rsid w:val="0057225B"/>
    <w:rsid w:val="0057402A"/>
    <w:rsid w:val="005771D0"/>
    <w:rsid w:val="0058071F"/>
    <w:rsid w:val="00585654"/>
    <w:rsid w:val="0059191A"/>
    <w:rsid w:val="005921FF"/>
    <w:rsid w:val="00596F59"/>
    <w:rsid w:val="005A24ED"/>
    <w:rsid w:val="005A254F"/>
    <w:rsid w:val="005A6D0E"/>
    <w:rsid w:val="005B52B0"/>
    <w:rsid w:val="005B5319"/>
    <w:rsid w:val="005B6806"/>
    <w:rsid w:val="005C4225"/>
    <w:rsid w:val="005D38F9"/>
    <w:rsid w:val="005F0DAD"/>
    <w:rsid w:val="005F0F33"/>
    <w:rsid w:val="005F1B57"/>
    <w:rsid w:val="005F327D"/>
    <w:rsid w:val="005F3473"/>
    <w:rsid w:val="005F6BF4"/>
    <w:rsid w:val="006004C1"/>
    <w:rsid w:val="00600DEB"/>
    <w:rsid w:val="00607C44"/>
    <w:rsid w:val="0061609D"/>
    <w:rsid w:val="006247E3"/>
    <w:rsid w:val="00624ABA"/>
    <w:rsid w:val="006266AB"/>
    <w:rsid w:val="00626DC4"/>
    <w:rsid w:val="00627C9F"/>
    <w:rsid w:val="006311E9"/>
    <w:rsid w:val="00632354"/>
    <w:rsid w:val="00635421"/>
    <w:rsid w:val="00642810"/>
    <w:rsid w:val="00652333"/>
    <w:rsid w:val="00666CC8"/>
    <w:rsid w:val="006671FF"/>
    <w:rsid w:val="00672AA1"/>
    <w:rsid w:val="00676AEE"/>
    <w:rsid w:val="0068009E"/>
    <w:rsid w:val="00682D85"/>
    <w:rsid w:val="0068324E"/>
    <w:rsid w:val="00692219"/>
    <w:rsid w:val="00692D84"/>
    <w:rsid w:val="00697893"/>
    <w:rsid w:val="006A17D2"/>
    <w:rsid w:val="006A3CB8"/>
    <w:rsid w:val="006A6369"/>
    <w:rsid w:val="006A650B"/>
    <w:rsid w:val="006A73E6"/>
    <w:rsid w:val="006B0AE2"/>
    <w:rsid w:val="006B2D5C"/>
    <w:rsid w:val="006C0D4C"/>
    <w:rsid w:val="006C187C"/>
    <w:rsid w:val="006C4877"/>
    <w:rsid w:val="006C4EB1"/>
    <w:rsid w:val="006D1946"/>
    <w:rsid w:val="006D5B19"/>
    <w:rsid w:val="006E0166"/>
    <w:rsid w:val="006E2FFB"/>
    <w:rsid w:val="006E4C90"/>
    <w:rsid w:val="006E5CB9"/>
    <w:rsid w:val="006E6144"/>
    <w:rsid w:val="006E7B34"/>
    <w:rsid w:val="006F2C73"/>
    <w:rsid w:val="006F3857"/>
    <w:rsid w:val="006F45AE"/>
    <w:rsid w:val="006F5018"/>
    <w:rsid w:val="007067B6"/>
    <w:rsid w:val="007068EB"/>
    <w:rsid w:val="0070697F"/>
    <w:rsid w:val="0072199C"/>
    <w:rsid w:val="007219D6"/>
    <w:rsid w:val="00722C9F"/>
    <w:rsid w:val="007253B8"/>
    <w:rsid w:val="00732CBA"/>
    <w:rsid w:val="0073741F"/>
    <w:rsid w:val="007410F1"/>
    <w:rsid w:val="0074442B"/>
    <w:rsid w:val="00746E82"/>
    <w:rsid w:val="007517AF"/>
    <w:rsid w:val="00752A52"/>
    <w:rsid w:val="00761282"/>
    <w:rsid w:val="0076643F"/>
    <w:rsid w:val="007705D7"/>
    <w:rsid w:val="007714AC"/>
    <w:rsid w:val="0077349A"/>
    <w:rsid w:val="007775C5"/>
    <w:rsid w:val="00777C1F"/>
    <w:rsid w:val="00777F63"/>
    <w:rsid w:val="00784A6D"/>
    <w:rsid w:val="00790210"/>
    <w:rsid w:val="00791760"/>
    <w:rsid w:val="00791949"/>
    <w:rsid w:val="007A1C02"/>
    <w:rsid w:val="007A3237"/>
    <w:rsid w:val="007A5817"/>
    <w:rsid w:val="007B05C4"/>
    <w:rsid w:val="007B4B33"/>
    <w:rsid w:val="007B60E9"/>
    <w:rsid w:val="007B6CC3"/>
    <w:rsid w:val="007B76D3"/>
    <w:rsid w:val="007C1952"/>
    <w:rsid w:val="007C3334"/>
    <w:rsid w:val="007D2B98"/>
    <w:rsid w:val="007E06B1"/>
    <w:rsid w:val="007E21BC"/>
    <w:rsid w:val="007E3F0D"/>
    <w:rsid w:val="007E7C82"/>
    <w:rsid w:val="007F2AA1"/>
    <w:rsid w:val="007F588D"/>
    <w:rsid w:val="00803F1C"/>
    <w:rsid w:val="0080600E"/>
    <w:rsid w:val="00806934"/>
    <w:rsid w:val="00814688"/>
    <w:rsid w:val="00817612"/>
    <w:rsid w:val="00817D5C"/>
    <w:rsid w:val="008220E8"/>
    <w:rsid w:val="008244BD"/>
    <w:rsid w:val="00826661"/>
    <w:rsid w:val="008338A4"/>
    <w:rsid w:val="00834D49"/>
    <w:rsid w:val="008359DB"/>
    <w:rsid w:val="00836F55"/>
    <w:rsid w:val="00837C45"/>
    <w:rsid w:val="00840D88"/>
    <w:rsid w:val="008439E2"/>
    <w:rsid w:val="00844730"/>
    <w:rsid w:val="008457C2"/>
    <w:rsid w:val="008462EE"/>
    <w:rsid w:val="008547C3"/>
    <w:rsid w:val="00857A82"/>
    <w:rsid w:val="00867314"/>
    <w:rsid w:val="00873836"/>
    <w:rsid w:val="00873D33"/>
    <w:rsid w:val="0087414F"/>
    <w:rsid w:val="00875668"/>
    <w:rsid w:val="008757EB"/>
    <w:rsid w:val="00885737"/>
    <w:rsid w:val="00890650"/>
    <w:rsid w:val="00897E12"/>
    <w:rsid w:val="008A1119"/>
    <w:rsid w:val="008A3E05"/>
    <w:rsid w:val="008A7E0F"/>
    <w:rsid w:val="008B12F5"/>
    <w:rsid w:val="008B25B6"/>
    <w:rsid w:val="008C2988"/>
    <w:rsid w:val="008C5E2D"/>
    <w:rsid w:val="008D03E9"/>
    <w:rsid w:val="008D768D"/>
    <w:rsid w:val="008E3587"/>
    <w:rsid w:val="008E3759"/>
    <w:rsid w:val="008E3BFE"/>
    <w:rsid w:val="008F1912"/>
    <w:rsid w:val="008F6714"/>
    <w:rsid w:val="0090270B"/>
    <w:rsid w:val="00903334"/>
    <w:rsid w:val="009041DC"/>
    <w:rsid w:val="0091422B"/>
    <w:rsid w:val="00916F4B"/>
    <w:rsid w:val="00917B5A"/>
    <w:rsid w:val="00920A58"/>
    <w:rsid w:val="00920A8C"/>
    <w:rsid w:val="00933562"/>
    <w:rsid w:val="00934A2C"/>
    <w:rsid w:val="00935053"/>
    <w:rsid w:val="0095542E"/>
    <w:rsid w:val="00960011"/>
    <w:rsid w:val="009630A1"/>
    <w:rsid w:val="0096317E"/>
    <w:rsid w:val="0096351A"/>
    <w:rsid w:val="00963662"/>
    <w:rsid w:val="00966C93"/>
    <w:rsid w:val="0096706E"/>
    <w:rsid w:val="00974491"/>
    <w:rsid w:val="00974946"/>
    <w:rsid w:val="00975C4E"/>
    <w:rsid w:val="009812D1"/>
    <w:rsid w:val="00981FBA"/>
    <w:rsid w:val="0098350E"/>
    <w:rsid w:val="00985B21"/>
    <w:rsid w:val="00986594"/>
    <w:rsid w:val="00997BC5"/>
    <w:rsid w:val="009A0667"/>
    <w:rsid w:val="009A12E3"/>
    <w:rsid w:val="009A4F41"/>
    <w:rsid w:val="009B381B"/>
    <w:rsid w:val="009B5DC0"/>
    <w:rsid w:val="009B6732"/>
    <w:rsid w:val="009C17C5"/>
    <w:rsid w:val="009C54C8"/>
    <w:rsid w:val="009D1753"/>
    <w:rsid w:val="009D3BF1"/>
    <w:rsid w:val="009D7611"/>
    <w:rsid w:val="009E0B61"/>
    <w:rsid w:val="009E2847"/>
    <w:rsid w:val="009E48E1"/>
    <w:rsid w:val="009E53DE"/>
    <w:rsid w:val="009F5CE2"/>
    <w:rsid w:val="00A00331"/>
    <w:rsid w:val="00A014D9"/>
    <w:rsid w:val="00A04342"/>
    <w:rsid w:val="00A078BC"/>
    <w:rsid w:val="00A10DAF"/>
    <w:rsid w:val="00A11212"/>
    <w:rsid w:val="00A11E44"/>
    <w:rsid w:val="00A23907"/>
    <w:rsid w:val="00A2762A"/>
    <w:rsid w:val="00A27FDD"/>
    <w:rsid w:val="00A30100"/>
    <w:rsid w:val="00A328B3"/>
    <w:rsid w:val="00A35E08"/>
    <w:rsid w:val="00A365A3"/>
    <w:rsid w:val="00A46B4E"/>
    <w:rsid w:val="00A47ED2"/>
    <w:rsid w:val="00A50FCF"/>
    <w:rsid w:val="00A528D1"/>
    <w:rsid w:val="00A534E3"/>
    <w:rsid w:val="00A610CD"/>
    <w:rsid w:val="00A758AA"/>
    <w:rsid w:val="00A7663C"/>
    <w:rsid w:val="00A77BF5"/>
    <w:rsid w:val="00A856F6"/>
    <w:rsid w:val="00AA09A2"/>
    <w:rsid w:val="00AA7996"/>
    <w:rsid w:val="00AB1464"/>
    <w:rsid w:val="00AB340D"/>
    <w:rsid w:val="00AC19CB"/>
    <w:rsid w:val="00AC1C04"/>
    <w:rsid w:val="00AC67AF"/>
    <w:rsid w:val="00AD2910"/>
    <w:rsid w:val="00AE043C"/>
    <w:rsid w:val="00AE255F"/>
    <w:rsid w:val="00AE4607"/>
    <w:rsid w:val="00AE5488"/>
    <w:rsid w:val="00AE6F91"/>
    <w:rsid w:val="00AF1D78"/>
    <w:rsid w:val="00AF5571"/>
    <w:rsid w:val="00AF620C"/>
    <w:rsid w:val="00B052FD"/>
    <w:rsid w:val="00B07341"/>
    <w:rsid w:val="00B075CC"/>
    <w:rsid w:val="00B1545F"/>
    <w:rsid w:val="00B21C69"/>
    <w:rsid w:val="00B30539"/>
    <w:rsid w:val="00B314A1"/>
    <w:rsid w:val="00B314DB"/>
    <w:rsid w:val="00B343AD"/>
    <w:rsid w:val="00B361F2"/>
    <w:rsid w:val="00B3718B"/>
    <w:rsid w:val="00B3745F"/>
    <w:rsid w:val="00B4632A"/>
    <w:rsid w:val="00B472EC"/>
    <w:rsid w:val="00B530F1"/>
    <w:rsid w:val="00B5490A"/>
    <w:rsid w:val="00B67DB0"/>
    <w:rsid w:val="00B774AF"/>
    <w:rsid w:val="00B82BD2"/>
    <w:rsid w:val="00BA0B5C"/>
    <w:rsid w:val="00BA0C51"/>
    <w:rsid w:val="00BA237E"/>
    <w:rsid w:val="00BA276C"/>
    <w:rsid w:val="00BB2BDA"/>
    <w:rsid w:val="00BB306F"/>
    <w:rsid w:val="00BB44E6"/>
    <w:rsid w:val="00BB527E"/>
    <w:rsid w:val="00BC39C5"/>
    <w:rsid w:val="00BC563B"/>
    <w:rsid w:val="00BD46CB"/>
    <w:rsid w:val="00BD4B89"/>
    <w:rsid w:val="00BD5922"/>
    <w:rsid w:val="00BD69DF"/>
    <w:rsid w:val="00BD78F5"/>
    <w:rsid w:val="00BF02CB"/>
    <w:rsid w:val="00BF49DD"/>
    <w:rsid w:val="00BF668E"/>
    <w:rsid w:val="00BF6FD8"/>
    <w:rsid w:val="00C02F63"/>
    <w:rsid w:val="00C03680"/>
    <w:rsid w:val="00C054DF"/>
    <w:rsid w:val="00C133B9"/>
    <w:rsid w:val="00C13AB2"/>
    <w:rsid w:val="00C20721"/>
    <w:rsid w:val="00C21762"/>
    <w:rsid w:val="00C21FEF"/>
    <w:rsid w:val="00C23BA4"/>
    <w:rsid w:val="00C24543"/>
    <w:rsid w:val="00C256A2"/>
    <w:rsid w:val="00C25ADB"/>
    <w:rsid w:val="00C27964"/>
    <w:rsid w:val="00C37043"/>
    <w:rsid w:val="00C37182"/>
    <w:rsid w:val="00C4761A"/>
    <w:rsid w:val="00C51515"/>
    <w:rsid w:val="00C53B75"/>
    <w:rsid w:val="00C5660B"/>
    <w:rsid w:val="00C56FF8"/>
    <w:rsid w:val="00C6033E"/>
    <w:rsid w:val="00C640C5"/>
    <w:rsid w:val="00C66B72"/>
    <w:rsid w:val="00C7096A"/>
    <w:rsid w:val="00C741C1"/>
    <w:rsid w:val="00C74333"/>
    <w:rsid w:val="00C87AC4"/>
    <w:rsid w:val="00C90A8C"/>
    <w:rsid w:val="00C9230A"/>
    <w:rsid w:val="00C9398F"/>
    <w:rsid w:val="00C93E9A"/>
    <w:rsid w:val="00C9567A"/>
    <w:rsid w:val="00C95E53"/>
    <w:rsid w:val="00CB212D"/>
    <w:rsid w:val="00CB2660"/>
    <w:rsid w:val="00CB77D5"/>
    <w:rsid w:val="00CC576F"/>
    <w:rsid w:val="00CC5E90"/>
    <w:rsid w:val="00CD046C"/>
    <w:rsid w:val="00CD17F6"/>
    <w:rsid w:val="00CD4E1F"/>
    <w:rsid w:val="00CE076C"/>
    <w:rsid w:val="00CE13B3"/>
    <w:rsid w:val="00CE5199"/>
    <w:rsid w:val="00CE66D5"/>
    <w:rsid w:val="00CF00D9"/>
    <w:rsid w:val="00CF192A"/>
    <w:rsid w:val="00CF637A"/>
    <w:rsid w:val="00CF6971"/>
    <w:rsid w:val="00D00DB2"/>
    <w:rsid w:val="00D04AF6"/>
    <w:rsid w:val="00D059DE"/>
    <w:rsid w:val="00D05ABD"/>
    <w:rsid w:val="00D13FCE"/>
    <w:rsid w:val="00D154D8"/>
    <w:rsid w:val="00D239F0"/>
    <w:rsid w:val="00D2705D"/>
    <w:rsid w:val="00D306D1"/>
    <w:rsid w:val="00D30800"/>
    <w:rsid w:val="00D34786"/>
    <w:rsid w:val="00D34C55"/>
    <w:rsid w:val="00D37340"/>
    <w:rsid w:val="00D37BFC"/>
    <w:rsid w:val="00D47A8E"/>
    <w:rsid w:val="00D50C3A"/>
    <w:rsid w:val="00D52D14"/>
    <w:rsid w:val="00D55E0D"/>
    <w:rsid w:val="00D600AA"/>
    <w:rsid w:val="00D64022"/>
    <w:rsid w:val="00D712D3"/>
    <w:rsid w:val="00D713C9"/>
    <w:rsid w:val="00D71422"/>
    <w:rsid w:val="00D72DC6"/>
    <w:rsid w:val="00D7558D"/>
    <w:rsid w:val="00D81D92"/>
    <w:rsid w:val="00D84C59"/>
    <w:rsid w:val="00D850DE"/>
    <w:rsid w:val="00D876F9"/>
    <w:rsid w:val="00D90A07"/>
    <w:rsid w:val="00D96818"/>
    <w:rsid w:val="00D97F4C"/>
    <w:rsid w:val="00DA7B5F"/>
    <w:rsid w:val="00DC11E7"/>
    <w:rsid w:val="00DC24E3"/>
    <w:rsid w:val="00DC64EA"/>
    <w:rsid w:val="00DC7023"/>
    <w:rsid w:val="00DC769A"/>
    <w:rsid w:val="00DD3D86"/>
    <w:rsid w:val="00DD4AD2"/>
    <w:rsid w:val="00DD5158"/>
    <w:rsid w:val="00DD71BE"/>
    <w:rsid w:val="00DF142E"/>
    <w:rsid w:val="00DF1EC4"/>
    <w:rsid w:val="00E0340B"/>
    <w:rsid w:val="00E04A90"/>
    <w:rsid w:val="00E0551F"/>
    <w:rsid w:val="00E14045"/>
    <w:rsid w:val="00E15B4A"/>
    <w:rsid w:val="00E219C7"/>
    <w:rsid w:val="00E22E9B"/>
    <w:rsid w:val="00E34925"/>
    <w:rsid w:val="00E4118C"/>
    <w:rsid w:val="00E43157"/>
    <w:rsid w:val="00E44BB5"/>
    <w:rsid w:val="00E461CE"/>
    <w:rsid w:val="00E47ABE"/>
    <w:rsid w:val="00E573E4"/>
    <w:rsid w:val="00E6378C"/>
    <w:rsid w:val="00E64C3D"/>
    <w:rsid w:val="00E720CA"/>
    <w:rsid w:val="00E758EA"/>
    <w:rsid w:val="00E7643E"/>
    <w:rsid w:val="00E82DDC"/>
    <w:rsid w:val="00E84EB5"/>
    <w:rsid w:val="00E85662"/>
    <w:rsid w:val="00E8789F"/>
    <w:rsid w:val="00E920AA"/>
    <w:rsid w:val="00E96967"/>
    <w:rsid w:val="00E97B71"/>
    <w:rsid w:val="00EA027C"/>
    <w:rsid w:val="00EA22B2"/>
    <w:rsid w:val="00EA3D34"/>
    <w:rsid w:val="00EA539C"/>
    <w:rsid w:val="00EB454D"/>
    <w:rsid w:val="00EC1E9F"/>
    <w:rsid w:val="00ED0415"/>
    <w:rsid w:val="00ED2E67"/>
    <w:rsid w:val="00ED36EA"/>
    <w:rsid w:val="00ED549D"/>
    <w:rsid w:val="00ED7651"/>
    <w:rsid w:val="00ED76BE"/>
    <w:rsid w:val="00EE00E9"/>
    <w:rsid w:val="00EE52E2"/>
    <w:rsid w:val="00EF1AAA"/>
    <w:rsid w:val="00EF238C"/>
    <w:rsid w:val="00EF619B"/>
    <w:rsid w:val="00F00B55"/>
    <w:rsid w:val="00F02AD1"/>
    <w:rsid w:val="00F14AFA"/>
    <w:rsid w:val="00F17B83"/>
    <w:rsid w:val="00F24B14"/>
    <w:rsid w:val="00F253CC"/>
    <w:rsid w:val="00F347FB"/>
    <w:rsid w:val="00F348FD"/>
    <w:rsid w:val="00F37106"/>
    <w:rsid w:val="00F44E25"/>
    <w:rsid w:val="00F519CF"/>
    <w:rsid w:val="00F55A1F"/>
    <w:rsid w:val="00F56BA5"/>
    <w:rsid w:val="00F57F5D"/>
    <w:rsid w:val="00F60E22"/>
    <w:rsid w:val="00F64B3C"/>
    <w:rsid w:val="00F724F7"/>
    <w:rsid w:val="00F735CB"/>
    <w:rsid w:val="00F737E8"/>
    <w:rsid w:val="00F73D1E"/>
    <w:rsid w:val="00F81395"/>
    <w:rsid w:val="00F81BB8"/>
    <w:rsid w:val="00F8343E"/>
    <w:rsid w:val="00F84E5B"/>
    <w:rsid w:val="00F86F28"/>
    <w:rsid w:val="00F90C64"/>
    <w:rsid w:val="00F917D1"/>
    <w:rsid w:val="00F91D90"/>
    <w:rsid w:val="00F9653B"/>
    <w:rsid w:val="00FA55A6"/>
    <w:rsid w:val="00FB452E"/>
    <w:rsid w:val="00FB557A"/>
    <w:rsid w:val="00FB62CF"/>
    <w:rsid w:val="00FD1C5E"/>
    <w:rsid w:val="00FD2E8A"/>
    <w:rsid w:val="00FD3C3B"/>
    <w:rsid w:val="00FD72A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61609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CD17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CD17F6"/>
    <w:rPr>
      <w:rFonts w:ascii="Cambria" w:eastAsia="Cambria" w:hAnsi="Cambria" w:cs="Cambria"/>
      <w:color w:val="000000"/>
      <w:sz w:val="24"/>
      <w:szCs w:val="24"/>
      <w:u w:color="000000"/>
      <w:lang w:val="en-US"/>
    </w:rPr>
  </w:style>
  <w:style w:type="character" w:styleId="Strong">
    <w:name w:val="Strong"/>
    <w:uiPriority w:val="22"/>
    <w:qFormat/>
    <w:rsid w:val="00C20721"/>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693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F73D1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73D1E"/>
  </w:style>
  <w:style w:type="character" w:customStyle="1" w:styleId="eop">
    <w:name w:val="eop"/>
    <w:basedOn w:val="DefaultParagraphFont"/>
    <w:rsid w:val="00F73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6879"/>
    <w:rsid w:val="00200821"/>
    <w:rsid w:val="00201CE6"/>
    <w:rsid w:val="0025245B"/>
    <w:rsid w:val="002A3923"/>
    <w:rsid w:val="00394049"/>
    <w:rsid w:val="004B5BBB"/>
    <w:rsid w:val="004F2DF8"/>
    <w:rsid w:val="00564E66"/>
    <w:rsid w:val="006971F7"/>
    <w:rsid w:val="006D27A2"/>
    <w:rsid w:val="006F24A1"/>
    <w:rsid w:val="009A261B"/>
    <w:rsid w:val="009C24BA"/>
    <w:rsid w:val="00A4418E"/>
    <w:rsid w:val="00AA2E17"/>
    <w:rsid w:val="00AC15A4"/>
    <w:rsid w:val="00B0336C"/>
    <w:rsid w:val="00B30277"/>
    <w:rsid w:val="00BF436F"/>
    <w:rsid w:val="00D241E9"/>
    <w:rsid w:val="00D7750D"/>
    <w:rsid w:val="00E875FD"/>
    <w:rsid w:val="00F00D2F"/>
    <w:rsid w:val="00F128DF"/>
    <w:rsid w:val="00F261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4390</Words>
  <Characters>25027</Characters>
  <Application>Microsoft Office Word</Application>
  <DocSecurity>0</DocSecurity>
  <Lines>208</Lines>
  <Paragraphs>58</Paragraphs>
  <ScaleCrop>false</ScaleCrop>
  <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2024-01-18T15:36:00Z</dcterms:created>
  <dcterms:modified xsi:type="dcterms:W3CDTF">2024-01-18T15:36:00Z</dcterms:modified>
</cp:coreProperties>
</file>