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D16531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828C6">
                              <w:rPr>
                                <w:rFonts w:asciiTheme="majorHAnsi" w:hAnsiTheme="majorHAnsi" w:cs="Arial"/>
                                <w:b/>
                                <w:bCs/>
                                <w:color w:val="0D0D0D" w:themeColor="text1" w:themeTint="F2"/>
                                <w:sz w:val="36"/>
                                <w:szCs w:val="22"/>
                                <w:lang w:val="es-ES_tradnl"/>
                              </w:rPr>
                              <w:t>351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A7072">
                              <w:rPr>
                                <w:rFonts w:asciiTheme="majorHAnsi" w:hAnsiTheme="majorHAnsi" w:cs="Arial"/>
                                <w:b/>
                                <w:bCs/>
                                <w:color w:val="0D0D0D" w:themeColor="text1" w:themeTint="F2"/>
                                <w:sz w:val="36"/>
                                <w:szCs w:val="22"/>
                                <w:lang w:val="es-ES_tradnl"/>
                              </w:rPr>
                              <w:t>3</w:t>
                            </w:r>
                          </w:p>
                          <w:p w14:paraId="09C54AB3" w14:textId="585AF0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003CC">
                              <w:rPr>
                                <w:rFonts w:asciiTheme="majorHAnsi" w:hAnsiTheme="majorHAnsi" w:cs="Arial"/>
                                <w:b/>
                                <w:color w:val="0D0D0D" w:themeColor="text1" w:themeTint="F2"/>
                                <w:sz w:val="36"/>
                                <w:szCs w:val="22"/>
                                <w:lang w:val="es-ES_tradnl"/>
                              </w:rPr>
                              <w:t>129</w:t>
                            </w:r>
                            <w:r w:rsidR="00246D1F" w:rsidRPr="004E2649">
                              <w:rPr>
                                <w:rFonts w:asciiTheme="majorHAnsi" w:hAnsiTheme="majorHAnsi" w:cs="Arial"/>
                                <w:b/>
                                <w:color w:val="0D0D0D" w:themeColor="text1" w:themeTint="F2"/>
                                <w:sz w:val="36"/>
                                <w:szCs w:val="22"/>
                                <w:lang w:val="es-ES_tradnl"/>
                              </w:rPr>
                              <w:t>-</w:t>
                            </w:r>
                            <w:r w:rsidR="00F003C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1B5A7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79CAB1A" w:rsidR="005B52B0" w:rsidRPr="0010736F" w:rsidRDefault="00F003C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NAIXING WU</w:t>
                            </w:r>
                          </w:p>
                          <w:bookmarkEnd w:id="0"/>
                          <w:p w14:paraId="35068D0D" w14:textId="281B0375" w:rsidR="005B52B0" w:rsidRPr="0010736F" w:rsidRDefault="00F003C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D16531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828C6">
                        <w:rPr>
                          <w:rFonts w:asciiTheme="majorHAnsi" w:hAnsiTheme="majorHAnsi" w:cs="Arial"/>
                          <w:b/>
                          <w:bCs/>
                          <w:color w:val="0D0D0D" w:themeColor="text1" w:themeTint="F2"/>
                          <w:sz w:val="36"/>
                          <w:szCs w:val="22"/>
                          <w:lang w:val="es-ES_tradnl"/>
                        </w:rPr>
                        <w:t>351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A7072">
                        <w:rPr>
                          <w:rFonts w:asciiTheme="majorHAnsi" w:hAnsiTheme="majorHAnsi" w:cs="Arial"/>
                          <w:b/>
                          <w:bCs/>
                          <w:color w:val="0D0D0D" w:themeColor="text1" w:themeTint="F2"/>
                          <w:sz w:val="36"/>
                          <w:szCs w:val="22"/>
                          <w:lang w:val="es-ES_tradnl"/>
                        </w:rPr>
                        <w:t>3</w:t>
                      </w:r>
                    </w:p>
                    <w:p w14:paraId="09C54AB3" w14:textId="585AF0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003CC">
                        <w:rPr>
                          <w:rFonts w:asciiTheme="majorHAnsi" w:hAnsiTheme="majorHAnsi" w:cs="Arial"/>
                          <w:b/>
                          <w:color w:val="0D0D0D" w:themeColor="text1" w:themeTint="F2"/>
                          <w:sz w:val="36"/>
                          <w:szCs w:val="22"/>
                          <w:lang w:val="es-ES_tradnl"/>
                        </w:rPr>
                        <w:t>129</w:t>
                      </w:r>
                      <w:r w:rsidR="00246D1F" w:rsidRPr="004E2649">
                        <w:rPr>
                          <w:rFonts w:asciiTheme="majorHAnsi" w:hAnsiTheme="majorHAnsi" w:cs="Arial"/>
                          <w:b/>
                          <w:color w:val="0D0D0D" w:themeColor="text1" w:themeTint="F2"/>
                          <w:sz w:val="36"/>
                          <w:szCs w:val="22"/>
                          <w:lang w:val="es-ES_tradnl"/>
                        </w:rPr>
                        <w:t>-</w:t>
                      </w:r>
                      <w:r w:rsidR="00F003C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1B5A7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79CAB1A" w:rsidR="005B52B0" w:rsidRPr="0010736F" w:rsidRDefault="00F003C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NAIXING WU</w:t>
                      </w:r>
                    </w:p>
                    <w:bookmarkEnd w:id="1"/>
                    <w:p w14:paraId="35068D0D" w14:textId="281B0375" w:rsidR="005B52B0" w:rsidRPr="0010736F" w:rsidRDefault="00F003C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99FECB7" w:rsidR="00627C9F" w:rsidRPr="00BD52F7" w:rsidRDefault="00834D49" w:rsidP="007A5817">
                            <w:pPr>
                              <w:spacing w:line="276" w:lineRule="auto"/>
                              <w:jc w:val="right"/>
                              <w:rPr>
                                <w:rFonts w:asciiTheme="minorHAnsi" w:hAnsiTheme="minorHAnsi"/>
                                <w:color w:val="FFFFFF" w:themeColor="background1"/>
                                <w:sz w:val="22"/>
                                <w:lang w:val="es-AR"/>
                              </w:rPr>
                            </w:pPr>
                            <w:r w:rsidRPr="00BD52F7">
                              <w:rPr>
                                <w:rFonts w:asciiTheme="minorHAnsi" w:hAnsiTheme="minorHAnsi"/>
                                <w:color w:val="FFFFFF" w:themeColor="background1"/>
                                <w:sz w:val="22"/>
                                <w:lang w:val="es-AR"/>
                              </w:rPr>
                              <w:t>OEA/Ser.L/V/II</w:t>
                            </w:r>
                          </w:p>
                          <w:p w14:paraId="6A41611B" w14:textId="5F68E997" w:rsidR="00627C9F" w:rsidRPr="00BD52F7" w:rsidRDefault="00627C9F" w:rsidP="007A5817">
                            <w:pPr>
                              <w:spacing w:line="276" w:lineRule="auto"/>
                              <w:jc w:val="right"/>
                              <w:rPr>
                                <w:rFonts w:asciiTheme="minorHAnsi" w:hAnsiTheme="minorHAnsi"/>
                                <w:color w:val="FFFFFF" w:themeColor="background1"/>
                                <w:sz w:val="22"/>
                                <w:lang w:val="es-AR"/>
                              </w:rPr>
                            </w:pPr>
                            <w:r w:rsidRPr="00BD52F7">
                              <w:rPr>
                                <w:rFonts w:asciiTheme="minorHAnsi" w:hAnsiTheme="minorHAnsi"/>
                                <w:color w:val="FFFFFF" w:themeColor="background1"/>
                                <w:sz w:val="22"/>
                                <w:lang w:val="es-AR"/>
                              </w:rPr>
                              <w:t xml:space="preserve">Doc. </w:t>
                            </w:r>
                            <w:r w:rsidR="008828C6" w:rsidRPr="00BD52F7">
                              <w:rPr>
                                <w:rFonts w:asciiTheme="minorHAnsi" w:hAnsiTheme="minorHAnsi"/>
                                <w:color w:val="FFFFFF" w:themeColor="background1"/>
                                <w:sz w:val="22"/>
                                <w:lang w:val="es-AR"/>
                              </w:rPr>
                              <w:t>378</w:t>
                            </w:r>
                          </w:p>
                          <w:p w14:paraId="69373ED2" w14:textId="5934A168" w:rsidR="00627C9F" w:rsidRPr="00C25ADB" w:rsidRDefault="008828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003C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99FECB7" w:rsidR="00627C9F" w:rsidRPr="00BD52F7" w:rsidRDefault="00834D49" w:rsidP="007A5817">
                      <w:pPr>
                        <w:spacing w:line="276" w:lineRule="auto"/>
                        <w:jc w:val="right"/>
                        <w:rPr>
                          <w:rFonts w:asciiTheme="minorHAnsi" w:hAnsiTheme="minorHAnsi"/>
                          <w:color w:val="FFFFFF" w:themeColor="background1"/>
                          <w:sz w:val="22"/>
                          <w:lang w:val="es-AR"/>
                        </w:rPr>
                      </w:pPr>
                      <w:r w:rsidRPr="00BD52F7">
                        <w:rPr>
                          <w:rFonts w:asciiTheme="minorHAnsi" w:hAnsiTheme="minorHAnsi"/>
                          <w:color w:val="FFFFFF" w:themeColor="background1"/>
                          <w:sz w:val="22"/>
                          <w:lang w:val="es-AR"/>
                        </w:rPr>
                        <w:t>OEA/Ser.L/V/II</w:t>
                      </w:r>
                    </w:p>
                    <w:p w14:paraId="6A41611B" w14:textId="5F68E997" w:rsidR="00627C9F" w:rsidRPr="00BD52F7" w:rsidRDefault="00627C9F" w:rsidP="007A5817">
                      <w:pPr>
                        <w:spacing w:line="276" w:lineRule="auto"/>
                        <w:jc w:val="right"/>
                        <w:rPr>
                          <w:rFonts w:asciiTheme="minorHAnsi" w:hAnsiTheme="minorHAnsi"/>
                          <w:color w:val="FFFFFF" w:themeColor="background1"/>
                          <w:sz w:val="22"/>
                          <w:lang w:val="es-AR"/>
                        </w:rPr>
                      </w:pPr>
                      <w:r w:rsidRPr="00BD52F7">
                        <w:rPr>
                          <w:rFonts w:asciiTheme="minorHAnsi" w:hAnsiTheme="minorHAnsi"/>
                          <w:color w:val="FFFFFF" w:themeColor="background1"/>
                          <w:sz w:val="22"/>
                          <w:lang w:val="es-AR"/>
                        </w:rPr>
                        <w:t xml:space="preserve">Doc. </w:t>
                      </w:r>
                      <w:r w:rsidR="008828C6" w:rsidRPr="00BD52F7">
                        <w:rPr>
                          <w:rFonts w:asciiTheme="minorHAnsi" w:hAnsiTheme="minorHAnsi"/>
                          <w:color w:val="FFFFFF" w:themeColor="background1"/>
                          <w:sz w:val="22"/>
                          <w:lang w:val="es-AR"/>
                        </w:rPr>
                        <w:t>378</w:t>
                      </w:r>
                    </w:p>
                    <w:p w14:paraId="69373ED2" w14:textId="5934A168" w:rsidR="00627C9F" w:rsidRPr="00C25ADB" w:rsidRDefault="008828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003C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9CFD2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66B45">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8828C6">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003CC">
                              <w:rPr>
                                <w:rFonts w:asciiTheme="majorHAnsi" w:hAnsiTheme="majorHAnsi"/>
                                <w:color w:val="0D0D0D" w:themeColor="text1" w:themeTint="F2"/>
                                <w:sz w:val="18"/>
                                <w:szCs w:val="22"/>
                                <w:lang w:val="es-ES"/>
                              </w:rPr>
                              <w:t>3</w:t>
                            </w:r>
                            <w:r w:rsidR="00466B4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9CFD2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66B45">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8828C6">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003CC">
                        <w:rPr>
                          <w:rFonts w:asciiTheme="majorHAnsi" w:hAnsiTheme="majorHAnsi"/>
                          <w:color w:val="0D0D0D" w:themeColor="text1" w:themeTint="F2"/>
                          <w:sz w:val="18"/>
                          <w:szCs w:val="22"/>
                          <w:lang w:val="es-ES"/>
                        </w:rPr>
                        <w:t>3</w:t>
                      </w:r>
                      <w:r w:rsidR="00466B4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40077" w14:textId="77777777" w:rsidR="00466B4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66B45" w:rsidRPr="00466B45">
                              <w:rPr>
                                <w:rFonts w:asciiTheme="majorHAnsi" w:hAnsiTheme="majorHAnsi"/>
                                <w:color w:val="595959" w:themeColor="text1" w:themeTint="A6"/>
                                <w:sz w:val="18"/>
                                <w:szCs w:val="18"/>
                                <w:lang w:val="pt-BR"/>
                              </w:rPr>
                              <w:t>351</w:t>
                            </w:r>
                            <w:r w:rsidR="007B05C4" w:rsidRPr="00466B45">
                              <w:rPr>
                                <w:rFonts w:asciiTheme="majorHAnsi" w:hAnsiTheme="majorHAnsi"/>
                                <w:color w:val="595959" w:themeColor="text1" w:themeTint="A6"/>
                                <w:sz w:val="18"/>
                                <w:szCs w:val="18"/>
                                <w:lang w:val="pt-BR"/>
                              </w:rPr>
                              <w:t>/</w:t>
                            </w:r>
                            <w:r w:rsidR="00466B45" w:rsidRPr="00466B45">
                              <w:rPr>
                                <w:rFonts w:asciiTheme="majorHAnsi" w:hAnsiTheme="majorHAnsi"/>
                                <w:color w:val="595959" w:themeColor="text1" w:themeTint="A6"/>
                                <w:sz w:val="18"/>
                                <w:szCs w:val="18"/>
                                <w:lang w:val="pt-BR"/>
                              </w:rPr>
                              <w:t>23</w:t>
                            </w:r>
                            <w:r w:rsidRPr="00466B4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003CC">
                              <w:rPr>
                                <w:rFonts w:asciiTheme="majorHAnsi" w:hAnsiTheme="majorHAnsi"/>
                                <w:color w:val="595959" w:themeColor="text1" w:themeTint="A6"/>
                                <w:sz w:val="18"/>
                                <w:szCs w:val="18"/>
                                <w:lang w:val="es-ES"/>
                              </w:rPr>
                              <w:t>129</w:t>
                            </w:r>
                            <w:r w:rsidR="000433C9">
                              <w:rPr>
                                <w:rFonts w:asciiTheme="majorHAnsi" w:hAnsiTheme="majorHAnsi"/>
                                <w:color w:val="595959" w:themeColor="text1" w:themeTint="A6"/>
                                <w:sz w:val="18"/>
                                <w:szCs w:val="18"/>
                                <w:lang w:val="es-ES"/>
                              </w:rPr>
                              <w:t>-</w:t>
                            </w:r>
                            <w:r w:rsidR="00F003CC">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F003CC">
                              <w:rPr>
                                <w:rFonts w:asciiTheme="majorHAnsi" w:hAnsiTheme="majorHAnsi"/>
                                <w:color w:val="595959" w:themeColor="text1" w:themeTint="A6"/>
                                <w:sz w:val="18"/>
                                <w:szCs w:val="18"/>
                                <w:lang w:val="es-ES_tradnl"/>
                              </w:rPr>
                              <w:t>Naixing Wu</w:t>
                            </w:r>
                            <w:r w:rsidRPr="00890650">
                              <w:rPr>
                                <w:rFonts w:asciiTheme="majorHAnsi" w:hAnsiTheme="majorHAnsi"/>
                                <w:color w:val="595959" w:themeColor="text1" w:themeTint="A6"/>
                                <w:sz w:val="18"/>
                                <w:szCs w:val="18"/>
                                <w:lang w:val="es-ES_tradnl"/>
                              </w:rPr>
                              <w:t xml:space="preserve">. </w:t>
                            </w:r>
                          </w:p>
                          <w:p w14:paraId="0D1B22CF" w14:textId="33816A44" w:rsidR="00113F73" w:rsidRPr="007B05C4" w:rsidRDefault="00F003C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466B45">
                              <w:rPr>
                                <w:rFonts w:asciiTheme="majorHAnsi" w:hAnsiTheme="majorHAnsi"/>
                                <w:color w:val="595959" w:themeColor="text1" w:themeTint="A6"/>
                                <w:sz w:val="18"/>
                                <w:szCs w:val="18"/>
                                <w:lang w:val="es-ES"/>
                              </w:rPr>
                              <w:t xml:space="preserve">26 de </w:t>
                            </w:r>
                            <w:r w:rsidR="008828C6">
                              <w:rPr>
                                <w:rFonts w:asciiTheme="majorHAnsi" w:hAnsiTheme="majorHAnsi"/>
                                <w:color w:val="595959" w:themeColor="text1" w:themeTint="A6"/>
                                <w:sz w:val="18"/>
                                <w:szCs w:val="18"/>
                                <w:lang w:val="es-ES"/>
                              </w:rPr>
                              <w:t>junio</w:t>
                            </w:r>
                            <w:r w:rsidR="00466B45">
                              <w:rPr>
                                <w:rFonts w:asciiTheme="majorHAnsi" w:hAnsiTheme="majorHAnsi"/>
                                <w:color w:val="595959" w:themeColor="text1" w:themeTint="A6"/>
                                <w:sz w:val="18"/>
                                <w:szCs w:val="18"/>
                                <w:lang w:val="es-ES"/>
                              </w:rPr>
                              <w:t xml:space="preserv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1440077" w14:textId="77777777" w:rsidR="00466B4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66B45" w:rsidRPr="00466B45">
                        <w:rPr>
                          <w:rFonts w:asciiTheme="majorHAnsi" w:hAnsiTheme="majorHAnsi"/>
                          <w:color w:val="595959" w:themeColor="text1" w:themeTint="A6"/>
                          <w:sz w:val="18"/>
                          <w:szCs w:val="18"/>
                          <w:lang w:val="pt-BR"/>
                        </w:rPr>
                        <w:t>351</w:t>
                      </w:r>
                      <w:r w:rsidR="007B05C4" w:rsidRPr="00466B45">
                        <w:rPr>
                          <w:rFonts w:asciiTheme="majorHAnsi" w:hAnsiTheme="majorHAnsi"/>
                          <w:color w:val="595959" w:themeColor="text1" w:themeTint="A6"/>
                          <w:sz w:val="18"/>
                          <w:szCs w:val="18"/>
                          <w:lang w:val="pt-BR"/>
                        </w:rPr>
                        <w:t>/</w:t>
                      </w:r>
                      <w:r w:rsidR="00466B45" w:rsidRPr="00466B45">
                        <w:rPr>
                          <w:rFonts w:asciiTheme="majorHAnsi" w:hAnsiTheme="majorHAnsi"/>
                          <w:color w:val="595959" w:themeColor="text1" w:themeTint="A6"/>
                          <w:sz w:val="18"/>
                          <w:szCs w:val="18"/>
                          <w:lang w:val="pt-BR"/>
                        </w:rPr>
                        <w:t>23</w:t>
                      </w:r>
                      <w:r w:rsidRPr="00466B4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003CC">
                        <w:rPr>
                          <w:rFonts w:asciiTheme="majorHAnsi" w:hAnsiTheme="majorHAnsi"/>
                          <w:color w:val="595959" w:themeColor="text1" w:themeTint="A6"/>
                          <w:sz w:val="18"/>
                          <w:szCs w:val="18"/>
                          <w:lang w:val="es-ES"/>
                        </w:rPr>
                        <w:t>129</w:t>
                      </w:r>
                      <w:r w:rsidR="000433C9">
                        <w:rPr>
                          <w:rFonts w:asciiTheme="majorHAnsi" w:hAnsiTheme="majorHAnsi"/>
                          <w:color w:val="595959" w:themeColor="text1" w:themeTint="A6"/>
                          <w:sz w:val="18"/>
                          <w:szCs w:val="18"/>
                          <w:lang w:val="es-ES"/>
                        </w:rPr>
                        <w:t>-</w:t>
                      </w:r>
                      <w:r w:rsidR="00F003CC">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F003CC">
                        <w:rPr>
                          <w:rFonts w:asciiTheme="majorHAnsi" w:hAnsiTheme="majorHAnsi"/>
                          <w:color w:val="595959" w:themeColor="text1" w:themeTint="A6"/>
                          <w:sz w:val="18"/>
                          <w:szCs w:val="18"/>
                          <w:lang w:val="es-ES_tradnl"/>
                        </w:rPr>
                        <w:t>Naixing Wu</w:t>
                      </w:r>
                      <w:r w:rsidRPr="00890650">
                        <w:rPr>
                          <w:rFonts w:asciiTheme="majorHAnsi" w:hAnsiTheme="majorHAnsi"/>
                          <w:color w:val="595959" w:themeColor="text1" w:themeTint="A6"/>
                          <w:sz w:val="18"/>
                          <w:szCs w:val="18"/>
                          <w:lang w:val="es-ES_tradnl"/>
                        </w:rPr>
                        <w:t xml:space="preserve">. </w:t>
                      </w:r>
                    </w:p>
                    <w:p w14:paraId="0D1B22CF" w14:textId="33816A44" w:rsidR="00113F73" w:rsidRPr="007B05C4" w:rsidRDefault="00F003C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466B45">
                        <w:rPr>
                          <w:rFonts w:asciiTheme="majorHAnsi" w:hAnsiTheme="majorHAnsi"/>
                          <w:color w:val="595959" w:themeColor="text1" w:themeTint="A6"/>
                          <w:sz w:val="18"/>
                          <w:szCs w:val="18"/>
                          <w:lang w:val="es-ES"/>
                        </w:rPr>
                        <w:t xml:space="preserve">26 de </w:t>
                      </w:r>
                      <w:r w:rsidR="008828C6">
                        <w:rPr>
                          <w:rFonts w:asciiTheme="majorHAnsi" w:hAnsiTheme="majorHAnsi"/>
                          <w:color w:val="595959" w:themeColor="text1" w:themeTint="A6"/>
                          <w:sz w:val="18"/>
                          <w:szCs w:val="18"/>
                          <w:lang w:val="es-ES"/>
                        </w:rPr>
                        <w:t>junio</w:t>
                      </w:r>
                      <w:r w:rsidR="00466B45">
                        <w:rPr>
                          <w:rFonts w:asciiTheme="majorHAnsi" w:hAnsiTheme="majorHAnsi"/>
                          <w:color w:val="595959" w:themeColor="text1" w:themeTint="A6"/>
                          <w:sz w:val="18"/>
                          <w:szCs w:val="18"/>
                          <w:lang w:val="es-ES"/>
                        </w:rPr>
                        <w:t xml:space="preserv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28C6F65" w:rsidR="00D72DC6" w:rsidRPr="00D72DC6" w:rsidRDefault="00466B45" w:rsidP="00F02AD1">
                            <w:pPr>
                              <w:rPr>
                                <w:color w:val="FFFFFF" w:themeColor="background1"/>
                                <w14:textFill>
                                  <w14:noFill/>
                                </w14:textFill>
                              </w:rPr>
                            </w:pPr>
                            <w:r>
                              <w:rPr>
                                <w:noProof/>
                                <w:color w:val="FFFFFF" w:themeColor="background1"/>
                              </w:rPr>
                              <w:drawing>
                                <wp:inline distT="0" distB="0" distL="0" distR="0" wp14:anchorId="209A4052" wp14:editId="58A2605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28C6F65" w:rsidR="00D72DC6" w:rsidRPr="00D72DC6" w:rsidRDefault="00466B45" w:rsidP="00F02AD1">
                      <w:pPr>
                        <w:rPr>
                          <w:color w:val="FFFFFF" w:themeColor="background1"/>
                          <w14:textFill>
                            <w14:noFill/>
                          </w14:textFill>
                        </w:rPr>
                      </w:pPr>
                      <w:r>
                        <w:rPr>
                          <w:noProof/>
                          <w:color w:val="FFFFFF" w:themeColor="background1"/>
                        </w:rPr>
                        <w:drawing>
                          <wp:inline distT="0" distB="0" distL="0" distR="0" wp14:anchorId="209A4052" wp14:editId="58A2605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D52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BBBA92C" w:rsidR="003239B8" w:rsidRPr="00D44860" w:rsidRDefault="00D44860" w:rsidP="008D2290">
            <w:pPr>
              <w:jc w:val="both"/>
              <w:rPr>
                <w:rFonts w:ascii="Cambria" w:hAnsi="Cambria"/>
                <w:bCs/>
                <w:sz w:val="20"/>
                <w:szCs w:val="20"/>
                <w:lang w:val="es-US"/>
              </w:rPr>
            </w:pPr>
            <w:r w:rsidRPr="00D44860">
              <w:rPr>
                <w:rFonts w:ascii="Cambria" w:hAnsi="Cambria"/>
                <w:bCs/>
                <w:sz w:val="20"/>
                <w:szCs w:val="20"/>
                <w:lang w:val="es-US"/>
              </w:rPr>
              <w:t>Rafael Antonio Rojas Madrigal y Summy Wu Molina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B639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5FC1F85" w:rsidR="003239B8" w:rsidRPr="000D05CB" w:rsidRDefault="00F003CC" w:rsidP="008D2290">
            <w:pPr>
              <w:jc w:val="both"/>
              <w:rPr>
                <w:rFonts w:ascii="Cambria" w:hAnsi="Cambria"/>
                <w:bCs/>
                <w:sz w:val="20"/>
                <w:szCs w:val="20"/>
                <w:lang w:val="es-ES"/>
              </w:rPr>
            </w:pPr>
            <w:r>
              <w:rPr>
                <w:rFonts w:ascii="Cambria" w:hAnsi="Cambria"/>
                <w:bCs/>
                <w:sz w:val="20"/>
                <w:szCs w:val="20"/>
                <w:lang w:val="es-ES"/>
              </w:rPr>
              <w:t>Naixing Wu</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D664BE2" w:rsidR="003239B8" w:rsidRPr="000D05CB" w:rsidRDefault="00F003CC" w:rsidP="008D2290">
            <w:pPr>
              <w:jc w:val="both"/>
              <w:rPr>
                <w:rFonts w:ascii="Cambria" w:hAnsi="Cambria"/>
                <w:bCs/>
                <w:sz w:val="20"/>
                <w:szCs w:val="20"/>
              </w:rPr>
            </w:pPr>
            <w:r>
              <w:rPr>
                <w:rFonts w:ascii="Cambria" w:hAnsi="Cambria"/>
                <w:bCs/>
                <w:sz w:val="20"/>
                <w:szCs w:val="20"/>
              </w:rPr>
              <w:t>Costa Rica</w:t>
            </w:r>
          </w:p>
        </w:tc>
      </w:tr>
      <w:tr w:rsidR="00223A29" w:rsidRPr="00BD52F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D2AF415" w:rsidR="00223A29" w:rsidRPr="00837017" w:rsidRDefault="00837017" w:rsidP="008D2290">
            <w:pPr>
              <w:jc w:val="both"/>
              <w:rPr>
                <w:rFonts w:ascii="Cambria" w:hAnsi="Cambria"/>
                <w:bCs/>
                <w:sz w:val="20"/>
                <w:szCs w:val="20"/>
                <w:lang w:val="es-US"/>
              </w:rPr>
            </w:pPr>
            <w:r>
              <w:rPr>
                <w:rFonts w:ascii="Cambria" w:hAnsi="Cambria"/>
                <w:bCs/>
                <w:sz w:val="20"/>
                <w:szCs w:val="20"/>
                <w:lang w:val="es-ES"/>
              </w:rPr>
              <w:t xml:space="preserve">Artículos </w:t>
            </w:r>
            <w:r w:rsidR="00161E1D">
              <w:rPr>
                <w:rFonts w:ascii="Cambria" w:hAnsi="Cambria"/>
                <w:bCs/>
                <w:sz w:val="20"/>
                <w:szCs w:val="20"/>
                <w:lang w:val="es-ES"/>
              </w:rPr>
              <w:t xml:space="preserve">5 (integridad personal), </w:t>
            </w:r>
            <w:r>
              <w:rPr>
                <w:rFonts w:ascii="Cambria" w:hAnsi="Cambria"/>
                <w:bCs/>
                <w:sz w:val="20"/>
                <w:szCs w:val="20"/>
                <w:lang w:val="es-ES"/>
              </w:rPr>
              <w:t>8 (garantías judiciales)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EB43E89" w:rsidR="004C2312" w:rsidRPr="003239B8" w:rsidRDefault="001C2DED" w:rsidP="002625EA">
            <w:pPr>
              <w:jc w:val="both"/>
              <w:rPr>
                <w:rFonts w:ascii="Cambria" w:hAnsi="Cambria"/>
                <w:bCs/>
                <w:sz w:val="20"/>
                <w:szCs w:val="20"/>
                <w:lang w:val="es-ES"/>
              </w:rPr>
            </w:pPr>
            <w:r>
              <w:rPr>
                <w:rFonts w:ascii="Cambria" w:hAnsi="Cambria"/>
                <w:bCs/>
                <w:sz w:val="20"/>
                <w:szCs w:val="20"/>
                <w:lang w:val="es-ES"/>
              </w:rPr>
              <w:t>1 de febrero de 2010</w:t>
            </w:r>
          </w:p>
        </w:tc>
      </w:tr>
      <w:tr w:rsidR="00131425" w:rsidRPr="00F003C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4EAA7C0" w:rsidR="00131425" w:rsidRPr="003239B8" w:rsidRDefault="005C08BB" w:rsidP="002625EA">
            <w:pPr>
              <w:jc w:val="both"/>
              <w:rPr>
                <w:rFonts w:ascii="Cambria" w:hAnsi="Cambria"/>
                <w:bCs/>
                <w:sz w:val="20"/>
                <w:szCs w:val="20"/>
                <w:lang w:val="es-ES"/>
              </w:rPr>
            </w:pPr>
            <w:r>
              <w:rPr>
                <w:rFonts w:ascii="Cambria" w:hAnsi="Cambria"/>
                <w:bCs/>
                <w:sz w:val="20"/>
                <w:szCs w:val="20"/>
                <w:lang w:val="es-ES"/>
              </w:rPr>
              <w:t>23 de julio de 2010</w:t>
            </w:r>
            <w:r w:rsidR="00DE16C1">
              <w:rPr>
                <w:rFonts w:ascii="Cambria" w:hAnsi="Cambria"/>
                <w:bCs/>
                <w:sz w:val="20"/>
                <w:szCs w:val="20"/>
                <w:lang w:val="es-ES"/>
              </w:rPr>
              <w:t>, 31 de julio de 201</w:t>
            </w:r>
            <w:r w:rsidR="00EA4431">
              <w:rPr>
                <w:rFonts w:ascii="Cambria" w:hAnsi="Cambria"/>
                <w:bCs/>
                <w:sz w:val="20"/>
                <w:szCs w:val="20"/>
                <w:lang w:val="es-ES"/>
              </w:rPr>
              <w:t>3</w:t>
            </w:r>
          </w:p>
        </w:tc>
      </w:tr>
      <w:tr w:rsidR="004C2312" w:rsidRPr="00F003C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7F91A88" w:rsidR="004C2312" w:rsidRPr="003239B8" w:rsidRDefault="007516BB" w:rsidP="008D2290">
            <w:pPr>
              <w:jc w:val="both"/>
              <w:rPr>
                <w:rFonts w:ascii="Cambria" w:hAnsi="Cambria"/>
                <w:bCs/>
                <w:sz w:val="20"/>
                <w:szCs w:val="20"/>
                <w:lang w:val="es-ES"/>
              </w:rPr>
            </w:pPr>
            <w:r>
              <w:rPr>
                <w:rFonts w:ascii="Cambria" w:hAnsi="Cambria"/>
                <w:bCs/>
                <w:sz w:val="20"/>
                <w:szCs w:val="20"/>
                <w:lang w:val="es-ES"/>
              </w:rPr>
              <w:t>23 de enero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7D4823E" w:rsidR="004C2312" w:rsidRPr="003239B8" w:rsidRDefault="00EE4570" w:rsidP="008D2290">
            <w:pPr>
              <w:jc w:val="both"/>
              <w:rPr>
                <w:rFonts w:ascii="Cambria" w:hAnsi="Cambria"/>
                <w:bCs/>
                <w:sz w:val="20"/>
                <w:szCs w:val="20"/>
                <w:lang w:val="es-ES"/>
              </w:rPr>
            </w:pPr>
            <w:r>
              <w:rPr>
                <w:rFonts w:ascii="Cambria" w:hAnsi="Cambria"/>
                <w:bCs/>
                <w:sz w:val="20"/>
                <w:szCs w:val="20"/>
                <w:lang w:val="es-ES"/>
              </w:rPr>
              <w:t>28 de octubre de 2019</w:t>
            </w:r>
          </w:p>
        </w:tc>
      </w:tr>
      <w:tr w:rsidR="004C2312" w:rsidRPr="00BD52F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ECCBA6E" w:rsidR="004C2312" w:rsidRPr="003239B8" w:rsidRDefault="006978D4" w:rsidP="008D2290">
            <w:pPr>
              <w:jc w:val="both"/>
              <w:rPr>
                <w:rFonts w:ascii="Cambria" w:hAnsi="Cambria"/>
                <w:bCs/>
                <w:sz w:val="20"/>
                <w:szCs w:val="20"/>
                <w:lang w:val="es-ES"/>
              </w:rPr>
            </w:pPr>
            <w:r>
              <w:rPr>
                <w:rFonts w:ascii="Cambria" w:hAnsi="Cambria"/>
                <w:bCs/>
                <w:sz w:val="20"/>
                <w:szCs w:val="20"/>
                <w:lang w:val="es-ES"/>
              </w:rPr>
              <w:t>12 de enero de 2021</w:t>
            </w:r>
            <w:r w:rsidR="00DC5B91">
              <w:rPr>
                <w:rFonts w:ascii="Cambria" w:hAnsi="Cambria"/>
                <w:bCs/>
                <w:sz w:val="20"/>
                <w:szCs w:val="20"/>
                <w:lang w:val="es-ES"/>
              </w:rPr>
              <w:t xml:space="preserve">, </w:t>
            </w:r>
            <w:r w:rsidR="000663A0">
              <w:rPr>
                <w:rFonts w:ascii="Cambria" w:hAnsi="Cambria"/>
                <w:bCs/>
                <w:sz w:val="20"/>
                <w:szCs w:val="20"/>
                <w:lang w:val="es-ES"/>
              </w:rPr>
              <w:t>5 de mayo de 2021</w:t>
            </w:r>
            <w:r w:rsidR="00DC5B91">
              <w:rPr>
                <w:rFonts w:ascii="Cambria" w:hAnsi="Cambria"/>
                <w:bCs/>
                <w:sz w:val="20"/>
                <w:szCs w:val="20"/>
                <w:lang w:val="es-ES"/>
              </w:rPr>
              <w:t xml:space="preserve"> y </w:t>
            </w:r>
            <w:r w:rsidR="00DC5B91">
              <w:rPr>
                <w:rFonts w:ascii="Cambria" w:hAnsi="Cambria"/>
                <w:bCs/>
                <w:sz w:val="20"/>
                <w:szCs w:val="20"/>
                <w:lang w:val="es-US"/>
              </w:rPr>
              <w:t>3 de marzo de 2022</w:t>
            </w:r>
          </w:p>
        </w:tc>
      </w:tr>
      <w:tr w:rsidR="004C2312" w:rsidRPr="00BD52F7"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0E1113C7" w:rsidR="004C2312" w:rsidRPr="00FF66AB" w:rsidRDefault="006978D4" w:rsidP="008D2290">
            <w:pPr>
              <w:jc w:val="both"/>
              <w:rPr>
                <w:rFonts w:ascii="Cambria" w:hAnsi="Cambria"/>
                <w:bCs/>
                <w:sz w:val="20"/>
                <w:szCs w:val="20"/>
                <w:lang w:val="es-US"/>
              </w:rPr>
            </w:pPr>
            <w:r w:rsidRPr="00FF66AB">
              <w:rPr>
                <w:rFonts w:ascii="Cambria" w:hAnsi="Cambria"/>
                <w:bCs/>
                <w:sz w:val="20"/>
                <w:szCs w:val="20"/>
                <w:lang w:val="es-US"/>
              </w:rPr>
              <w:t>16 de</w:t>
            </w:r>
            <w:r w:rsidR="00335D2C" w:rsidRPr="00FF66AB">
              <w:rPr>
                <w:rFonts w:ascii="Cambria" w:hAnsi="Cambria"/>
                <w:bCs/>
                <w:sz w:val="20"/>
                <w:szCs w:val="20"/>
                <w:lang w:val="es-US"/>
              </w:rPr>
              <w:t xml:space="preserve"> febrero de 2021</w:t>
            </w:r>
            <w:r w:rsidR="000704C1">
              <w:rPr>
                <w:rFonts w:ascii="Cambria" w:hAnsi="Cambria"/>
                <w:bCs/>
                <w:sz w:val="20"/>
                <w:szCs w:val="20"/>
                <w:lang w:val="es-US"/>
              </w:rPr>
              <w:t>,</w:t>
            </w:r>
            <w:r w:rsidR="00FF66AB" w:rsidRPr="00FF66AB">
              <w:rPr>
                <w:rFonts w:ascii="Cambria" w:hAnsi="Cambria"/>
                <w:bCs/>
                <w:sz w:val="20"/>
                <w:szCs w:val="20"/>
                <w:lang w:val="es-US"/>
              </w:rPr>
              <w:t>12 d</w:t>
            </w:r>
            <w:r w:rsidR="00FF66AB">
              <w:rPr>
                <w:rFonts w:ascii="Cambria" w:hAnsi="Cambria"/>
                <w:bCs/>
                <w:sz w:val="20"/>
                <w:szCs w:val="20"/>
                <w:lang w:val="es-US"/>
              </w:rPr>
              <w:t>e agosto de 2021</w:t>
            </w:r>
            <w:r w:rsidR="009221D3">
              <w:rPr>
                <w:rFonts w:ascii="Cambria" w:hAnsi="Cambria"/>
                <w:bCs/>
                <w:sz w:val="20"/>
                <w:szCs w:val="20"/>
                <w:lang w:val="es-US"/>
              </w:rPr>
              <w:t xml:space="preserve">, </w:t>
            </w:r>
            <w:r w:rsidR="000704C1">
              <w:rPr>
                <w:rFonts w:ascii="Cambria" w:hAnsi="Cambria"/>
                <w:bCs/>
                <w:sz w:val="20"/>
                <w:szCs w:val="20"/>
                <w:lang w:val="es-US"/>
              </w:rPr>
              <w:t>3 de marzo de 2022</w:t>
            </w:r>
            <w:r w:rsidR="009221D3">
              <w:rPr>
                <w:rFonts w:ascii="Cambria" w:hAnsi="Cambria"/>
                <w:bCs/>
                <w:sz w:val="20"/>
                <w:szCs w:val="20"/>
                <w:lang w:val="es-US"/>
              </w:rPr>
              <w:t xml:space="preserve"> y 15 de diciembre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27A6965E" w:rsidR="001E49E7" w:rsidRPr="003239B8" w:rsidRDefault="00F37D11" w:rsidP="002625EA">
            <w:pPr>
              <w:jc w:val="both"/>
              <w:rPr>
                <w:rFonts w:ascii="Cambria" w:hAnsi="Cambria"/>
                <w:bCs/>
                <w:sz w:val="20"/>
                <w:szCs w:val="20"/>
                <w:lang w:val="es-ES"/>
              </w:rPr>
            </w:pPr>
            <w:r>
              <w:rPr>
                <w:rFonts w:ascii="Cambria" w:hAnsi="Cambria"/>
                <w:bCs/>
                <w:sz w:val="20"/>
                <w:szCs w:val="20"/>
                <w:lang w:val="es-ES"/>
              </w:rPr>
              <w:t>28 de septiembre de 2020</w:t>
            </w:r>
          </w:p>
        </w:tc>
      </w:tr>
      <w:tr w:rsidR="001E49E7" w:rsidRPr="00F003CC"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5938FFE3" w:rsidR="001E49E7" w:rsidRPr="003239B8" w:rsidRDefault="006978D4" w:rsidP="002625EA">
            <w:pPr>
              <w:jc w:val="both"/>
              <w:rPr>
                <w:rFonts w:ascii="Cambria" w:hAnsi="Cambria"/>
                <w:bCs/>
                <w:sz w:val="20"/>
                <w:szCs w:val="20"/>
                <w:lang w:val="es-ES"/>
              </w:rPr>
            </w:pPr>
            <w:r>
              <w:rPr>
                <w:rFonts w:ascii="Cambria" w:hAnsi="Cambria"/>
                <w:bCs/>
                <w:sz w:val="20"/>
                <w:szCs w:val="20"/>
                <w:lang w:val="es-ES"/>
              </w:rPr>
              <w:t>12 de enero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642E16">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20CAFA83" w:rsidR="003239B8" w:rsidRPr="00B3745F" w:rsidRDefault="00D4486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642E16">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64A9B95" w:rsidR="003239B8" w:rsidRPr="00B3745F" w:rsidRDefault="00D44860"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642E16">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3BE8EDE7" w:rsidR="003239B8" w:rsidRPr="00B3745F" w:rsidRDefault="00D44860" w:rsidP="008D2290">
            <w:pPr>
              <w:rPr>
                <w:rFonts w:ascii="Cambria" w:hAnsi="Cambria"/>
                <w:bCs/>
                <w:sz w:val="20"/>
                <w:szCs w:val="20"/>
              </w:rPr>
            </w:pPr>
            <w:r>
              <w:rPr>
                <w:rFonts w:ascii="Cambria" w:hAnsi="Cambria"/>
                <w:bCs/>
                <w:sz w:val="20"/>
                <w:szCs w:val="20"/>
              </w:rPr>
              <w:t>Sí</w:t>
            </w:r>
          </w:p>
        </w:tc>
      </w:tr>
      <w:tr w:rsidR="003239B8" w:rsidRPr="00BD52F7" w14:paraId="30ABEC3E" w14:textId="77777777" w:rsidTr="00642E16">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6C1EEC9" w:rsidR="003239B8" w:rsidRPr="00B3745F" w:rsidRDefault="00526567"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9D3D2C" w14:paraId="1231C988" w14:textId="77777777" w:rsidTr="00642E16">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6AC7D11B" w:rsidR="00EE00E9" w:rsidRPr="000C7D0F" w:rsidRDefault="009D3D2C" w:rsidP="008D2290">
            <w:pPr>
              <w:jc w:val="both"/>
              <w:rPr>
                <w:rFonts w:ascii="Cambria" w:hAnsi="Cambria"/>
                <w:bCs/>
                <w:sz w:val="20"/>
                <w:szCs w:val="20"/>
                <w:lang w:val="es-PE"/>
              </w:rPr>
            </w:pPr>
            <w:r w:rsidRPr="000C7D0F">
              <w:rPr>
                <w:rFonts w:ascii="Cambria" w:hAnsi="Cambria"/>
                <w:bCs/>
                <w:sz w:val="20"/>
                <w:szCs w:val="20"/>
                <w:lang w:val="es-PE"/>
              </w:rPr>
              <w:t>No</w:t>
            </w:r>
          </w:p>
        </w:tc>
      </w:tr>
      <w:tr w:rsidR="003239B8" w:rsidRPr="002021CE" w14:paraId="15FAA7D1" w14:textId="77777777" w:rsidTr="00642E16">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5C3C577D" w:rsidR="003239B8" w:rsidRPr="000C7D0F" w:rsidRDefault="009D3D2C" w:rsidP="008D2290">
            <w:pPr>
              <w:jc w:val="both"/>
              <w:rPr>
                <w:rFonts w:ascii="Cambria" w:hAnsi="Cambria"/>
                <w:bCs/>
                <w:sz w:val="20"/>
                <w:szCs w:val="20"/>
                <w:lang w:val="es-PE"/>
              </w:rPr>
            </w:pPr>
            <w:r w:rsidRPr="000C7D0F">
              <w:rPr>
                <w:rFonts w:ascii="Cambria" w:hAnsi="Cambria"/>
                <w:bCs/>
                <w:sz w:val="20"/>
                <w:szCs w:val="20"/>
                <w:lang w:val="es-PE"/>
              </w:rPr>
              <w:t>N</w:t>
            </w:r>
            <w:r w:rsidR="000C7D0F" w:rsidRPr="000C7D0F">
              <w:rPr>
                <w:rFonts w:ascii="Cambria" w:hAnsi="Cambria"/>
                <w:bCs/>
                <w:sz w:val="20"/>
                <w:szCs w:val="20"/>
                <w:lang w:val="es-PE"/>
              </w:rPr>
              <w:t>o aplica</w:t>
            </w:r>
          </w:p>
        </w:tc>
      </w:tr>
      <w:tr w:rsidR="003239B8" w:rsidRPr="00BD52F7" w14:paraId="4EFD141E" w14:textId="77777777" w:rsidTr="00642E16">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6D73C01C" w:rsidR="003239B8" w:rsidRPr="000C7D0F" w:rsidRDefault="009A7072" w:rsidP="008D2290">
            <w:pPr>
              <w:rPr>
                <w:rFonts w:ascii="Cambria" w:hAnsi="Cambria"/>
                <w:bCs/>
                <w:sz w:val="20"/>
                <w:szCs w:val="20"/>
                <w:lang w:val="es-PE"/>
              </w:rPr>
            </w:pPr>
            <w:r>
              <w:rPr>
                <w:rFonts w:ascii="Cambria" w:hAnsi="Cambria"/>
                <w:bCs/>
                <w:sz w:val="20"/>
                <w:szCs w:val="20"/>
                <w:lang w:val="es-PE"/>
              </w:rPr>
              <w:t>Sí, en los términos de la sección VII</w:t>
            </w:r>
          </w:p>
        </w:tc>
      </w:tr>
      <w:tr w:rsidR="003239B8" w:rsidRPr="00BD52F7" w14:paraId="52B5BA17" w14:textId="77777777" w:rsidTr="00642E16">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6E3F8927" w:rsidR="003239B8" w:rsidRPr="000C7D0F" w:rsidRDefault="009A7072" w:rsidP="008D2290">
            <w:pPr>
              <w:rPr>
                <w:rFonts w:ascii="Cambria" w:hAnsi="Cambria"/>
                <w:bCs/>
                <w:sz w:val="20"/>
                <w:szCs w:val="20"/>
                <w:lang w:val="es-PE"/>
              </w:rPr>
            </w:pPr>
            <w:r>
              <w:rPr>
                <w:rFonts w:ascii="Cambria" w:hAnsi="Cambria"/>
                <w:bCs/>
                <w:sz w:val="20"/>
                <w:szCs w:val="20"/>
                <w:lang w:val="es-PE"/>
              </w:rPr>
              <w:t>Sí, en los términos de la sección VII</w:t>
            </w:r>
          </w:p>
        </w:tc>
      </w:tr>
    </w:tbl>
    <w:p w14:paraId="18E6423B" w14:textId="4B1FC880" w:rsidR="003239B8" w:rsidRPr="007D736E"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9F7FE1" w:rsidRPr="007D736E">
        <w:rPr>
          <w:rFonts w:asciiTheme="majorHAnsi" w:hAnsiTheme="majorHAnsi"/>
          <w:b/>
          <w:sz w:val="20"/>
          <w:szCs w:val="20"/>
          <w:lang w:val="es-ES_tradnl"/>
        </w:rPr>
        <w:t>POSICIÓN DE LAS PARTES</w:t>
      </w:r>
      <w:r w:rsidR="003239B8" w:rsidRPr="007D736E">
        <w:rPr>
          <w:rFonts w:asciiTheme="majorHAnsi" w:hAnsiTheme="majorHAnsi"/>
          <w:b/>
          <w:sz w:val="20"/>
          <w:szCs w:val="20"/>
          <w:lang w:val="es-ES_tradnl"/>
        </w:rPr>
        <w:t xml:space="preserve"> </w:t>
      </w:r>
    </w:p>
    <w:p w14:paraId="3B38E1A4" w14:textId="745FFFED" w:rsidR="00E77F50" w:rsidRPr="007D736E" w:rsidRDefault="00E77F50" w:rsidP="003239B8">
      <w:pPr>
        <w:spacing w:before="240" w:after="240"/>
        <w:ind w:firstLine="720"/>
        <w:jc w:val="both"/>
        <w:rPr>
          <w:rFonts w:asciiTheme="majorHAnsi" w:hAnsiTheme="majorHAnsi"/>
          <w:bCs/>
          <w:i/>
          <w:iCs/>
          <w:sz w:val="20"/>
          <w:szCs w:val="20"/>
          <w:lang w:val="es-ES_tradnl"/>
        </w:rPr>
      </w:pPr>
      <w:r w:rsidRPr="007D736E">
        <w:rPr>
          <w:rFonts w:asciiTheme="majorHAnsi" w:hAnsiTheme="majorHAnsi"/>
          <w:bCs/>
          <w:i/>
          <w:iCs/>
          <w:sz w:val="20"/>
          <w:szCs w:val="20"/>
          <w:lang w:val="es-ES_tradnl"/>
        </w:rPr>
        <w:t>Alegatos de la parte peticionaria</w:t>
      </w:r>
    </w:p>
    <w:p w14:paraId="392114A9" w14:textId="77777777" w:rsidR="00E77F50" w:rsidRPr="007D736E" w:rsidRDefault="00E77F50" w:rsidP="009442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 xml:space="preserve">La parte peticionaria denuncia que el señor Wu no tuvo acceso a un recurso que permita la revisión integral de su condena por el delito de secuestro extorsivo. Asimismo, afirma que tal decisión también afectó otras garantías judiciales, debido a las irregularidades cometidas durante el proceso. </w:t>
      </w:r>
    </w:p>
    <w:p w14:paraId="7F7ED0C2" w14:textId="2CCB4828" w:rsidR="009442A2" w:rsidRPr="007D736E" w:rsidRDefault="009442A2" w:rsidP="009442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lastRenderedPageBreak/>
        <w:t>Al respecto, explica que, tras la realización de distintas diligencias, el</w:t>
      </w:r>
      <w:r w:rsidRPr="007D736E">
        <w:rPr>
          <w:rFonts w:ascii="Cambria" w:hAnsi="Cambria"/>
          <w:color w:val="FF0000"/>
          <w:sz w:val="20"/>
          <w:szCs w:val="20"/>
          <w:lang w:val="es-ES_tradnl"/>
        </w:rPr>
        <w:t xml:space="preserve"> </w:t>
      </w:r>
      <w:r w:rsidRPr="007D736E">
        <w:rPr>
          <w:rFonts w:ascii="Cambria" w:hAnsi="Cambria"/>
          <w:sz w:val="20"/>
          <w:szCs w:val="20"/>
          <w:lang w:val="es-ES_tradnl"/>
        </w:rPr>
        <w:t>2</w:t>
      </w:r>
      <w:r w:rsidR="00806D3F" w:rsidRPr="007D736E">
        <w:rPr>
          <w:rFonts w:ascii="Cambria" w:hAnsi="Cambria"/>
          <w:sz w:val="20"/>
          <w:szCs w:val="20"/>
          <w:lang w:val="es-ES_tradnl"/>
        </w:rPr>
        <w:t>1</w:t>
      </w:r>
      <w:r w:rsidRPr="007D736E">
        <w:rPr>
          <w:rFonts w:ascii="Cambria" w:hAnsi="Cambria"/>
          <w:sz w:val="20"/>
          <w:szCs w:val="20"/>
          <w:lang w:val="es-ES_tradnl"/>
        </w:rPr>
        <w:t xml:space="preserve"> de </w:t>
      </w:r>
      <w:r w:rsidR="00806D3F" w:rsidRPr="007D736E">
        <w:rPr>
          <w:rFonts w:ascii="Cambria" w:hAnsi="Cambria"/>
          <w:sz w:val="20"/>
          <w:szCs w:val="20"/>
          <w:lang w:val="es-ES_tradnl"/>
        </w:rPr>
        <w:t>febrero</w:t>
      </w:r>
      <w:r w:rsidRPr="007D736E">
        <w:rPr>
          <w:rFonts w:ascii="Cambria" w:hAnsi="Cambria"/>
          <w:sz w:val="20"/>
          <w:szCs w:val="20"/>
          <w:lang w:val="es-ES_tradnl"/>
        </w:rPr>
        <w:t xml:space="preserve"> de 200</w:t>
      </w:r>
      <w:r w:rsidR="001C553F" w:rsidRPr="007D736E">
        <w:rPr>
          <w:rFonts w:ascii="Cambria" w:hAnsi="Cambria"/>
          <w:sz w:val="20"/>
          <w:szCs w:val="20"/>
          <w:lang w:val="es-ES_tradnl"/>
        </w:rPr>
        <w:t>5</w:t>
      </w:r>
      <w:r w:rsidRPr="007D736E">
        <w:rPr>
          <w:rFonts w:ascii="Cambria" w:hAnsi="Cambria"/>
          <w:sz w:val="20"/>
          <w:szCs w:val="20"/>
          <w:lang w:val="es-ES_tradnl"/>
        </w:rPr>
        <w:t xml:space="preserve"> el Tribunal </w:t>
      </w:r>
      <w:r w:rsidR="007A2A63" w:rsidRPr="007D736E">
        <w:rPr>
          <w:rFonts w:ascii="Cambria" w:hAnsi="Cambria"/>
          <w:sz w:val="20"/>
          <w:szCs w:val="20"/>
          <w:lang w:val="es-ES_tradnl"/>
        </w:rPr>
        <w:t xml:space="preserve">Penal </w:t>
      </w:r>
      <w:r w:rsidRPr="007D736E">
        <w:rPr>
          <w:rFonts w:ascii="Cambria" w:hAnsi="Cambria"/>
          <w:sz w:val="20"/>
          <w:szCs w:val="20"/>
          <w:lang w:val="es-ES_tradnl"/>
        </w:rPr>
        <w:t>del Segundo Circuito Judicial de San José</w:t>
      </w:r>
      <w:r w:rsidR="00CB5739" w:rsidRPr="007D736E">
        <w:rPr>
          <w:rFonts w:ascii="Cambria" w:hAnsi="Cambria"/>
          <w:sz w:val="20"/>
          <w:szCs w:val="20"/>
          <w:lang w:val="es-ES_tradnl"/>
        </w:rPr>
        <w:t>, mediante la sentencia 078-2006,</w:t>
      </w:r>
      <w:r w:rsidRPr="007D736E">
        <w:rPr>
          <w:rFonts w:ascii="Cambria" w:hAnsi="Cambria"/>
          <w:sz w:val="20"/>
          <w:szCs w:val="20"/>
          <w:lang w:val="es-ES_tradnl"/>
        </w:rPr>
        <w:t xml:space="preserve"> condenó a la presunta víctima</w:t>
      </w:r>
      <w:r w:rsidR="007A2A63" w:rsidRPr="007D736E">
        <w:rPr>
          <w:rFonts w:ascii="Cambria" w:hAnsi="Cambria"/>
          <w:sz w:val="20"/>
          <w:szCs w:val="20"/>
          <w:lang w:val="es-ES_tradnl"/>
        </w:rPr>
        <w:t xml:space="preserve">, junto a otras dos personas, a quince años de pena privativa de libertad por la comisión del </w:t>
      </w:r>
      <w:r w:rsidR="003826AA" w:rsidRPr="007D736E">
        <w:rPr>
          <w:rFonts w:ascii="Cambria" w:hAnsi="Cambria"/>
          <w:sz w:val="20"/>
          <w:szCs w:val="20"/>
          <w:lang w:val="es-ES_tradnl"/>
        </w:rPr>
        <w:t xml:space="preserve">delito de secuestro extorsivo. </w:t>
      </w:r>
      <w:r w:rsidRPr="007D736E">
        <w:rPr>
          <w:rFonts w:ascii="Cambria" w:hAnsi="Cambria"/>
          <w:sz w:val="20"/>
          <w:szCs w:val="20"/>
          <w:lang w:val="es-ES_tradnl"/>
        </w:rPr>
        <w:t xml:space="preserve"> </w:t>
      </w:r>
    </w:p>
    <w:p w14:paraId="6517752D" w14:textId="30D6A311" w:rsidR="00092496" w:rsidRPr="007D736E" w:rsidRDefault="00EF1C95" w:rsidP="00391B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 xml:space="preserve">Afirma que el señor Wu, con apoyo su defensora pública, interpuso </w:t>
      </w:r>
      <w:r w:rsidR="009F4A33" w:rsidRPr="007D736E">
        <w:rPr>
          <w:rFonts w:ascii="Cambria" w:hAnsi="Cambria"/>
          <w:sz w:val="20"/>
          <w:szCs w:val="20"/>
          <w:lang w:val="es-ES_tradnl"/>
        </w:rPr>
        <w:t xml:space="preserve">un </w:t>
      </w:r>
      <w:r w:rsidRPr="007D736E">
        <w:rPr>
          <w:rFonts w:ascii="Cambria" w:hAnsi="Cambria"/>
          <w:sz w:val="20"/>
          <w:szCs w:val="20"/>
          <w:lang w:val="es-ES_tradnl"/>
        </w:rPr>
        <w:t xml:space="preserve">recurso de casación contra esta decisión, arguyendo </w:t>
      </w:r>
      <w:r w:rsidR="0084119E" w:rsidRPr="007D736E">
        <w:rPr>
          <w:rFonts w:ascii="Cambria" w:hAnsi="Cambria"/>
          <w:sz w:val="20"/>
          <w:szCs w:val="20"/>
          <w:lang w:val="es-ES_tradnl"/>
        </w:rPr>
        <w:t>la afectación al principio de imparcialidad y</w:t>
      </w:r>
      <w:r w:rsidR="00080DAF" w:rsidRPr="007D736E">
        <w:rPr>
          <w:rFonts w:ascii="Cambria" w:hAnsi="Cambria"/>
          <w:sz w:val="20"/>
          <w:szCs w:val="20"/>
          <w:lang w:val="es-ES_tradnl"/>
        </w:rPr>
        <w:t xml:space="preserve"> a la debida motivación</w:t>
      </w:r>
      <w:r w:rsidRPr="007D736E">
        <w:rPr>
          <w:rFonts w:ascii="Cambria" w:hAnsi="Cambria"/>
          <w:sz w:val="20"/>
          <w:szCs w:val="20"/>
          <w:lang w:val="es-ES_tradnl"/>
        </w:rPr>
        <w:t>. No obstante, el 2</w:t>
      </w:r>
      <w:r w:rsidR="00400D98" w:rsidRPr="007D736E">
        <w:rPr>
          <w:rFonts w:ascii="Cambria" w:hAnsi="Cambria"/>
          <w:sz w:val="20"/>
          <w:szCs w:val="20"/>
          <w:lang w:val="es-ES_tradnl"/>
        </w:rPr>
        <w:t>0</w:t>
      </w:r>
      <w:r w:rsidRPr="007D736E">
        <w:rPr>
          <w:rFonts w:ascii="Cambria" w:hAnsi="Cambria"/>
          <w:sz w:val="20"/>
          <w:szCs w:val="20"/>
          <w:lang w:val="es-ES_tradnl"/>
        </w:rPr>
        <w:t xml:space="preserve"> de </w:t>
      </w:r>
      <w:r w:rsidR="00755BB2" w:rsidRPr="007D736E">
        <w:rPr>
          <w:rFonts w:ascii="Cambria" w:hAnsi="Cambria"/>
          <w:sz w:val="20"/>
          <w:szCs w:val="20"/>
          <w:lang w:val="es-ES_tradnl"/>
        </w:rPr>
        <w:t>abril</w:t>
      </w:r>
      <w:r w:rsidRPr="007D736E">
        <w:rPr>
          <w:rFonts w:ascii="Cambria" w:hAnsi="Cambria"/>
          <w:sz w:val="20"/>
          <w:szCs w:val="20"/>
          <w:lang w:val="es-ES_tradnl"/>
        </w:rPr>
        <w:t xml:space="preserve"> de </w:t>
      </w:r>
      <w:r w:rsidR="00534933" w:rsidRPr="007D736E">
        <w:rPr>
          <w:rFonts w:ascii="Cambria" w:hAnsi="Cambria"/>
          <w:sz w:val="20"/>
          <w:szCs w:val="20"/>
          <w:lang w:val="es-ES_tradnl"/>
        </w:rPr>
        <w:t>200</w:t>
      </w:r>
      <w:r w:rsidR="00755BB2" w:rsidRPr="007D736E">
        <w:rPr>
          <w:rFonts w:ascii="Cambria" w:hAnsi="Cambria"/>
          <w:sz w:val="20"/>
          <w:szCs w:val="20"/>
          <w:lang w:val="es-ES_tradnl"/>
        </w:rPr>
        <w:t>7</w:t>
      </w:r>
      <w:r w:rsidR="00534933" w:rsidRPr="007D736E">
        <w:rPr>
          <w:rFonts w:ascii="Cambria" w:hAnsi="Cambria"/>
          <w:sz w:val="20"/>
          <w:szCs w:val="20"/>
          <w:lang w:val="es-ES_tradnl"/>
        </w:rPr>
        <w:t xml:space="preserve"> </w:t>
      </w:r>
      <w:r w:rsidRPr="007D736E">
        <w:rPr>
          <w:rFonts w:ascii="Cambria" w:hAnsi="Cambria"/>
          <w:sz w:val="20"/>
          <w:szCs w:val="20"/>
          <w:lang w:val="es-ES_tradnl"/>
        </w:rPr>
        <w:t xml:space="preserve">la Sala Tercera de la Corte Suprema rechazó dicha acción, al considerar que no se cometió ninguna irregularidad en el proceso penal. </w:t>
      </w:r>
      <w:r w:rsidR="00755BB2" w:rsidRPr="007D736E">
        <w:rPr>
          <w:rFonts w:ascii="Cambria" w:hAnsi="Cambria"/>
          <w:sz w:val="20"/>
          <w:szCs w:val="20"/>
          <w:lang w:val="es-ES_tradnl"/>
        </w:rPr>
        <w:t xml:space="preserve">Frente a esta </w:t>
      </w:r>
      <w:r w:rsidR="00080DAF" w:rsidRPr="007D736E">
        <w:rPr>
          <w:rFonts w:ascii="Cambria" w:hAnsi="Cambria"/>
          <w:sz w:val="20"/>
          <w:szCs w:val="20"/>
          <w:lang w:val="es-ES_tradnl"/>
        </w:rPr>
        <w:t xml:space="preserve">decisión, informa que la representación de la presunta víctima presentó un recurso de revisión, pero el </w:t>
      </w:r>
      <w:r w:rsidR="00FA396C" w:rsidRPr="007D736E">
        <w:rPr>
          <w:rFonts w:ascii="Cambria" w:hAnsi="Cambria"/>
          <w:sz w:val="20"/>
          <w:szCs w:val="20"/>
          <w:lang w:val="es-ES_tradnl"/>
        </w:rPr>
        <w:t>7 de mayo de 2008 la Sala Tercera de la Corte Suprema lo desestimó</w:t>
      </w:r>
      <w:r w:rsidR="00092496" w:rsidRPr="007D736E">
        <w:rPr>
          <w:rFonts w:ascii="Cambria" w:hAnsi="Cambria"/>
          <w:sz w:val="20"/>
          <w:szCs w:val="20"/>
          <w:lang w:val="es-ES_tradnl"/>
        </w:rPr>
        <w:t>, reiterando los argumentos expuestos en la sentencia de casación.</w:t>
      </w:r>
      <w:r w:rsidR="00391B61" w:rsidRPr="007D736E">
        <w:rPr>
          <w:rFonts w:ascii="Cambria" w:hAnsi="Cambria"/>
          <w:sz w:val="20"/>
          <w:szCs w:val="20"/>
          <w:lang w:val="es-ES_tradnl"/>
        </w:rPr>
        <w:t xml:space="preserve"> Finalmente, agrega que el 17 de noviembre de 2009 el señor Wu inició un nuevo procedimiento de revisión en </w:t>
      </w:r>
      <w:r w:rsidR="009F557E" w:rsidRPr="007D736E">
        <w:rPr>
          <w:rFonts w:ascii="Cambria" w:hAnsi="Cambria"/>
          <w:sz w:val="20"/>
          <w:szCs w:val="20"/>
          <w:lang w:val="es-ES_tradnl"/>
        </w:rPr>
        <w:t>contra</w:t>
      </w:r>
      <w:r w:rsidR="008C6478" w:rsidRPr="007D736E">
        <w:rPr>
          <w:rFonts w:ascii="Cambria" w:hAnsi="Cambria"/>
          <w:sz w:val="20"/>
          <w:szCs w:val="20"/>
          <w:lang w:val="es-ES_tradnl"/>
        </w:rPr>
        <w:t xml:space="preserve"> de su condena, reiterando la afectación al principio de imparcialidad</w:t>
      </w:r>
      <w:r w:rsidR="009948CB" w:rsidRPr="007D736E">
        <w:rPr>
          <w:rFonts w:ascii="Cambria" w:hAnsi="Cambria"/>
          <w:sz w:val="20"/>
          <w:szCs w:val="20"/>
          <w:lang w:val="es-ES_tradnl"/>
        </w:rPr>
        <w:t xml:space="preserve">. Sin embargo, </w:t>
      </w:r>
      <w:r w:rsidR="00636299" w:rsidRPr="007D736E">
        <w:rPr>
          <w:rFonts w:ascii="Cambria" w:hAnsi="Cambria"/>
          <w:sz w:val="20"/>
          <w:szCs w:val="20"/>
          <w:lang w:val="es-ES_tradnl"/>
        </w:rPr>
        <w:t>el 30 de mayo de 2011 la Sala Tercera de la Corte Suprema de Justicia declaró inadmisible tal recurso.</w:t>
      </w:r>
    </w:p>
    <w:p w14:paraId="696910B8" w14:textId="4AA1EB48" w:rsidR="00C36900" w:rsidRPr="007D736E" w:rsidRDefault="00450162" w:rsidP="001937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Con base en estas consideraciones de hecho, la parte peticionaria</w:t>
      </w:r>
      <w:r w:rsidR="00864EEB" w:rsidRPr="007D736E">
        <w:rPr>
          <w:rFonts w:ascii="Cambria" w:hAnsi="Cambria"/>
          <w:sz w:val="20"/>
          <w:szCs w:val="20"/>
          <w:lang w:val="es-ES_tradnl"/>
        </w:rPr>
        <w:t xml:space="preserve"> </w:t>
      </w:r>
      <w:r w:rsidR="00C759B9" w:rsidRPr="007D736E">
        <w:rPr>
          <w:rFonts w:ascii="Cambria" w:hAnsi="Cambria"/>
          <w:sz w:val="20"/>
          <w:szCs w:val="20"/>
          <w:lang w:val="es-ES_tradnl"/>
        </w:rPr>
        <w:t xml:space="preserve">denuncia que si bien el Estado promulgó la ley la </w:t>
      </w:r>
      <w:r w:rsidRPr="007D736E">
        <w:rPr>
          <w:rFonts w:ascii="Cambria" w:hAnsi="Cambria"/>
          <w:sz w:val="20"/>
          <w:szCs w:val="20"/>
          <w:lang w:val="es-ES_tradnl"/>
        </w:rPr>
        <w:t>Ley N.º 8503</w:t>
      </w:r>
      <w:r w:rsidR="00C759B9" w:rsidRPr="007D736E">
        <w:rPr>
          <w:rFonts w:ascii="Cambria" w:hAnsi="Cambria"/>
          <w:sz w:val="20"/>
          <w:szCs w:val="20"/>
          <w:lang w:val="es-ES_tradnl"/>
        </w:rPr>
        <w:t xml:space="preserve"> a efectos de garantizar a las personas el derecho contemplado en el artículo 8.2.h) de la Convención, tal vía no result</w:t>
      </w:r>
      <w:r w:rsidR="001937CC" w:rsidRPr="007D736E">
        <w:rPr>
          <w:rFonts w:ascii="Cambria" w:hAnsi="Cambria"/>
          <w:sz w:val="20"/>
          <w:szCs w:val="20"/>
          <w:lang w:val="es-ES_tradnl"/>
        </w:rPr>
        <w:t>ó</w:t>
      </w:r>
      <w:r w:rsidR="00C759B9" w:rsidRPr="007D736E">
        <w:rPr>
          <w:rFonts w:ascii="Cambria" w:hAnsi="Cambria"/>
          <w:sz w:val="20"/>
          <w:szCs w:val="20"/>
          <w:lang w:val="es-ES_tradnl"/>
        </w:rPr>
        <w:t xml:space="preserve"> adecuada para atender la situación del señor Wu, dado que esta recién se implementó con posterioridad a su condena, y, por ende, no permitió la revisión integral de su condena. </w:t>
      </w:r>
      <w:r w:rsidR="001937CC" w:rsidRPr="007D736E">
        <w:rPr>
          <w:rFonts w:ascii="Cambria" w:hAnsi="Cambria"/>
          <w:sz w:val="20"/>
          <w:szCs w:val="20"/>
          <w:lang w:val="es-ES_tradnl"/>
        </w:rPr>
        <w:t>Además</w:t>
      </w:r>
      <w:r w:rsidR="00C759B9" w:rsidRPr="007D736E">
        <w:rPr>
          <w:rFonts w:ascii="Cambria" w:hAnsi="Cambria"/>
          <w:sz w:val="20"/>
          <w:szCs w:val="20"/>
          <w:lang w:val="es-ES_tradnl"/>
        </w:rPr>
        <w:t xml:space="preserve">, la parte peticionaria denuncia que las autoridades judiciales condenaron indebidamente a la presunta víctima, pues las pruebas aportadas al proceso no demostraron su culpabilidad. </w:t>
      </w:r>
    </w:p>
    <w:p w14:paraId="79010EF0" w14:textId="64E13418" w:rsidR="00544C2A" w:rsidRPr="007D736E" w:rsidRDefault="00CC0807" w:rsidP="00C759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 xml:space="preserve">Finalmente, </w:t>
      </w:r>
      <w:r w:rsidR="00E21B77" w:rsidRPr="007D736E">
        <w:rPr>
          <w:rFonts w:ascii="Cambria" w:hAnsi="Cambria"/>
          <w:sz w:val="20"/>
          <w:szCs w:val="20"/>
          <w:lang w:val="es-ES_tradnl"/>
        </w:rPr>
        <w:t>aduce</w:t>
      </w:r>
      <w:r w:rsidR="004564C5" w:rsidRPr="007D736E">
        <w:rPr>
          <w:rFonts w:ascii="Cambria" w:hAnsi="Cambria"/>
          <w:sz w:val="20"/>
          <w:szCs w:val="20"/>
          <w:lang w:val="es-ES_tradnl"/>
        </w:rPr>
        <w:t xml:space="preserve"> que</w:t>
      </w:r>
      <w:r w:rsidR="00544C2A" w:rsidRPr="007D736E">
        <w:rPr>
          <w:rFonts w:ascii="Cambria" w:hAnsi="Cambria"/>
          <w:sz w:val="20"/>
          <w:szCs w:val="20"/>
          <w:lang w:val="es-ES_tradnl"/>
        </w:rPr>
        <w:t xml:space="preserve"> debido </w:t>
      </w:r>
      <w:r w:rsidR="007C7B41" w:rsidRPr="007D736E">
        <w:rPr>
          <w:rFonts w:ascii="Cambria" w:hAnsi="Cambria"/>
          <w:sz w:val="20"/>
          <w:szCs w:val="20"/>
          <w:lang w:val="es-ES_tradnl"/>
        </w:rPr>
        <w:t xml:space="preserve">a que existe una grave situación de hacinamiento, </w:t>
      </w:r>
      <w:r w:rsidR="00544C2A" w:rsidRPr="007D736E">
        <w:rPr>
          <w:rFonts w:ascii="Cambria" w:hAnsi="Cambria"/>
          <w:sz w:val="20"/>
          <w:szCs w:val="20"/>
          <w:lang w:val="es-ES_tradnl"/>
        </w:rPr>
        <w:t>en los Centros Penitenciarios se producen frecuentemente agresiones entre reos, así como asaltos y otros delitos.</w:t>
      </w:r>
      <w:r w:rsidR="006B4797" w:rsidRPr="007D736E">
        <w:rPr>
          <w:rFonts w:ascii="Cambria" w:hAnsi="Cambria"/>
          <w:sz w:val="20"/>
          <w:szCs w:val="20"/>
          <w:lang w:val="es-ES_tradnl"/>
        </w:rPr>
        <w:t xml:space="preserve"> Asimismo, señala que no existe la posibilidad de acceder a una consulta médica, pues solo se </w:t>
      </w:r>
      <w:r w:rsidR="005E4E1F" w:rsidRPr="007D736E">
        <w:rPr>
          <w:rFonts w:ascii="Cambria" w:hAnsi="Cambria"/>
          <w:sz w:val="20"/>
          <w:szCs w:val="20"/>
          <w:lang w:val="es-ES_tradnl"/>
        </w:rPr>
        <w:t>brindan prestacione</w:t>
      </w:r>
      <w:r w:rsidR="006B4797" w:rsidRPr="007D736E">
        <w:rPr>
          <w:rFonts w:ascii="Cambria" w:hAnsi="Cambria"/>
          <w:sz w:val="20"/>
          <w:szCs w:val="20"/>
          <w:lang w:val="es-ES_tradnl"/>
        </w:rPr>
        <w:t>s de salud para casos de emergencia</w:t>
      </w:r>
      <w:r w:rsidR="005E4E1F" w:rsidRPr="007D736E">
        <w:rPr>
          <w:rFonts w:ascii="Cambria" w:hAnsi="Cambria"/>
          <w:sz w:val="20"/>
          <w:szCs w:val="20"/>
          <w:lang w:val="es-ES_tradnl"/>
        </w:rPr>
        <w:t xml:space="preserve">, y que no hay servicio de agua potable. Finalmente, indica que no existen baños adecuados, dado que no </w:t>
      </w:r>
      <w:r w:rsidR="001937CC" w:rsidRPr="007D736E">
        <w:rPr>
          <w:rFonts w:ascii="Cambria" w:hAnsi="Cambria"/>
          <w:sz w:val="20"/>
          <w:szCs w:val="20"/>
          <w:lang w:val="es-ES_tradnl"/>
        </w:rPr>
        <w:t xml:space="preserve">se </w:t>
      </w:r>
      <w:r w:rsidR="005E4E1F" w:rsidRPr="007D736E">
        <w:rPr>
          <w:rFonts w:ascii="Cambria" w:hAnsi="Cambria"/>
          <w:sz w:val="20"/>
          <w:szCs w:val="20"/>
          <w:lang w:val="es-ES_tradnl"/>
        </w:rPr>
        <w:t>cumplen con mínimos parámetros de salubridad.</w:t>
      </w:r>
      <w:r w:rsidR="008061F8" w:rsidRPr="007D736E">
        <w:rPr>
          <w:rFonts w:ascii="Cambria" w:hAnsi="Cambria"/>
          <w:sz w:val="20"/>
          <w:szCs w:val="20"/>
          <w:lang w:val="es-ES_tradnl"/>
        </w:rPr>
        <w:t xml:space="preserve"> A juicio de la parte peticionaria, esta situación afecta el derecho a la integridad del señor Wu. </w:t>
      </w:r>
    </w:p>
    <w:p w14:paraId="1112879C" w14:textId="4AF7A655" w:rsidR="00543B34" w:rsidRPr="007D736E" w:rsidRDefault="00543B34" w:rsidP="00543B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7D736E">
        <w:rPr>
          <w:rFonts w:ascii="Cambria" w:hAnsi="Cambria"/>
          <w:i/>
          <w:iCs/>
          <w:sz w:val="20"/>
          <w:szCs w:val="20"/>
          <w:lang w:val="es-ES_tradnl"/>
        </w:rPr>
        <w:t>Alegatos del Estado</w:t>
      </w:r>
    </w:p>
    <w:p w14:paraId="2F16F666" w14:textId="36C75CCD" w:rsidR="005A2AF0" w:rsidRPr="007D736E" w:rsidRDefault="005A2AF0" w:rsidP="005A2A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El Estado, por su parte, replica que la petición es inadmisible por falta de agotamiento de la jurisdicción doméstica. Afirma que la presunta víctima no cumplió con agotar las vías internas antes de interponer su petición, toda vez que no utilizó los mecanismos especiales de revisión ideados a partir de las reformas procesales realizadas en favor de las personas con sentencia firme</w:t>
      </w:r>
      <w:r w:rsidR="00333566" w:rsidRPr="007D736E">
        <w:rPr>
          <w:rFonts w:ascii="Cambria" w:hAnsi="Cambria"/>
          <w:sz w:val="20"/>
          <w:szCs w:val="20"/>
          <w:lang w:val="es-ES_tradnl"/>
        </w:rPr>
        <w:t>, ni tampoco la vía constitucional.</w:t>
      </w:r>
    </w:p>
    <w:p w14:paraId="6AE1C828" w14:textId="46495D3D" w:rsidR="008C5E2D" w:rsidRPr="007D736E" w:rsidRDefault="005A2AF0" w:rsidP="005A2A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Respecto a este punto, destaca que la presunta víctima no empleó dichas vías, a pesar de que están ideadas precisamente para aquellas personas con sentencias condenatorias en firme y que consideran vulnerado su derecho a recurrir su fallo condenatorio, de conformidad con el artículo 8.2.h) de la Convención. En esa línea, el Estado manifiesta que al momento en que se le notificó de esta petición, el señor Wu tuvo la oportunidad de interponer el procedimiento establecido en las disposiciones transitorias de la Ley N.º 8503</w:t>
      </w:r>
      <w:r w:rsidRPr="007D736E">
        <w:rPr>
          <w:rStyle w:val="FootnoteReference"/>
          <w:rFonts w:ascii="Cambria" w:hAnsi="Cambria"/>
          <w:sz w:val="20"/>
          <w:szCs w:val="20"/>
          <w:lang w:val="es-ES_tradnl"/>
        </w:rPr>
        <w:footnoteReference w:id="4"/>
      </w:r>
      <w:r w:rsidRPr="007D736E">
        <w:rPr>
          <w:rFonts w:ascii="Cambria" w:hAnsi="Cambria"/>
          <w:sz w:val="20"/>
          <w:szCs w:val="20"/>
          <w:lang w:val="es-ES_tradnl"/>
        </w:rPr>
        <w:t>, y en su defecto podían utilizar el mecanismo especial de revisión previsto en el Transitorio III de la Ley N.º 8837</w:t>
      </w:r>
      <w:r w:rsidRPr="007D736E">
        <w:rPr>
          <w:rStyle w:val="FootnoteReference"/>
          <w:rFonts w:ascii="Cambria" w:hAnsi="Cambria"/>
          <w:sz w:val="20"/>
          <w:szCs w:val="20"/>
          <w:lang w:val="es-ES_tradnl"/>
        </w:rPr>
        <w:footnoteReference w:id="5"/>
      </w:r>
      <w:r w:rsidRPr="007D736E">
        <w:rPr>
          <w:rFonts w:ascii="Cambria" w:hAnsi="Cambria"/>
          <w:sz w:val="20"/>
          <w:szCs w:val="20"/>
          <w:lang w:val="es-ES_tradnl"/>
        </w:rPr>
        <w:t>. Por ende, arguye que el ordenamiento interno disponía opciones adicionales para que la presunta víctima pueda utilizarlas en el momento procesal oportuno, y a pesar de ello no uso estas vías.</w:t>
      </w:r>
    </w:p>
    <w:p w14:paraId="078ABFA9" w14:textId="24C38ABC" w:rsidR="00C87BFE" w:rsidRPr="007D736E" w:rsidRDefault="00C87BFE" w:rsidP="005A2A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lastRenderedPageBreak/>
        <w:t>En sentido similar, alega que el señor Wu tampoco utilizó</w:t>
      </w:r>
      <w:r w:rsidR="00263E5F" w:rsidRPr="007D736E">
        <w:rPr>
          <w:rFonts w:ascii="Cambria" w:hAnsi="Cambria"/>
          <w:sz w:val="20"/>
          <w:szCs w:val="20"/>
          <w:lang w:val="es-ES_tradnl"/>
        </w:rPr>
        <w:t xml:space="preserve"> la vía constitucional para presentar un reclamo relacionado con su salud, integridad o algún aspecto asociado con su permanencia en el Centro de Atención Institucional donde está privado de su libertad. Al respecto, destaca que conforme a la inform</w:t>
      </w:r>
      <w:r w:rsidR="001761C0" w:rsidRPr="007D736E">
        <w:rPr>
          <w:rFonts w:ascii="Cambria" w:hAnsi="Cambria"/>
          <w:sz w:val="20"/>
          <w:szCs w:val="20"/>
          <w:lang w:val="es-ES_tradnl"/>
        </w:rPr>
        <w:t xml:space="preserve">ación corroborada con la Sala Constitucional de la Corte Suprema y la Dirección General de Adaptación Social, no se registran quejas administrativas, procesos incidentales o recursos judiciales relativos con las situaciones que se exponen en la presente petición. </w:t>
      </w:r>
    </w:p>
    <w:p w14:paraId="279CA2A8" w14:textId="63EAB893" w:rsidR="005505CD" w:rsidRPr="007D736E" w:rsidRDefault="005505CD" w:rsidP="00E36A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 xml:space="preserve">Asimismo, Costa Rica solicita </w:t>
      </w:r>
      <w:r w:rsidR="00EF3BC7" w:rsidRPr="007D736E">
        <w:rPr>
          <w:rFonts w:ascii="Cambria" w:hAnsi="Cambria"/>
          <w:sz w:val="20"/>
          <w:szCs w:val="20"/>
          <w:lang w:val="es-ES_tradnl"/>
        </w:rPr>
        <w:t>a la CIDH que</w:t>
      </w:r>
      <w:r w:rsidRPr="007D736E">
        <w:rPr>
          <w:rFonts w:ascii="Cambria" w:hAnsi="Cambria"/>
          <w:sz w:val="20"/>
          <w:szCs w:val="20"/>
          <w:lang w:val="es-ES_tradnl"/>
        </w:rPr>
        <w:t xml:space="preserve"> inadmita la petición por extemporánea. Sostiene que a pesar de que </w:t>
      </w:r>
      <w:r w:rsidR="00E36A6D" w:rsidRPr="007D736E">
        <w:rPr>
          <w:rFonts w:ascii="Cambria" w:hAnsi="Cambria"/>
          <w:sz w:val="20"/>
          <w:szCs w:val="20"/>
          <w:lang w:val="es-ES_tradnl"/>
        </w:rPr>
        <w:t>el 10 de mayo de 2007 las autoridades notificaron a la</w:t>
      </w:r>
      <w:r w:rsidRPr="007D736E">
        <w:rPr>
          <w:rFonts w:ascii="Cambria" w:hAnsi="Cambria"/>
          <w:sz w:val="20"/>
          <w:szCs w:val="20"/>
          <w:lang w:val="es-ES_tradnl"/>
        </w:rPr>
        <w:t xml:space="preserve"> presunta víctima el rechazo del recurso de casación interpuesto contra su fallo condenatori</w:t>
      </w:r>
      <w:r w:rsidR="00E36A6D" w:rsidRPr="007D736E">
        <w:rPr>
          <w:rFonts w:ascii="Cambria" w:hAnsi="Cambria"/>
          <w:sz w:val="20"/>
          <w:szCs w:val="20"/>
          <w:lang w:val="es-ES_tradnl"/>
        </w:rPr>
        <w:t>o</w:t>
      </w:r>
      <w:r w:rsidRPr="007D736E">
        <w:rPr>
          <w:rFonts w:ascii="Cambria" w:hAnsi="Cambria"/>
          <w:sz w:val="20"/>
          <w:szCs w:val="20"/>
          <w:lang w:val="es-ES_tradnl"/>
        </w:rPr>
        <w:t xml:space="preserve">, la parte peticionaria recién presentó esta petición el </w:t>
      </w:r>
      <w:r w:rsidR="00E36A6D" w:rsidRPr="007D736E">
        <w:rPr>
          <w:rFonts w:ascii="Cambria" w:hAnsi="Cambria"/>
          <w:sz w:val="20"/>
          <w:szCs w:val="20"/>
          <w:lang w:val="es-ES_tradnl"/>
        </w:rPr>
        <w:t>1 de febrero de 2010</w:t>
      </w:r>
      <w:r w:rsidR="00623E36" w:rsidRPr="007D736E">
        <w:rPr>
          <w:rFonts w:ascii="Cambria" w:hAnsi="Cambria"/>
          <w:sz w:val="20"/>
          <w:szCs w:val="20"/>
          <w:lang w:val="es-ES_tradnl"/>
        </w:rPr>
        <w:t>,</w:t>
      </w:r>
      <w:r w:rsidRPr="007D736E">
        <w:rPr>
          <w:rFonts w:ascii="Cambria" w:hAnsi="Cambria"/>
          <w:sz w:val="20"/>
          <w:szCs w:val="20"/>
          <w:lang w:val="es-ES_tradnl"/>
        </w:rPr>
        <w:t xml:space="preserve"> y, por ende, incurrió en una demora de </w:t>
      </w:r>
      <w:r w:rsidR="00E36A6D" w:rsidRPr="007D736E">
        <w:rPr>
          <w:rFonts w:ascii="Cambria" w:hAnsi="Cambria"/>
          <w:sz w:val="20"/>
          <w:szCs w:val="20"/>
          <w:lang w:val="es-ES_tradnl"/>
        </w:rPr>
        <w:t>dos</w:t>
      </w:r>
      <w:r w:rsidRPr="007D736E">
        <w:rPr>
          <w:rFonts w:ascii="Cambria" w:hAnsi="Cambria"/>
          <w:sz w:val="20"/>
          <w:szCs w:val="20"/>
          <w:lang w:val="es-ES_tradnl"/>
        </w:rPr>
        <w:t xml:space="preserve"> años y </w:t>
      </w:r>
      <w:r w:rsidR="00E36A6D" w:rsidRPr="007D736E">
        <w:rPr>
          <w:rFonts w:ascii="Cambria" w:hAnsi="Cambria"/>
          <w:sz w:val="20"/>
          <w:szCs w:val="20"/>
          <w:lang w:val="es-ES_tradnl"/>
        </w:rPr>
        <w:t>ocho</w:t>
      </w:r>
      <w:r w:rsidRPr="007D736E">
        <w:rPr>
          <w:rFonts w:ascii="Cambria" w:hAnsi="Cambria"/>
          <w:sz w:val="20"/>
          <w:szCs w:val="20"/>
          <w:lang w:val="es-ES_tradnl"/>
        </w:rPr>
        <w:t xml:space="preserve"> meses desde la notificación de la decisión que agotó la jurisdicción interna. En consecuencia, solicita a la CIDH que declare inadmisible el presente asunto por no cumplir con el requisito de plazo de seis meses previsto en el artículo 46.1.b). </w:t>
      </w:r>
    </w:p>
    <w:p w14:paraId="3F18BF3A" w14:textId="77777777" w:rsidR="005505CD" w:rsidRPr="007D736E" w:rsidRDefault="005505CD" w:rsidP="00550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7D736E">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2AD61793" w14:textId="3C1E3443" w:rsidR="005A2AF0" w:rsidRPr="007D736E" w:rsidRDefault="005505CD" w:rsidP="00550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Cambria" w:hAnsi="Cambria"/>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57D54A66" w14:textId="29E4B3E0" w:rsidR="00003A6D" w:rsidRPr="007D736E" w:rsidRDefault="00003A6D" w:rsidP="00003A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_tradnl"/>
        </w:rPr>
      </w:pPr>
      <w:r w:rsidRPr="007D736E">
        <w:rPr>
          <w:rFonts w:ascii="Cambria" w:hAnsi="Cambria"/>
          <w:b/>
          <w:bCs/>
          <w:sz w:val="20"/>
          <w:szCs w:val="20"/>
          <w:lang w:val="es-ES_tradnl"/>
        </w:rPr>
        <w:t xml:space="preserve">VI. </w:t>
      </w:r>
      <w:r w:rsidRPr="007D736E">
        <w:rPr>
          <w:rFonts w:ascii="Cambria" w:hAnsi="Cambria"/>
          <w:b/>
          <w:bCs/>
          <w:sz w:val="20"/>
          <w:szCs w:val="20"/>
          <w:lang w:val="es-ES_tradnl"/>
        </w:rPr>
        <w:tab/>
        <w:t>CONSIDERACIONES PREVIAS</w:t>
      </w:r>
    </w:p>
    <w:p w14:paraId="4308887B"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7D736E">
        <w:rPr>
          <w:rFonts w:asciiTheme="majorHAnsi" w:hAnsiTheme="majorHAnsi"/>
          <w:bCs/>
          <w:sz w:val="20"/>
          <w:szCs w:val="20"/>
          <w:lang w:val="es-ES_tradnl"/>
        </w:rPr>
        <w:t xml:space="preserve">La Comisión observa que el objeto principal de la presente petición es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3968A117"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36E">
        <w:rPr>
          <w:rFonts w:asciiTheme="majorHAnsi" w:hAnsiTheme="majorHAnsi"/>
          <w:bCs/>
          <w:sz w:val="20"/>
          <w:szCs w:val="20"/>
          <w:lang w:val="es-ES_tradnl"/>
        </w:rPr>
        <w:t xml:space="preserve">Así, en la sentencia del caso </w:t>
      </w:r>
      <w:r w:rsidRPr="007D736E">
        <w:rPr>
          <w:rFonts w:asciiTheme="majorHAnsi" w:hAnsiTheme="majorHAnsi"/>
          <w:bCs/>
          <w:i/>
          <w:iCs/>
          <w:sz w:val="20"/>
          <w:szCs w:val="20"/>
          <w:lang w:val="es-ES_tradnl"/>
        </w:rPr>
        <w:t xml:space="preserve">Herrera Ulloa vs. Costa Rica </w:t>
      </w:r>
      <w:r w:rsidRPr="007D736E">
        <w:rPr>
          <w:rFonts w:asciiTheme="majorHAnsi" w:hAnsiTheme="majorHAnsi"/>
          <w:bCs/>
          <w:sz w:val="20"/>
          <w:szCs w:val="20"/>
          <w:lang w:val="es-ES_tradnl"/>
        </w:rPr>
        <w:t>del 2 de julio de 2004, la Corte Interamericana de Derechos Humanos</w:t>
      </w:r>
      <w:r w:rsidRPr="007D736E">
        <w:rPr>
          <w:rStyle w:val="FootnoteReference"/>
          <w:rFonts w:asciiTheme="majorHAnsi" w:hAnsiTheme="majorHAnsi"/>
          <w:bCs/>
          <w:sz w:val="20"/>
          <w:szCs w:val="20"/>
          <w:lang w:val="es-ES_tradnl"/>
        </w:rPr>
        <w:footnoteReference w:id="6"/>
      </w:r>
      <w:r w:rsidRPr="007D736E">
        <w:rPr>
          <w:rFonts w:asciiTheme="majorHAnsi" w:hAnsiTheme="majorHAnsi"/>
          <w:bCs/>
          <w:sz w:val="20"/>
          <w:szCs w:val="20"/>
          <w:lang w:val="es-ES_tradnl"/>
        </w:rPr>
        <w:t xml:space="preserve"> examinó la regulación establecida en el Código Procesal Penal vigente desde 1998; y concluyó que no contaba con “</w:t>
      </w:r>
      <w:r w:rsidRPr="007D736E">
        <w:rPr>
          <w:rFonts w:asciiTheme="majorHAnsi" w:hAnsiTheme="majorHAnsi"/>
          <w:bCs/>
          <w:i/>
          <w:iCs/>
          <w:sz w:val="20"/>
          <w:szCs w:val="20"/>
          <w:lang w:val="es-ES_tradnl"/>
        </w:rPr>
        <w:t xml:space="preserve">un recurso que </w:t>
      </w:r>
      <w:r w:rsidRPr="007D736E">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7D736E">
        <w:rPr>
          <w:rFonts w:asciiTheme="majorHAnsi" w:hAnsiTheme="majorHAnsi"/>
          <w:sz w:val="20"/>
          <w:szCs w:val="20"/>
          <w:lang w:val="es-ES_tradnl"/>
        </w:rPr>
        <w:t>”, dada las limitaciones que tenía la regulación del recurso de casación en el ámbito penal</w:t>
      </w:r>
      <w:r w:rsidRPr="007D736E">
        <w:rPr>
          <w:rStyle w:val="FootnoteReference"/>
          <w:rFonts w:asciiTheme="majorHAnsi" w:hAnsiTheme="majorHAnsi"/>
          <w:sz w:val="20"/>
          <w:szCs w:val="20"/>
          <w:lang w:val="es-ES_tradnl"/>
        </w:rPr>
        <w:footnoteReference w:id="7"/>
      </w:r>
      <w:r w:rsidRPr="007D736E">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7D736E">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7D736E">
        <w:rPr>
          <w:rFonts w:asciiTheme="majorHAnsi" w:hAnsiTheme="majorHAnsi"/>
          <w:sz w:val="20"/>
          <w:szCs w:val="20"/>
          <w:lang w:val="es-ES_tradnl"/>
        </w:rPr>
        <w:t>”</w:t>
      </w:r>
      <w:r w:rsidRPr="007D736E">
        <w:rPr>
          <w:rStyle w:val="FootnoteReference"/>
          <w:rFonts w:asciiTheme="majorHAnsi" w:hAnsiTheme="majorHAnsi"/>
          <w:sz w:val="20"/>
          <w:szCs w:val="20"/>
          <w:lang w:val="es-ES_tradnl"/>
        </w:rPr>
        <w:footnoteReference w:id="8"/>
      </w:r>
      <w:r w:rsidRPr="007D736E">
        <w:rPr>
          <w:rFonts w:asciiTheme="majorHAnsi" w:hAnsiTheme="majorHAnsi"/>
          <w:sz w:val="20"/>
          <w:szCs w:val="20"/>
          <w:lang w:val="es-ES_tradnl"/>
        </w:rPr>
        <w:t>.</w:t>
      </w:r>
    </w:p>
    <w:p w14:paraId="7DF8B0FD"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736E">
        <w:rPr>
          <w:rFonts w:asciiTheme="majorHAnsi" w:hAnsiTheme="majorHAnsi"/>
          <w:bCs/>
          <w:sz w:val="20"/>
          <w:szCs w:val="20"/>
          <w:lang w:val="es-ES_tradnl"/>
        </w:rPr>
        <w:lastRenderedPageBreak/>
        <w:t>Como consecuencia de esta sentencia, Costa Rica reformó la regulación de su sistema procesal penal a efectos de contar con una regulación acorde con las obligaciones contempladas en el artículo 8.2.h) de la Convención Americana. Así, el 6 de</w:t>
      </w:r>
      <w:r w:rsidRPr="007D736E">
        <w:rPr>
          <w:rFonts w:ascii="Cambria" w:hAnsi="Cambria"/>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7D736E">
        <w:rPr>
          <w:rFonts w:ascii="Cambria" w:hAnsi="Cambria"/>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7D736E">
        <w:rPr>
          <w:rFonts w:ascii="Cambria" w:hAnsi="Cambria"/>
          <w:sz w:val="20"/>
          <w:szCs w:val="20"/>
          <w:lang w:val="es-ES_tradnl"/>
        </w:rPr>
        <w:t>”. En virtud de ello, la Corte Interamericana consideró que “</w:t>
      </w:r>
      <w:r w:rsidRPr="007D736E">
        <w:rPr>
          <w:rFonts w:ascii="Cambria" w:hAnsi="Cambria"/>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7D736E">
        <w:rPr>
          <w:rFonts w:ascii="Cambria" w:hAnsi="Cambria"/>
          <w:sz w:val="20"/>
          <w:szCs w:val="20"/>
          <w:lang w:val="es-ES_tradnl"/>
        </w:rPr>
        <w:t>”</w:t>
      </w:r>
      <w:r w:rsidRPr="007D736E">
        <w:rPr>
          <w:rStyle w:val="FootnoteReference"/>
          <w:rFonts w:ascii="Cambria" w:hAnsi="Cambria"/>
          <w:sz w:val="20"/>
          <w:szCs w:val="20"/>
          <w:lang w:val="es-ES_tradnl"/>
        </w:rPr>
        <w:footnoteReference w:id="9"/>
      </w:r>
      <w:r w:rsidRPr="007D736E">
        <w:rPr>
          <w:rFonts w:ascii="Cambria" w:hAnsi="Cambria"/>
          <w:sz w:val="20"/>
          <w:szCs w:val="20"/>
          <w:lang w:val="es-ES_tradnl"/>
        </w:rPr>
        <w:t>.</w:t>
      </w:r>
    </w:p>
    <w:p w14:paraId="48AADE9C"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D736E">
        <w:rPr>
          <w:rFonts w:asciiTheme="majorHAnsi" w:hAnsiTheme="majorHAnsi"/>
          <w:bCs/>
          <w:sz w:val="20"/>
          <w:szCs w:val="20"/>
          <w:lang w:val="es-ES_tradnl"/>
        </w:rPr>
        <w:t>Adicionalmente, tanto la Comisión como la Corte IDH también constataron que e</w:t>
      </w:r>
      <w:r w:rsidRPr="007D736E">
        <w:rPr>
          <w:rFonts w:ascii="Cambria" w:hAnsi="Cambria"/>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5E2AD485"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D736E">
        <w:rPr>
          <w:rFonts w:ascii="Cambria" w:hAnsi="Cambria"/>
          <w:sz w:val="20"/>
          <w:szCs w:val="20"/>
          <w:lang w:val="es-ES_tradnl"/>
        </w:rPr>
        <w:t xml:space="preserve">Como consecuencia de las citadas modificaciones, en la sentencia del caso </w:t>
      </w:r>
      <w:r w:rsidRPr="007D736E">
        <w:rPr>
          <w:rFonts w:ascii="Cambria" w:hAnsi="Cambria"/>
          <w:i/>
          <w:iCs/>
          <w:sz w:val="20"/>
          <w:szCs w:val="20"/>
          <w:lang w:val="es-ES_tradnl"/>
        </w:rPr>
        <w:t>Amrhein y otros vs. Costa Rica</w:t>
      </w:r>
      <w:r w:rsidRPr="007D736E">
        <w:rPr>
          <w:rFonts w:ascii="Cambria" w:hAnsi="Cambria"/>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2C27E7F5"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D736E">
        <w:rPr>
          <w:rFonts w:ascii="Cambria" w:hAnsi="Cambria"/>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7D736E">
        <w:rPr>
          <w:rFonts w:ascii="Cambria" w:hAnsi="Cambria"/>
          <w:i/>
          <w:iCs/>
          <w:sz w:val="20"/>
          <w:szCs w:val="20"/>
          <w:lang w:val="es-ES_tradnl"/>
        </w:rPr>
        <w:t xml:space="preserve">el hecho de que se trataría de un recurso extraordinario no puede ser determinante, </w:t>
      </w:r>
      <w:r w:rsidRPr="007D736E">
        <w:rPr>
          <w:rFonts w:ascii="Cambria" w:hAnsi="Cambria"/>
          <w:sz w:val="20"/>
          <w:szCs w:val="20"/>
          <w:lang w:val="es-ES_tradnl"/>
        </w:rPr>
        <w:t>per se</w:t>
      </w:r>
      <w:r w:rsidRPr="007D736E">
        <w:rPr>
          <w:rFonts w:ascii="Cambria" w:hAnsi="Cambria"/>
          <w:i/>
          <w:iCs/>
          <w:sz w:val="20"/>
          <w:szCs w:val="20"/>
          <w:lang w:val="es-ES_tradnl"/>
        </w:rPr>
        <w:t>, para concluir su inefectividad”</w:t>
      </w:r>
      <w:r w:rsidRPr="007D736E">
        <w:rPr>
          <w:rStyle w:val="FootnoteReference"/>
          <w:rFonts w:ascii="Cambria" w:hAnsi="Cambria"/>
          <w:i/>
          <w:iCs/>
          <w:sz w:val="20"/>
          <w:szCs w:val="20"/>
          <w:lang w:val="es-ES_tradnl"/>
        </w:rPr>
        <w:footnoteReference w:id="10"/>
      </w:r>
      <w:r w:rsidRPr="007D736E">
        <w:rPr>
          <w:rFonts w:ascii="Cambria" w:hAnsi="Cambria"/>
          <w:i/>
          <w:iCs/>
          <w:sz w:val="20"/>
          <w:szCs w:val="20"/>
          <w:lang w:val="es-ES_tradnl"/>
        </w:rPr>
        <w:t xml:space="preserve">. </w:t>
      </w:r>
      <w:r w:rsidRPr="007D736E">
        <w:rPr>
          <w:rFonts w:ascii="Cambria" w:hAnsi="Cambria"/>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11FA5C3A"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D736E">
        <w:rPr>
          <w:rFonts w:ascii="Cambria" w:hAnsi="Cambria"/>
          <w:sz w:val="20"/>
          <w:szCs w:val="20"/>
          <w:lang w:val="es-ES_tradnl"/>
        </w:rPr>
        <w:t>Finalmente, a efectos del análisis de caracterización de las peticiones, la Comisión nota que la Corte Interamericana concluyó en la citada sentencia que no correspondía “</w:t>
      </w:r>
      <w:r w:rsidRPr="007D736E">
        <w:rPr>
          <w:rFonts w:ascii="Cambria" w:hAnsi="Cambria"/>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7D736E">
        <w:rPr>
          <w:rFonts w:ascii="Cambria" w:hAnsi="Cambria"/>
          <w:sz w:val="20"/>
          <w:szCs w:val="20"/>
          <w:lang w:val="es-ES_tradnl"/>
        </w:rPr>
        <w:t xml:space="preserve"> […]”</w:t>
      </w:r>
      <w:r w:rsidRPr="007D736E">
        <w:rPr>
          <w:rStyle w:val="FootnoteReference"/>
          <w:rFonts w:ascii="Cambria" w:hAnsi="Cambria"/>
          <w:sz w:val="20"/>
          <w:szCs w:val="20"/>
          <w:lang w:val="es-ES_tradnl"/>
        </w:rPr>
        <w:footnoteReference w:id="11"/>
      </w:r>
      <w:r w:rsidRPr="007D736E">
        <w:rPr>
          <w:rFonts w:ascii="Cambria" w:hAnsi="Cambria"/>
          <w:sz w:val="20"/>
          <w:szCs w:val="20"/>
          <w:lang w:val="es-ES_tradnl"/>
        </w:rPr>
        <w:t xml:space="preserve">. Asimismo, recuerda que en la resolución de supervisión de cumplimiento del 22 de noviembre de 2010 del caso </w:t>
      </w:r>
      <w:r w:rsidRPr="007D736E">
        <w:rPr>
          <w:rFonts w:ascii="Cambria" w:hAnsi="Cambria"/>
          <w:i/>
          <w:iCs/>
          <w:sz w:val="20"/>
          <w:szCs w:val="20"/>
          <w:lang w:val="es-ES_tradnl"/>
        </w:rPr>
        <w:t xml:space="preserve">Herrera Ulloa vs. Costa Rica, </w:t>
      </w:r>
      <w:r w:rsidRPr="007D736E">
        <w:rPr>
          <w:rFonts w:ascii="Cambria" w:hAnsi="Cambria"/>
          <w:sz w:val="20"/>
          <w:szCs w:val="20"/>
          <w:lang w:val="es-ES_tradnl"/>
        </w:rPr>
        <w:t>el Tribunal valoró positivamente las reformas introducidas en la legislación procesal penal y, en virtud de tales modificaciones, concluyó que “</w:t>
      </w:r>
      <w:r w:rsidRPr="007D736E">
        <w:rPr>
          <w:rFonts w:ascii="Cambria" w:hAnsi="Cambria"/>
          <w:i/>
          <w:iCs/>
          <w:sz w:val="20"/>
          <w:szCs w:val="20"/>
          <w:lang w:val="es-ES_tradnl"/>
        </w:rPr>
        <w:t xml:space="preserve">al garantizar </w:t>
      </w:r>
      <w:r w:rsidRPr="007D736E">
        <w:rPr>
          <w:rFonts w:ascii="Cambria" w:hAnsi="Cambria"/>
          <w:i/>
          <w:iCs/>
          <w:sz w:val="20"/>
          <w:szCs w:val="20"/>
          <w:lang w:val="es-ES_tradnl"/>
        </w:rPr>
        <w:lastRenderedPageBreak/>
        <w:t>la posibilidad de un amplio control de la sentencia emitida por un tribunal de juicio en materia penal a nivel interno</w:t>
      </w:r>
      <w:r w:rsidRPr="007D736E">
        <w:rPr>
          <w:rFonts w:ascii="Cambria" w:hAnsi="Cambria"/>
          <w:sz w:val="20"/>
          <w:szCs w:val="20"/>
          <w:lang w:val="es-ES_tradnl"/>
        </w:rPr>
        <w:t>”</w:t>
      </w:r>
      <w:r w:rsidRPr="007D736E">
        <w:rPr>
          <w:rStyle w:val="FootnoteReference"/>
          <w:rFonts w:ascii="Cambria" w:hAnsi="Cambria"/>
          <w:sz w:val="20"/>
          <w:szCs w:val="20"/>
          <w:lang w:val="es-ES_tradnl"/>
        </w:rPr>
        <w:footnoteReference w:id="12"/>
      </w:r>
      <w:r w:rsidRPr="007D736E">
        <w:rPr>
          <w:rFonts w:ascii="Cambria" w:hAnsi="Cambria"/>
          <w:sz w:val="20"/>
          <w:szCs w:val="20"/>
          <w:lang w:val="es-ES_tradnl"/>
        </w:rPr>
        <w:t xml:space="preserve">, Costa Rica había cumplido con adecuar su legislación interna. </w:t>
      </w:r>
    </w:p>
    <w:p w14:paraId="4CB0D5B7" w14:textId="77777777" w:rsidR="003E1759" w:rsidRPr="007D736E" w:rsidRDefault="003E1759" w:rsidP="003E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D736E">
        <w:rPr>
          <w:rFonts w:ascii="Cambria" w:hAnsi="Cambria"/>
          <w:sz w:val="20"/>
          <w:szCs w:val="20"/>
          <w:lang w:val="es-ES_tradnl"/>
        </w:rPr>
        <w:t>Sin perjuicio de ello, la Comisión destaca que las citadas normas</w:t>
      </w:r>
      <w:r w:rsidRPr="007D736E">
        <w:rPr>
          <w:rFonts w:ascii="Cambria" w:hAnsi="Cambria" w:cs="Calibri"/>
          <w:sz w:val="20"/>
          <w:szCs w:val="20"/>
          <w:lang w:val="es-ES_tradnl"/>
        </w:rPr>
        <w:t xml:space="preserve">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7D736E">
        <w:rPr>
          <w:rFonts w:ascii="Cambria" w:hAnsi="Cambria" w:cs="Calibri"/>
          <w:i/>
          <w:iCs/>
          <w:sz w:val="20"/>
          <w:szCs w:val="20"/>
          <w:lang w:val="es-ES_tradnl"/>
        </w:rPr>
        <w:t>el agravio y los aspectos de hecho y derecho que no fueron posibles de conocer en casación</w:t>
      </w:r>
      <w:r w:rsidRPr="007D736E">
        <w:rPr>
          <w:rFonts w:ascii="Cambria" w:hAnsi="Cambria" w:cs="Calibri"/>
          <w:sz w:val="20"/>
          <w:szCs w:val="20"/>
          <w:lang w:val="es-ES_tradnl"/>
        </w:rPr>
        <w:t>”. Por su parte, el Transitorio III de la ley 8837 demandaba para la procedencia del procedimiento de revisión que el condenado “</w:t>
      </w:r>
      <w:r w:rsidRPr="007D736E">
        <w:rPr>
          <w:rFonts w:ascii="Cambria" w:hAnsi="Cambria" w:cs="Calibri"/>
          <w:i/>
          <w:iCs/>
          <w:sz w:val="20"/>
          <w:szCs w:val="20"/>
          <w:lang w:val="es-ES_tradnl"/>
        </w:rPr>
        <w:t>haya alegado con anterioridad la vulneración del artículo 8.2.h de la Convención</w:t>
      </w:r>
      <w:r w:rsidRPr="007D736E">
        <w:rPr>
          <w:rFonts w:ascii="Cambria" w:hAnsi="Cambria" w:cs="Calibri"/>
          <w:sz w:val="20"/>
          <w:szCs w:val="20"/>
          <w:lang w:val="es-ES_tradnl"/>
        </w:rPr>
        <w:t xml:space="preserve">”.   </w:t>
      </w:r>
    </w:p>
    <w:p w14:paraId="3703B39C" w14:textId="77777777" w:rsidR="003E1759" w:rsidRPr="007D736E" w:rsidRDefault="003E1759" w:rsidP="003E175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D736E">
        <w:rPr>
          <w:rFonts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7D736E">
        <w:rPr>
          <w:rStyle w:val="FootnoteReference"/>
          <w:rFonts w:cs="Calibri"/>
          <w:sz w:val="20"/>
          <w:szCs w:val="20"/>
          <w:lang w:val="es-ES_tradnl"/>
        </w:rPr>
        <w:footnoteReference w:id="13"/>
      </w:r>
      <w:r w:rsidRPr="007D736E">
        <w:rPr>
          <w:rFonts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240E3141" w14:textId="77777777" w:rsidR="003E1759" w:rsidRPr="007D736E" w:rsidRDefault="003E1759" w:rsidP="003E17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4F844C53" w14:textId="77777777" w:rsidR="003E1759" w:rsidRPr="007D736E" w:rsidRDefault="003E1759" w:rsidP="003E175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D736E">
        <w:rPr>
          <w:sz w:val="20"/>
          <w:szCs w:val="20"/>
          <w:lang w:val="es-ES_tradnl"/>
        </w:rPr>
        <w:t>No obstante, la Comisión reconoce, en primer término, que la Sala Constitucional de la Corte Suprema de Justicia de Costa Rica se refirió en reiterados pronunciamientos a la necesidad de “</w:t>
      </w:r>
      <w:r w:rsidRPr="007D736E">
        <w:rPr>
          <w:i/>
          <w:iCs/>
          <w:sz w:val="20"/>
          <w:szCs w:val="20"/>
          <w:lang w:val="es-ES_tradnl"/>
        </w:rPr>
        <w:t>asegurar el derecho al recurso, excluyendo formalismos que impidieran la revisión de las sentencias de condena, a fin de satisfacer lo dispuesto por el artículo 8.2.h de la Convención</w:t>
      </w:r>
      <w:r w:rsidRPr="007D736E">
        <w:rPr>
          <w:sz w:val="20"/>
          <w:szCs w:val="20"/>
          <w:lang w:val="es-ES_tradnl"/>
        </w:rPr>
        <w:t>”</w:t>
      </w:r>
      <w:r w:rsidRPr="007D736E">
        <w:rPr>
          <w:rStyle w:val="FootnoteReference"/>
          <w:sz w:val="20"/>
          <w:szCs w:val="20"/>
          <w:lang w:val="es-ES_tradnl"/>
        </w:rPr>
        <w:footnoteReference w:id="14"/>
      </w:r>
      <w:r w:rsidRPr="007D736E">
        <w:rPr>
          <w:sz w:val="20"/>
          <w:szCs w:val="20"/>
          <w:lang w:val="es-ES_tradnl"/>
        </w:rPr>
        <w:t>.</w:t>
      </w:r>
    </w:p>
    <w:p w14:paraId="2170F175" w14:textId="77777777" w:rsidR="003E1759" w:rsidRPr="007D736E" w:rsidRDefault="003E1759" w:rsidP="003E17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04EBDF2A" w14:textId="77777777" w:rsidR="003E1759" w:rsidRPr="007D736E" w:rsidRDefault="003E1759" w:rsidP="003E175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D736E">
        <w:rPr>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7D736E">
        <w:rPr>
          <w:i/>
          <w:iCs/>
          <w:sz w:val="20"/>
          <w:szCs w:val="20"/>
          <w:lang w:val="es-ES_tradnl"/>
        </w:rPr>
        <w:t>Herrera Ulloa</w:t>
      </w:r>
      <w:r w:rsidRPr="007D736E">
        <w:rPr>
          <w:sz w:val="20"/>
          <w:szCs w:val="20"/>
          <w:lang w:val="es-ES_tradnl"/>
        </w:rPr>
        <w:t xml:space="preserve">. </w:t>
      </w:r>
    </w:p>
    <w:p w14:paraId="67DCF093" w14:textId="77777777" w:rsidR="003E1759" w:rsidRPr="007D736E" w:rsidRDefault="003E1759" w:rsidP="003E17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22061896" w14:textId="77777777" w:rsidR="003E1759" w:rsidRPr="007D736E" w:rsidRDefault="003E1759" w:rsidP="003E175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D736E">
        <w:rPr>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0661C41A" w14:textId="77777777" w:rsidR="003E1759" w:rsidRPr="007D736E" w:rsidRDefault="003E1759" w:rsidP="003E17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1D57A282" w14:textId="6E0C34DB" w:rsidR="00003A6D" w:rsidRPr="007D736E" w:rsidRDefault="003E1759" w:rsidP="003E175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D736E">
        <w:rPr>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7D736E">
        <w:rPr>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7D736E">
        <w:rPr>
          <w:sz w:val="20"/>
          <w:szCs w:val="20"/>
          <w:lang w:val="es-ES_tradnl"/>
        </w:rPr>
        <w:t>”</w:t>
      </w:r>
      <w:r w:rsidRPr="007D736E">
        <w:rPr>
          <w:rStyle w:val="FootnoteReference"/>
          <w:sz w:val="20"/>
          <w:szCs w:val="20"/>
          <w:lang w:val="es-ES_tradnl"/>
        </w:rPr>
        <w:footnoteReference w:id="15"/>
      </w:r>
      <w:r w:rsidRPr="007D736E">
        <w:rPr>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7D736E">
        <w:rPr>
          <w:i/>
          <w:iCs/>
          <w:sz w:val="20"/>
          <w:szCs w:val="20"/>
          <w:lang w:val="es-ES_tradnl"/>
        </w:rPr>
        <w:t>prima facie</w:t>
      </w:r>
      <w:r w:rsidRPr="007D736E">
        <w:rPr>
          <w:sz w:val="20"/>
          <w:szCs w:val="20"/>
          <w:lang w:val="es-ES_tradnl"/>
        </w:rPr>
        <w:t xml:space="preserve"> violaciones a la Convención Americana, en los términos de su artículo 47.</w:t>
      </w:r>
    </w:p>
    <w:p w14:paraId="1A20E1C5" w14:textId="77777777" w:rsidR="009A7072" w:rsidRPr="00C96932" w:rsidRDefault="009A7072" w:rsidP="009A7072">
      <w:pPr>
        <w:spacing w:before="240" w:after="240"/>
        <w:ind w:firstLine="720"/>
        <w:jc w:val="both"/>
        <w:rPr>
          <w:rFonts w:ascii="Cambria" w:hAnsi="Cambria"/>
          <w:sz w:val="20"/>
          <w:szCs w:val="20"/>
          <w:lang w:val="es-ES_tradnl"/>
        </w:rPr>
      </w:pPr>
      <w:r w:rsidRPr="00C96932">
        <w:rPr>
          <w:rFonts w:asciiTheme="majorHAnsi" w:eastAsia="Cambria" w:hAnsiTheme="majorHAnsi" w:cs="Cambria"/>
          <w:b/>
          <w:bCs/>
          <w:color w:val="000000"/>
          <w:sz w:val="20"/>
          <w:szCs w:val="20"/>
          <w:u w:color="000000"/>
          <w:lang w:val="es-ES_tradnl" w:eastAsia="es-ES"/>
        </w:rPr>
        <w:lastRenderedPageBreak/>
        <w:t>VI</w:t>
      </w:r>
      <w:r>
        <w:rPr>
          <w:rFonts w:asciiTheme="majorHAnsi" w:eastAsia="Cambria" w:hAnsiTheme="majorHAnsi" w:cs="Cambria"/>
          <w:b/>
          <w:bCs/>
          <w:color w:val="000000"/>
          <w:sz w:val="20"/>
          <w:szCs w:val="20"/>
          <w:u w:color="000000"/>
          <w:lang w:val="es-ES_tradnl" w:eastAsia="es-ES"/>
        </w:rPr>
        <w:t>I</w:t>
      </w:r>
      <w:r w:rsidRPr="00C96932">
        <w:rPr>
          <w:rFonts w:asciiTheme="majorHAnsi" w:eastAsia="Cambria" w:hAnsiTheme="majorHAnsi" w:cs="Cambria"/>
          <w:b/>
          <w:bCs/>
          <w:color w:val="000000"/>
          <w:sz w:val="20"/>
          <w:szCs w:val="20"/>
          <w:u w:color="000000"/>
          <w:lang w:val="es-ES_tradnl" w:eastAsia="es-ES"/>
        </w:rPr>
        <w:t xml:space="preserve">. </w:t>
      </w:r>
      <w:r w:rsidRPr="00C96932">
        <w:rPr>
          <w:rFonts w:asciiTheme="majorHAnsi" w:eastAsia="Cambria" w:hAnsiTheme="majorHAnsi" w:cs="Cambria"/>
          <w:b/>
          <w:bCs/>
          <w:color w:val="000000"/>
          <w:sz w:val="20"/>
          <w:szCs w:val="20"/>
          <w:u w:color="000000"/>
          <w:lang w:val="es-ES_tradnl" w:eastAsia="es-ES"/>
        </w:rPr>
        <w:tab/>
      </w:r>
      <w:r w:rsidRPr="00C96932">
        <w:rPr>
          <w:rFonts w:asciiTheme="majorHAnsi" w:hAnsiTheme="majorHAnsi"/>
          <w:b/>
          <w:bCs/>
          <w:sz w:val="20"/>
          <w:szCs w:val="20"/>
          <w:lang w:val="es-ES_tradnl"/>
        </w:rPr>
        <w:t xml:space="preserve">ANÁLISIS DE </w:t>
      </w:r>
      <w:r w:rsidRPr="00C96932">
        <w:rPr>
          <w:rFonts w:asciiTheme="majorHAnsi" w:hAnsiTheme="majorHAnsi"/>
          <w:b/>
          <w:sz w:val="20"/>
          <w:szCs w:val="20"/>
          <w:lang w:val="es-ES_tradnl"/>
        </w:rPr>
        <w:t>AGOTAMIENTO DE LOS RECURSOS INTERNOS Y PLAZO DE PRESENTACIÓN</w:t>
      </w:r>
      <w:r w:rsidRPr="00C96932">
        <w:rPr>
          <w:rFonts w:asciiTheme="majorHAnsi" w:eastAsia="Cambria" w:hAnsiTheme="majorHAnsi" w:cs="Cambria"/>
          <w:b/>
          <w:bCs/>
          <w:color w:val="000000"/>
          <w:sz w:val="20"/>
          <w:szCs w:val="20"/>
          <w:u w:color="000000"/>
          <w:lang w:val="es-ES_tradnl" w:eastAsia="es-ES"/>
        </w:rPr>
        <w:t xml:space="preserve"> </w:t>
      </w:r>
    </w:p>
    <w:p w14:paraId="7A820241" w14:textId="4D615E2D" w:rsidR="009A7072" w:rsidRPr="00C96932"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96932">
        <w:rPr>
          <w:rFonts w:ascii="Cambria" w:hAnsi="Cambria"/>
          <w:sz w:val="20"/>
          <w:szCs w:val="20"/>
          <w:lang w:val="es-ES_tradnl"/>
        </w:rPr>
        <w:t>Con base en las consideraciones expuestas, la Comisión observa que</w:t>
      </w:r>
      <w:r>
        <w:rPr>
          <w:rFonts w:ascii="Cambria" w:hAnsi="Cambria"/>
          <w:sz w:val="20"/>
          <w:szCs w:val="20"/>
          <w:lang w:val="es-ES_tradnl"/>
        </w:rPr>
        <w:t>, luego de rechazar un recurso de casación,</w:t>
      </w:r>
      <w:r w:rsidRPr="00C96932">
        <w:rPr>
          <w:rFonts w:ascii="Cambria" w:hAnsi="Cambria"/>
          <w:sz w:val="20"/>
          <w:szCs w:val="20"/>
          <w:lang w:val="es-ES_tradnl"/>
        </w:rPr>
        <w:t xml:space="preserve"> el</w:t>
      </w:r>
      <w:r w:rsidRPr="007D736E">
        <w:rPr>
          <w:rFonts w:ascii="Cambria" w:hAnsi="Cambria"/>
          <w:sz w:val="20"/>
          <w:szCs w:val="20"/>
          <w:lang w:val="es-ES_tradnl"/>
        </w:rPr>
        <w:t xml:space="preserve"> 30 de mayo de 2011</w:t>
      </w:r>
      <w:r>
        <w:rPr>
          <w:rFonts w:ascii="Cambria" w:hAnsi="Cambria"/>
          <w:sz w:val="20"/>
          <w:szCs w:val="20"/>
          <w:lang w:val="es-ES_tradnl"/>
        </w:rPr>
        <w:t xml:space="preserve"> </w:t>
      </w:r>
      <w:r w:rsidRPr="0065562E">
        <w:rPr>
          <w:rFonts w:ascii="Cambria" w:hAnsi="Cambria"/>
          <w:sz w:val="20"/>
          <w:szCs w:val="20"/>
          <w:lang w:val="es-ES_tradnl"/>
        </w:rPr>
        <w:t xml:space="preserve">la </w:t>
      </w:r>
      <w:r w:rsidRPr="00C96932">
        <w:rPr>
          <w:rFonts w:ascii="Cambria" w:hAnsi="Cambria"/>
          <w:sz w:val="20"/>
          <w:szCs w:val="20"/>
          <w:lang w:val="es-ES_tradnl"/>
        </w:rPr>
        <w:t>Sala Tercera de la Corte Suprema de Justicia</w:t>
      </w:r>
      <w:r w:rsidRPr="0065562E">
        <w:rPr>
          <w:rFonts w:ascii="Cambria" w:hAnsi="Cambria"/>
          <w:sz w:val="20"/>
          <w:szCs w:val="20"/>
          <w:lang w:val="es-ES_tradnl"/>
        </w:rPr>
        <w:t xml:space="preserve"> desestimó el recurso de revisión interpuesto por la presunta víctima contra su sentencia condenatoria del </w:t>
      </w:r>
      <w:r w:rsidRPr="007D736E">
        <w:rPr>
          <w:rFonts w:ascii="Cambria" w:hAnsi="Cambria"/>
          <w:sz w:val="20"/>
          <w:szCs w:val="20"/>
          <w:lang w:val="es-ES_tradnl"/>
        </w:rPr>
        <w:t>21 de febrero de 2005</w:t>
      </w:r>
      <w:r w:rsidRPr="0065562E">
        <w:rPr>
          <w:rFonts w:ascii="Cambria" w:hAnsi="Cambria"/>
          <w:sz w:val="20"/>
          <w:szCs w:val="20"/>
          <w:lang w:val="es-ES_tradnl"/>
        </w:rPr>
        <w:t xml:space="preserve">. Sobre este punto, el Estado plantea, en otros alegatos, que la presunta víctima podía solicitar la revisión integral de su condena mediante </w:t>
      </w:r>
      <w:r>
        <w:rPr>
          <w:rFonts w:ascii="Cambria" w:hAnsi="Cambria"/>
          <w:sz w:val="20"/>
          <w:szCs w:val="20"/>
          <w:lang w:val="es-ES_tradnl"/>
        </w:rPr>
        <w:t>el</w:t>
      </w:r>
      <w:r w:rsidRPr="0065562E">
        <w:rPr>
          <w:rFonts w:ascii="Cambria" w:hAnsi="Cambria"/>
          <w:sz w:val="20"/>
          <w:szCs w:val="20"/>
          <w:lang w:val="es-ES_tradnl"/>
        </w:rPr>
        <w:t xml:space="preserve"> mecanismo especial de revisión, establecido en </w:t>
      </w:r>
      <w:r w:rsidRPr="00C96932">
        <w:rPr>
          <w:rFonts w:ascii="Cambria" w:hAnsi="Cambria"/>
          <w:sz w:val="20"/>
          <w:szCs w:val="20"/>
          <w:lang w:val="es-ES_tradnl"/>
        </w:rPr>
        <w:t>el Transitorio III de la Ley N.º 8837</w:t>
      </w:r>
      <w:r>
        <w:rPr>
          <w:rFonts w:ascii="Cambria" w:hAnsi="Cambria"/>
          <w:sz w:val="20"/>
          <w:szCs w:val="20"/>
          <w:lang w:val="es-ES_tradnl"/>
        </w:rPr>
        <w:t xml:space="preserve"> </w:t>
      </w:r>
      <w:r w:rsidRPr="0065562E">
        <w:rPr>
          <w:rFonts w:ascii="Cambria" w:hAnsi="Cambria"/>
          <w:sz w:val="20"/>
          <w:szCs w:val="20"/>
          <w:lang w:val="es-ES_tradnl"/>
        </w:rPr>
        <w:t xml:space="preserve">y a pesar de ello no utilizó esta vía. </w:t>
      </w:r>
    </w:p>
    <w:p w14:paraId="689D6096" w14:textId="77777777" w:rsidR="009A7072" w:rsidRPr="009D6E86"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FE74CB">
        <w:rPr>
          <w:rFonts w:asciiTheme="majorHAnsi" w:hAnsiTheme="majorHAnsi"/>
          <w:sz w:val="20"/>
          <w:szCs w:val="20"/>
          <w:lang w:val="es-ES_tradnl"/>
        </w:rPr>
        <w:t>No obstante, la Comisión recuerda que</w:t>
      </w:r>
      <w:r w:rsidRPr="00FE74CB">
        <w:rPr>
          <w:rFonts w:asciiTheme="majorHAnsi" w:hAnsiTheme="majorHAnsi"/>
          <w:sz w:val="20"/>
          <w:szCs w:val="20"/>
          <w:lang w:val="es-ES"/>
        </w:rPr>
        <w:t>, como regla general, la parte peticionaria solo tiene en principio la obligación de agotar las vías ordinarias a nivel interno</w:t>
      </w:r>
      <w:bookmarkStart w:id="2" w:name="_Hlk140146590"/>
      <w:r w:rsidRPr="00FE74CB">
        <w:rPr>
          <w:rStyle w:val="FootnoteReference"/>
          <w:rFonts w:asciiTheme="majorHAnsi" w:hAnsiTheme="majorHAnsi"/>
          <w:sz w:val="20"/>
          <w:szCs w:val="20"/>
        </w:rPr>
        <w:footnoteReference w:id="16"/>
      </w:r>
      <w:bookmarkEnd w:id="2"/>
      <w:r w:rsidRPr="00FE74CB">
        <w:rPr>
          <w:rFonts w:asciiTheme="majorHAnsi" w:hAnsiTheme="majorHAnsi"/>
          <w:sz w:val="20"/>
          <w:szCs w:val="20"/>
          <w:lang w:val="es-ES"/>
        </w:rPr>
        <w:t xml:space="preserve">. En tal sentido, </w:t>
      </w:r>
      <w:r w:rsidRPr="00FE74CB">
        <w:rPr>
          <w:rFonts w:asciiTheme="majorHAnsi" w:hAnsiTheme="majorHAnsi"/>
          <w:sz w:val="20"/>
          <w:szCs w:val="20"/>
          <w:lang w:val="es-US"/>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FE74CB">
        <w:rPr>
          <w:rStyle w:val="FootnoteReference"/>
          <w:rFonts w:asciiTheme="majorHAnsi" w:hAnsiTheme="majorHAnsi"/>
          <w:sz w:val="20"/>
          <w:szCs w:val="20"/>
          <w:lang w:val="es-US"/>
        </w:rPr>
        <w:footnoteReference w:id="17"/>
      </w:r>
      <w:r w:rsidRPr="00FE74CB">
        <w:rPr>
          <w:rFonts w:asciiTheme="majorHAnsi" w:hAnsiTheme="majorHAnsi"/>
          <w:sz w:val="20"/>
          <w:szCs w:val="20"/>
          <w:lang w:val="es-US"/>
        </w:rPr>
        <w:t>.</w:t>
      </w:r>
      <w:r w:rsidRPr="00FE74CB">
        <w:rPr>
          <w:rFonts w:asciiTheme="majorHAnsi" w:hAnsiTheme="majorHAnsi"/>
          <w:sz w:val="20"/>
          <w:szCs w:val="20"/>
          <w:lang w:val="es-ES"/>
        </w:rPr>
        <w:t xml:space="preserve"> </w:t>
      </w:r>
    </w:p>
    <w:p w14:paraId="788F46C3" w14:textId="609E9D89" w:rsidR="009A7072" w:rsidRPr="009D6E86" w:rsidRDefault="009A7072" w:rsidP="009A7072">
      <w:pPr>
        <w:pStyle w:val="ListParagraph"/>
        <w:numPr>
          <w:ilvl w:val="0"/>
          <w:numId w:val="103"/>
        </w:numPr>
        <w:jc w:val="both"/>
        <w:rPr>
          <w:sz w:val="20"/>
          <w:szCs w:val="20"/>
          <w:lang w:val="es-ES_tradnl"/>
        </w:rPr>
      </w:pPr>
      <w:r w:rsidRPr="009D6E86">
        <w:rPr>
          <w:rFonts w:asciiTheme="majorHAnsi" w:hAnsiTheme="majorHAnsi"/>
          <w:sz w:val="20"/>
          <w:szCs w:val="20"/>
          <w:lang w:val="es-ES"/>
        </w:rPr>
        <w:t>En el presente asunto, la Comisión considera que, por la forma cómo se encuentra regulado y por su posición dentro del p</w:t>
      </w:r>
      <w:r>
        <w:rPr>
          <w:rFonts w:asciiTheme="majorHAnsi" w:hAnsiTheme="majorHAnsi"/>
          <w:sz w:val="20"/>
          <w:szCs w:val="20"/>
          <w:lang w:val="es-ES"/>
        </w:rPr>
        <w:t>roceso</w:t>
      </w:r>
      <w:r w:rsidRPr="009D6E86">
        <w:rPr>
          <w:rFonts w:asciiTheme="majorHAnsi" w:hAnsiTheme="majorHAnsi"/>
          <w:sz w:val="20"/>
          <w:szCs w:val="20"/>
          <w:lang w:val="es-ES"/>
        </w:rPr>
        <w:t xml:space="preserve"> penal costarricense, </w:t>
      </w:r>
      <w:r w:rsidRPr="009D6E86">
        <w:rPr>
          <w:rFonts w:asciiTheme="majorHAnsi" w:hAnsiTheme="majorHAnsi"/>
          <w:sz w:val="20"/>
          <w:szCs w:val="20"/>
          <w:lang w:val="es-ES_tradnl"/>
        </w:rPr>
        <w:t xml:space="preserve">el procedimiento especial de revisión contemplado en el Transitorio III de la Ley N.º 8837 </w:t>
      </w:r>
      <w:r w:rsidRPr="009D6E86">
        <w:rPr>
          <w:rFonts w:asciiTheme="majorHAnsi" w:hAnsiTheme="majorHAnsi"/>
          <w:sz w:val="20"/>
          <w:szCs w:val="20"/>
          <w:lang w:val="es-ES"/>
        </w:rPr>
        <w:t xml:space="preserve">es extraordinario. En consecuencia, su agotamiento no resultaba obligatorio para la presunta víctima, en tanto esta cumplió con utilizar previamente la </w:t>
      </w:r>
      <w:r w:rsidRPr="009D6E86">
        <w:rPr>
          <w:sz w:val="20"/>
          <w:szCs w:val="20"/>
          <w:lang w:val="es-ES_tradnl"/>
        </w:rPr>
        <w:t xml:space="preserve">vía de casación, la cual, en virtud de las modificaciones introducidas por la </w:t>
      </w:r>
      <w:r w:rsidRPr="009D6E86">
        <w:rPr>
          <w:rFonts w:asciiTheme="majorHAnsi" w:hAnsiTheme="majorHAnsi"/>
          <w:sz w:val="20"/>
          <w:szCs w:val="20"/>
          <w:lang w:val="es-ES"/>
        </w:rPr>
        <w:t xml:space="preserve">Ley </w:t>
      </w:r>
      <w:r w:rsidRPr="009D6E86">
        <w:rPr>
          <w:sz w:val="20"/>
          <w:szCs w:val="20"/>
          <w:lang w:val="es-ES_tradnl"/>
        </w:rPr>
        <w:t>N.º</w:t>
      </w:r>
      <w:r w:rsidRPr="009D6E86">
        <w:rPr>
          <w:rFonts w:asciiTheme="majorHAnsi" w:hAnsiTheme="majorHAnsi"/>
          <w:sz w:val="20"/>
          <w:szCs w:val="20"/>
          <w:lang w:val="es-ES"/>
        </w:rPr>
        <w:t xml:space="preserve"> 8503, resultaba en principio una vía idónea para que sus reclamos</w:t>
      </w:r>
      <w:r w:rsidRPr="009D6E86">
        <w:rPr>
          <w:sz w:val="20"/>
          <w:szCs w:val="20"/>
          <w:lang w:val="es-AR"/>
        </w:rPr>
        <w:t xml:space="preserve"> </w:t>
      </w:r>
      <w:r w:rsidRPr="009D6E86">
        <w:rPr>
          <w:rFonts w:asciiTheme="majorHAnsi" w:hAnsiTheme="majorHAnsi"/>
          <w:sz w:val="20"/>
          <w:szCs w:val="20"/>
          <w:lang w:val="es-ES"/>
        </w:rPr>
        <w:t xml:space="preserve">sean debidamente atendidos. </w:t>
      </w:r>
      <w:r>
        <w:rPr>
          <w:rFonts w:asciiTheme="majorHAnsi" w:hAnsiTheme="majorHAnsi"/>
          <w:sz w:val="20"/>
          <w:szCs w:val="20"/>
          <w:lang w:val="es-ES"/>
        </w:rPr>
        <w:t>Sin perjuicio, la Comisión destaca que, además de utilizar tal vía, la presunta víctima también utilizó razonablemente la vía de revisión ordinaria, lo cual confirma que el Estado tuvo la oportunidad de solventar los reclamos del señor Wu mediante sus mecanismos internos.</w:t>
      </w:r>
    </w:p>
    <w:p w14:paraId="2B9A92BD" w14:textId="77777777" w:rsidR="009A7072" w:rsidRPr="009D6E86" w:rsidRDefault="009A7072" w:rsidP="009A7072">
      <w:pPr>
        <w:pStyle w:val="ListParagraph"/>
        <w:jc w:val="both"/>
        <w:rPr>
          <w:sz w:val="20"/>
          <w:szCs w:val="20"/>
          <w:lang w:val="es-ES_tradnl"/>
        </w:rPr>
      </w:pPr>
    </w:p>
    <w:p w14:paraId="63FC25B7" w14:textId="49C12E2E" w:rsidR="009A7072" w:rsidRPr="005419F1"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Por las razones expuestas</w:t>
      </w:r>
      <w:r w:rsidRPr="00CA3AEC">
        <w:rPr>
          <w:rFonts w:ascii="Cambria" w:hAnsi="Cambria"/>
          <w:sz w:val="20"/>
          <w:szCs w:val="20"/>
          <w:lang w:val="es-ES_tradnl"/>
        </w:rPr>
        <w:t xml:space="preserve">, la Comisión considera </w:t>
      </w:r>
      <w:r>
        <w:rPr>
          <w:rFonts w:ascii="Cambria" w:hAnsi="Cambria"/>
          <w:sz w:val="20"/>
          <w:szCs w:val="20"/>
          <w:lang w:val="es-ES_tradnl"/>
        </w:rPr>
        <w:t>en el presente asunto</w:t>
      </w:r>
      <w:r w:rsidRPr="004E5DA7">
        <w:rPr>
          <w:rFonts w:ascii="Cambria" w:hAnsi="Cambria"/>
          <w:sz w:val="20"/>
          <w:szCs w:val="20"/>
          <w:lang w:val="es-ES_tradnl"/>
        </w:rPr>
        <w:t xml:space="preserve"> se cumple el requisito previsto en el artículo 46.1.a) de la Convención Americana. Asimismo, </w:t>
      </w:r>
      <w:r>
        <w:rPr>
          <w:rFonts w:ascii="Cambria" w:hAnsi="Cambria"/>
          <w:sz w:val="20"/>
          <w:szCs w:val="20"/>
          <w:lang w:val="es-ES_tradnl"/>
        </w:rPr>
        <w:t>dado que las autoridades notificaron el citado recurso de revisión el 30 de mayo de 2011, cuando el presente asunto se encontraba bajo estudio de admisibilidad</w:t>
      </w:r>
      <w:r>
        <w:rPr>
          <w:rFonts w:ascii="Cambria" w:hAnsi="Cambria"/>
          <w:bCs/>
          <w:sz w:val="20"/>
          <w:szCs w:val="20"/>
          <w:lang w:val="es-ES"/>
        </w:rPr>
        <w:t xml:space="preserve">, la Comisión </w:t>
      </w:r>
      <w:r w:rsidRPr="00E727AD">
        <w:rPr>
          <w:rFonts w:ascii="Cambria" w:hAnsi="Cambria"/>
          <w:sz w:val="20"/>
          <w:szCs w:val="20"/>
          <w:lang w:val="es-ES_tradnl"/>
        </w:rPr>
        <w:t>concluye que también se cumple el requisito de plazo previsto en el artículo 46.1.b) de la Convención.</w:t>
      </w:r>
      <w:r>
        <w:rPr>
          <w:rFonts w:ascii="Cambria" w:hAnsi="Cambria"/>
          <w:sz w:val="20"/>
          <w:szCs w:val="20"/>
          <w:lang w:val="es-ES_tradnl"/>
        </w:rPr>
        <w:t xml:space="preserve"> </w:t>
      </w:r>
    </w:p>
    <w:p w14:paraId="5B3FBB24" w14:textId="77777777" w:rsidR="009A7072" w:rsidRDefault="009A7072" w:rsidP="009A7072">
      <w:pPr>
        <w:pStyle w:val="ListParagraph"/>
        <w:spacing w:before="240" w:after="240"/>
        <w:jc w:val="both"/>
        <w:rPr>
          <w:rFonts w:asciiTheme="majorHAnsi" w:hAnsiTheme="majorHAnsi"/>
          <w:b/>
          <w:bCs/>
          <w:sz w:val="20"/>
          <w:szCs w:val="20"/>
          <w:lang w:val="es-ES_tradnl"/>
        </w:rPr>
      </w:pPr>
      <w:r>
        <w:rPr>
          <w:rFonts w:asciiTheme="majorHAnsi" w:hAnsiTheme="majorHAnsi"/>
          <w:b/>
          <w:bCs/>
          <w:sz w:val="20"/>
          <w:szCs w:val="20"/>
          <w:lang w:val="es-ES_tradnl"/>
        </w:rPr>
        <w:t xml:space="preserve">VIII. </w:t>
      </w:r>
      <w:r>
        <w:rPr>
          <w:rFonts w:asciiTheme="majorHAnsi" w:hAnsiTheme="majorHAnsi"/>
          <w:b/>
          <w:bCs/>
          <w:sz w:val="20"/>
          <w:szCs w:val="20"/>
          <w:lang w:val="es-ES_tradnl"/>
        </w:rPr>
        <w:tab/>
        <w:t>ANÁLISIS DE CARACTERIZACIÓN</w:t>
      </w:r>
    </w:p>
    <w:p w14:paraId="36FB2FDE" w14:textId="77777777" w:rsidR="009A7072" w:rsidRDefault="009A7072" w:rsidP="009A7072">
      <w:pPr>
        <w:pStyle w:val="ListParagraph"/>
        <w:numPr>
          <w:ilvl w:val="0"/>
          <w:numId w:val="103"/>
        </w:numPr>
        <w:jc w:val="both"/>
        <w:rPr>
          <w:sz w:val="20"/>
          <w:szCs w:val="20"/>
          <w:lang w:val="es-AR"/>
        </w:rPr>
      </w:pPr>
      <w:r>
        <w:rPr>
          <w:sz w:val="20"/>
          <w:szCs w:val="20"/>
          <w:lang w:val="es-ES"/>
        </w:rPr>
        <w:t>L</w:t>
      </w:r>
      <w:r w:rsidRPr="009C29A0">
        <w:rPr>
          <w:sz w:val="20"/>
          <w:szCs w:val="20"/>
          <w:lang w:val="es-AR"/>
        </w:rPr>
        <w:t>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9C29A0">
        <w:rPr>
          <w:sz w:val="20"/>
          <w:szCs w:val="20"/>
          <w:vertAlign w:val="superscript"/>
          <w:lang w:val="es-AR"/>
        </w:rPr>
        <w:footnoteReference w:id="18"/>
      </w:r>
      <w:r w:rsidRPr="009C29A0">
        <w:rPr>
          <w:sz w:val="20"/>
          <w:szCs w:val="20"/>
          <w:lang w:val="es-AR"/>
        </w:rPr>
        <w:t>. En esa línea, la Comisión reitera que resulta irrelevante para el derecho internacional de los derechos humanos la denominación o el nombre con el que se designe el recurso disponible</w:t>
      </w:r>
      <w:r w:rsidRPr="009C29A0">
        <w:rPr>
          <w:sz w:val="20"/>
          <w:szCs w:val="20"/>
          <w:vertAlign w:val="superscript"/>
          <w:lang w:val="es-AR"/>
        </w:rPr>
        <w:footnoteReference w:id="19"/>
      </w:r>
      <w:r w:rsidRPr="009C29A0">
        <w:rPr>
          <w:sz w:val="20"/>
          <w:szCs w:val="20"/>
          <w:lang w:val="es-AR"/>
        </w:rPr>
        <w:t xml:space="preserve">. Lo importante es que el recurso contemplado en la normativa interna satisfaga una serie de estándares y, en tal </w:t>
      </w:r>
      <w:r w:rsidRPr="009C29A0">
        <w:rPr>
          <w:sz w:val="20"/>
          <w:szCs w:val="20"/>
          <w:lang w:val="es-AR"/>
        </w:rPr>
        <w:lastRenderedPageBreak/>
        <w:t>sentido, cumpla con ser oportuno</w:t>
      </w:r>
      <w:r w:rsidRPr="009C29A0">
        <w:rPr>
          <w:rStyle w:val="FootnoteReference"/>
          <w:sz w:val="20"/>
          <w:szCs w:val="20"/>
          <w:lang w:val="es-AR"/>
        </w:rPr>
        <w:footnoteReference w:id="20"/>
      </w:r>
      <w:r w:rsidRPr="009C29A0">
        <w:rPr>
          <w:sz w:val="20"/>
          <w:szCs w:val="20"/>
          <w:lang w:val="es-AR"/>
        </w:rPr>
        <w:t>, accesible</w:t>
      </w:r>
      <w:r w:rsidRPr="009C29A0">
        <w:rPr>
          <w:rStyle w:val="FootnoteReference"/>
          <w:sz w:val="20"/>
          <w:szCs w:val="20"/>
          <w:lang w:val="es-AR"/>
        </w:rPr>
        <w:footnoteReference w:id="21"/>
      </w:r>
      <w:r w:rsidRPr="009C29A0">
        <w:rPr>
          <w:sz w:val="20"/>
          <w:szCs w:val="20"/>
          <w:lang w:val="es-AR"/>
        </w:rPr>
        <w:t>, eficaz</w:t>
      </w:r>
      <w:r w:rsidRPr="009C29A0">
        <w:rPr>
          <w:rStyle w:val="FootnoteReference"/>
          <w:sz w:val="20"/>
          <w:szCs w:val="20"/>
          <w:lang w:val="es-AR"/>
        </w:rPr>
        <w:footnoteReference w:id="22"/>
      </w:r>
      <w:r w:rsidRPr="009C29A0">
        <w:rPr>
          <w:sz w:val="20"/>
          <w:szCs w:val="20"/>
          <w:lang w:val="es-AR"/>
        </w:rPr>
        <w:t xml:space="preserve"> y, en particular, que permita la revisión i</w:t>
      </w:r>
      <w:r w:rsidRPr="0043155D">
        <w:rPr>
          <w:sz w:val="20"/>
          <w:szCs w:val="20"/>
          <w:lang w:val="es-AR"/>
        </w:rPr>
        <w:t>ntegral de la condena</w:t>
      </w:r>
      <w:r>
        <w:rPr>
          <w:rStyle w:val="FootnoteReference"/>
          <w:sz w:val="20"/>
          <w:szCs w:val="20"/>
          <w:lang w:val="es-AR"/>
        </w:rPr>
        <w:footnoteReference w:id="23"/>
      </w:r>
      <w:r>
        <w:rPr>
          <w:sz w:val="20"/>
          <w:szCs w:val="20"/>
          <w:lang w:val="es-AR"/>
        </w:rPr>
        <w:t>.</w:t>
      </w:r>
    </w:p>
    <w:p w14:paraId="5D681EAE" w14:textId="77777777" w:rsidR="009A7072" w:rsidRDefault="009A7072" w:rsidP="009A7072">
      <w:pPr>
        <w:pStyle w:val="ListParagraph"/>
        <w:jc w:val="both"/>
        <w:rPr>
          <w:sz w:val="20"/>
          <w:szCs w:val="20"/>
          <w:lang w:val="es-AR"/>
        </w:rPr>
      </w:pPr>
    </w:p>
    <w:p w14:paraId="7E6DDA8A" w14:textId="77777777" w:rsidR="009A7072" w:rsidRPr="004931E2"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 w:eastAsia="es-ES"/>
        </w:rPr>
      </w:pPr>
      <w:r w:rsidRPr="004931E2">
        <w:rPr>
          <w:rFonts w:ascii="Cambria" w:eastAsia="Cambria" w:hAnsi="Cambria" w:cs="Cambria"/>
          <w:color w:val="000000"/>
          <w:sz w:val="20"/>
          <w:szCs w:val="20"/>
          <w:u w:color="000000"/>
          <w:lang w:val="es-ES" w:eastAsia="es-ES"/>
        </w:rPr>
        <w:t xml:space="preserve">En torno a este </w:t>
      </w:r>
      <w:r>
        <w:rPr>
          <w:rFonts w:ascii="Cambria" w:eastAsia="Cambria" w:hAnsi="Cambria" w:cs="Cambria"/>
          <w:color w:val="000000"/>
          <w:sz w:val="20"/>
          <w:szCs w:val="20"/>
          <w:u w:color="000000"/>
          <w:lang w:val="es-ES" w:eastAsia="es-ES"/>
        </w:rPr>
        <w:t xml:space="preserve">último </w:t>
      </w:r>
      <w:r w:rsidRPr="004931E2">
        <w:rPr>
          <w:rFonts w:ascii="Cambria" w:eastAsia="Cambria" w:hAnsi="Cambria" w:cs="Cambria"/>
          <w:color w:val="000000"/>
          <w:sz w:val="20"/>
          <w:szCs w:val="20"/>
          <w:u w:color="000000"/>
          <w:lang w:val="es-ES" w:eastAsia="es-ES"/>
        </w:rPr>
        <w:t xml:space="preserve">punto, la Comisión Interamericana indicó en el caso Abella respecto de Argentina: </w:t>
      </w:r>
    </w:p>
    <w:p w14:paraId="5765DE76" w14:textId="77777777" w:rsidR="009A7072" w:rsidRPr="004931E2" w:rsidRDefault="009A7072" w:rsidP="009A7072">
      <w:pPr>
        <w:tabs>
          <w:tab w:val="left" w:pos="567"/>
        </w:tabs>
        <w:ind w:left="720"/>
        <w:jc w:val="both"/>
        <w:rPr>
          <w:rFonts w:ascii="Cambria" w:eastAsia="Cambria" w:hAnsi="Cambria" w:cs="Cambria"/>
          <w:color w:val="000000"/>
          <w:sz w:val="20"/>
          <w:szCs w:val="20"/>
          <w:u w:color="000000"/>
          <w:lang w:val="es-ES" w:eastAsia="es-ES"/>
        </w:rPr>
      </w:pPr>
    </w:p>
    <w:p w14:paraId="7A14384B" w14:textId="77777777" w:rsidR="009A7072" w:rsidRPr="002433B3" w:rsidRDefault="009A7072" w:rsidP="009A7072">
      <w:pPr>
        <w:tabs>
          <w:tab w:val="left" w:pos="567"/>
        </w:tabs>
        <w:ind w:left="709" w:right="798"/>
        <w:jc w:val="both"/>
        <w:rPr>
          <w:rFonts w:ascii="Cambria" w:hAnsi="Cambria"/>
          <w:sz w:val="18"/>
          <w:szCs w:val="18"/>
          <w:lang w:val="es-ES"/>
        </w:rPr>
      </w:pPr>
      <w:r w:rsidRPr="002433B3">
        <w:rPr>
          <w:rFonts w:ascii="Cambria" w:hAnsi="Cambria"/>
          <w:sz w:val="18"/>
          <w:szCs w:val="18"/>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2433B3">
        <w:rPr>
          <w:rFonts w:ascii="Cambria" w:hAnsi="Cambria"/>
          <w:sz w:val="18"/>
          <w:szCs w:val="18"/>
          <w:vertAlign w:val="superscript"/>
          <w:lang w:val="es-ES"/>
        </w:rPr>
        <w:footnoteReference w:id="24"/>
      </w:r>
      <w:r w:rsidRPr="002433B3">
        <w:rPr>
          <w:rFonts w:ascii="Cambria" w:hAnsi="Cambria"/>
          <w:sz w:val="18"/>
          <w:szCs w:val="18"/>
          <w:lang w:val="es-ES"/>
        </w:rPr>
        <w:t xml:space="preserve">. </w:t>
      </w:r>
    </w:p>
    <w:p w14:paraId="74C096DF" w14:textId="77777777" w:rsidR="009A7072" w:rsidRPr="004931E2" w:rsidRDefault="009A7072" w:rsidP="009A7072">
      <w:pPr>
        <w:tabs>
          <w:tab w:val="left" w:pos="567"/>
        </w:tabs>
        <w:ind w:right="798"/>
        <w:jc w:val="both"/>
        <w:rPr>
          <w:rFonts w:ascii="Cambria" w:hAnsi="Cambria"/>
          <w:sz w:val="20"/>
          <w:szCs w:val="20"/>
          <w:lang w:val="es-ES"/>
        </w:rPr>
      </w:pPr>
    </w:p>
    <w:p w14:paraId="1B68CC25" w14:textId="77777777" w:rsidR="009A7072"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 w:eastAsia="es-ES"/>
        </w:rPr>
      </w:pPr>
      <w:r>
        <w:rPr>
          <w:rFonts w:ascii="Cambria" w:eastAsia="Cambria" w:hAnsi="Cambria" w:cs="Cambria"/>
          <w:color w:val="000000"/>
          <w:sz w:val="20"/>
          <w:szCs w:val="20"/>
          <w:u w:color="000000"/>
          <w:lang w:val="es-ES" w:eastAsia="es-ES"/>
        </w:rPr>
        <w:t>En esa línea, l</w:t>
      </w:r>
      <w:r w:rsidRPr="004931E2">
        <w:rPr>
          <w:rFonts w:ascii="Cambria" w:eastAsia="Cambria" w:hAnsi="Cambria" w:cs="Cambria"/>
          <w:color w:val="000000"/>
          <w:sz w:val="20"/>
          <w:szCs w:val="20"/>
          <w:u w:color="000000"/>
          <w:lang w:val="es-ES" w:eastAsia="es-ES"/>
        </w:rPr>
        <w:t>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4931E2">
        <w:rPr>
          <w:rFonts w:ascii="Cambria" w:eastAsia="Cambria" w:hAnsi="Cambria" w:cs="Cambria"/>
          <w:color w:val="000000"/>
          <w:sz w:val="20"/>
          <w:szCs w:val="20"/>
          <w:u w:color="000000"/>
          <w:vertAlign w:val="superscript"/>
          <w:lang w:val="es-ES" w:eastAsia="es-ES"/>
        </w:rPr>
        <w:footnoteReference w:id="25"/>
      </w:r>
      <w:r w:rsidRPr="004931E2">
        <w:rPr>
          <w:rFonts w:ascii="Cambria" w:eastAsia="Cambria" w:hAnsi="Cambria" w:cs="Cambria"/>
          <w:color w:val="000000"/>
          <w:sz w:val="20"/>
          <w:szCs w:val="20"/>
          <w:u w:color="000000"/>
          <w:lang w:val="es-ES" w:eastAsia="es-ES"/>
        </w:rPr>
        <w:t xml:space="preserve">. </w:t>
      </w:r>
    </w:p>
    <w:p w14:paraId="1E6C66E8" w14:textId="77777777" w:rsidR="009A7072" w:rsidRDefault="009A7072" w:rsidP="009A707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 w:eastAsia="es-ES"/>
        </w:rPr>
      </w:pPr>
    </w:p>
    <w:p w14:paraId="3FB4A65A" w14:textId="400B63F9" w:rsidR="009A7072" w:rsidRPr="009A7072"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419F1">
        <w:rPr>
          <w:rFonts w:asciiTheme="majorHAnsi" w:hAnsiTheme="majorHAnsi"/>
          <w:sz w:val="20"/>
          <w:szCs w:val="20"/>
          <w:lang w:val="es-AR"/>
        </w:rPr>
        <w:t xml:space="preserve">Con base en las citadas consideraciones, en el presente asunto la Comisión observa que </w:t>
      </w:r>
      <w:r w:rsidRPr="007D736E">
        <w:rPr>
          <w:rFonts w:ascii="Cambria" w:hAnsi="Cambria"/>
          <w:sz w:val="20"/>
          <w:szCs w:val="20"/>
          <w:lang w:val="es-ES_tradnl"/>
        </w:rPr>
        <w:t>21 de febrero de 2005 el Tribunal Penal del Segundo Circuito Judicial de San José, mediante la sentencia 078-2006, condenó a la presunta víctima, junto a otras dos personas, a quince años de pena privativa de libertad por la comisión del delito de secuestro extorsivo.</w:t>
      </w:r>
      <w:r w:rsidRPr="009A7072">
        <w:rPr>
          <w:rFonts w:ascii="Cambria" w:hAnsi="Cambria"/>
          <w:i/>
          <w:iCs/>
          <w:sz w:val="20"/>
          <w:szCs w:val="20"/>
          <w:lang w:val="es-AR"/>
        </w:rPr>
        <w:t xml:space="preserve"> </w:t>
      </w:r>
      <w:r w:rsidRPr="009A7072">
        <w:rPr>
          <w:rFonts w:asciiTheme="majorHAnsi" w:hAnsiTheme="majorHAnsi"/>
          <w:sz w:val="20"/>
          <w:szCs w:val="20"/>
          <w:lang w:val="es-AR"/>
        </w:rPr>
        <w:t xml:space="preserve">Frente a ello, la presunta interpuso un recurso de casación, pero </w:t>
      </w:r>
      <w:r w:rsidRPr="009A7072">
        <w:rPr>
          <w:rFonts w:ascii="Cambria" w:hAnsi="Cambria"/>
          <w:sz w:val="20"/>
          <w:szCs w:val="20"/>
          <w:lang w:val="es-ES_tradnl"/>
        </w:rPr>
        <w:t xml:space="preserve">el </w:t>
      </w:r>
      <w:r w:rsidRPr="007D736E">
        <w:rPr>
          <w:rFonts w:ascii="Cambria" w:hAnsi="Cambria"/>
          <w:sz w:val="20"/>
          <w:szCs w:val="20"/>
          <w:lang w:val="es-ES_tradnl"/>
        </w:rPr>
        <w:t xml:space="preserve">rechazó dicha acción, al considerar que no se cometió ninguna irregularidad en el proceso penal. Frente a esta decisión, informa que la representación de la presunta víctima presentó </w:t>
      </w:r>
      <w:r>
        <w:rPr>
          <w:rFonts w:ascii="Cambria" w:hAnsi="Cambria"/>
          <w:sz w:val="20"/>
          <w:szCs w:val="20"/>
          <w:lang w:val="es-ES_tradnl"/>
        </w:rPr>
        <w:t>hasta dos</w:t>
      </w:r>
      <w:r w:rsidRPr="007D736E">
        <w:rPr>
          <w:rFonts w:ascii="Cambria" w:hAnsi="Cambria"/>
          <w:sz w:val="20"/>
          <w:szCs w:val="20"/>
          <w:lang w:val="es-ES_tradnl"/>
        </w:rPr>
        <w:t xml:space="preserve"> recurso</w:t>
      </w:r>
      <w:r>
        <w:rPr>
          <w:rFonts w:ascii="Cambria" w:hAnsi="Cambria"/>
          <w:sz w:val="20"/>
          <w:szCs w:val="20"/>
          <w:lang w:val="es-ES_tradnl"/>
        </w:rPr>
        <w:t>s</w:t>
      </w:r>
      <w:r w:rsidRPr="007D736E">
        <w:rPr>
          <w:rFonts w:ascii="Cambria" w:hAnsi="Cambria"/>
          <w:sz w:val="20"/>
          <w:szCs w:val="20"/>
          <w:lang w:val="es-ES_tradnl"/>
        </w:rPr>
        <w:t xml:space="preserve"> de revisión, </w:t>
      </w:r>
      <w:r>
        <w:rPr>
          <w:rFonts w:ascii="Cambria" w:hAnsi="Cambria"/>
          <w:sz w:val="20"/>
          <w:szCs w:val="20"/>
          <w:lang w:val="es-ES_tradnl"/>
        </w:rPr>
        <w:t xml:space="preserve">pero la Sala Tercera de la Corte Suprema los desestimó, </w:t>
      </w:r>
      <w:r w:rsidRPr="007D736E">
        <w:rPr>
          <w:rFonts w:ascii="Cambria" w:hAnsi="Cambria"/>
          <w:sz w:val="20"/>
          <w:szCs w:val="20"/>
          <w:lang w:val="es-ES_tradnl"/>
        </w:rPr>
        <w:t xml:space="preserve">reiterando los argumentos expuestos en la sentencia de casación. </w:t>
      </w:r>
    </w:p>
    <w:p w14:paraId="1039F437" w14:textId="51A54C3F" w:rsidR="009A7072" w:rsidRPr="009A7072"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19F1">
        <w:rPr>
          <w:rFonts w:asciiTheme="majorHAnsi" w:hAnsiTheme="majorHAnsi"/>
          <w:sz w:val="20"/>
          <w:szCs w:val="20"/>
          <w:lang w:val="es-AR"/>
        </w:rPr>
        <w:t xml:space="preserve">Al respecto, </w:t>
      </w:r>
      <w:r w:rsidRPr="005419F1">
        <w:rPr>
          <w:rFonts w:ascii="Cambria" w:hAnsi="Cambria"/>
          <w:sz w:val="20"/>
          <w:szCs w:val="20"/>
          <w:lang w:val="es-AR"/>
        </w:rPr>
        <w:t xml:space="preserve">a </w:t>
      </w:r>
      <w:r w:rsidRPr="005419F1">
        <w:rPr>
          <w:rFonts w:ascii="Cambria" w:hAnsi="Cambria"/>
          <w:sz w:val="20"/>
          <w:szCs w:val="20"/>
          <w:lang w:val="es-ES"/>
        </w:rPr>
        <w:t xml:space="preserve">partir de la lectura del texto de esta última resolución, la Comisión considera que la Sala Tercera de la Corte Suprema de Justicia analizó detenidamente los cuestionamientos de la presunta víctima y brindó una respuesta motivada respecto a cada uno. En ese sentido, la Comisión aprecia que el tribunal ingresó en el análisis de cuestiones probatorias y actividades procesales realizadas a lo largo del proceso, de acuerdo con lo solicitado por el señor </w:t>
      </w:r>
      <w:r>
        <w:rPr>
          <w:rFonts w:ascii="Cambria" w:hAnsi="Cambria"/>
          <w:sz w:val="20"/>
          <w:szCs w:val="20"/>
          <w:lang w:val="es-ES"/>
        </w:rPr>
        <w:t>Wu</w:t>
      </w:r>
      <w:r w:rsidRPr="005419F1">
        <w:rPr>
          <w:rFonts w:ascii="Cambria" w:hAnsi="Cambria"/>
          <w:sz w:val="20"/>
          <w:szCs w:val="20"/>
          <w:lang w:val="es-ES"/>
        </w:rPr>
        <w:t xml:space="preserve">. </w:t>
      </w:r>
    </w:p>
    <w:p w14:paraId="4D6AF8B5" w14:textId="3C1AD712" w:rsidR="009A7072" w:rsidRDefault="009A7072" w:rsidP="009A70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491C">
        <w:rPr>
          <w:rFonts w:ascii="Cambria" w:hAnsi="Cambria"/>
          <w:sz w:val="20"/>
          <w:szCs w:val="20"/>
          <w:lang w:val="es-ES"/>
        </w:rPr>
        <w:t>Sin perjuicio de ello, la Comisión nota que, a partir de la interposición de</w:t>
      </w:r>
      <w:r>
        <w:rPr>
          <w:rFonts w:ascii="Cambria" w:hAnsi="Cambria"/>
          <w:sz w:val="20"/>
          <w:szCs w:val="20"/>
          <w:lang w:val="es-ES"/>
        </w:rPr>
        <w:t xml:space="preserve"> hasta dos</w:t>
      </w:r>
      <w:r w:rsidRPr="007A491C">
        <w:rPr>
          <w:rFonts w:ascii="Cambria" w:hAnsi="Cambria"/>
          <w:sz w:val="20"/>
          <w:szCs w:val="20"/>
          <w:lang w:val="es-ES"/>
        </w:rPr>
        <w:t xml:space="preserve"> procedimiento</w:t>
      </w:r>
      <w:r>
        <w:rPr>
          <w:rFonts w:ascii="Cambria" w:hAnsi="Cambria"/>
          <w:sz w:val="20"/>
          <w:szCs w:val="20"/>
          <w:lang w:val="es-ES"/>
        </w:rPr>
        <w:t>s</w:t>
      </w:r>
      <w:r w:rsidRPr="007A491C">
        <w:rPr>
          <w:rFonts w:ascii="Cambria" w:hAnsi="Cambria"/>
          <w:sz w:val="20"/>
          <w:szCs w:val="20"/>
          <w:lang w:val="es-ES"/>
        </w:rPr>
        <w:t xml:space="preserve"> de revisión</w:t>
      </w:r>
      <w:r>
        <w:rPr>
          <w:rFonts w:ascii="Cambria" w:hAnsi="Cambria"/>
          <w:sz w:val="20"/>
          <w:szCs w:val="20"/>
          <w:lang w:val="es-ES"/>
        </w:rPr>
        <w:t xml:space="preserve">, la presunta víctima reiteró sus cuestionamientos a su fallo condenatorio, provocando que la Sala Tercera la Corte Suprema de Justicia vuelva a analizar y desestimar este reclamo. En tal sentido, a juicio de la Comisión, este mecanismo brindó una segunda oportunidad al señor Wu para que se </w:t>
      </w:r>
      <w:r>
        <w:rPr>
          <w:rFonts w:ascii="Cambria" w:hAnsi="Cambria"/>
          <w:sz w:val="20"/>
          <w:szCs w:val="20"/>
          <w:lang w:val="es-ES"/>
        </w:rPr>
        <w:lastRenderedPageBreak/>
        <w:t>puedan analizar debidamente sus reclamos, sin que se aprecie la presencia de algún error o limitación en el examen realizado por este tribunal en la resolución del procedimiento de revisión.</w:t>
      </w:r>
      <w:r w:rsidRPr="00740443">
        <w:rPr>
          <w:rFonts w:ascii="Cambria" w:hAnsi="Cambria"/>
          <w:sz w:val="20"/>
          <w:szCs w:val="20"/>
          <w:lang w:val="es-ES"/>
        </w:rPr>
        <w:t xml:space="preserve"> </w:t>
      </w:r>
      <w:r w:rsidRPr="00740443">
        <w:rPr>
          <w:rFonts w:ascii="Cambria" w:hAnsi="Cambria"/>
          <w:sz w:val="20"/>
          <w:szCs w:val="20"/>
          <w:lang w:val="es-AR"/>
        </w:rPr>
        <w:t xml:space="preserve">Por consiguiente, </w:t>
      </w:r>
      <w:r w:rsidRPr="00740443">
        <w:rPr>
          <w:rFonts w:ascii="Cambria" w:hAnsi="Cambria"/>
          <w:sz w:val="20"/>
          <w:szCs w:val="20"/>
          <w:lang w:val="es-ES"/>
        </w:rPr>
        <w:t xml:space="preserve">la CIDH concluye que, </w:t>
      </w:r>
      <w:r w:rsidRPr="00740443">
        <w:rPr>
          <w:rFonts w:ascii="Cambria" w:hAnsi="Cambria"/>
          <w:i/>
          <w:iCs/>
          <w:sz w:val="20"/>
          <w:szCs w:val="20"/>
          <w:lang w:val="es-ES"/>
        </w:rPr>
        <w:t xml:space="preserve">prima facie, </w:t>
      </w:r>
      <w:r w:rsidRPr="00740443">
        <w:rPr>
          <w:rFonts w:ascii="Cambria" w:hAnsi="Cambria"/>
          <w:sz w:val="20"/>
          <w:szCs w:val="20"/>
          <w:lang w:val="es-ES"/>
        </w:rPr>
        <w:t>no se han aportado elementos que permitan identificar una posible vulneración al derecho contemplado en el artículo 8.2.h) de la Convención.</w:t>
      </w:r>
    </w:p>
    <w:p w14:paraId="29BB41F5" w14:textId="1D96E08B" w:rsidR="003239B8" w:rsidRPr="00466B45" w:rsidRDefault="009A7072" w:rsidP="008F73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Pr>
          <w:rFonts w:asciiTheme="majorHAnsi" w:hAnsiTheme="majorHAnsi"/>
          <w:b/>
          <w:bCs/>
          <w:sz w:val="20"/>
          <w:szCs w:val="20"/>
          <w:lang w:val="es-ES_tradnl"/>
        </w:rPr>
        <w:t>IX</w:t>
      </w:r>
      <w:r w:rsidR="003239B8" w:rsidRPr="007D736E">
        <w:rPr>
          <w:rFonts w:asciiTheme="majorHAnsi" w:hAnsiTheme="majorHAnsi"/>
          <w:b/>
          <w:bCs/>
          <w:sz w:val="20"/>
          <w:szCs w:val="20"/>
          <w:lang w:val="es-ES_tradnl"/>
        </w:rPr>
        <w:t xml:space="preserve">. </w:t>
      </w:r>
      <w:r w:rsidR="003239B8" w:rsidRPr="007D736E">
        <w:rPr>
          <w:rFonts w:asciiTheme="majorHAnsi" w:hAnsiTheme="majorHAnsi"/>
          <w:b/>
          <w:bCs/>
          <w:sz w:val="20"/>
          <w:szCs w:val="20"/>
          <w:lang w:val="es-ES_tradnl"/>
        </w:rPr>
        <w:tab/>
        <w:t>DECISI</w:t>
      </w:r>
      <w:r w:rsidR="003239B8" w:rsidRPr="00466B45">
        <w:rPr>
          <w:rFonts w:asciiTheme="majorHAnsi" w:hAnsiTheme="majorHAnsi"/>
          <w:b/>
          <w:bCs/>
          <w:sz w:val="20"/>
          <w:szCs w:val="20"/>
          <w:lang w:val="es-ES_tradnl"/>
        </w:rPr>
        <w:t>ÓN</w:t>
      </w:r>
    </w:p>
    <w:p w14:paraId="570DA61C" w14:textId="28576911" w:rsidR="000419AD" w:rsidRPr="00466B45" w:rsidRDefault="000419AD" w:rsidP="000419AD">
      <w:pPr>
        <w:pStyle w:val="ListParagraph"/>
        <w:numPr>
          <w:ilvl w:val="0"/>
          <w:numId w:val="109"/>
        </w:numPr>
        <w:rPr>
          <w:rFonts w:eastAsia="Arial Unicode MS" w:cs="Times New Roman"/>
          <w:color w:val="auto"/>
          <w:sz w:val="20"/>
          <w:szCs w:val="20"/>
          <w:lang w:val="es-ES_tradnl" w:eastAsia="en-US"/>
        </w:rPr>
      </w:pPr>
      <w:r w:rsidRPr="00466B45">
        <w:rPr>
          <w:rFonts w:eastAsia="Arial Unicode MS" w:cs="Times New Roman"/>
          <w:color w:val="auto"/>
          <w:sz w:val="20"/>
          <w:szCs w:val="20"/>
          <w:lang w:val="es-ES_tradnl" w:eastAsia="en-US"/>
        </w:rPr>
        <w:t>Declarar inadmisible la presente petición en relación</w:t>
      </w:r>
      <w:r w:rsidR="00A758AA" w:rsidRPr="00466B45">
        <w:rPr>
          <w:rFonts w:eastAsia="Arial Unicode MS" w:cs="Times New Roman"/>
          <w:color w:val="auto"/>
          <w:sz w:val="20"/>
          <w:szCs w:val="20"/>
          <w:lang w:val="es-ES_tradnl" w:eastAsia="en-US"/>
        </w:rPr>
        <w:t>;</w:t>
      </w:r>
      <w:r w:rsidR="004A6A54" w:rsidRPr="00466B45">
        <w:rPr>
          <w:rFonts w:eastAsia="Arial Unicode MS" w:cs="Times New Roman"/>
          <w:color w:val="auto"/>
          <w:sz w:val="20"/>
          <w:szCs w:val="20"/>
          <w:lang w:val="es-ES_tradnl" w:eastAsia="en-US"/>
        </w:rPr>
        <w:t xml:space="preserve"> y</w:t>
      </w:r>
    </w:p>
    <w:p w14:paraId="41AA5BF6" w14:textId="77777777" w:rsidR="000419AD" w:rsidRPr="00466B45" w:rsidRDefault="000419AD" w:rsidP="000419AD">
      <w:pPr>
        <w:pStyle w:val="ListParagraph"/>
        <w:rPr>
          <w:rFonts w:eastAsia="Arial Unicode MS" w:cs="Times New Roman"/>
          <w:color w:val="auto"/>
          <w:sz w:val="20"/>
          <w:szCs w:val="20"/>
          <w:lang w:val="es-ES_tradnl" w:eastAsia="en-US"/>
        </w:rPr>
      </w:pPr>
    </w:p>
    <w:p w14:paraId="0D98495A" w14:textId="5BA4F4DC" w:rsidR="008D768D" w:rsidRDefault="004A6A54" w:rsidP="00AD3E3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66B45">
        <w:rPr>
          <w:rFonts w:asciiTheme="majorHAnsi" w:hAnsiTheme="majorHAnsi"/>
          <w:sz w:val="20"/>
          <w:szCs w:val="20"/>
          <w:lang w:val="es-ES_tradnl"/>
        </w:rPr>
        <w:t>Notificar a las partes la presente dec</w:t>
      </w:r>
      <w:r w:rsidRPr="007D736E">
        <w:rPr>
          <w:rFonts w:asciiTheme="majorHAnsi" w:hAnsiTheme="majorHAnsi"/>
          <w:sz w:val="20"/>
          <w:szCs w:val="20"/>
          <w:lang w:val="es-ES_tradnl"/>
        </w:rPr>
        <w:t>isión; y publicar esta decisión e incluirla en su Informe Anual a la Asamblea General de la Organización de los Estados Americanos.</w:t>
      </w:r>
    </w:p>
    <w:p w14:paraId="0621432E" w14:textId="1F4051FD" w:rsidR="00466B45" w:rsidRPr="00BD52F7" w:rsidRDefault="00466B45" w:rsidP="00BD52F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junio de 2023.  (Firmado): Margarette May Macaulay, Presidenta; Roberta Clarke, Segunda Vicepresidenta; Julissa Mantilla Falcón y Carlos Bernal Pulido, </w:t>
      </w:r>
      <w:r w:rsidR="00BD52F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77777777" w:rsidR="00722C9F" w:rsidRPr="007D736E" w:rsidRDefault="00722C9F" w:rsidP="00BD52F7">
      <w:pPr>
        <w:rPr>
          <w:rFonts w:ascii="Cambria" w:hAnsi="Cambria" w:cs="Calibri"/>
          <w:sz w:val="20"/>
          <w:szCs w:val="20"/>
          <w:lang w:val="es-ES_tradnl"/>
        </w:rPr>
      </w:pPr>
    </w:p>
    <w:sectPr w:rsidR="00722C9F" w:rsidRPr="007D736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8405" w14:textId="77777777" w:rsidR="00E4304C" w:rsidRDefault="00E4304C">
      <w:r>
        <w:separator/>
      </w:r>
    </w:p>
  </w:endnote>
  <w:endnote w:type="continuationSeparator" w:id="0">
    <w:p w14:paraId="73FC8CF3" w14:textId="77777777" w:rsidR="00E4304C" w:rsidRDefault="00E4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3B1B" w14:textId="77777777" w:rsidR="00E4304C" w:rsidRPr="000F35ED" w:rsidRDefault="00E4304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941AE8" w14:textId="77777777" w:rsidR="00E4304C" w:rsidRPr="000F35ED" w:rsidRDefault="00E4304C" w:rsidP="000F35ED">
      <w:pPr>
        <w:rPr>
          <w:rFonts w:asciiTheme="majorHAnsi" w:hAnsiTheme="majorHAnsi"/>
          <w:sz w:val="16"/>
          <w:szCs w:val="16"/>
        </w:rPr>
      </w:pPr>
      <w:r w:rsidRPr="000F35ED">
        <w:rPr>
          <w:rFonts w:asciiTheme="majorHAnsi" w:hAnsiTheme="majorHAnsi"/>
          <w:sz w:val="16"/>
          <w:szCs w:val="16"/>
        </w:rPr>
        <w:separator/>
      </w:r>
    </w:p>
    <w:p w14:paraId="72D9197C" w14:textId="77777777" w:rsidR="00E4304C" w:rsidRPr="000F35ED" w:rsidRDefault="00E4304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ABCC9F" w14:textId="77777777" w:rsidR="00E4304C" w:rsidRPr="000F35ED" w:rsidRDefault="00E4304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C2BA87B" w14:textId="77777777" w:rsidR="00837017" w:rsidRPr="00916C1D" w:rsidRDefault="00837017" w:rsidP="00837017">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4C5C926" w14:textId="77777777" w:rsidR="005A2AF0" w:rsidRPr="002D3BB2" w:rsidRDefault="005A2AF0" w:rsidP="005A2AF0">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02C2620B" w14:textId="77777777" w:rsidR="005A2AF0" w:rsidRPr="0024784B" w:rsidRDefault="005A2AF0" w:rsidP="005A2AF0">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518965D6" w14:textId="77777777" w:rsidR="003E1759" w:rsidRPr="00EA3787" w:rsidRDefault="003E1759" w:rsidP="003E1759">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1F14B5AF" w14:textId="77777777" w:rsidR="003E1759" w:rsidRPr="004D0E62" w:rsidRDefault="003E1759" w:rsidP="003E1759">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788AC679" w14:textId="77777777" w:rsidR="003E1759" w:rsidRPr="008A508D" w:rsidRDefault="003E1759" w:rsidP="003E1759">
      <w:pPr>
        <w:pStyle w:val="FootnoteText"/>
        <w:ind w:firstLine="720"/>
        <w:jc w:val="both"/>
        <w:rPr>
          <w:lang w:val="es-US"/>
        </w:rPr>
      </w:pPr>
      <w:r w:rsidRPr="004D0E62">
        <w:rPr>
          <w:rStyle w:val="FootnoteReference"/>
          <w:rFonts w:asciiTheme="majorHAnsi" w:hAnsiTheme="majorHAnsi"/>
          <w:sz w:val="16"/>
          <w:szCs w:val="16"/>
        </w:rPr>
        <w:footnoteRef/>
      </w:r>
      <w:r w:rsidRPr="00642E16">
        <w:rPr>
          <w:rFonts w:asciiTheme="majorHAnsi" w:hAnsiTheme="majorHAnsi"/>
          <w:sz w:val="16"/>
          <w:szCs w:val="16"/>
          <w:lang w:val="es-ES"/>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7EED103B" w14:textId="77777777" w:rsidR="003E1759" w:rsidRPr="00565232" w:rsidRDefault="003E1759" w:rsidP="003E1759">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6794A66F" w14:textId="77777777" w:rsidR="003E1759" w:rsidRPr="004D0E62" w:rsidRDefault="003E1759" w:rsidP="003E1759">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4CC1EC08" w14:textId="77777777" w:rsidR="003E1759" w:rsidRPr="008A508D" w:rsidRDefault="003E1759" w:rsidP="003E1759">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4688C479" w14:textId="77777777" w:rsidR="003E1759" w:rsidRPr="00EE7817" w:rsidRDefault="003E1759" w:rsidP="003E1759">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642E16">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07E6406F" w14:textId="77777777" w:rsidR="003E1759" w:rsidRPr="00735708" w:rsidRDefault="003E1759" w:rsidP="003E1759">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27429A13" w14:textId="77777777" w:rsidR="003E1759" w:rsidRPr="00CE3C79" w:rsidRDefault="003E1759" w:rsidP="003E1759">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411D83C6" w14:textId="77777777" w:rsidR="003E1759" w:rsidRPr="00090967" w:rsidRDefault="003E1759" w:rsidP="003E1759">
      <w:pPr>
        <w:pStyle w:val="FootnoteText"/>
        <w:ind w:firstLine="720"/>
        <w:jc w:val="both"/>
        <w:rPr>
          <w:rFonts w:ascii="Cambria" w:hAnsi="Cambria"/>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C No. 354. Párr. 266. </w:t>
      </w:r>
    </w:p>
  </w:footnote>
  <w:footnote w:id="16">
    <w:p w14:paraId="18B5BAA3" w14:textId="77777777" w:rsidR="009A7072" w:rsidRPr="00515E64" w:rsidRDefault="009A7072" w:rsidP="009A7072">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4159DE">
        <w:rPr>
          <w:rFonts w:asciiTheme="majorHAnsi" w:hAnsiTheme="majorHAnsi"/>
          <w:sz w:val="16"/>
          <w:szCs w:val="16"/>
        </w:rPr>
        <w:t xml:space="preserve">Andy Williams Garcés Suárez y familia. </w:t>
      </w:r>
      <w:r w:rsidRPr="00515E64">
        <w:rPr>
          <w:rFonts w:asciiTheme="majorHAnsi" w:hAnsiTheme="majorHAnsi"/>
          <w:sz w:val="16"/>
          <w:szCs w:val="16"/>
          <w:lang w:val="es-US"/>
        </w:rPr>
        <w:t>Perú. 30 de noviembre de 2017, párr. 12.</w:t>
      </w:r>
    </w:p>
  </w:footnote>
  <w:footnote w:id="17">
    <w:p w14:paraId="0EC5B099" w14:textId="77777777" w:rsidR="009A7072" w:rsidRPr="00515E64" w:rsidRDefault="009A7072" w:rsidP="009A7072">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8">
    <w:p w14:paraId="51148598" w14:textId="77777777" w:rsidR="009A7072" w:rsidRPr="001272CB" w:rsidRDefault="009A7072" w:rsidP="009A7072">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466B45">
        <w:rPr>
          <w:rFonts w:asciiTheme="majorHAnsi" w:hAnsiTheme="majorHAnsi"/>
          <w:sz w:val="16"/>
          <w:szCs w:val="16"/>
          <w:lang w:val="es-ES"/>
        </w:rPr>
        <w:t xml:space="preserve"> </w:t>
      </w:r>
      <w:r w:rsidRPr="00466B45">
        <w:rPr>
          <w:rFonts w:asciiTheme="majorHAnsi" w:hAnsiTheme="majorHAnsi"/>
          <w:bCs/>
          <w:sz w:val="16"/>
          <w:szCs w:val="16"/>
          <w:shd w:val="clear" w:color="auto" w:fill="FFFFFF"/>
          <w:lang w:val="es-ES"/>
        </w:rPr>
        <w:t xml:space="preserve">Corte IDH. Caso Herrera Ulloa Vs. </w:t>
      </w:r>
      <w:r w:rsidRPr="001272CB">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1272CB">
        <w:rPr>
          <w:rFonts w:asciiTheme="majorHAnsi" w:hAnsiTheme="majorHAnsi"/>
          <w:sz w:val="16"/>
          <w:szCs w:val="16"/>
          <w:lang w:val="es-PE"/>
        </w:rPr>
        <w:t xml:space="preserve"> </w:t>
      </w:r>
    </w:p>
  </w:footnote>
  <w:footnote w:id="19">
    <w:p w14:paraId="1B55F1E9" w14:textId="77777777" w:rsidR="009A7072" w:rsidRPr="001272CB" w:rsidRDefault="009A7072" w:rsidP="009A7072">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1272CB">
        <w:rPr>
          <w:rFonts w:asciiTheme="majorHAnsi" w:hAnsiTheme="majorHAnsi"/>
          <w:sz w:val="16"/>
          <w:szCs w:val="16"/>
          <w:lang w:val="es-PE"/>
        </w:rPr>
        <w:t xml:space="preserve"> </w:t>
      </w:r>
      <w:r w:rsidRPr="001272CB">
        <w:rPr>
          <w:rFonts w:asciiTheme="majorHAnsi" w:hAnsiTheme="majorHAnsi" w:cs="Calibri"/>
          <w:sz w:val="16"/>
          <w:szCs w:val="16"/>
          <w:lang w:val="es-PE"/>
        </w:rPr>
        <w:t xml:space="preserve">Corte IDH., </w:t>
      </w:r>
      <w:r w:rsidRPr="001272CB">
        <w:rPr>
          <w:rFonts w:asciiTheme="majorHAnsi" w:hAnsiTheme="majorHAnsi" w:cs="Calibri"/>
          <w:iCs/>
          <w:sz w:val="16"/>
          <w:szCs w:val="16"/>
          <w:lang w:val="es-PE"/>
        </w:rPr>
        <w:t>Caso Herrera Ulloa Vs. Costa Rica</w:t>
      </w:r>
      <w:r w:rsidRPr="001272CB">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1272CB">
        <w:rPr>
          <w:rFonts w:asciiTheme="majorHAnsi" w:hAnsiTheme="majorHAnsi" w:cs="Calibri"/>
          <w:iCs/>
          <w:sz w:val="16"/>
          <w:szCs w:val="16"/>
          <w:lang w:val="es-PE"/>
        </w:rPr>
        <w:t>Gómez Vázquez v. España</w:t>
      </w:r>
      <w:r w:rsidRPr="001272CB">
        <w:rPr>
          <w:rFonts w:asciiTheme="majorHAnsi" w:hAnsiTheme="majorHAnsi" w:cs="Calibri"/>
          <w:sz w:val="16"/>
          <w:szCs w:val="16"/>
          <w:lang w:val="es-PE"/>
        </w:rPr>
        <w:t xml:space="preserve">. Comunicación No. 701/1996. Decisión de 11 de agosto de 2000, párr. 11.1. </w:t>
      </w:r>
    </w:p>
  </w:footnote>
  <w:footnote w:id="20">
    <w:p w14:paraId="4B2E3B61" w14:textId="77777777" w:rsidR="009A7072" w:rsidRPr="001272CB" w:rsidRDefault="009A7072" w:rsidP="009A7072">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466B45">
        <w:rPr>
          <w:rFonts w:asciiTheme="majorHAnsi" w:hAnsiTheme="majorHAnsi"/>
          <w:sz w:val="16"/>
          <w:szCs w:val="16"/>
          <w:lang w:val="es-ES"/>
        </w:rPr>
        <w:t xml:space="preserve"> Corte IDH., </w:t>
      </w:r>
      <w:r w:rsidRPr="00466B45">
        <w:rPr>
          <w:rFonts w:asciiTheme="majorHAnsi" w:hAnsiTheme="majorHAnsi"/>
          <w:iCs/>
          <w:sz w:val="16"/>
          <w:szCs w:val="16"/>
          <w:lang w:val="es-ES"/>
        </w:rPr>
        <w:t xml:space="preserve">Caso Herrera Ulloa Vs. </w:t>
      </w:r>
      <w:r w:rsidRPr="001272CB">
        <w:rPr>
          <w:rFonts w:asciiTheme="majorHAnsi" w:hAnsiTheme="majorHAnsi"/>
          <w:iCs/>
          <w:sz w:val="16"/>
          <w:szCs w:val="16"/>
          <w:lang w:val="es-PE"/>
        </w:rPr>
        <w:t>Costa Rica</w:t>
      </w:r>
      <w:r w:rsidRPr="001272CB">
        <w:rPr>
          <w:rFonts w:asciiTheme="majorHAnsi" w:hAnsiTheme="majorHAnsi"/>
          <w:sz w:val="16"/>
          <w:szCs w:val="16"/>
          <w:lang w:val="es-PE"/>
        </w:rPr>
        <w:t>. Sentencia de Excepciones Preliminares, Fondo, Reparaciones y Costas. 2 de julio de 2004. Serie C No. 107, párr. 158</w:t>
      </w:r>
    </w:p>
  </w:footnote>
  <w:footnote w:id="21">
    <w:p w14:paraId="47A8D9DF" w14:textId="77777777" w:rsidR="009A7072" w:rsidRPr="001272CB" w:rsidRDefault="009A7072" w:rsidP="009A7072">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466B45">
        <w:rPr>
          <w:rFonts w:asciiTheme="majorHAnsi" w:hAnsiTheme="majorHAnsi"/>
          <w:sz w:val="16"/>
          <w:szCs w:val="16"/>
          <w:lang w:val="es-PE"/>
        </w:rPr>
        <w:t xml:space="preserve"> Corte IDH. </w:t>
      </w:r>
      <w:r w:rsidRPr="00466B45">
        <w:rPr>
          <w:rFonts w:asciiTheme="majorHAnsi" w:hAnsiTheme="majorHAnsi"/>
          <w:iCs/>
          <w:sz w:val="16"/>
          <w:szCs w:val="16"/>
          <w:lang w:val="es-PE"/>
        </w:rPr>
        <w:t xml:space="preserve">Caso Barreto Leiva Vs. </w:t>
      </w:r>
      <w:r w:rsidRPr="001272CB">
        <w:rPr>
          <w:rFonts w:asciiTheme="majorHAnsi" w:hAnsiTheme="majorHAnsi"/>
          <w:iCs/>
          <w:sz w:val="16"/>
          <w:szCs w:val="16"/>
          <w:lang w:val="es-PE"/>
        </w:rPr>
        <w:t xml:space="preserve">Venezuela. </w:t>
      </w:r>
      <w:r w:rsidRPr="001272CB">
        <w:rPr>
          <w:rFonts w:asciiTheme="majorHAnsi" w:hAnsiTheme="majorHAnsi"/>
          <w:sz w:val="16"/>
          <w:szCs w:val="16"/>
          <w:lang w:val="es-PE"/>
        </w:rPr>
        <w:t>Sentencia de Fondo, Reparaciones y Costas 17 de noviembre de 2009.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22">
    <w:p w14:paraId="33BB0D7D" w14:textId="77777777" w:rsidR="009A7072" w:rsidRPr="001272CB" w:rsidRDefault="009A7072" w:rsidP="009A7072">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5419F1">
        <w:rPr>
          <w:rStyle w:val="Strong"/>
          <w:rFonts w:asciiTheme="majorHAnsi" w:eastAsia="Cambria" w:hAnsiTheme="majorHAnsi"/>
          <w:b w:val="0"/>
          <w:bCs w:val="0"/>
          <w:sz w:val="16"/>
          <w:szCs w:val="16"/>
          <w:shd w:val="clear" w:color="auto" w:fill="FFFFFF"/>
          <w:lang w:val="es-PE"/>
        </w:rPr>
        <w:t>Corte IDH.</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3">
    <w:p w14:paraId="2A014735" w14:textId="77777777" w:rsidR="009A7072" w:rsidRPr="005419F1" w:rsidRDefault="009A7072" w:rsidP="009A7072">
      <w:pPr>
        <w:pStyle w:val="FootnoteText"/>
        <w:ind w:firstLine="720"/>
        <w:jc w:val="both"/>
        <w:rPr>
          <w:b/>
          <w:bCs/>
          <w:sz w:val="16"/>
          <w:szCs w:val="16"/>
          <w:lang w:val="es-US"/>
        </w:rPr>
      </w:pPr>
      <w:r w:rsidRPr="005419F1">
        <w:rPr>
          <w:rStyle w:val="FootnoteReference"/>
          <w:rFonts w:asciiTheme="majorHAnsi" w:hAnsiTheme="majorHAnsi"/>
          <w:b/>
          <w:bCs/>
          <w:sz w:val="16"/>
          <w:szCs w:val="16"/>
          <w:lang w:val="es-PE"/>
        </w:rPr>
        <w:footnoteRef/>
      </w:r>
      <w:r w:rsidRPr="005419F1">
        <w:rPr>
          <w:rFonts w:asciiTheme="majorHAnsi" w:hAnsiTheme="majorHAnsi"/>
          <w:b/>
          <w:bCs/>
          <w:sz w:val="16"/>
          <w:szCs w:val="16"/>
          <w:lang w:val="es-PE"/>
        </w:rPr>
        <w:t xml:space="preserve"> </w:t>
      </w:r>
      <w:r w:rsidRPr="005419F1">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5419F1">
        <w:rPr>
          <w:rFonts w:asciiTheme="majorHAnsi" w:hAnsiTheme="majorHAnsi"/>
          <w:b/>
          <w:bCs/>
          <w:sz w:val="16"/>
          <w:szCs w:val="16"/>
          <w:lang w:val="es-PE"/>
        </w:rPr>
        <w:t xml:space="preserve">  </w:t>
      </w:r>
    </w:p>
  </w:footnote>
  <w:footnote w:id="24">
    <w:p w14:paraId="0E158B15" w14:textId="77777777" w:rsidR="009A7072" w:rsidRPr="001272CB" w:rsidRDefault="009A7072" w:rsidP="009A7072">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 Informe No. 55/97. Caso 11.137. Fondo. Juan Carlos Abella. Argentina. 18 de noviembre de 1997. Párr. 261. </w:t>
      </w:r>
    </w:p>
  </w:footnote>
  <w:footnote w:id="25">
    <w:p w14:paraId="6B855B66" w14:textId="77777777" w:rsidR="009A7072" w:rsidRPr="00144C32" w:rsidRDefault="009A7072" w:rsidP="009A7072">
      <w:pPr>
        <w:pStyle w:val="NormalWeb"/>
        <w:spacing w:before="0" w:beforeAutospacing="0" w:after="0" w:afterAutospacing="0"/>
        <w:ind w:firstLine="720"/>
        <w:jc w:val="both"/>
        <w:rPr>
          <w:rFonts w:asciiTheme="majorHAnsi" w:hAnsiTheme="majorHAnsi"/>
          <w:sz w:val="16"/>
          <w:szCs w:val="16"/>
          <w:lang w:val="es-ES"/>
        </w:rPr>
      </w:pPr>
      <w:r w:rsidRPr="001272CB">
        <w:rPr>
          <w:rStyle w:val="FootnoteReference"/>
          <w:rFonts w:ascii="Cambria" w:eastAsia="Trebuchet MS" w:hAnsi="Cambria"/>
          <w:sz w:val="16"/>
          <w:szCs w:val="16"/>
          <w:lang w:val="es-ES"/>
        </w:rPr>
        <w:footnoteRef/>
      </w:r>
      <w:r w:rsidRPr="001272CB">
        <w:rPr>
          <w:rFonts w:ascii="Cambria" w:hAnsi="Cambria"/>
          <w:sz w:val="16"/>
          <w:szCs w:val="16"/>
          <w:lang w:val="es-ES"/>
        </w:rPr>
        <w:t xml:space="preserve"> </w:t>
      </w:r>
      <w:r w:rsidRPr="001272CB">
        <w:rPr>
          <w:rFonts w:ascii="Cambria" w:hAnsi="Cambria" w:cs="Calibri"/>
          <w:sz w:val="16"/>
          <w:szCs w:val="16"/>
          <w:lang w:val="es-ES"/>
        </w:rPr>
        <w:t>CIDH, Informe No. 172/10, Caso 12.561, Fo</w:t>
      </w:r>
      <w:r w:rsidRPr="00144C32">
        <w:rPr>
          <w:rFonts w:asciiTheme="majorHAnsi" w:hAnsiTheme="majorHAnsi" w:cs="Calibri"/>
          <w:sz w:val="16"/>
          <w:szCs w:val="16"/>
          <w:lang w:val="es-ES"/>
        </w:rPr>
        <w:t xml:space="preserve">ndo, César Alberto Mendoza y otros (Prisión y reclusión perpetuas de adolescentes), Argentina, 2 de noviembre de 2010, párr. 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B639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A6D"/>
    <w:rsid w:val="00006E1F"/>
    <w:rsid w:val="000070D7"/>
    <w:rsid w:val="0001788C"/>
    <w:rsid w:val="000337EF"/>
    <w:rsid w:val="00040C3A"/>
    <w:rsid w:val="000419AD"/>
    <w:rsid w:val="000433C9"/>
    <w:rsid w:val="000663A0"/>
    <w:rsid w:val="000704C1"/>
    <w:rsid w:val="000716C5"/>
    <w:rsid w:val="00075E23"/>
    <w:rsid w:val="00080DAF"/>
    <w:rsid w:val="00092496"/>
    <w:rsid w:val="0009344A"/>
    <w:rsid w:val="000A392E"/>
    <w:rsid w:val="000A575F"/>
    <w:rsid w:val="000C7D0F"/>
    <w:rsid w:val="000D05CB"/>
    <w:rsid w:val="000D10DB"/>
    <w:rsid w:val="000E5EB5"/>
    <w:rsid w:val="000F35ED"/>
    <w:rsid w:val="00107131"/>
    <w:rsid w:val="0010736F"/>
    <w:rsid w:val="00113F73"/>
    <w:rsid w:val="00121CC2"/>
    <w:rsid w:val="00131425"/>
    <w:rsid w:val="00133EE5"/>
    <w:rsid w:val="00155D42"/>
    <w:rsid w:val="00161E1D"/>
    <w:rsid w:val="00167A34"/>
    <w:rsid w:val="001761C0"/>
    <w:rsid w:val="00182E4E"/>
    <w:rsid w:val="001937CC"/>
    <w:rsid w:val="001A7870"/>
    <w:rsid w:val="001B3A00"/>
    <w:rsid w:val="001C1B41"/>
    <w:rsid w:val="001C2DED"/>
    <w:rsid w:val="001C553F"/>
    <w:rsid w:val="001D65EF"/>
    <w:rsid w:val="001E49E7"/>
    <w:rsid w:val="001F7201"/>
    <w:rsid w:val="00223A29"/>
    <w:rsid w:val="002250A3"/>
    <w:rsid w:val="00235217"/>
    <w:rsid w:val="00246D1F"/>
    <w:rsid w:val="00247403"/>
    <w:rsid w:val="00247542"/>
    <w:rsid w:val="00263E5F"/>
    <w:rsid w:val="00266B61"/>
    <w:rsid w:val="0026712A"/>
    <w:rsid w:val="002704DB"/>
    <w:rsid w:val="002A0AAE"/>
    <w:rsid w:val="002A5820"/>
    <w:rsid w:val="002D2B26"/>
    <w:rsid w:val="002D2C14"/>
    <w:rsid w:val="002D7EA2"/>
    <w:rsid w:val="002E187C"/>
    <w:rsid w:val="00302733"/>
    <w:rsid w:val="00314078"/>
    <w:rsid w:val="0031535D"/>
    <w:rsid w:val="003239B8"/>
    <w:rsid w:val="0033169F"/>
    <w:rsid w:val="00333566"/>
    <w:rsid w:val="00335D2C"/>
    <w:rsid w:val="00344977"/>
    <w:rsid w:val="00346C95"/>
    <w:rsid w:val="00356185"/>
    <w:rsid w:val="00360380"/>
    <w:rsid w:val="0037519E"/>
    <w:rsid w:val="003826AA"/>
    <w:rsid w:val="00386CF0"/>
    <w:rsid w:val="00391B61"/>
    <w:rsid w:val="003B70FB"/>
    <w:rsid w:val="003B79DC"/>
    <w:rsid w:val="003C676B"/>
    <w:rsid w:val="003D3BC2"/>
    <w:rsid w:val="003E1759"/>
    <w:rsid w:val="003E6CA1"/>
    <w:rsid w:val="00400D98"/>
    <w:rsid w:val="00403034"/>
    <w:rsid w:val="00405F9C"/>
    <w:rsid w:val="004065A8"/>
    <w:rsid w:val="0041016B"/>
    <w:rsid w:val="004165C2"/>
    <w:rsid w:val="00441524"/>
    <w:rsid w:val="00441ECB"/>
    <w:rsid w:val="00445193"/>
    <w:rsid w:val="00450162"/>
    <w:rsid w:val="004564C5"/>
    <w:rsid w:val="00462C1B"/>
    <w:rsid w:val="00466B45"/>
    <w:rsid w:val="00467B7E"/>
    <w:rsid w:val="00473BB4"/>
    <w:rsid w:val="00477592"/>
    <w:rsid w:val="00486F1C"/>
    <w:rsid w:val="0049419D"/>
    <w:rsid w:val="004A4310"/>
    <w:rsid w:val="004A6A54"/>
    <w:rsid w:val="004C20D2"/>
    <w:rsid w:val="004C2312"/>
    <w:rsid w:val="004C4B62"/>
    <w:rsid w:val="004C54C9"/>
    <w:rsid w:val="004D4ABA"/>
    <w:rsid w:val="004D6025"/>
    <w:rsid w:val="004E2649"/>
    <w:rsid w:val="004F5EB3"/>
    <w:rsid w:val="004F626F"/>
    <w:rsid w:val="00501399"/>
    <w:rsid w:val="0050633D"/>
    <w:rsid w:val="00507BC4"/>
    <w:rsid w:val="005128E4"/>
    <w:rsid w:val="005133DB"/>
    <w:rsid w:val="00514504"/>
    <w:rsid w:val="00525560"/>
    <w:rsid w:val="00526567"/>
    <w:rsid w:val="00534933"/>
    <w:rsid w:val="00543B34"/>
    <w:rsid w:val="00544C2A"/>
    <w:rsid w:val="00544C49"/>
    <w:rsid w:val="005505CD"/>
    <w:rsid w:val="005516A1"/>
    <w:rsid w:val="005559EF"/>
    <w:rsid w:val="00563557"/>
    <w:rsid w:val="0057402A"/>
    <w:rsid w:val="005771D0"/>
    <w:rsid w:val="0059191A"/>
    <w:rsid w:val="005921FF"/>
    <w:rsid w:val="005976C1"/>
    <w:rsid w:val="005A24ED"/>
    <w:rsid w:val="005A2AF0"/>
    <w:rsid w:val="005A6D0E"/>
    <w:rsid w:val="005B52B0"/>
    <w:rsid w:val="005B6806"/>
    <w:rsid w:val="005C08BB"/>
    <w:rsid w:val="005C4225"/>
    <w:rsid w:val="005D38F9"/>
    <w:rsid w:val="005E4E1F"/>
    <w:rsid w:val="005E4E8E"/>
    <w:rsid w:val="005F0DAD"/>
    <w:rsid w:val="005F0F33"/>
    <w:rsid w:val="00600DEB"/>
    <w:rsid w:val="00623E36"/>
    <w:rsid w:val="00627C9F"/>
    <w:rsid w:val="006311E9"/>
    <w:rsid w:val="00632354"/>
    <w:rsid w:val="00635421"/>
    <w:rsid w:val="00636299"/>
    <w:rsid w:val="00642810"/>
    <w:rsid w:val="00642E16"/>
    <w:rsid w:val="00652333"/>
    <w:rsid w:val="0068009E"/>
    <w:rsid w:val="00692219"/>
    <w:rsid w:val="006978D4"/>
    <w:rsid w:val="006A17D2"/>
    <w:rsid w:val="006A73E6"/>
    <w:rsid w:val="006B2D5C"/>
    <w:rsid w:val="006B4797"/>
    <w:rsid w:val="006B6399"/>
    <w:rsid w:val="006C4EB1"/>
    <w:rsid w:val="006E0166"/>
    <w:rsid w:val="006E2FFB"/>
    <w:rsid w:val="006E7B34"/>
    <w:rsid w:val="00702CE6"/>
    <w:rsid w:val="0070697F"/>
    <w:rsid w:val="0072199C"/>
    <w:rsid w:val="00722C9F"/>
    <w:rsid w:val="007253B8"/>
    <w:rsid w:val="0073741F"/>
    <w:rsid w:val="007377B0"/>
    <w:rsid w:val="007516BB"/>
    <w:rsid w:val="0075341E"/>
    <w:rsid w:val="00755BB2"/>
    <w:rsid w:val="0076643F"/>
    <w:rsid w:val="00777F63"/>
    <w:rsid w:val="007A2A63"/>
    <w:rsid w:val="007A5817"/>
    <w:rsid w:val="007B05C4"/>
    <w:rsid w:val="007B0F19"/>
    <w:rsid w:val="007B60E9"/>
    <w:rsid w:val="007B6CC3"/>
    <w:rsid w:val="007B71BC"/>
    <w:rsid w:val="007B76D3"/>
    <w:rsid w:val="007C3334"/>
    <w:rsid w:val="007C7B41"/>
    <w:rsid w:val="007D2B98"/>
    <w:rsid w:val="007D736E"/>
    <w:rsid w:val="007E1868"/>
    <w:rsid w:val="007E21BC"/>
    <w:rsid w:val="007E7C82"/>
    <w:rsid w:val="007F2AA1"/>
    <w:rsid w:val="007F588D"/>
    <w:rsid w:val="00803F1C"/>
    <w:rsid w:val="0080600E"/>
    <w:rsid w:val="008061F8"/>
    <w:rsid w:val="00806D3F"/>
    <w:rsid w:val="00814688"/>
    <w:rsid w:val="00817612"/>
    <w:rsid w:val="008338A4"/>
    <w:rsid w:val="00834D49"/>
    <w:rsid w:val="00837017"/>
    <w:rsid w:val="00837C45"/>
    <w:rsid w:val="0084119E"/>
    <w:rsid w:val="00844730"/>
    <w:rsid w:val="008457C2"/>
    <w:rsid w:val="00857A82"/>
    <w:rsid w:val="00864EEB"/>
    <w:rsid w:val="00873836"/>
    <w:rsid w:val="008828C6"/>
    <w:rsid w:val="00885737"/>
    <w:rsid w:val="00890650"/>
    <w:rsid w:val="00897E12"/>
    <w:rsid w:val="008A7E0F"/>
    <w:rsid w:val="008B12F5"/>
    <w:rsid w:val="008C5E2D"/>
    <w:rsid w:val="008C6478"/>
    <w:rsid w:val="008D768D"/>
    <w:rsid w:val="008E3759"/>
    <w:rsid w:val="008E3BFE"/>
    <w:rsid w:val="008F1912"/>
    <w:rsid w:val="008F7336"/>
    <w:rsid w:val="0090270B"/>
    <w:rsid w:val="009041DC"/>
    <w:rsid w:val="00911985"/>
    <w:rsid w:val="00917B5A"/>
    <w:rsid w:val="00920A58"/>
    <w:rsid w:val="00920A8C"/>
    <w:rsid w:val="009221D3"/>
    <w:rsid w:val="00934A2C"/>
    <w:rsid w:val="009442A2"/>
    <w:rsid w:val="0096706E"/>
    <w:rsid w:val="00974491"/>
    <w:rsid w:val="00975C4E"/>
    <w:rsid w:val="00981FBA"/>
    <w:rsid w:val="009948CB"/>
    <w:rsid w:val="00996FCC"/>
    <w:rsid w:val="00997BC5"/>
    <w:rsid w:val="009A4F41"/>
    <w:rsid w:val="009A7072"/>
    <w:rsid w:val="009B381B"/>
    <w:rsid w:val="009D1753"/>
    <w:rsid w:val="009D3D2C"/>
    <w:rsid w:val="009D7611"/>
    <w:rsid w:val="009E0B61"/>
    <w:rsid w:val="009E53DE"/>
    <w:rsid w:val="009F4A33"/>
    <w:rsid w:val="009F557E"/>
    <w:rsid w:val="009F7FE1"/>
    <w:rsid w:val="00A11212"/>
    <w:rsid w:val="00A11E44"/>
    <w:rsid w:val="00A30100"/>
    <w:rsid w:val="00A328B3"/>
    <w:rsid w:val="00A50FCF"/>
    <w:rsid w:val="00A528D1"/>
    <w:rsid w:val="00A610CD"/>
    <w:rsid w:val="00A758AA"/>
    <w:rsid w:val="00A826D9"/>
    <w:rsid w:val="00AA09A2"/>
    <w:rsid w:val="00AA7996"/>
    <w:rsid w:val="00AC19CB"/>
    <w:rsid w:val="00AD3E39"/>
    <w:rsid w:val="00AE5488"/>
    <w:rsid w:val="00AE6EB2"/>
    <w:rsid w:val="00AE6F91"/>
    <w:rsid w:val="00AF1CF1"/>
    <w:rsid w:val="00AF5571"/>
    <w:rsid w:val="00B07341"/>
    <w:rsid w:val="00B30539"/>
    <w:rsid w:val="00B314DB"/>
    <w:rsid w:val="00B361F2"/>
    <w:rsid w:val="00B3718B"/>
    <w:rsid w:val="00B3745F"/>
    <w:rsid w:val="00B4632A"/>
    <w:rsid w:val="00B530F1"/>
    <w:rsid w:val="00B65403"/>
    <w:rsid w:val="00BA276C"/>
    <w:rsid w:val="00BB306F"/>
    <w:rsid w:val="00BD461B"/>
    <w:rsid w:val="00BD4B89"/>
    <w:rsid w:val="00BD52F7"/>
    <w:rsid w:val="00BD5922"/>
    <w:rsid w:val="00BF02CB"/>
    <w:rsid w:val="00BF6FD8"/>
    <w:rsid w:val="00C03680"/>
    <w:rsid w:val="00C054DF"/>
    <w:rsid w:val="00C21762"/>
    <w:rsid w:val="00C21FEF"/>
    <w:rsid w:val="00C23BA4"/>
    <w:rsid w:val="00C24543"/>
    <w:rsid w:val="00C256A2"/>
    <w:rsid w:val="00C25ADB"/>
    <w:rsid w:val="00C36900"/>
    <w:rsid w:val="00C51515"/>
    <w:rsid w:val="00C5660B"/>
    <w:rsid w:val="00C66B72"/>
    <w:rsid w:val="00C72BCA"/>
    <w:rsid w:val="00C759B9"/>
    <w:rsid w:val="00C87AC4"/>
    <w:rsid w:val="00C87BFE"/>
    <w:rsid w:val="00C9567A"/>
    <w:rsid w:val="00CB212D"/>
    <w:rsid w:val="00CB2660"/>
    <w:rsid w:val="00CB5739"/>
    <w:rsid w:val="00CC0807"/>
    <w:rsid w:val="00CC5E90"/>
    <w:rsid w:val="00CD046C"/>
    <w:rsid w:val="00CE076C"/>
    <w:rsid w:val="00CE5199"/>
    <w:rsid w:val="00CE66D5"/>
    <w:rsid w:val="00CF637A"/>
    <w:rsid w:val="00D059DE"/>
    <w:rsid w:val="00D05ABD"/>
    <w:rsid w:val="00D13FCE"/>
    <w:rsid w:val="00D306D1"/>
    <w:rsid w:val="00D30800"/>
    <w:rsid w:val="00D34786"/>
    <w:rsid w:val="00D37BFC"/>
    <w:rsid w:val="00D44860"/>
    <w:rsid w:val="00D47A8E"/>
    <w:rsid w:val="00D52D14"/>
    <w:rsid w:val="00D5374B"/>
    <w:rsid w:val="00D712D3"/>
    <w:rsid w:val="00D71422"/>
    <w:rsid w:val="00D72DC6"/>
    <w:rsid w:val="00D7558D"/>
    <w:rsid w:val="00D81D92"/>
    <w:rsid w:val="00D876F9"/>
    <w:rsid w:val="00DA7B5F"/>
    <w:rsid w:val="00DC11E7"/>
    <w:rsid w:val="00DC24E3"/>
    <w:rsid w:val="00DC5B91"/>
    <w:rsid w:val="00DC7023"/>
    <w:rsid w:val="00DC769A"/>
    <w:rsid w:val="00DD3D86"/>
    <w:rsid w:val="00DD4AD2"/>
    <w:rsid w:val="00DE16C1"/>
    <w:rsid w:val="00DF12C8"/>
    <w:rsid w:val="00DF1EC4"/>
    <w:rsid w:val="00E0340B"/>
    <w:rsid w:val="00E04A90"/>
    <w:rsid w:val="00E0551F"/>
    <w:rsid w:val="00E10E46"/>
    <w:rsid w:val="00E219C7"/>
    <w:rsid w:val="00E21B77"/>
    <w:rsid w:val="00E36A6D"/>
    <w:rsid w:val="00E4118C"/>
    <w:rsid w:val="00E4304C"/>
    <w:rsid w:val="00E43157"/>
    <w:rsid w:val="00E461CE"/>
    <w:rsid w:val="00E573E4"/>
    <w:rsid w:val="00E64C3D"/>
    <w:rsid w:val="00E720CA"/>
    <w:rsid w:val="00E77F50"/>
    <w:rsid w:val="00E84EB5"/>
    <w:rsid w:val="00E85662"/>
    <w:rsid w:val="00E8789F"/>
    <w:rsid w:val="00E97B71"/>
    <w:rsid w:val="00EA3D34"/>
    <w:rsid w:val="00EA4431"/>
    <w:rsid w:val="00EB454D"/>
    <w:rsid w:val="00ED549D"/>
    <w:rsid w:val="00ED76BE"/>
    <w:rsid w:val="00EE00E9"/>
    <w:rsid w:val="00EE4570"/>
    <w:rsid w:val="00EE782F"/>
    <w:rsid w:val="00EF1AAA"/>
    <w:rsid w:val="00EF1C95"/>
    <w:rsid w:val="00EF3BC7"/>
    <w:rsid w:val="00EF619B"/>
    <w:rsid w:val="00F003CC"/>
    <w:rsid w:val="00F00B55"/>
    <w:rsid w:val="00F02AD1"/>
    <w:rsid w:val="00F253CC"/>
    <w:rsid w:val="00F37106"/>
    <w:rsid w:val="00F3730E"/>
    <w:rsid w:val="00F37D11"/>
    <w:rsid w:val="00F44E25"/>
    <w:rsid w:val="00F519CF"/>
    <w:rsid w:val="00F56BA5"/>
    <w:rsid w:val="00F60E22"/>
    <w:rsid w:val="00F81395"/>
    <w:rsid w:val="00F81BB8"/>
    <w:rsid w:val="00F90C64"/>
    <w:rsid w:val="00F917D1"/>
    <w:rsid w:val="00F9653B"/>
    <w:rsid w:val="00FA396C"/>
    <w:rsid w:val="00FB62CF"/>
    <w:rsid w:val="00FD3C3B"/>
    <w:rsid w:val="00FE07DD"/>
    <w:rsid w:val="00FE6B45"/>
    <w:rsid w:val="00FF55F3"/>
    <w:rsid w:val="00FF5851"/>
    <w:rsid w:val="00FF66A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83701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3E1759"/>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9A70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9A7072"/>
    <w:rPr>
      <w:b/>
      <w:bCs/>
    </w:rPr>
  </w:style>
  <w:style w:type="paragraph" w:customStyle="1" w:styleId="paragraph">
    <w:name w:val="paragraph"/>
    <w:basedOn w:val="Normal"/>
    <w:rsid w:val="00466B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66B45"/>
  </w:style>
  <w:style w:type="character" w:customStyle="1" w:styleId="eop">
    <w:name w:val="eop"/>
    <w:basedOn w:val="DefaultParagraphFont"/>
    <w:rsid w:val="0046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751D"/>
    <w:rsid w:val="002A3923"/>
    <w:rsid w:val="002C5AF7"/>
    <w:rsid w:val="00394049"/>
    <w:rsid w:val="004B5BBB"/>
    <w:rsid w:val="004F2DF8"/>
    <w:rsid w:val="006F24A1"/>
    <w:rsid w:val="009525C3"/>
    <w:rsid w:val="009A261B"/>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3884</Words>
  <Characters>22141</Characters>
  <Application>Microsoft Office Word</Application>
  <DocSecurity>0</DocSecurity>
  <Lines>184</Lines>
  <Paragraphs>51</Paragraphs>
  <ScaleCrop>false</ScaleCrop>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2024-02-14T20:18:00Z</dcterms:created>
  <dcterms:modified xsi:type="dcterms:W3CDTF">2024-02-14T20:18:00Z</dcterms:modified>
</cp:coreProperties>
</file>