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4A52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BCDFD5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F4FAF">
                              <w:rPr>
                                <w:rFonts w:asciiTheme="majorHAnsi" w:hAnsiTheme="majorHAnsi" w:cs="Arial"/>
                                <w:b/>
                                <w:bCs/>
                                <w:color w:val="0D0D0D" w:themeColor="text1" w:themeTint="F2"/>
                                <w:sz w:val="36"/>
                                <w:szCs w:val="22"/>
                                <w:lang w:val="es-ES_tradnl"/>
                              </w:rPr>
                              <w:t>54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633165D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21C0">
                              <w:rPr>
                                <w:rFonts w:asciiTheme="majorHAnsi" w:hAnsiTheme="majorHAnsi" w:cs="Arial"/>
                                <w:b/>
                                <w:color w:val="0D0D0D" w:themeColor="text1" w:themeTint="F2"/>
                                <w:sz w:val="36"/>
                                <w:szCs w:val="22"/>
                                <w:lang w:val="es-ES_tradnl"/>
                              </w:rPr>
                              <w:t>1339</w:t>
                            </w:r>
                            <w:r w:rsidR="00246D1F" w:rsidRPr="004E2649">
                              <w:rPr>
                                <w:rFonts w:asciiTheme="majorHAnsi" w:hAnsiTheme="majorHAnsi" w:cs="Arial"/>
                                <w:b/>
                                <w:color w:val="0D0D0D" w:themeColor="text1" w:themeTint="F2"/>
                                <w:sz w:val="36"/>
                                <w:szCs w:val="22"/>
                                <w:lang w:val="es-ES_tradnl"/>
                              </w:rPr>
                              <w:t>-</w:t>
                            </w:r>
                            <w:r w:rsidR="00744FFD">
                              <w:rPr>
                                <w:rFonts w:asciiTheme="majorHAnsi" w:hAnsiTheme="majorHAnsi" w:cs="Arial"/>
                                <w:b/>
                                <w:color w:val="0D0D0D" w:themeColor="text1" w:themeTint="F2"/>
                                <w:sz w:val="36"/>
                                <w:szCs w:val="22"/>
                                <w:lang w:val="es-ES_tradnl"/>
                              </w:rPr>
                              <w:t>0</w:t>
                            </w:r>
                            <w:r w:rsidR="00897C3D">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4631695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3CDF04B" w:rsidR="005B52B0" w:rsidRPr="000A6654" w:rsidRDefault="000A6654" w:rsidP="00997BC5">
                            <w:pPr>
                              <w:spacing w:line="276" w:lineRule="auto"/>
                              <w:rPr>
                                <w:rFonts w:asciiTheme="majorHAnsi" w:hAnsiTheme="majorHAnsi" w:cs="Arial"/>
                                <w:color w:val="0D0D0D" w:themeColor="text1" w:themeTint="F2"/>
                                <w:szCs w:val="22"/>
                                <w:lang w:val="pt-BR"/>
                              </w:rPr>
                            </w:pPr>
                            <w:r w:rsidRPr="000A6654">
                              <w:rPr>
                                <w:rFonts w:asciiTheme="majorHAnsi" w:hAnsiTheme="majorHAnsi" w:cs="Arial"/>
                                <w:color w:val="0D0D0D" w:themeColor="text1" w:themeTint="F2"/>
                                <w:szCs w:val="22"/>
                                <w:lang w:val="pt-BR"/>
                              </w:rPr>
                              <w:t>LUIS FERNANDO ALPIZAR N</w:t>
                            </w:r>
                            <w:r>
                              <w:rPr>
                                <w:rFonts w:asciiTheme="majorHAnsi" w:hAnsiTheme="majorHAnsi" w:cs="Arial"/>
                                <w:color w:val="0D0D0D" w:themeColor="text1" w:themeTint="F2"/>
                                <w:szCs w:val="22"/>
                                <w:lang w:val="pt-BR"/>
                              </w:rPr>
                              <w:t>AVARRO</w:t>
                            </w:r>
                          </w:p>
                          <w:bookmarkEnd w:id="0"/>
                          <w:p w14:paraId="575DFD52" w14:textId="23B3557C" w:rsidR="005B52B0" w:rsidRPr="000A6654" w:rsidRDefault="00744FFD" w:rsidP="007A5817">
                            <w:pPr>
                              <w:rPr>
                                <w:color w:val="0D0D0D" w:themeColor="text1" w:themeTint="F2"/>
                                <w:lang w:val="pt-BR"/>
                              </w:rPr>
                            </w:pPr>
                            <w:r w:rsidRPr="000A6654">
                              <w:rPr>
                                <w:rFonts w:asciiTheme="majorHAnsi" w:hAnsiTheme="majorHAnsi" w:cs="Arial"/>
                                <w:color w:val="0D0D0D" w:themeColor="text1" w:themeTint="F2"/>
                                <w:szCs w:val="22"/>
                                <w:lang w:val="pt-BR"/>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BCDFD5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F4FAF">
                        <w:rPr>
                          <w:rFonts w:asciiTheme="majorHAnsi" w:hAnsiTheme="majorHAnsi" w:cs="Arial"/>
                          <w:b/>
                          <w:bCs/>
                          <w:color w:val="0D0D0D" w:themeColor="text1" w:themeTint="F2"/>
                          <w:sz w:val="36"/>
                          <w:szCs w:val="22"/>
                          <w:lang w:val="es-ES_tradnl"/>
                        </w:rPr>
                        <w:t>54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633165D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21C0">
                        <w:rPr>
                          <w:rFonts w:asciiTheme="majorHAnsi" w:hAnsiTheme="majorHAnsi" w:cs="Arial"/>
                          <w:b/>
                          <w:color w:val="0D0D0D" w:themeColor="text1" w:themeTint="F2"/>
                          <w:sz w:val="36"/>
                          <w:szCs w:val="22"/>
                          <w:lang w:val="es-ES_tradnl"/>
                        </w:rPr>
                        <w:t>1339</w:t>
                      </w:r>
                      <w:r w:rsidR="00246D1F" w:rsidRPr="004E2649">
                        <w:rPr>
                          <w:rFonts w:asciiTheme="majorHAnsi" w:hAnsiTheme="majorHAnsi" w:cs="Arial"/>
                          <w:b/>
                          <w:color w:val="0D0D0D" w:themeColor="text1" w:themeTint="F2"/>
                          <w:sz w:val="36"/>
                          <w:szCs w:val="22"/>
                          <w:lang w:val="es-ES_tradnl"/>
                        </w:rPr>
                        <w:t>-</w:t>
                      </w:r>
                      <w:r w:rsidR="00744FFD">
                        <w:rPr>
                          <w:rFonts w:asciiTheme="majorHAnsi" w:hAnsiTheme="majorHAnsi" w:cs="Arial"/>
                          <w:b/>
                          <w:color w:val="0D0D0D" w:themeColor="text1" w:themeTint="F2"/>
                          <w:sz w:val="36"/>
                          <w:szCs w:val="22"/>
                          <w:lang w:val="es-ES_tradnl"/>
                        </w:rPr>
                        <w:t>0</w:t>
                      </w:r>
                      <w:r w:rsidR="00897C3D">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4631695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3CDF04B" w:rsidR="005B52B0" w:rsidRPr="000A6654" w:rsidRDefault="000A6654" w:rsidP="00997BC5">
                      <w:pPr>
                        <w:spacing w:line="276" w:lineRule="auto"/>
                        <w:rPr>
                          <w:rFonts w:asciiTheme="majorHAnsi" w:hAnsiTheme="majorHAnsi" w:cs="Arial"/>
                          <w:color w:val="0D0D0D" w:themeColor="text1" w:themeTint="F2"/>
                          <w:szCs w:val="22"/>
                          <w:lang w:val="pt-BR"/>
                        </w:rPr>
                      </w:pPr>
                      <w:r w:rsidRPr="000A6654">
                        <w:rPr>
                          <w:rFonts w:asciiTheme="majorHAnsi" w:hAnsiTheme="majorHAnsi" w:cs="Arial"/>
                          <w:color w:val="0D0D0D" w:themeColor="text1" w:themeTint="F2"/>
                          <w:szCs w:val="22"/>
                          <w:lang w:val="pt-BR"/>
                        </w:rPr>
                        <w:t>LUIS FERNANDO ALPIZAR N</w:t>
                      </w:r>
                      <w:r>
                        <w:rPr>
                          <w:rFonts w:asciiTheme="majorHAnsi" w:hAnsiTheme="majorHAnsi" w:cs="Arial"/>
                          <w:color w:val="0D0D0D" w:themeColor="text1" w:themeTint="F2"/>
                          <w:szCs w:val="22"/>
                          <w:lang w:val="pt-BR"/>
                        </w:rPr>
                        <w:t>AVARRO</w:t>
                      </w:r>
                    </w:p>
                    <w:bookmarkEnd w:id="1"/>
                    <w:p w14:paraId="575DFD52" w14:textId="23B3557C" w:rsidR="005B52B0" w:rsidRPr="000A6654" w:rsidRDefault="00744FFD" w:rsidP="007A5817">
                      <w:pPr>
                        <w:rPr>
                          <w:color w:val="0D0D0D" w:themeColor="text1" w:themeTint="F2"/>
                          <w:lang w:val="pt-BR"/>
                        </w:rPr>
                      </w:pPr>
                      <w:r w:rsidRPr="000A6654">
                        <w:rPr>
                          <w:rFonts w:asciiTheme="majorHAnsi" w:hAnsiTheme="majorHAnsi" w:cs="Arial"/>
                          <w:color w:val="0D0D0D" w:themeColor="text1" w:themeTint="F2"/>
                          <w:szCs w:val="22"/>
                          <w:lang w:val="pt-BR"/>
                        </w:rPr>
                        <w:t>COSTA RICA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AEAE354" w:rsidR="00627C9F" w:rsidRPr="004D6EBA" w:rsidRDefault="00834D49" w:rsidP="007A5817">
                            <w:pPr>
                              <w:spacing w:line="276" w:lineRule="auto"/>
                              <w:jc w:val="right"/>
                              <w:rPr>
                                <w:rFonts w:asciiTheme="minorHAnsi" w:hAnsiTheme="minorHAnsi"/>
                                <w:color w:val="FFFFFF" w:themeColor="background1"/>
                                <w:sz w:val="22"/>
                                <w:lang w:val="es-AR"/>
                              </w:rPr>
                            </w:pPr>
                            <w:r w:rsidRPr="004D6EBA">
                              <w:rPr>
                                <w:rFonts w:asciiTheme="minorHAnsi" w:hAnsiTheme="minorHAnsi"/>
                                <w:color w:val="FFFFFF" w:themeColor="background1"/>
                                <w:sz w:val="22"/>
                                <w:lang w:val="es-AR"/>
                              </w:rPr>
                              <w:t>OEA/Ser.L/V/II</w:t>
                            </w:r>
                          </w:p>
                          <w:p w14:paraId="6A41611B" w14:textId="36B87639" w:rsidR="00627C9F" w:rsidRPr="004D6EBA" w:rsidRDefault="00627C9F" w:rsidP="007A5817">
                            <w:pPr>
                              <w:spacing w:line="276" w:lineRule="auto"/>
                              <w:jc w:val="right"/>
                              <w:rPr>
                                <w:rFonts w:asciiTheme="minorHAnsi" w:hAnsiTheme="minorHAnsi"/>
                                <w:color w:val="FFFFFF" w:themeColor="background1"/>
                                <w:sz w:val="22"/>
                                <w:lang w:val="es-AR"/>
                              </w:rPr>
                            </w:pPr>
                            <w:r w:rsidRPr="004D6EBA">
                              <w:rPr>
                                <w:rFonts w:asciiTheme="minorHAnsi" w:hAnsiTheme="minorHAnsi"/>
                                <w:color w:val="FFFFFF" w:themeColor="background1"/>
                                <w:sz w:val="22"/>
                                <w:lang w:val="es-AR"/>
                              </w:rPr>
                              <w:t xml:space="preserve">Doc. </w:t>
                            </w:r>
                            <w:r w:rsidR="00D244FC" w:rsidRPr="004D6EBA">
                              <w:rPr>
                                <w:rFonts w:asciiTheme="minorHAnsi" w:hAnsiTheme="minorHAnsi"/>
                                <w:color w:val="FFFFFF" w:themeColor="background1"/>
                                <w:sz w:val="22"/>
                                <w:lang w:val="es-AR"/>
                              </w:rPr>
                              <w:t>62</w:t>
                            </w:r>
                          </w:p>
                          <w:p w14:paraId="69373ED2" w14:textId="07CCBEE2" w:rsidR="00627C9F" w:rsidRPr="00C25ADB" w:rsidRDefault="00D244F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AEAE354" w:rsidR="00627C9F" w:rsidRPr="004D6EBA" w:rsidRDefault="00834D49" w:rsidP="007A5817">
                      <w:pPr>
                        <w:spacing w:line="276" w:lineRule="auto"/>
                        <w:jc w:val="right"/>
                        <w:rPr>
                          <w:rFonts w:asciiTheme="minorHAnsi" w:hAnsiTheme="minorHAnsi"/>
                          <w:color w:val="FFFFFF" w:themeColor="background1"/>
                          <w:sz w:val="22"/>
                          <w:lang w:val="es-AR"/>
                        </w:rPr>
                      </w:pPr>
                      <w:r w:rsidRPr="004D6EBA">
                        <w:rPr>
                          <w:rFonts w:asciiTheme="minorHAnsi" w:hAnsiTheme="minorHAnsi"/>
                          <w:color w:val="FFFFFF" w:themeColor="background1"/>
                          <w:sz w:val="22"/>
                          <w:lang w:val="es-AR"/>
                        </w:rPr>
                        <w:t>OEA/Ser.L/V/II</w:t>
                      </w:r>
                    </w:p>
                    <w:p w14:paraId="6A41611B" w14:textId="36B87639" w:rsidR="00627C9F" w:rsidRPr="004D6EBA" w:rsidRDefault="00627C9F" w:rsidP="007A5817">
                      <w:pPr>
                        <w:spacing w:line="276" w:lineRule="auto"/>
                        <w:jc w:val="right"/>
                        <w:rPr>
                          <w:rFonts w:asciiTheme="minorHAnsi" w:hAnsiTheme="minorHAnsi"/>
                          <w:color w:val="FFFFFF" w:themeColor="background1"/>
                          <w:sz w:val="22"/>
                          <w:lang w:val="es-AR"/>
                        </w:rPr>
                      </w:pPr>
                      <w:r w:rsidRPr="004D6EBA">
                        <w:rPr>
                          <w:rFonts w:asciiTheme="minorHAnsi" w:hAnsiTheme="minorHAnsi"/>
                          <w:color w:val="FFFFFF" w:themeColor="background1"/>
                          <w:sz w:val="22"/>
                          <w:lang w:val="es-AR"/>
                        </w:rPr>
                        <w:t xml:space="preserve">Doc. </w:t>
                      </w:r>
                      <w:r w:rsidR="00D244FC" w:rsidRPr="004D6EBA">
                        <w:rPr>
                          <w:rFonts w:asciiTheme="minorHAnsi" w:hAnsiTheme="minorHAnsi"/>
                          <w:color w:val="FFFFFF" w:themeColor="background1"/>
                          <w:sz w:val="22"/>
                          <w:lang w:val="es-AR"/>
                        </w:rPr>
                        <w:t>62</w:t>
                      </w:r>
                    </w:p>
                    <w:p w14:paraId="69373ED2" w14:textId="07CCBEE2" w:rsidR="00627C9F" w:rsidRPr="00C25ADB" w:rsidRDefault="00D244F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5DAC2D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26AAE">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126AAE">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126AA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55DAC2D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26AAE">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126AAE">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126AA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FC15A" w14:textId="77777777" w:rsidR="0076621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6AAE" w:rsidRPr="00126AAE">
                              <w:rPr>
                                <w:rFonts w:asciiTheme="majorHAnsi" w:hAnsiTheme="majorHAnsi"/>
                                <w:color w:val="595959" w:themeColor="text1" w:themeTint="A6"/>
                                <w:sz w:val="18"/>
                                <w:szCs w:val="18"/>
                                <w:lang w:val="pt-BR"/>
                              </w:rPr>
                              <w:t>54</w:t>
                            </w:r>
                            <w:r w:rsidR="007B05C4" w:rsidRPr="00126AAE">
                              <w:rPr>
                                <w:rFonts w:asciiTheme="majorHAnsi" w:hAnsiTheme="majorHAnsi"/>
                                <w:color w:val="595959" w:themeColor="text1" w:themeTint="A6"/>
                                <w:sz w:val="18"/>
                                <w:szCs w:val="18"/>
                                <w:lang w:val="pt-BR"/>
                              </w:rPr>
                              <w:t>/</w:t>
                            </w:r>
                            <w:r w:rsidR="00126AAE" w:rsidRPr="00126AAE">
                              <w:rPr>
                                <w:rFonts w:asciiTheme="majorHAnsi" w:hAnsiTheme="majorHAnsi"/>
                                <w:color w:val="595959" w:themeColor="text1" w:themeTint="A6"/>
                                <w:sz w:val="18"/>
                                <w:szCs w:val="18"/>
                                <w:lang w:val="pt-BR"/>
                              </w:rPr>
                              <w:t>23</w:t>
                            </w:r>
                            <w:r w:rsidRPr="00126AA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9231B">
                              <w:rPr>
                                <w:rFonts w:asciiTheme="majorHAnsi" w:hAnsiTheme="majorHAnsi"/>
                                <w:color w:val="595959" w:themeColor="text1" w:themeTint="A6"/>
                                <w:sz w:val="18"/>
                                <w:szCs w:val="18"/>
                                <w:lang w:val="es-ES"/>
                              </w:rPr>
                              <w:t>1339</w:t>
                            </w:r>
                            <w:r w:rsidR="00744FFD">
                              <w:rPr>
                                <w:rFonts w:asciiTheme="majorHAnsi" w:hAnsiTheme="majorHAnsi"/>
                                <w:color w:val="595959" w:themeColor="text1" w:themeTint="A6"/>
                                <w:sz w:val="18"/>
                                <w:szCs w:val="18"/>
                                <w:lang w:val="es-ES"/>
                              </w:rPr>
                              <w:t>-0</w:t>
                            </w:r>
                            <w:r w:rsidR="00D0053A">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35C398F5" w:rsidR="00113F73" w:rsidRPr="007B05C4" w:rsidRDefault="00D9231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Luis Fernando Alpizar Navarro</w:t>
                            </w:r>
                            <w:r w:rsidR="00113F73" w:rsidRPr="00890650">
                              <w:rPr>
                                <w:rFonts w:asciiTheme="majorHAnsi" w:hAnsiTheme="majorHAnsi"/>
                                <w:color w:val="595959" w:themeColor="text1" w:themeTint="A6"/>
                                <w:sz w:val="18"/>
                                <w:szCs w:val="18"/>
                                <w:lang w:val="es-ES_tradnl"/>
                              </w:rPr>
                              <w:t xml:space="preserve">. </w:t>
                            </w:r>
                            <w:r w:rsidR="00744FF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126AAE">
                              <w:rPr>
                                <w:rFonts w:asciiTheme="majorHAnsi" w:hAnsiTheme="majorHAnsi"/>
                                <w:color w:val="595959" w:themeColor="text1" w:themeTint="A6"/>
                                <w:sz w:val="18"/>
                                <w:szCs w:val="18"/>
                                <w:lang w:val="es-ES"/>
                              </w:rPr>
                              <w:t>12 de mayo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BCFC15A" w14:textId="77777777" w:rsidR="0076621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6AAE" w:rsidRPr="00126AAE">
                        <w:rPr>
                          <w:rFonts w:asciiTheme="majorHAnsi" w:hAnsiTheme="majorHAnsi"/>
                          <w:color w:val="595959" w:themeColor="text1" w:themeTint="A6"/>
                          <w:sz w:val="18"/>
                          <w:szCs w:val="18"/>
                          <w:lang w:val="pt-BR"/>
                        </w:rPr>
                        <w:t>54</w:t>
                      </w:r>
                      <w:r w:rsidR="007B05C4" w:rsidRPr="00126AAE">
                        <w:rPr>
                          <w:rFonts w:asciiTheme="majorHAnsi" w:hAnsiTheme="majorHAnsi"/>
                          <w:color w:val="595959" w:themeColor="text1" w:themeTint="A6"/>
                          <w:sz w:val="18"/>
                          <w:szCs w:val="18"/>
                          <w:lang w:val="pt-BR"/>
                        </w:rPr>
                        <w:t>/</w:t>
                      </w:r>
                      <w:r w:rsidR="00126AAE" w:rsidRPr="00126AAE">
                        <w:rPr>
                          <w:rFonts w:asciiTheme="majorHAnsi" w:hAnsiTheme="majorHAnsi"/>
                          <w:color w:val="595959" w:themeColor="text1" w:themeTint="A6"/>
                          <w:sz w:val="18"/>
                          <w:szCs w:val="18"/>
                          <w:lang w:val="pt-BR"/>
                        </w:rPr>
                        <w:t>23</w:t>
                      </w:r>
                      <w:r w:rsidRPr="00126AA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9231B">
                        <w:rPr>
                          <w:rFonts w:asciiTheme="majorHAnsi" w:hAnsiTheme="majorHAnsi"/>
                          <w:color w:val="595959" w:themeColor="text1" w:themeTint="A6"/>
                          <w:sz w:val="18"/>
                          <w:szCs w:val="18"/>
                          <w:lang w:val="es-ES"/>
                        </w:rPr>
                        <w:t>1339</w:t>
                      </w:r>
                      <w:r w:rsidR="00744FFD">
                        <w:rPr>
                          <w:rFonts w:asciiTheme="majorHAnsi" w:hAnsiTheme="majorHAnsi"/>
                          <w:color w:val="595959" w:themeColor="text1" w:themeTint="A6"/>
                          <w:sz w:val="18"/>
                          <w:szCs w:val="18"/>
                          <w:lang w:val="es-ES"/>
                        </w:rPr>
                        <w:t>-0</w:t>
                      </w:r>
                      <w:r w:rsidR="00D0053A">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35C398F5" w:rsidR="00113F73" w:rsidRPr="007B05C4" w:rsidRDefault="00D9231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Luis Fernando Alpizar Navarro</w:t>
                      </w:r>
                      <w:r w:rsidR="00113F73" w:rsidRPr="00890650">
                        <w:rPr>
                          <w:rFonts w:asciiTheme="majorHAnsi" w:hAnsiTheme="majorHAnsi"/>
                          <w:color w:val="595959" w:themeColor="text1" w:themeTint="A6"/>
                          <w:sz w:val="18"/>
                          <w:szCs w:val="18"/>
                          <w:lang w:val="es-ES_tradnl"/>
                        </w:rPr>
                        <w:t xml:space="preserve">. </w:t>
                      </w:r>
                      <w:r w:rsidR="00744FF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126AAE">
                        <w:rPr>
                          <w:rFonts w:asciiTheme="majorHAnsi" w:hAnsiTheme="majorHAnsi"/>
                          <w:color w:val="595959" w:themeColor="text1" w:themeTint="A6"/>
                          <w:sz w:val="18"/>
                          <w:szCs w:val="18"/>
                          <w:lang w:val="es-ES"/>
                        </w:rPr>
                        <w:t>12 de mayo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00D6FF2" w:rsidR="00D72DC6" w:rsidRPr="00D72DC6" w:rsidRDefault="00766210" w:rsidP="00F02AD1">
                            <w:pPr>
                              <w:rPr>
                                <w:color w:val="FFFFFF" w:themeColor="background1"/>
                                <w14:textFill>
                                  <w14:noFill/>
                                </w14:textFill>
                              </w:rPr>
                            </w:pPr>
                            <w:r>
                              <w:rPr>
                                <w:noProof/>
                              </w:rPr>
                              <w:drawing>
                                <wp:inline distT="0" distB="0" distL="0" distR="0" wp14:anchorId="0E8C6478" wp14:editId="3AF702FF">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300D6FF2" w:rsidR="00D72DC6" w:rsidRPr="00D72DC6" w:rsidRDefault="00766210" w:rsidP="00F02AD1">
                      <w:pPr>
                        <w:rPr>
                          <w:color w:val="FFFFFF" w:themeColor="background1"/>
                          <w14:textFill>
                            <w14:noFill/>
                          </w14:textFill>
                        </w:rPr>
                      </w:pPr>
                      <w:r>
                        <w:rPr>
                          <w:noProof/>
                        </w:rPr>
                        <w:drawing>
                          <wp:inline distT="0" distB="0" distL="0" distR="0" wp14:anchorId="0E8C6478" wp14:editId="3AF702FF">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071F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30890F9" w:rsidR="003239B8" w:rsidRPr="00CC4AC6" w:rsidRDefault="00D9231B" w:rsidP="008D2290">
            <w:pPr>
              <w:jc w:val="both"/>
              <w:rPr>
                <w:rFonts w:ascii="Cambria" w:hAnsi="Cambria"/>
                <w:bCs/>
                <w:sz w:val="20"/>
                <w:szCs w:val="20"/>
                <w:lang w:val="es-US"/>
              </w:rPr>
            </w:pPr>
            <w:r>
              <w:rPr>
                <w:rFonts w:ascii="Cambria" w:hAnsi="Cambria"/>
                <w:bCs/>
                <w:sz w:val="20"/>
                <w:szCs w:val="20"/>
                <w:lang w:val="es-US"/>
              </w:rPr>
              <w:t>Dayan Alpizar</w:t>
            </w:r>
          </w:p>
        </w:tc>
      </w:tr>
      <w:tr w:rsidR="003239B8" w:rsidRPr="00804C1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1008F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B444AD6" w:rsidR="003239B8" w:rsidRPr="00916C1D" w:rsidRDefault="00D9231B" w:rsidP="00684BFC">
            <w:pPr>
              <w:rPr>
                <w:lang w:val="es-US"/>
              </w:rPr>
            </w:pPr>
            <w:r>
              <w:rPr>
                <w:rFonts w:ascii="Cambria" w:hAnsi="Cambria"/>
                <w:bCs/>
                <w:sz w:val="20"/>
                <w:szCs w:val="20"/>
                <w:lang w:val="es-US"/>
              </w:rPr>
              <w:t>Luis Fernando Alpizar Navarr</w:t>
            </w:r>
            <w:r w:rsidR="00F879D6">
              <w:rPr>
                <w:rFonts w:ascii="Cambria" w:hAnsi="Cambria"/>
                <w:bCs/>
                <w:sz w:val="20"/>
                <w:szCs w:val="20"/>
                <w:lang w:val="es-US"/>
              </w:rPr>
              <w:t>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AF786AC" w:rsidR="003239B8" w:rsidRPr="000D05CB" w:rsidRDefault="00D9231B" w:rsidP="008D2290">
            <w:pPr>
              <w:jc w:val="both"/>
              <w:rPr>
                <w:rFonts w:ascii="Cambria" w:hAnsi="Cambria"/>
                <w:bCs/>
                <w:sz w:val="20"/>
                <w:szCs w:val="20"/>
              </w:rPr>
            </w:pPr>
            <w:r>
              <w:rPr>
                <w:rFonts w:ascii="Cambria" w:hAnsi="Cambria"/>
                <w:bCs/>
                <w:sz w:val="20"/>
                <w:szCs w:val="20"/>
              </w:rPr>
              <w:t>Costa Rica</w:t>
            </w:r>
          </w:p>
        </w:tc>
      </w:tr>
      <w:tr w:rsidR="00223A29" w:rsidRPr="004D6EB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3E4F01C" w:rsidR="00223A29" w:rsidRPr="00406D7B" w:rsidRDefault="000A33CE" w:rsidP="008D2290">
            <w:pPr>
              <w:jc w:val="both"/>
              <w:rPr>
                <w:rFonts w:ascii="Cambria" w:hAnsi="Cambria"/>
                <w:bCs/>
                <w:sz w:val="20"/>
                <w:szCs w:val="20"/>
                <w:lang w:val="es-US"/>
              </w:rPr>
            </w:pPr>
            <w:r>
              <w:rPr>
                <w:rFonts w:ascii="Cambria" w:hAnsi="Cambria"/>
                <w:bCs/>
                <w:sz w:val="20"/>
                <w:szCs w:val="20"/>
                <w:lang w:val="es-ES"/>
              </w:rPr>
              <w:t xml:space="preserve">Artículos 8 (garantías judiciales) y 25 (protección judicial)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9231B"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D9231B" w:rsidRPr="003239B8" w:rsidRDefault="00D9231B" w:rsidP="00D9231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075A49F" w:rsidR="00D9231B" w:rsidRPr="003239B8" w:rsidRDefault="00D9231B" w:rsidP="00D9231B">
            <w:pPr>
              <w:jc w:val="both"/>
              <w:rPr>
                <w:rFonts w:ascii="Cambria" w:hAnsi="Cambria"/>
                <w:bCs/>
                <w:sz w:val="20"/>
                <w:szCs w:val="20"/>
                <w:lang w:val="es-ES"/>
              </w:rPr>
            </w:pPr>
            <w:r>
              <w:rPr>
                <w:rFonts w:ascii="Cambria" w:hAnsi="Cambria"/>
                <w:bCs/>
                <w:sz w:val="20"/>
                <w:szCs w:val="20"/>
                <w:lang w:val="es-ES"/>
              </w:rPr>
              <w:t>18 de noviembre de 2008</w:t>
            </w:r>
          </w:p>
        </w:tc>
      </w:tr>
      <w:tr w:rsidR="00D9231B" w:rsidRPr="004D6EBA" w14:paraId="79EBA584" w14:textId="77777777" w:rsidTr="004A6A54">
        <w:tc>
          <w:tcPr>
            <w:tcW w:w="3600" w:type="dxa"/>
            <w:tcBorders>
              <w:top w:val="single" w:sz="6" w:space="0" w:color="auto"/>
              <w:bottom w:val="single" w:sz="6" w:space="0" w:color="auto"/>
            </w:tcBorders>
            <w:shd w:val="clear" w:color="auto" w:fill="386294"/>
            <w:vAlign w:val="center"/>
          </w:tcPr>
          <w:p w14:paraId="371D250B" w14:textId="5B15DB17" w:rsidR="00D9231B" w:rsidRDefault="00D9231B" w:rsidP="00D9231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422E658" w14:textId="2954ED99" w:rsidR="00D9231B" w:rsidRDefault="00D9231B" w:rsidP="00D9231B">
            <w:pPr>
              <w:jc w:val="both"/>
              <w:rPr>
                <w:rFonts w:ascii="Cambria" w:hAnsi="Cambria"/>
                <w:bCs/>
                <w:sz w:val="20"/>
                <w:szCs w:val="20"/>
                <w:lang w:val="es-ES"/>
              </w:rPr>
            </w:pPr>
            <w:r>
              <w:rPr>
                <w:rFonts w:ascii="Cambria" w:hAnsi="Cambria"/>
                <w:bCs/>
                <w:sz w:val="20"/>
                <w:szCs w:val="20"/>
                <w:lang w:val="es-ES"/>
              </w:rPr>
              <w:t>5 de abril de 2013, 6 de junio de 2013, 6 de octubre de 2014 y 2 de marzo de 2015</w:t>
            </w:r>
          </w:p>
        </w:tc>
      </w:tr>
      <w:tr w:rsidR="00D9231B" w:rsidRPr="00560A3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D9231B" w:rsidRPr="003239B8" w:rsidRDefault="00D9231B" w:rsidP="00D9231B">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845AED3" w:rsidR="00D9231B" w:rsidRPr="003239B8" w:rsidRDefault="00D9231B" w:rsidP="00D9231B">
            <w:pPr>
              <w:jc w:val="both"/>
              <w:rPr>
                <w:rFonts w:ascii="Cambria" w:hAnsi="Cambria"/>
                <w:bCs/>
                <w:sz w:val="20"/>
                <w:szCs w:val="20"/>
                <w:lang w:val="es-ES"/>
              </w:rPr>
            </w:pPr>
            <w:r>
              <w:rPr>
                <w:rFonts w:ascii="Cambria" w:hAnsi="Cambria"/>
                <w:bCs/>
                <w:sz w:val="20"/>
                <w:szCs w:val="20"/>
                <w:lang w:val="es-ES"/>
              </w:rPr>
              <w:t>1 de septiembre de 2016</w:t>
            </w:r>
          </w:p>
        </w:tc>
      </w:tr>
      <w:tr w:rsidR="00D9231B"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D9231B" w:rsidRPr="003239B8" w:rsidRDefault="00D9231B" w:rsidP="00D9231B">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14:paraId="1972B99E" w14:textId="2D70CBF6" w:rsidR="00D9231B" w:rsidRPr="003239B8" w:rsidRDefault="00D9231B" w:rsidP="00D9231B">
            <w:pPr>
              <w:jc w:val="both"/>
              <w:rPr>
                <w:rFonts w:ascii="Cambria" w:hAnsi="Cambria"/>
                <w:bCs/>
                <w:sz w:val="20"/>
                <w:szCs w:val="20"/>
                <w:lang w:val="es-ES"/>
              </w:rPr>
            </w:pPr>
            <w:r>
              <w:rPr>
                <w:rFonts w:ascii="Cambria" w:hAnsi="Cambria"/>
                <w:bCs/>
                <w:sz w:val="20"/>
                <w:szCs w:val="20"/>
                <w:lang w:val="es-ES"/>
              </w:rPr>
              <w:t>7 de junio de 2018</w:t>
            </w:r>
          </w:p>
        </w:tc>
      </w:tr>
      <w:tr w:rsidR="00D9231B" w:rsidRPr="004D6EBA" w14:paraId="370C6B67" w14:textId="77777777" w:rsidTr="004A6A54">
        <w:tc>
          <w:tcPr>
            <w:tcW w:w="3600" w:type="dxa"/>
            <w:tcBorders>
              <w:top w:val="single" w:sz="6" w:space="0" w:color="auto"/>
              <w:bottom w:val="single" w:sz="6" w:space="0" w:color="auto"/>
            </w:tcBorders>
            <w:shd w:val="clear" w:color="auto" w:fill="386294"/>
            <w:vAlign w:val="center"/>
          </w:tcPr>
          <w:p w14:paraId="673449BE" w14:textId="0058B676" w:rsidR="00D9231B" w:rsidRDefault="00D9231B" w:rsidP="00D9231B">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5BFDEA25" w14:textId="0406CD30" w:rsidR="00D9231B" w:rsidRDefault="00515F7D" w:rsidP="00D9231B">
            <w:pPr>
              <w:jc w:val="both"/>
              <w:rPr>
                <w:rFonts w:ascii="Cambria" w:hAnsi="Cambria"/>
                <w:bCs/>
                <w:sz w:val="20"/>
                <w:szCs w:val="20"/>
                <w:lang w:val="es-ES"/>
              </w:rPr>
            </w:pPr>
            <w:r>
              <w:rPr>
                <w:rFonts w:ascii="Cambria" w:hAnsi="Cambria"/>
                <w:bCs/>
                <w:sz w:val="20"/>
                <w:szCs w:val="20"/>
                <w:lang w:val="es-ES"/>
              </w:rPr>
              <w:t>7 de diciembre de 2018 y 26 de mayo de 2022</w:t>
            </w:r>
          </w:p>
        </w:tc>
      </w:tr>
      <w:tr w:rsidR="00D9231B" w:rsidRPr="00855ADB" w14:paraId="53744B43" w14:textId="77777777" w:rsidTr="004A6A54">
        <w:tc>
          <w:tcPr>
            <w:tcW w:w="3600" w:type="dxa"/>
            <w:tcBorders>
              <w:top w:val="single" w:sz="6" w:space="0" w:color="auto"/>
              <w:bottom w:val="single" w:sz="6" w:space="0" w:color="auto"/>
            </w:tcBorders>
            <w:shd w:val="clear" w:color="auto" w:fill="386294"/>
            <w:vAlign w:val="center"/>
          </w:tcPr>
          <w:p w14:paraId="2612331C" w14:textId="05520089" w:rsidR="00D9231B" w:rsidRDefault="00D9231B" w:rsidP="00D9231B">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233F6E39" w14:textId="418192C4" w:rsidR="00D9231B" w:rsidRDefault="00515F7D" w:rsidP="00D9231B">
            <w:pPr>
              <w:jc w:val="both"/>
              <w:rPr>
                <w:rFonts w:ascii="Cambria" w:hAnsi="Cambria"/>
                <w:bCs/>
                <w:sz w:val="20"/>
                <w:szCs w:val="20"/>
                <w:lang w:val="es-ES"/>
              </w:rPr>
            </w:pPr>
            <w:r>
              <w:rPr>
                <w:rFonts w:ascii="Cambria" w:hAnsi="Cambria"/>
                <w:bCs/>
                <w:sz w:val="20"/>
                <w:szCs w:val="20"/>
                <w:lang w:val="es-ES"/>
              </w:rPr>
              <w:t>16 de julio de 2020</w:t>
            </w:r>
          </w:p>
        </w:tc>
      </w:tr>
      <w:tr w:rsidR="00D9231B" w:rsidRPr="00855ADB" w14:paraId="76E9D9DB" w14:textId="77777777" w:rsidTr="004A6A54">
        <w:tc>
          <w:tcPr>
            <w:tcW w:w="3600" w:type="dxa"/>
            <w:tcBorders>
              <w:top w:val="single" w:sz="6" w:space="0" w:color="auto"/>
              <w:bottom w:val="single" w:sz="6" w:space="0" w:color="auto"/>
            </w:tcBorders>
            <w:shd w:val="clear" w:color="auto" w:fill="386294"/>
            <w:vAlign w:val="center"/>
          </w:tcPr>
          <w:p w14:paraId="18BEA7AC" w14:textId="321B492C" w:rsidR="00D9231B" w:rsidRDefault="00D9231B" w:rsidP="00D9231B">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Advertencia de archivo</w:t>
            </w:r>
          </w:p>
        </w:tc>
        <w:tc>
          <w:tcPr>
            <w:tcW w:w="5760" w:type="dxa"/>
            <w:vAlign w:val="center"/>
          </w:tcPr>
          <w:p w14:paraId="65332A47" w14:textId="3546C1FC" w:rsidR="00D9231B" w:rsidRDefault="00515F7D" w:rsidP="00D9231B">
            <w:pPr>
              <w:jc w:val="both"/>
              <w:rPr>
                <w:rFonts w:ascii="Cambria" w:hAnsi="Cambria"/>
                <w:bCs/>
                <w:sz w:val="20"/>
                <w:szCs w:val="20"/>
                <w:lang w:val="es-ES"/>
              </w:rPr>
            </w:pPr>
            <w:r>
              <w:rPr>
                <w:rFonts w:ascii="Cambria" w:hAnsi="Cambria"/>
                <w:bCs/>
                <w:sz w:val="20"/>
                <w:szCs w:val="20"/>
                <w:lang w:val="es-ES"/>
              </w:rPr>
              <w:t>12 de noviembre de 2018</w:t>
            </w:r>
          </w:p>
        </w:tc>
      </w:tr>
      <w:tr w:rsidR="00D9231B" w:rsidRPr="000A6654" w14:paraId="1C5078A5" w14:textId="77777777" w:rsidTr="004A6A54">
        <w:tc>
          <w:tcPr>
            <w:tcW w:w="3600" w:type="dxa"/>
            <w:tcBorders>
              <w:top w:val="single" w:sz="6" w:space="0" w:color="auto"/>
              <w:bottom w:val="single" w:sz="6" w:space="0" w:color="auto"/>
            </w:tcBorders>
            <w:shd w:val="clear" w:color="auto" w:fill="386294"/>
            <w:vAlign w:val="center"/>
          </w:tcPr>
          <w:p w14:paraId="658AA7B5" w14:textId="7B965730" w:rsidR="00D9231B" w:rsidRDefault="00D9231B" w:rsidP="00D9231B">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Respuesta a advertencia de archivo</w:t>
            </w:r>
          </w:p>
        </w:tc>
        <w:tc>
          <w:tcPr>
            <w:tcW w:w="5760" w:type="dxa"/>
            <w:vAlign w:val="center"/>
          </w:tcPr>
          <w:p w14:paraId="1350C2DE" w14:textId="65B39957" w:rsidR="00D9231B" w:rsidRDefault="00515F7D" w:rsidP="00D9231B">
            <w:pPr>
              <w:jc w:val="both"/>
              <w:rPr>
                <w:rFonts w:ascii="Cambria" w:hAnsi="Cambria"/>
                <w:bCs/>
                <w:sz w:val="20"/>
                <w:szCs w:val="20"/>
                <w:lang w:val="es-ES"/>
              </w:rPr>
            </w:pPr>
            <w:r>
              <w:rPr>
                <w:rFonts w:ascii="Cambria" w:hAnsi="Cambria"/>
                <w:bCs/>
                <w:sz w:val="20"/>
                <w:szCs w:val="20"/>
                <w:lang w:val="es-ES"/>
              </w:rPr>
              <w:t>6 de enero de 2019</w:t>
            </w:r>
          </w:p>
        </w:tc>
      </w:tr>
    </w:tbl>
    <w:p w14:paraId="21DAA666" w14:textId="13A674AC"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2263CF">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2263CF">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2263CF">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4D6EBA" w14:paraId="30ABEC3E" w14:textId="77777777" w:rsidTr="002263CF">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5CD1F7B0" w:rsidR="003239B8" w:rsidRPr="00B3745F" w:rsidRDefault="00B81CEB"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8 de abril de 1970</w:t>
            </w:r>
            <w:r w:rsidR="004A12C7">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0A33CE" w14:paraId="1231C988" w14:textId="77777777" w:rsidTr="002263CF">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5DDE7B6" w:rsidR="00EE00E9" w:rsidRPr="00DC24E3" w:rsidRDefault="00703FBE"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2263CF">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583995A3" w:rsidR="003239B8" w:rsidRPr="00DC24E3" w:rsidRDefault="005D5E00" w:rsidP="008D2290">
            <w:pPr>
              <w:jc w:val="both"/>
              <w:rPr>
                <w:rFonts w:ascii="Cambria" w:hAnsi="Cambria"/>
                <w:bCs/>
                <w:sz w:val="20"/>
                <w:szCs w:val="20"/>
              </w:rPr>
            </w:pPr>
            <w:r>
              <w:rPr>
                <w:rFonts w:ascii="Cambria" w:hAnsi="Cambria"/>
                <w:bCs/>
                <w:sz w:val="20"/>
                <w:szCs w:val="20"/>
              </w:rPr>
              <w:t>N/A</w:t>
            </w:r>
          </w:p>
        </w:tc>
      </w:tr>
      <w:tr w:rsidR="003239B8" w:rsidRPr="004D6EBA" w14:paraId="4EFD141E" w14:textId="77777777" w:rsidTr="002263CF">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2FE1F81A" w:rsidR="003239B8" w:rsidRPr="00DC24E3" w:rsidRDefault="00703FBE" w:rsidP="008D2290">
            <w:pPr>
              <w:rPr>
                <w:rFonts w:ascii="Cambria" w:hAnsi="Cambria"/>
                <w:bCs/>
                <w:sz w:val="20"/>
                <w:szCs w:val="20"/>
                <w:lang w:val="es-ES"/>
              </w:rPr>
            </w:pPr>
            <w:r>
              <w:rPr>
                <w:rFonts w:ascii="Cambria" w:hAnsi="Cambria"/>
                <w:bCs/>
                <w:sz w:val="20"/>
                <w:szCs w:val="20"/>
                <w:lang w:val="es-ES"/>
              </w:rPr>
              <w:t>No, en los términos de la sección VII</w:t>
            </w:r>
          </w:p>
        </w:tc>
      </w:tr>
      <w:tr w:rsidR="003239B8" w:rsidRPr="00435CFF" w14:paraId="52B5BA17" w14:textId="77777777" w:rsidTr="002263CF">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48FD6F1F" w:rsidR="003239B8" w:rsidRPr="00703FBE" w:rsidRDefault="00703FBE" w:rsidP="008D2290">
            <w:pPr>
              <w:rPr>
                <w:rFonts w:ascii="Cambria" w:hAnsi="Cambria"/>
                <w:bCs/>
                <w:sz w:val="20"/>
                <w:szCs w:val="20"/>
                <w:lang w:val="es-US"/>
              </w:rPr>
            </w:pPr>
            <w:r w:rsidRPr="00703FBE">
              <w:rPr>
                <w:rFonts w:ascii="Cambria" w:hAnsi="Cambria"/>
                <w:bCs/>
                <w:sz w:val="20"/>
                <w:szCs w:val="20"/>
                <w:lang w:val="es-US"/>
              </w:rPr>
              <w:t>No</w:t>
            </w:r>
            <w:r w:rsidR="00D05F90">
              <w:rPr>
                <w:rFonts w:ascii="Cambria" w:hAnsi="Cambria"/>
                <w:bCs/>
                <w:sz w:val="20"/>
                <w:szCs w:val="20"/>
                <w:lang w:val="es-US"/>
              </w:rPr>
              <w:t xml:space="preserve"> aplica</w:t>
            </w:r>
          </w:p>
        </w:tc>
      </w:tr>
    </w:tbl>
    <w:p w14:paraId="18E6423B" w14:textId="32CC9E21" w:rsidR="003239B8" w:rsidRPr="009E7B35"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39144C" w:rsidRPr="009E7B35">
        <w:rPr>
          <w:rFonts w:asciiTheme="majorHAnsi" w:hAnsiTheme="majorHAnsi"/>
          <w:b/>
          <w:sz w:val="20"/>
          <w:szCs w:val="20"/>
          <w:lang w:val="es-ES_tradnl"/>
        </w:rPr>
        <w:t>POSICIÓN DE LAS PARTES</w:t>
      </w:r>
      <w:r w:rsidR="003239B8" w:rsidRPr="009E7B35">
        <w:rPr>
          <w:rFonts w:asciiTheme="majorHAnsi" w:hAnsiTheme="majorHAnsi"/>
          <w:b/>
          <w:sz w:val="20"/>
          <w:szCs w:val="20"/>
          <w:lang w:val="es-ES_tradnl"/>
        </w:rPr>
        <w:t xml:space="preserve"> </w:t>
      </w:r>
    </w:p>
    <w:p w14:paraId="6EDB167A" w14:textId="4C8833EB" w:rsidR="000A33CE" w:rsidRPr="009E7B35" w:rsidRDefault="000A33CE" w:rsidP="003239B8">
      <w:pPr>
        <w:spacing w:before="240" w:after="240"/>
        <w:ind w:firstLine="720"/>
        <w:jc w:val="both"/>
        <w:rPr>
          <w:rFonts w:asciiTheme="majorHAnsi" w:hAnsiTheme="majorHAnsi"/>
          <w:bCs/>
          <w:i/>
          <w:iCs/>
          <w:sz w:val="20"/>
          <w:szCs w:val="20"/>
          <w:lang w:val="es-ES_tradnl"/>
        </w:rPr>
      </w:pPr>
      <w:r w:rsidRPr="009E7B35">
        <w:rPr>
          <w:rFonts w:asciiTheme="majorHAnsi" w:hAnsiTheme="majorHAnsi"/>
          <w:bCs/>
          <w:i/>
          <w:iCs/>
          <w:sz w:val="20"/>
          <w:szCs w:val="20"/>
          <w:lang w:val="es-ES_tradnl"/>
        </w:rPr>
        <w:t xml:space="preserve">Alegatos de la parte peticionaria </w:t>
      </w:r>
    </w:p>
    <w:p w14:paraId="1098C57C" w14:textId="598E2AB5" w:rsidR="00A8654D" w:rsidRPr="009E7B35" w:rsidRDefault="00A8654D" w:rsidP="00A865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Cambria" w:hAnsi="Cambria"/>
          <w:sz w:val="20"/>
          <w:szCs w:val="20"/>
          <w:lang w:val="es-ES_tradnl"/>
        </w:rPr>
        <w:t xml:space="preserve">La parte peticionaria denuncia que el señor Alpizar Navarro no tuvo acceso a un recurso que permita la revisión integral de su condena por el delito de violación y abuso sexual. Asimismo, afirma que tal decisión no contó con una debida motivación y no respetó sus derechos a la defensa. </w:t>
      </w:r>
    </w:p>
    <w:p w14:paraId="07C8D4BA" w14:textId="799370CA" w:rsidR="00DE7A9B" w:rsidRPr="009E7B35" w:rsidRDefault="000A33CE" w:rsidP="00DE7A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Cambria" w:hAnsi="Cambria"/>
          <w:sz w:val="20"/>
          <w:szCs w:val="20"/>
          <w:lang w:val="es-ES_tradnl"/>
        </w:rPr>
        <w:t xml:space="preserve">Indica que el 30 de marzo de 2004 el Ministerio Público inició una indagación contra el señor Alpizar Navarro por haber </w:t>
      </w:r>
      <w:r w:rsidR="00F47B0E" w:rsidRPr="009E7B35">
        <w:rPr>
          <w:rFonts w:ascii="Cambria" w:hAnsi="Cambria"/>
          <w:sz w:val="20"/>
          <w:szCs w:val="20"/>
          <w:lang w:val="es-ES_tradnl"/>
        </w:rPr>
        <w:t>agredido a</w:t>
      </w:r>
      <w:r w:rsidRPr="009E7B35">
        <w:rPr>
          <w:rFonts w:ascii="Cambria" w:hAnsi="Cambria"/>
          <w:sz w:val="20"/>
          <w:szCs w:val="20"/>
          <w:lang w:val="es-ES_tradnl"/>
        </w:rPr>
        <w:t xml:space="preserve"> </w:t>
      </w:r>
      <w:r w:rsidR="00A11ED5" w:rsidRPr="009E7B35">
        <w:rPr>
          <w:rFonts w:ascii="Cambria" w:hAnsi="Cambria"/>
          <w:sz w:val="20"/>
          <w:szCs w:val="20"/>
          <w:lang w:val="es-ES_tradnl"/>
        </w:rPr>
        <w:t>dos</w:t>
      </w:r>
      <w:r w:rsidRPr="009E7B35">
        <w:rPr>
          <w:rFonts w:ascii="Cambria" w:hAnsi="Cambria"/>
          <w:sz w:val="20"/>
          <w:szCs w:val="20"/>
          <w:lang w:val="es-ES_tradnl"/>
        </w:rPr>
        <w:t xml:space="preserve"> adolescente</w:t>
      </w:r>
      <w:r w:rsidR="00A11ED5" w:rsidRPr="009E7B35">
        <w:rPr>
          <w:rFonts w:ascii="Cambria" w:hAnsi="Cambria"/>
          <w:sz w:val="20"/>
          <w:szCs w:val="20"/>
          <w:lang w:val="es-ES_tradnl"/>
        </w:rPr>
        <w:t>s</w:t>
      </w:r>
      <w:r w:rsidRPr="009E7B35">
        <w:rPr>
          <w:rFonts w:ascii="Cambria" w:hAnsi="Cambria"/>
          <w:sz w:val="20"/>
          <w:szCs w:val="20"/>
          <w:lang w:val="es-ES_tradnl"/>
        </w:rPr>
        <w:t xml:space="preserve">. </w:t>
      </w:r>
      <w:r w:rsidR="00A11ED5" w:rsidRPr="009E7B35">
        <w:rPr>
          <w:rFonts w:ascii="Cambria" w:hAnsi="Cambria"/>
          <w:sz w:val="20"/>
          <w:szCs w:val="20"/>
          <w:lang w:val="es-ES_tradnl"/>
        </w:rPr>
        <w:t xml:space="preserve">Como consecuencia, </w:t>
      </w:r>
      <w:r w:rsidRPr="009E7B35">
        <w:rPr>
          <w:rFonts w:ascii="Cambria" w:hAnsi="Cambria"/>
          <w:sz w:val="20"/>
          <w:szCs w:val="20"/>
          <w:lang w:val="es-ES_tradnl"/>
        </w:rPr>
        <w:t xml:space="preserve">tras una investigación y proceso </w:t>
      </w:r>
      <w:r w:rsidRPr="009E7B35">
        <w:rPr>
          <w:rFonts w:ascii="Cambria" w:hAnsi="Cambria"/>
          <w:sz w:val="20"/>
          <w:szCs w:val="20"/>
          <w:lang w:val="es-ES_tradnl"/>
        </w:rPr>
        <w:lastRenderedPageBreak/>
        <w:t xml:space="preserve">penal, el 13 de octubre de 2005 el Tribunal </w:t>
      </w:r>
      <w:r w:rsidR="00A11ED5" w:rsidRPr="009E7B35">
        <w:rPr>
          <w:rFonts w:ascii="Cambria" w:hAnsi="Cambria"/>
          <w:sz w:val="20"/>
          <w:szCs w:val="20"/>
          <w:lang w:val="es-ES_tradnl"/>
        </w:rPr>
        <w:t>de Juicio del Segundo Circuito Judicial de San José</w:t>
      </w:r>
      <w:r w:rsidR="000A454E" w:rsidRPr="009E7B35">
        <w:rPr>
          <w:rFonts w:ascii="Cambria" w:hAnsi="Cambria"/>
          <w:sz w:val="20"/>
          <w:szCs w:val="20"/>
          <w:lang w:val="es-ES_tradnl"/>
        </w:rPr>
        <w:t>, Goicochea,</w:t>
      </w:r>
      <w:r w:rsidR="00A11ED5" w:rsidRPr="009E7B35">
        <w:rPr>
          <w:rFonts w:ascii="Cambria" w:hAnsi="Cambria"/>
          <w:sz w:val="20"/>
          <w:szCs w:val="20"/>
          <w:lang w:val="es-ES_tradnl"/>
        </w:rPr>
        <w:t xml:space="preserve"> condenó a la presunta víctima a cuarenta y cinco años de pena privativa de libertad por el delito de </w:t>
      </w:r>
      <w:r w:rsidR="000A454E" w:rsidRPr="009E7B35">
        <w:rPr>
          <w:rFonts w:ascii="Cambria" w:hAnsi="Cambria"/>
          <w:sz w:val="20"/>
          <w:szCs w:val="20"/>
          <w:lang w:val="es-ES_tradnl"/>
        </w:rPr>
        <w:t xml:space="preserve">violación y </w:t>
      </w:r>
      <w:r w:rsidR="00A11ED5" w:rsidRPr="009E7B35">
        <w:rPr>
          <w:rFonts w:ascii="Cambria" w:hAnsi="Cambria"/>
          <w:sz w:val="20"/>
          <w:szCs w:val="20"/>
          <w:lang w:val="es-ES_tradnl"/>
        </w:rPr>
        <w:t>abuso sexual.</w:t>
      </w:r>
      <w:r w:rsidR="00DE7A9B" w:rsidRPr="009E7B35">
        <w:rPr>
          <w:rFonts w:ascii="Cambria" w:hAnsi="Cambria"/>
          <w:sz w:val="20"/>
          <w:szCs w:val="20"/>
          <w:lang w:val="es-ES_tradnl"/>
        </w:rPr>
        <w:t xml:space="preserve"> </w:t>
      </w:r>
      <w:r w:rsidR="007C04B1" w:rsidRPr="009E7B35">
        <w:rPr>
          <w:rFonts w:ascii="Cambria" w:hAnsi="Cambria"/>
          <w:sz w:val="20"/>
          <w:szCs w:val="20"/>
          <w:lang w:val="es-ES_tradnl"/>
        </w:rPr>
        <w:t>L</w:t>
      </w:r>
      <w:r w:rsidR="00DE7A9B" w:rsidRPr="009E7B35">
        <w:rPr>
          <w:rFonts w:ascii="Cambria" w:hAnsi="Cambria"/>
          <w:sz w:val="20"/>
          <w:szCs w:val="20"/>
          <w:lang w:val="es-ES_tradnl"/>
        </w:rPr>
        <w:t xml:space="preserve">a representación de la presunta víctima interpuso un recurso de casación contra esta decisión, cuestionando cuestiones de hecho y derecho del fallo, pero el 7 de abril de 2006 la Tercera Sala Penal de la Corte Suprema de Justicia confirmó la sentencia condenatoria. Detalla que esta decisión fue notificada el 12 de julio de 2006. </w:t>
      </w:r>
    </w:p>
    <w:p w14:paraId="4A407EAF" w14:textId="7174B196" w:rsidR="00580DBA" w:rsidRPr="009E7B35" w:rsidRDefault="00580DBA" w:rsidP="006869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Cambria" w:hAnsi="Cambria"/>
          <w:sz w:val="20"/>
          <w:szCs w:val="20"/>
          <w:lang w:val="es-ES_tradnl"/>
        </w:rPr>
        <w:t xml:space="preserve">Afirma que con esta última decisión quedaron agotados todos los recursos internos, dejando al señor </w:t>
      </w:r>
      <w:r w:rsidR="00A101D1" w:rsidRPr="009E7B35">
        <w:rPr>
          <w:rFonts w:ascii="Cambria" w:hAnsi="Cambria"/>
          <w:sz w:val="20"/>
          <w:szCs w:val="20"/>
          <w:lang w:val="es-ES_tradnl"/>
        </w:rPr>
        <w:t>Alpizar Navarro</w:t>
      </w:r>
      <w:r w:rsidRPr="009E7B35">
        <w:rPr>
          <w:rFonts w:ascii="Cambria" w:hAnsi="Cambria"/>
          <w:sz w:val="20"/>
          <w:szCs w:val="20"/>
          <w:lang w:val="es-ES_tradnl"/>
        </w:rPr>
        <w:t xml:space="preserve"> sin posibilidades para recurrir de forma integral su sentencia condenatoria. Sin perjuicio de ello, manifiesta que</w:t>
      </w:r>
      <w:r w:rsidR="00D15264" w:rsidRPr="009E7B35">
        <w:rPr>
          <w:rFonts w:ascii="Cambria" w:hAnsi="Cambria"/>
          <w:sz w:val="20"/>
          <w:szCs w:val="20"/>
          <w:lang w:val="es-ES_tradnl"/>
        </w:rPr>
        <w:t xml:space="preserve"> el 5 de diciembre de 2007</w:t>
      </w:r>
      <w:r w:rsidRPr="009E7B35">
        <w:rPr>
          <w:rFonts w:ascii="Cambria" w:hAnsi="Cambria"/>
          <w:sz w:val="20"/>
          <w:szCs w:val="20"/>
          <w:lang w:val="es-ES_tradnl"/>
        </w:rPr>
        <w:t xml:space="preserve"> la defensa del señor Alpizar Navarro presentó un recurso de revisión, pero sostiene que </w:t>
      </w:r>
      <w:r w:rsidR="00F64B1E" w:rsidRPr="009E7B35">
        <w:rPr>
          <w:rFonts w:ascii="Cambria" w:hAnsi="Cambria"/>
          <w:sz w:val="20"/>
          <w:szCs w:val="20"/>
          <w:lang w:val="es-ES_tradnl"/>
        </w:rPr>
        <w:t xml:space="preserve">el 29 de abril de 2009 la Tercera Sala de la Corte Suprema rechazó este reclamo. </w:t>
      </w:r>
    </w:p>
    <w:p w14:paraId="68CCF8F5" w14:textId="0F4E474E" w:rsidR="000A454E" w:rsidRPr="009E7B35" w:rsidRDefault="000A454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Cambria" w:hAnsi="Cambria"/>
          <w:sz w:val="20"/>
          <w:szCs w:val="20"/>
          <w:lang w:val="es-ES_tradnl"/>
        </w:rPr>
        <w:t xml:space="preserve">Con base en estas consideraciones de hecho, la parte peticionaria denuncia que el Estado vulneró el derecho a recurrir el fallo condenatorio establecido en el artículo 8.2.h) de la Convención, </w:t>
      </w:r>
      <w:r w:rsidR="0034183E" w:rsidRPr="009E7B35">
        <w:rPr>
          <w:rFonts w:ascii="Cambria" w:hAnsi="Cambria"/>
          <w:sz w:val="20"/>
          <w:szCs w:val="20"/>
          <w:lang w:val="es-ES_tradnl"/>
        </w:rPr>
        <w:t>al considerar</w:t>
      </w:r>
      <w:r w:rsidRPr="009E7B35">
        <w:rPr>
          <w:rFonts w:ascii="Cambria" w:hAnsi="Cambria"/>
          <w:sz w:val="20"/>
          <w:szCs w:val="20"/>
          <w:lang w:val="es-ES_tradnl"/>
        </w:rPr>
        <w:t xml:space="preserve"> que en Costa Rica no existe un recurso ordinario para cuestionar una sentencia condenatoria de primera instancia; y, producto de ello, la presunta víctima tuvo que interponer directamente un recurso de casación. En esa línea, detalla que si bien se promulgó la Ley N.º 8503, Ley de Apertura de la Casación Penal, tal normativa no tiene ninguna funcionalidad, dado que los recursos de casación y revisión siguen siendo limitados, restringidos y formalistas.</w:t>
      </w:r>
    </w:p>
    <w:p w14:paraId="47205635" w14:textId="45FB6210" w:rsidR="000A454E" w:rsidRPr="009E7B35" w:rsidRDefault="000A454E" w:rsidP="004E4E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Cambria" w:hAnsi="Cambria"/>
          <w:sz w:val="20"/>
          <w:szCs w:val="20"/>
          <w:lang w:val="es-ES_tradnl"/>
        </w:rPr>
        <w:t>Asimismo, aduce que se le condenó solamente a partir del testimonio de las víctimas en el proceso penal, sin ningún otro tipo de prueba</w:t>
      </w:r>
      <w:r w:rsidR="004E4EE5" w:rsidRPr="009E7B35">
        <w:rPr>
          <w:rFonts w:ascii="Cambria" w:hAnsi="Cambria"/>
          <w:sz w:val="20"/>
          <w:szCs w:val="20"/>
          <w:lang w:val="es-ES_tradnl"/>
        </w:rPr>
        <w:t>, lo que afectó su derecho a la presunción de inocencia y a contar con una decisión debidamente motivada</w:t>
      </w:r>
      <w:r w:rsidRPr="009E7B35">
        <w:rPr>
          <w:rFonts w:ascii="Cambria" w:hAnsi="Cambria"/>
          <w:sz w:val="20"/>
          <w:szCs w:val="20"/>
          <w:lang w:val="es-ES_tradnl"/>
        </w:rPr>
        <w:t>.</w:t>
      </w:r>
      <w:r w:rsidR="004E4EE5" w:rsidRPr="009E7B35">
        <w:rPr>
          <w:rFonts w:ascii="Cambria" w:hAnsi="Cambria"/>
          <w:sz w:val="20"/>
          <w:szCs w:val="20"/>
          <w:lang w:val="es-ES_tradnl"/>
        </w:rPr>
        <w:t xml:space="preserve"> Finalmente, arguye que no se le precisaron los cargos jurídicos en su contra en el marco del proceso penal en su contra y que, tras su condena, </w:t>
      </w:r>
      <w:r w:rsidRPr="009E7B35">
        <w:rPr>
          <w:rFonts w:ascii="Cambria" w:hAnsi="Cambria"/>
          <w:sz w:val="20"/>
          <w:szCs w:val="20"/>
          <w:lang w:val="es-ES_tradnl"/>
        </w:rPr>
        <w:t>la Defensa Pública no le brindó una ayuda adecuada</w:t>
      </w:r>
      <w:r w:rsidR="004E4EE5" w:rsidRPr="009E7B35">
        <w:rPr>
          <w:rFonts w:ascii="Cambria" w:hAnsi="Cambria"/>
          <w:sz w:val="20"/>
          <w:szCs w:val="20"/>
          <w:lang w:val="es-ES_tradnl"/>
        </w:rPr>
        <w:t xml:space="preserve"> para interponer un recurso de revisión</w:t>
      </w:r>
      <w:r w:rsidRPr="009E7B35">
        <w:rPr>
          <w:rFonts w:ascii="Cambria" w:hAnsi="Cambria"/>
          <w:sz w:val="20"/>
          <w:szCs w:val="20"/>
          <w:lang w:val="es-ES_tradnl"/>
        </w:rPr>
        <w:t xml:space="preserve">, limitándose a indicarle las razones por las que no podía prosperar la revisión de </w:t>
      </w:r>
      <w:r w:rsidR="00460C39" w:rsidRPr="009E7B35">
        <w:rPr>
          <w:rFonts w:ascii="Cambria" w:hAnsi="Cambria"/>
          <w:sz w:val="20"/>
          <w:szCs w:val="20"/>
          <w:lang w:val="es-ES_tradnl"/>
        </w:rPr>
        <w:t>su sentencia</w:t>
      </w:r>
      <w:r w:rsidRPr="009E7B35">
        <w:rPr>
          <w:rFonts w:ascii="Cambria" w:hAnsi="Cambria"/>
          <w:sz w:val="20"/>
          <w:szCs w:val="20"/>
          <w:lang w:val="es-ES_tradnl"/>
        </w:rPr>
        <w:t xml:space="preserve">. </w:t>
      </w:r>
    </w:p>
    <w:p w14:paraId="6F845F09" w14:textId="746BEA47" w:rsidR="00402BE9" w:rsidRPr="009E7B35" w:rsidRDefault="000A33CE" w:rsidP="000A33C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9E7B35">
        <w:rPr>
          <w:rFonts w:ascii="Cambria" w:hAnsi="Cambria"/>
          <w:i/>
          <w:iCs/>
          <w:sz w:val="20"/>
          <w:szCs w:val="20"/>
          <w:lang w:val="es-ES_tradnl"/>
        </w:rPr>
        <w:t>Alegatos del Estado</w:t>
      </w:r>
    </w:p>
    <w:p w14:paraId="4123EE90" w14:textId="153C1E15" w:rsidR="00F64B1E" w:rsidRPr="009E7B35" w:rsidRDefault="00F64B1E" w:rsidP="00F64B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Cambria" w:hAnsi="Cambria"/>
          <w:sz w:val="20"/>
          <w:szCs w:val="20"/>
          <w:lang w:val="es-ES_tradnl"/>
        </w:rPr>
        <w:t>El Estado, por su parte, replica que la petición es inadmisible por falta de agotamiento de la jurisdicción doméstica. Afirma que el señor Alpizar Navarro no cumplió con agotar las vías internas antes de interponer su petición, toda vez que no utilizó</w:t>
      </w:r>
      <w:r w:rsidR="00F103BA" w:rsidRPr="009E7B35">
        <w:rPr>
          <w:rFonts w:ascii="Cambria" w:hAnsi="Cambria"/>
          <w:sz w:val="20"/>
          <w:szCs w:val="20"/>
          <w:lang w:val="es-ES_tradnl"/>
        </w:rPr>
        <w:t xml:space="preserve"> adecuadamente</w:t>
      </w:r>
      <w:r w:rsidRPr="009E7B35">
        <w:rPr>
          <w:rFonts w:ascii="Cambria" w:hAnsi="Cambria"/>
          <w:sz w:val="20"/>
          <w:szCs w:val="20"/>
          <w:lang w:val="es-ES_tradnl"/>
        </w:rPr>
        <w:t xml:space="preserve"> el recurso de revisión ordinario ni los mecanismos especiales de revisión creados a partir de las reformas procesales realizadas en favor de las personas con sentencia firme. </w:t>
      </w:r>
    </w:p>
    <w:p w14:paraId="3D957B9F" w14:textId="0327F9F7" w:rsidR="00F103BA" w:rsidRPr="009E7B35" w:rsidRDefault="00F64B1E" w:rsidP="00F64B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Cambria" w:hAnsi="Cambria"/>
          <w:sz w:val="20"/>
          <w:szCs w:val="20"/>
          <w:lang w:val="es-ES_tradnl"/>
        </w:rPr>
        <w:t xml:space="preserve">Respecto al primer recurso, detalla que </w:t>
      </w:r>
      <w:r w:rsidR="00F103BA" w:rsidRPr="009E7B35">
        <w:rPr>
          <w:rFonts w:ascii="Cambria" w:hAnsi="Cambria"/>
          <w:sz w:val="20"/>
          <w:szCs w:val="20"/>
          <w:lang w:val="es-ES_tradnl"/>
        </w:rPr>
        <w:t xml:space="preserve">al momento de presentación de esta petición aún estaba pendiente de decisión el recurso de revisión interpuesto </w:t>
      </w:r>
      <w:r w:rsidR="00A101D1" w:rsidRPr="009E7B35">
        <w:rPr>
          <w:rFonts w:ascii="Cambria" w:hAnsi="Cambria"/>
          <w:sz w:val="20"/>
          <w:szCs w:val="20"/>
          <w:lang w:val="es-ES_tradnl"/>
        </w:rPr>
        <w:t>por la presunta víctima, el cual recién fue resuelto el 29 de abril de 2009. En consecuencia, sostiene que el señor Alpizar Navarro no agotó adecuadamente la jurisdicción interna ante de iniciar el presente proceso internacional.</w:t>
      </w:r>
    </w:p>
    <w:p w14:paraId="11D297D6" w14:textId="5CA300B3" w:rsidR="00F64B1E" w:rsidRPr="009E7B35" w:rsidRDefault="00F64B1E" w:rsidP="00F64B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Cambria" w:hAnsi="Cambria"/>
          <w:sz w:val="20"/>
          <w:szCs w:val="20"/>
          <w:lang w:val="es-ES_tradnl"/>
        </w:rPr>
        <w:t xml:space="preserve">En relación con los mecanismos especiales de revisión, destaca que la presunta víctima no utilizó dichas vías, a pesar de que están ideadas precisamente para aquellas personas con sentencias condenatorias en firme, que consideran vulnerado su derecho a recurrir su fallo condenatorio de conformidad con el artículo 8.2.h) de la Convención. En esa línea, el Estado manifiesta que al momento en que se le notificó de esta petición, </w:t>
      </w:r>
      <w:r w:rsidR="004E4EE5" w:rsidRPr="009E7B35">
        <w:rPr>
          <w:rFonts w:ascii="Cambria" w:hAnsi="Cambria"/>
          <w:sz w:val="20"/>
          <w:szCs w:val="20"/>
          <w:lang w:val="es-ES_tradnl"/>
        </w:rPr>
        <w:t>el señor Alpizar Navarro</w:t>
      </w:r>
      <w:r w:rsidRPr="009E7B35">
        <w:rPr>
          <w:rFonts w:ascii="Cambria" w:hAnsi="Cambria"/>
          <w:sz w:val="20"/>
          <w:szCs w:val="20"/>
          <w:lang w:val="es-ES_tradnl"/>
        </w:rPr>
        <w:t>, tuvo entre los años 2006 y 2010 la oportunidad de interponer el procedimiento establecido en las disposiciones transitorias de la Ley N.º 8503</w:t>
      </w:r>
      <w:r w:rsidRPr="009E7B35">
        <w:rPr>
          <w:rStyle w:val="FootnoteReference"/>
          <w:rFonts w:ascii="Cambria" w:hAnsi="Cambria"/>
          <w:sz w:val="20"/>
          <w:szCs w:val="20"/>
          <w:lang w:val="es-ES_tradnl"/>
        </w:rPr>
        <w:footnoteReference w:id="4"/>
      </w:r>
      <w:r w:rsidRPr="009E7B35">
        <w:rPr>
          <w:rFonts w:ascii="Cambria" w:hAnsi="Cambria"/>
          <w:sz w:val="20"/>
          <w:szCs w:val="20"/>
          <w:lang w:val="es-ES_tradnl"/>
        </w:rPr>
        <w:t>, y en su defecto, posteriormente podía utilizar el mecanismo especial de revisión previsto en el Transitorio III de la Ley N.º 8837</w:t>
      </w:r>
      <w:r w:rsidRPr="009E7B35">
        <w:rPr>
          <w:rStyle w:val="FootnoteReference"/>
          <w:rFonts w:ascii="Cambria" w:hAnsi="Cambria"/>
          <w:sz w:val="20"/>
          <w:szCs w:val="20"/>
          <w:lang w:val="es-ES_tradnl"/>
        </w:rPr>
        <w:footnoteReference w:id="5"/>
      </w:r>
      <w:r w:rsidRPr="009E7B35">
        <w:rPr>
          <w:rFonts w:ascii="Cambria" w:hAnsi="Cambria"/>
          <w:sz w:val="20"/>
          <w:szCs w:val="20"/>
          <w:lang w:val="es-ES_tradnl"/>
        </w:rPr>
        <w:t xml:space="preserve">. Por ende, </w:t>
      </w:r>
      <w:r w:rsidRPr="009E7B35">
        <w:rPr>
          <w:rFonts w:ascii="Cambria" w:hAnsi="Cambria"/>
          <w:sz w:val="20"/>
          <w:szCs w:val="20"/>
          <w:lang w:val="es-ES_tradnl"/>
        </w:rPr>
        <w:lastRenderedPageBreak/>
        <w:t xml:space="preserve">arguye que el ordenamiento interno disponía opciones adicionales para que el señor Alpizar Navarro pudiera utilizarlas en el momento procesal oportuno; sin embargo, no lo hizo. </w:t>
      </w:r>
      <w:r w:rsidR="00F103BA" w:rsidRPr="009E7B35">
        <w:rPr>
          <w:rFonts w:ascii="Cambria" w:hAnsi="Cambria"/>
          <w:sz w:val="20"/>
          <w:szCs w:val="20"/>
          <w:lang w:val="es-ES_tradnl"/>
        </w:rPr>
        <w:t>Por las razones expuestas, solicita a la CIDH que declare inadmisible el presente asunto por no cumplir con el requisito previsto en el artículo 46.1.a) de la Convención, y en consecuencia disponga su archivo.</w:t>
      </w:r>
    </w:p>
    <w:p w14:paraId="7E966E1F" w14:textId="01166212" w:rsidR="00445C2D" w:rsidRPr="009E7B35" w:rsidRDefault="00F64B1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Cambria" w:hAnsi="Cambria"/>
          <w:sz w:val="20"/>
          <w:szCs w:val="20"/>
          <w:lang w:val="es-ES_tradnl"/>
        </w:rPr>
        <w:t>Sin perjuicio de lo previamente expuesto, el Estado arguye que la petición se presentó de forma extemporánea.</w:t>
      </w:r>
      <w:r w:rsidR="00F103BA" w:rsidRPr="009E7B35">
        <w:rPr>
          <w:rFonts w:ascii="Cambria" w:hAnsi="Cambria"/>
          <w:sz w:val="20"/>
          <w:szCs w:val="20"/>
          <w:lang w:val="es-ES_tradnl"/>
        </w:rPr>
        <w:t xml:space="preserve"> Al respecto, alega que a pesar de que el 12 de julio de 2006 se notificó a la presunta víctima la sentencia que desestimó el recurso de casación que interpuso contra su fallo condenatorio, la parte peticionaria recién interpuso esta petición el 18 de noviembre de 2008. En consecuencia, considera que no se cumple el plazo de presentación previsto en el artículo 46.1.b) de la Convención Americana. </w:t>
      </w:r>
      <w:r w:rsidRPr="009E7B35">
        <w:rPr>
          <w:rFonts w:ascii="Cambria" w:hAnsi="Cambria"/>
          <w:sz w:val="20"/>
          <w:szCs w:val="20"/>
          <w:lang w:val="es-ES_tradnl"/>
        </w:rPr>
        <w:t xml:space="preserve"> </w:t>
      </w:r>
    </w:p>
    <w:p w14:paraId="2936DDCC" w14:textId="1E0DC6FA" w:rsidR="00703FBE" w:rsidRPr="009E7B35" w:rsidRDefault="00703FBE" w:rsidP="00703F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9E7B35">
        <w:rPr>
          <w:rFonts w:asciiTheme="majorHAnsi" w:hAnsiTheme="majorHAnsi"/>
          <w:bCs/>
          <w:sz w:val="20"/>
          <w:szCs w:val="20"/>
          <w:lang w:val="es-ES_tradnl"/>
        </w:rPr>
        <w:t xml:space="preserve">Adicionalmente, Costa Rica plantea que los hechos alegados no caracterizan una violación de derechos humanos que le sea atribuible. Por el contrario, arguye que la parte peticionaria pretende que la Comisión actúe como una cuarta instancia judicial y revise las valoraciones de echo y de derecho efectuadas por los jueces y tribunales internos que actuaron en la esfera de su competencia. </w:t>
      </w:r>
    </w:p>
    <w:p w14:paraId="289B6CCC" w14:textId="527E40B6" w:rsidR="00E84B4A" w:rsidRPr="009E7B35" w:rsidRDefault="00E84B4A" w:rsidP="004E1D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9E7B35">
        <w:rPr>
          <w:rFonts w:asciiTheme="majorHAnsi" w:hAnsiTheme="majorHAnsi"/>
          <w:bCs/>
          <w:sz w:val="20"/>
          <w:szCs w:val="20"/>
          <w:lang w:val="es-ES_tradnl"/>
        </w:rPr>
        <w:t xml:space="preserve">Resalta que el </w:t>
      </w:r>
      <w:r w:rsidRPr="009E7B35">
        <w:rPr>
          <w:rFonts w:ascii="Cambria" w:hAnsi="Cambria"/>
          <w:sz w:val="20"/>
          <w:szCs w:val="20"/>
          <w:lang w:val="es-ES_tradnl"/>
        </w:rPr>
        <w:t xml:space="preserve">Tribunal de Juicio del Segundo Circuito Judicial de San José condenó a la presunta víctima tras analizar de manera integral distintos testimonios, así como prueba documental, entre las que figuraban estudios psicológicos practicados a las víctimas y un dictamen de paternidad que demostró que producto de las citadas agresiones sexuales una de las víctimas dio a luz a una niña. Agrega que, desde el inicio de las investigaciones, </w:t>
      </w:r>
      <w:r w:rsidR="00640D5B" w:rsidRPr="009E7B35">
        <w:rPr>
          <w:rFonts w:ascii="Cambria" w:hAnsi="Cambria"/>
          <w:sz w:val="20"/>
          <w:szCs w:val="20"/>
          <w:lang w:val="es-ES_tradnl"/>
        </w:rPr>
        <w:t xml:space="preserve">el Ministerio Público informó al señor Alpizar Navarro los hechos por los cuales estaba siendo investigado, así como la calificación legal de tales acontecimientos y las pruebas existentes, por lo cual se garantizó su derecho al contradictorio y a la defensa en todo momento. Finalmente, destaca que la Defensa Pública de Costa Rica cumplió con sus funciones al momento de asesorar a la presunta víctima en el recurso de revisión que presentó, sin que haya cometido ninguna negligencia. Por ello, solicita a la CIDH que declare inadmisible el presente asunto, dado que no se aportan elementos que, </w:t>
      </w:r>
      <w:r w:rsidR="00640D5B" w:rsidRPr="009E7B35">
        <w:rPr>
          <w:rFonts w:ascii="Cambria" w:hAnsi="Cambria"/>
          <w:i/>
          <w:iCs/>
          <w:sz w:val="20"/>
          <w:szCs w:val="20"/>
          <w:lang w:val="es-ES_tradnl"/>
        </w:rPr>
        <w:t>prima facie</w:t>
      </w:r>
      <w:r w:rsidR="00640D5B" w:rsidRPr="009E7B35">
        <w:rPr>
          <w:rFonts w:ascii="Cambria" w:hAnsi="Cambria"/>
          <w:sz w:val="20"/>
          <w:szCs w:val="20"/>
          <w:lang w:val="es-ES_tradnl"/>
        </w:rPr>
        <w:t xml:space="preserve">, muestren afectación de derechos contra el señor Alpizar Navarro. </w:t>
      </w:r>
    </w:p>
    <w:p w14:paraId="50857589" w14:textId="6644185B" w:rsidR="00460C39" w:rsidRPr="009E7B35" w:rsidRDefault="00460C39" w:rsidP="00460C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
          <w:bCs/>
          <w:sz w:val="20"/>
          <w:szCs w:val="20"/>
          <w:lang w:val="es-ES_tradnl"/>
        </w:rPr>
      </w:pPr>
      <w:r w:rsidRPr="009E7B35">
        <w:rPr>
          <w:rFonts w:ascii="Cambria" w:hAnsi="Cambria"/>
          <w:b/>
          <w:bCs/>
          <w:sz w:val="20"/>
          <w:szCs w:val="20"/>
          <w:lang w:val="es-ES_tradnl"/>
        </w:rPr>
        <w:t xml:space="preserve">VI. </w:t>
      </w:r>
      <w:r w:rsidR="009F069A" w:rsidRPr="009E7B35">
        <w:rPr>
          <w:rFonts w:ascii="Cambria" w:hAnsi="Cambria"/>
          <w:b/>
          <w:bCs/>
          <w:sz w:val="20"/>
          <w:szCs w:val="20"/>
          <w:lang w:val="es-ES_tradnl"/>
        </w:rPr>
        <w:tab/>
      </w:r>
      <w:r w:rsidRPr="009E7B35">
        <w:rPr>
          <w:rFonts w:ascii="Cambria" w:hAnsi="Cambria"/>
          <w:b/>
          <w:bCs/>
          <w:sz w:val="20"/>
          <w:szCs w:val="20"/>
          <w:lang w:val="es-ES_tradnl"/>
        </w:rPr>
        <w:t>CONSIDERACIONES PREVIAS</w:t>
      </w:r>
    </w:p>
    <w:p w14:paraId="10AAB14D" w14:textId="77777777" w:rsidR="00460C39" w:rsidRPr="009E7B35" w:rsidRDefault="00460C39" w:rsidP="00460C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9E7B35">
        <w:rPr>
          <w:rFonts w:asciiTheme="majorHAnsi" w:hAnsiTheme="majorHAnsi"/>
          <w:bCs/>
          <w:sz w:val="20"/>
          <w:szCs w:val="20"/>
          <w:lang w:val="es-ES_tradnl"/>
        </w:rPr>
        <w:t xml:space="preserve">La Comisión observa que el objeto principal de la presente petición es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7F60825A" w14:textId="77777777" w:rsidR="00460C39" w:rsidRPr="009E7B35" w:rsidRDefault="00460C39" w:rsidP="00460C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E7B35">
        <w:rPr>
          <w:rFonts w:asciiTheme="majorHAnsi" w:hAnsiTheme="majorHAnsi"/>
          <w:bCs/>
          <w:sz w:val="20"/>
          <w:szCs w:val="20"/>
          <w:lang w:val="es-ES_tradnl"/>
        </w:rPr>
        <w:t xml:space="preserve">Así, en la sentencia del caso </w:t>
      </w:r>
      <w:r w:rsidRPr="009E7B35">
        <w:rPr>
          <w:rFonts w:asciiTheme="majorHAnsi" w:hAnsiTheme="majorHAnsi"/>
          <w:bCs/>
          <w:i/>
          <w:iCs/>
          <w:sz w:val="20"/>
          <w:szCs w:val="20"/>
          <w:lang w:val="es-ES_tradnl"/>
        </w:rPr>
        <w:t xml:space="preserve">Herrera Ulloa vs. Costa Rica </w:t>
      </w:r>
      <w:r w:rsidRPr="009E7B35">
        <w:rPr>
          <w:rFonts w:asciiTheme="majorHAnsi" w:hAnsiTheme="majorHAnsi"/>
          <w:bCs/>
          <w:sz w:val="20"/>
          <w:szCs w:val="20"/>
          <w:lang w:val="es-ES_tradnl"/>
        </w:rPr>
        <w:t>del 2 de julio de 2004, la Corte Interamericana de Derechos Humanos</w:t>
      </w:r>
      <w:r w:rsidRPr="009E7B35">
        <w:rPr>
          <w:rStyle w:val="FootnoteReference"/>
          <w:rFonts w:asciiTheme="majorHAnsi" w:hAnsiTheme="majorHAnsi"/>
          <w:bCs/>
          <w:sz w:val="20"/>
          <w:szCs w:val="20"/>
          <w:lang w:val="es-ES_tradnl"/>
        </w:rPr>
        <w:footnoteReference w:id="6"/>
      </w:r>
      <w:r w:rsidRPr="009E7B35">
        <w:rPr>
          <w:rFonts w:asciiTheme="majorHAnsi" w:hAnsiTheme="majorHAnsi"/>
          <w:bCs/>
          <w:sz w:val="20"/>
          <w:szCs w:val="20"/>
          <w:lang w:val="es-ES_tradnl"/>
        </w:rPr>
        <w:t xml:space="preserve"> examinó  la regulación establecida en el Código Procesal Penal vigente desde 1998; y concluyó que no contaba con “</w:t>
      </w:r>
      <w:r w:rsidRPr="009E7B35">
        <w:rPr>
          <w:rFonts w:asciiTheme="majorHAnsi" w:hAnsiTheme="majorHAnsi"/>
          <w:bCs/>
          <w:i/>
          <w:iCs/>
          <w:sz w:val="20"/>
          <w:szCs w:val="20"/>
          <w:lang w:val="es-ES_tradnl"/>
        </w:rPr>
        <w:t xml:space="preserve">un recurso que </w:t>
      </w:r>
      <w:r w:rsidRPr="009E7B35">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9E7B35">
        <w:rPr>
          <w:rFonts w:asciiTheme="majorHAnsi" w:hAnsiTheme="majorHAnsi"/>
          <w:sz w:val="20"/>
          <w:szCs w:val="20"/>
          <w:lang w:val="es-ES_tradnl"/>
        </w:rPr>
        <w:t>”, dada las limitaciones que tenía la regulación del recurso de casación en el ámbito penal</w:t>
      </w:r>
      <w:r w:rsidRPr="009E7B35">
        <w:rPr>
          <w:rStyle w:val="FootnoteReference"/>
          <w:rFonts w:asciiTheme="majorHAnsi" w:hAnsiTheme="majorHAnsi"/>
          <w:sz w:val="20"/>
          <w:szCs w:val="20"/>
          <w:lang w:val="es-ES_tradnl"/>
        </w:rPr>
        <w:footnoteReference w:id="7"/>
      </w:r>
      <w:r w:rsidRPr="009E7B35">
        <w:rPr>
          <w:rFonts w:asciiTheme="majorHAnsi" w:hAnsiTheme="majorHAnsi"/>
          <w:sz w:val="20"/>
          <w:szCs w:val="20"/>
          <w:lang w:val="es-ES_tradnl"/>
        </w:rPr>
        <w:t xml:space="preserve">. En consecuencia, la Corte IDH declaró que el Estado costarricense violó el artículo 8.2.h) de la Convención en relación con sus artículos 1.1 y 2 en perjuicio del señor Mauricio Herrera Ulloa, al no haber garantizado su derecho a recurrir el </w:t>
      </w:r>
      <w:r w:rsidRPr="009E7B35">
        <w:rPr>
          <w:rFonts w:asciiTheme="majorHAnsi" w:hAnsiTheme="majorHAnsi"/>
          <w:sz w:val="20"/>
          <w:szCs w:val="20"/>
          <w:lang w:val="es-ES_tradnl"/>
        </w:rPr>
        <w:lastRenderedPageBreak/>
        <w:t>fallo; y ordenó a Costa Rica “</w:t>
      </w:r>
      <w:r w:rsidRPr="009E7B35">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9E7B35">
        <w:rPr>
          <w:rFonts w:asciiTheme="majorHAnsi" w:hAnsiTheme="majorHAnsi"/>
          <w:sz w:val="20"/>
          <w:szCs w:val="20"/>
          <w:lang w:val="es-ES_tradnl"/>
        </w:rPr>
        <w:t>”</w:t>
      </w:r>
      <w:r w:rsidRPr="009E7B35">
        <w:rPr>
          <w:rStyle w:val="FootnoteReference"/>
          <w:rFonts w:asciiTheme="majorHAnsi" w:hAnsiTheme="majorHAnsi"/>
          <w:sz w:val="20"/>
          <w:szCs w:val="20"/>
          <w:lang w:val="es-ES_tradnl"/>
        </w:rPr>
        <w:footnoteReference w:id="8"/>
      </w:r>
      <w:r w:rsidRPr="009E7B35">
        <w:rPr>
          <w:rFonts w:asciiTheme="majorHAnsi" w:hAnsiTheme="majorHAnsi"/>
          <w:sz w:val="20"/>
          <w:szCs w:val="20"/>
          <w:lang w:val="es-ES_tradnl"/>
        </w:rPr>
        <w:t>.</w:t>
      </w:r>
    </w:p>
    <w:p w14:paraId="3475BD6B" w14:textId="2A09F3E2" w:rsidR="00460C39" w:rsidRPr="009E7B35" w:rsidRDefault="00460C39" w:rsidP="00460C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9E7B35">
        <w:rPr>
          <w:rFonts w:ascii="Cambria" w:hAnsi="Cambria"/>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y en lo relevante para el presente caso, tal legislación estableció en su Transitorio I, un procedimiento de revisión especial para “</w:t>
      </w:r>
      <w:r w:rsidRPr="009E7B35">
        <w:rPr>
          <w:rFonts w:ascii="Cambria" w:hAnsi="Cambria"/>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9E7B35">
        <w:rPr>
          <w:rFonts w:ascii="Cambria" w:hAnsi="Cambria"/>
          <w:sz w:val="20"/>
          <w:szCs w:val="20"/>
          <w:lang w:val="es-ES_tradnl"/>
        </w:rPr>
        <w:t>”. En virtud de ello, la Corte Interamericana consideró que “</w:t>
      </w:r>
      <w:r w:rsidRPr="009E7B35">
        <w:rPr>
          <w:rFonts w:ascii="Cambria" w:hAnsi="Cambria"/>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9E7B35">
        <w:rPr>
          <w:rFonts w:ascii="Cambria" w:hAnsi="Cambria"/>
          <w:sz w:val="20"/>
          <w:szCs w:val="20"/>
          <w:lang w:val="es-ES_tradnl"/>
        </w:rPr>
        <w:t>”</w:t>
      </w:r>
      <w:r w:rsidRPr="009E7B35">
        <w:rPr>
          <w:rStyle w:val="FootnoteReference"/>
          <w:rFonts w:ascii="Cambria" w:hAnsi="Cambria"/>
          <w:sz w:val="20"/>
          <w:szCs w:val="20"/>
          <w:lang w:val="es-ES_tradnl"/>
        </w:rPr>
        <w:footnoteReference w:id="9"/>
      </w:r>
      <w:r w:rsidRPr="009E7B35">
        <w:rPr>
          <w:rFonts w:ascii="Cambria" w:hAnsi="Cambria"/>
          <w:sz w:val="20"/>
          <w:szCs w:val="20"/>
          <w:lang w:val="es-ES_tradnl"/>
        </w:rPr>
        <w:t>.</w:t>
      </w:r>
    </w:p>
    <w:p w14:paraId="23F07C21" w14:textId="77777777" w:rsidR="00460C39" w:rsidRPr="009E7B35" w:rsidRDefault="00460C39" w:rsidP="00460C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9E7B35">
        <w:rPr>
          <w:rFonts w:asciiTheme="majorHAnsi" w:hAnsiTheme="majorHAnsi"/>
          <w:bCs/>
          <w:sz w:val="20"/>
          <w:szCs w:val="20"/>
          <w:lang w:val="es-ES_tradnl"/>
        </w:rPr>
        <w:t>Adicionalmente, tanto la Comisión como la Corte IDH también constataron que e</w:t>
      </w:r>
      <w:r w:rsidRPr="009E7B35">
        <w:rPr>
          <w:rFonts w:ascii="Cambria" w:hAnsi="Cambria"/>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5BD6B1B0" w14:textId="77777777" w:rsidR="00460C39" w:rsidRPr="009E7B35" w:rsidRDefault="00460C39" w:rsidP="00460C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9E7B35">
        <w:rPr>
          <w:rFonts w:ascii="Cambria" w:hAnsi="Cambria"/>
          <w:sz w:val="20"/>
          <w:szCs w:val="20"/>
          <w:lang w:val="es-ES_tradnl"/>
        </w:rPr>
        <w:t xml:space="preserve">Como consecuencia de las citadas modificaciones, en la sentencia del caso </w:t>
      </w:r>
      <w:r w:rsidRPr="009E7B35">
        <w:rPr>
          <w:rFonts w:ascii="Cambria" w:hAnsi="Cambria"/>
          <w:i/>
          <w:iCs/>
          <w:sz w:val="20"/>
          <w:szCs w:val="20"/>
          <w:lang w:val="es-ES_tradnl"/>
        </w:rPr>
        <w:t>Amrhein y otros vs. Costa Rica</w:t>
      </w:r>
      <w:r w:rsidRPr="009E7B35">
        <w:rPr>
          <w:rFonts w:ascii="Cambria" w:hAnsi="Cambria"/>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566B9383" w14:textId="77777777" w:rsidR="00460C39" w:rsidRPr="009E7B35" w:rsidRDefault="00460C39" w:rsidP="00460C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9E7B35">
        <w:rPr>
          <w:rFonts w:ascii="Cambria" w:hAnsi="Cambria"/>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9E7B35">
        <w:rPr>
          <w:rFonts w:ascii="Cambria" w:hAnsi="Cambria"/>
          <w:i/>
          <w:iCs/>
          <w:sz w:val="20"/>
          <w:szCs w:val="20"/>
          <w:lang w:val="es-ES_tradnl"/>
        </w:rPr>
        <w:t xml:space="preserve">el hecho de que se trataría de un recurso extraordinario no puede ser determinante, </w:t>
      </w:r>
      <w:r w:rsidRPr="009E7B35">
        <w:rPr>
          <w:rFonts w:ascii="Cambria" w:hAnsi="Cambria"/>
          <w:sz w:val="20"/>
          <w:szCs w:val="20"/>
          <w:lang w:val="es-ES_tradnl"/>
        </w:rPr>
        <w:t>per se</w:t>
      </w:r>
      <w:r w:rsidRPr="009E7B35">
        <w:rPr>
          <w:rFonts w:ascii="Cambria" w:hAnsi="Cambria"/>
          <w:i/>
          <w:iCs/>
          <w:sz w:val="20"/>
          <w:szCs w:val="20"/>
          <w:lang w:val="es-ES_tradnl"/>
        </w:rPr>
        <w:t>, para concluir su inefectividad”</w:t>
      </w:r>
      <w:r w:rsidRPr="009E7B35">
        <w:rPr>
          <w:rStyle w:val="FootnoteReference"/>
          <w:rFonts w:ascii="Cambria" w:hAnsi="Cambria"/>
          <w:i/>
          <w:iCs/>
          <w:sz w:val="20"/>
          <w:szCs w:val="20"/>
          <w:lang w:val="es-ES_tradnl"/>
        </w:rPr>
        <w:footnoteReference w:id="10"/>
      </w:r>
      <w:r w:rsidRPr="009E7B35">
        <w:rPr>
          <w:rFonts w:ascii="Cambria" w:hAnsi="Cambria"/>
          <w:i/>
          <w:iCs/>
          <w:sz w:val="20"/>
          <w:szCs w:val="20"/>
          <w:lang w:val="es-ES_tradnl"/>
        </w:rPr>
        <w:t xml:space="preserve">. </w:t>
      </w:r>
      <w:r w:rsidRPr="009E7B35">
        <w:rPr>
          <w:rFonts w:ascii="Cambria" w:hAnsi="Cambria"/>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7806FBFA" w14:textId="77777777" w:rsidR="00460C39" w:rsidRPr="009E7B35" w:rsidRDefault="00460C39" w:rsidP="00460C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9E7B35">
        <w:rPr>
          <w:rFonts w:ascii="Cambria" w:hAnsi="Cambria"/>
          <w:sz w:val="20"/>
          <w:szCs w:val="20"/>
          <w:lang w:val="es-ES_tradnl"/>
        </w:rPr>
        <w:t>Finalmente, a efectos del análisis de caracterización de las peticiones, la Comisión nota que la Corte Interamericana concluyó en la citada sentencia que no correspondía “</w:t>
      </w:r>
      <w:r w:rsidRPr="009E7B35">
        <w:rPr>
          <w:rFonts w:ascii="Cambria" w:hAnsi="Cambria"/>
          <w:i/>
          <w:iCs/>
          <w:sz w:val="20"/>
          <w:szCs w:val="20"/>
          <w:lang w:val="es-ES_tradnl"/>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9E7B35">
        <w:rPr>
          <w:rFonts w:ascii="Cambria" w:hAnsi="Cambria"/>
          <w:sz w:val="20"/>
          <w:szCs w:val="20"/>
          <w:lang w:val="es-ES_tradnl"/>
        </w:rPr>
        <w:t xml:space="preserve"> […]”</w:t>
      </w:r>
      <w:r w:rsidRPr="009E7B35">
        <w:rPr>
          <w:rStyle w:val="FootnoteReference"/>
          <w:rFonts w:ascii="Cambria" w:hAnsi="Cambria"/>
          <w:sz w:val="20"/>
          <w:szCs w:val="20"/>
          <w:lang w:val="es-ES_tradnl"/>
        </w:rPr>
        <w:footnoteReference w:id="11"/>
      </w:r>
      <w:r w:rsidRPr="009E7B35">
        <w:rPr>
          <w:rFonts w:ascii="Cambria" w:hAnsi="Cambria"/>
          <w:sz w:val="20"/>
          <w:szCs w:val="20"/>
          <w:lang w:val="es-ES_tradnl"/>
        </w:rPr>
        <w:t xml:space="preserve">. Asimismo, recuerda que en la resolución de supervisión de cumplimiento del 22 de noviembre de 2010 del caso </w:t>
      </w:r>
      <w:r w:rsidRPr="009E7B35">
        <w:rPr>
          <w:rFonts w:ascii="Cambria" w:hAnsi="Cambria"/>
          <w:i/>
          <w:iCs/>
          <w:sz w:val="20"/>
          <w:szCs w:val="20"/>
          <w:lang w:val="es-ES_tradnl"/>
        </w:rPr>
        <w:t xml:space="preserve">Herrera Ulloa vs. Costa Rica, </w:t>
      </w:r>
      <w:r w:rsidRPr="009E7B35">
        <w:rPr>
          <w:rFonts w:ascii="Cambria" w:hAnsi="Cambria"/>
          <w:sz w:val="20"/>
          <w:szCs w:val="20"/>
          <w:lang w:val="es-ES_tradnl"/>
        </w:rPr>
        <w:t xml:space="preserve">el Tribunal valoró positivamente las reformas </w:t>
      </w:r>
      <w:r w:rsidRPr="009E7B35">
        <w:rPr>
          <w:rFonts w:ascii="Cambria" w:hAnsi="Cambria"/>
          <w:sz w:val="20"/>
          <w:szCs w:val="20"/>
          <w:lang w:val="es-ES_tradnl"/>
        </w:rPr>
        <w:lastRenderedPageBreak/>
        <w:t>introducidas en la legislación procesal penal y, en virtud de tales modificaciones, concluyó que “</w:t>
      </w:r>
      <w:r w:rsidRPr="009E7B35">
        <w:rPr>
          <w:rFonts w:ascii="Cambria" w:hAnsi="Cambria"/>
          <w:i/>
          <w:iCs/>
          <w:sz w:val="20"/>
          <w:szCs w:val="20"/>
          <w:lang w:val="es-ES_tradnl"/>
        </w:rPr>
        <w:t>al garantizar la posibilidad de un amplio control de la sentencia emitida por un tribunal de juicio en materia penal a nivel interno</w:t>
      </w:r>
      <w:r w:rsidRPr="009E7B35">
        <w:rPr>
          <w:rFonts w:ascii="Cambria" w:hAnsi="Cambria"/>
          <w:sz w:val="20"/>
          <w:szCs w:val="20"/>
          <w:lang w:val="es-ES_tradnl"/>
        </w:rPr>
        <w:t>”</w:t>
      </w:r>
      <w:r w:rsidRPr="009E7B35">
        <w:rPr>
          <w:rStyle w:val="FootnoteReference"/>
          <w:rFonts w:ascii="Cambria" w:hAnsi="Cambria"/>
          <w:sz w:val="20"/>
          <w:szCs w:val="20"/>
          <w:lang w:val="es-ES_tradnl"/>
        </w:rPr>
        <w:footnoteReference w:id="12"/>
      </w:r>
      <w:r w:rsidRPr="009E7B35">
        <w:rPr>
          <w:rFonts w:ascii="Cambria" w:hAnsi="Cambria"/>
          <w:sz w:val="20"/>
          <w:szCs w:val="20"/>
          <w:lang w:val="es-ES_tradnl"/>
        </w:rPr>
        <w:t xml:space="preserve">, Costa Rica había cumplido con adecuar su legislación interna. </w:t>
      </w:r>
    </w:p>
    <w:p w14:paraId="3EFD9B88" w14:textId="77777777" w:rsidR="00460C39" w:rsidRPr="009E7B35" w:rsidRDefault="00460C39" w:rsidP="00460C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9E7B35">
        <w:rPr>
          <w:rFonts w:ascii="Cambria" w:hAnsi="Cambria"/>
          <w:sz w:val="20"/>
          <w:szCs w:val="20"/>
          <w:lang w:val="es-ES_tradnl"/>
        </w:rPr>
        <w:t>Sin perjuicio de ello, la Comisión destaca que las citadas normas</w:t>
      </w:r>
      <w:r w:rsidRPr="009E7B35">
        <w:rPr>
          <w:rFonts w:ascii="Cambria" w:hAnsi="Cambria" w:cs="Calibri"/>
          <w:sz w:val="20"/>
          <w:szCs w:val="20"/>
          <w:lang w:val="es-ES_tradnl"/>
        </w:rPr>
        <w:t xml:space="preserve"> reconocieron a aquellos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9E7B35">
        <w:rPr>
          <w:rFonts w:ascii="Cambria" w:hAnsi="Cambria" w:cs="Calibri"/>
          <w:i/>
          <w:iCs/>
          <w:sz w:val="20"/>
          <w:szCs w:val="20"/>
          <w:lang w:val="es-ES_tradnl"/>
        </w:rPr>
        <w:t>el agravio y los aspectos de hecho y derecho que no fueron posibles de conocer en casación</w:t>
      </w:r>
      <w:r w:rsidRPr="009E7B35">
        <w:rPr>
          <w:rFonts w:ascii="Cambria" w:hAnsi="Cambria" w:cs="Calibri"/>
          <w:sz w:val="20"/>
          <w:szCs w:val="20"/>
          <w:lang w:val="es-ES_tradnl"/>
        </w:rPr>
        <w:t>”. Por su parte, el Transitorio III de la ley 8837 demandaba para la procedencia del procedimiento de revisión que el condenado “</w:t>
      </w:r>
      <w:r w:rsidRPr="009E7B35">
        <w:rPr>
          <w:rFonts w:ascii="Cambria" w:hAnsi="Cambria" w:cs="Calibri"/>
          <w:i/>
          <w:iCs/>
          <w:sz w:val="20"/>
          <w:szCs w:val="20"/>
          <w:lang w:val="es-ES_tradnl"/>
        </w:rPr>
        <w:t>haya alegado con anterioridad la vulneración del artículo 8.2.h de la Convención</w:t>
      </w:r>
      <w:r w:rsidRPr="009E7B35">
        <w:rPr>
          <w:rFonts w:ascii="Cambria" w:hAnsi="Cambria" w:cs="Calibri"/>
          <w:sz w:val="20"/>
          <w:szCs w:val="20"/>
          <w:lang w:val="es-ES_tradnl"/>
        </w:rPr>
        <w:t xml:space="preserve">”.   </w:t>
      </w:r>
    </w:p>
    <w:p w14:paraId="22449809" w14:textId="77777777" w:rsidR="00460C39" w:rsidRPr="009E7B35" w:rsidRDefault="00460C39" w:rsidP="00460C3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9E7B35">
        <w:rPr>
          <w:rFonts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9E7B35">
        <w:rPr>
          <w:rStyle w:val="FootnoteReference"/>
          <w:rFonts w:cs="Calibri"/>
          <w:sz w:val="20"/>
          <w:szCs w:val="20"/>
          <w:lang w:val="es-ES_tradnl"/>
        </w:rPr>
        <w:footnoteReference w:id="13"/>
      </w:r>
      <w:r w:rsidRPr="009E7B35">
        <w:rPr>
          <w:rFonts w:cs="Calibri"/>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3C894CC3" w14:textId="77777777" w:rsidR="00460C39" w:rsidRPr="009E7B35" w:rsidRDefault="00460C39" w:rsidP="00460C3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7A52B738" w14:textId="77777777" w:rsidR="00460C39" w:rsidRPr="009E7B35" w:rsidRDefault="00460C39" w:rsidP="00460C3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9E7B35">
        <w:rPr>
          <w:sz w:val="20"/>
          <w:szCs w:val="20"/>
          <w:lang w:val="es-ES_tradnl"/>
        </w:rPr>
        <w:t>No obstante, la Comisión reconoce, en primer término, que la Sala Constitucional de la Corte Suprema de Justicia de Costa Rica se refirió en reiterados pronunciamientos a la necesidad de “</w:t>
      </w:r>
      <w:r w:rsidRPr="009E7B35">
        <w:rPr>
          <w:i/>
          <w:iCs/>
          <w:sz w:val="20"/>
          <w:szCs w:val="20"/>
          <w:lang w:val="es-ES_tradnl"/>
        </w:rPr>
        <w:t>asegurar el derecho al recurso, excluyendo formalismos que impidieran la revisión de las sentencias de condena, a fin de satisfacer lo dispuesto por el artículo 8.2.h de la Convención</w:t>
      </w:r>
      <w:r w:rsidRPr="009E7B35">
        <w:rPr>
          <w:sz w:val="20"/>
          <w:szCs w:val="20"/>
          <w:lang w:val="es-ES_tradnl"/>
        </w:rPr>
        <w:t>”</w:t>
      </w:r>
      <w:r w:rsidRPr="009E7B35">
        <w:rPr>
          <w:rStyle w:val="FootnoteReference"/>
          <w:sz w:val="20"/>
          <w:szCs w:val="20"/>
          <w:lang w:val="es-ES_tradnl"/>
        </w:rPr>
        <w:footnoteReference w:id="14"/>
      </w:r>
      <w:r w:rsidRPr="009E7B35">
        <w:rPr>
          <w:sz w:val="20"/>
          <w:szCs w:val="20"/>
          <w:lang w:val="es-ES_tradnl"/>
        </w:rPr>
        <w:t>.</w:t>
      </w:r>
    </w:p>
    <w:p w14:paraId="524BCC24" w14:textId="77777777" w:rsidR="00460C39" w:rsidRPr="009E7B35" w:rsidRDefault="00460C39" w:rsidP="00460C3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40E35107" w14:textId="77777777" w:rsidR="00460C39" w:rsidRPr="009E7B35" w:rsidRDefault="00460C39" w:rsidP="00460C3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9E7B35">
        <w:rPr>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9E7B35">
        <w:rPr>
          <w:i/>
          <w:iCs/>
          <w:sz w:val="20"/>
          <w:szCs w:val="20"/>
          <w:lang w:val="es-ES_tradnl"/>
        </w:rPr>
        <w:t>Herrera Ulloa</w:t>
      </w:r>
      <w:r w:rsidRPr="009E7B35">
        <w:rPr>
          <w:sz w:val="20"/>
          <w:szCs w:val="20"/>
          <w:lang w:val="es-ES_tradnl"/>
        </w:rPr>
        <w:t xml:space="preserve">. </w:t>
      </w:r>
    </w:p>
    <w:p w14:paraId="6BA84C1D" w14:textId="77777777" w:rsidR="00460C39" w:rsidRPr="009E7B35" w:rsidRDefault="00460C39" w:rsidP="00460C3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327CD4D2" w14:textId="77777777" w:rsidR="00460C39" w:rsidRPr="009E7B35" w:rsidRDefault="00460C39" w:rsidP="00460C3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9E7B35">
        <w:rPr>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79FD3F7F" w14:textId="77777777" w:rsidR="00460C39" w:rsidRPr="009E7B35" w:rsidRDefault="00460C39" w:rsidP="00460C3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7481BB73" w14:textId="0B0148BB" w:rsidR="00460C39" w:rsidRPr="009E7B35" w:rsidRDefault="00460C39" w:rsidP="00460C3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9E7B35">
        <w:rPr>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9E7B35">
        <w:rPr>
          <w:i/>
          <w:iCs/>
          <w:sz w:val="20"/>
          <w:szCs w:val="20"/>
          <w:lang w:val="es-ES_tradnl"/>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9E7B35">
        <w:rPr>
          <w:sz w:val="20"/>
          <w:szCs w:val="20"/>
          <w:lang w:val="es-ES_tradnl"/>
        </w:rPr>
        <w:t>”</w:t>
      </w:r>
      <w:r w:rsidRPr="009E7B35">
        <w:rPr>
          <w:rStyle w:val="FootnoteReference"/>
          <w:sz w:val="20"/>
          <w:szCs w:val="20"/>
          <w:lang w:val="es-ES_tradnl"/>
        </w:rPr>
        <w:footnoteReference w:id="15"/>
      </w:r>
      <w:r w:rsidRPr="009E7B35">
        <w:rPr>
          <w:sz w:val="20"/>
          <w:szCs w:val="20"/>
          <w:lang w:val="es-ES_tradnl"/>
        </w:rPr>
        <w:t xml:space="preserve">. Lo que en principio requiere de un análisis de fondo por parte de la CIDH, salvo </w:t>
      </w:r>
      <w:r w:rsidRPr="009E7B35">
        <w:rPr>
          <w:sz w:val="20"/>
          <w:szCs w:val="20"/>
          <w:lang w:val="es-ES_tradnl"/>
        </w:rPr>
        <w:lastRenderedPageBreak/>
        <w:t xml:space="preserve">que de la información de las partes se observe que los hechos planteados por </w:t>
      </w:r>
      <w:r w:rsidR="00104BD8" w:rsidRPr="009E7B35">
        <w:rPr>
          <w:sz w:val="20"/>
          <w:szCs w:val="20"/>
          <w:lang w:val="es-ES_tradnl"/>
        </w:rPr>
        <w:t>el</w:t>
      </w:r>
      <w:r w:rsidRPr="009E7B35">
        <w:rPr>
          <w:sz w:val="20"/>
          <w:szCs w:val="20"/>
          <w:lang w:val="es-ES_tradnl"/>
        </w:rPr>
        <w:t xml:space="preserve"> peticionario no caractericen </w:t>
      </w:r>
      <w:r w:rsidRPr="009E7B35">
        <w:rPr>
          <w:i/>
          <w:iCs/>
          <w:sz w:val="20"/>
          <w:szCs w:val="20"/>
          <w:lang w:val="es-ES_tradnl"/>
        </w:rPr>
        <w:t>prima facie</w:t>
      </w:r>
      <w:r w:rsidRPr="009E7B35">
        <w:rPr>
          <w:sz w:val="20"/>
          <w:szCs w:val="20"/>
          <w:lang w:val="es-ES_tradnl"/>
        </w:rPr>
        <w:t xml:space="preserve"> violaciones a la Convención Americana, en los términos de su artículo 47.</w:t>
      </w:r>
    </w:p>
    <w:p w14:paraId="6F4D4171" w14:textId="11293FE8" w:rsidR="003239B8" w:rsidRPr="009E7B35" w:rsidRDefault="003239B8" w:rsidP="00E84B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_tradnl"/>
        </w:rPr>
      </w:pPr>
      <w:r w:rsidRPr="009E7B35">
        <w:rPr>
          <w:rFonts w:asciiTheme="majorHAnsi" w:eastAsia="Cambria" w:hAnsiTheme="majorHAnsi" w:cs="Cambria"/>
          <w:b/>
          <w:bCs/>
          <w:color w:val="000000"/>
          <w:sz w:val="20"/>
          <w:szCs w:val="20"/>
          <w:u w:color="000000"/>
          <w:lang w:val="es-ES_tradnl" w:eastAsia="es-ES"/>
        </w:rPr>
        <w:t>VI</w:t>
      </w:r>
      <w:r w:rsidR="00460C39" w:rsidRPr="009E7B35">
        <w:rPr>
          <w:rFonts w:asciiTheme="majorHAnsi" w:eastAsia="Cambria" w:hAnsiTheme="majorHAnsi" w:cs="Cambria"/>
          <w:b/>
          <w:bCs/>
          <w:color w:val="000000"/>
          <w:sz w:val="20"/>
          <w:szCs w:val="20"/>
          <w:u w:color="000000"/>
          <w:lang w:val="es-ES_tradnl" w:eastAsia="es-ES"/>
        </w:rPr>
        <w:t>I</w:t>
      </w:r>
      <w:r w:rsidRPr="009E7B35">
        <w:rPr>
          <w:rFonts w:asciiTheme="majorHAnsi" w:eastAsia="Cambria" w:hAnsiTheme="majorHAnsi" w:cs="Cambria"/>
          <w:b/>
          <w:bCs/>
          <w:color w:val="000000"/>
          <w:sz w:val="20"/>
          <w:szCs w:val="20"/>
          <w:u w:color="000000"/>
          <w:lang w:val="es-ES_tradnl" w:eastAsia="es-ES"/>
        </w:rPr>
        <w:t>.</w:t>
      </w:r>
      <w:r w:rsidRPr="009E7B35">
        <w:rPr>
          <w:rFonts w:asciiTheme="majorHAnsi" w:eastAsia="Cambria" w:hAnsiTheme="majorHAnsi" w:cs="Cambria"/>
          <w:b/>
          <w:bCs/>
          <w:color w:val="000000"/>
          <w:sz w:val="20"/>
          <w:szCs w:val="20"/>
          <w:u w:color="000000"/>
          <w:lang w:val="es-ES_tradnl" w:eastAsia="es-ES"/>
        </w:rPr>
        <w:tab/>
      </w:r>
      <w:r w:rsidR="004A6A54" w:rsidRPr="009E7B35">
        <w:rPr>
          <w:rFonts w:asciiTheme="majorHAnsi" w:hAnsiTheme="majorHAnsi"/>
          <w:b/>
          <w:bCs/>
          <w:sz w:val="20"/>
          <w:szCs w:val="20"/>
          <w:lang w:val="es-ES_tradnl"/>
        </w:rPr>
        <w:t xml:space="preserve">ANÁLISIS DE </w:t>
      </w:r>
      <w:r w:rsidR="00C21FEF" w:rsidRPr="009E7B35">
        <w:rPr>
          <w:rFonts w:asciiTheme="majorHAnsi" w:hAnsiTheme="majorHAnsi"/>
          <w:b/>
          <w:sz w:val="20"/>
          <w:szCs w:val="20"/>
          <w:lang w:val="es-ES_tradnl"/>
        </w:rPr>
        <w:t>AGOTAMIENTO DE LOS RECURSOS INTERNOS Y PLAZO DE PRESENTACIÓN</w:t>
      </w:r>
      <w:r w:rsidR="00C21FEF" w:rsidRPr="009E7B35">
        <w:rPr>
          <w:rFonts w:asciiTheme="majorHAnsi" w:eastAsia="Cambria" w:hAnsiTheme="majorHAnsi" w:cs="Cambria"/>
          <w:b/>
          <w:bCs/>
          <w:color w:val="000000"/>
          <w:sz w:val="20"/>
          <w:szCs w:val="20"/>
          <w:u w:color="000000"/>
          <w:lang w:val="es-ES_tradnl" w:eastAsia="es-ES"/>
        </w:rPr>
        <w:t xml:space="preserve"> </w:t>
      </w:r>
    </w:p>
    <w:p w14:paraId="08228DFE" w14:textId="56ABB013" w:rsidR="003D3B85" w:rsidRPr="00796695" w:rsidRDefault="003D3B85" w:rsidP="00435C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E7B35">
        <w:rPr>
          <w:rFonts w:ascii="Cambria" w:hAnsi="Cambria"/>
          <w:sz w:val="20"/>
          <w:szCs w:val="20"/>
          <w:lang w:val="es-ES_tradnl"/>
        </w:rPr>
        <w:t xml:space="preserve">Con base en las consideraciones previamente expuestas, la Comisión observa que, en el presente asunto, el 7 de abril de 2006 la Tercera Sala Penal de la Corte Suprema de Justicia desestimó el recurso de casación interpuesto por el señor Alpizar Navarro contra su sentencia condenatoria del 13 de octubre de 2005. </w:t>
      </w:r>
      <w:r w:rsidR="00435CFF">
        <w:rPr>
          <w:rFonts w:ascii="Cambria" w:hAnsi="Cambria"/>
          <w:sz w:val="20"/>
          <w:szCs w:val="20"/>
          <w:lang w:val="es-ES_tradnl"/>
        </w:rPr>
        <w:t xml:space="preserve">Esta decisión se notificó el 12 de julio de 2006. </w:t>
      </w:r>
      <w:r w:rsidRPr="009E7B35">
        <w:rPr>
          <w:rFonts w:ascii="Cambria" w:hAnsi="Cambria"/>
          <w:sz w:val="20"/>
          <w:szCs w:val="20"/>
          <w:lang w:val="es-ES_tradnl"/>
        </w:rPr>
        <w:t xml:space="preserve">Adicionalmente, nota que el 5 de diciembre de 2007 la defensa del señor Alpizar Navarro presentó un recurso de revisión, pero el 29 de abril de 2009 la Tercera Sala de la Corte Suprema rechazó este reclamo. </w:t>
      </w:r>
      <w:r w:rsidRPr="00435CFF">
        <w:rPr>
          <w:rFonts w:ascii="Cambria" w:hAnsi="Cambria"/>
          <w:sz w:val="20"/>
          <w:szCs w:val="20"/>
          <w:lang w:val="es-ES_tradnl"/>
        </w:rPr>
        <w:t xml:space="preserve">Sobre este punto, el Estado plantea, en otros alegatos, que la presunta víctima podía solicitar la revisión integral de su condena mediante los mecanismos especiales de revisión, </w:t>
      </w:r>
      <w:r w:rsidRPr="00796695">
        <w:rPr>
          <w:rFonts w:ascii="Cambria" w:hAnsi="Cambria"/>
          <w:sz w:val="20"/>
          <w:szCs w:val="20"/>
          <w:lang w:val="es-ES_tradnl"/>
        </w:rPr>
        <w:t xml:space="preserve">establecidos en Transitorio I de la Ley N.º 8503 y en el Transitorio IIII de la Ley N.º 8837, y a pesar de ello no utilizó estas vías. </w:t>
      </w:r>
    </w:p>
    <w:p w14:paraId="61F7C557" w14:textId="56C103B7" w:rsidR="00435CFF" w:rsidRPr="00796695" w:rsidRDefault="00435CFF" w:rsidP="00435C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96695">
        <w:rPr>
          <w:rFonts w:ascii="Cambria" w:hAnsi="Cambria"/>
          <w:sz w:val="20"/>
          <w:szCs w:val="20"/>
          <w:lang w:val="es-AR"/>
        </w:rPr>
        <w:t xml:space="preserve">Conforme a los alegatos expuestos, la Comisión observa que el Estado cumplió con su deber de especificar los recursos internos que no fueron agotados y las razones por las cuáles estos resultaban adecuados y efectivos para solventar la situación jurídica de la presunta víctima. En efecto, </w:t>
      </w:r>
      <w:r w:rsidR="00D05F90" w:rsidRPr="00796695">
        <w:rPr>
          <w:rFonts w:ascii="Cambria" w:hAnsi="Cambria"/>
          <w:sz w:val="20"/>
          <w:szCs w:val="20"/>
          <w:lang w:val="es-AR"/>
        </w:rPr>
        <w:t xml:space="preserve">desde </w:t>
      </w:r>
      <w:r w:rsidRPr="00796695">
        <w:rPr>
          <w:rFonts w:ascii="Cambria" w:hAnsi="Cambria"/>
          <w:sz w:val="20"/>
          <w:szCs w:val="20"/>
          <w:lang w:val="es-ES"/>
        </w:rPr>
        <w:t>su primera jurisprudencia la Corte Interamericana estableció que “</w:t>
      </w:r>
      <w:r w:rsidRPr="00796695">
        <w:rPr>
          <w:rFonts w:ascii="Cambria" w:hAnsi="Cambria"/>
          <w:i/>
          <w:iCs/>
          <w:sz w:val="20"/>
          <w:szCs w:val="20"/>
          <w:lang w:val="es-ES"/>
        </w:rPr>
        <w:t>el Estado que alega el no agotamiento tiene a su cargo el señalamiento de los recursos internos que deben agotarse y de su efectividad</w:t>
      </w:r>
      <w:r w:rsidRPr="00796695">
        <w:rPr>
          <w:rFonts w:ascii="Cambria" w:hAnsi="Cambria"/>
          <w:sz w:val="20"/>
          <w:szCs w:val="20"/>
          <w:lang w:val="es-ES"/>
        </w:rPr>
        <w:t>”</w:t>
      </w:r>
      <w:r w:rsidRPr="00796695">
        <w:rPr>
          <w:rStyle w:val="FootnoteReference"/>
          <w:rFonts w:ascii="Cambria" w:hAnsi="Cambria"/>
          <w:sz w:val="20"/>
          <w:szCs w:val="20"/>
          <w:lang w:val="es-AR"/>
        </w:rPr>
        <w:footnoteReference w:id="16"/>
      </w:r>
      <w:r w:rsidRPr="00796695">
        <w:rPr>
          <w:rFonts w:ascii="Cambria" w:hAnsi="Cambria"/>
          <w:sz w:val="20"/>
          <w:szCs w:val="20"/>
          <w:lang w:val="es-AR"/>
        </w:rPr>
        <w:t xml:space="preserve">. En concreto, la información aportada demuestra que, tras la </w:t>
      </w:r>
      <w:r w:rsidR="00D05F90" w:rsidRPr="00796695">
        <w:rPr>
          <w:rFonts w:ascii="Cambria" w:hAnsi="Cambria"/>
          <w:sz w:val="20"/>
          <w:szCs w:val="20"/>
          <w:lang w:val="es-AR"/>
        </w:rPr>
        <w:t xml:space="preserve">notificación de la </w:t>
      </w:r>
      <w:r w:rsidRPr="00796695">
        <w:rPr>
          <w:rFonts w:ascii="Cambria" w:hAnsi="Cambria"/>
          <w:sz w:val="20"/>
          <w:szCs w:val="20"/>
          <w:lang w:val="es-AR"/>
        </w:rPr>
        <w:t xml:space="preserve">denegatoria de su recurso de casación, el señor Alpizar Navarro tenía a su disposición la vía de revisión especial establecida en el Transitorio I de la Ley N.º 8503 para cuestionar su condena y lograr una revisión integral de tal fallo, toda vez que esta disposición entró en vigor el </w:t>
      </w:r>
      <w:r w:rsidRPr="00796695">
        <w:rPr>
          <w:rFonts w:asciiTheme="majorHAnsi" w:hAnsiTheme="majorHAnsi"/>
          <w:bCs/>
          <w:sz w:val="20"/>
          <w:szCs w:val="20"/>
          <w:lang w:val="es-ES_tradnl"/>
        </w:rPr>
        <w:t>6 de</w:t>
      </w:r>
      <w:r w:rsidRPr="00796695">
        <w:rPr>
          <w:rFonts w:ascii="Cambria" w:hAnsi="Cambria"/>
          <w:sz w:val="20"/>
          <w:szCs w:val="20"/>
          <w:lang w:val="es-ES"/>
        </w:rPr>
        <w:t xml:space="preserve"> de junio de 2006. </w:t>
      </w:r>
    </w:p>
    <w:p w14:paraId="795A8899" w14:textId="2B146FFC" w:rsidR="00435CFF" w:rsidRPr="00796695" w:rsidRDefault="00435CFF" w:rsidP="00435C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US"/>
        </w:rPr>
      </w:pPr>
      <w:r w:rsidRPr="00796695">
        <w:rPr>
          <w:rFonts w:ascii="Cambria" w:hAnsi="Cambria"/>
          <w:sz w:val="20"/>
          <w:szCs w:val="20"/>
          <w:lang w:val="es-ES"/>
        </w:rPr>
        <w:t xml:space="preserve">Al respecto, la Comisión reitera que la Corte Interamericana consideró que el citado mecanismo, junto con </w:t>
      </w:r>
      <w:r w:rsidRPr="00796695">
        <w:rPr>
          <w:rFonts w:ascii="Cambria" w:hAnsi="Cambria"/>
          <w:sz w:val="20"/>
          <w:szCs w:val="20"/>
          <w:lang w:val="es-AR"/>
        </w:rPr>
        <w:t xml:space="preserve">el Transitorio IIII de la Ley N.º 8837, permiten garantizar el derecho a la revisión integral de un fallo condenatorio y, por ende, cumplen con la obligación establecida en el artículo 8.2.h) de la Convención Americana. </w:t>
      </w:r>
      <w:r w:rsidRPr="00796695">
        <w:rPr>
          <w:rFonts w:ascii="Cambria" w:hAnsi="Cambria"/>
          <w:sz w:val="20"/>
          <w:szCs w:val="20"/>
          <w:lang w:val="es-ES"/>
        </w:rPr>
        <w:t>Bajo este entendimiento, el precedente del caso</w:t>
      </w:r>
      <w:r w:rsidRPr="00796695">
        <w:rPr>
          <w:rFonts w:ascii="Cambria" w:hAnsi="Cambria"/>
          <w:i/>
          <w:iCs/>
          <w:sz w:val="20"/>
          <w:szCs w:val="20"/>
          <w:lang w:val="es-ES"/>
        </w:rPr>
        <w:t xml:space="preserve"> Amrhein y otros vs. Costa Rica</w:t>
      </w:r>
      <w:r w:rsidRPr="00796695">
        <w:rPr>
          <w:rFonts w:ascii="Cambria" w:hAnsi="Cambria"/>
          <w:sz w:val="20"/>
          <w:szCs w:val="20"/>
          <w:lang w:val="es-ES"/>
        </w:rPr>
        <w:t xml:space="preserve"> estableció que las presuntas víctimas que aleguen una afectación al derecho contemplado en el citado artículo 8.2.h) y/u otras garantías vinculadas deben utilizar tales vías si estas se encontraban disponibles al momento de los hechos, o de lo contrario tienen que demostrar su falta de accesibilidad u idoneidad. En sentido congruente, la Comisión ha considerado también que cuando el Estado cumple con su deber de cuestionar en tiempo y forma el agotamiento de los recursos internos, corresponde a la parte peticionaria replicar esta información</w:t>
      </w:r>
      <w:r w:rsidRPr="00796695">
        <w:rPr>
          <w:rStyle w:val="FootnoteReference"/>
          <w:rFonts w:ascii="Cambria" w:hAnsi="Cambria" w:cs="Calibri"/>
          <w:sz w:val="20"/>
          <w:szCs w:val="20"/>
        </w:rPr>
        <w:footnoteReference w:id="17"/>
      </w:r>
      <w:r w:rsidR="00830C04">
        <w:rPr>
          <w:rFonts w:ascii="Cambria" w:hAnsi="Cambria"/>
          <w:sz w:val="20"/>
          <w:szCs w:val="20"/>
          <w:lang w:val="es-ES"/>
        </w:rPr>
        <w:t>.</w:t>
      </w:r>
    </w:p>
    <w:p w14:paraId="2137484D" w14:textId="77777777" w:rsidR="00435CFF" w:rsidRPr="00796695" w:rsidRDefault="00435CFF" w:rsidP="00435C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96695">
        <w:rPr>
          <w:rFonts w:asciiTheme="majorHAnsi" w:hAnsiTheme="majorHAnsi"/>
          <w:sz w:val="20"/>
          <w:szCs w:val="20"/>
          <w:lang w:val="es-ES"/>
        </w:rPr>
        <w:t xml:space="preserve">En ese sentido, toda vez que la parte peticionaria no presenta alegatos orientados a replicar los argumentos e información presentados por Costa Rica; ni cuestiona que, en el caso en concreto, el mecanismo especial de revisión haya carecido de algún elemento que afecte su idoneidad o eficacia, la Comisión concluye que, en aplicación de los estándares fijados por la Corte Interamericana de Derechos Humanos, el presente asunto no cumple con el requisito previsto en el artículo 46.1.a) de la Convención Americana y, en consecuencia, corresponde declarar inadmisible la presente petición. </w:t>
      </w:r>
    </w:p>
    <w:p w14:paraId="30AE0092" w14:textId="5AB9F8A0" w:rsidR="003D3B85" w:rsidRPr="00796695" w:rsidRDefault="00435CFF" w:rsidP="00435C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796695">
        <w:rPr>
          <w:rFonts w:asciiTheme="majorHAnsi" w:hAnsiTheme="majorHAnsi"/>
          <w:sz w:val="20"/>
          <w:szCs w:val="20"/>
          <w:lang w:val="es-US"/>
        </w:rPr>
        <w:t xml:space="preserve">Finalmente, toda vez que no se cumplió con el requisito del previo agotamiento de los recursos internos ni se configura alguna de las excepciones previstas en el artículo 46.2 de la Convención, no procede un estudio sobre el cumplimiento del requisito de presentación de la petición. </w:t>
      </w:r>
    </w:p>
    <w:p w14:paraId="48E8B4A3" w14:textId="77777777" w:rsidR="00824B1C" w:rsidRDefault="00824B1C" w:rsidP="003239B8">
      <w:pPr>
        <w:pStyle w:val="ListParagraph"/>
        <w:spacing w:before="240" w:after="240"/>
        <w:jc w:val="both"/>
        <w:rPr>
          <w:rFonts w:asciiTheme="majorHAnsi" w:hAnsiTheme="majorHAnsi"/>
          <w:b/>
          <w:bCs/>
          <w:sz w:val="20"/>
          <w:szCs w:val="20"/>
          <w:lang w:val="es-ES_tradnl"/>
        </w:rPr>
      </w:pPr>
    </w:p>
    <w:p w14:paraId="29BB41F5" w14:textId="3718AE6F" w:rsidR="003239B8" w:rsidRPr="00796695" w:rsidRDefault="003239B8" w:rsidP="003239B8">
      <w:pPr>
        <w:pStyle w:val="ListParagraph"/>
        <w:spacing w:before="240" w:after="240"/>
        <w:jc w:val="both"/>
        <w:rPr>
          <w:rFonts w:asciiTheme="majorHAnsi" w:hAnsiTheme="majorHAnsi"/>
          <w:b/>
          <w:bCs/>
          <w:sz w:val="20"/>
          <w:szCs w:val="20"/>
          <w:lang w:val="es-ES_tradnl"/>
        </w:rPr>
      </w:pPr>
      <w:r w:rsidRPr="00796695">
        <w:rPr>
          <w:rFonts w:asciiTheme="majorHAnsi" w:hAnsiTheme="majorHAnsi"/>
          <w:b/>
          <w:bCs/>
          <w:sz w:val="20"/>
          <w:szCs w:val="20"/>
          <w:lang w:val="es-ES_tradnl"/>
        </w:rPr>
        <w:lastRenderedPageBreak/>
        <w:t xml:space="preserve">VIII. </w:t>
      </w:r>
      <w:r w:rsidRPr="00796695">
        <w:rPr>
          <w:rFonts w:asciiTheme="majorHAnsi" w:hAnsiTheme="majorHAnsi"/>
          <w:b/>
          <w:bCs/>
          <w:sz w:val="20"/>
          <w:szCs w:val="20"/>
          <w:lang w:val="es-ES_tradnl"/>
        </w:rPr>
        <w:tab/>
        <w:t>DECISIÓN</w:t>
      </w:r>
    </w:p>
    <w:p w14:paraId="570DA61C" w14:textId="7A3CE273" w:rsidR="000419AD" w:rsidRPr="00824B1C" w:rsidRDefault="000419AD" w:rsidP="000419AD">
      <w:pPr>
        <w:pStyle w:val="ListParagraph"/>
        <w:numPr>
          <w:ilvl w:val="0"/>
          <w:numId w:val="109"/>
        </w:numPr>
        <w:rPr>
          <w:rFonts w:eastAsia="Arial Unicode MS" w:cs="Times New Roman"/>
          <w:color w:val="auto"/>
          <w:sz w:val="20"/>
          <w:szCs w:val="20"/>
          <w:lang w:val="es-ES_tradnl" w:eastAsia="en-US"/>
        </w:rPr>
      </w:pPr>
      <w:r w:rsidRPr="00824B1C">
        <w:rPr>
          <w:rFonts w:eastAsia="Arial Unicode MS" w:cs="Times New Roman"/>
          <w:color w:val="auto"/>
          <w:sz w:val="20"/>
          <w:szCs w:val="20"/>
          <w:lang w:val="es-ES_tradnl" w:eastAsia="en-US"/>
        </w:rPr>
        <w:t>Declarar inadmisible la presente petición</w:t>
      </w:r>
      <w:r w:rsidR="00A758AA" w:rsidRPr="00824B1C">
        <w:rPr>
          <w:rFonts w:eastAsia="Arial Unicode MS" w:cs="Times New Roman"/>
          <w:color w:val="auto"/>
          <w:sz w:val="20"/>
          <w:szCs w:val="20"/>
          <w:lang w:val="es-ES_tradnl" w:eastAsia="en-US"/>
        </w:rPr>
        <w:t>;</w:t>
      </w:r>
      <w:r w:rsidR="004A6A54" w:rsidRPr="00824B1C">
        <w:rPr>
          <w:rFonts w:eastAsia="Arial Unicode MS" w:cs="Times New Roman"/>
          <w:color w:val="auto"/>
          <w:sz w:val="20"/>
          <w:szCs w:val="20"/>
          <w:lang w:val="es-ES_tradnl" w:eastAsia="en-US"/>
        </w:rPr>
        <w:t xml:space="preserve"> y</w:t>
      </w:r>
    </w:p>
    <w:p w14:paraId="41AA5BF6" w14:textId="77777777" w:rsidR="000419AD" w:rsidRPr="00824B1C" w:rsidRDefault="000419AD" w:rsidP="000419AD">
      <w:pPr>
        <w:pStyle w:val="ListParagraph"/>
        <w:rPr>
          <w:rFonts w:eastAsia="Arial Unicode MS" w:cs="Times New Roman"/>
          <w:color w:val="auto"/>
          <w:sz w:val="20"/>
          <w:szCs w:val="20"/>
          <w:lang w:val="es-ES_tradnl" w:eastAsia="en-US"/>
        </w:rPr>
      </w:pPr>
    </w:p>
    <w:p w14:paraId="12A7002C" w14:textId="7E68FAFA"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24B1C">
        <w:rPr>
          <w:rFonts w:asciiTheme="majorHAnsi" w:hAnsiTheme="majorHAnsi"/>
          <w:sz w:val="20"/>
          <w:szCs w:val="20"/>
          <w:lang w:val="es-ES_tradnl"/>
        </w:rPr>
        <w:t xml:space="preserve">Notificar a las partes la presente </w:t>
      </w:r>
      <w:r w:rsidRPr="00796695">
        <w:rPr>
          <w:rFonts w:asciiTheme="majorHAnsi" w:hAnsiTheme="majorHAnsi"/>
          <w:sz w:val="20"/>
          <w:szCs w:val="20"/>
          <w:lang w:val="es-ES_tradnl"/>
        </w:rPr>
        <w:t>decisión; y publicar esta decisión e incluirla en su Informe Anual a la Asamblea General de la Organización de los Estados Americanos.</w:t>
      </w:r>
    </w:p>
    <w:p w14:paraId="567B183E" w14:textId="38881BB8" w:rsidR="00824B1C" w:rsidRPr="004D6EBA" w:rsidRDefault="00C66F68" w:rsidP="004D6EB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12 días del mes de mayo de 2023.  (Firmado): Margarette May Macaulay, Presidenta; Roberta Clarke, Segunda Vicepresidenta; Julissa Mantilla Falcón y Carlos Bernal Pulido, </w:t>
      </w:r>
      <w:r w:rsidR="004D6EBA">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CD4DFBD" w14:textId="77777777" w:rsidR="003239B8" w:rsidRPr="009E7B35" w:rsidRDefault="003239B8" w:rsidP="003239B8">
      <w:pPr>
        <w:pStyle w:val="ListParagraph"/>
        <w:suppressAutoHyphens/>
        <w:spacing w:before="240" w:after="240"/>
        <w:jc w:val="both"/>
        <w:rPr>
          <w:rFonts w:asciiTheme="majorHAnsi" w:hAnsiTheme="majorHAnsi"/>
          <w:sz w:val="20"/>
          <w:szCs w:val="20"/>
          <w:lang w:val="es-ES_tradnl"/>
        </w:rPr>
      </w:pPr>
    </w:p>
    <w:p w14:paraId="0D98495A" w14:textId="77777777" w:rsidR="008D768D" w:rsidRPr="009E7B35"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9E7B35"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E7B35" w:rsidRDefault="00722C9F" w:rsidP="00974491">
      <w:pPr>
        <w:rPr>
          <w:rFonts w:ascii="Cambria" w:hAnsi="Cambria" w:cs="Calibri"/>
          <w:sz w:val="20"/>
          <w:szCs w:val="20"/>
          <w:lang w:val="es-ES_tradnl"/>
        </w:rPr>
      </w:pPr>
    </w:p>
    <w:sectPr w:rsidR="00722C9F" w:rsidRPr="009E7B3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557D" w14:textId="77777777" w:rsidR="009616C7" w:rsidRDefault="009616C7">
      <w:r>
        <w:separator/>
      </w:r>
    </w:p>
  </w:endnote>
  <w:endnote w:type="continuationSeparator" w:id="0">
    <w:p w14:paraId="53549F08" w14:textId="77777777" w:rsidR="009616C7" w:rsidRDefault="0096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B6DD" w14:textId="77777777" w:rsidR="009616C7" w:rsidRPr="000F35ED" w:rsidRDefault="009616C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40A52B4" w14:textId="77777777" w:rsidR="009616C7" w:rsidRPr="000F35ED" w:rsidRDefault="009616C7" w:rsidP="000F35ED">
      <w:pPr>
        <w:rPr>
          <w:rFonts w:asciiTheme="majorHAnsi" w:hAnsiTheme="majorHAnsi"/>
          <w:sz w:val="16"/>
          <w:szCs w:val="16"/>
        </w:rPr>
      </w:pPr>
      <w:r w:rsidRPr="000F35ED">
        <w:rPr>
          <w:rFonts w:asciiTheme="majorHAnsi" w:hAnsiTheme="majorHAnsi"/>
          <w:sz w:val="16"/>
          <w:szCs w:val="16"/>
        </w:rPr>
        <w:separator/>
      </w:r>
    </w:p>
    <w:p w14:paraId="4B13ADCA" w14:textId="77777777" w:rsidR="009616C7" w:rsidRPr="000F35ED" w:rsidRDefault="009616C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C1DF908" w14:textId="77777777" w:rsidR="009616C7" w:rsidRPr="000F35ED" w:rsidRDefault="009616C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49C52" w14:textId="0A98B7DE" w:rsidR="00916C1D" w:rsidRPr="00916C1D" w:rsidRDefault="00916C1D" w:rsidP="00916C1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5717A683" w14:textId="77777777" w:rsidR="00F64B1E" w:rsidRPr="002D3BB2" w:rsidRDefault="00F64B1E" w:rsidP="00F64B1E">
      <w:pPr>
        <w:pStyle w:val="FootnoteText"/>
        <w:ind w:firstLine="720"/>
        <w:jc w:val="both"/>
        <w:rPr>
          <w:rFonts w:asciiTheme="majorHAnsi" w:hAnsiTheme="majorHAnsi"/>
          <w:sz w:val="16"/>
          <w:szCs w:val="16"/>
          <w:lang w:val="es-PE"/>
        </w:rPr>
      </w:pPr>
      <w:r w:rsidRPr="002D3BB2">
        <w:rPr>
          <w:rStyle w:val="FootnoteReference"/>
          <w:rFonts w:asciiTheme="majorHAnsi" w:hAnsiTheme="majorHAnsi"/>
          <w:sz w:val="16"/>
          <w:szCs w:val="16"/>
          <w:lang w:val="es-PE"/>
        </w:rPr>
        <w:footnoteRef/>
      </w:r>
      <w:r w:rsidRPr="002D3BB2">
        <w:rPr>
          <w:rFonts w:asciiTheme="majorHAnsi" w:hAnsiTheme="majorHAnsi"/>
          <w:sz w:val="16"/>
          <w:szCs w:val="16"/>
          <w:lang w:val="es-PE"/>
        </w:rPr>
        <w:t xml:space="preserve"> Ley N. º 8503.- Transitorio 1.- </w:t>
      </w:r>
      <w:r>
        <w:rPr>
          <w:rFonts w:asciiTheme="majorHAnsi" w:hAnsiTheme="majorHAnsi"/>
          <w:sz w:val="16"/>
          <w:szCs w:val="16"/>
          <w:lang w:val="es-PE"/>
        </w:rPr>
        <w:t xml:space="preserve">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415BCB27" w14:textId="77777777" w:rsidR="00F64B1E" w:rsidRPr="0024784B" w:rsidRDefault="00F64B1E" w:rsidP="00F64B1E">
      <w:pPr>
        <w:ind w:firstLine="720"/>
        <w:jc w:val="both"/>
        <w:rPr>
          <w:rFonts w:asciiTheme="majorHAnsi" w:eastAsia="Calibri" w:hAnsiTheme="majorHAnsi" w:cs="Calibri"/>
          <w:color w:val="000000"/>
          <w:sz w:val="16"/>
          <w:szCs w:val="16"/>
          <w:u w:color="000000"/>
          <w:lang w:val="es-US" w:eastAsia="es-ES"/>
        </w:rPr>
      </w:pPr>
      <w:r w:rsidRPr="00F42786">
        <w:rPr>
          <w:rStyle w:val="FootnoteReference"/>
          <w:rFonts w:asciiTheme="majorHAnsi" w:hAnsiTheme="majorHAnsi"/>
          <w:sz w:val="16"/>
          <w:szCs w:val="16"/>
        </w:rPr>
        <w:footnoteRef/>
      </w:r>
      <w:r w:rsidRPr="00F42786">
        <w:rPr>
          <w:rFonts w:asciiTheme="majorHAnsi" w:hAnsiTheme="majorHAnsi"/>
          <w:sz w:val="16"/>
          <w:szCs w:val="16"/>
          <w:lang w:val="es-US"/>
        </w:rPr>
        <w:t xml:space="preserve"> Ley N.º 8837</w:t>
      </w:r>
      <w:r>
        <w:rPr>
          <w:rFonts w:asciiTheme="majorHAnsi" w:hAnsiTheme="majorHAnsi"/>
          <w:sz w:val="16"/>
          <w:szCs w:val="16"/>
          <w:lang w:val="es-US"/>
        </w:rPr>
        <w:t xml:space="preserve">.- </w:t>
      </w:r>
      <w:r w:rsidRPr="00F42786">
        <w:rPr>
          <w:rFonts w:asciiTheme="majorHAnsi" w:hAnsiTheme="majorHAnsi"/>
          <w:sz w:val="16"/>
          <w:szCs w:val="16"/>
          <w:lang w:val="es-US"/>
        </w:rPr>
        <w:t>Transitorio III</w:t>
      </w:r>
      <w:r>
        <w:rPr>
          <w:rFonts w:asciiTheme="majorHAnsi" w:hAnsiTheme="majorHAnsi"/>
          <w:sz w:val="16"/>
          <w:szCs w:val="16"/>
          <w:lang w:val="es-US"/>
        </w:rPr>
        <w:t>.-</w:t>
      </w:r>
      <w:r w:rsidRPr="00F42786">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h</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 xml:space="preserve">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w:t>
      </w:r>
      <w:r w:rsidRPr="0024784B">
        <w:rPr>
          <w:rFonts w:asciiTheme="majorHAnsi" w:eastAsia="Calibri" w:hAnsiTheme="majorHAnsi" w:cs="Calibri"/>
          <w:color w:val="000000"/>
          <w:sz w:val="16"/>
          <w:szCs w:val="16"/>
          <w:u w:color="000000"/>
          <w:lang w:val="es-US" w:eastAsia="es-ES"/>
        </w:rPr>
        <w:t>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76E19ECD" w14:textId="77777777" w:rsidR="00460C39" w:rsidRPr="00EA3787" w:rsidRDefault="00460C39" w:rsidP="00460C39">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48961502" w14:textId="77777777" w:rsidR="00460C39" w:rsidRPr="004D0E62" w:rsidRDefault="00460C39" w:rsidP="00460C39">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8">
    <w:p w14:paraId="40B0D55A" w14:textId="77777777" w:rsidR="00460C39" w:rsidRPr="008A508D" w:rsidRDefault="00460C39" w:rsidP="00460C39">
      <w:pPr>
        <w:pStyle w:val="FootnoteText"/>
        <w:ind w:firstLine="720"/>
        <w:jc w:val="both"/>
        <w:rPr>
          <w:lang w:val="es-US"/>
        </w:rPr>
      </w:pPr>
      <w:r w:rsidRPr="004D0E62">
        <w:rPr>
          <w:rStyle w:val="FootnoteReference"/>
          <w:rFonts w:asciiTheme="majorHAnsi" w:hAnsiTheme="majorHAnsi"/>
          <w:sz w:val="16"/>
          <w:szCs w:val="16"/>
        </w:rPr>
        <w:footnoteRef/>
      </w:r>
      <w:r w:rsidRPr="004D6EBA">
        <w:rPr>
          <w:rFonts w:asciiTheme="majorHAnsi" w:hAnsiTheme="majorHAnsi"/>
          <w:sz w:val="16"/>
          <w:szCs w:val="16"/>
          <w:lang w:val="es-AR"/>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9">
    <w:p w14:paraId="5AF5BF8D" w14:textId="77777777" w:rsidR="00460C39" w:rsidRPr="00565232" w:rsidRDefault="00460C39" w:rsidP="00460C39">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10">
    <w:p w14:paraId="20C2669B" w14:textId="77777777" w:rsidR="00460C39" w:rsidRPr="004D0E62" w:rsidRDefault="00460C39" w:rsidP="00460C39">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11">
    <w:p w14:paraId="5CE70EBD" w14:textId="77777777" w:rsidR="00460C39" w:rsidRPr="008A508D" w:rsidRDefault="00460C39" w:rsidP="00460C39">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2">
    <w:p w14:paraId="272D5EF9" w14:textId="77777777" w:rsidR="00460C39" w:rsidRPr="00EE7817" w:rsidRDefault="00460C39" w:rsidP="00460C39">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4D6EBA">
        <w:rPr>
          <w:rFonts w:asciiTheme="majorHAnsi" w:hAnsiTheme="majorHAnsi"/>
          <w:sz w:val="16"/>
          <w:szCs w:val="16"/>
          <w:lang w:val="es-US"/>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3">
    <w:p w14:paraId="12A14908" w14:textId="77777777" w:rsidR="00460C39" w:rsidRPr="00735708" w:rsidRDefault="00460C39" w:rsidP="00460C39">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4">
    <w:p w14:paraId="507B71D3" w14:textId="77777777" w:rsidR="00460C39" w:rsidRPr="00CE3C79" w:rsidRDefault="00460C39" w:rsidP="00460C39">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5">
    <w:p w14:paraId="2ACA9527" w14:textId="77777777" w:rsidR="00460C39" w:rsidRPr="00090967" w:rsidRDefault="00460C39" w:rsidP="00460C39">
      <w:pPr>
        <w:pStyle w:val="FootnoteText"/>
        <w:ind w:firstLine="720"/>
        <w:jc w:val="both"/>
        <w:rPr>
          <w:rFonts w:ascii="Cambria" w:hAnsi="Cambria"/>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C No. 354. Párr. 266. </w:t>
      </w:r>
    </w:p>
  </w:footnote>
  <w:footnote w:id="16">
    <w:p w14:paraId="2913B83E" w14:textId="77777777" w:rsidR="00435CFF" w:rsidRPr="005D5E00" w:rsidRDefault="00435CFF" w:rsidP="00435CFF">
      <w:pPr>
        <w:pStyle w:val="FootnoteText"/>
        <w:ind w:firstLine="720"/>
        <w:rPr>
          <w:rFonts w:asciiTheme="majorHAnsi" w:hAnsiTheme="majorHAnsi"/>
          <w:sz w:val="16"/>
          <w:szCs w:val="16"/>
          <w:lang w:val="es-US"/>
        </w:rPr>
      </w:pPr>
      <w:r w:rsidRPr="00EE0AB1">
        <w:rPr>
          <w:rStyle w:val="FootnoteReference"/>
          <w:rFonts w:asciiTheme="majorHAnsi" w:hAnsiTheme="majorHAnsi"/>
          <w:sz w:val="16"/>
          <w:szCs w:val="16"/>
        </w:rPr>
        <w:footnoteRef/>
      </w:r>
      <w:r w:rsidRPr="00EE0AB1">
        <w:rPr>
          <w:rFonts w:asciiTheme="majorHAnsi" w:hAnsiTheme="majorHAnsi"/>
          <w:sz w:val="16"/>
          <w:szCs w:val="16"/>
          <w:lang w:val="es-US"/>
        </w:rPr>
        <w:t xml:space="preserve"> Corte IDH. Caso Velásquez Rodríguez Vs. Honduras. Excepciones Preliminares. Sentencia de 26 de junio de 1987. Serie C No. 1, párr. 88; y</w:t>
      </w:r>
      <w:r>
        <w:rPr>
          <w:rFonts w:asciiTheme="majorHAnsi" w:hAnsiTheme="majorHAnsi"/>
          <w:sz w:val="16"/>
          <w:szCs w:val="16"/>
          <w:lang w:val="es-US"/>
        </w:rPr>
        <w:t xml:space="preserve"> </w:t>
      </w:r>
      <w:r w:rsidRPr="00EE0AB1">
        <w:rPr>
          <w:rFonts w:asciiTheme="majorHAnsi" w:hAnsiTheme="majorHAnsi"/>
          <w:sz w:val="16"/>
          <w:szCs w:val="16"/>
          <w:lang w:val="es-US"/>
        </w:rPr>
        <w:t>Caso Cuya Lavy y otros Vs. Perú. Excepciones preliminares, Fondo, Reparaciones y Costas. Sentencia de 28 de septiembre de 2021. Serie C No</w:t>
      </w:r>
      <w:r w:rsidRPr="005D5E00">
        <w:rPr>
          <w:rFonts w:asciiTheme="majorHAnsi" w:hAnsiTheme="majorHAnsi"/>
          <w:sz w:val="16"/>
          <w:szCs w:val="16"/>
          <w:lang w:val="es-US"/>
        </w:rPr>
        <w:t xml:space="preserve">. 438, párr. 27. </w:t>
      </w:r>
    </w:p>
  </w:footnote>
  <w:footnote w:id="17">
    <w:p w14:paraId="748FF5EA" w14:textId="77777777" w:rsidR="00435CFF" w:rsidRPr="00787E0A" w:rsidRDefault="00435CFF" w:rsidP="00435CFF">
      <w:pPr>
        <w:pStyle w:val="FootnoteText"/>
        <w:jc w:val="both"/>
        <w:rPr>
          <w:rFonts w:ascii="Cambria" w:hAnsi="Cambria"/>
          <w:sz w:val="16"/>
          <w:szCs w:val="16"/>
          <w:lang w:val="es-US"/>
        </w:rPr>
      </w:pPr>
      <w:r w:rsidRPr="005D5E00">
        <w:rPr>
          <w:rFonts w:ascii="Cambria" w:hAnsi="Cambria"/>
          <w:sz w:val="16"/>
          <w:szCs w:val="16"/>
          <w:lang w:val="es-ES"/>
        </w:rPr>
        <w:tab/>
      </w:r>
      <w:r w:rsidRPr="005D5E00">
        <w:rPr>
          <w:rStyle w:val="FootnoteReference"/>
          <w:rFonts w:ascii="Cambria" w:hAnsi="Cambria"/>
          <w:sz w:val="16"/>
          <w:szCs w:val="16"/>
        </w:rPr>
        <w:footnoteRef/>
      </w:r>
      <w:r w:rsidRPr="005D5E00">
        <w:rPr>
          <w:rFonts w:ascii="Cambria" w:hAnsi="Cambria"/>
          <w:sz w:val="16"/>
          <w:szCs w:val="16"/>
          <w:lang w:val="es-ES"/>
        </w:rPr>
        <w:t xml:space="preserve"> CIDH, Informe No. 168/17, Petición 1502-07. Admisibilidad.  Miguel Ángel Morales Morales. Perú. 1 de diciembre de 2017, párr.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008F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5AD11C"/>
    <w:lvl w:ilvl="0" w:tplc="970419CC">
      <w:start w:val="1"/>
      <w:numFmt w:val="decimal"/>
      <w:lvlText w:val="%1."/>
      <w:lvlJc w:val="left"/>
      <w:pPr>
        <w:tabs>
          <w:tab w:val="num" w:pos="720"/>
        </w:tabs>
        <w:ind w:left="0" w:firstLine="720"/>
      </w:pPr>
      <w:rPr>
        <w:rFonts w:asciiTheme="majorHAnsi" w:hAnsiTheme="majorHAnsi"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0"/>
  </w:num>
  <w:num w:numId="8" w16cid:durableId="1933658824">
    <w:abstractNumId w:val="23"/>
  </w:num>
  <w:num w:numId="9" w16cid:durableId="102309653">
    <w:abstractNumId w:val="51"/>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58"/>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5"/>
  </w:num>
  <w:num w:numId="53" w16cid:durableId="993338501">
    <w:abstractNumId w:val="0"/>
  </w:num>
  <w:num w:numId="54" w16cid:durableId="783113306">
    <w:abstractNumId w:val="40"/>
  </w:num>
  <w:num w:numId="55" w16cid:durableId="1627199839">
    <w:abstractNumId w:val="41"/>
  </w:num>
  <w:num w:numId="56" w16cid:durableId="906108081">
    <w:abstractNumId w:val="47"/>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2"/>
  </w:num>
  <w:num w:numId="83" w16cid:durableId="1364018377">
    <w:abstractNumId w:val="43"/>
  </w:num>
  <w:num w:numId="84" w16cid:durableId="80612354">
    <w:abstractNumId w:val="49"/>
  </w:num>
  <w:num w:numId="85" w16cid:durableId="1691254366">
    <w:abstractNumId w:val="52"/>
  </w:num>
  <w:num w:numId="86" w16cid:durableId="580339032">
    <w:abstractNumId w:val="55"/>
  </w:num>
  <w:num w:numId="87" w16cid:durableId="379717792">
    <w:abstractNumId w:val="57"/>
  </w:num>
  <w:num w:numId="88" w16cid:durableId="1044066421">
    <w:abstractNumId w:val="59"/>
  </w:num>
  <w:num w:numId="89" w16cid:durableId="2091930067">
    <w:abstractNumId w:val="61"/>
  </w:num>
  <w:num w:numId="90" w16cid:durableId="532546517">
    <w:abstractNumId w:val="62"/>
  </w:num>
  <w:num w:numId="91" w16cid:durableId="414666162">
    <w:abstractNumId w:val="63"/>
  </w:num>
  <w:num w:numId="92" w16cid:durableId="1269311212">
    <w:abstractNumId w:val="64"/>
  </w:num>
  <w:num w:numId="93" w16cid:durableId="1631939513">
    <w:abstractNumId w:val="66"/>
  </w:num>
  <w:num w:numId="94" w16cid:durableId="1834564849">
    <w:abstractNumId w:val="22"/>
  </w:num>
  <w:num w:numId="95" w16cid:durableId="205724164">
    <w:abstractNumId w:val="44"/>
  </w:num>
  <w:num w:numId="96" w16cid:durableId="949429864">
    <w:abstractNumId w:val="56"/>
  </w:num>
  <w:num w:numId="97" w16cid:durableId="288970792">
    <w:abstractNumId w:val="53"/>
  </w:num>
  <w:num w:numId="98" w16cid:durableId="952714129">
    <w:abstractNumId w:val="48"/>
  </w:num>
  <w:num w:numId="99" w16cid:durableId="1523976620">
    <w:abstractNumId w:val="39"/>
  </w:num>
  <w:num w:numId="100" w16cid:durableId="156654599">
    <w:abstractNumId w:val="3"/>
  </w:num>
  <w:num w:numId="101" w16cid:durableId="1936327866">
    <w:abstractNumId w:val="27"/>
  </w:num>
  <w:num w:numId="102" w16cid:durableId="1754089481">
    <w:abstractNumId w:val="50"/>
  </w:num>
  <w:num w:numId="103" w16cid:durableId="219633537">
    <w:abstractNumId w:val="6"/>
  </w:num>
  <w:num w:numId="104" w16cid:durableId="195585926">
    <w:abstractNumId w:val="65"/>
  </w:num>
  <w:num w:numId="105" w16cid:durableId="525605381">
    <w:abstractNumId w:val="54"/>
  </w:num>
  <w:num w:numId="106" w16cid:durableId="202910152">
    <w:abstractNumId w:val="4"/>
  </w:num>
  <w:num w:numId="107" w16cid:durableId="1026829289">
    <w:abstractNumId w:val="31"/>
  </w:num>
  <w:num w:numId="108" w16cid:durableId="681589062">
    <w:abstractNumId w:val="14"/>
  </w:num>
  <w:num w:numId="109" w16cid:durableId="54683942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16DE"/>
    <w:rsid w:val="00027C16"/>
    <w:rsid w:val="000337EF"/>
    <w:rsid w:val="00040C3A"/>
    <w:rsid w:val="000419AD"/>
    <w:rsid w:val="00042C75"/>
    <w:rsid w:val="000433C9"/>
    <w:rsid w:val="00064DC1"/>
    <w:rsid w:val="0006546B"/>
    <w:rsid w:val="000716C5"/>
    <w:rsid w:val="00075E23"/>
    <w:rsid w:val="000834F8"/>
    <w:rsid w:val="0009344A"/>
    <w:rsid w:val="000A33CE"/>
    <w:rsid w:val="000A392E"/>
    <w:rsid w:val="000A454E"/>
    <w:rsid w:val="000A575F"/>
    <w:rsid w:val="000A6654"/>
    <w:rsid w:val="000D05CB"/>
    <w:rsid w:val="000D10DB"/>
    <w:rsid w:val="000E5EB5"/>
    <w:rsid w:val="000F35ED"/>
    <w:rsid w:val="001008F0"/>
    <w:rsid w:val="00104BD8"/>
    <w:rsid w:val="00107131"/>
    <w:rsid w:val="0010736F"/>
    <w:rsid w:val="00107A39"/>
    <w:rsid w:val="00113F73"/>
    <w:rsid w:val="00120188"/>
    <w:rsid w:val="00121CC2"/>
    <w:rsid w:val="00126AAE"/>
    <w:rsid w:val="00131425"/>
    <w:rsid w:val="00133EE5"/>
    <w:rsid w:val="00167A34"/>
    <w:rsid w:val="001A6A9B"/>
    <w:rsid w:val="001A7870"/>
    <w:rsid w:val="001B3A00"/>
    <w:rsid w:val="001C1B41"/>
    <w:rsid w:val="001D65EF"/>
    <w:rsid w:val="001E49E7"/>
    <w:rsid w:val="001F7201"/>
    <w:rsid w:val="00223A29"/>
    <w:rsid w:val="002250A3"/>
    <w:rsid w:val="002263CF"/>
    <w:rsid w:val="00235217"/>
    <w:rsid w:val="00246D1F"/>
    <w:rsid w:val="00247403"/>
    <w:rsid w:val="00247542"/>
    <w:rsid w:val="00266B61"/>
    <w:rsid w:val="0026712A"/>
    <w:rsid w:val="002704DB"/>
    <w:rsid w:val="002A0AAE"/>
    <w:rsid w:val="002A5820"/>
    <w:rsid w:val="002B4477"/>
    <w:rsid w:val="002D2B26"/>
    <w:rsid w:val="002D2C03"/>
    <w:rsid w:val="002D7EA2"/>
    <w:rsid w:val="002E187C"/>
    <w:rsid w:val="00302733"/>
    <w:rsid w:val="003071F7"/>
    <w:rsid w:val="00314078"/>
    <w:rsid w:val="0031535D"/>
    <w:rsid w:val="003239B8"/>
    <w:rsid w:val="00330D36"/>
    <w:rsid w:val="0033169F"/>
    <w:rsid w:val="0034183E"/>
    <w:rsid w:val="00344977"/>
    <w:rsid w:val="00346C95"/>
    <w:rsid w:val="00351B30"/>
    <w:rsid w:val="00356185"/>
    <w:rsid w:val="00360380"/>
    <w:rsid w:val="0037519E"/>
    <w:rsid w:val="00386CF0"/>
    <w:rsid w:val="0039144C"/>
    <w:rsid w:val="003B70FB"/>
    <w:rsid w:val="003C676B"/>
    <w:rsid w:val="003D3B85"/>
    <w:rsid w:val="003D3BC2"/>
    <w:rsid w:val="003E5CDC"/>
    <w:rsid w:val="003E6CA1"/>
    <w:rsid w:val="00401D83"/>
    <w:rsid w:val="00401DBA"/>
    <w:rsid w:val="00402BE9"/>
    <w:rsid w:val="00405F9C"/>
    <w:rsid w:val="004065A8"/>
    <w:rsid w:val="00406D7B"/>
    <w:rsid w:val="0041526F"/>
    <w:rsid w:val="004165C2"/>
    <w:rsid w:val="00434766"/>
    <w:rsid w:val="00435CFF"/>
    <w:rsid w:val="00441ECB"/>
    <w:rsid w:val="00445193"/>
    <w:rsid w:val="00445C2D"/>
    <w:rsid w:val="00453D87"/>
    <w:rsid w:val="00460C39"/>
    <w:rsid w:val="00462C1B"/>
    <w:rsid w:val="00467B7E"/>
    <w:rsid w:val="00473BB4"/>
    <w:rsid w:val="00477592"/>
    <w:rsid w:val="00486F1C"/>
    <w:rsid w:val="0049419D"/>
    <w:rsid w:val="004A12C7"/>
    <w:rsid w:val="004A47CF"/>
    <w:rsid w:val="004A6A54"/>
    <w:rsid w:val="004C20D2"/>
    <w:rsid w:val="004C2312"/>
    <w:rsid w:val="004C4B62"/>
    <w:rsid w:val="004C54C9"/>
    <w:rsid w:val="004D0AE0"/>
    <w:rsid w:val="004D4ABA"/>
    <w:rsid w:val="004D6025"/>
    <w:rsid w:val="004D6EBA"/>
    <w:rsid w:val="004E2649"/>
    <w:rsid w:val="004E4EE5"/>
    <w:rsid w:val="004F148A"/>
    <w:rsid w:val="004F626F"/>
    <w:rsid w:val="00501399"/>
    <w:rsid w:val="00503146"/>
    <w:rsid w:val="0050633D"/>
    <w:rsid w:val="00507BC4"/>
    <w:rsid w:val="005128E4"/>
    <w:rsid w:val="00512BFD"/>
    <w:rsid w:val="005133DB"/>
    <w:rsid w:val="00514504"/>
    <w:rsid w:val="00515F7D"/>
    <w:rsid w:val="00525560"/>
    <w:rsid w:val="00525F6F"/>
    <w:rsid w:val="00544C49"/>
    <w:rsid w:val="005516A1"/>
    <w:rsid w:val="00553071"/>
    <w:rsid w:val="005559EF"/>
    <w:rsid w:val="00560A39"/>
    <w:rsid w:val="00563557"/>
    <w:rsid w:val="0057402A"/>
    <w:rsid w:val="005771D0"/>
    <w:rsid w:val="00580DBA"/>
    <w:rsid w:val="0059191A"/>
    <w:rsid w:val="005921FF"/>
    <w:rsid w:val="0059494E"/>
    <w:rsid w:val="005A1DD8"/>
    <w:rsid w:val="005A24ED"/>
    <w:rsid w:val="005A6D0E"/>
    <w:rsid w:val="005B52B0"/>
    <w:rsid w:val="005B6806"/>
    <w:rsid w:val="005C4225"/>
    <w:rsid w:val="005D38F9"/>
    <w:rsid w:val="005D5E00"/>
    <w:rsid w:val="005F0DAD"/>
    <w:rsid w:val="005F0F33"/>
    <w:rsid w:val="00600DEB"/>
    <w:rsid w:val="00627C9F"/>
    <w:rsid w:val="006311E9"/>
    <w:rsid w:val="00632354"/>
    <w:rsid w:val="00635421"/>
    <w:rsid w:val="00640D5B"/>
    <w:rsid w:val="00642810"/>
    <w:rsid w:val="00652333"/>
    <w:rsid w:val="0068009E"/>
    <w:rsid w:val="00684BFC"/>
    <w:rsid w:val="00692219"/>
    <w:rsid w:val="006A17D2"/>
    <w:rsid w:val="006A3F10"/>
    <w:rsid w:val="006A73E6"/>
    <w:rsid w:val="006B2D5C"/>
    <w:rsid w:val="006C4EB1"/>
    <w:rsid w:val="006D0F37"/>
    <w:rsid w:val="006D5973"/>
    <w:rsid w:val="006E0166"/>
    <w:rsid w:val="006E2FFB"/>
    <w:rsid w:val="006E7B34"/>
    <w:rsid w:val="00703FBE"/>
    <w:rsid w:val="0070697F"/>
    <w:rsid w:val="0072199C"/>
    <w:rsid w:val="00722C9F"/>
    <w:rsid w:val="00723FBA"/>
    <w:rsid w:val="007253B8"/>
    <w:rsid w:val="0073741F"/>
    <w:rsid w:val="00744F21"/>
    <w:rsid w:val="00744FFD"/>
    <w:rsid w:val="00766210"/>
    <w:rsid w:val="0076643F"/>
    <w:rsid w:val="00777F63"/>
    <w:rsid w:val="00796695"/>
    <w:rsid w:val="007A20DA"/>
    <w:rsid w:val="007A5817"/>
    <w:rsid w:val="007B05C4"/>
    <w:rsid w:val="007B60E9"/>
    <w:rsid w:val="007B6CC3"/>
    <w:rsid w:val="007B76D3"/>
    <w:rsid w:val="007B7742"/>
    <w:rsid w:val="007C04B1"/>
    <w:rsid w:val="007C3334"/>
    <w:rsid w:val="007C7562"/>
    <w:rsid w:val="007C7A05"/>
    <w:rsid w:val="007D2B98"/>
    <w:rsid w:val="007E21BC"/>
    <w:rsid w:val="007E7C82"/>
    <w:rsid w:val="007F2697"/>
    <w:rsid w:val="007F2AA1"/>
    <w:rsid w:val="007F588D"/>
    <w:rsid w:val="00803F1C"/>
    <w:rsid w:val="0080493E"/>
    <w:rsid w:val="00804C15"/>
    <w:rsid w:val="0080600E"/>
    <w:rsid w:val="00814688"/>
    <w:rsid w:val="00817612"/>
    <w:rsid w:val="00823D85"/>
    <w:rsid w:val="00824B1C"/>
    <w:rsid w:val="00830C04"/>
    <w:rsid w:val="008338A4"/>
    <w:rsid w:val="00834D49"/>
    <w:rsid w:val="00837C45"/>
    <w:rsid w:val="00840541"/>
    <w:rsid w:val="00844730"/>
    <w:rsid w:val="008457C2"/>
    <w:rsid w:val="00855ADB"/>
    <w:rsid w:val="00857A82"/>
    <w:rsid w:val="00873836"/>
    <w:rsid w:val="008779F6"/>
    <w:rsid w:val="00884A44"/>
    <w:rsid w:val="00885737"/>
    <w:rsid w:val="00890650"/>
    <w:rsid w:val="00897C3D"/>
    <w:rsid w:val="00897E12"/>
    <w:rsid w:val="008A7E0F"/>
    <w:rsid w:val="008B12F5"/>
    <w:rsid w:val="008C5E2D"/>
    <w:rsid w:val="008D768D"/>
    <w:rsid w:val="008E3759"/>
    <w:rsid w:val="008E3BFE"/>
    <w:rsid w:val="008F1912"/>
    <w:rsid w:val="008F4FAF"/>
    <w:rsid w:val="0090270B"/>
    <w:rsid w:val="009041DC"/>
    <w:rsid w:val="00912A07"/>
    <w:rsid w:val="00916C1D"/>
    <w:rsid w:val="00917B5A"/>
    <w:rsid w:val="00920A58"/>
    <w:rsid w:val="00920A8C"/>
    <w:rsid w:val="00934A2C"/>
    <w:rsid w:val="009616C7"/>
    <w:rsid w:val="0096706E"/>
    <w:rsid w:val="00974491"/>
    <w:rsid w:val="00975C4E"/>
    <w:rsid w:val="00981FBA"/>
    <w:rsid w:val="00997BC5"/>
    <w:rsid w:val="009A4F41"/>
    <w:rsid w:val="009B381B"/>
    <w:rsid w:val="009D1753"/>
    <w:rsid w:val="009D2008"/>
    <w:rsid w:val="009D7611"/>
    <w:rsid w:val="009E0B61"/>
    <w:rsid w:val="009E0F16"/>
    <w:rsid w:val="009E53DE"/>
    <w:rsid w:val="009E7B35"/>
    <w:rsid w:val="009F069A"/>
    <w:rsid w:val="00A101D1"/>
    <w:rsid w:val="00A11212"/>
    <w:rsid w:val="00A11E44"/>
    <w:rsid w:val="00A11ED5"/>
    <w:rsid w:val="00A207CA"/>
    <w:rsid w:val="00A30100"/>
    <w:rsid w:val="00A328B3"/>
    <w:rsid w:val="00A50FCF"/>
    <w:rsid w:val="00A528D1"/>
    <w:rsid w:val="00A570C2"/>
    <w:rsid w:val="00A610CD"/>
    <w:rsid w:val="00A64601"/>
    <w:rsid w:val="00A758AA"/>
    <w:rsid w:val="00A8654D"/>
    <w:rsid w:val="00AA09A2"/>
    <w:rsid w:val="00AA7996"/>
    <w:rsid w:val="00AB7136"/>
    <w:rsid w:val="00AC19CB"/>
    <w:rsid w:val="00AC21C0"/>
    <w:rsid w:val="00AC7891"/>
    <w:rsid w:val="00AE5488"/>
    <w:rsid w:val="00AE6F91"/>
    <w:rsid w:val="00AF5571"/>
    <w:rsid w:val="00B07341"/>
    <w:rsid w:val="00B11F71"/>
    <w:rsid w:val="00B17BFE"/>
    <w:rsid w:val="00B30539"/>
    <w:rsid w:val="00B314DB"/>
    <w:rsid w:val="00B361F2"/>
    <w:rsid w:val="00B3718B"/>
    <w:rsid w:val="00B3745F"/>
    <w:rsid w:val="00B4632A"/>
    <w:rsid w:val="00B530F1"/>
    <w:rsid w:val="00B81CEB"/>
    <w:rsid w:val="00B82E09"/>
    <w:rsid w:val="00BA276C"/>
    <w:rsid w:val="00BB306F"/>
    <w:rsid w:val="00BD4B89"/>
    <w:rsid w:val="00BD5922"/>
    <w:rsid w:val="00BE7866"/>
    <w:rsid w:val="00BE7B86"/>
    <w:rsid w:val="00BF02CB"/>
    <w:rsid w:val="00BF6FD8"/>
    <w:rsid w:val="00C03680"/>
    <w:rsid w:val="00C054DF"/>
    <w:rsid w:val="00C21762"/>
    <w:rsid w:val="00C21FEF"/>
    <w:rsid w:val="00C23BA4"/>
    <w:rsid w:val="00C24543"/>
    <w:rsid w:val="00C256A2"/>
    <w:rsid w:val="00C25ADB"/>
    <w:rsid w:val="00C51515"/>
    <w:rsid w:val="00C5660B"/>
    <w:rsid w:val="00C66B72"/>
    <w:rsid w:val="00C66F68"/>
    <w:rsid w:val="00C852B1"/>
    <w:rsid w:val="00C87AC4"/>
    <w:rsid w:val="00C9567A"/>
    <w:rsid w:val="00CB212D"/>
    <w:rsid w:val="00CB2660"/>
    <w:rsid w:val="00CC4AC6"/>
    <w:rsid w:val="00CC5E90"/>
    <w:rsid w:val="00CD046C"/>
    <w:rsid w:val="00CE076C"/>
    <w:rsid w:val="00CE5199"/>
    <w:rsid w:val="00CE66D5"/>
    <w:rsid w:val="00CF637A"/>
    <w:rsid w:val="00D0053A"/>
    <w:rsid w:val="00D059DE"/>
    <w:rsid w:val="00D05ABD"/>
    <w:rsid w:val="00D05F90"/>
    <w:rsid w:val="00D13BC5"/>
    <w:rsid w:val="00D13FCE"/>
    <w:rsid w:val="00D15264"/>
    <w:rsid w:val="00D244FC"/>
    <w:rsid w:val="00D306D1"/>
    <w:rsid w:val="00D30800"/>
    <w:rsid w:val="00D34786"/>
    <w:rsid w:val="00D37BFC"/>
    <w:rsid w:val="00D47A8E"/>
    <w:rsid w:val="00D52D14"/>
    <w:rsid w:val="00D712D3"/>
    <w:rsid w:val="00D71422"/>
    <w:rsid w:val="00D72DC6"/>
    <w:rsid w:val="00D7558D"/>
    <w:rsid w:val="00D81D92"/>
    <w:rsid w:val="00D876F9"/>
    <w:rsid w:val="00D9231B"/>
    <w:rsid w:val="00DA7B5F"/>
    <w:rsid w:val="00DB5600"/>
    <w:rsid w:val="00DC11E7"/>
    <w:rsid w:val="00DC24E3"/>
    <w:rsid w:val="00DC7023"/>
    <w:rsid w:val="00DC769A"/>
    <w:rsid w:val="00DD3D86"/>
    <w:rsid w:val="00DD4AD2"/>
    <w:rsid w:val="00DE7A9B"/>
    <w:rsid w:val="00DF1EC4"/>
    <w:rsid w:val="00E0340B"/>
    <w:rsid w:val="00E04A90"/>
    <w:rsid w:val="00E0551F"/>
    <w:rsid w:val="00E219C7"/>
    <w:rsid w:val="00E4118C"/>
    <w:rsid w:val="00E43157"/>
    <w:rsid w:val="00E461CE"/>
    <w:rsid w:val="00E573E4"/>
    <w:rsid w:val="00E64C3D"/>
    <w:rsid w:val="00E720CA"/>
    <w:rsid w:val="00E84B4A"/>
    <w:rsid w:val="00E84EB5"/>
    <w:rsid w:val="00E85662"/>
    <w:rsid w:val="00E8789F"/>
    <w:rsid w:val="00E87E14"/>
    <w:rsid w:val="00E97B71"/>
    <w:rsid w:val="00EA3D34"/>
    <w:rsid w:val="00EB454D"/>
    <w:rsid w:val="00ED549D"/>
    <w:rsid w:val="00ED76BE"/>
    <w:rsid w:val="00EE00E9"/>
    <w:rsid w:val="00EF1AAA"/>
    <w:rsid w:val="00EF3167"/>
    <w:rsid w:val="00EF619B"/>
    <w:rsid w:val="00F00B55"/>
    <w:rsid w:val="00F02AD1"/>
    <w:rsid w:val="00F103BA"/>
    <w:rsid w:val="00F253CC"/>
    <w:rsid w:val="00F34336"/>
    <w:rsid w:val="00F37106"/>
    <w:rsid w:val="00F44E25"/>
    <w:rsid w:val="00F47B0E"/>
    <w:rsid w:val="00F519CF"/>
    <w:rsid w:val="00F56BA5"/>
    <w:rsid w:val="00F60E22"/>
    <w:rsid w:val="00F64B1E"/>
    <w:rsid w:val="00F81395"/>
    <w:rsid w:val="00F81BB8"/>
    <w:rsid w:val="00F879D6"/>
    <w:rsid w:val="00F90C64"/>
    <w:rsid w:val="00F917D1"/>
    <w:rsid w:val="00F9653B"/>
    <w:rsid w:val="00FA1333"/>
    <w:rsid w:val="00FB62CF"/>
    <w:rsid w:val="00FD3C3B"/>
    <w:rsid w:val="00FE07DD"/>
    <w:rsid w:val="00FE6B45"/>
    <w:rsid w:val="00FF1BE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paragraph" w:customStyle="1" w:styleId="paragraph">
    <w:name w:val="paragraph"/>
    <w:basedOn w:val="Normal"/>
    <w:rsid w:val="00C66F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2"/>
      </w:numPr>
    </w:pPr>
  </w:style>
  <w:style w:type="character" w:customStyle="1" w:styleId="normaltextrun">
    <w:name w:val="normaltextrun"/>
    <w:basedOn w:val="DefaultParagraphFont"/>
    <w:rsid w:val="00C66F68"/>
  </w:style>
  <w:style w:type="numbering" w:customStyle="1" w:styleId="List210">
    <w:name w:val="List 21"/>
    <w:pPr>
      <w:numPr>
        <w:numId w:val="95"/>
      </w:numPr>
    </w:pPr>
  </w:style>
  <w:style w:type="character" w:customStyle="1" w:styleId="eop">
    <w:name w:val="eop"/>
    <w:basedOn w:val="DefaultParagraphFont"/>
    <w:rsid w:val="00C66F68"/>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F64B1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460C39"/>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0D3826"/>
    <w:rsid w:val="00200821"/>
    <w:rsid w:val="0025245B"/>
    <w:rsid w:val="002A3923"/>
    <w:rsid w:val="003200CD"/>
    <w:rsid w:val="0038654C"/>
    <w:rsid w:val="00394049"/>
    <w:rsid w:val="003F6C18"/>
    <w:rsid w:val="004B5BBB"/>
    <w:rsid w:val="004F2DF8"/>
    <w:rsid w:val="0061797F"/>
    <w:rsid w:val="006F24A1"/>
    <w:rsid w:val="00886A41"/>
    <w:rsid w:val="00920CEF"/>
    <w:rsid w:val="009A261B"/>
    <w:rsid w:val="009E257B"/>
    <w:rsid w:val="009F171F"/>
    <w:rsid w:val="009F4BCF"/>
    <w:rsid w:val="00AA2E17"/>
    <w:rsid w:val="00AC15A4"/>
    <w:rsid w:val="00B0336C"/>
    <w:rsid w:val="00BD5BBF"/>
    <w:rsid w:val="00CE1D10"/>
    <w:rsid w:val="00D241E9"/>
    <w:rsid w:val="00D7750D"/>
    <w:rsid w:val="00D80801"/>
    <w:rsid w:val="00DA3189"/>
    <w:rsid w:val="00DD1DD6"/>
    <w:rsid w:val="00E40BA5"/>
    <w:rsid w:val="00E76CF9"/>
    <w:rsid w:val="00F00D2F"/>
    <w:rsid w:val="00F128DF"/>
    <w:rsid w:val="00FB20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3367</Words>
  <Characters>19194</Characters>
  <Application>Microsoft Office Word</Application>
  <DocSecurity>0</DocSecurity>
  <Lines>159</Lines>
  <Paragraphs>45</Paragraphs>
  <ScaleCrop>false</ScaleCrop>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2023-07-10T21:34:00Z</dcterms:created>
  <dcterms:modified xsi:type="dcterms:W3CDTF">2023-07-10T21:34:00Z</dcterms:modified>
</cp:coreProperties>
</file>