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33C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85370A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43C0">
                              <w:rPr>
                                <w:rFonts w:asciiTheme="majorHAnsi" w:hAnsiTheme="majorHAnsi" w:cs="Arial"/>
                                <w:b/>
                                <w:bCs/>
                                <w:color w:val="0D0D0D" w:themeColor="text1" w:themeTint="F2"/>
                                <w:sz w:val="36"/>
                                <w:szCs w:val="22"/>
                                <w:lang w:val="es-ES_tradnl"/>
                              </w:rPr>
                              <w:t>52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21658DC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E0F16">
                              <w:rPr>
                                <w:rFonts w:asciiTheme="majorHAnsi" w:hAnsiTheme="majorHAnsi" w:cs="Arial"/>
                                <w:b/>
                                <w:color w:val="0D0D0D" w:themeColor="text1" w:themeTint="F2"/>
                                <w:sz w:val="36"/>
                                <w:szCs w:val="22"/>
                                <w:lang w:val="es-ES_tradnl"/>
                              </w:rPr>
                              <w:t>14</w:t>
                            </w:r>
                            <w:r w:rsidR="00744FFD">
                              <w:rPr>
                                <w:rFonts w:asciiTheme="majorHAnsi" w:hAnsiTheme="majorHAnsi" w:cs="Arial"/>
                                <w:b/>
                                <w:color w:val="0D0D0D" w:themeColor="text1" w:themeTint="F2"/>
                                <w:sz w:val="36"/>
                                <w:szCs w:val="22"/>
                                <w:lang w:val="es-ES_tradnl"/>
                              </w:rPr>
                              <w:t>61</w:t>
                            </w:r>
                            <w:r w:rsidR="00246D1F" w:rsidRPr="004E2649">
                              <w:rPr>
                                <w:rFonts w:asciiTheme="majorHAnsi" w:hAnsiTheme="majorHAnsi" w:cs="Arial"/>
                                <w:b/>
                                <w:color w:val="0D0D0D" w:themeColor="text1" w:themeTint="F2"/>
                                <w:sz w:val="36"/>
                                <w:szCs w:val="22"/>
                                <w:lang w:val="es-ES_tradnl"/>
                              </w:rPr>
                              <w:t>-</w:t>
                            </w:r>
                            <w:r w:rsidR="00744FFD">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4D5DBE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BD73F34" w:rsidR="005B52B0" w:rsidRPr="0010736F" w:rsidRDefault="00744F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ANTONY MIRON BENDER</w:t>
                            </w:r>
                          </w:p>
                          <w:bookmarkEnd w:id="0"/>
                          <w:p w14:paraId="575DFD52" w14:textId="23B3557C" w:rsidR="005B52B0" w:rsidRPr="00AE5488" w:rsidRDefault="00744FFD" w:rsidP="007A5817">
                            <w:pPr>
                              <w:rPr>
                                <w:color w:val="0D0D0D" w:themeColor="text1" w:themeTint="F2"/>
                                <w:lang w:val="es-ES_tradnl"/>
                              </w:rPr>
                            </w:pPr>
                            <w:r>
                              <w:rPr>
                                <w:rFonts w:asciiTheme="majorHAnsi" w:hAnsiTheme="majorHAnsi" w:cs="Arial"/>
                                <w:color w:val="0D0D0D" w:themeColor="text1" w:themeTint="F2"/>
                                <w:szCs w:val="22"/>
                                <w:lang w:val="es-ES_tradnl"/>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85370A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43C0">
                        <w:rPr>
                          <w:rFonts w:asciiTheme="majorHAnsi" w:hAnsiTheme="majorHAnsi" w:cs="Arial"/>
                          <w:b/>
                          <w:bCs/>
                          <w:color w:val="0D0D0D" w:themeColor="text1" w:themeTint="F2"/>
                          <w:sz w:val="36"/>
                          <w:szCs w:val="22"/>
                          <w:lang w:val="es-ES_tradnl"/>
                        </w:rPr>
                        <w:t>52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21658DC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E0F16">
                        <w:rPr>
                          <w:rFonts w:asciiTheme="majorHAnsi" w:hAnsiTheme="majorHAnsi" w:cs="Arial"/>
                          <w:b/>
                          <w:color w:val="0D0D0D" w:themeColor="text1" w:themeTint="F2"/>
                          <w:sz w:val="36"/>
                          <w:szCs w:val="22"/>
                          <w:lang w:val="es-ES_tradnl"/>
                        </w:rPr>
                        <w:t>14</w:t>
                      </w:r>
                      <w:r w:rsidR="00744FFD">
                        <w:rPr>
                          <w:rFonts w:asciiTheme="majorHAnsi" w:hAnsiTheme="majorHAnsi" w:cs="Arial"/>
                          <w:b/>
                          <w:color w:val="0D0D0D" w:themeColor="text1" w:themeTint="F2"/>
                          <w:sz w:val="36"/>
                          <w:szCs w:val="22"/>
                          <w:lang w:val="es-ES_tradnl"/>
                        </w:rPr>
                        <w:t>61</w:t>
                      </w:r>
                      <w:r w:rsidR="00246D1F" w:rsidRPr="004E2649">
                        <w:rPr>
                          <w:rFonts w:asciiTheme="majorHAnsi" w:hAnsiTheme="majorHAnsi" w:cs="Arial"/>
                          <w:b/>
                          <w:color w:val="0D0D0D" w:themeColor="text1" w:themeTint="F2"/>
                          <w:sz w:val="36"/>
                          <w:szCs w:val="22"/>
                          <w:lang w:val="es-ES_tradnl"/>
                        </w:rPr>
                        <w:t>-</w:t>
                      </w:r>
                      <w:r w:rsidR="00744FFD">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4D5DBE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BD73F34" w:rsidR="005B52B0" w:rsidRPr="0010736F" w:rsidRDefault="00744F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ANTONY MIRON BENDER</w:t>
                      </w:r>
                    </w:p>
                    <w:bookmarkEnd w:id="1"/>
                    <w:p w14:paraId="575DFD52" w14:textId="23B3557C" w:rsidR="005B52B0" w:rsidRPr="00AE5488" w:rsidRDefault="00744FFD" w:rsidP="007A5817">
                      <w:pPr>
                        <w:rPr>
                          <w:color w:val="0D0D0D" w:themeColor="text1" w:themeTint="F2"/>
                          <w:lang w:val="es-ES_tradnl"/>
                        </w:rPr>
                      </w:pPr>
                      <w:r>
                        <w:rPr>
                          <w:rFonts w:asciiTheme="majorHAnsi" w:hAnsiTheme="majorHAnsi" w:cs="Arial"/>
                          <w:color w:val="0D0D0D" w:themeColor="text1" w:themeTint="F2"/>
                          <w:szCs w:val="22"/>
                          <w:lang w:val="es-ES_tradnl"/>
                        </w:rPr>
                        <w:t>COSTA RICA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03B35F2" w:rsidR="00627C9F" w:rsidRPr="00252FBC" w:rsidRDefault="00834D49" w:rsidP="007A5817">
                            <w:pPr>
                              <w:spacing w:line="276" w:lineRule="auto"/>
                              <w:jc w:val="right"/>
                              <w:rPr>
                                <w:rFonts w:asciiTheme="minorHAnsi" w:hAnsiTheme="minorHAnsi"/>
                                <w:color w:val="FFFFFF" w:themeColor="background1"/>
                                <w:sz w:val="22"/>
                                <w:lang w:val="es-AR"/>
                              </w:rPr>
                            </w:pPr>
                            <w:r w:rsidRPr="00252FBC">
                              <w:rPr>
                                <w:rFonts w:asciiTheme="minorHAnsi" w:hAnsiTheme="minorHAnsi"/>
                                <w:color w:val="FFFFFF" w:themeColor="background1"/>
                                <w:sz w:val="22"/>
                                <w:lang w:val="es-AR"/>
                              </w:rPr>
                              <w:t>OEA/Ser.L/V/II</w:t>
                            </w:r>
                          </w:p>
                          <w:p w14:paraId="6A41611B" w14:textId="76AF162E" w:rsidR="00627C9F" w:rsidRPr="00252FBC" w:rsidRDefault="00627C9F" w:rsidP="007A5817">
                            <w:pPr>
                              <w:spacing w:line="276" w:lineRule="auto"/>
                              <w:jc w:val="right"/>
                              <w:rPr>
                                <w:rFonts w:asciiTheme="minorHAnsi" w:hAnsiTheme="minorHAnsi"/>
                                <w:color w:val="FFFFFF" w:themeColor="background1"/>
                                <w:sz w:val="22"/>
                                <w:lang w:val="es-AR"/>
                              </w:rPr>
                            </w:pPr>
                            <w:r w:rsidRPr="00252FBC">
                              <w:rPr>
                                <w:rFonts w:asciiTheme="minorHAnsi" w:hAnsiTheme="minorHAnsi"/>
                                <w:color w:val="FFFFFF" w:themeColor="background1"/>
                                <w:sz w:val="22"/>
                                <w:lang w:val="es-AR"/>
                              </w:rPr>
                              <w:t xml:space="preserve">Doc. </w:t>
                            </w:r>
                            <w:r w:rsidR="00921E6D" w:rsidRPr="00252FBC">
                              <w:rPr>
                                <w:rFonts w:asciiTheme="minorHAnsi" w:hAnsiTheme="minorHAnsi"/>
                                <w:color w:val="FFFFFF" w:themeColor="background1"/>
                                <w:sz w:val="22"/>
                                <w:lang w:val="es-AR"/>
                              </w:rPr>
                              <w:t>60</w:t>
                            </w:r>
                          </w:p>
                          <w:p w14:paraId="69373ED2" w14:textId="6E9EB1C8" w:rsidR="00627C9F" w:rsidRPr="00C25ADB" w:rsidRDefault="00CC613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03B35F2" w:rsidR="00627C9F" w:rsidRPr="00252FBC" w:rsidRDefault="00834D49" w:rsidP="007A5817">
                      <w:pPr>
                        <w:spacing w:line="276" w:lineRule="auto"/>
                        <w:jc w:val="right"/>
                        <w:rPr>
                          <w:rFonts w:asciiTheme="minorHAnsi" w:hAnsiTheme="minorHAnsi"/>
                          <w:color w:val="FFFFFF" w:themeColor="background1"/>
                          <w:sz w:val="22"/>
                          <w:lang w:val="es-AR"/>
                        </w:rPr>
                      </w:pPr>
                      <w:r w:rsidRPr="00252FBC">
                        <w:rPr>
                          <w:rFonts w:asciiTheme="minorHAnsi" w:hAnsiTheme="minorHAnsi"/>
                          <w:color w:val="FFFFFF" w:themeColor="background1"/>
                          <w:sz w:val="22"/>
                          <w:lang w:val="es-AR"/>
                        </w:rPr>
                        <w:t>OEA/Ser.L/V/II</w:t>
                      </w:r>
                    </w:p>
                    <w:p w14:paraId="6A41611B" w14:textId="76AF162E" w:rsidR="00627C9F" w:rsidRPr="00252FBC" w:rsidRDefault="00627C9F" w:rsidP="007A5817">
                      <w:pPr>
                        <w:spacing w:line="276" w:lineRule="auto"/>
                        <w:jc w:val="right"/>
                        <w:rPr>
                          <w:rFonts w:asciiTheme="minorHAnsi" w:hAnsiTheme="minorHAnsi"/>
                          <w:color w:val="FFFFFF" w:themeColor="background1"/>
                          <w:sz w:val="22"/>
                          <w:lang w:val="es-AR"/>
                        </w:rPr>
                      </w:pPr>
                      <w:r w:rsidRPr="00252FBC">
                        <w:rPr>
                          <w:rFonts w:asciiTheme="minorHAnsi" w:hAnsiTheme="minorHAnsi"/>
                          <w:color w:val="FFFFFF" w:themeColor="background1"/>
                          <w:sz w:val="22"/>
                          <w:lang w:val="es-AR"/>
                        </w:rPr>
                        <w:t xml:space="preserve">Doc. </w:t>
                      </w:r>
                      <w:r w:rsidR="00921E6D" w:rsidRPr="00252FBC">
                        <w:rPr>
                          <w:rFonts w:asciiTheme="minorHAnsi" w:hAnsiTheme="minorHAnsi"/>
                          <w:color w:val="FFFFFF" w:themeColor="background1"/>
                          <w:sz w:val="22"/>
                          <w:lang w:val="es-AR"/>
                        </w:rPr>
                        <w:t>60</w:t>
                      </w:r>
                    </w:p>
                    <w:p w14:paraId="69373ED2" w14:textId="6E9EB1C8" w:rsidR="00627C9F" w:rsidRPr="00C25ADB" w:rsidRDefault="00CC613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27F33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C613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CC613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CC613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27F33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C6134">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CC613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CC613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4EC438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C6134" w:rsidRPr="00CC6134">
                              <w:rPr>
                                <w:rFonts w:asciiTheme="majorHAnsi" w:hAnsiTheme="majorHAnsi"/>
                                <w:color w:val="595959" w:themeColor="text1" w:themeTint="A6"/>
                                <w:sz w:val="18"/>
                                <w:szCs w:val="18"/>
                                <w:lang w:val="pt-BR"/>
                              </w:rPr>
                              <w:t>52</w:t>
                            </w:r>
                            <w:r w:rsidR="007B05C4" w:rsidRPr="00CC6134">
                              <w:rPr>
                                <w:rFonts w:asciiTheme="majorHAnsi" w:hAnsiTheme="majorHAnsi"/>
                                <w:color w:val="595959" w:themeColor="text1" w:themeTint="A6"/>
                                <w:sz w:val="18"/>
                                <w:szCs w:val="18"/>
                                <w:lang w:val="pt-BR"/>
                              </w:rPr>
                              <w:t>/</w:t>
                            </w:r>
                            <w:r w:rsidR="00CC6134" w:rsidRPr="00CC6134">
                              <w:rPr>
                                <w:rFonts w:asciiTheme="majorHAnsi" w:hAnsiTheme="majorHAnsi"/>
                                <w:color w:val="595959" w:themeColor="text1" w:themeTint="A6"/>
                                <w:sz w:val="18"/>
                                <w:szCs w:val="18"/>
                                <w:lang w:val="pt-BR"/>
                              </w:rPr>
                              <w:t>23</w:t>
                            </w:r>
                            <w:r w:rsidRPr="00CC613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44FFD">
                              <w:rPr>
                                <w:rFonts w:asciiTheme="majorHAnsi" w:hAnsiTheme="majorHAnsi"/>
                                <w:color w:val="595959" w:themeColor="text1" w:themeTint="A6"/>
                                <w:sz w:val="18"/>
                                <w:szCs w:val="18"/>
                                <w:lang w:val="es-ES"/>
                              </w:rPr>
                              <w:t>1461-07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744FFD">
                              <w:rPr>
                                <w:rFonts w:asciiTheme="majorHAnsi" w:hAnsiTheme="majorHAnsi"/>
                                <w:color w:val="595959" w:themeColor="text1" w:themeTint="A6"/>
                                <w:sz w:val="18"/>
                                <w:szCs w:val="18"/>
                                <w:lang w:val="es-ES_tradnl"/>
                              </w:rPr>
                              <w:t>Antony Miron Bender</w:t>
                            </w:r>
                            <w:r w:rsidRPr="00890650">
                              <w:rPr>
                                <w:rFonts w:asciiTheme="majorHAnsi" w:hAnsiTheme="majorHAnsi"/>
                                <w:color w:val="595959" w:themeColor="text1" w:themeTint="A6"/>
                                <w:sz w:val="18"/>
                                <w:szCs w:val="18"/>
                                <w:lang w:val="es-ES_tradnl"/>
                              </w:rPr>
                              <w:t xml:space="preserve">. </w:t>
                            </w:r>
                            <w:r w:rsidR="00744FF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CC6134">
                              <w:rPr>
                                <w:rFonts w:asciiTheme="majorHAnsi" w:hAnsiTheme="majorHAnsi"/>
                                <w:color w:val="595959" w:themeColor="text1" w:themeTint="A6"/>
                                <w:sz w:val="18"/>
                                <w:szCs w:val="18"/>
                                <w:lang w:val="es-ES"/>
                              </w:rPr>
                              <w:t>10 de mayo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4EC438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C6134" w:rsidRPr="00CC6134">
                        <w:rPr>
                          <w:rFonts w:asciiTheme="majorHAnsi" w:hAnsiTheme="majorHAnsi"/>
                          <w:color w:val="595959" w:themeColor="text1" w:themeTint="A6"/>
                          <w:sz w:val="18"/>
                          <w:szCs w:val="18"/>
                          <w:lang w:val="pt-BR"/>
                        </w:rPr>
                        <w:t>52</w:t>
                      </w:r>
                      <w:r w:rsidR="007B05C4" w:rsidRPr="00CC6134">
                        <w:rPr>
                          <w:rFonts w:asciiTheme="majorHAnsi" w:hAnsiTheme="majorHAnsi"/>
                          <w:color w:val="595959" w:themeColor="text1" w:themeTint="A6"/>
                          <w:sz w:val="18"/>
                          <w:szCs w:val="18"/>
                          <w:lang w:val="pt-BR"/>
                        </w:rPr>
                        <w:t>/</w:t>
                      </w:r>
                      <w:r w:rsidR="00CC6134" w:rsidRPr="00CC6134">
                        <w:rPr>
                          <w:rFonts w:asciiTheme="majorHAnsi" w:hAnsiTheme="majorHAnsi"/>
                          <w:color w:val="595959" w:themeColor="text1" w:themeTint="A6"/>
                          <w:sz w:val="18"/>
                          <w:szCs w:val="18"/>
                          <w:lang w:val="pt-BR"/>
                        </w:rPr>
                        <w:t>23</w:t>
                      </w:r>
                      <w:r w:rsidRPr="00CC613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44FFD">
                        <w:rPr>
                          <w:rFonts w:asciiTheme="majorHAnsi" w:hAnsiTheme="majorHAnsi"/>
                          <w:color w:val="595959" w:themeColor="text1" w:themeTint="A6"/>
                          <w:sz w:val="18"/>
                          <w:szCs w:val="18"/>
                          <w:lang w:val="es-ES"/>
                        </w:rPr>
                        <w:t>1461-07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744FFD">
                        <w:rPr>
                          <w:rFonts w:asciiTheme="majorHAnsi" w:hAnsiTheme="majorHAnsi"/>
                          <w:color w:val="595959" w:themeColor="text1" w:themeTint="A6"/>
                          <w:sz w:val="18"/>
                          <w:szCs w:val="18"/>
                          <w:lang w:val="es-ES_tradnl"/>
                        </w:rPr>
                        <w:t>Antony Miron Bender</w:t>
                      </w:r>
                      <w:r w:rsidRPr="00890650">
                        <w:rPr>
                          <w:rFonts w:asciiTheme="majorHAnsi" w:hAnsiTheme="majorHAnsi"/>
                          <w:color w:val="595959" w:themeColor="text1" w:themeTint="A6"/>
                          <w:sz w:val="18"/>
                          <w:szCs w:val="18"/>
                          <w:lang w:val="es-ES_tradnl"/>
                        </w:rPr>
                        <w:t xml:space="preserve">. </w:t>
                      </w:r>
                      <w:r w:rsidR="00744FF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CC6134">
                        <w:rPr>
                          <w:rFonts w:asciiTheme="majorHAnsi" w:hAnsiTheme="majorHAnsi"/>
                          <w:color w:val="595959" w:themeColor="text1" w:themeTint="A6"/>
                          <w:sz w:val="18"/>
                          <w:szCs w:val="18"/>
                          <w:lang w:val="es-ES"/>
                        </w:rPr>
                        <w:t>10 de mayo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5324AD4" w:rsidR="00D72DC6" w:rsidRPr="00D72DC6" w:rsidRDefault="00941BE5" w:rsidP="00F02AD1">
                            <w:pPr>
                              <w:rPr>
                                <w:color w:val="FFFFFF" w:themeColor="background1"/>
                                <w14:textFill>
                                  <w14:noFill/>
                                </w14:textFill>
                              </w:rPr>
                            </w:pPr>
                            <w:r>
                              <w:rPr>
                                <w:noProof/>
                              </w:rPr>
                              <w:drawing>
                                <wp:inline distT="0" distB="0" distL="0" distR="0" wp14:anchorId="656D7CCE" wp14:editId="3459EA37">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35324AD4" w:rsidR="00D72DC6" w:rsidRPr="00D72DC6" w:rsidRDefault="00941BE5" w:rsidP="00F02AD1">
                      <w:pPr>
                        <w:rPr>
                          <w:color w:val="FFFFFF" w:themeColor="background1"/>
                          <w14:textFill>
                            <w14:noFill/>
                          </w14:textFill>
                        </w:rPr>
                      </w:pPr>
                      <w:r>
                        <w:rPr>
                          <w:noProof/>
                        </w:rPr>
                        <w:drawing>
                          <wp:inline distT="0" distB="0" distL="0" distR="0" wp14:anchorId="656D7CCE" wp14:editId="3459EA37">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071F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6C552F8" w:rsidR="003239B8" w:rsidRPr="00CC4AC6" w:rsidRDefault="00401DBA" w:rsidP="008D2290">
            <w:pPr>
              <w:jc w:val="both"/>
              <w:rPr>
                <w:rFonts w:ascii="Cambria" w:hAnsi="Cambria"/>
                <w:bCs/>
                <w:sz w:val="20"/>
                <w:szCs w:val="20"/>
                <w:lang w:val="es-US"/>
              </w:rPr>
            </w:pPr>
            <w:r>
              <w:rPr>
                <w:rFonts w:ascii="Cambria" w:hAnsi="Cambria"/>
                <w:bCs/>
                <w:sz w:val="20"/>
                <w:szCs w:val="20"/>
                <w:lang w:val="es-US"/>
              </w:rPr>
              <w:t>Rafael Ángel Guillen</w:t>
            </w:r>
          </w:p>
        </w:tc>
      </w:tr>
      <w:tr w:rsidR="003239B8" w:rsidRPr="00804C1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F93BC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E8B5FEA" w:rsidR="003239B8" w:rsidRPr="00916C1D" w:rsidRDefault="00744FFD" w:rsidP="00684BFC">
            <w:pPr>
              <w:rPr>
                <w:lang w:val="es-US"/>
              </w:rPr>
            </w:pPr>
            <w:r>
              <w:rPr>
                <w:rFonts w:ascii="Cambria" w:hAnsi="Cambria"/>
                <w:bCs/>
                <w:sz w:val="20"/>
                <w:szCs w:val="20"/>
                <w:lang w:val="es-US"/>
              </w:rPr>
              <w:t>Anthony Miron Bender</w:t>
            </w:r>
            <w:r w:rsidR="006D0F37" w:rsidRPr="00916C1D">
              <w:rPr>
                <w:rFonts w:ascii="Cambria" w:hAnsi="Cambria"/>
                <w:bCs/>
                <w:sz w:val="20"/>
                <w:szCs w:val="20"/>
                <w:lang w:val="es-US"/>
              </w:rPr>
              <w:t xml:space="preserve"> </w:t>
            </w:r>
            <w:r w:rsidR="00684BFC" w:rsidRPr="00916C1D">
              <w:rPr>
                <w:lang w:val="es-U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C24BA2D" w:rsidR="003239B8" w:rsidRPr="000D05CB" w:rsidRDefault="00F62528" w:rsidP="008D2290">
            <w:pPr>
              <w:jc w:val="both"/>
              <w:rPr>
                <w:rFonts w:ascii="Cambria" w:hAnsi="Cambria"/>
                <w:bCs/>
                <w:sz w:val="20"/>
                <w:szCs w:val="20"/>
              </w:rPr>
            </w:pPr>
            <w:r>
              <w:rPr>
                <w:rFonts w:ascii="Cambria" w:hAnsi="Cambria"/>
                <w:bCs/>
                <w:sz w:val="20"/>
                <w:szCs w:val="20"/>
              </w:rPr>
              <w:t>Costa Rica</w:t>
            </w:r>
          </w:p>
        </w:tc>
      </w:tr>
      <w:tr w:rsidR="00223A29" w:rsidRPr="00252FB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5E370AF" w:rsidR="00223A29" w:rsidRPr="00406D7B" w:rsidRDefault="00F47D05" w:rsidP="008D2290">
            <w:pPr>
              <w:jc w:val="both"/>
              <w:rPr>
                <w:rFonts w:ascii="Cambria" w:hAnsi="Cambria"/>
                <w:bCs/>
                <w:sz w:val="20"/>
                <w:szCs w:val="20"/>
                <w:lang w:val="es-US"/>
              </w:rPr>
            </w:pPr>
            <w:r>
              <w:rPr>
                <w:rFonts w:ascii="Cambria" w:hAnsi="Cambria"/>
                <w:bCs/>
                <w:sz w:val="20"/>
                <w:szCs w:val="20"/>
                <w:lang w:val="es-ES"/>
              </w:rPr>
              <w:t xml:space="preserve">Artículos 8 (garantías judiciales), 24 (igualdad ante la ley) y 25 (protección judicial)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3541D7E" w:rsidR="004C2312" w:rsidRPr="003239B8" w:rsidRDefault="004D0AE0" w:rsidP="002625EA">
            <w:pPr>
              <w:jc w:val="both"/>
              <w:rPr>
                <w:rFonts w:ascii="Cambria" w:hAnsi="Cambria"/>
                <w:bCs/>
                <w:sz w:val="20"/>
                <w:szCs w:val="20"/>
                <w:lang w:val="es-ES"/>
              </w:rPr>
            </w:pPr>
            <w:r>
              <w:rPr>
                <w:rFonts w:ascii="Cambria" w:hAnsi="Cambria"/>
                <w:bCs/>
                <w:sz w:val="20"/>
                <w:szCs w:val="20"/>
                <w:lang w:val="es-ES"/>
              </w:rPr>
              <w:t>13 de noviembre de 2007</w:t>
            </w:r>
          </w:p>
        </w:tc>
      </w:tr>
      <w:tr w:rsidR="0080493E" w:rsidRPr="00252FBC" w14:paraId="79EBA584" w14:textId="77777777" w:rsidTr="004A6A54">
        <w:tc>
          <w:tcPr>
            <w:tcW w:w="3600" w:type="dxa"/>
            <w:tcBorders>
              <w:top w:val="single" w:sz="6" w:space="0" w:color="auto"/>
              <w:bottom w:val="single" w:sz="6" w:space="0" w:color="auto"/>
            </w:tcBorders>
            <w:shd w:val="clear" w:color="auto" w:fill="386294"/>
            <w:vAlign w:val="center"/>
          </w:tcPr>
          <w:p w14:paraId="371D250B" w14:textId="5B15DB17" w:rsidR="0080493E" w:rsidRDefault="00FA1333"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422E658" w14:textId="680802C2" w:rsidR="0080493E" w:rsidRDefault="00FA1333" w:rsidP="002625EA">
            <w:pPr>
              <w:jc w:val="both"/>
              <w:rPr>
                <w:rFonts w:ascii="Cambria" w:hAnsi="Cambria"/>
                <w:bCs/>
                <w:sz w:val="20"/>
                <w:szCs w:val="20"/>
                <w:lang w:val="es-ES"/>
              </w:rPr>
            </w:pPr>
            <w:r>
              <w:rPr>
                <w:rFonts w:ascii="Cambria" w:hAnsi="Cambria"/>
                <w:bCs/>
                <w:sz w:val="20"/>
                <w:szCs w:val="20"/>
                <w:lang w:val="es-ES"/>
              </w:rPr>
              <w:t>15 de febrero de 2017</w:t>
            </w:r>
            <w:r w:rsidR="00C165CB">
              <w:rPr>
                <w:rFonts w:ascii="Cambria" w:hAnsi="Cambria"/>
                <w:bCs/>
                <w:sz w:val="20"/>
                <w:szCs w:val="20"/>
                <w:lang w:val="es-ES"/>
              </w:rPr>
              <w:t xml:space="preserve"> y 11 de abril de 017</w:t>
            </w:r>
          </w:p>
        </w:tc>
      </w:tr>
      <w:tr w:rsidR="004C2312" w:rsidRPr="00560A3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C1946D0" w:rsidR="004C2312" w:rsidRPr="003239B8" w:rsidRDefault="0080493E" w:rsidP="008D2290">
            <w:pPr>
              <w:jc w:val="both"/>
              <w:rPr>
                <w:rFonts w:ascii="Cambria" w:hAnsi="Cambria"/>
                <w:bCs/>
                <w:sz w:val="20"/>
                <w:szCs w:val="20"/>
                <w:lang w:val="es-ES"/>
              </w:rPr>
            </w:pPr>
            <w:r>
              <w:rPr>
                <w:rFonts w:ascii="Cambria" w:hAnsi="Cambria"/>
                <w:bCs/>
                <w:sz w:val="20"/>
                <w:szCs w:val="20"/>
                <w:lang w:val="es-ES"/>
              </w:rPr>
              <w:t>10 de abril de 2017</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B38F76F" w:rsidR="004C2312" w:rsidRPr="003239B8" w:rsidRDefault="00C165CB" w:rsidP="008D2290">
            <w:pPr>
              <w:jc w:val="both"/>
              <w:rPr>
                <w:rFonts w:ascii="Cambria" w:hAnsi="Cambria"/>
                <w:bCs/>
                <w:sz w:val="20"/>
                <w:szCs w:val="20"/>
                <w:lang w:val="es-ES"/>
              </w:rPr>
            </w:pPr>
            <w:r>
              <w:rPr>
                <w:rFonts w:ascii="Cambria" w:hAnsi="Cambria"/>
                <w:bCs/>
                <w:sz w:val="20"/>
                <w:szCs w:val="20"/>
                <w:lang w:val="es-ES"/>
              </w:rPr>
              <w:t>18 de julio de 2017</w:t>
            </w:r>
          </w:p>
        </w:tc>
      </w:tr>
      <w:tr w:rsidR="00855ADB" w:rsidRPr="00855ADB"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71D1B588" w:rsidR="00855ADB" w:rsidRDefault="00C165CB" w:rsidP="008D2290">
            <w:pPr>
              <w:jc w:val="both"/>
              <w:rPr>
                <w:rFonts w:ascii="Cambria" w:hAnsi="Cambria"/>
                <w:bCs/>
                <w:sz w:val="20"/>
                <w:szCs w:val="20"/>
                <w:lang w:val="es-ES"/>
              </w:rPr>
            </w:pPr>
            <w:r>
              <w:rPr>
                <w:rFonts w:ascii="Cambria" w:hAnsi="Cambria"/>
                <w:bCs/>
                <w:sz w:val="20"/>
                <w:szCs w:val="20"/>
                <w:lang w:val="es-ES"/>
              </w:rPr>
              <w:t>2 de abril de 2020</w:t>
            </w:r>
          </w:p>
        </w:tc>
      </w:tr>
      <w:tr w:rsidR="00855ADB" w:rsidRPr="00855ADB" w14:paraId="53744B43" w14:textId="77777777" w:rsidTr="004A6A54">
        <w:tc>
          <w:tcPr>
            <w:tcW w:w="3600" w:type="dxa"/>
            <w:tcBorders>
              <w:top w:val="single" w:sz="6" w:space="0" w:color="auto"/>
              <w:bottom w:val="single" w:sz="6" w:space="0" w:color="auto"/>
            </w:tcBorders>
            <w:shd w:val="clear" w:color="auto" w:fill="386294"/>
            <w:vAlign w:val="center"/>
          </w:tcPr>
          <w:p w14:paraId="2612331C" w14:textId="05520089"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233F6E39" w14:textId="50E939E6" w:rsidR="00855ADB" w:rsidRDefault="00C165CB" w:rsidP="008D2290">
            <w:pPr>
              <w:jc w:val="both"/>
              <w:rPr>
                <w:rFonts w:ascii="Cambria" w:hAnsi="Cambria"/>
                <w:bCs/>
                <w:sz w:val="20"/>
                <w:szCs w:val="20"/>
                <w:lang w:val="es-ES"/>
              </w:rPr>
            </w:pPr>
            <w:r>
              <w:rPr>
                <w:rFonts w:ascii="Cambria" w:hAnsi="Cambria"/>
                <w:bCs/>
                <w:sz w:val="20"/>
                <w:szCs w:val="20"/>
                <w:lang w:val="es-ES"/>
              </w:rPr>
              <w:t>5 de agosto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3869D1">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3869D1">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3869D1">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252FBC" w14:paraId="30ABEC3E" w14:textId="77777777" w:rsidTr="003869D1">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3CD60AC8"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F62528">
              <w:rPr>
                <w:rFonts w:ascii="Cambria" w:hAnsi="Cambria"/>
                <w:bCs/>
                <w:sz w:val="20"/>
                <w:szCs w:val="20"/>
                <w:lang w:val="es-ES"/>
              </w:rPr>
              <w:t>8</w:t>
            </w:r>
            <w:r>
              <w:rPr>
                <w:rFonts w:ascii="Cambria" w:hAnsi="Cambria"/>
                <w:bCs/>
                <w:sz w:val="20"/>
                <w:szCs w:val="20"/>
                <w:lang w:val="es-ES"/>
              </w:rPr>
              <w:t xml:space="preserve"> de </w:t>
            </w:r>
            <w:r w:rsidR="00F62528">
              <w:rPr>
                <w:rFonts w:ascii="Cambria" w:hAnsi="Cambria"/>
                <w:bCs/>
                <w:sz w:val="20"/>
                <w:szCs w:val="20"/>
                <w:lang w:val="es-ES"/>
              </w:rPr>
              <w:t>abril</w:t>
            </w:r>
            <w:r>
              <w:rPr>
                <w:rFonts w:ascii="Cambria" w:hAnsi="Cambria"/>
                <w:bCs/>
                <w:sz w:val="20"/>
                <w:szCs w:val="20"/>
                <w:lang w:val="es-ES"/>
              </w:rPr>
              <w:t xml:space="preserve"> de 197</w:t>
            </w:r>
            <w:r w:rsidR="00F62528">
              <w:rPr>
                <w:rFonts w:ascii="Cambria" w:hAnsi="Cambria"/>
                <w:bCs/>
                <w:sz w:val="20"/>
                <w:szCs w:val="20"/>
                <w:lang w:val="es-ES"/>
              </w:rPr>
              <w:t>0</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565232" w14:paraId="1231C988" w14:textId="77777777" w:rsidTr="003869D1">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32C86880" w:rsidR="00EE00E9" w:rsidRPr="00DC24E3" w:rsidRDefault="00EA07D1"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3869D1">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4FCFE9E2" w:rsidR="003239B8" w:rsidRPr="00DC24E3" w:rsidRDefault="00FD4872" w:rsidP="008D2290">
            <w:pPr>
              <w:jc w:val="both"/>
              <w:rPr>
                <w:rFonts w:ascii="Cambria" w:hAnsi="Cambria"/>
                <w:bCs/>
                <w:sz w:val="20"/>
                <w:szCs w:val="20"/>
              </w:rPr>
            </w:pPr>
            <w:r>
              <w:rPr>
                <w:rFonts w:ascii="Cambria" w:hAnsi="Cambria"/>
                <w:bCs/>
                <w:sz w:val="20"/>
                <w:szCs w:val="20"/>
              </w:rPr>
              <w:t>No aplica</w:t>
            </w:r>
          </w:p>
        </w:tc>
      </w:tr>
      <w:tr w:rsidR="003239B8" w:rsidRPr="00252FBC" w14:paraId="4EFD141E" w14:textId="77777777" w:rsidTr="003869D1">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6345F32A" w:rsidR="003239B8" w:rsidRPr="00DC24E3" w:rsidRDefault="00EA07D1" w:rsidP="008D2290">
            <w:pPr>
              <w:rPr>
                <w:rFonts w:ascii="Cambria" w:hAnsi="Cambria"/>
                <w:bCs/>
                <w:sz w:val="20"/>
                <w:szCs w:val="20"/>
                <w:lang w:val="es-ES"/>
              </w:rPr>
            </w:pPr>
            <w:r>
              <w:rPr>
                <w:rFonts w:ascii="Cambria" w:hAnsi="Cambria"/>
                <w:bCs/>
                <w:sz w:val="20"/>
                <w:szCs w:val="20"/>
                <w:lang w:val="es-ES"/>
              </w:rPr>
              <w:t>No, en los términos de la sección VII</w:t>
            </w:r>
          </w:p>
        </w:tc>
      </w:tr>
      <w:tr w:rsidR="003239B8" w:rsidRPr="00E453AD" w14:paraId="52B5BA17" w14:textId="77777777" w:rsidTr="003869D1">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700FA7CA" w:rsidR="003239B8" w:rsidRPr="00EA07D1" w:rsidRDefault="00E453AD" w:rsidP="008D2290">
            <w:pPr>
              <w:rPr>
                <w:rFonts w:ascii="Cambria" w:hAnsi="Cambria"/>
                <w:bCs/>
                <w:sz w:val="20"/>
                <w:szCs w:val="20"/>
                <w:lang w:val="es-US"/>
              </w:rPr>
            </w:pPr>
            <w:r>
              <w:rPr>
                <w:rFonts w:ascii="Cambria" w:hAnsi="Cambria"/>
                <w:bCs/>
                <w:sz w:val="20"/>
                <w:szCs w:val="20"/>
                <w:lang w:val="es-US"/>
              </w:rPr>
              <w:t>No aplica</w:t>
            </w:r>
          </w:p>
        </w:tc>
      </w:tr>
    </w:tbl>
    <w:p w14:paraId="18E6423B" w14:textId="75BFEA34"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D64573">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5E88B50A" w14:textId="17EBA848" w:rsidR="00EA07D1" w:rsidRPr="00EA07D1" w:rsidRDefault="00EA07D1" w:rsidP="003239B8">
      <w:pPr>
        <w:spacing w:before="240" w:after="240"/>
        <w:ind w:firstLine="720"/>
        <w:jc w:val="both"/>
        <w:rPr>
          <w:rFonts w:asciiTheme="majorHAnsi" w:hAnsiTheme="majorHAnsi"/>
          <w:bCs/>
          <w:i/>
          <w:iCs/>
          <w:sz w:val="20"/>
          <w:szCs w:val="20"/>
          <w:lang w:val="es-UY"/>
        </w:rPr>
      </w:pPr>
      <w:r w:rsidRPr="00EA07D1">
        <w:rPr>
          <w:rFonts w:asciiTheme="majorHAnsi" w:hAnsiTheme="majorHAnsi"/>
          <w:bCs/>
          <w:i/>
          <w:iCs/>
          <w:sz w:val="20"/>
          <w:szCs w:val="20"/>
          <w:lang w:val="es-UY"/>
        </w:rPr>
        <w:t>Alegatos de la parte peticionaria</w:t>
      </w:r>
    </w:p>
    <w:p w14:paraId="0D9D433F" w14:textId="37D74016" w:rsidR="00EA07D1" w:rsidRDefault="00EA07D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denuncia que el señor Miron Bender no tuvo acceso a un recurso que permita la revisión integral de su condena por el delito de violación sexual. Asimismo, afirma que tal decisión no contó con una debida motivación y no respet</w:t>
      </w:r>
      <w:r w:rsidR="00C109EA">
        <w:rPr>
          <w:rFonts w:ascii="Cambria" w:hAnsi="Cambria"/>
          <w:sz w:val="20"/>
          <w:szCs w:val="20"/>
          <w:lang w:val="es-AR"/>
        </w:rPr>
        <w:t>ó</w:t>
      </w:r>
      <w:r>
        <w:rPr>
          <w:rFonts w:ascii="Cambria" w:hAnsi="Cambria"/>
          <w:sz w:val="20"/>
          <w:szCs w:val="20"/>
          <w:lang w:val="es-AR"/>
        </w:rPr>
        <w:t xml:space="preserve"> sus derechos a la defensa y a la asistencia consular. </w:t>
      </w:r>
    </w:p>
    <w:p w14:paraId="2381859B" w14:textId="5CBAD05D" w:rsidR="00EA07D1" w:rsidRDefault="002B210A" w:rsidP="00EA07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peticionario a</w:t>
      </w:r>
      <w:r w:rsidR="002E4819">
        <w:rPr>
          <w:rFonts w:ascii="Cambria" w:hAnsi="Cambria"/>
          <w:sz w:val="20"/>
          <w:szCs w:val="20"/>
          <w:lang w:val="es-AR"/>
        </w:rPr>
        <w:t>firma que</w:t>
      </w:r>
      <w:r w:rsidR="00955980">
        <w:rPr>
          <w:rFonts w:ascii="Cambria" w:hAnsi="Cambria"/>
          <w:sz w:val="20"/>
          <w:szCs w:val="20"/>
          <w:lang w:val="es-AR"/>
        </w:rPr>
        <w:t xml:space="preserve"> el 25 de julio de 2005</w:t>
      </w:r>
      <w:r w:rsidR="002E4819">
        <w:rPr>
          <w:rFonts w:ascii="Cambria" w:hAnsi="Cambria"/>
          <w:sz w:val="20"/>
          <w:szCs w:val="20"/>
          <w:lang w:val="es-AR"/>
        </w:rPr>
        <w:t xml:space="preserve"> integrantes la Policía Nacional detuvieron a la presunta víctima, de nacionalidad estadounidense, al considerar que </w:t>
      </w:r>
      <w:r w:rsidR="002E4819" w:rsidRPr="00EA07D1">
        <w:rPr>
          <w:rFonts w:ascii="Cambria" w:hAnsi="Cambria"/>
          <w:sz w:val="20"/>
          <w:szCs w:val="20"/>
          <w:lang w:val="es-AR"/>
        </w:rPr>
        <w:t>era autor del delito de violación sexual</w:t>
      </w:r>
      <w:r w:rsidR="00EA07D1">
        <w:rPr>
          <w:rFonts w:ascii="Cambria" w:hAnsi="Cambria"/>
          <w:sz w:val="20"/>
          <w:szCs w:val="20"/>
          <w:lang w:val="es-AR"/>
        </w:rPr>
        <w:t>.</w:t>
      </w:r>
      <w:r w:rsidR="002E4819" w:rsidRPr="00EA07D1">
        <w:rPr>
          <w:rFonts w:ascii="Cambria" w:hAnsi="Cambria"/>
          <w:sz w:val="20"/>
          <w:szCs w:val="20"/>
          <w:lang w:val="es-AR"/>
        </w:rPr>
        <w:t xml:space="preserve"> </w:t>
      </w:r>
      <w:r w:rsidR="00EA07D1">
        <w:rPr>
          <w:rFonts w:ascii="Cambria" w:hAnsi="Cambria"/>
          <w:sz w:val="20"/>
          <w:szCs w:val="20"/>
          <w:lang w:val="es-AR"/>
        </w:rPr>
        <w:t>En razón a ello, tras la realización de una investigación y proceso penal, e</w:t>
      </w:r>
      <w:r w:rsidR="002E4819" w:rsidRPr="00EA07D1">
        <w:rPr>
          <w:rFonts w:ascii="Cambria" w:hAnsi="Cambria"/>
          <w:sz w:val="20"/>
          <w:szCs w:val="20"/>
          <w:lang w:val="es-AR"/>
        </w:rPr>
        <w:t xml:space="preserve">l </w:t>
      </w:r>
      <w:r w:rsidR="0077179E" w:rsidRPr="00EA07D1">
        <w:rPr>
          <w:rFonts w:ascii="Cambria" w:hAnsi="Cambria"/>
          <w:sz w:val="20"/>
          <w:szCs w:val="20"/>
          <w:lang w:val="es-AR"/>
        </w:rPr>
        <w:t>18</w:t>
      </w:r>
      <w:r w:rsidR="002E4819" w:rsidRPr="00EA07D1">
        <w:rPr>
          <w:rFonts w:ascii="Cambria" w:hAnsi="Cambria"/>
          <w:sz w:val="20"/>
          <w:szCs w:val="20"/>
          <w:lang w:val="es-AR"/>
        </w:rPr>
        <w:t xml:space="preserve"> de </w:t>
      </w:r>
      <w:r w:rsidR="0077179E" w:rsidRPr="00EA07D1">
        <w:rPr>
          <w:rFonts w:ascii="Cambria" w:hAnsi="Cambria"/>
          <w:sz w:val="20"/>
          <w:szCs w:val="20"/>
          <w:lang w:val="es-AR"/>
        </w:rPr>
        <w:t>mayo</w:t>
      </w:r>
      <w:r w:rsidR="002E4819" w:rsidRPr="00EA07D1">
        <w:rPr>
          <w:rFonts w:ascii="Cambria" w:hAnsi="Cambria"/>
          <w:sz w:val="20"/>
          <w:szCs w:val="20"/>
          <w:lang w:val="es-AR"/>
        </w:rPr>
        <w:t xml:space="preserve"> de 200</w:t>
      </w:r>
      <w:r w:rsidR="00565232" w:rsidRPr="00EA07D1">
        <w:rPr>
          <w:rFonts w:ascii="Cambria" w:hAnsi="Cambria"/>
          <w:sz w:val="20"/>
          <w:szCs w:val="20"/>
          <w:lang w:val="es-AR"/>
        </w:rPr>
        <w:t>6</w:t>
      </w:r>
      <w:r w:rsidR="002E4819" w:rsidRPr="00EA07D1">
        <w:rPr>
          <w:rFonts w:ascii="Cambria" w:hAnsi="Cambria"/>
          <w:sz w:val="20"/>
          <w:szCs w:val="20"/>
          <w:lang w:val="es-AR"/>
        </w:rPr>
        <w:t xml:space="preserve"> el Tribunal </w:t>
      </w:r>
      <w:r w:rsidR="002E4819" w:rsidRPr="00EA07D1">
        <w:rPr>
          <w:rFonts w:ascii="Cambria" w:hAnsi="Cambria"/>
          <w:sz w:val="20"/>
          <w:szCs w:val="20"/>
          <w:lang w:val="es-AR"/>
        </w:rPr>
        <w:lastRenderedPageBreak/>
        <w:t>Penal del Golfito condenó al señor Miron Bender a treinta años de pena privativa de libertad</w:t>
      </w:r>
      <w:r w:rsidR="004D3EC1" w:rsidRPr="00EA07D1">
        <w:rPr>
          <w:rFonts w:ascii="Cambria" w:hAnsi="Cambria"/>
          <w:sz w:val="20"/>
          <w:szCs w:val="20"/>
          <w:lang w:val="es-AR"/>
        </w:rPr>
        <w:t xml:space="preserve">, al considerar que cometió </w:t>
      </w:r>
      <w:r w:rsidR="00EA07D1">
        <w:rPr>
          <w:rFonts w:ascii="Cambria" w:hAnsi="Cambria"/>
          <w:sz w:val="20"/>
          <w:szCs w:val="20"/>
          <w:lang w:val="es-AR"/>
        </w:rPr>
        <w:t>en tres</w:t>
      </w:r>
      <w:r w:rsidR="004D3EC1" w:rsidRPr="00EA07D1">
        <w:rPr>
          <w:rFonts w:ascii="Cambria" w:hAnsi="Cambria"/>
          <w:sz w:val="20"/>
          <w:szCs w:val="20"/>
          <w:lang w:val="es-AR"/>
        </w:rPr>
        <w:t xml:space="preserve"> oportunidades </w:t>
      </w:r>
      <w:r w:rsidR="002E4819" w:rsidRPr="00EA07D1">
        <w:rPr>
          <w:rFonts w:ascii="Cambria" w:hAnsi="Cambria"/>
          <w:sz w:val="20"/>
          <w:szCs w:val="20"/>
          <w:lang w:val="es-AR"/>
        </w:rPr>
        <w:t xml:space="preserve">el delito de </w:t>
      </w:r>
      <w:r w:rsidR="00955980" w:rsidRPr="00EA07D1">
        <w:rPr>
          <w:rFonts w:ascii="Cambria" w:hAnsi="Cambria"/>
          <w:sz w:val="20"/>
          <w:szCs w:val="20"/>
          <w:lang w:val="es-AR"/>
        </w:rPr>
        <w:t>violación sexual</w:t>
      </w:r>
      <w:r w:rsidR="004D3EC1" w:rsidRPr="00EA07D1">
        <w:rPr>
          <w:rFonts w:ascii="Cambria" w:hAnsi="Cambria"/>
          <w:sz w:val="20"/>
          <w:szCs w:val="20"/>
          <w:lang w:val="es-AR"/>
        </w:rPr>
        <w:t xml:space="preserve"> contra la misma </w:t>
      </w:r>
      <w:r w:rsidR="00D64573" w:rsidRPr="00EA07D1">
        <w:rPr>
          <w:rFonts w:ascii="Cambria" w:hAnsi="Cambria"/>
          <w:sz w:val="20"/>
          <w:szCs w:val="20"/>
          <w:lang w:val="es-AR"/>
        </w:rPr>
        <w:t>víctima</w:t>
      </w:r>
      <w:r w:rsidR="002E4819" w:rsidRPr="00EA07D1">
        <w:rPr>
          <w:rFonts w:ascii="Cambria" w:hAnsi="Cambria"/>
          <w:sz w:val="20"/>
          <w:szCs w:val="20"/>
          <w:lang w:val="es-AR"/>
        </w:rPr>
        <w:t xml:space="preserve">. Arguye que </w:t>
      </w:r>
      <w:r w:rsidR="009E7843" w:rsidRPr="00EA07D1">
        <w:rPr>
          <w:rFonts w:ascii="Cambria" w:hAnsi="Cambria"/>
          <w:sz w:val="20"/>
          <w:szCs w:val="20"/>
          <w:lang w:val="es-AR"/>
        </w:rPr>
        <w:t xml:space="preserve">la representación de la presunta víctima interpuso </w:t>
      </w:r>
      <w:r w:rsidR="00AB17B0">
        <w:rPr>
          <w:rFonts w:ascii="Cambria" w:hAnsi="Cambria"/>
          <w:sz w:val="20"/>
          <w:szCs w:val="20"/>
          <w:lang w:val="es-AR"/>
        </w:rPr>
        <w:t xml:space="preserve">un </w:t>
      </w:r>
      <w:r w:rsidR="009E7843" w:rsidRPr="00EA07D1">
        <w:rPr>
          <w:rFonts w:ascii="Cambria" w:hAnsi="Cambria"/>
          <w:sz w:val="20"/>
          <w:szCs w:val="20"/>
          <w:lang w:val="es-AR"/>
        </w:rPr>
        <w:t>recurso de casación</w:t>
      </w:r>
      <w:r w:rsidR="00AB17B0">
        <w:rPr>
          <w:rFonts w:ascii="Cambria" w:hAnsi="Cambria"/>
          <w:sz w:val="20"/>
          <w:szCs w:val="20"/>
          <w:lang w:val="es-AR"/>
        </w:rPr>
        <w:t xml:space="preserve"> contra esta decisión</w:t>
      </w:r>
      <w:r w:rsidR="00955980" w:rsidRPr="00EA07D1">
        <w:rPr>
          <w:rFonts w:ascii="Cambria" w:hAnsi="Cambria"/>
          <w:sz w:val="20"/>
          <w:szCs w:val="20"/>
          <w:lang w:val="es-AR"/>
        </w:rPr>
        <w:t>, cuestionando cuestiones de hecho y derecho</w:t>
      </w:r>
      <w:r w:rsidR="00EA07D1">
        <w:rPr>
          <w:rFonts w:ascii="Cambria" w:hAnsi="Cambria"/>
          <w:sz w:val="20"/>
          <w:szCs w:val="20"/>
          <w:lang w:val="es-AR"/>
        </w:rPr>
        <w:t xml:space="preserve"> del fallo, pero el 29 de junio de 2007 la Tercera Sala Penal de la Corte Suprema de Justicia </w:t>
      </w:r>
      <w:r w:rsidR="009E7843" w:rsidRPr="00EA07D1">
        <w:rPr>
          <w:rFonts w:ascii="Cambria" w:hAnsi="Cambria"/>
          <w:sz w:val="20"/>
          <w:szCs w:val="20"/>
          <w:lang w:val="es-AR"/>
        </w:rPr>
        <w:t>confirmó la sentencia</w:t>
      </w:r>
      <w:r w:rsidR="00955980" w:rsidRPr="00EA07D1">
        <w:rPr>
          <w:rFonts w:ascii="Cambria" w:hAnsi="Cambria"/>
          <w:sz w:val="20"/>
          <w:szCs w:val="20"/>
          <w:lang w:val="es-AR"/>
        </w:rPr>
        <w:t xml:space="preserve"> </w:t>
      </w:r>
      <w:r w:rsidR="0077179E" w:rsidRPr="00EA07D1">
        <w:rPr>
          <w:rFonts w:ascii="Cambria" w:hAnsi="Cambria"/>
          <w:sz w:val="20"/>
          <w:szCs w:val="20"/>
          <w:lang w:val="es-AR"/>
        </w:rPr>
        <w:t>condenatoria</w:t>
      </w:r>
      <w:r w:rsidR="009E7843" w:rsidRPr="00EA07D1">
        <w:rPr>
          <w:rFonts w:ascii="Cambria" w:hAnsi="Cambria"/>
          <w:sz w:val="20"/>
          <w:szCs w:val="20"/>
          <w:lang w:val="es-AR"/>
        </w:rPr>
        <w:t>.</w:t>
      </w:r>
    </w:p>
    <w:p w14:paraId="3DE92B22" w14:textId="2148BB37" w:rsidR="0077179E" w:rsidRPr="00EA07D1" w:rsidRDefault="009E7843" w:rsidP="00EA07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07D1">
        <w:rPr>
          <w:rFonts w:ascii="Cambria" w:hAnsi="Cambria"/>
          <w:sz w:val="20"/>
          <w:szCs w:val="20"/>
          <w:lang w:val="es-AR"/>
        </w:rPr>
        <w:t>Afirma que con esta</w:t>
      </w:r>
      <w:r w:rsidR="00EA07D1">
        <w:rPr>
          <w:rFonts w:ascii="Cambria" w:hAnsi="Cambria"/>
          <w:sz w:val="20"/>
          <w:szCs w:val="20"/>
          <w:lang w:val="es-AR"/>
        </w:rPr>
        <w:t xml:space="preserve"> última</w:t>
      </w:r>
      <w:r w:rsidRPr="00EA07D1">
        <w:rPr>
          <w:rFonts w:ascii="Cambria" w:hAnsi="Cambria"/>
          <w:sz w:val="20"/>
          <w:szCs w:val="20"/>
          <w:lang w:val="es-AR"/>
        </w:rPr>
        <w:t xml:space="preserve"> decisión quedaron agotados todos los recursos internos, dejando al señor Miron Bender sin posibilidades para recurrir </w:t>
      </w:r>
      <w:r w:rsidR="00AB17B0">
        <w:rPr>
          <w:rFonts w:ascii="Cambria" w:hAnsi="Cambria"/>
          <w:sz w:val="20"/>
          <w:szCs w:val="20"/>
          <w:lang w:val="es-AR"/>
        </w:rPr>
        <w:t xml:space="preserve">de forma integral </w:t>
      </w:r>
      <w:r w:rsidRPr="00EA07D1">
        <w:rPr>
          <w:rFonts w:ascii="Cambria" w:hAnsi="Cambria"/>
          <w:sz w:val="20"/>
          <w:szCs w:val="20"/>
          <w:lang w:val="es-AR"/>
        </w:rPr>
        <w:t>su sentencia condenatoria.</w:t>
      </w:r>
      <w:r w:rsidR="001B06E2" w:rsidRPr="00EA07D1">
        <w:rPr>
          <w:rFonts w:ascii="Cambria" w:hAnsi="Cambria"/>
          <w:sz w:val="20"/>
          <w:szCs w:val="20"/>
          <w:lang w:val="es-AR"/>
        </w:rPr>
        <w:t xml:space="preserve"> </w:t>
      </w:r>
      <w:r w:rsidR="0077179E" w:rsidRPr="00EA07D1">
        <w:rPr>
          <w:rFonts w:ascii="Cambria" w:hAnsi="Cambria"/>
          <w:sz w:val="20"/>
          <w:szCs w:val="20"/>
          <w:lang w:val="es-AR"/>
        </w:rPr>
        <w:t>Sin perjuicio de ello, manifiesta que la defensa del señor Miron Bender presentó un recurso de revisión</w:t>
      </w:r>
      <w:r w:rsidR="001B06E2" w:rsidRPr="00EA07D1">
        <w:rPr>
          <w:rFonts w:ascii="Cambria" w:hAnsi="Cambria"/>
          <w:sz w:val="20"/>
          <w:szCs w:val="20"/>
          <w:lang w:val="es-AR"/>
        </w:rPr>
        <w:t xml:space="preserve">, pero sostiene que las autoridades rechazaron tal acción, al considerar que no se cumplían los supuestos establecidos en la normativa interna para su procedencia. </w:t>
      </w:r>
    </w:p>
    <w:p w14:paraId="6903A300" w14:textId="5A8DACD7" w:rsidR="009E7843" w:rsidRPr="004D3EC1" w:rsidRDefault="009E7843" w:rsidP="004D3E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Con base en estas consideraciones de hecho, la parte peticionaria denuncia que el Estado vulneró el derecho a recurrir el fallo condenatorio establecido en el artículo 8.2.h) de la Convención, toda vez que en Costa Rica no existe un recurso ordinario para cuestionar una sentencia condenatoria de primera instancia</w:t>
      </w:r>
      <w:r w:rsidR="00C86AC3">
        <w:rPr>
          <w:rFonts w:ascii="Cambria" w:hAnsi="Cambria"/>
          <w:sz w:val="20"/>
          <w:szCs w:val="20"/>
          <w:lang w:val="es-AR"/>
        </w:rPr>
        <w:t>;</w:t>
      </w:r>
      <w:r>
        <w:rPr>
          <w:rFonts w:ascii="Cambria" w:hAnsi="Cambria"/>
          <w:sz w:val="20"/>
          <w:szCs w:val="20"/>
          <w:lang w:val="es-AR"/>
        </w:rPr>
        <w:t xml:space="preserve"> y, producto de ello, la presunta víctima tuvo que interponer directamente un recurso de casación.</w:t>
      </w:r>
      <w:r w:rsidR="00955980">
        <w:rPr>
          <w:rFonts w:ascii="Cambria" w:hAnsi="Cambria"/>
          <w:sz w:val="20"/>
          <w:szCs w:val="20"/>
          <w:lang w:val="es-AR"/>
        </w:rPr>
        <w:t xml:space="preserve"> Asimismo, </w:t>
      </w:r>
      <w:r w:rsidR="006C07D4">
        <w:rPr>
          <w:rFonts w:ascii="Cambria" w:hAnsi="Cambria"/>
          <w:sz w:val="20"/>
          <w:szCs w:val="20"/>
          <w:lang w:val="es-AR"/>
        </w:rPr>
        <w:t>aduce</w:t>
      </w:r>
      <w:r w:rsidR="00955980">
        <w:rPr>
          <w:rFonts w:ascii="Cambria" w:hAnsi="Cambria"/>
          <w:sz w:val="20"/>
          <w:szCs w:val="20"/>
          <w:lang w:val="es-AR"/>
        </w:rPr>
        <w:t xml:space="preserve"> que se afectó su derecho a la defensa, </w:t>
      </w:r>
      <w:r w:rsidR="003E3CB7">
        <w:rPr>
          <w:rFonts w:ascii="Cambria" w:hAnsi="Cambria"/>
          <w:sz w:val="20"/>
          <w:szCs w:val="20"/>
          <w:lang w:val="es-AR"/>
        </w:rPr>
        <w:t>pues</w:t>
      </w:r>
      <w:r w:rsidR="00955980">
        <w:rPr>
          <w:rFonts w:ascii="Cambria" w:hAnsi="Cambria"/>
          <w:sz w:val="20"/>
          <w:szCs w:val="20"/>
          <w:lang w:val="es-AR"/>
        </w:rPr>
        <w:t xml:space="preserve"> a la denunciante se le permitió brindar su testimonio mediante video conferencia, a pesar de que la legislación interna no contempla tal posibilidad, y que su declaración resultó ambigua, no siendo suficiente para condenar al señor Miron Bender.</w:t>
      </w:r>
      <w:r w:rsidR="004D3EC1">
        <w:rPr>
          <w:rFonts w:ascii="Cambria" w:hAnsi="Cambria"/>
          <w:sz w:val="20"/>
          <w:szCs w:val="20"/>
          <w:lang w:val="es-AR"/>
        </w:rPr>
        <w:t xml:space="preserve"> En sentido similar, señala que se afectó el principio de proporcionalidad de la pena, pues las autoridades impusieron una sanción equiparable al homicidio en sede interna. </w:t>
      </w:r>
      <w:r w:rsidR="001B06E2" w:rsidRPr="004D3EC1">
        <w:rPr>
          <w:rFonts w:ascii="Cambria" w:hAnsi="Cambria"/>
          <w:sz w:val="20"/>
          <w:szCs w:val="20"/>
          <w:lang w:val="es-AR"/>
        </w:rPr>
        <w:t xml:space="preserve">Finalmente, sin brindar muchos detalles, </w:t>
      </w:r>
      <w:r w:rsidR="00571C1E">
        <w:rPr>
          <w:rFonts w:ascii="Cambria" w:hAnsi="Cambria"/>
          <w:sz w:val="20"/>
          <w:szCs w:val="20"/>
          <w:lang w:val="es-AR"/>
        </w:rPr>
        <w:t>menciona</w:t>
      </w:r>
      <w:r w:rsidR="001B06E2" w:rsidRPr="004D3EC1">
        <w:rPr>
          <w:rFonts w:ascii="Cambria" w:hAnsi="Cambria"/>
          <w:sz w:val="20"/>
          <w:szCs w:val="20"/>
          <w:lang w:val="es-AR"/>
        </w:rPr>
        <w:t xml:space="preserve"> que se vulneró el derecho a la asistencia consular</w:t>
      </w:r>
      <w:r w:rsidR="004D3EC1" w:rsidRPr="004D3EC1">
        <w:rPr>
          <w:rFonts w:ascii="Cambria" w:hAnsi="Cambria"/>
          <w:sz w:val="20"/>
          <w:szCs w:val="20"/>
          <w:lang w:val="es-AR"/>
        </w:rPr>
        <w:t xml:space="preserve">. </w:t>
      </w:r>
    </w:p>
    <w:p w14:paraId="6F845F09" w14:textId="61824EC3" w:rsidR="00402BE9" w:rsidRPr="00F47D05" w:rsidRDefault="00F47D05" w:rsidP="00F47D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F47D05">
        <w:rPr>
          <w:rFonts w:ascii="Cambria" w:hAnsi="Cambria"/>
          <w:i/>
          <w:iCs/>
          <w:sz w:val="20"/>
          <w:szCs w:val="20"/>
          <w:lang w:val="es-AR"/>
        </w:rPr>
        <w:t>Alegatos del Estado</w:t>
      </w:r>
      <w:r w:rsidR="00571C1E">
        <w:rPr>
          <w:rFonts w:ascii="Cambria" w:hAnsi="Cambria"/>
          <w:i/>
          <w:iCs/>
          <w:sz w:val="20"/>
          <w:szCs w:val="20"/>
          <w:lang w:val="es-AR"/>
        </w:rPr>
        <w:t xml:space="preserve"> costa</w:t>
      </w:r>
      <w:r w:rsidR="00ED634D">
        <w:rPr>
          <w:rFonts w:ascii="Cambria" w:hAnsi="Cambria"/>
          <w:i/>
          <w:iCs/>
          <w:sz w:val="20"/>
          <w:szCs w:val="20"/>
          <w:lang w:val="es-AR"/>
        </w:rPr>
        <w:t>r</w:t>
      </w:r>
      <w:r w:rsidR="00571C1E">
        <w:rPr>
          <w:rFonts w:ascii="Cambria" w:hAnsi="Cambria"/>
          <w:i/>
          <w:iCs/>
          <w:sz w:val="20"/>
          <w:szCs w:val="20"/>
          <w:lang w:val="es-AR"/>
        </w:rPr>
        <w:t>ricense</w:t>
      </w:r>
    </w:p>
    <w:p w14:paraId="12F38343" w14:textId="2C269820" w:rsidR="00E00E53" w:rsidRDefault="00F47D0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Estado, por su parte, replica que la petición es inadmisible por falta de agotamiento de la jurisdicción doméstica. Afirma que el señor Mirón Bender no cumplió con agotar las vías internas antes de interponer su petición, toda vez que no utilizó el recurso de revisión ordinario </w:t>
      </w:r>
      <w:r w:rsidR="000C4C15">
        <w:rPr>
          <w:rFonts w:ascii="Cambria" w:hAnsi="Cambria"/>
          <w:sz w:val="20"/>
          <w:szCs w:val="20"/>
          <w:lang w:val="es-AR"/>
        </w:rPr>
        <w:t>ni</w:t>
      </w:r>
      <w:r>
        <w:rPr>
          <w:rFonts w:ascii="Cambria" w:hAnsi="Cambria"/>
          <w:sz w:val="20"/>
          <w:szCs w:val="20"/>
          <w:lang w:val="es-AR"/>
        </w:rPr>
        <w:t xml:space="preserve"> los mecanismos especiales de revisión </w:t>
      </w:r>
      <w:r w:rsidR="00ED634D">
        <w:rPr>
          <w:rFonts w:ascii="Cambria" w:hAnsi="Cambria"/>
          <w:sz w:val="20"/>
          <w:szCs w:val="20"/>
          <w:lang w:val="es-AR"/>
        </w:rPr>
        <w:t>creados</w:t>
      </w:r>
      <w:r>
        <w:rPr>
          <w:rFonts w:ascii="Cambria" w:hAnsi="Cambria"/>
          <w:sz w:val="20"/>
          <w:szCs w:val="20"/>
          <w:lang w:val="es-AR"/>
        </w:rPr>
        <w:t xml:space="preserve"> a partir de </w:t>
      </w:r>
      <w:r w:rsidR="009020F8">
        <w:rPr>
          <w:rFonts w:ascii="Cambria" w:hAnsi="Cambria"/>
          <w:sz w:val="20"/>
          <w:szCs w:val="20"/>
          <w:lang w:val="es-AR"/>
        </w:rPr>
        <w:t xml:space="preserve">las </w:t>
      </w:r>
      <w:r>
        <w:rPr>
          <w:rFonts w:ascii="Cambria" w:hAnsi="Cambria"/>
          <w:sz w:val="20"/>
          <w:szCs w:val="20"/>
          <w:lang w:val="es-AR"/>
        </w:rPr>
        <w:t>reforma</w:t>
      </w:r>
      <w:r w:rsidR="009020F8">
        <w:rPr>
          <w:rFonts w:ascii="Cambria" w:hAnsi="Cambria"/>
          <w:sz w:val="20"/>
          <w:szCs w:val="20"/>
          <w:lang w:val="es-AR"/>
        </w:rPr>
        <w:t>s</w:t>
      </w:r>
      <w:r>
        <w:rPr>
          <w:rFonts w:ascii="Cambria" w:hAnsi="Cambria"/>
          <w:sz w:val="20"/>
          <w:szCs w:val="20"/>
          <w:lang w:val="es-AR"/>
        </w:rPr>
        <w:t xml:space="preserve"> procesales</w:t>
      </w:r>
      <w:r w:rsidR="009020F8">
        <w:rPr>
          <w:rFonts w:ascii="Cambria" w:hAnsi="Cambria"/>
          <w:sz w:val="20"/>
          <w:szCs w:val="20"/>
          <w:lang w:val="es-AR"/>
        </w:rPr>
        <w:t xml:space="preserve"> realizadas en favor de las</w:t>
      </w:r>
      <w:r>
        <w:rPr>
          <w:rFonts w:ascii="Cambria" w:hAnsi="Cambria"/>
          <w:sz w:val="20"/>
          <w:szCs w:val="20"/>
          <w:lang w:val="es-AR"/>
        </w:rPr>
        <w:t xml:space="preserve"> personas con sentencia firme. </w:t>
      </w:r>
    </w:p>
    <w:p w14:paraId="7E966E1F" w14:textId="20DDD2AD" w:rsidR="00445C2D" w:rsidRDefault="00F47D0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Respecto al primer recurso, detalla que recién el 26 de abril de 2016, es decir, ocho años y cinco meses después de presentar este reclamo, la presunta víctima interpuso el procedimiento de revisión de sentencia ante la Sala Tercera de la Corte Suprema de Justicia, la cual el 10 de junio de 2016 declaró inadmisible tal recurso. </w:t>
      </w:r>
    </w:p>
    <w:p w14:paraId="68738A59" w14:textId="0D518287" w:rsidR="00026103" w:rsidRPr="00F42786" w:rsidRDefault="00026103" w:rsidP="00F427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relación con los mecanismos especiales de revisión, destaca que la presunta víctima no utilizó dicha</w:t>
      </w:r>
      <w:r w:rsidR="00371A41">
        <w:rPr>
          <w:rFonts w:ascii="Cambria" w:hAnsi="Cambria"/>
          <w:sz w:val="20"/>
          <w:szCs w:val="20"/>
          <w:lang w:val="es-AR"/>
        </w:rPr>
        <w:t>s</w:t>
      </w:r>
      <w:r>
        <w:rPr>
          <w:rFonts w:ascii="Cambria" w:hAnsi="Cambria"/>
          <w:sz w:val="20"/>
          <w:szCs w:val="20"/>
          <w:lang w:val="es-AR"/>
        </w:rPr>
        <w:t xml:space="preserve"> vía</w:t>
      </w:r>
      <w:r w:rsidR="00371A41">
        <w:rPr>
          <w:rFonts w:ascii="Cambria" w:hAnsi="Cambria"/>
          <w:sz w:val="20"/>
          <w:szCs w:val="20"/>
          <w:lang w:val="es-AR"/>
        </w:rPr>
        <w:t>s</w:t>
      </w:r>
      <w:r>
        <w:rPr>
          <w:rFonts w:ascii="Cambria" w:hAnsi="Cambria"/>
          <w:sz w:val="20"/>
          <w:szCs w:val="20"/>
          <w:lang w:val="es-AR"/>
        </w:rPr>
        <w:t>, a pesar de que est</w:t>
      </w:r>
      <w:r w:rsidR="00371A41">
        <w:rPr>
          <w:rFonts w:ascii="Cambria" w:hAnsi="Cambria"/>
          <w:sz w:val="20"/>
          <w:szCs w:val="20"/>
          <w:lang w:val="es-AR"/>
        </w:rPr>
        <w:t>án</w:t>
      </w:r>
      <w:r>
        <w:rPr>
          <w:rFonts w:ascii="Cambria" w:hAnsi="Cambria"/>
          <w:sz w:val="20"/>
          <w:szCs w:val="20"/>
          <w:lang w:val="es-AR"/>
        </w:rPr>
        <w:t xml:space="preserve"> ideada</w:t>
      </w:r>
      <w:r w:rsidR="00371A41">
        <w:rPr>
          <w:rFonts w:ascii="Cambria" w:hAnsi="Cambria"/>
          <w:sz w:val="20"/>
          <w:szCs w:val="20"/>
          <w:lang w:val="es-AR"/>
        </w:rPr>
        <w:t>s</w:t>
      </w:r>
      <w:r>
        <w:rPr>
          <w:rFonts w:ascii="Cambria" w:hAnsi="Cambria"/>
          <w:sz w:val="20"/>
          <w:szCs w:val="20"/>
          <w:lang w:val="es-AR"/>
        </w:rPr>
        <w:t xml:space="preserve"> precisamente para aquellas personas con sentencias condenatorias en firme</w:t>
      </w:r>
      <w:r w:rsidR="00DC18BD">
        <w:rPr>
          <w:rFonts w:ascii="Cambria" w:hAnsi="Cambria"/>
          <w:sz w:val="20"/>
          <w:szCs w:val="20"/>
          <w:lang w:val="es-AR"/>
        </w:rPr>
        <w:t xml:space="preserve">, </w:t>
      </w:r>
      <w:r>
        <w:rPr>
          <w:rFonts w:ascii="Cambria" w:hAnsi="Cambria"/>
          <w:sz w:val="20"/>
          <w:szCs w:val="20"/>
          <w:lang w:val="es-AR"/>
        </w:rPr>
        <w:t xml:space="preserve">que consideran vulnerado su derecho a recurrir su fallo condenatorio de conformidad con el artículo 8.2.h) de la Convención. En esa línea, el Estado manifiesta que al momento en que se le notificó de esta petición, el señor Mirón Bender, </w:t>
      </w:r>
      <w:r w:rsidR="003F41D6">
        <w:rPr>
          <w:rFonts w:ascii="Cambria" w:hAnsi="Cambria"/>
          <w:sz w:val="20"/>
          <w:szCs w:val="20"/>
          <w:lang w:val="es-AR"/>
        </w:rPr>
        <w:t xml:space="preserve">tuvo </w:t>
      </w:r>
      <w:r>
        <w:rPr>
          <w:rFonts w:ascii="Cambria" w:hAnsi="Cambria"/>
          <w:sz w:val="20"/>
          <w:szCs w:val="20"/>
          <w:lang w:val="es-AR"/>
        </w:rPr>
        <w:t>entre los años 2006 y 2010</w:t>
      </w:r>
      <w:r w:rsidR="003F41D6">
        <w:rPr>
          <w:rFonts w:ascii="Cambria" w:hAnsi="Cambria"/>
          <w:sz w:val="20"/>
          <w:szCs w:val="20"/>
          <w:lang w:val="es-AR"/>
        </w:rPr>
        <w:t xml:space="preserve"> </w:t>
      </w:r>
      <w:r>
        <w:rPr>
          <w:rFonts w:ascii="Cambria" w:hAnsi="Cambria"/>
          <w:sz w:val="20"/>
          <w:szCs w:val="20"/>
          <w:lang w:val="es-AR"/>
        </w:rPr>
        <w:t xml:space="preserve">la oportunidad de interponer el procedimiento </w:t>
      </w:r>
      <w:r w:rsidR="00371A41">
        <w:rPr>
          <w:rFonts w:ascii="Cambria" w:hAnsi="Cambria"/>
          <w:sz w:val="20"/>
          <w:szCs w:val="20"/>
          <w:lang w:val="es-AR"/>
        </w:rPr>
        <w:t>establecido en las</w:t>
      </w:r>
      <w:r>
        <w:rPr>
          <w:rFonts w:ascii="Cambria" w:hAnsi="Cambria"/>
          <w:sz w:val="20"/>
          <w:szCs w:val="20"/>
          <w:lang w:val="es-AR"/>
        </w:rPr>
        <w:t xml:space="preserve"> disposiciones transitorias de la Ley N</w:t>
      </w:r>
      <w:r w:rsidRPr="00026103">
        <w:rPr>
          <w:rFonts w:ascii="Cambria" w:hAnsi="Cambria"/>
          <w:sz w:val="20"/>
          <w:szCs w:val="20"/>
          <w:lang w:val="es-AR"/>
        </w:rPr>
        <w:t>.º</w:t>
      </w:r>
      <w:r>
        <w:rPr>
          <w:rFonts w:ascii="Cambria" w:hAnsi="Cambria"/>
          <w:sz w:val="20"/>
          <w:szCs w:val="20"/>
          <w:lang w:val="es-AR"/>
        </w:rPr>
        <w:t xml:space="preserve"> 8503</w:t>
      </w:r>
      <w:r w:rsidR="002D3BB2">
        <w:rPr>
          <w:rStyle w:val="FootnoteReference"/>
          <w:rFonts w:ascii="Cambria" w:hAnsi="Cambria"/>
          <w:sz w:val="20"/>
          <w:szCs w:val="20"/>
          <w:lang w:val="es-AR"/>
        </w:rPr>
        <w:footnoteReference w:id="4"/>
      </w:r>
      <w:r w:rsidR="00464713">
        <w:rPr>
          <w:rFonts w:ascii="Cambria" w:hAnsi="Cambria"/>
          <w:sz w:val="20"/>
          <w:szCs w:val="20"/>
          <w:lang w:val="es-AR"/>
        </w:rPr>
        <w:t>,</w:t>
      </w:r>
      <w:r w:rsidR="00371A41">
        <w:rPr>
          <w:rFonts w:ascii="Cambria" w:hAnsi="Cambria"/>
          <w:sz w:val="20"/>
          <w:szCs w:val="20"/>
          <w:lang w:val="es-AR"/>
        </w:rPr>
        <w:t xml:space="preserve"> y en su defecto, posteriormente podía </w:t>
      </w:r>
      <w:r w:rsidR="00F42786">
        <w:rPr>
          <w:rFonts w:ascii="Cambria" w:hAnsi="Cambria"/>
          <w:sz w:val="20"/>
          <w:szCs w:val="20"/>
          <w:lang w:val="es-AR"/>
        </w:rPr>
        <w:t>utilizar el mecanismo especial de revisión previsto en el Transitorio III de la Ley</w:t>
      </w:r>
      <w:r w:rsidR="00F42786" w:rsidRPr="00F46822">
        <w:rPr>
          <w:rFonts w:ascii="Cambria" w:hAnsi="Cambria"/>
          <w:sz w:val="20"/>
          <w:szCs w:val="20"/>
          <w:lang w:val="es-AR"/>
        </w:rPr>
        <w:t xml:space="preserve"> </w:t>
      </w:r>
      <w:r w:rsidR="00F42786">
        <w:rPr>
          <w:rFonts w:ascii="Cambria" w:hAnsi="Cambria"/>
          <w:sz w:val="20"/>
          <w:szCs w:val="20"/>
          <w:lang w:val="es-AR"/>
        </w:rPr>
        <w:t>N</w:t>
      </w:r>
      <w:r w:rsidR="00F42786" w:rsidRPr="00026103">
        <w:rPr>
          <w:rFonts w:ascii="Cambria" w:hAnsi="Cambria"/>
          <w:sz w:val="20"/>
          <w:szCs w:val="20"/>
          <w:lang w:val="es-AR"/>
        </w:rPr>
        <w:t>.º</w:t>
      </w:r>
      <w:r w:rsidR="00F42786">
        <w:rPr>
          <w:rFonts w:ascii="Cambria" w:hAnsi="Cambria"/>
          <w:sz w:val="20"/>
          <w:szCs w:val="20"/>
          <w:lang w:val="es-AR"/>
        </w:rPr>
        <w:t xml:space="preserve"> 8837</w:t>
      </w:r>
      <w:r w:rsidR="00F42786">
        <w:rPr>
          <w:rStyle w:val="FootnoteReference"/>
          <w:rFonts w:ascii="Cambria" w:hAnsi="Cambria"/>
          <w:sz w:val="20"/>
          <w:szCs w:val="20"/>
          <w:lang w:val="es-AR"/>
        </w:rPr>
        <w:footnoteReference w:id="5"/>
      </w:r>
      <w:r w:rsidR="002D3BB2" w:rsidRPr="00F42786">
        <w:rPr>
          <w:rFonts w:ascii="Cambria" w:hAnsi="Cambria"/>
          <w:sz w:val="20"/>
          <w:szCs w:val="20"/>
          <w:lang w:val="es-AR"/>
        </w:rPr>
        <w:t xml:space="preserve">. Por ende, </w:t>
      </w:r>
      <w:r w:rsidR="002D3BB2" w:rsidRPr="00F42786">
        <w:rPr>
          <w:rFonts w:ascii="Cambria" w:hAnsi="Cambria"/>
          <w:sz w:val="20"/>
          <w:szCs w:val="20"/>
          <w:lang w:val="es-AR"/>
        </w:rPr>
        <w:lastRenderedPageBreak/>
        <w:t>arguye que el ordenamiento interno disponía opci</w:t>
      </w:r>
      <w:r w:rsidR="00F42786">
        <w:rPr>
          <w:rFonts w:ascii="Cambria" w:hAnsi="Cambria"/>
          <w:sz w:val="20"/>
          <w:szCs w:val="20"/>
          <w:lang w:val="es-AR"/>
        </w:rPr>
        <w:t>ones</w:t>
      </w:r>
      <w:r w:rsidR="002D3BB2" w:rsidRPr="00F42786">
        <w:rPr>
          <w:rFonts w:ascii="Cambria" w:hAnsi="Cambria"/>
          <w:sz w:val="20"/>
          <w:szCs w:val="20"/>
          <w:lang w:val="es-AR"/>
        </w:rPr>
        <w:t xml:space="preserve"> adicional</w:t>
      </w:r>
      <w:r w:rsidR="00F42786">
        <w:rPr>
          <w:rFonts w:ascii="Cambria" w:hAnsi="Cambria"/>
          <w:sz w:val="20"/>
          <w:szCs w:val="20"/>
          <w:lang w:val="es-AR"/>
        </w:rPr>
        <w:t xml:space="preserve">es </w:t>
      </w:r>
      <w:r w:rsidR="002D3BB2" w:rsidRPr="00F42786">
        <w:rPr>
          <w:rFonts w:ascii="Cambria" w:hAnsi="Cambria"/>
          <w:sz w:val="20"/>
          <w:szCs w:val="20"/>
          <w:lang w:val="es-AR"/>
        </w:rPr>
        <w:t xml:space="preserve">para </w:t>
      </w:r>
      <w:r w:rsidR="00F42786">
        <w:rPr>
          <w:rFonts w:ascii="Cambria" w:hAnsi="Cambria"/>
          <w:sz w:val="20"/>
          <w:szCs w:val="20"/>
          <w:lang w:val="es-AR"/>
        </w:rPr>
        <w:t xml:space="preserve">que </w:t>
      </w:r>
      <w:r w:rsidR="004F2715">
        <w:rPr>
          <w:rFonts w:ascii="Cambria" w:hAnsi="Cambria"/>
          <w:sz w:val="20"/>
          <w:szCs w:val="20"/>
          <w:lang w:val="es-AR"/>
        </w:rPr>
        <w:t>el Sr. Miron Bener</w:t>
      </w:r>
      <w:r w:rsidR="002D3BB2" w:rsidRPr="00F42786">
        <w:rPr>
          <w:rFonts w:ascii="Cambria" w:hAnsi="Cambria"/>
          <w:sz w:val="20"/>
          <w:szCs w:val="20"/>
          <w:lang w:val="es-AR"/>
        </w:rPr>
        <w:t xml:space="preserve"> </w:t>
      </w:r>
      <w:r w:rsidR="004F2715">
        <w:rPr>
          <w:rFonts w:ascii="Cambria" w:hAnsi="Cambria"/>
          <w:sz w:val="20"/>
          <w:szCs w:val="20"/>
          <w:lang w:val="es-AR"/>
        </w:rPr>
        <w:t>pudiera</w:t>
      </w:r>
      <w:r w:rsidR="00F42786">
        <w:rPr>
          <w:rFonts w:ascii="Cambria" w:hAnsi="Cambria"/>
          <w:sz w:val="20"/>
          <w:szCs w:val="20"/>
          <w:lang w:val="es-AR"/>
        </w:rPr>
        <w:t xml:space="preserve"> utilizarlas</w:t>
      </w:r>
      <w:r w:rsidR="002D3BB2" w:rsidRPr="00F42786">
        <w:rPr>
          <w:rFonts w:ascii="Cambria" w:hAnsi="Cambria"/>
          <w:sz w:val="20"/>
          <w:szCs w:val="20"/>
          <w:lang w:val="es-AR"/>
        </w:rPr>
        <w:t xml:space="preserve"> en el momento procesal oportuno</w:t>
      </w:r>
      <w:r w:rsidR="008D4CAC">
        <w:rPr>
          <w:rFonts w:ascii="Cambria" w:hAnsi="Cambria"/>
          <w:sz w:val="20"/>
          <w:szCs w:val="20"/>
          <w:lang w:val="es-AR"/>
        </w:rPr>
        <w:t xml:space="preserve">; sin embargo, </w:t>
      </w:r>
      <w:r w:rsidR="004F2715">
        <w:rPr>
          <w:rFonts w:ascii="Cambria" w:hAnsi="Cambria"/>
          <w:sz w:val="20"/>
          <w:szCs w:val="20"/>
          <w:lang w:val="es-AR"/>
        </w:rPr>
        <w:t>no lo hizo</w:t>
      </w:r>
      <w:r w:rsidR="002D3BB2" w:rsidRPr="00F42786">
        <w:rPr>
          <w:rFonts w:ascii="Cambria" w:hAnsi="Cambria"/>
          <w:sz w:val="20"/>
          <w:szCs w:val="20"/>
          <w:lang w:val="es-AR"/>
        </w:rPr>
        <w:t xml:space="preserve">. </w:t>
      </w:r>
    </w:p>
    <w:p w14:paraId="39527623" w14:textId="09437DAA" w:rsidR="004E1539" w:rsidRPr="004F3290" w:rsidRDefault="00E00E53" w:rsidP="004F3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A00EA">
        <w:rPr>
          <w:rFonts w:ascii="Cambria" w:hAnsi="Cambria"/>
          <w:sz w:val="20"/>
          <w:szCs w:val="20"/>
          <w:lang w:val="es-AR"/>
        </w:rPr>
        <w:t xml:space="preserve">Sin perjuicio de ello, el Estado agrega </w:t>
      </w:r>
      <w:r w:rsidR="001D5DD1" w:rsidRPr="00BA00EA">
        <w:rPr>
          <w:rFonts w:ascii="Cambria" w:hAnsi="Cambria"/>
          <w:sz w:val="20"/>
          <w:szCs w:val="20"/>
          <w:lang w:val="es-AR"/>
        </w:rPr>
        <w:t xml:space="preserve">que la parte peticionaria tampoco </w:t>
      </w:r>
      <w:r w:rsidR="00342517">
        <w:rPr>
          <w:rFonts w:ascii="Cambria" w:hAnsi="Cambria"/>
          <w:sz w:val="20"/>
          <w:szCs w:val="20"/>
          <w:lang w:val="es-AR"/>
        </w:rPr>
        <w:t>utilizó adecuadamente</w:t>
      </w:r>
      <w:r w:rsidR="001D5DD1" w:rsidRPr="00BA00EA">
        <w:rPr>
          <w:rFonts w:ascii="Cambria" w:hAnsi="Cambria"/>
          <w:sz w:val="20"/>
          <w:szCs w:val="20"/>
          <w:lang w:val="es-AR"/>
        </w:rPr>
        <w:t xml:space="preserve"> los recursos que tenía a su disposición en la jurisdicción constitucional. </w:t>
      </w:r>
      <w:r w:rsidR="004E1539">
        <w:rPr>
          <w:rFonts w:ascii="Cambria" w:hAnsi="Cambria"/>
          <w:sz w:val="20"/>
          <w:szCs w:val="20"/>
          <w:lang w:val="es-AR"/>
        </w:rPr>
        <w:t xml:space="preserve">Explica que el 31 de octubre de 2008 y el 17 de septiembre el señor Miron Bender presentó dos </w:t>
      </w:r>
      <w:r w:rsidR="008D2040">
        <w:rPr>
          <w:rFonts w:ascii="Cambria" w:hAnsi="Cambria"/>
          <w:sz w:val="20"/>
          <w:szCs w:val="20"/>
          <w:lang w:val="es-AR"/>
        </w:rPr>
        <w:t>acciones</w:t>
      </w:r>
      <w:r w:rsidR="004E1539">
        <w:rPr>
          <w:rFonts w:ascii="Cambria" w:hAnsi="Cambria"/>
          <w:sz w:val="20"/>
          <w:szCs w:val="20"/>
          <w:lang w:val="es-AR"/>
        </w:rPr>
        <w:t xml:space="preserve"> de amparo, alegando respectivamente la afectación de su derecho a la salud</w:t>
      </w:r>
      <w:r w:rsidR="00EA32C7">
        <w:rPr>
          <w:rFonts w:ascii="Cambria" w:hAnsi="Cambria"/>
          <w:sz w:val="20"/>
          <w:szCs w:val="20"/>
          <w:lang w:val="es-AR"/>
        </w:rPr>
        <w:t>,</w:t>
      </w:r>
      <w:r w:rsidR="004E1539">
        <w:rPr>
          <w:rFonts w:ascii="Cambria" w:hAnsi="Cambria"/>
          <w:sz w:val="20"/>
          <w:szCs w:val="20"/>
          <w:lang w:val="es-AR"/>
        </w:rPr>
        <w:t xml:space="preserve"> y a no ser sometido a prácticas de tortura y de discriminación. No obstante, detalla que el 18 de septiembre de 2008 y el 24 de setiembre de 2010 la Sala Constitucional de la Corte Suprema atendió tales reclamos, mediante resoluciones</w:t>
      </w:r>
      <w:r w:rsidR="00EA32C7">
        <w:rPr>
          <w:rFonts w:ascii="Cambria" w:hAnsi="Cambria"/>
          <w:sz w:val="20"/>
          <w:szCs w:val="20"/>
          <w:lang w:val="es-AR"/>
        </w:rPr>
        <w:t xml:space="preserve"> que:</w:t>
      </w:r>
      <w:r w:rsidR="004E1539">
        <w:rPr>
          <w:rFonts w:ascii="Cambria" w:hAnsi="Cambria"/>
          <w:sz w:val="20"/>
          <w:szCs w:val="20"/>
          <w:lang w:val="es-AR"/>
        </w:rPr>
        <w:t xml:space="preserve"> </w:t>
      </w:r>
      <w:r w:rsidR="004F3290">
        <w:rPr>
          <w:rFonts w:ascii="Cambria" w:hAnsi="Cambria"/>
          <w:sz w:val="20"/>
          <w:szCs w:val="20"/>
          <w:lang w:val="es-AR"/>
        </w:rPr>
        <w:t xml:space="preserve">i) ordenaron adelantar una cita médica en favor de la presunta víctima en razón a que padecía un cuadro de escoliosis lumbar y condenaron al pago de costas, daños y perjuicios a la Caja Costarricense de Seguro Social por </w:t>
      </w:r>
      <w:r w:rsidR="00C75780">
        <w:rPr>
          <w:rFonts w:ascii="Cambria" w:hAnsi="Cambria"/>
          <w:sz w:val="20"/>
          <w:szCs w:val="20"/>
          <w:lang w:val="es-AR"/>
        </w:rPr>
        <w:t xml:space="preserve">no </w:t>
      </w:r>
      <w:r w:rsidR="004F3290">
        <w:rPr>
          <w:rFonts w:ascii="Cambria" w:hAnsi="Cambria"/>
          <w:sz w:val="20"/>
          <w:szCs w:val="20"/>
          <w:lang w:val="es-AR"/>
        </w:rPr>
        <w:t xml:space="preserve">atender de manera oportuna tal situación; y ii) establecieron que no se cometió una afectación a la igualdad o a la integridad de la presunta víctima por no gestionar un televisor en su dormitorio. </w:t>
      </w:r>
      <w:r w:rsidR="004E1539" w:rsidRPr="004F3290">
        <w:rPr>
          <w:rFonts w:ascii="Cambria" w:hAnsi="Cambria"/>
          <w:sz w:val="20"/>
          <w:szCs w:val="20"/>
          <w:lang w:val="es-AR"/>
        </w:rPr>
        <w:t xml:space="preserve">En tal sentido, </w:t>
      </w:r>
      <w:r w:rsidR="004F3290">
        <w:rPr>
          <w:rFonts w:ascii="Cambria" w:hAnsi="Cambria"/>
          <w:sz w:val="20"/>
          <w:szCs w:val="20"/>
          <w:lang w:val="es-AR"/>
        </w:rPr>
        <w:t>Costa Rica considera</w:t>
      </w:r>
      <w:r w:rsidR="004E1539" w:rsidRPr="004F3290">
        <w:rPr>
          <w:rFonts w:ascii="Cambria" w:hAnsi="Cambria"/>
          <w:sz w:val="20"/>
          <w:szCs w:val="20"/>
          <w:lang w:val="es-AR"/>
        </w:rPr>
        <w:t xml:space="preserve"> que la presunta víctima no agotó adecuadamente tales recursos, en los que alegaba presuntas afectaciones a los artículos 5 y 7 de la Convención Americana, pues no fueron agotados antes de la presentación de esta petición. Por las razones expuestas, solicita a la CIDH que declare inadmisible el presente asunto por no cumplir con el requisito previsto en el artículo 46.1.a) de la Convención</w:t>
      </w:r>
      <w:r w:rsidR="002A33D8">
        <w:rPr>
          <w:rFonts w:ascii="Cambria" w:hAnsi="Cambria"/>
          <w:sz w:val="20"/>
          <w:szCs w:val="20"/>
          <w:lang w:val="es-AR"/>
        </w:rPr>
        <w:t>,</w:t>
      </w:r>
      <w:r w:rsidR="004E1539" w:rsidRPr="004F3290">
        <w:rPr>
          <w:rFonts w:ascii="Cambria" w:hAnsi="Cambria"/>
          <w:sz w:val="20"/>
          <w:szCs w:val="20"/>
          <w:lang w:val="es-AR"/>
        </w:rPr>
        <w:t xml:space="preserve"> y en consecuencia disponga su archivo.</w:t>
      </w:r>
    </w:p>
    <w:p w14:paraId="467032DA" w14:textId="53B084AA" w:rsidR="00FE77E2" w:rsidRDefault="00FE77E2" w:rsidP="00FE77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Adicionalmente, </w:t>
      </w:r>
      <w:r w:rsidR="009F2FC3">
        <w:rPr>
          <w:rFonts w:asciiTheme="majorHAnsi" w:hAnsiTheme="majorHAnsi"/>
          <w:bCs/>
          <w:sz w:val="20"/>
          <w:szCs w:val="20"/>
          <w:lang w:val="es-ES_tradnl"/>
        </w:rPr>
        <w:t>Costa Rica plantea</w:t>
      </w:r>
      <w:r>
        <w:rPr>
          <w:rFonts w:asciiTheme="majorHAnsi" w:hAnsiTheme="majorHAnsi"/>
          <w:bCs/>
          <w:sz w:val="20"/>
          <w:szCs w:val="20"/>
          <w:lang w:val="es-ES_tradnl"/>
        </w:rPr>
        <w:t xml:space="preserve"> que los hechos alegados no caracterizan una violación de derechos humanos que le sea atribuible. Por el contrario, arguye que la parte peticionaria pretende que la Comisión actúe como una cuarta instancia judicial y revise las valoraciones de echo y de derecho efectuadas por los jueces y tribunales internos que actuaron en la esfera de su competencia. </w:t>
      </w:r>
    </w:p>
    <w:p w14:paraId="373D1DDC" w14:textId="7B725B7C" w:rsidR="00371A41" w:rsidRPr="00BA00EA" w:rsidRDefault="00FE77E2" w:rsidP="00BA00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R</w:t>
      </w:r>
      <w:r w:rsidRPr="00FE77E2">
        <w:rPr>
          <w:rFonts w:ascii="Cambria" w:hAnsi="Cambria"/>
          <w:sz w:val="20"/>
          <w:szCs w:val="20"/>
          <w:lang w:val="es-AR"/>
        </w:rPr>
        <w:t xml:space="preserve">especto a los alegatos sobre la presunta afectación al artículo 7 de la Convención, el Estado </w:t>
      </w:r>
      <w:r w:rsidR="00B014F2">
        <w:rPr>
          <w:rFonts w:ascii="Cambria" w:hAnsi="Cambria"/>
          <w:sz w:val="20"/>
          <w:szCs w:val="20"/>
          <w:lang w:val="es-AR"/>
        </w:rPr>
        <w:t>sostiene</w:t>
      </w:r>
      <w:r w:rsidRPr="00FE77E2">
        <w:rPr>
          <w:rFonts w:ascii="Cambria" w:hAnsi="Cambria"/>
          <w:sz w:val="20"/>
          <w:szCs w:val="20"/>
          <w:lang w:val="es-AR"/>
        </w:rPr>
        <w:t xml:space="preserve"> que el señor Mirón Bender no utilizó los recursos de la jurisdicción interna de manera adecuada, por lo cual tampoco se puede considerar agotada la vía interna respecto de este reclamo. </w:t>
      </w:r>
      <w:r w:rsidR="00BA00EA">
        <w:rPr>
          <w:rFonts w:ascii="Cambria" w:hAnsi="Cambria"/>
          <w:sz w:val="20"/>
          <w:szCs w:val="20"/>
          <w:lang w:val="es-AR"/>
        </w:rPr>
        <w:t>Explica que e</w:t>
      </w:r>
      <w:r w:rsidR="00BA00EA" w:rsidRPr="001D5DD1">
        <w:rPr>
          <w:rFonts w:ascii="Cambria" w:hAnsi="Cambria"/>
          <w:sz w:val="20"/>
          <w:szCs w:val="20"/>
          <w:lang w:val="es-AR"/>
        </w:rPr>
        <w:t xml:space="preserve">l 19 de enero de 2007 </w:t>
      </w:r>
      <w:r w:rsidR="004A1E12">
        <w:rPr>
          <w:rFonts w:ascii="Cambria" w:hAnsi="Cambria"/>
          <w:sz w:val="20"/>
          <w:szCs w:val="20"/>
          <w:lang w:val="es-AR"/>
        </w:rPr>
        <w:t>este</w:t>
      </w:r>
      <w:r w:rsidR="00BA00EA" w:rsidRPr="001D5DD1">
        <w:rPr>
          <w:rFonts w:ascii="Cambria" w:hAnsi="Cambria"/>
          <w:sz w:val="20"/>
          <w:szCs w:val="20"/>
          <w:lang w:val="es-AR"/>
        </w:rPr>
        <w:t xml:space="preserve"> presentó un recurso de hábeas corpus, alegando la errónea aplicación de la prisión preventiva</w:t>
      </w:r>
      <w:r w:rsidR="00BA00EA">
        <w:rPr>
          <w:rFonts w:ascii="Cambria" w:hAnsi="Cambria"/>
          <w:sz w:val="20"/>
          <w:szCs w:val="20"/>
          <w:lang w:val="es-AR"/>
        </w:rPr>
        <w:t xml:space="preserve"> en su contra</w:t>
      </w:r>
      <w:r w:rsidR="00BA00EA" w:rsidRPr="001D5DD1">
        <w:rPr>
          <w:rFonts w:ascii="Cambria" w:hAnsi="Cambria"/>
          <w:sz w:val="20"/>
          <w:szCs w:val="20"/>
          <w:lang w:val="es-AR"/>
        </w:rPr>
        <w:t xml:space="preserve">. Sin embargo, el 2 de febrero de </w:t>
      </w:r>
      <w:r w:rsidR="00B6527A">
        <w:rPr>
          <w:rFonts w:ascii="Cambria" w:hAnsi="Cambria"/>
          <w:sz w:val="20"/>
          <w:szCs w:val="20"/>
          <w:lang w:val="es-AR"/>
        </w:rPr>
        <w:t>ese año</w:t>
      </w:r>
      <w:r w:rsidR="00BA00EA" w:rsidRPr="001D5DD1">
        <w:rPr>
          <w:rFonts w:ascii="Cambria" w:hAnsi="Cambria"/>
          <w:sz w:val="20"/>
          <w:szCs w:val="20"/>
          <w:lang w:val="es-AR"/>
        </w:rPr>
        <w:t xml:space="preserve"> la Sala Constitucional de la Corte Suprema de Justicia </w:t>
      </w:r>
      <w:r w:rsidR="00B6527A">
        <w:rPr>
          <w:rFonts w:ascii="Cambria" w:hAnsi="Cambria"/>
          <w:sz w:val="20"/>
          <w:szCs w:val="20"/>
          <w:lang w:val="es-AR"/>
        </w:rPr>
        <w:t xml:space="preserve">lo </w:t>
      </w:r>
      <w:r w:rsidR="00BA00EA" w:rsidRPr="001D5DD1">
        <w:rPr>
          <w:rFonts w:ascii="Cambria" w:hAnsi="Cambria"/>
          <w:sz w:val="20"/>
          <w:szCs w:val="20"/>
          <w:lang w:val="es-AR"/>
        </w:rPr>
        <w:t xml:space="preserve">desestimó, argumentando que las autoridades justificaron e impusieron </w:t>
      </w:r>
      <w:r w:rsidR="0080453B">
        <w:rPr>
          <w:rFonts w:ascii="Cambria" w:hAnsi="Cambria"/>
          <w:sz w:val="20"/>
          <w:szCs w:val="20"/>
          <w:lang w:val="es-AR"/>
        </w:rPr>
        <w:t>esa</w:t>
      </w:r>
      <w:r w:rsidR="00BA00EA" w:rsidRPr="001D5DD1">
        <w:rPr>
          <w:rFonts w:ascii="Cambria" w:hAnsi="Cambria"/>
          <w:sz w:val="20"/>
          <w:szCs w:val="20"/>
          <w:lang w:val="es-AR"/>
        </w:rPr>
        <w:t xml:space="preserve"> medida cautelar al señor Miron Bender de forma legal, respetando los plazos previstos en la legislación interna. </w:t>
      </w:r>
      <w:r w:rsidR="00BA00EA">
        <w:rPr>
          <w:rFonts w:ascii="Cambria" w:hAnsi="Cambria"/>
          <w:sz w:val="20"/>
          <w:szCs w:val="20"/>
          <w:lang w:val="es-AR"/>
        </w:rPr>
        <w:t>En relación con este punto, Costa Rica c</w:t>
      </w:r>
      <w:r w:rsidRPr="00BA00EA">
        <w:rPr>
          <w:rFonts w:ascii="Cambria" w:hAnsi="Cambria"/>
          <w:sz w:val="20"/>
          <w:szCs w:val="20"/>
          <w:lang w:val="es-AR"/>
        </w:rPr>
        <w:t>onsidera que la Sala Constitucional de la Corte Suprema de Justicia declaró sin lugar el recurso de hábeas corpus presentado por la defensa de la presunta víctima, fundamentando de manera adecuada su decisión, sin afectar ningún derech</w:t>
      </w:r>
      <w:r w:rsidR="00D236CE">
        <w:rPr>
          <w:rFonts w:ascii="Cambria" w:hAnsi="Cambria"/>
          <w:sz w:val="20"/>
          <w:szCs w:val="20"/>
          <w:lang w:val="es-AR"/>
        </w:rPr>
        <w:t>o</w:t>
      </w:r>
      <w:r w:rsidR="0041436B">
        <w:rPr>
          <w:rFonts w:ascii="Cambria" w:hAnsi="Cambria"/>
          <w:sz w:val="20"/>
          <w:szCs w:val="20"/>
          <w:lang w:val="es-AR"/>
        </w:rPr>
        <w:t xml:space="preserve">. </w:t>
      </w:r>
    </w:p>
    <w:p w14:paraId="245F635D" w14:textId="0AC54520" w:rsidR="00F46822" w:rsidRPr="009930D6" w:rsidRDefault="00371A41" w:rsidP="00FE77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Cambria" w:hAnsi="Cambria"/>
          <w:sz w:val="20"/>
          <w:szCs w:val="20"/>
          <w:lang w:val="es-AR"/>
        </w:rPr>
        <w:t xml:space="preserve">Finalmente, el Estado resalta que </w:t>
      </w:r>
      <w:r w:rsidR="0092489C">
        <w:rPr>
          <w:rFonts w:ascii="Cambria" w:hAnsi="Cambria"/>
          <w:sz w:val="20"/>
          <w:szCs w:val="20"/>
          <w:lang w:val="es-AR"/>
        </w:rPr>
        <w:t>“</w:t>
      </w:r>
      <w:r w:rsidRPr="0092489C">
        <w:rPr>
          <w:rFonts w:ascii="Cambria" w:hAnsi="Cambria"/>
          <w:i/>
          <w:iCs/>
          <w:sz w:val="20"/>
          <w:szCs w:val="20"/>
          <w:lang w:val="es-AR"/>
        </w:rPr>
        <w:t xml:space="preserve">no es válido aducir, como lo hace la parte peticionaria, que existe un incumplimiento de la obligación de respetar el derecho a las garantías judiciales, toda vez que las autoridades costarricenses han provisto mecanismos administrativos y judiciales respetuosos de las reglas del debido proceso, resguardando </w:t>
      </w:r>
      <w:r w:rsidR="001B01D4" w:rsidRPr="0092489C">
        <w:rPr>
          <w:rFonts w:ascii="Cambria" w:hAnsi="Cambria"/>
          <w:i/>
          <w:iCs/>
          <w:sz w:val="20"/>
          <w:szCs w:val="20"/>
          <w:lang w:val="es-AR"/>
        </w:rPr>
        <w:t>la figura del</w:t>
      </w:r>
      <w:r w:rsidRPr="0092489C">
        <w:rPr>
          <w:rFonts w:ascii="Cambria" w:hAnsi="Cambria"/>
          <w:i/>
          <w:iCs/>
          <w:sz w:val="20"/>
          <w:szCs w:val="20"/>
          <w:lang w:val="es-AR"/>
        </w:rPr>
        <w:t xml:space="preserve"> juez natural, independiente e imparcial</w:t>
      </w:r>
      <w:r w:rsidR="008D70A1" w:rsidRPr="0092489C">
        <w:rPr>
          <w:rFonts w:ascii="Cambria" w:hAnsi="Cambria"/>
          <w:i/>
          <w:iCs/>
          <w:sz w:val="20"/>
          <w:szCs w:val="20"/>
          <w:lang w:val="es-AR"/>
        </w:rPr>
        <w:t xml:space="preserve">, y ha </w:t>
      </w:r>
      <w:r w:rsidR="00D47C7D" w:rsidRPr="0092489C">
        <w:rPr>
          <w:rFonts w:ascii="Cambria" w:hAnsi="Cambria"/>
          <w:i/>
          <w:iCs/>
          <w:sz w:val="20"/>
          <w:szCs w:val="20"/>
          <w:lang w:val="es-AR"/>
        </w:rPr>
        <w:t>creado vías</w:t>
      </w:r>
      <w:r w:rsidRPr="0092489C">
        <w:rPr>
          <w:rFonts w:ascii="Cambria" w:hAnsi="Cambria"/>
          <w:i/>
          <w:iCs/>
          <w:sz w:val="20"/>
          <w:szCs w:val="20"/>
          <w:lang w:val="es-AR"/>
        </w:rPr>
        <w:t xml:space="preserve"> idóneas para la determinación de los derechos los ciudadanos</w:t>
      </w:r>
      <w:r w:rsidR="0092489C">
        <w:rPr>
          <w:rFonts w:ascii="Cambria" w:hAnsi="Cambria"/>
          <w:sz w:val="20"/>
          <w:szCs w:val="20"/>
          <w:lang w:val="es-AR"/>
        </w:rPr>
        <w:t>”</w:t>
      </w:r>
      <w:r>
        <w:rPr>
          <w:rFonts w:ascii="Cambria" w:hAnsi="Cambria"/>
          <w:sz w:val="20"/>
          <w:szCs w:val="20"/>
          <w:lang w:val="es-AR"/>
        </w:rPr>
        <w:t>. Destaca que, si la presunta víctima decidió no acudir a estos mecanismos o nos utilizó de manera correcto, no se le puede atribuir responsabilidad internacional por tal falta de diligencia. Por ello, solicita a la Comisión que declare inadmisible el presente asunto y, en consecuencia, disponga su archivo.</w:t>
      </w:r>
    </w:p>
    <w:p w14:paraId="30F5DAFE" w14:textId="617CF518" w:rsidR="009930D6" w:rsidRPr="009930D6" w:rsidRDefault="009930D6" w:rsidP="009930D6">
      <w:pPr>
        <w:pStyle w:val="ListParagraph"/>
        <w:spacing w:before="240" w:after="240"/>
        <w:jc w:val="both"/>
        <w:rPr>
          <w:rFonts w:asciiTheme="majorHAnsi" w:hAnsiTheme="majorHAnsi"/>
          <w:b/>
          <w:bCs/>
          <w:sz w:val="20"/>
          <w:szCs w:val="20"/>
          <w:lang w:val="es-ES"/>
        </w:rPr>
      </w:pPr>
      <w:r w:rsidRPr="009930D6">
        <w:rPr>
          <w:rFonts w:asciiTheme="majorHAnsi" w:hAnsiTheme="majorHAnsi"/>
          <w:b/>
          <w:bCs/>
          <w:sz w:val="20"/>
          <w:szCs w:val="20"/>
          <w:lang w:val="es-ES"/>
        </w:rPr>
        <w:t xml:space="preserve">VI. </w:t>
      </w:r>
      <w:r w:rsidR="00F83639">
        <w:rPr>
          <w:rFonts w:asciiTheme="majorHAnsi" w:hAnsiTheme="majorHAnsi"/>
          <w:b/>
          <w:bCs/>
          <w:sz w:val="20"/>
          <w:szCs w:val="20"/>
          <w:lang w:val="es-ES"/>
        </w:rPr>
        <w:tab/>
      </w:r>
      <w:r w:rsidRPr="009930D6">
        <w:rPr>
          <w:rFonts w:asciiTheme="majorHAnsi" w:hAnsiTheme="majorHAnsi"/>
          <w:b/>
          <w:bCs/>
          <w:sz w:val="20"/>
          <w:szCs w:val="20"/>
          <w:lang w:val="es-ES"/>
        </w:rPr>
        <w:t>CONSIDERACIONES PREVIAS</w:t>
      </w:r>
      <w:r w:rsidRPr="009930D6">
        <w:rPr>
          <w:rFonts w:asciiTheme="majorHAnsi" w:hAnsiTheme="majorHAnsi"/>
          <w:b/>
          <w:bCs/>
          <w:sz w:val="20"/>
          <w:szCs w:val="20"/>
          <w:lang w:val="es-ES"/>
        </w:rPr>
        <w:tab/>
      </w:r>
    </w:p>
    <w:p w14:paraId="15EAA7B5" w14:textId="4E820C87" w:rsidR="006A7DCD" w:rsidRDefault="004010E5" w:rsidP="00FE77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La Comisión observa </w:t>
      </w:r>
      <w:r w:rsidR="00B1412E">
        <w:rPr>
          <w:rFonts w:asciiTheme="majorHAnsi" w:hAnsiTheme="majorHAnsi"/>
          <w:bCs/>
          <w:sz w:val="20"/>
          <w:szCs w:val="20"/>
          <w:lang w:val="es-ES_tradnl"/>
        </w:rPr>
        <w:t>que e</w:t>
      </w:r>
      <w:r>
        <w:rPr>
          <w:rFonts w:asciiTheme="majorHAnsi" w:hAnsiTheme="majorHAnsi"/>
          <w:bCs/>
          <w:sz w:val="20"/>
          <w:szCs w:val="20"/>
          <w:lang w:val="es-ES_tradnl"/>
        </w:rPr>
        <w:t xml:space="preserve">l objeto principal de la presente petición </w:t>
      </w:r>
      <w:r w:rsidR="00C01A43">
        <w:rPr>
          <w:rFonts w:asciiTheme="majorHAnsi" w:hAnsiTheme="majorHAnsi"/>
          <w:bCs/>
          <w:sz w:val="20"/>
          <w:szCs w:val="20"/>
          <w:lang w:val="es-ES_tradnl"/>
        </w:rPr>
        <w:t>es</w:t>
      </w:r>
      <w:r>
        <w:rPr>
          <w:rFonts w:asciiTheme="majorHAnsi" w:hAnsiTheme="majorHAnsi"/>
          <w:bCs/>
          <w:sz w:val="20"/>
          <w:szCs w:val="20"/>
          <w:lang w:val="es-ES_tradnl"/>
        </w:rPr>
        <w:t xml:space="preserve"> cuestionar la afectación al derecho a recurrir el fallo, contemplado en el artículo 8.2.h)</w:t>
      </w:r>
      <w:r w:rsidR="00EA3787">
        <w:rPr>
          <w:rFonts w:asciiTheme="majorHAnsi" w:hAnsiTheme="majorHAnsi"/>
          <w:bCs/>
          <w:sz w:val="20"/>
          <w:szCs w:val="20"/>
          <w:lang w:val="es-ES_tradnl"/>
        </w:rPr>
        <w:t xml:space="preserve"> de la Convención Americana</w:t>
      </w:r>
      <w:r>
        <w:rPr>
          <w:rFonts w:asciiTheme="majorHAnsi" w:hAnsiTheme="majorHAnsi"/>
          <w:bCs/>
          <w:sz w:val="20"/>
          <w:szCs w:val="20"/>
          <w:lang w:val="es-ES_tradnl"/>
        </w:rPr>
        <w:t xml:space="preserve">. </w:t>
      </w:r>
      <w:r w:rsidR="006A7DCD">
        <w:rPr>
          <w:rFonts w:asciiTheme="majorHAnsi" w:hAnsiTheme="majorHAnsi"/>
          <w:bCs/>
          <w:sz w:val="20"/>
          <w:szCs w:val="20"/>
          <w:lang w:val="es-ES_tradnl"/>
        </w:rPr>
        <w:t>En razón a ello</w:t>
      </w:r>
      <w:r>
        <w:rPr>
          <w:rFonts w:asciiTheme="majorHAnsi" w:hAnsiTheme="majorHAnsi"/>
          <w:bCs/>
          <w:sz w:val="20"/>
          <w:szCs w:val="20"/>
          <w:lang w:val="es-ES_tradnl"/>
        </w:rPr>
        <w:t xml:space="preserve">, </w:t>
      </w:r>
      <w:r w:rsidR="006A7DCD">
        <w:rPr>
          <w:rFonts w:asciiTheme="majorHAnsi" w:hAnsiTheme="majorHAnsi"/>
          <w:bCs/>
          <w:sz w:val="20"/>
          <w:szCs w:val="20"/>
          <w:lang w:val="es-ES_tradnl"/>
        </w:rPr>
        <w:t>dado que se han emitido distint</w:t>
      </w:r>
      <w:r w:rsidR="00EA3787">
        <w:rPr>
          <w:rFonts w:asciiTheme="majorHAnsi" w:hAnsiTheme="majorHAnsi"/>
          <w:bCs/>
          <w:sz w:val="20"/>
          <w:szCs w:val="20"/>
          <w:lang w:val="es-ES_tradnl"/>
        </w:rPr>
        <w:t>as decisiones</w:t>
      </w:r>
      <w:r w:rsidR="006A7DCD">
        <w:rPr>
          <w:rFonts w:asciiTheme="majorHAnsi" w:hAnsiTheme="majorHAnsi"/>
          <w:bCs/>
          <w:sz w:val="20"/>
          <w:szCs w:val="20"/>
          <w:lang w:val="es-ES_tradnl"/>
        </w:rPr>
        <w:t xml:space="preserve"> dentro del sistema interamericano sobre esta temática, en función de las modificaciones implementadas en la legislación procesal penal costarricense, la CIDH estima necesario realizar un recuento </w:t>
      </w:r>
      <w:r w:rsidR="00EA3787">
        <w:rPr>
          <w:rFonts w:asciiTheme="majorHAnsi" w:hAnsiTheme="majorHAnsi"/>
          <w:bCs/>
          <w:sz w:val="20"/>
          <w:szCs w:val="20"/>
          <w:lang w:val="es-ES_tradnl"/>
        </w:rPr>
        <w:t>de estos</w:t>
      </w:r>
      <w:r w:rsidR="006A7DCD">
        <w:rPr>
          <w:rFonts w:asciiTheme="majorHAnsi" w:hAnsiTheme="majorHAnsi"/>
          <w:bCs/>
          <w:sz w:val="20"/>
          <w:szCs w:val="20"/>
          <w:lang w:val="es-ES_tradnl"/>
        </w:rPr>
        <w:t xml:space="preserve"> pronunciamientos a efectos de identificar estándares que permitan </w:t>
      </w:r>
      <w:r w:rsidR="00EA3787">
        <w:rPr>
          <w:rFonts w:asciiTheme="majorHAnsi" w:hAnsiTheme="majorHAnsi"/>
          <w:bCs/>
          <w:sz w:val="20"/>
          <w:szCs w:val="20"/>
          <w:lang w:val="es-ES_tradnl"/>
        </w:rPr>
        <w:t>resolver adecuadamente</w:t>
      </w:r>
      <w:r w:rsidR="006A7DCD">
        <w:rPr>
          <w:rFonts w:asciiTheme="majorHAnsi" w:hAnsiTheme="majorHAnsi"/>
          <w:bCs/>
          <w:sz w:val="20"/>
          <w:szCs w:val="20"/>
          <w:lang w:val="es-ES_tradnl"/>
        </w:rPr>
        <w:t xml:space="preserve"> la presente petición. </w:t>
      </w:r>
    </w:p>
    <w:p w14:paraId="089F4852" w14:textId="4968F4C0" w:rsidR="004E17B2" w:rsidRPr="009930D6" w:rsidRDefault="00AC1660" w:rsidP="004E17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_tradnl"/>
        </w:rPr>
        <w:lastRenderedPageBreak/>
        <w:t>Así</w:t>
      </w:r>
      <w:r w:rsidR="004010E5">
        <w:rPr>
          <w:rFonts w:asciiTheme="majorHAnsi" w:hAnsiTheme="majorHAnsi"/>
          <w:bCs/>
          <w:sz w:val="20"/>
          <w:szCs w:val="20"/>
          <w:lang w:val="es-ES_tradnl"/>
        </w:rPr>
        <w:t xml:space="preserve">, en </w:t>
      </w:r>
      <w:r w:rsidR="0024784B">
        <w:rPr>
          <w:rFonts w:asciiTheme="majorHAnsi" w:hAnsiTheme="majorHAnsi"/>
          <w:bCs/>
          <w:sz w:val="20"/>
          <w:szCs w:val="20"/>
          <w:lang w:val="es-ES_tradnl"/>
        </w:rPr>
        <w:t>la sentencia del</w:t>
      </w:r>
      <w:r w:rsidR="004010E5">
        <w:rPr>
          <w:rFonts w:asciiTheme="majorHAnsi" w:hAnsiTheme="majorHAnsi"/>
          <w:bCs/>
          <w:sz w:val="20"/>
          <w:szCs w:val="20"/>
          <w:lang w:val="es-ES_tradnl"/>
        </w:rPr>
        <w:t xml:space="preserve"> caso </w:t>
      </w:r>
      <w:r w:rsidR="004010E5" w:rsidRPr="004010E5">
        <w:rPr>
          <w:rFonts w:asciiTheme="majorHAnsi" w:hAnsiTheme="majorHAnsi"/>
          <w:bCs/>
          <w:i/>
          <w:iCs/>
          <w:sz w:val="20"/>
          <w:szCs w:val="20"/>
          <w:lang w:val="es-ES_tradnl"/>
        </w:rPr>
        <w:t>Herrera Ulloa vs. Costa Rica</w:t>
      </w:r>
      <w:r w:rsidR="004E17B2">
        <w:rPr>
          <w:rFonts w:asciiTheme="majorHAnsi" w:hAnsiTheme="majorHAnsi"/>
          <w:bCs/>
          <w:i/>
          <w:iCs/>
          <w:sz w:val="20"/>
          <w:szCs w:val="20"/>
          <w:lang w:val="es-ES_tradnl"/>
        </w:rPr>
        <w:t xml:space="preserve"> </w:t>
      </w:r>
      <w:r w:rsidR="004E17B2" w:rsidRPr="004E17B2">
        <w:rPr>
          <w:rFonts w:asciiTheme="majorHAnsi" w:hAnsiTheme="majorHAnsi"/>
          <w:bCs/>
          <w:sz w:val="20"/>
          <w:szCs w:val="20"/>
          <w:lang w:val="es-ES_tradnl"/>
        </w:rPr>
        <w:t>del 2 de julio de 2004</w:t>
      </w:r>
      <w:r w:rsidR="0024784B">
        <w:rPr>
          <w:rFonts w:asciiTheme="majorHAnsi" w:hAnsiTheme="majorHAnsi"/>
          <w:bCs/>
          <w:sz w:val="20"/>
          <w:szCs w:val="20"/>
          <w:lang w:val="es-ES_tradnl"/>
        </w:rPr>
        <w:t>, la Corte Interamericana de Derechos Humanos</w:t>
      </w:r>
      <w:r w:rsidR="0024784B">
        <w:rPr>
          <w:rStyle w:val="FootnoteReference"/>
          <w:rFonts w:asciiTheme="majorHAnsi" w:hAnsiTheme="majorHAnsi"/>
          <w:bCs/>
          <w:sz w:val="20"/>
          <w:szCs w:val="20"/>
          <w:lang w:val="es-ES_tradnl"/>
        </w:rPr>
        <w:footnoteReference w:id="6"/>
      </w:r>
      <w:r w:rsidR="004E17B2">
        <w:rPr>
          <w:rFonts w:asciiTheme="majorHAnsi" w:hAnsiTheme="majorHAnsi"/>
          <w:bCs/>
          <w:sz w:val="20"/>
          <w:szCs w:val="20"/>
          <w:lang w:val="es-ES_tradnl"/>
        </w:rPr>
        <w:t xml:space="preserve"> examinó </w:t>
      </w:r>
      <w:r w:rsidR="0024784B">
        <w:rPr>
          <w:rFonts w:asciiTheme="majorHAnsi" w:hAnsiTheme="majorHAnsi"/>
          <w:bCs/>
          <w:sz w:val="20"/>
          <w:szCs w:val="20"/>
          <w:lang w:val="es-ES_tradnl"/>
        </w:rPr>
        <w:t xml:space="preserve"> </w:t>
      </w:r>
      <w:r w:rsidR="004E17B2">
        <w:rPr>
          <w:rFonts w:asciiTheme="majorHAnsi" w:hAnsiTheme="majorHAnsi"/>
          <w:bCs/>
          <w:sz w:val="20"/>
          <w:szCs w:val="20"/>
          <w:lang w:val="es-ES_tradnl"/>
        </w:rPr>
        <w:t xml:space="preserve">la regulación establecida en </w:t>
      </w:r>
      <w:r w:rsidR="004E17B2" w:rsidRPr="004E17B2">
        <w:rPr>
          <w:rFonts w:asciiTheme="majorHAnsi" w:hAnsiTheme="majorHAnsi"/>
          <w:bCs/>
          <w:sz w:val="20"/>
          <w:szCs w:val="20"/>
          <w:lang w:val="es-ES_tradnl"/>
        </w:rPr>
        <w:t>el Código Procesal Pena</w:t>
      </w:r>
      <w:r w:rsidR="004E17B2">
        <w:rPr>
          <w:rFonts w:asciiTheme="majorHAnsi" w:hAnsiTheme="majorHAnsi"/>
          <w:bCs/>
          <w:sz w:val="20"/>
          <w:szCs w:val="20"/>
          <w:lang w:val="es-ES_tradnl"/>
        </w:rPr>
        <w:t>l</w:t>
      </w:r>
      <w:r w:rsidR="004E17B2" w:rsidRPr="004E17B2">
        <w:rPr>
          <w:rFonts w:asciiTheme="majorHAnsi" w:hAnsiTheme="majorHAnsi"/>
          <w:bCs/>
          <w:sz w:val="20"/>
          <w:szCs w:val="20"/>
          <w:lang w:val="es-ES_tradnl"/>
        </w:rPr>
        <w:t xml:space="preserve"> vigente desde 1998</w:t>
      </w:r>
      <w:r w:rsidR="00ED202D">
        <w:rPr>
          <w:rFonts w:asciiTheme="majorHAnsi" w:hAnsiTheme="majorHAnsi"/>
          <w:bCs/>
          <w:sz w:val="20"/>
          <w:szCs w:val="20"/>
          <w:lang w:val="es-ES_tradnl"/>
        </w:rPr>
        <w:t>;</w:t>
      </w:r>
      <w:r w:rsidR="004E17B2" w:rsidRPr="004E17B2">
        <w:rPr>
          <w:rFonts w:asciiTheme="majorHAnsi" w:hAnsiTheme="majorHAnsi"/>
          <w:bCs/>
          <w:sz w:val="20"/>
          <w:szCs w:val="20"/>
          <w:lang w:val="es-ES_tradnl"/>
        </w:rPr>
        <w:t xml:space="preserve"> y concluyó que no contaba con “</w:t>
      </w:r>
      <w:r w:rsidR="004E17B2" w:rsidRPr="004E17B2">
        <w:rPr>
          <w:rFonts w:asciiTheme="majorHAnsi" w:hAnsiTheme="majorHAnsi"/>
          <w:bCs/>
          <w:i/>
          <w:iCs/>
          <w:sz w:val="20"/>
          <w:szCs w:val="20"/>
          <w:lang w:val="es-ES_tradnl"/>
        </w:rPr>
        <w:t xml:space="preserve">un recurso que </w:t>
      </w:r>
      <w:r w:rsidR="004E17B2" w:rsidRPr="004E17B2">
        <w:rPr>
          <w:rFonts w:asciiTheme="majorHAnsi" w:hAnsiTheme="majorHAnsi"/>
          <w:i/>
          <w:iCs/>
          <w:sz w:val="20"/>
          <w:szCs w:val="20"/>
          <w:lang w:val="es-US"/>
        </w:rPr>
        <w:t>permitiera que el tribunal superior realizara un análisis o examen comprensivo e integral de todas las cuestiones debatidas y analizadas por el tribunal inferior</w:t>
      </w:r>
      <w:r w:rsidR="004E17B2" w:rsidRPr="004E17B2">
        <w:rPr>
          <w:rFonts w:asciiTheme="majorHAnsi" w:hAnsiTheme="majorHAnsi"/>
          <w:sz w:val="20"/>
          <w:szCs w:val="20"/>
          <w:lang w:val="es-US"/>
        </w:rPr>
        <w:t>”, dada las limitaciones que tenía la regulación del recurso de casación</w:t>
      </w:r>
      <w:r w:rsidR="004E17B2">
        <w:rPr>
          <w:rFonts w:asciiTheme="majorHAnsi" w:hAnsiTheme="majorHAnsi"/>
          <w:sz w:val="20"/>
          <w:szCs w:val="20"/>
          <w:lang w:val="es-US"/>
        </w:rPr>
        <w:t xml:space="preserve"> en el ámbito penal</w:t>
      </w:r>
      <w:r w:rsidR="00EA3787">
        <w:rPr>
          <w:rStyle w:val="FootnoteReference"/>
          <w:rFonts w:asciiTheme="majorHAnsi" w:hAnsiTheme="majorHAnsi"/>
          <w:sz w:val="20"/>
          <w:szCs w:val="20"/>
          <w:lang w:val="es-US"/>
        </w:rPr>
        <w:footnoteReference w:id="7"/>
      </w:r>
      <w:r w:rsidR="004E17B2" w:rsidRPr="004E17B2">
        <w:rPr>
          <w:rFonts w:asciiTheme="majorHAnsi" w:hAnsiTheme="majorHAnsi"/>
          <w:sz w:val="20"/>
          <w:szCs w:val="20"/>
          <w:lang w:val="es-US"/>
        </w:rPr>
        <w:t xml:space="preserve">. </w:t>
      </w:r>
      <w:r w:rsidR="004E17B2">
        <w:rPr>
          <w:rFonts w:asciiTheme="majorHAnsi" w:hAnsiTheme="majorHAnsi"/>
          <w:sz w:val="20"/>
          <w:szCs w:val="20"/>
          <w:lang w:val="es-US"/>
        </w:rPr>
        <w:t>En consecuencia</w:t>
      </w:r>
      <w:r w:rsidR="004E17B2" w:rsidRPr="004E17B2">
        <w:rPr>
          <w:rFonts w:asciiTheme="majorHAnsi" w:hAnsiTheme="majorHAnsi"/>
          <w:sz w:val="20"/>
          <w:szCs w:val="20"/>
          <w:lang w:val="es-US"/>
        </w:rPr>
        <w:t xml:space="preserve">, la Corte IDH </w:t>
      </w:r>
      <w:r w:rsidR="004E17B2" w:rsidRPr="009930D6">
        <w:rPr>
          <w:rFonts w:asciiTheme="majorHAnsi" w:hAnsiTheme="majorHAnsi"/>
          <w:sz w:val="20"/>
          <w:szCs w:val="20"/>
          <w:lang w:val="es-US"/>
        </w:rPr>
        <w:t xml:space="preserve">declaró que el Estado </w:t>
      </w:r>
      <w:r w:rsidR="00EA3787">
        <w:rPr>
          <w:rFonts w:asciiTheme="majorHAnsi" w:hAnsiTheme="majorHAnsi"/>
          <w:sz w:val="20"/>
          <w:szCs w:val="20"/>
          <w:lang w:val="es-US"/>
        </w:rPr>
        <w:t xml:space="preserve">costarricense </w:t>
      </w:r>
      <w:r w:rsidR="004E17B2" w:rsidRPr="009930D6">
        <w:rPr>
          <w:rFonts w:asciiTheme="majorHAnsi" w:hAnsiTheme="majorHAnsi"/>
          <w:sz w:val="20"/>
          <w:szCs w:val="20"/>
          <w:lang w:val="es-US"/>
        </w:rPr>
        <w:t>violó el artículo 8.2.h</w:t>
      </w:r>
      <w:r w:rsidR="00A35D2F">
        <w:rPr>
          <w:rFonts w:asciiTheme="majorHAnsi" w:hAnsiTheme="majorHAnsi"/>
          <w:sz w:val="20"/>
          <w:szCs w:val="20"/>
          <w:lang w:val="es-US"/>
        </w:rPr>
        <w:t>)</w:t>
      </w:r>
      <w:r w:rsidR="004E17B2" w:rsidRPr="009930D6">
        <w:rPr>
          <w:rFonts w:asciiTheme="majorHAnsi" w:hAnsiTheme="majorHAnsi"/>
          <w:sz w:val="20"/>
          <w:szCs w:val="20"/>
          <w:lang w:val="es-US"/>
        </w:rPr>
        <w:t xml:space="preserve"> de la Convención en relación con </w:t>
      </w:r>
      <w:r w:rsidR="00A35D2F">
        <w:rPr>
          <w:rFonts w:asciiTheme="majorHAnsi" w:hAnsiTheme="majorHAnsi"/>
          <w:sz w:val="20"/>
          <w:szCs w:val="20"/>
          <w:lang w:val="es-US"/>
        </w:rPr>
        <w:t>sus</w:t>
      </w:r>
      <w:r w:rsidR="004E17B2" w:rsidRPr="009930D6">
        <w:rPr>
          <w:rFonts w:asciiTheme="majorHAnsi" w:hAnsiTheme="majorHAnsi"/>
          <w:sz w:val="20"/>
          <w:szCs w:val="20"/>
          <w:lang w:val="es-US"/>
        </w:rPr>
        <w:t xml:space="preserve"> artículos 1.1 y 2 en perjuicio del señor Mauricio Herrera Ulloa</w:t>
      </w:r>
      <w:r w:rsidR="004E17B2">
        <w:rPr>
          <w:rFonts w:asciiTheme="majorHAnsi" w:hAnsiTheme="majorHAnsi"/>
          <w:sz w:val="20"/>
          <w:szCs w:val="20"/>
          <w:lang w:val="es-US"/>
        </w:rPr>
        <w:t>, al no haber garantizado su derecho a recurrir el fallo</w:t>
      </w:r>
      <w:r w:rsidR="00592689">
        <w:rPr>
          <w:rFonts w:asciiTheme="majorHAnsi" w:hAnsiTheme="majorHAnsi"/>
          <w:sz w:val="20"/>
          <w:szCs w:val="20"/>
          <w:lang w:val="es-US"/>
        </w:rPr>
        <w:t>;</w:t>
      </w:r>
      <w:r w:rsidR="004E17B2" w:rsidRPr="009930D6">
        <w:rPr>
          <w:rFonts w:asciiTheme="majorHAnsi" w:hAnsiTheme="majorHAnsi"/>
          <w:sz w:val="20"/>
          <w:szCs w:val="20"/>
          <w:lang w:val="es-US"/>
        </w:rPr>
        <w:t xml:space="preserve"> y ordenó a Costa Rica “</w:t>
      </w:r>
      <w:r w:rsidR="004E17B2" w:rsidRPr="004E17B2">
        <w:rPr>
          <w:rFonts w:asciiTheme="majorHAnsi" w:hAnsiTheme="majorHAnsi"/>
          <w:i/>
          <w:iCs/>
          <w:sz w:val="20"/>
          <w:szCs w:val="20"/>
          <w:lang w:val="es-US"/>
        </w:rPr>
        <w:t>adecuar su ordenamiento jurídico interno a lo establecido en el artículo 8.2.h de la Convención Americana, en relación con el artículo 2 de la misma</w:t>
      </w:r>
      <w:r w:rsidR="004E17B2" w:rsidRPr="009930D6">
        <w:rPr>
          <w:rFonts w:asciiTheme="majorHAnsi" w:hAnsiTheme="majorHAnsi"/>
          <w:sz w:val="20"/>
          <w:szCs w:val="20"/>
          <w:lang w:val="es-US"/>
        </w:rPr>
        <w:t>”</w:t>
      </w:r>
      <w:r w:rsidR="00FE41DE">
        <w:rPr>
          <w:rStyle w:val="FootnoteReference"/>
          <w:rFonts w:asciiTheme="majorHAnsi" w:hAnsiTheme="majorHAnsi"/>
          <w:sz w:val="20"/>
          <w:szCs w:val="20"/>
          <w:lang w:val="es-US"/>
        </w:rPr>
        <w:footnoteReference w:id="8"/>
      </w:r>
      <w:r w:rsidR="00FE41DE">
        <w:rPr>
          <w:rFonts w:asciiTheme="majorHAnsi" w:hAnsiTheme="majorHAnsi"/>
          <w:sz w:val="20"/>
          <w:szCs w:val="20"/>
          <w:lang w:val="es-US"/>
        </w:rPr>
        <w:t>.</w:t>
      </w:r>
    </w:p>
    <w:p w14:paraId="2708C615" w14:textId="4F5A2AF1" w:rsidR="008E494B" w:rsidRPr="008E494B" w:rsidRDefault="00AC1660" w:rsidP="008E49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bCs/>
          <w:sz w:val="20"/>
          <w:szCs w:val="20"/>
          <w:lang w:val="es-ES"/>
        </w:rPr>
        <w:t xml:space="preserve">Como consecuencia de </w:t>
      </w:r>
      <w:r w:rsidR="00807158">
        <w:rPr>
          <w:rFonts w:asciiTheme="majorHAnsi" w:hAnsiTheme="majorHAnsi"/>
          <w:bCs/>
          <w:sz w:val="20"/>
          <w:szCs w:val="20"/>
          <w:lang w:val="es-ES"/>
        </w:rPr>
        <w:t>esta sentencia,</w:t>
      </w:r>
      <w:r w:rsidR="004E17B2">
        <w:rPr>
          <w:rFonts w:asciiTheme="majorHAnsi" w:hAnsiTheme="majorHAnsi"/>
          <w:bCs/>
          <w:sz w:val="20"/>
          <w:szCs w:val="20"/>
          <w:lang w:val="es-ES_tradnl"/>
        </w:rPr>
        <w:t xml:space="preserve"> Costa Rica reformó la regulación de su sistema procesal penal a efectos de contar con una regulación acorde con las obligaciones contempladas en el artículo 8.2.h) de la Convención Americana.</w:t>
      </w:r>
      <w:r w:rsidR="000C7FC8">
        <w:rPr>
          <w:rFonts w:asciiTheme="majorHAnsi" w:hAnsiTheme="majorHAnsi"/>
          <w:bCs/>
          <w:sz w:val="20"/>
          <w:szCs w:val="20"/>
          <w:lang w:val="es-ES_tradnl"/>
        </w:rPr>
        <w:t xml:space="preserve"> Así, </w:t>
      </w:r>
      <w:r w:rsidR="004E17B2" w:rsidRPr="004E17B2">
        <w:rPr>
          <w:rFonts w:asciiTheme="majorHAnsi" w:hAnsiTheme="majorHAnsi"/>
          <w:bCs/>
          <w:sz w:val="20"/>
          <w:szCs w:val="20"/>
          <w:lang w:val="es-ES_tradnl"/>
        </w:rPr>
        <w:t>el 6 de</w:t>
      </w:r>
      <w:r w:rsidR="004E17B2" w:rsidRPr="004E17B2">
        <w:rPr>
          <w:rFonts w:ascii="Cambria" w:hAnsi="Cambria"/>
          <w:sz w:val="20"/>
          <w:szCs w:val="20"/>
          <w:lang w:val="es-ES"/>
        </w:rPr>
        <w:t xml:space="preserve"> de junio de 2006 entró en vigor la Ley No. 8503</w:t>
      </w:r>
      <w:r w:rsidR="009F60D1">
        <w:rPr>
          <w:rFonts w:ascii="Cambria" w:hAnsi="Cambria"/>
          <w:sz w:val="20"/>
          <w:szCs w:val="20"/>
          <w:lang w:val="es-ES"/>
        </w:rPr>
        <w:t>,</w:t>
      </w:r>
      <w:r w:rsidR="004E17B2" w:rsidRPr="004E17B2">
        <w:rPr>
          <w:rFonts w:ascii="Cambria" w:hAnsi="Cambria"/>
          <w:sz w:val="20"/>
          <w:szCs w:val="20"/>
          <w:lang w:val="es-ES"/>
        </w:rPr>
        <w:t xml:space="preserve"> denominada “Ley de Apertura de la Casación Penal</w:t>
      </w:r>
      <w:r w:rsidR="000C7FC8">
        <w:rPr>
          <w:rFonts w:ascii="Cambria" w:hAnsi="Cambria"/>
          <w:sz w:val="20"/>
          <w:szCs w:val="20"/>
          <w:lang w:val="es-ES"/>
        </w:rPr>
        <w:t>”</w:t>
      </w:r>
      <w:r w:rsidR="004E17B2" w:rsidRPr="004E17B2">
        <w:rPr>
          <w:rFonts w:ascii="Cambria" w:hAnsi="Cambria"/>
          <w:sz w:val="20"/>
          <w:szCs w:val="20"/>
          <w:lang w:val="es-ES"/>
        </w:rPr>
        <w:t>, la</w:t>
      </w:r>
      <w:r w:rsidR="000C7FC8">
        <w:rPr>
          <w:rFonts w:ascii="Cambria" w:hAnsi="Cambria"/>
          <w:sz w:val="20"/>
          <w:szCs w:val="20"/>
          <w:lang w:val="es-ES"/>
        </w:rPr>
        <w:t xml:space="preserve"> cual</w:t>
      </w:r>
      <w:r w:rsidR="004E17B2" w:rsidRPr="004E17B2">
        <w:rPr>
          <w:rFonts w:ascii="Cambria" w:hAnsi="Cambria"/>
          <w:sz w:val="20"/>
          <w:szCs w:val="20"/>
          <w:lang w:val="es-ES"/>
        </w:rPr>
        <w:t xml:space="preserve"> modificó y adicionó distintos artículos del Código Procesal Penal relacionados con los recursos de casación y revisión. Asimismo,</w:t>
      </w:r>
      <w:r w:rsidR="000C7FC8">
        <w:rPr>
          <w:rFonts w:ascii="Cambria" w:hAnsi="Cambria"/>
          <w:sz w:val="20"/>
          <w:szCs w:val="20"/>
          <w:lang w:val="es-ES"/>
        </w:rPr>
        <w:t xml:space="preserve"> </w:t>
      </w:r>
      <w:r w:rsidR="009F60D1">
        <w:rPr>
          <w:rFonts w:ascii="Cambria" w:hAnsi="Cambria"/>
          <w:sz w:val="20"/>
          <w:szCs w:val="20"/>
          <w:lang w:val="es-ES"/>
        </w:rPr>
        <w:t xml:space="preserve">y </w:t>
      </w:r>
      <w:r w:rsidR="000C7FC8">
        <w:rPr>
          <w:rFonts w:ascii="Cambria" w:hAnsi="Cambria"/>
          <w:sz w:val="20"/>
          <w:szCs w:val="20"/>
          <w:lang w:val="es-ES"/>
        </w:rPr>
        <w:t>en lo relevante para el presente caso,</w:t>
      </w:r>
      <w:r w:rsidR="004E17B2" w:rsidRPr="004E17B2">
        <w:rPr>
          <w:rFonts w:ascii="Cambria" w:hAnsi="Cambria"/>
          <w:sz w:val="20"/>
          <w:szCs w:val="20"/>
          <w:lang w:val="es-ES"/>
        </w:rPr>
        <w:t xml:space="preserve"> tal legislación estableció en su Transitorio I, un procedimiento de revisión especial para “</w:t>
      </w:r>
      <w:r w:rsidR="000C7FC8" w:rsidRPr="00C75972">
        <w:rPr>
          <w:rFonts w:ascii="Cambria" w:hAnsi="Cambria"/>
          <w:i/>
          <w:iCs/>
          <w:sz w:val="20"/>
          <w:szCs w:val="20"/>
          <w:lang w:val="es-ES"/>
        </w:rPr>
        <w:t>la</w:t>
      </w:r>
      <w:r w:rsidR="004E17B2" w:rsidRPr="00C75972">
        <w:rPr>
          <w:rFonts w:ascii="Cambria" w:hAnsi="Cambria"/>
          <w:i/>
          <w:iCs/>
          <w:sz w:val="20"/>
          <w:szCs w:val="20"/>
          <w:lang w:val="es-ES"/>
        </w:rPr>
        <w:t>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004E17B2" w:rsidRPr="004E17B2">
        <w:rPr>
          <w:rFonts w:ascii="Cambria" w:hAnsi="Cambria"/>
          <w:sz w:val="20"/>
          <w:szCs w:val="20"/>
          <w:lang w:val="es-ES"/>
        </w:rPr>
        <w:t xml:space="preserve">”. </w:t>
      </w:r>
      <w:r w:rsidR="008E494B">
        <w:rPr>
          <w:rFonts w:ascii="Cambria" w:hAnsi="Cambria"/>
          <w:sz w:val="20"/>
          <w:szCs w:val="20"/>
          <w:lang w:val="es-ES"/>
        </w:rPr>
        <w:t>En virtud de ello, la Corte Interamericana consideró que “</w:t>
      </w:r>
      <w:r w:rsidR="008E494B" w:rsidRPr="008E494B">
        <w:rPr>
          <w:rFonts w:ascii="Cambria" w:hAnsi="Cambria"/>
          <w:i/>
          <w:iCs/>
          <w:sz w:val="20"/>
          <w:szCs w:val="20"/>
          <w:lang w:val="es-ES"/>
        </w:rPr>
        <w:t>a través de la causal de revisión creada por el Transitorio I, una persona condenada penalmente podría, en principio, obtener una revisión integral de su sentencia que incluya tanto cuestiones de hecho como de derecho</w:t>
      </w:r>
      <w:r w:rsidR="008E494B">
        <w:rPr>
          <w:rFonts w:ascii="Cambria" w:hAnsi="Cambria"/>
          <w:sz w:val="20"/>
          <w:szCs w:val="20"/>
          <w:lang w:val="es-ES"/>
        </w:rPr>
        <w:t>”</w:t>
      </w:r>
      <w:r w:rsidR="008E494B">
        <w:rPr>
          <w:rStyle w:val="FootnoteReference"/>
          <w:rFonts w:ascii="Cambria" w:hAnsi="Cambria"/>
          <w:sz w:val="20"/>
          <w:szCs w:val="20"/>
          <w:lang w:val="es-ES"/>
        </w:rPr>
        <w:footnoteReference w:id="9"/>
      </w:r>
      <w:r w:rsidR="008E494B">
        <w:rPr>
          <w:rFonts w:ascii="Cambria" w:hAnsi="Cambria"/>
          <w:sz w:val="20"/>
          <w:szCs w:val="20"/>
          <w:lang w:val="es-ES"/>
        </w:rPr>
        <w:t>.</w:t>
      </w:r>
    </w:p>
    <w:p w14:paraId="17F95882" w14:textId="5A3D1D3D" w:rsidR="000C7FC8" w:rsidRDefault="000C7FC8" w:rsidP="000C7F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0C7FC8">
        <w:rPr>
          <w:rFonts w:asciiTheme="majorHAnsi" w:hAnsiTheme="majorHAnsi"/>
          <w:bCs/>
          <w:sz w:val="20"/>
          <w:szCs w:val="20"/>
          <w:lang w:val="es-ES_tradnl"/>
        </w:rPr>
        <w:t xml:space="preserve">Adicionalmente, </w:t>
      </w:r>
      <w:r w:rsidR="008E494B">
        <w:rPr>
          <w:rFonts w:asciiTheme="majorHAnsi" w:hAnsiTheme="majorHAnsi"/>
          <w:bCs/>
          <w:sz w:val="20"/>
          <w:szCs w:val="20"/>
          <w:lang w:val="es-ES_tradnl"/>
        </w:rPr>
        <w:t xml:space="preserve">tanto la Comisión como la Corte IDH </w:t>
      </w:r>
      <w:r w:rsidR="00B879BC">
        <w:rPr>
          <w:rFonts w:asciiTheme="majorHAnsi" w:hAnsiTheme="majorHAnsi"/>
          <w:bCs/>
          <w:sz w:val="20"/>
          <w:szCs w:val="20"/>
          <w:lang w:val="es-ES_tradnl"/>
        </w:rPr>
        <w:t xml:space="preserve">también </w:t>
      </w:r>
      <w:r w:rsidR="008E494B">
        <w:rPr>
          <w:rFonts w:asciiTheme="majorHAnsi" w:hAnsiTheme="majorHAnsi"/>
          <w:bCs/>
          <w:sz w:val="20"/>
          <w:szCs w:val="20"/>
          <w:lang w:val="es-ES_tradnl"/>
        </w:rPr>
        <w:t>constataron</w:t>
      </w:r>
      <w:r w:rsidRPr="000C7FC8">
        <w:rPr>
          <w:rFonts w:asciiTheme="majorHAnsi" w:hAnsiTheme="majorHAnsi"/>
          <w:bCs/>
          <w:sz w:val="20"/>
          <w:szCs w:val="20"/>
          <w:lang w:val="es-ES_tradnl"/>
        </w:rPr>
        <w:t xml:space="preserve"> que e</w:t>
      </w:r>
      <w:r w:rsidRPr="000C7FC8">
        <w:rPr>
          <w:rFonts w:ascii="Cambria" w:hAnsi="Cambria"/>
          <w:sz w:val="20"/>
          <w:szCs w:val="20"/>
          <w:lang w:val="es-ES"/>
        </w:rPr>
        <w:t>l 9 de junio de 2010 se publicó la Ley No. 8837, denominada “Creación del recurso de apelación de la sentencia, otras reformas al régimen de impugnación e implementación de nuevas reglas de oralidad en el proceso penal”, vigente a partir del 9 de diciembre de 2011</w:t>
      </w:r>
      <w:r w:rsidR="008904DF">
        <w:rPr>
          <w:rFonts w:ascii="Cambria" w:hAnsi="Cambria"/>
          <w:sz w:val="20"/>
          <w:szCs w:val="20"/>
          <w:lang w:val="es-ES"/>
        </w:rPr>
        <w:t>;</w:t>
      </w:r>
      <w:r w:rsidRPr="000C7FC8">
        <w:rPr>
          <w:rFonts w:ascii="Cambria" w:hAnsi="Cambria"/>
          <w:sz w:val="20"/>
          <w:szCs w:val="20"/>
          <w:lang w:val="es-ES"/>
        </w:rPr>
        <w:t xml:space="preserve"> </w:t>
      </w:r>
      <w:r w:rsidR="008904DF">
        <w:rPr>
          <w:rFonts w:ascii="Cambria" w:hAnsi="Cambria"/>
          <w:sz w:val="20"/>
          <w:szCs w:val="20"/>
          <w:lang w:val="es-ES"/>
        </w:rPr>
        <w:t>l</w:t>
      </w:r>
      <w:r w:rsidRPr="000C7FC8">
        <w:rPr>
          <w:rFonts w:ascii="Cambria" w:hAnsi="Cambria"/>
          <w:sz w:val="20"/>
          <w:szCs w:val="20"/>
          <w:lang w:val="es-ES"/>
        </w:rPr>
        <w:t>a cual creó y reguló el recurso de apelación. Además, el Transitorio III de dicha</w:t>
      </w:r>
      <w:r w:rsidR="004D0E62">
        <w:rPr>
          <w:rFonts w:ascii="Cambria" w:hAnsi="Cambria"/>
          <w:sz w:val="20"/>
          <w:szCs w:val="20"/>
          <w:lang w:val="es-ES"/>
        </w:rPr>
        <w:t xml:space="preserve"> norma </w:t>
      </w:r>
      <w:r w:rsidRPr="000C7FC8">
        <w:rPr>
          <w:rFonts w:ascii="Cambria" w:hAnsi="Cambria"/>
          <w:sz w:val="20"/>
          <w:szCs w:val="20"/>
          <w:lang w:val="es-ES"/>
        </w:rPr>
        <w:t>reguló dos supuestos adicionales: i) para las personas cuyas sentencias estaban firmes para el momento de entrada en vigen</w:t>
      </w:r>
      <w:r w:rsidR="004D0E62">
        <w:rPr>
          <w:rFonts w:ascii="Cambria" w:hAnsi="Cambria"/>
          <w:sz w:val="20"/>
          <w:szCs w:val="20"/>
          <w:lang w:val="es-ES"/>
        </w:rPr>
        <w:t>cia</w:t>
      </w:r>
      <w:r w:rsidRPr="000C7FC8">
        <w:rPr>
          <w:rFonts w:ascii="Cambria" w:hAnsi="Cambria"/>
          <w:sz w:val="20"/>
          <w:szCs w:val="20"/>
          <w:lang w:val="es-ES"/>
        </w:rPr>
        <w:t xml:space="preserve"> de la ley, se estableció que pueden interponer, por única vez, un procedimiento de revisión en los primeros seis meses; y ii) para las personas cuyos recursos de casación se</w:t>
      </w:r>
      <w:r>
        <w:rPr>
          <w:rFonts w:ascii="Cambria" w:hAnsi="Cambria"/>
          <w:sz w:val="20"/>
          <w:szCs w:val="20"/>
          <w:lang w:val="es-ES"/>
        </w:rPr>
        <w:t xml:space="preserve"> </w:t>
      </w:r>
      <w:r w:rsidRPr="000C7FC8">
        <w:rPr>
          <w:rFonts w:ascii="Cambria" w:hAnsi="Cambria"/>
          <w:sz w:val="20"/>
          <w:szCs w:val="20"/>
          <w:lang w:val="es-ES"/>
        </w:rPr>
        <w:t>encontraban pendientes de resolución al momento de la entrada en vigencia de la ley, se</w:t>
      </w:r>
      <w:r>
        <w:rPr>
          <w:rFonts w:ascii="Cambria" w:hAnsi="Cambria"/>
          <w:sz w:val="20"/>
          <w:szCs w:val="20"/>
          <w:lang w:val="es-ES"/>
        </w:rPr>
        <w:t xml:space="preserve"> </w:t>
      </w:r>
      <w:r w:rsidRPr="000C7FC8">
        <w:rPr>
          <w:rFonts w:ascii="Cambria" w:hAnsi="Cambria"/>
          <w:sz w:val="20"/>
          <w:szCs w:val="20"/>
          <w:lang w:val="es-ES"/>
        </w:rPr>
        <w:t>estableció que podían solicitar la conversión del recurso de casación ya presentado a uno de</w:t>
      </w:r>
      <w:r>
        <w:rPr>
          <w:rFonts w:ascii="Cambria" w:hAnsi="Cambria"/>
          <w:sz w:val="20"/>
          <w:szCs w:val="20"/>
          <w:lang w:val="es-ES"/>
        </w:rPr>
        <w:t xml:space="preserve"> </w:t>
      </w:r>
      <w:r w:rsidRPr="000C7FC8">
        <w:rPr>
          <w:rFonts w:ascii="Cambria" w:hAnsi="Cambria"/>
          <w:sz w:val="20"/>
          <w:szCs w:val="20"/>
          <w:lang w:val="es-ES"/>
        </w:rPr>
        <w:t>apelación conforme a la nueva norma.</w:t>
      </w:r>
    </w:p>
    <w:p w14:paraId="434406A4" w14:textId="7EFCD81B" w:rsidR="00AC1660" w:rsidRPr="00AC1660" w:rsidRDefault="008E494B" w:rsidP="00AC16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S"/>
        </w:rPr>
      </w:pPr>
      <w:r>
        <w:rPr>
          <w:rFonts w:ascii="Cambria" w:hAnsi="Cambria"/>
          <w:sz w:val="20"/>
          <w:szCs w:val="20"/>
          <w:lang w:val="es-ES"/>
        </w:rPr>
        <w:t xml:space="preserve">Como consecuencia de las citadas modificaciones, </w:t>
      </w:r>
      <w:r w:rsidR="006A7DCD" w:rsidRPr="006A7DCD">
        <w:rPr>
          <w:rFonts w:ascii="Cambria" w:hAnsi="Cambria"/>
          <w:sz w:val="20"/>
          <w:szCs w:val="20"/>
          <w:lang w:val="es-ES"/>
        </w:rPr>
        <w:t xml:space="preserve">en la sentencia del caso </w:t>
      </w:r>
      <w:r w:rsidR="006A7DCD" w:rsidRPr="006A7DCD">
        <w:rPr>
          <w:rFonts w:ascii="Cambria" w:hAnsi="Cambria"/>
          <w:i/>
          <w:iCs/>
          <w:sz w:val="20"/>
          <w:szCs w:val="20"/>
          <w:lang w:val="es-ES"/>
        </w:rPr>
        <w:t>Amrhein y otros vs. Costa Rica</w:t>
      </w:r>
      <w:r w:rsidR="006A7DCD" w:rsidRPr="006A7DCD">
        <w:rPr>
          <w:rFonts w:ascii="Cambria" w:hAnsi="Cambria"/>
          <w:sz w:val="20"/>
          <w:szCs w:val="20"/>
          <w:lang w:val="es-ES"/>
        </w:rPr>
        <w:t xml:space="preserve"> del 25 de abril de 2018, la Corte Interamericana</w:t>
      </w:r>
      <w:r w:rsidR="004727B2">
        <w:rPr>
          <w:rFonts w:ascii="Cambria" w:hAnsi="Cambria"/>
          <w:sz w:val="20"/>
          <w:szCs w:val="20"/>
          <w:lang w:val="es-ES"/>
        </w:rPr>
        <w:t xml:space="preserve"> evaluó </w:t>
      </w:r>
      <w:r w:rsidR="00AC1660">
        <w:rPr>
          <w:rFonts w:ascii="Cambria" w:hAnsi="Cambria"/>
          <w:sz w:val="20"/>
          <w:szCs w:val="20"/>
          <w:lang w:val="es-ES"/>
        </w:rPr>
        <w:t>nuevamente la regulación procesal penal costarricens</w:t>
      </w:r>
      <w:r w:rsidR="004727B2">
        <w:rPr>
          <w:rFonts w:ascii="Cambria" w:hAnsi="Cambria"/>
          <w:sz w:val="20"/>
          <w:szCs w:val="20"/>
          <w:lang w:val="es-ES"/>
        </w:rPr>
        <w:t>e</w:t>
      </w:r>
      <w:r w:rsidR="00CA7CE7">
        <w:rPr>
          <w:rFonts w:ascii="Cambria" w:hAnsi="Cambria"/>
          <w:sz w:val="20"/>
          <w:szCs w:val="20"/>
          <w:lang w:val="es-ES"/>
        </w:rPr>
        <w:t>;</w:t>
      </w:r>
      <w:r w:rsidR="004727B2">
        <w:rPr>
          <w:rFonts w:ascii="Cambria" w:hAnsi="Cambria"/>
          <w:sz w:val="20"/>
          <w:szCs w:val="20"/>
          <w:lang w:val="es-ES"/>
        </w:rPr>
        <w:t xml:space="preserve"> y</w:t>
      </w:r>
      <w:r w:rsidR="00AC1660">
        <w:rPr>
          <w:rFonts w:ascii="Cambria" w:hAnsi="Cambria"/>
          <w:sz w:val="20"/>
          <w:szCs w:val="20"/>
          <w:lang w:val="es-ES"/>
        </w:rPr>
        <w:t xml:space="preserve"> </w:t>
      </w:r>
      <w:r w:rsidR="00AB70D6">
        <w:rPr>
          <w:rFonts w:ascii="Cambria" w:hAnsi="Cambria"/>
          <w:sz w:val="20"/>
          <w:szCs w:val="20"/>
          <w:lang w:val="es-ES"/>
        </w:rPr>
        <w:t>amplió sus criterios</w:t>
      </w:r>
      <w:r w:rsidR="00AC1660">
        <w:rPr>
          <w:rFonts w:ascii="Cambria" w:hAnsi="Cambria"/>
          <w:sz w:val="20"/>
          <w:szCs w:val="20"/>
          <w:lang w:val="es-ES"/>
        </w:rPr>
        <w:t xml:space="preserve"> jurídicos tanto respecto al agotamiento de la jurisdicción interna, como </w:t>
      </w:r>
      <w:r w:rsidR="00774FDB">
        <w:rPr>
          <w:rFonts w:ascii="Cambria" w:hAnsi="Cambria"/>
          <w:sz w:val="20"/>
          <w:szCs w:val="20"/>
          <w:lang w:val="es-ES"/>
        </w:rPr>
        <w:t>al</w:t>
      </w:r>
      <w:r w:rsidR="00AC1660">
        <w:rPr>
          <w:rFonts w:ascii="Cambria" w:hAnsi="Cambria"/>
          <w:sz w:val="20"/>
          <w:szCs w:val="20"/>
          <w:lang w:val="es-ES"/>
        </w:rPr>
        <w:t xml:space="preserve"> análisis de fondo de casos sobre la misma temática. </w:t>
      </w:r>
    </w:p>
    <w:p w14:paraId="19C7ABBA" w14:textId="7D98EDE1" w:rsidR="00473699" w:rsidRPr="004D0E62" w:rsidRDefault="004727B2" w:rsidP="004D0E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S"/>
        </w:rPr>
      </w:pPr>
      <w:r>
        <w:rPr>
          <w:rFonts w:ascii="Cambria" w:hAnsi="Cambria"/>
          <w:sz w:val="20"/>
          <w:szCs w:val="20"/>
          <w:lang w:val="es-ES"/>
        </w:rPr>
        <w:t>En relación con el</w:t>
      </w:r>
      <w:r w:rsidR="00AC1660">
        <w:rPr>
          <w:rFonts w:ascii="Cambria" w:hAnsi="Cambria"/>
          <w:sz w:val="20"/>
          <w:szCs w:val="20"/>
          <w:lang w:val="es-ES"/>
        </w:rPr>
        <w:t xml:space="preserve"> primer punto</w:t>
      </w:r>
      <w:r w:rsidR="00CA4466">
        <w:rPr>
          <w:rFonts w:ascii="Cambria" w:hAnsi="Cambria"/>
          <w:sz w:val="20"/>
          <w:szCs w:val="20"/>
          <w:lang w:val="es-ES"/>
        </w:rPr>
        <w:t xml:space="preserve">, </w:t>
      </w:r>
      <w:r>
        <w:rPr>
          <w:rFonts w:ascii="Cambria" w:hAnsi="Cambria"/>
          <w:sz w:val="20"/>
          <w:szCs w:val="20"/>
          <w:lang w:val="es-ES"/>
        </w:rPr>
        <w:t xml:space="preserve">la Comisión destaca que, en el citado caso, </w:t>
      </w:r>
      <w:r w:rsidR="00AC1660">
        <w:rPr>
          <w:rFonts w:ascii="Cambria" w:hAnsi="Cambria"/>
          <w:sz w:val="20"/>
          <w:szCs w:val="20"/>
          <w:lang w:val="es-ES"/>
        </w:rPr>
        <w:t xml:space="preserve">la Corte IDH consideró </w:t>
      </w:r>
      <w:r w:rsidR="00CA4466">
        <w:rPr>
          <w:rFonts w:ascii="Cambria" w:hAnsi="Cambria"/>
          <w:sz w:val="20"/>
          <w:szCs w:val="20"/>
          <w:lang w:val="es-ES"/>
        </w:rPr>
        <w:t>que las presuntas víctimas debieron haber interpuesto el</w:t>
      </w:r>
      <w:r w:rsidR="00CA4466" w:rsidRPr="0032557E">
        <w:rPr>
          <w:rFonts w:ascii="Cambria" w:hAnsi="Cambria"/>
          <w:sz w:val="20"/>
          <w:szCs w:val="20"/>
          <w:lang w:val="es-ES"/>
        </w:rPr>
        <w:t xml:space="preserve"> recurso de revisión</w:t>
      </w:r>
      <w:r w:rsidR="00CA4466">
        <w:rPr>
          <w:rFonts w:ascii="Cambria" w:hAnsi="Cambria"/>
          <w:sz w:val="20"/>
          <w:szCs w:val="20"/>
          <w:lang w:val="es-ES"/>
        </w:rPr>
        <w:t xml:space="preserve"> </w:t>
      </w:r>
      <w:r w:rsidR="00CA4466" w:rsidRPr="0032557E">
        <w:rPr>
          <w:rFonts w:ascii="Cambria" w:hAnsi="Cambria"/>
          <w:sz w:val="20"/>
          <w:szCs w:val="20"/>
          <w:lang w:val="es-ES"/>
        </w:rPr>
        <w:t>especial con base en el Transitorio I de la Ley 8503 de 2006 durante el trámite de</w:t>
      </w:r>
      <w:r w:rsidR="00CA4466">
        <w:rPr>
          <w:rFonts w:ascii="Cambria" w:hAnsi="Cambria"/>
          <w:sz w:val="20"/>
          <w:szCs w:val="20"/>
          <w:lang w:val="es-ES"/>
        </w:rPr>
        <w:t xml:space="preserve"> </w:t>
      </w:r>
      <w:r w:rsidR="00CA4466" w:rsidRPr="0032557E">
        <w:rPr>
          <w:rFonts w:ascii="Cambria" w:hAnsi="Cambria"/>
          <w:sz w:val="20"/>
          <w:szCs w:val="20"/>
          <w:lang w:val="es-ES"/>
        </w:rPr>
        <w:t xml:space="preserve">admisibilidad </w:t>
      </w:r>
      <w:r>
        <w:rPr>
          <w:rFonts w:ascii="Cambria" w:hAnsi="Cambria"/>
          <w:sz w:val="20"/>
          <w:szCs w:val="20"/>
          <w:lang w:val="es-ES"/>
        </w:rPr>
        <w:t>de la petición</w:t>
      </w:r>
      <w:r w:rsidR="00473699">
        <w:rPr>
          <w:rFonts w:ascii="Cambria" w:hAnsi="Cambria"/>
          <w:sz w:val="20"/>
          <w:szCs w:val="20"/>
          <w:lang w:val="es-ES"/>
        </w:rPr>
        <w:t>, pues estaba destinado específicamente a personas con condenas ya en firme</w:t>
      </w:r>
      <w:r w:rsidR="00120C0F">
        <w:rPr>
          <w:rFonts w:ascii="Cambria" w:hAnsi="Cambria"/>
          <w:sz w:val="20"/>
          <w:szCs w:val="20"/>
          <w:lang w:val="es-ES"/>
        </w:rPr>
        <w:t>;</w:t>
      </w:r>
      <w:r w:rsidR="00473699">
        <w:rPr>
          <w:rFonts w:ascii="Cambria" w:hAnsi="Cambria"/>
          <w:sz w:val="20"/>
          <w:szCs w:val="20"/>
          <w:lang w:val="es-ES"/>
        </w:rPr>
        <w:t xml:space="preserve"> y por ello, “</w:t>
      </w:r>
      <w:r w:rsidR="00473699" w:rsidRPr="00473699">
        <w:rPr>
          <w:rFonts w:ascii="Cambria" w:hAnsi="Cambria"/>
          <w:i/>
          <w:iCs/>
          <w:sz w:val="20"/>
          <w:szCs w:val="20"/>
          <w:lang w:val="es-ES"/>
        </w:rPr>
        <w:t xml:space="preserve">el hecho de que se trataría de un recurso extraordinario no puede ser determinante, </w:t>
      </w:r>
      <w:r w:rsidR="00473699" w:rsidRPr="00120C0F">
        <w:rPr>
          <w:rFonts w:ascii="Cambria" w:hAnsi="Cambria"/>
          <w:sz w:val="20"/>
          <w:szCs w:val="20"/>
          <w:lang w:val="es-ES"/>
        </w:rPr>
        <w:t>per se</w:t>
      </w:r>
      <w:r w:rsidR="00473699" w:rsidRPr="00473699">
        <w:rPr>
          <w:rFonts w:ascii="Cambria" w:hAnsi="Cambria"/>
          <w:i/>
          <w:iCs/>
          <w:sz w:val="20"/>
          <w:szCs w:val="20"/>
          <w:lang w:val="es-ES"/>
        </w:rPr>
        <w:t>, para concluir su inefectividad</w:t>
      </w:r>
      <w:r w:rsidR="00473699">
        <w:rPr>
          <w:rFonts w:ascii="Cambria" w:hAnsi="Cambria"/>
          <w:i/>
          <w:iCs/>
          <w:sz w:val="20"/>
          <w:szCs w:val="20"/>
          <w:lang w:val="es-ES"/>
        </w:rPr>
        <w:t>”</w:t>
      </w:r>
      <w:r w:rsidR="00372BF2">
        <w:rPr>
          <w:rStyle w:val="FootnoteReference"/>
          <w:rFonts w:ascii="Cambria" w:hAnsi="Cambria"/>
          <w:i/>
          <w:iCs/>
          <w:sz w:val="20"/>
          <w:szCs w:val="20"/>
          <w:lang w:val="es-ES"/>
        </w:rPr>
        <w:footnoteReference w:id="10"/>
      </w:r>
      <w:r w:rsidR="00473699">
        <w:rPr>
          <w:rFonts w:ascii="Cambria" w:hAnsi="Cambria"/>
          <w:i/>
          <w:iCs/>
          <w:sz w:val="20"/>
          <w:szCs w:val="20"/>
          <w:lang w:val="es-ES"/>
        </w:rPr>
        <w:t xml:space="preserve">. </w:t>
      </w:r>
      <w:r>
        <w:rPr>
          <w:rFonts w:ascii="Cambria" w:hAnsi="Cambria"/>
          <w:sz w:val="20"/>
          <w:szCs w:val="20"/>
          <w:lang w:val="es-ES"/>
        </w:rPr>
        <w:t xml:space="preserve">En consecuencia, siguiendo la citada jurisprudencia, la Comisión considera que, a efectos de determinar la admisibilidad de un asunto sobre esta temática, debe determinar si </w:t>
      </w:r>
      <w:r w:rsidR="004D0E62">
        <w:rPr>
          <w:rFonts w:ascii="Cambria" w:hAnsi="Cambria"/>
          <w:sz w:val="20"/>
          <w:szCs w:val="20"/>
          <w:lang w:val="es-ES"/>
        </w:rPr>
        <w:t>la citada vía recursiva estuvo a disposición de las presuntas víctimas tras la emisión de su condena</w:t>
      </w:r>
      <w:r w:rsidR="007425E4">
        <w:rPr>
          <w:rFonts w:ascii="Cambria" w:hAnsi="Cambria"/>
          <w:sz w:val="20"/>
          <w:szCs w:val="20"/>
          <w:lang w:val="es-ES"/>
        </w:rPr>
        <w:t>,</w:t>
      </w:r>
      <w:r w:rsidR="004D0E62">
        <w:rPr>
          <w:rFonts w:ascii="Cambria" w:hAnsi="Cambria"/>
          <w:sz w:val="20"/>
          <w:szCs w:val="20"/>
          <w:lang w:val="es-ES"/>
        </w:rPr>
        <w:t xml:space="preserve"> y de ser este el supuesto, verificar si agotaron o no tal recurso. </w:t>
      </w:r>
    </w:p>
    <w:p w14:paraId="2921397D" w14:textId="5414DCAE" w:rsidR="00EE7817" w:rsidRDefault="004727B2" w:rsidP="00EE78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Pr>
          <w:rFonts w:ascii="Cambria" w:hAnsi="Cambria"/>
          <w:sz w:val="20"/>
          <w:szCs w:val="20"/>
          <w:lang w:val="es-ES"/>
        </w:rPr>
        <w:lastRenderedPageBreak/>
        <w:t xml:space="preserve">Finalmente, a efectos del análisis </w:t>
      </w:r>
      <w:r w:rsidR="00CE3C79">
        <w:rPr>
          <w:rFonts w:ascii="Cambria" w:hAnsi="Cambria"/>
          <w:sz w:val="20"/>
          <w:szCs w:val="20"/>
          <w:lang w:val="es-ES"/>
        </w:rPr>
        <w:t>de caracterización de las peticiones</w:t>
      </w:r>
      <w:r>
        <w:rPr>
          <w:rFonts w:ascii="Cambria" w:hAnsi="Cambria"/>
          <w:sz w:val="20"/>
          <w:szCs w:val="20"/>
          <w:lang w:val="es-ES"/>
        </w:rPr>
        <w:t xml:space="preserve">, la Comisión nota que la Corte Interamericana concluyó en la citada sentencia </w:t>
      </w:r>
      <w:r w:rsidR="008E494B" w:rsidRPr="00AC1660">
        <w:rPr>
          <w:rFonts w:ascii="Cambria" w:hAnsi="Cambria"/>
          <w:sz w:val="20"/>
          <w:szCs w:val="20"/>
          <w:lang w:val="es-ES"/>
        </w:rPr>
        <w:t>que no correspondía “</w:t>
      </w:r>
      <w:r w:rsidR="008E494B" w:rsidRPr="00AC1660">
        <w:rPr>
          <w:rFonts w:ascii="Cambria" w:hAnsi="Cambria"/>
          <w:i/>
          <w:iCs/>
          <w:sz w:val="20"/>
          <w:szCs w:val="20"/>
          <w:lang w:val="es-ES"/>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008E494B" w:rsidRPr="00AC1660">
        <w:rPr>
          <w:rFonts w:ascii="Cambria" w:hAnsi="Cambria"/>
          <w:sz w:val="20"/>
          <w:szCs w:val="20"/>
          <w:lang w:val="es-ES"/>
        </w:rPr>
        <w:t xml:space="preserve"> </w:t>
      </w:r>
      <w:r w:rsidR="0022673B">
        <w:rPr>
          <w:rFonts w:ascii="Cambria" w:hAnsi="Cambria"/>
          <w:sz w:val="20"/>
          <w:szCs w:val="20"/>
          <w:lang w:val="es-ES"/>
        </w:rPr>
        <w:t>[</w:t>
      </w:r>
      <w:r w:rsidR="008E494B" w:rsidRPr="00AC1660">
        <w:rPr>
          <w:rFonts w:ascii="Cambria" w:hAnsi="Cambria"/>
          <w:sz w:val="20"/>
          <w:szCs w:val="20"/>
          <w:lang w:val="es-ES"/>
        </w:rPr>
        <w:t>…</w:t>
      </w:r>
      <w:r w:rsidR="0022673B">
        <w:rPr>
          <w:rFonts w:ascii="Cambria" w:hAnsi="Cambria"/>
          <w:sz w:val="20"/>
          <w:szCs w:val="20"/>
          <w:lang w:val="es-ES"/>
        </w:rPr>
        <w:t>]</w:t>
      </w:r>
      <w:r w:rsidR="008E494B" w:rsidRPr="00AC1660">
        <w:rPr>
          <w:rFonts w:ascii="Cambria" w:hAnsi="Cambria"/>
          <w:sz w:val="20"/>
          <w:szCs w:val="20"/>
          <w:lang w:val="es-ES"/>
        </w:rPr>
        <w:t>”</w:t>
      </w:r>
      <w:r w:rsidR="00372BF2">
        <w:rPr>
          <w:rStyle w:val="FootnoteReference"/>
          <w:rFonts w:ascii="Cambria" w:hAnsi="Cambria"/>
          <w:sz w:val="20"/>
          <w:szCs w:val="20"/>
          <w:lang w:val="es-ES"/>
        </w:rPr>
        <w:footnoteReference w:id="11"/>
      </w:r>
      <w:r w:rsidR="008E494B" w:rsidRPr="00AC1660">
        <w:rPr>
          <w:rFonts w:ascii="Cambria" w:hAnsi="Cambria"/>
          <w:sz w:val="20"/>
          <w:szCs w:val="20"/>
          <w:lang w:val="es-ES"/>
        </w:rPr>
        <w:t>.</w:t>
      </w:r>
      <w:r w:rsidR="006A7DCD" w:rsidRPr="00AC1660">
        <w:rPr>
          <w:rFonts w:ascii="Cambria" w:hAnsi="Cambria"/>
          <w:sz w:val="20"/>
          <w:szCs w:val="20"/>
          <w:lang w:val="es-ES"/>
        </w:rPr>
        <w:t xml:space="preserve"> </w:t>
      </w:r>
      <w:r w:rsidR="00CE3C79">
        <w:rPr>
          <w:rFonts w:ascii="Cambria" w:hAnsi="Cambria"/>
          <w:sz w:val="20"/>
          <w:szCs w:val="20"/>
          <w:lang w:val="es-ES"/>
        </w:rPr>
        <w:t xml:space="preserve">Asimismo, recuerda que en la resolución de supervisión de cumplimiento del 22 de noviembre de 2010 del caso </w:t>
      </w:r>
      <w:r w:rsidR="00CE3C79" w:rsidRPr="00CE3C79">
        <w:rPr>
          <w:rFonts w:ascii="Cambria" w:hAnsi="Cambria"/>
          <w:i/>
          <w:iCs/>
          <w:sz w:val="20"/>
          <w:szCs w:val="20"/>
          <w:lang w:val="es-ES"/>
        </w:rPr>
        <w:t>Herrera Ulloa vs. Costa Rica</w:t>
      </w:r>
      <w:r w:rsidR="00CE3C79">
        <w:rPr>
          <w:rFonts w:ascii="Cambria" w:hAnsi="Cambria"/>
          <w:i/>
          <w:iCs/>
          <w:sz w:val="20"/>
          <w:szCs w:val="20"/>
          <w:lang w:val="es-ES"/>
        </w:rPr>
        <w:t xml:space="preserve">, </w:t>
      </w:r>
      <w:r w:rsidR="00CE3C79">
        <w:rPr>
          <w:rFonts w:ascii="Cambria" w:hAnsi="Cambria"/>
          <w:sz w:val="20"/>
          <w:szCs w:val="20"/>
          <w:lang w:val="es-ES"/>
        </w:rPr>
        <w:t xml:space="preserve">el Tribunal valoró positivamente las reformas introducidas </w:t>
      </w:r>
      <w:r w:rsidR="00EE7817">
        <w:rPr>
          <w:rFonts w:ascii="Cambria" w:hAnsi="Cambria"/>
          <w:sz w:val="20"/>
          <w:szCs w:val="20"/>
          <w:lang w:val="es-ES"/>
        </w:rPr>
        <w:t>en la legislación procesal penal y, en virtud de tales modificaciones, concluyó que “</w:t>
      </w:r>
      <w:r w:rsidR="00EE7817" w:rsidRPr="00EE7817">
        <w:rPr>
          <w:rFonts w:ascii="Cambria" w:hAnsi="Cambria"/>
          <w:i/>
          <w:iCs/>
          <w:sz w:val="20"/>
          <w:szCs w:val="20"/>
          <w:lang w:val="es-ES"/>
        </w:rPr>
        <w:t>al garantizar la posibilidad de un amplio control de la sentencia emitida por un tribunal de juicio en materia penal a nivel interno</w:t>
      </w:r>
      <w:r w:rsidR="00EE7817">
        <w:rPr>
          <w:rFonts w:ascii="Cambria" w:hAnsi="Cambria"/>
          <w:sz w:val="20"/>
          <w:szCs w:val="20"/>
          <w:lang w:val="es-ES"/>
        </w:rPr>
        <w:t>”</w:t>
      </w:r>
      <w:r w:rsidR="00EE7817">
        <w:rPr>
          <w:rStyle w:val="FootnoteReference"/>
          <w:rFonts w:ascii="Cambria" w:hAnsi="Cambria"/>
          <w:sz w:val="20"/>
          <w:szCs w:val="20"/>
          <w:lang w:val="es-ES"/>
        </w:rPr>
        <w:footnoteReference w:id="12"/>
      </w:r>
      <w:r w:rsidR="00EE7817" w:rsidRPr="00EE7817">
        <w:rPr>
          <w:rFonts w:ascii="Cambria" w:hAnsi="Cambria"/>
          <w:sz w:val="20"/>
          <w:szCs w:val="20"/>
          <w:lang w:val="es-ES"/>
        </w:rPr>
        <w:t>, Costa Rica ha</w:t>
      </w:r>
      <w:r w:rsidR="00EE7817">
        <w:rPr>
          <w:rFonts w:ascii="Cambria" w:hAnsi="Cambria"/>
          <w:sz w:val="20"/>
          <w:szCs w:val="20"/>
          <w:lang w:val="es-ES"/>
        </w:rPr>
        <w:t xml:space="preserve">bía cumplido con adecuar su legislación interna. </w:t>
      </w:r>
    </w:p>
    <w:p w14:paraId="043B57C7" w14:textId="0B0E4539" w:rsidR="004D0E62" w:rsidRPr="00CE3C79" w:rsidRDefault="004D0E62" w:rsidP="00CE3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ES"/>
        </w:rPr>
        <w:t>Sin perjuicio de ello, la Comisión destaca que las citadas normas</w:t>
      </w:r>
      <w:r w:rsidRPr="00FE134D">
        <w:rPr>
          <w:rFonts w:ascii="Cambria" w:hAnsi="Cambria" w:cs="Calibri"/>
          <w:sz w:val="20"/>
          <w:szCs w:val="20"/>
          <w:lang w:val="es-AR"/>
        </w:rPr>
        <w:t xml:space="preserve"> reconocieron a aquellos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CE3C79">
        <w:rPr>
          <w:rFonts w:ascii="Cambria" w:hAnsi="Cambria" w:cs="Calibri"/>
          <w:i/>
          <w:iCs/>
          <w:sz w:val="20"/>
          <w:szCs w:val="20"/>
          <w:lang w:val="es-AR"/>
        </w:rPr>
        <w:t>el agravio y los aspectos de hecho y derecho que no fueron posibles de conocer en casación</w:t>
      </w:r>
      <w:r w:rsidRPr="00FE134D">
        <w:rPr>
          <w:rFonts w:ascii="Cambria" w:hAnsi="Cambria" w:cs="Calibri"/>
          <w:sz w:val="20"/>
          <w:szCs w:val="20"/>
          <w:lang w:val="es-AR"/>
        </w:rPr>
        <w:t>”. Por su parte, el Transitorio III de la ley 8837 demandaba para la procedencia del procedimiento de revisión que el condenado “</w:t>
      </w:r>
      <w:r w:rsidRPr="00CE3C79">
        <w:rPr>
          <w:rFonts w:ascii="Cambria" w:hAnsi="Cambria" w:cs="Calibri"/>
          <w:i/>
          <w:iCs/>
          <w:sz w:val="20"/>
          <w:szCs w:val="20"/>
          <w:lang w:val="es-AR"/>
        </w:rPr>
        <w:t>haya alegado con anterioridad la vulneración del artículo 8.2.h de la Convención</w:t>
      </w:r>
      <w:r w:rsidRPr="00FE134D">
        <w:rPr>
          <w:rFonts w:ascii="Cambria" w:hAnsi="Cambria" w:cs="Calibri"/>
          <w:sz w:val="20"/>
          <w:szCs w:val="20"/>
          <w:lang w:val="es-AR"/>
        </w:rPr>
        <w:t xml:space="preserve">”.   </w:t>
      </w:r>
    </w:p>
    <w:p w14:paraId="73A31B72" w14:textId="7A898AF8" w:rsidR="004D0E62" w:rsidRPr="00CE3C79" w:rsidRDefault="00CE3C79" w:rsidP="004D0E6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AR"/>
        </w:rPr>
      </w:pPr>
      <w:r>
        <w:rPr>
          <w:rFonts w:cs="Calibri"/>
          <w:sz w:val="20"/>
          <w:szCs w:val="20"/>
          <w:lang w:val="es-AR"/>
        </w:rPr>
        <w:t>En tal sentido, l</w:t>
      </w:r>
      <w:r w:rsidR="004D0E62" w:rsidRPr="00FE134D">
        <w:rPr>
          <w:rFonts w:cs="Calibri"/>
          <w:sz w:val="20"/>
          <w:szCs w:val="20"/>
          <w:lang w:val="es-AR"/>
        </w:rPr>
        <w:t>a Comisión reafirma que la manera en que se encontraba regulado el procedimiento de revisión establecido por el Transitorio I de la ley 8503 podía generar limitaciones en términos de la accesibilidad del recurso</w:t>
      </w:r>
      <w:r w:rsidR="009B3AAF">
        <w:rPr>
          <w:rFonts w:cs="Calibri"/>
          <w:sz w:val="20"/>
          <w:szCs w:val="20"/>
          <w:lang w:val="es-AR"/>
        </w:rPr>
        <w:t>,</w:t>
      </w:r>
      <w:r w:rsidR="004D0E62" w:rsidRPr="00FE134D">
        <w:rPr>
          <w:rFonts w:cs="Calibri"/>
          <w:sz w:val="20"/>
          <w:szCs w:val="20"/>
          <w:lang w:val="es-AR"/>
        </w:rPr>
        <w:t xml:space="preserve"> y, en consecuencia, no garantiza en sí mismo el derecho a la revisión integral del fallo condenatorio a todos aquellos que fueron condenados durante la vigencia del texto originario del Código Procesal Penal</w:t>
      </w:r>
      <w:r w:rsidR="004D0E62" w:rsidRPr="00FE134D">
        <w:rPr>
          <w:rStyle w:val="FootnoteReference"/>
          <w:rFonts w:cs="Calibri"/>
          <w:sz w:val="20"/>
          <w:szCs w:val="20"/>
          <w:lang w:val="es-AR"/>
        </w:rPr>
        <w:footnoteReference w:id="13"/>
      </w:r>
      <w:r w:rsidR="004D0E62" w:rsidRPr="00FE134D">
        <w:rPr>
          <w:rFonts w:cs="Calibri"/>
          <w:sz w:val="20"/>
          <w:szCs w:val="20"/>
          <w:lang w:val="es-AR"/>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3171ED68" w14:textId="77777777" w:rsidR="00CE3C79" w:rsidRPr="00FE134D" w:rsidRDefault="00CE3C79" w:rsidP="00CE3C7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AR"/>
        </w:rPr>
      </w:pPr>
    </w:p>
    <w:p w14:paraId="6EE6ACAB" w14:textId="74A13470" w:rsidR="00CE3C79" w:rsidRDefault="00CE3C79" w:rsidP="00CE3C7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AR"/>
        </w:rPr>
      </w:pPr>
      <w:r w:rsidRPr="00FE134D">
        <w:rPr>
          <w:sz w:val="20"/>
          <w:szCs w:val="20"/>
          <w:lang w:val="es-AR"/>
        </w:rPr>
        <w:t>No obstante, la Comisión reconoce, en primer término, que la Sala Constitucional de la Corte Suprema de Justicia de Costa Rica se refirió en reiterados pronunciamientos a la necesidad de “</w:t>
      </w:r>
      <w:r w:rsidRPr="00CE3C79">
        <w:rPr>
          <w:i/>
          <w:iCs/>
          <w:sz w:val="20"/>
          <w:szCs w:val="20"/>
          <w:lang w:val="es-AR"/>
        </w:rPr>
        <w:t>asegurar el derecho al recurso, excluyendo formalismos que impidieran la revisión de las sentencias de condena, a fin de satisfacer lo dispuesto por el artículo 8.2.h de la Convención</w:t>
      </w:r>
      <w:r w:rsidRPr="00FE134D">
        <w:rPr>
          <w:sz w:val="20"/>
          <w:szCs w:val="20"/>
          <w:lang w:val="es-AR"/>
        </w:rPr>
        <w:t>”</w:t>
      </w:r>
      <w:r w:rsidRPr="00FE134D">
        <w:rPr>
          <w:rStyle w:val="FootnoteReference"/>
          <w:sz w:val="20"/>
          <w:szCs w:val="20"/>
          <w:lang w:val="es-AR"/>
        </w:rPr>
        <w:footnoteReference w:id="14"/>
      </w:r>
      <w:r w:rsidRPr="00FE134D">
        <w:rPr>
          <w:sz w:val="20"/>
          <w:szCs w:val="20"/>
          <w:lang w:val="es-AR"/>
        </w:rPr>
        <w:t>.</w:t>
      </w:r>
    </w:p>
    <w:p w14:paraId="6DF044FE" w14:textId="77777777" w:rsidR="00CE3C79" w:rsidRDefault="00CE3C79" w:rsidP="00CE3C7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AR"/>
        </w:rPr>
      </w:pPr>
    </w:p>
    <w:p w14:paraId="469E0290" w14:textId="41C651C3" w:rsidR="00CE3C79" w:rsidRPr="00CE3C79" w:rsidRDefault="00CE3C79" w:rsidP="00CE3C7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AR"/>
        </w:rPr>
      </w:pPr>
      <w:r>
        <w:rPr>
          <w:sz w:val="20"/>
          <w:szCs w:val="20"/>
          <w:lang w:val="es-AR"/>
        </w:rPr>
        <w:t xml:space="preserve">Asimismo, </w:t>
      </w:r>
      <w:r w:rsidRPr="00CE3C79">
        <w:rPr>
          <w:sz w:val="20"/>
          <w:szCs w:val="20"/>
          <w:lang w:val="es-AR"/>
        </w:rPr>
        <w:t>la CIDH considera que, a pesar de los obstáculos</w:t>
      </w:r>
      <w:r w:rsidRPr="00CE3C79">
        <w:rPr>
          <w:sz w:val="20"/>
          <w:szCs w:val="20"/>
          <w:lang w:val="es-ES"/>
        </w:rPr>
        <w:t xml:space="preserve">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CE3C79">
        <w:rPr>
          <w:i/>
          <w:iCs/>
          <w:sz w:val="20"/>
          <w:szCs w:val="20"/>
          <w:lang w:val="es-ES"/>
        </w:rPr>
        <w:t>Herrera Ulloa</w:t>
      </w:r>
      <w:r w:rsidRPr="00CE3C79">
        <w:rPr>
          <w:sz w:val="20"/>
          <w:szCs w:val="20"/>
          <w:lang w:val="es-ES"/>
        </w:rPr>
        <w:t xml:space="preserve">. </w:t>
      </w:r>
    </w:p>
    <w:p w14:paraId="2A0216E3" w14:textId="77777777" w:rsidR="00CE3C79" w:rsidRPr="00CE3C79" w:rsidRDefault="00CE3C79" w:rsidP="00CE3C7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AR"/>
        </w:rPr>
      </w:pPr>
    </w:p>
    <w:p w14:paraId="268E6C5F" w14:textId="40E04829" w:rsidR="00CE3C79" w:rsidRPr="00CE3C79" w:rsidRDefault="00CE3C79" w:rsidP="00CE3C7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AR"/>
        </w:rPr>
      </w:pPr>
      <w:r w:rsidRPr="00CE3C79">
        <w:rPr>
          <w:sz w:val="20"/>
          <w:szCs w:val="20"/>
          <w:lang w:val="es-ES"/>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773D29F4" w14:textId="77777777" w:rsidR="00CE3C79" w:rsidRPr="00CE3C79" w:rsidRDefault="00CE3C79" w:rsidP="00CE3C7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AR"/>
        </w:rPr>
      </w:pPr>
    </w:p>
    <w:p w14:paraId="793C078C" w14:textId="19646A38" w:rsidR="00CE3C79" w:rsidRPr="00CE3C79" w:rsidRDefault="00CE3C79" w:rsidP="00CE3C7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AR"/>
        </w:rPr>
      </w:pPr>
      <w:r w:rsidRPr="00CE3C79">
        <w:rPr>
          <w:sz w:val="20"/>
          <w:szCs w:val="20"/>
          <w:lang w:val="es-ES"/>
        </w:rPr>
        <w:t xml:space="preserve">En consecuencia, teniendo en cuenta las especificidades existentes respecto de este tema en el sistema costarricense, como resultado de las sentencias dictadas por el sistema interamericano, y </w:t>
      </w:r>
      <w:r w:rsidR="00331D9E">
        <w:rPr>
          <w:sz w:val="20"/>
          <w:szCs w:val="20"/>
          <w:lang w:val="es-ES"/>
        </w:rPr>
        <w:lastRenderedPageBreak/>
        <w:t>concretamente</w:t>
      </w:r>
      <w:r w:rsidRPr="00CE3C79">
        <w:rPr>
          <w:sz w:val="20"/>
          <w:szCs w:val="20"/>
          <w:lang w:val="es-ES"/>
        </w:rPr>
        <w:t xml:space="preserve"> con lo señalado por la Corte IDH en el caso “Amrhein”, la Comisión considera que no resulta apropiado realizar una evaluación en abstracto de cada uno de los recursos disponibles en la legislación procesal penal, sino que se debe efectuar “</w:t>
      </w:r>
      <w:r w:rsidRPr="00CE3C79">
        <w:rPr>
          <w:i/>
          <w:iCs/>
          <w:sz w:val="20"/>
          <w:szCs w:val="20"/>
          <w:lang w:val="es-ES"/>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CE3C79">
        <w:rPr>
          <w:sz w:val="20"/>
          <w:szCs w:val="20"/>
          <w:lang w:val="es-ES"/>
        </w:rPr>
        <w:t>”</w:t>
      </w:r>
      <w:r w:rsidRPr="00FE134D">
        <w:rPr>
          <w:rStyle w:val="FootnoteReference"/>
          <w:sz w:val="20"/>
          <w:szCs w:val="20"/>
          <w:lang w:val="es-ES"/>
        </w:rPr>
        <w:footnoteReference w:id="15"/>
      </w:r>
      <w:r w:rsidRPr="00CE3C79">
        <w:rPr>
          <w:sz w:val="20"/>
          <w:szCs w:val="20"/>
          <w:lang w:val="es-ES"/>
        </w:rPr>
        <w:t xml:space="preserve">. </w:t>
      </w:r>
      <w:r w:rsidR="00755B96">
        <w:rPr>
          <w:sz w:val="20"/>
          <w:szCs w:val="20"/>
          <w:lang w:val="es-ES"/>
        </w:rPr>
        <w:t xml:space="preserve">Lo que en principio </w:t>
      </w:r>
      <w:r w:rsidR="004C4835">
        <w:rPr>
          <w:sz w:val="20"/>
          <w:szCs w:val="20"/>
          <w:lang w:val="es-ES"/>
        </w:rPr>
        <w:t xml:space="preserve">requiere de un análisis de fondo por parte de la CIDH, salvo que </w:t>
      </w:r>
      <w:r w:rsidR="00DA556B">
        <w:rPr>
          <w:sz w:val="20"/>
          <w:szCs w:val="20"/>
          <w:lang w:val="es-ES"/>
        </w:rPr>
        <w:t xml:space="preserve">de la información de las partes se </w:t>
      </w:r>
      <w:r w:rsidR="005E347E">
        <w:rPr>
          <w:sz w:val="20"/>
          <w:szCs w:val="20"/>
          <w:lang w:val="es-ES"/>
        </w:rPr>
        <w:t>observe que los hechos planteados por le peticionario</w:t>
      </w:r>
      <w:r w:rsidR="00F30091">
        <w:rPr>
          <w:sz w:val="20"/>
          <w:szCs w:val="20"/>
          <w:lang w:val="es-ES"/>
        </w:rPr>
        <w:t xml:space="preserve"> no caractericen </w:t>
      </w:r>
      <w:r w:rsidR="00F30091" w:rsidRPr="00F30091">
        <w:rPr>
          <w:i/>
          <w:iCs/>
          <w:sz w:val="20"/>
          <w:szCs w:val="20"/>
          <w:lang w:val="es-ES"/>
        </w:rPr>
        <w:t>prima facie</w:t>
      </w:r>
      <w:r w:rsidR="00F30091">
        <w:rPr>
          <w:sz w:val="20"/>
          <w:szCs w:val="20"/>
          <w:lang w:val="es-ES"/>
        </w:rPr>
        <w:t xml:space="preserve"> violaciones a la Convención Americana, en los términos de su artículo 47</w:t>
      </w:r>
      <w:r w:rsidR="004C4835">
        <w:rPr>
          <w:sz w:val="20"/>
          <w:szCs w:val="20"/>
          <w:lang w:val="es-ES"/>
        </w:rPr>
        <w:t>.</w:t>
      </w:r>
    </w:p>
    <w:p w14:paraId="6F4D4171" w14:textId="3355B282" w:rsidR="003239B8" w:rsidRPr="00E64C3D" w:rsidRDefault="009930D6" w:rsidP="003239B8">
      <w:pPr>
        <w:spacing w:before="240" w:after="240"/>
        <w:ind w:firstLine="720"/>
        <w:jc w:val="both"/>
        <w:rPr>
          <w:rFonts w:ascii="Cambria" w:hAnsi="Cambria"/>
          <w:sz w:val="20"/>
          <w:szCs w:val="20"/>
          <w:lang w:val="es-UY"/>
        </w:rPr>
      </w:pPr>
      <w:r>
        <w:rPr>
          <w:rFonts w:asciiTheme="majorHAnsi" w:eastAsia="Cambria" w:hAnsiTheme="majorHAnsi" w:cs="Cambria"/>
          <w:b/>
          <w:bCs/>
          <w:color w:val="000000"/>
          <w:sz w:val="20"/>
          <w:szCs w:val="20"/>
          <w:u w:color="000000"/>
          <w:lang w:val="es-ES" w:eastAsia="es-ES"/>
        </w:rPr>
        <w:t>VI</w:t>
      </w:r>
      <w:r w:rsidR="006F3221">
        <w:rPr>
          <w:rFonts w:asciiTheme="majorHAnsi" w:eastAsia="Cambria" w:hAnsiTheme="majorHAnsi" w:cs="Cambria"/>
          <w:b/>
          <w:bCs/>
          <w:color w:val="000000"/>
          <w:sz w:val="20"/>
          <w:szCs w:val="20"/>
          <w:u w:color="000000"/>
          <w:lang w:val="es-ES" w:eastAsia="es-ES"/>
        </w:rPr>
        <w:t>I</w:t>
      </w:r>
      <w:r>
        <w:rPr>
          <w:rFonts w:asciiTheme="majorHAnsi" w:eastAsia="Cambria" w:hAnsiTheme="majorHAnsi" w:cs="Cambria"/>
          <w:b/>
          <w:bCs/>
          <w:color w:val="000000"/>
          <w:sz w:val="20"/>
          <w:szCs w:val="20"/>
          <w:u w:color="000000"/>
          <w:lang w:val="es-ES" w:eastAsia="es-ES"/>
        </w:rPr>
        <w:t xml:space="preserve">. </w:t>
      </w:r>
      <w:r w:rsidR="00E374A8">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3004D939" w14:textId="2D9EFABE" w:rsidR="00B1412E" w:rsidRPr="0093035A" w:rsidRDefault="00CE3C79" w:rsidP="00B141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5C6704">
        <w:rPr>
          <w:rFonts w:ascii="Cambria" w:hAnsi="Cambria"/>
          <w:sz w:val="20"/>
          <w:szCs w:val="20"/>
          <w:lang w:val="es-ES"/>
        </w:rPr>
        <w:t xml:space="preserve">Con base en las consideraciones previamente expuestas, la Comisión observa que, en el presente </w:t>
      </w:r>
      <w:r w:rsidR="00DC7C2C">
        <w:rPr>
          <w:rFonts w:ascii="Cambria" w:hAnsi="Cambria"/>
          <w:sz w:val="20"/>
          <w:szCs w:val="20"/>
          <w:lang w:val="es-ES"/>
        </w:rPr>
        <w:t>asunto</w:t>
      </w:r>
      <w:r w:rsidRPr="005C6704">
        <w:rPr>
          <w:rFonts w:ascii="Cambria" w:hAnsi="Cambria"/>
          <w:sz w:val="20"/>
          <w:szCs w:val="20"/>
          <w:lang w:val="es-ES"/>
        </w:rPr>
        <w:t xml:space="preserve">, </w:t>
      </w:r>
      <w:r w:rsidR="005C6704" w:rsidRPr="005C6704">
        <w:rPr>
          <w:rFonts w:ascii="Cambria" w:hAnsi="Cambria"/>
          <w:sz w:val="20"/>
          <w:szCs w:val="20"/>
          <w:lang w:val="es-ES"/>
        </w:rPr>
        <w:t xml:space="preserve">el 29 de junio de 2007 la Tercera Sala Penal de la Corte Suprema de Justicia desestimó el recurso de casación interpuesto por el señor Miron Bender contra su sentencia condenatoria del 18 de mayo de 2006. </w:t>
      </w:r>
      <w:r w:rsidR="005C6704" w:rsidRPr="005C6704">
        <w:rPr>
          <w:rFonts w:ascii="Cambria" w:hAnsi="Cambria"/>
          <w:sz w:val="20"/>
          <w:szCs w:val="20"/>
          <w:lang w:val="es-AR"/>
        </w:rPr>
        <w:t xml:space="preserve">Sobre este punto, el Estado plantea, en otros alegatos, que la presunta víctima </w:t>
      </w:r>
      <w:r w:rsidR="005C6704">
        <w:rPr>
          <w:rFonts w:ascii="Cambria" w:hAnsi="Cambria"/>
          <w:sz w:val="20"/>
          <w:szCs w:val="20"/>
          <w:lang w:val="es-AR"/>
        </w:rPr>
        <w:t xml:space="preserve">podía solicitar la revisión </w:t>
      </w:r>
      <w:r w:rsidR="005C6704" w:rsidRPr="0093035A">
        <w:rPr>
          <w:rFonts w:ascii="Cambria" w:hAnsi="Cambria"/>
          <w:sz w:val="20"/>
          <w:szCs w:val="20"/>
          <w:lang w:val="es-AR"/>
        </w:rPr>
        <w:t xml:space="preserve">integral de su condena mediante los mecanismos especiales de revisión, establecidos en Transitorio I de la Ley N.º 8503 y en el Transitorio IIII de la Ley N.º 8837, y a pesar de ello no utilizó </w:t>
      </w:r>
      <w:r w:rsidR="00DC7C2C" w:rsidRPr="0093035A">
        <w:rPr>
          <w:rFonts w:ascii="Cambria" w:hAnsi="Cambria"/>
          <w:sz w:val="20"/>
          <w:szCs w:val="20"/>
          <w:lang w:val="es-AR"/>
        </w:rPr>
        <w:t>estas</w:t>
      </w:r>
      <w:r w:rsidR="005C6704" w:rsidRPr="0093035A">
        <w:rPr>
          <w:rFonts w:ascii="Cambria" w:hAnsi="Cambria"/>
          <w:sz w:val="20"/>
          <w:szCs w:val="20"/>
          <w:lang w:val="es-AR"/>
        </w:rPr>
        <w:t xml:space="preserve"> vías. </w:t>
      </w:r>
    </w:p>
    <w:p w14:paraId="6A7F0052" w14:textId="020916A1" w:rsidR="003538C3" w:rsidRPr="0093035A" w:rsidRDefault="00EE0AB1" w:rsidP="00FA5A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3035A">
        <w:rPr>
          <w:rFonts w:ascii="Cambria" w:hAnsi="Cambria"/>
          <w:sz w:val="20"/>
          <w:szCs w:val="20"/>
          <w:lang w:val="es-AR"/>
        </w:rPr>
        <w:t>Conforme a los alegatos expuestos, la Comisión observa que el Estado cumplió con su deber de especificar los recursos internos que no fueron agotados y las razones por las cuáles</w:t>
      </w:r>
      <w:r w:rsidR="00980ECE" w:rsidRPr="0093035A">
        <w:rPr>
          <w:rFonts w:ascii="Cambria" w:hAnsi="Cambria"/>
          <w:sz w:val="20"/>
          <w:szCs w:val="20"/>
          <w:lang w:val="es-AR"/>
        </w:rPr>
        <w:t xml:space="preserve"> </w:t>
      </w:r>
      <w:r w:rsidRPr="0093035A">
        <w:rPr>
          <w:rFonts w:ascii="Cambria" w:hAnsi="Cambria"/>
          <w:sz w:val="20"/>
          <w:szCs w:val="20"/>
          <w:lang w:val="es-AR"/>
        </w:rPr>
        <w:t>estos resulta</w:t>
      </w:r>
      <w:r w:rsidR="00313C9E" w:rsidRPr="0093035A">
        <w:rPr>
          <w:rFonts w:ascii="Cambria" w:hAnsi="Cambria"/>
          <w:sz w:val="20"/>
          <w:szCs w:val="20"/>
          <w:lang w:val="es-AR"/>
        </w:rPr>
        <w:t>ban</w:t>
      </w:r>
      <w:r w:rsidRPr="0093035A">
        <w:rPr>
          <w:rFonts w:ascii="Cambria" w:hAnsi="Cambria"/>
          <w:sz w:val="20"/>
          <w:szCs w:val="20"/>
          <w:lang w:val="es-AR"/>
        </w:rPr>
        <w:t xml:space="preserve"> adecuados y efectivos para solventar la situación jurídica de la presunta víctima</w:t>
      </w:r>
      <w:r w:rsidR="00FA5AD5" w:rsidRPr="0093035A">
        <w:rPr>
          <w:rFonts w:ascii="Cambria" w:hAnsi="Cambria"/>
          <w:sz w:val="20"/>
          <w:szCs w:val="20"/>
          <w:lang w:val="es-AR"/>
        </w:rPr>
        <w:t xml:space="preserve">. </w:t>
      </w:r>
      <w:r w:rsidR="0020729B" w:rsidRPr="0093035A">
        <w:rPr>
          <w:rFonts w:ascii="Cambria" w:hAnsi="Cambria"/>
          <w:sz w:val="20"/>
          <w:szCs w:val="20"/>
          <w:lang w:val="es-AR"/>
        </w:rPr>
        <w:t>D</w:t>
      </w:r>
      <w:r w:rsidR="00FA5AD5" w:rsidRPr="0093035A">
        <w:rPr>
          <w:rFonts w:ascii="Cambria" w:hAnsi="Cambria"/>
          <w:sz w:val="20"/>
          <w:szCs w:val="20"/>
          <w:lang w:val="es-ES"/>
        </w:rPr>
        <w:t xml:space="preserve">esde su primera jurisprudencia la Corte </w:t>
      </w:r>
      <w:r w:rsidR="0020729B" w:rsidRPr="0093035A">
        <w:rPr>
          <w:rFonts w:ascii="Cambria" w:hAnsi="Cambria"/>
          <w:sz w:val="20"/>
          <w:szCs w:val="20"/>
          <w:lang w:val="es-ES"/>
        </w:rPr>
        <w:t>IDH</w:t>
      </w:r>
      <w:r w:rsidR="00FA5AD5" w:rsidRPr="0093035A">
        <w:rPr>
          <w:rFonts w:ascii="Cambria" w:hAnsi="Cambria"/>
          <w:sz w:val="20"/>
          <w:szCs w:val="20"/>
          <w:lang w:val="es-ES"/>
        </w:rPr>
        <w:t xml:space="preserve"> estableció que </w:t>
      </w:r>
      <w:r w:rsidR="001B27CB" w:rsidRPr="0093035A">
        <w:rPr>
          <w:rFonts w:ascii="Cambria" w:hAnsi="Cambria"/>
          <w:sz w:val="20"/>
          <w:szCs w:val="20"/>
          <w:lang w:val="es-ES"/>
        </w:rPr>
        <w:t>“</w:t>
      </w:r>
      <w:r w:rsidR="00FA5AD5" w:rsidRPr="0093035A">
        <w:rPr>
          <w:rFonts w:ascii="Cambria" w:hAnsi="Cambria"/>
          <w:i/>
          <w:iCs/>
          <w:sz w:val="20"/>
          <w:szCs w:val="20"/>
          <w:lang w:val="es-ES"/>
        </w:rPr>
        <w:t>el Estado que alega el no agotamiento tiene a su cargo el señalamiento de los recursos internos que deben agotarse y de su efectividad</w:t>
      </w:r>
      <w:r w:rsidR="001B27CB" w:rsidRPr="0093035A">
        <w:rPr>
          <w:rFonts w:ascii="Cambria" w:hAnsi="Cambria"/>
          <w:sz w:val="20"/>
          <w:szCs w:val="20"/>
          <w:lang w:val="es-ES"/>
        </w:rPr>
        <w:t>”</w:t>
      </w:r>
      <w:r w:rsidRPr="0093035A">
        <w:rPr>
          <w:rStyle w:val="FootnoteReference"/>
          <w:rFonts w:ascii="Cambria" w:hAnsi="Cambria"/>
          <w:sz w:val="20"/>
          <w:szCs w:val="20"/>
          <w:lang w:val="es-AR"/>
        </w:rPr>
        <w:footnoteReference w:id="16"/>
      </w:r>
      <w:r w:rsidRPr="0093035A">
        <w:rPr>
          <w:rFonts w:ascii="Cambria" w:hAnsi="Cambria"/>
          <w:sz w:val="20"/>
          <w:szCs w:val="20"/>
          <w:lang w:val="es-AR"/>
        </w:rPr>
        <w:t>. En concreto,</w:t>
      </w:r>
      <w:r w:rsidR="00313C9E" w:rsidRPr="0093035A">
        <w:rPr>
          <w:rFonts w:ascii="Cambria" w:hAnsi="Cambria"/>
          <w:sz w:val="20"/>
          <w:szCs w:val="20"/>
          <w:lang w:val="es-AR"/>
        </w:rPr>
        <w:t xml:space="preserve"> la información aportada demuestra que, tras la denegatoria de su recurso de casación, </w:t>
      </w:r>
      <w:r w:rsidR="003538C3" w:rsidRPr="0093035A">
        <w:rPr>
          <w:rFonts w:ascii="Cambria" w:hAnsi="Cambria"/>
          <w:sz w:val="20"/>
          <w:szCs w:val="20"/>
          <w:lang w:val="es-AR"/>
        </w:rPr>
        <w:t xml:space="preserve">el señor Miron Bender </w:t>
      </w:r>
      <w:r w:rsidR="00313C9E" w:rsidRPr="0093035A">
        <w:rPr>
          <w:rFonts w:ascii="Cambria" w:hAnsi="Cambria"/>
          <w:sz w:val="20"/>
          <w:szCs w:val="20"/>
          <w:lang w:val="es-AR"/>
        </w:rPr>
        <w:t>tenía a su disposición la vía de revisión especial establecida en el Transitorio I de la Ley N.º 8503 para cuestionar su condena y lograr una revisión integral de</w:t>
      </w:r>
      <w:r w:rsidR="00BE6CCA" w:rsidRPr="0093035A">
        <w:rPr>
          <w:rFonts w:ascii="Cambria" w:hAnsi="Cambria"/>
          <w:sz w:val="20"/>
          <w:szCs w:val="20"/>
          <w:lang w:val="es-AR"/>
        </w:rPr>
        <w:t xml:space="preserve"> tal </w:t>
      </w:r>
      <w:r w:rsidR="00313C9E" w:rsidRPr="0093035A">
        <w:rPr>
          <w:rFonts w:ascii="Cambria" w:hAnsi="Cambria"/>
          <w:sz w:val="20"/>
          <w:szCs w:val="20"/>
          <w:lang w:val="es-AR"/>
        </w:rPr>
        <w:t xml:space="preserve">fallo, toda vez que esta disposición entró en vigor el </w:t>
      </w:r>
      <w:r w:rsidR="00313C9E" w:rsidRPr="0093035A">
        <w:rPr>
          <w:rFonts w:asciiTheme="majorHAnsi" w:hAnsiTheme="majorHAnsi"/>
          <w:bCs/>
          <w:sz w:val="20"/>
          <w:szCs w:val="20"/>
          <w:lang w:val="es-ES_tradnl"/>
        </w:rPr>
        <w:t>6 de</w:t>
      </w:r>
      <w:r w:rsidR="00313C9E" w:rsidRPr="0093035A">
        <w:rPr>
          <w:rFonts w:ascii="Cambria" w:hAnsi="Cambria"/>
          <w:sz w:val="20"/>
          <w:szCs w:val="20"/>
          <w:lang w:val="es-ES"/>
        </w:rPr>
        <w:t xml:space="preserve"> de junio de 2006. </w:t>
      </w:r>
    </w:p>
    <w:p w14:paraId="3CD666CF" w14:textId="59281194" w:rsidR="006F2B79" w:rsidRPr="0093035A" w:rsidRDefault="003538C3" w:rsidP="00BF25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US"/>
        </w:rPr>
      </w:pPr>
      <w:r w:rsidRPr="0093035A">
        <w:rPr>
          <w:rFonts w:ascii="Cambria" w:hAnsi="Cambria"/>
          <w:sz w:val="20"/>
          <w:szCs w:val="20"/>
          <w:lang w:val="es-ES"/>
        </w:rPr>
        <w:t xml:space="preserve">Al respecto, </w:t>
      </w:r>
      <w:r w:rsidR="00313C9E" w:rsidRPr="0093035A">
        <w:rPr>
          <w:rFonts w:ascii="Cambria" w:hAnsi="Cambria"/>
          <w:sz w:val="20"/>
          <w:szCs w:val="20"/>
          <w:lang w:val="es-ES"/>
        </w:rPr>
        <w:t xml:space="preserve">la Comisión reitera que </w:t>
      </w:r>
      <w:r w:rsidRPr="0093035A">
        <w:rPr>
          <w:rFonts w:ascii="Cambria" w:hAnsi="Cambria"/>
          <w:sz w:val="20"/>
          <w:szCs w:val="20"/>
          <w:lang w:val="es-ES"/>
        </w:rPr>
        <w:t xml:space="preserve">la Corte Interamericana consideró que el citado mecanismo, junto con </w:t>
      </w:r>
      <w:r w:rsidRPr="0093035A">
        <w:rPr>
          <w:rFonts w:ascii="Cambria" w:hAnsi="Cambria"/>
          <w:sz w:val="20"/>
          <w:szCs w:val="20"/>
          <w:lang w:val="es-AR"/>
        </w:rPr>
        <w:t>el Transitorio IIII de la Ley N.º 8837, permiten garantizar el derecho a la revisión integral de un fallo condenatorio</w:t>
      </w:r>
      <w:r w:rsidR="0020729B" w:rsidRPr="0093035A">
        <w:rPr>
          <w:rFonts w:ascii="Cambria" w:hAnsi="Cambria"/>
          <w:sz w:val="20"/>
          <w:szCs w:val="20"/>
          <w:lang w:val="es-AR"/>
        </w:rPr>
        <w:t>;</w:t>
      </w:r>
      <w:r w:rsidRPr="0093035A">
        <w:rPr>
          <w:rFonts w:ascii="Cambria" w:hAnsi="Cambria"/>
          <w:sz w:val="20"/>
          <w:szCs w:val="20"/>
          <w:lang w:val="es-AR"/>
        </w:rPr>
        <w:t xml:space="preserve"> y por ende, cumplen con la obligación establecida en</w:t>
      </w:r>
      <w:r w:rsidR="00BE6CCA" w:rsidRPr="0093035A">
        <w:rPr>
          <w:rFonts w:ascii="Cambria" w:hAnsi="Cambria"/>
          <w:sz w:val="20"/>
          <w:szCs w:val="20"/>
          <w:lang w:val="es-AR"/>
        </w:rPr>
        <w:t xml:space="preserve"> el artículo 8.2.h) de la Convención Americana. </w:t>
      </w:r>
      <w:r w:rsidR="00BE6CCA" w:rsidRPr="0093035A">
        <w:rPr>
          <w:rFonts w:ascii="Cambria" w:hAnsi="Cambria"/>
          <w:sz w:val="20"/>
          <w:szCs w:val="20"/>
          <w:lang w:val="es-ES"/>
        </w:rPr>
        <w:t>Bajo este entendimiento,</w:t>
      </w:r>
      <w:r w:rsidR="00313C9E" w:rsidRPr="0093035A">
        <w:rPr>
          <w:rFonts w:ascii="Cambria" w:hAnsi="Cambria"/>
          <w:sz w:val="20"/>
          <w:szCs w:val="20"/>
          <w:lang w:val="es-ES"/>
        </w:rPr>
        <w:t xml:space="preserve"> </w:t>
      </w:r>
      <w:r w:rsidR="001B27CB" w:rsidRPr="0093035A">
        <w:rPr>
          <w:rFonts w:ascii="Cambria" w:hAnsi="Cambria"/>
          <w:sz w:val="20"/>
          <w:szCs w:val="20"/>
          <w:lang w:val="es-ES"/>
        </w:rPr>
        <w:t xml:space="preserve">el precedente del </w:t>
      </w:r>
      <w:r w:rsidR="00313C9E" w:rsidRPr="0093035A">
        <w:rPr>
          <w:rFonts w:ascii="Cambria" w:hAnsi="Cambria"/>
          <w:sz w:val="20"/>
          <w:szCs w:val="20"/>
          <w:lang w:val="es-ES"/>
        </w:rPr>
        <w:t>caso</w:t>
      </w:r>
      <w:r w:rsidR="00313C9E" w:rsidRPr="0093035A">
        <w:rPr>
          <w:rFonts w:ascii="Cambria" w:hAnsi="Cambria"/>
          <w:i/>
          <w:iCs/>
          <w:sz w:val="20"/>
          <w:szCs w:val="20"/>
          <w:lang w:val="es-ES"/>
        </w:rPr>
        <w:t xml:space="preserve"> Amrhein y otros vs. Costa Rica</w:t>
      </w:r>
      <w:r w:rsidR="00313C9E" w:rsidRPr="0093035A">
        <w:rPr>
          <w:rFonts w:ascii="Cambria" w:hAnsi="Cambria"/>
          <w:sz w:val="20"/>
          <w:szCs w:val="20"/>
          <w:lang w:val="es-ES"/>
        </w:rPr>
        <w:t xml:space="preserve"> </w:t>
      </w:r>
      <w:r w:rsidR="00BE6CCA" w:rsidRPr="0093035A">
        <w:rPr>
          <w:rFonts w:ascii="Cambria" w:hAnsi="Cambria"/>
          <w:sz w:val="20"/>
          <w:szCs w:val="20"/>
          <w:lang w:val="es-ES"/>
        </w:rPr>
        <w:t xml:space="preserve">estableció que </w:t>
      </w:r>
      <w:r w:rsidR="00313C9E" w:rsidRPr="0093035A">
        <w:rPr>
          <w:rFonts w:ascii="Cambria" w:hAnsi="Cambria"/>
          <w:sz w:val="20"/>
          <w:szCs w:val="20"/>
          <w:lang w:val="es-ES"/>
        </w:rPr>
        <w:t xml:space="preserve">las presuntas víctimas </w:t>
      </w:r>
      <w:r w:rsidRPr="0093035A">
        <w:rPr>
          <w:rFonts w:ascii="Cambria" w:hAnsi="Cambria"/>
          <w:sz w:val="20"/>
          <w:szCs w:val="20"/>
          <w:lang w:val="es-ES"/>
        </w:rPr>
        <w:t>que aleguen una afectación al derecho contemplado en el</w:t>
      </w:r>
      <w:r w:rsidR="00BE6CCA" w:rsidRPr="0093035A">
        <w:rPr>
          <w:rFonts w:ascii="Cambria" w:hAnsi="Cambria"/>
          <w:sz w:val="20"/>
          <w:szCs w:val="20"/>
          <w:lang w:val="es-ES"/>
        </w:rPr>
        <w:t xml:space="preserve"> citado</w:t>
      </w:r>
      <w:r w:rsidRPr="0093035A">
        <w:rPr>
          <w:rFonts w:ascii="Cambria" w:hAnsi="Cambria"/>
          <w:sz w:val="20"/>
          <w:szCs w:val="20"/>
          <w:lang w:val="es-ES"/>
        </w:rPr>
        <w:t xml:space="preserve"> artículo 8.2.h)</w:t>
      </w:r>
      <w:r w:rsidR="0020729B" w:rsidRPr="0093035A">
        <w:rPr>
          <w:rFonts w:ascii="Cambria" w:hAnsi="Cambria"/>
          <w:sz w:val="20"/>
          <w:szCs w:val="20"/>
          <w:lang w:val="es-ES"/>
        </w:rPr>
        <w:t>,</w:t>
      </w:r>
      <w:r w:rsidRPr="0093035A">
        <w:rPr>
          <w:rFonts w:ascii="Cambria" w:hAnsi="Cambria"/>
          <w:sz w:val="20"/>
          <w:szCs w:val="20"/>
          <w:lang w:val="es-ES"/>
        </w:rPr>
        <w:t xml:space="preserve"> y/</w:t>
      </w:r>
      <w:r w:rsidR="00BE6CCA" w:rsidRPr="0093035A">
        <w:rPr>
          <w:rFonts w:ascii="Cambria" w:hAnsi="Cambria"/>
          <w:sz w:val="20"/>
          <w:szCs w:val="20"/>
          <w:lang w:val="es-ES"/>
        </w:rPr>
        <w:t>u</w:t>
      </w:r>
      <w:r w:rsidRPr="0093035A">
        <w:rPr>
          <w:rFonts w:ascii="Cambria" w:hAnsi="Cambria"/>
          <w:sz w:val="20"/>
          <w:szCs w:val="20"/>
          <w:lang w:val="es-ES"/>
        </w:rPr>
        <w:t xml:space="preserve"> otras garantías vinculadas</w:t>
      </w:r>
      <w:r w:rsidR="0020729B" w:rsidRPr="0093035A">
        <w:rPr>
          <w:rFonts w:ascii="Cambria" w:hAnsi="Cambria"/>
          <w:sz w:val="20"/>
          <w:szCs w:val="20"/>
          <w:lang w:val="es-ES"/>
        </w:rPr>
        <w:t>,</w:t>
      </w:r>
      <w:r w:rsidRPr="0093035A">
        <w:rPr>
          <w:rFonts w:ascii="Cambria" w:hAnsi="Cambria"/>
          <w:sz w:val="20"/>
          <w:szCs w:val="20"/>
          <w:lang w:val="es-ES"/>
        </w:rPr>
        <w:t xml:space="preserve"> deben utilizar tal</w:t>
      </w:r>
      <w:r w:rsidR="00BE6CCA" w:rsidRPr="0093035A">
        <w:rPr>
          <w:rFonts w:ascii="Cambria" w:hAnsi="Cambria"/>
          <w:sz w:val="20"/>
          <w:szCs w:val="20"/>
          <w:lang w:val="es-ES"/>
        </w:rPr>
        <w:t>es</w:t>
      </w:r>
      <w:r w:rsidRPr="0093035A">
        <w:rPr>
          <w:rFonts w:ascii="Cambria" w:hAnsi="Cambria"/>
          <w:sz w:val="20"/>
          <w:szCs w:val="20"/>
          <w:lang w:val="es-ES"/>
        </w:rPr>
        <w:t xml:space="preserve"> vía</w:t>
      </w:r>
      <w:r w:rsidR="00BE6CCA" w:rsidRPr="0093035A">
        <w:rPr>
          <w:rFonts w:ascii="Cambria" w:hAnsi="Cambria"/>
          <w:sz w:val="20"/>
          <w:szCs w:val="20"/>
          <w:lang w:val="es-ES"/>
        </w:rPr>
        <w:t>s</w:t>
      </w:r>
      <w:r w:rsidRPr="0093035A">
        <w:rPr>
          <w:rFonts w:ascii="Cambria" w:hAnsi="Cambria"/>
          <w:sz w:val="20"/>
          <w:szCs w:val="20"/>
          <w:lang w:val="es-ES"/>
        </w:rPr>
        <w:t xml:space="preserve"> si esta</w:t>
      </w:r>
      <w:r w:rsidR="00BE6CCA" w:rsidRPr="0093035A">
        <w:rPr>
          <w:rFonts w:ascii="Cambria" w:hAnsi="Cambria"/>
          <w:sz w:val="20"/>
          <w:szCs w:val="20"/>
          <w:lang w:val="es-ES"/>
        </w:rPr>
        <w:t>s</w:t>
      </w:r>
      <w:r w:rsidRPr="0093035A">
        <w:rPr>
          <w:rFonts w:ascii="Cambria" w:hAnsi="Cambria"/>
          <w:sz w:val="20"/>
          <w:szCs w:val="20"/>
          <w:lang w:val="es-ES"/>
        </w:rPr>
        <w:t xml:space="preserve"> se encontraba</w:t>
      </w:r>
      <w:r w:rsidR="00BE6CCA" w:rsidRPr="0093035A">
        <w:rPr>
          <w:rFonts w:ascii="Cambria" w:hAnsi="Cambria"/>
          <w:sz w:val="20"/>
          <w:szCs w:val="20"/>
          <w:lang w:val="es-ES"/>
        </w:rPr>
        <w:t>n</w:t>
      </w:r>
      <w:r w:rsidRPr="0093035A">
        <w:rPr>
          <w:rFonts w:ascii="Cambria" w:hAnsi="Cambria"/>
          <w:sz w:val="20"/>
          <w:szCs w:val="20"/>
          <w:lang w:val="es-ES"/>
        </w:rPr>
        <w:t xml:space="preserve"> disponible</w:t>
      </w:r>
      <w:r w:rsidR="00BE6CCA" w:rsidRPr="0093035A">
        <w:rPr>
          <w:rFonts w:ascii="Cambria" w:hAnsi="Cambria"/>
          <w:sz w:val="20"/>
          <w:szCs w:val="20"/>
          <w:lang w:val="es-ES"/>
        </w:rPr>
        <w:t>s</w:t>
      </w:r>
      <w:r w:rsidRPr="0093035A">
        <w:rPr>
          <w:rFonts w:ascii="Cambria" w:hAnsi="Cambria"/>
          <w:sz w:val="20"/>
          <w:szCs w:val="20"/>
          <w:lang w:val="es-ES"/>
        </w:rPr>
        <w:t xml:space="preserve"> al momento de los hechos</w:t>
      </w:r>
      <w:r w:rsidR="00BE6CCA" w:rsidRPr="0093035A">
        <w:rPr>
          <w:rFonts w:ascii="Cambria" w:hAnsi="Cambria"/>
          <w:sz w:val="20"/>
          <w:szCs w:val="20"/>
          <w:lang w:val="es-ES"/>
        </w:rPr>
        <w:t>,</w:t>
      </w:r>
      <w:r w:rsidRPr="0093035A">
        <w:rPr>
          <w:rFonts w:ascii="Cambria" w:hAnsi="Cambria"/>
          <w:sz w:val="20"/>
          <w:szCs w:val="20"/>
          <w:lang w:val="es-ES"/>
        </w:rPr>
        <w:t xml:space="preserve"> o de lo contrario </w:t>
      </w:r>
      <w:r w:rsidR="00BE6CCA" w:rsidRPr="0093035A">
        <w:rPr>
          <w:rFonts w:ascii="Cambria" w:hAnsi="Cambria"/>
          <w:sz w:val="20"/>
          <w:szCs w:val="20"/>
          <w:lang w:val="es-ES"/>
        </w:rPr>
        <w:t xml:space="preserve">tienen que </w:t>
      </w:r>
      <w:r w:rsidRPr="0093035A">
        <w:rPr>
          <w:rFonts w:ascii="Cambria" w:hAnsi="Cambria"/>
          <w:sz w:val="20"/>
          <w:szCs w:val="20"/>
          <w:lang w:val="es-ES"/>
        </w:rPr>
        <w:t xml:space="preserve">demostrar su falta de accesibilidad u idoneidad. </w:t>
      </w:r>
      <w:r w:rsidR="001B27CB" w:rsidRPr="0093035A">
        <w:rPr>
          <w:rFonts w:ascii="Cambria" w:hAnsi="Cambria"/>
          <w:sz w:val="20"/>
          <w:szCs w:val="20"/>
          <w:lang w:val="es-ES"/>
        </w:rPr>
        <w:t>En sentido congruente, la Comisión ha considerado también que cuando el Estado cumple con su deber de cuestionar en tiempo y forma el agotamiento de los recursos internos, corresponde a la parte peticionaria</w:t>
      </w:r>
      <w:r w:rsidR="0020729B" w:rsidRPr="0093035A">
        <w:rPr>
          <w:rFonts w:ascii="Cambria" w:hAnsi="Cambria"/>
          <w:sz w:val="20"/>
          <w:szCs w:val="20"/>
          <w:lang w:val="es-ES"/>
        </w:rPr>
        <w:t>, al menos, presentar argumentos de por qué sí cumple con este requisito</w:t>
      </w:r>
      <w:r w:rsidR="001B27CB" w:rsidRPr="0093035A">
        <w:rPr>
          <w:rStyle w:val="FootnoteReference"/>
          <w:rFonts w:ascii="Cambria" w:hAnsi="Cambria" w:cs="Calibri"/>
          <w:sz w:val="20"/>
          <w:szCs w:val="20"/>
        </w:rPr>
        <w:footnoteReference w:id="17"/>
      </w:r>
      <w:r w:rsidR="0020729B" w:rsidRPr="0093035A">
        <w:rPr>
          <w:rFonts w:ascii="Cambria" w:hAnsi="Cambria"/>
          <w:sz w:val="20"/>
          <w:szCs w:val="20"/>
          <w:lang w:val="es-ES"/>
        </w:rPr>
        <w:t>.</w:t>
      </w:r>
    </w:p>
    <w:p w14:paraId="7FCC0673" w14:textId="2A9BBEA5" w:rsidR="00B1412E" w:rsidRPr="0093035A" w:rsidRDefault="00313C9E" w:rsidP="00BE6C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3035A">
        <w:rPr>
          <w:rFonts w:asciiTheme="majorHAnsi" w:hAnsiTheme="majorHAnsi"/>
          <w:sz w:val="20"/>
          <w:szCs w:val="20"/>
          <w:lang w:val="es-ES"/>
        </w:rPr>
        <w:t>En ese sentido, toda vez que la parte peticionaria no presenta a</w:t>
      </w:r>
      <w:r w:rsidR="00BE6CCA" w:rsidRPr="0093035A">
        <w:rPr>
          <w:rFonts w:asciiTheme="majorHAnsi" w:hAnsiTheme="majorHAnsi"/>
          <w:sz w:val="20"/>
          <w:szCs w:val="20"/>
          <w:lang w:val="es-ES"/>
        </w:rPr>
        <w:t>legatos</w:t>
      </w:r>
      <w:r w:rsidRPr="0093035A">
        <w:rPr>
          <w:rFonts w:asciiTheme="majorHAnsi" w:hAnsiTheme="majorHAnsi"/>
          <w:sz w:val="20"/>
          <w:szCs w:val="20"/>
          <w:lang w:val="es-ES"/>
        </w:rPr>
        <w:t xml:space="preserve"> orientados a </w:t>
      </w:r>
      <w:r w:rsidR="003538C3" w:rsidRPr="0093035A">
        <w:rPr>
          <w:rFonts w:asciiTheme="majorHAnsi" w:hAnsiTheme="majorHAnsi"/>
          <w:sz w:val="20"/>
          <w:szCs w:val="20"/>
          <w:lang w:val="es-ES"/>
        </w:rPr>
        <w:t>replicar</w:t>
      </w:r>
      <w:r w:rsidRPr="0093035A">
        <w:rPr>
          <w:rFonts w:asciiTheme="majorHAnsi" w:hAnsiTheme="majorHAnsi"/>
          <w:sz w:val="20"/>
          <w:szCs w:val="20"/>
          <w:lang w:val="es-ES"/>
        </w:rPr>
        <w:t xml:space="preserve"> </w:t>
      </w:r>
      <w:r w:rsidR="003538C3" w:rsidRPr="0093035A">
        <w:rPr>
          <w:rFonts w:asciiTheme="majorHAnsi" w:hAnsiTheme="majorHAnsi"/>
          <w:sz w:val="20"/>
          <w:szCs w:val="20"/>
          <w:lang w:val="es-ES"/>
        </w:rPr>
        <w:t>l</w:t>
      </w:r>
      <w:r w:rsidR="00BE6CCA" w:rsidRPr="0093035A">
        <w:rPr>
          <w:rFonts w:asciiTheme="majorHAnsi" w:hAnsiTheme="majorHAnsi"/>
          <w:sz w:val="20"/>
          <w:szCs w:val="20"/>
          <w:lang w:val="es-ES"/>
        </w:rPr>
        <w:t>os argumentos e información presentados</w:t>
      </w:r>
      <w:r w:rsidR="003538C3" w:rsidRPr="0093035A">
        <w:rPr>
          <w:rFonts w:asciiTheme="majorHAnsi" w:hAnsiTheme="majorHAnsi"/>
          <w:sz w:val="20"/>
          <w:szCs w:val="20"/>
          <w:lang w:val="es-ES"/>
        </w:rPr>
        <w:t xml:space="preserve"> por Costa Rica</w:t>
      </w:r>
      <w:r w:rsidR="001B27CB" w:rsidRPr="0093035A">
        <w:rPr>
          <w:rFonts w:asciiTheme="majorHAnsi" w:hAnsiTheme="majorHAnsi"/>
          <w:sz w:val="20"/>
          <w:szCs w:val="20"/>
          <w:lang w:val="es-ES"/>
        </w:rPr>
        <w:t>;</w:t>
      </w:r>
      <w:r w:rsidR="003538C3" w:rsidRPr="0093035A">
        <w:rPr>
          <w:rFonts w:asciiTheme="majorHAnsi" w:hAnsiTheme="majorHAnsi"/>
          <w:sz w:val="20"/>
          <w:szCs w:val="20"/>
          <w:lang w:val="es-ES"/>
        </w:rPr>
        <w:t xml:space="preserve"> </w:t>
      </w:r>
      <w:r w:rsidR="001B27CB" w:rsidRPr="0093035A">
        <w:rPr>
          <w:rFonts w:asciiTheme="majorHAnsi" w:hAnsiTheme="majorHAnsi"/>
          <w:sz w:val="20"/>
          <w:szCs w:val="20"/>
          <w:lang w:val="es-ES"/>
        </w:rPr>
        <w:t xml:space="preserve">ni </w:t>
      </w:r>
      <w:r w:rsidR="003538C3" w:rsidRPr="0093035A">
        <w:rPr>
          <w:rFonts w:asciiTheme="majorHAnsi" w:hAnsiTheme="majorHAnsi"/>
          <w:sz w:val="20"/>
          <w:szCs w:val="20"/>
          <w:lang w:val="es-ES"/>
        </w:rPr>
        <w:t xml:space="preserve">cuestiona </w:t>
      </w:r>
      <w:r w:rsidR="00BE6CCA" w:rsidRPr="0093035A">
        <w:rPr>
          <w:rFonts w:asciiTheme="majorHAnsi" w:hAnsiTheme="majorHAnsi"/>
          <w:sz w:val="20"/>
          <w:szCs w:val="20"/>
          <w:lang w:val="es-ES"/>
        </w:rPr>
        <w:t xml:space="preserve">que, en el caso en concreto, el mecanismo especial de revisión haya carecido de algún elemento que afecte su idoneidad o eficacia, </w:t>
      </w:r>
      <w:r w:rsidR="003538C3" w:rsidRPr="0093035A">
        <w:rPr>
          <w:rFonts w:asciiTheme="majorHAnsi" w:hAnsiTheme="majorHAnsi"/>
          <w:sz w:val="20"/>
          <w:szCs w:val="20"/>
          <w:lang w:val="es-ES"/>
        </w:rPr>
        <w:t>la Comisión concluye que, en aplicación de los estándares fijados por la Corte Interamericana de Derechos Humanos, el presente asunto no cumple con el requisito previsto en el artículo 46.1.a) de la Convención</w:t>
      </w:r>
      <w:r w:rsidR="008D6FB3" w:rsidRPr="0093035A">
        <w:rPr>
          <w:rFonts w:asciiTheme="majorHAnsi" w:hAnsiTheme="majorHAnsi"/>
          <w:sz w:val="20"/>
          <w:szCs w:val="20"/>
          <w:lang w:val="es-ES"/>
        </w:rPr>
        <w:t xml:space="preserve"> Americana</w:t>
      </w:r>
      <w:r w:rsidR="00B1412E" w:rsidRPr="0093035A">
        <w:rPr>
          <w:rFonts w:asciiTheme="majorHAnsi" w:hAnsiTheme="majorHAnsi"/>
          <w:sz w:val="20"/>
          <w:szCs w:val="20"/>
          <w:lang w:val="es-ES"/>
        </w:rPr>
        <w:t xml:space="preserve"> y, </w:t>
      </w:r>
      <w:r w:rsidR="003538C3" w:rsidRPr="0093035A">
        <w:rPr>
          <w:rFonts w:asciiTheme="majorHAnsi" w:hAnsiTheme="majorHAnsi"/>
          <w:sz w:val="20"/>
          <w:szCs w:val="20"/>
          <w:lang w:val="es-ES"/>
        </w:rPr>
        <w:t>en consecuencia</w:t>
      </w:r>
      <w:r w:rsidR="00B1412E" w:rsidRPr="0093035A">
        <w:rPr>
          <w:rFonts w:asciiTheme="majorHAnsi" w:hAnsiTheme="majorHAnsi"/>
          <w:sz w:val="20"/>
          <w:szCs w:val="20"/>
          <w:lang w:val="es-ES"/>
        </w:rPr>
        <w:t xml:space="preserve">, corresponde declarar inadmisible la presente petición. </w:t>
      </w:r>
    </w:p>
    <w:p w14:paraId="47CF5CBF" w14:textId="648BCE13" w:rsidR="00E453AD" w:rsidRPr="0093035A" w:rsidRDefault="008D6FB3" w:rsidP="00BE6C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93035A">
        <w:rPr>
          <w:rFonts w:asciiTheme="majorHAnsi" w:hAnsiTheme="majorHAnsi"/>
          <w:sz w:val="20"/>
          <w:szCs w:val="20"/>
          <w:lang w:val="es-US"/>
        </w:rPr>
        <w:lastRenderedPageBreak/>
        <w:t xml:space="preserve">Finalmente, toda vez que no se cumplió con el requisito del previo agotamiento de los recursos internos ni se configura alguna de las excepciones previstas en el artículo 46.2 de la Convención, no </w:t>
      </w:r>
      <w:r w:rsidR="00980ECE" w:rsidRPr="0093035A">
        <w:rPr>
          <w:rFonts w:asciiTheme="majorHAnsi" w:hAnsiTheme="majorHAnsi"/>
          <w:sz w:val="20"/>
          <w:szCs w:val="20"/>
          <w:lang w:val="es-US"/>
        </w:rPr>
        <w:t>procede un</w:t>
      </w:r>
      <w:r w:rsidRPr="0093035A">
        <w:rPr>
          <w:rFonts w:asciiTheme="majorHAnsi" w:hAnsiTheme="majorHAnsi"/>
          <w:sz w:val="20"/>
          <w:szCs w:val="20"/>
          <w:lang w:val="es-US"/>
        </w:rPr>
        <w:t xml:space="preserve"> estudio sobre el cumplimiento del requisito de presentación de la petición. </w:t>
      </w:r>
    </w:p>
    <w:p w14:paraId="29BB41F5" w14:textId="376D8675" w:rsidR="003239B8" w:rsidRPr="0093035A" w:rsidRDefault="003239B8" w:rsidP="002E2F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r w:rsidRPr="0093035A">
        <w:rPr>
          <w:rFonts w:asciiTheme="majorHAnsi" w:hAnsiTheme="majorHAnsi"/>
          <w:b/>
          <w:bCs/>
          <w:sz w:val="20"/>
          <w:szCs w:val="20"/>
          <w:lang w:val="es-ES"/>
        </w:rPr>
        <w:t xml:space="preserve">VIII. </w:t>
      </w:r>
      <w:r w:rsidRPr="0093035A">
        <w:rPr>
          <w:rFonts w:asciiTheme="majorHAnsi" w:hAnsiTheme="majorHAnsi"/>
          <w:b/>
          <w:bCs/>
          <w:sz w:val="20"/>
          <w:szCs w:val="20"/>
          <w:lang w:val="es-ES"/>
        </w:rPr>
        <w:tab/>
        <w:t>DECISIÓN</w:t>
      </w:r>
    </w:p>
    <w:p w14:paraId="570DA61C" w14:textId="62CAEACF" w:rsidR="000419AD" w:rsidRPr="0093035A" w:rsidRDefault="000419AD" w:rsidP="000419AD">
      <w:pPr>
        <w:pStyle w:val="ListParagraph"/>
        <w:numPr>
          <w:ilvl w:val="0"/>
          <w:numId w:val="109"/>
        </w:numPr>
        <w:rPr>
          <w:rFonts w:eastAsia="Arial Unicode MS" w:cs="Times New Roman"/>
          <w:color w:val="auto"/>
          <w:sz w:val="20"/>
          <w:szCs w:val="20"/>
          <w:lang w:val="es-ES" w:eastAsia="en-US"/>
        </w:rPr>
      </w:pPr>
      <w:r w:rsidRPr="006F3221">
        <w:rPr>
          <w:rFonts w:eastAsia="Arial Unicode MS" w:cs="Times New Roman"/>
          <w:color w:val="auto"/>
          <w:sz w:val="20"/>
          <w:szCs w:val="20"/>
          <w:lang w:val="es-ES" w:eastAsia="en-US"/>
        </w:rPr>
        <w:t>Declarar inadmisible la presente petición</w:t>
      </w:r>
      <w:r w:rsidR="00A758AA" w:rsidRPr="0093035A">
        <w:rPr>
          <w:rFonts w:eastAsia="Arial Unicode MS" w:cs="Times New Roman"/>
          <w:color w:val="auto"/>
          <w:sz w:val="20"/>
          <w:szCs w:val="20"/>
          <w:lang w:val="es-ES" w:eastAsia="en-US"/>
        </w:rPr>
        <w:t>;</w:t>
      </w:r>
      <w:r w:rsidR="004A6A54" w:rsidRPr="0093035A">
        <w:rPr>
          <w:rFonts w:eastAsia="Arial Unicode MS" w:cs="Times New Roman"/>
          <w:color w:val="auto"/>
          <w:sz w:val="20"/>
          <w:szCs w:val="20"/>
          <w:lang w:val="es-ES" w:eastAsia="en-US"/>
        </w:rPr>
        <w:t xml:space="preserve"> y</w:t>
      </w:r>
    </w:p>
    <w:p w14:paraId="41AA5BF6" w14:textId="77777777" w:rsidR="000419AD" w:rsidRPr="0093035A" w:rsidRDefault="000419AD" w:rsidP="000419AD">
      <w:pPr>
        <w:pStyle w:val="ListParagraph"/>
        <w:rPr>
          <w:rFonts w:eastAsia="Arial Unicode MS" w:cs="Times New Roman"/>
          <w:color w:val="auto"/>
          <w:sz w:val="20"/>
          <w:szCs w:val="20"/>
          <w:lang w:val="es-ES" w:eastAsia="en-US"/>
        </w:rPr>
      </w:pPr>
    </w:p>
    <w:p w14:paraId="12A7002C" w14:textId="08BB908A"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3035A">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21A391EC" w14:textId="40B02E74" w:rsidR="006F3221" w:rsidRPr="00252FBC" w:rsidRDefault="00A67D73" w:rsidP="00252FB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9739FC">
        <w:rPr>
          <w:rStyle w:val="normaltextrun"/>
          <w:rFonts w:ascii="Cambria" w:hAnsi="Cambria" w:cs="Segoe UI"/>
          <w:sz w:val="20"/>
          <w:szCs w:val="20"/>
          <w:lang w:val="es-CL"/>
        </w:rPr>
        <w:t>10</w:t>
      </w:r>
      <w:r>
        <w:rPr>
          <w:rStyle w:val="normaltextrun"/>
          <w:rFonts w:ascii="Cambria" w:hAnsi="Cambria" w:cs="Segoe UI"/>
          <w:sz w:val="20"/>
          <w:szCs w:val="20"/>
          <w:lang w:val="es-CL"/>
        </w:rPr>
        <w:t xml:space="preserve"> días del mes de </w:t>
      </w:r>
      <w:r w:rsidR="009739FC">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2023.</w:t>
      </w:r>
      <w:r w:rsidR="00252FBC">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Margarette May Macaulay, Presidenta; Roberta Clarke, Segunda Vicepresidenta; Julissa Mantilla Falcón y Carlos Bernal Pulido, </w:t>
      </w:r>
      <w:r w:rsidR="00252FB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4943" w14:textId="77777777" w:rsidR="005A3B43" w:rsidRDefault="005A3B43">
      <w:r>
        <w:separator/>
      </w:r>
    </w:p>
  </w:endnote>
  <w:endnote w:type="continuationSeparator" w:id="0">
    <w:p w14:paraId="16431A9C" w14:textId="77777777" w:rsidR="005A3B43" w:rsidRDefault="005A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686A" w14:textId="77777777" w:rsidR="005A3B43" w:rsidRPr="000F35ED" w:rsidRDefault="005A3B4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1B9862" w14:textId="77777777" w:rsidR="005A3B43" w:rsidRPr="000F35ED" w:rsidRDefault="005A3B43" w:rsidP="000F35ED">
      <w:pPr>
        <w:rPr>
          <w:rFonts w:asciiTheme="majorHAnsi" w:hAnsiTheme="majorHAnsi"/>
          <w:sz w:val="16"/>
          <w:szCs w:val="16"/>
        </w:rPr>
      </w:pPr>
      <w:r w:rsidRPr="000F35ED">
        <w:rPr>
          <w:rFonts w:asciiTheme="majorHAnsi" w:hAnsiTheme="majorHAnsi"/>
          <w:sz w:val="16"/>
          <w:szCs w:val="16"/>
        </w:rPr>
        <w:separator/>
      </w:r>
    </w:p>
    <w:p w14:paraId="07B1C0B2" w14:textId="77777777" w:rsidR="005A3B43" w:rsidRPr="000F35ED" w:rsidRDefault="005A3B4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5C4B8B0" w14:textId="77777777" w:rsidR="005A3B43" w:rsidRPr="000F35ED" w:rsidRDefault="005A3B4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0A98B7DE" w:rsidR="00916C1D" w:rsidRPr="00916C1D" w:rsidRDefault="00916C1D" w:rsidP="00916C1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215010C7" w14:textId="7DC83E97" w:rsidR="002D3BB2" w:rsidRPr="002D3BB2" w:rsidRDefault="002D3BB2" w:rsidP="00F42786">
      <w:pPr>
        <w:pStyle w:val="FootnoteText"/>
        <w:ind w:firstLine="720"/>
        <w:jc w:val="both"/>
        <w:rPr>
          <w:rFonts w:asciiTheme="majorHAnsi" w:hAnsiTheme="majorHAnsi"/>
          <w:sz w:val="16"/>
          <w:szCs w:val="16"/>
          <w:lang w:val="es-PE"/>
        </w:rPr>
      </w:pPr>
      <w:r w:rsidRPr="002D3BB2">
        <w:rPr>
          <w:rStyle w:val="FootnoteReference"/>
          <w:rFonts w:asciiTheme="majorHAnsi" w:hAnsiTheme="majorHAnsi"/>
          <w:sz w:val="16"/>
          <w:szCs w:val="16"/>
          <w:lang w:val="es-PE"/>
        </w:rPr>
        <w:footnoteRef/>
      </w:r>
      <w:r w:rsidRPr="002D3BB2">
        <w:rPr>
          <w:rFonts w:asciiTheme="majorHAnsi" w:hAnsiTheme="majorHAnsi"/>
          <w:sz w:val="16"/>
          <w:szCs w:val="16"/>
          <w:lang w:val="es-PE"/>
        </w:rPr>
        <w:t xml:space="preserve"> Ley N. º 8503.- Transitorio 1.- </w:t>
      </w:r>
      <w:r>
        <w:rPr>
          <w:rFonts w:asciiTheme="majorHAnsi" w:hAnsiTheme="majorHAnsi"/>
          <w:sz w:val="16"/>
          <w:szCs w:val="16"/>
          <w:lang w:val="es-PE"/>
        </w:rPr>
        <w:t xml:space="preserve">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3EEB0DEA" w14:textId="45110170" w:rsidR="00F42786" w:rsidRPr="0024784B" w:rsidRDefault="00F42786" w:rsidP="0024784B">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sidR="00E215C6">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sidR="00E215C6">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602C4CCD" w14:textId="38711256" w:rsidR="0024784B" w:rsidRPr="00EA3787" w:rsidRDefault="0024784B" w:rsidP="00EA3787">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74685F77" w14:textId="79C3CD15" w:rsidR="00EA3787" w:rsidRPr="004D0E62" w:rsidRDefault="00EA3787" w:rsidP="004D0E62">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8">
    <w:p w14:paraId="38F95191" w14:textId="48C313F6" w:rsidR="00FE41DE" w:rsidRPr="008A508D" w:rsidRDefault="00FE41DE" w:rsidP="004D0E62">
      <w:pPr>
        <w:pStyle w:val="FootnoteText"/>
        <w:ind w:firstLine="720"/>
        <w:jc w:val="both"/>
        <w:rPr>
          <w:lang w:val="es-US"/>
        </w:rPr>
      </w:pPr>
      <w:r w:rsidRPr="004D0E62">
        <w:rPr>
          <w:rStyle w:val="FootnoteReference"/>
          <w:rFonts w:asciiTheme="majorHAnsi" w:hAnsiTheme="majorHAnsi"/>
          <w:sz w:val="16"/>
          <w:szCs w:val="16"/>
        </w:rPr>
        <w:footnoteRef/>
      </w:r>
      <w:r w:rsidRPr="00252FBC">
        <w:rPr>
          <w:rFonts w:asciiTheme="majorHAnsi" w:hAnsiTheme="majorHAnsi"/>
          <w:sz w:val="16"/>
          <w:szCs w:val="16"/>
          <w:lang w:val="pt-BR"/>
        </w:rPr>
        <w:t xml:space="preserve"> </w:t>
      </w:r>
      <w:r w:rsidR="004D0E62" w:rsidRPr="00252FBC">
        <w:rPr>
          <w:rFonts w:asciiTheme="majorHAnsi" w:hAnsiTheme="majorHAnsi"/>
          <w:sz w:val="16"/>
          <w:szCs w:val="16"/>
          <w:lang w:val="pt-BR"/>
        </w:rPr>
        <w:t xml:space="preserve">Corte IDH. Caso Herrera Ulloa Vs. </w:t>
      </w:r>
      <w:r w:rsidR="004D0E62" w:rsidRPr="004D0E62">
        <w:rPr>
          <w:rFonts w:asciiTheme="majorHAnsi" w:hAnsiTheme="majorHAnsi"/>
          <w:sz w:val="16"/>
          <w:szCs w:val="16"/>
          <w:lang w:val="es-US"/>
        </w:rPr>
        <w:t xml:space="preserve">Costa Rica. Excepciones Preliminares, Fondo, Reparaciones y Costas. </w:t>
      </w:r>
      <w:r w:rsidR="004D0E62" w:rsidRPr="003869D1">
        <w:rPr>
          <w:rFonts w:asciiTheme="majorHAnsi" w:hAnsiTheme="majorHAnsi"/>
          <w:sz w:val="16"/>
          <w:szCs w:val="16"/>
          <w:lang w:val="es-ES"/>
        </w:rPr>
        <w:t>Sentencia de 2 de julio de 2004. Serie C No. 107, párr. 198.</w:t>
      </w:r>
    </w:p>
  </w:footnote>
  <w:footnote w:id="9">
    <w:p w14:paraId="128394B0" w14:textId="302ADCE8" w:rsidR="008E494B" w:rsidRPr="00565232" w:rsidRDefault="008E494B" w:rsidP="006A7DCD">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03C20C52" w14:textId="60986DC2" w:rsidR="00372BF2" w:rsidRPr="004D0E62" w:rsidRDefault="00372BF2" w:rsidP="004D0E62">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w:t>
      </w:r>
      <w:r w:rsidR="004D0E62" w:rsidRPr="004D0E62">
        <w:rPr>
          <w:rFonts w:asciiTheme="majorHAnsi" w:hAnsiTheme="majorHAnsi"/>
          <w:sz w:val="16"/>
          <w:szCs w:val="16"/>
          <w:lang w:val="es-US"/>
        </w:rPr>
        <w:t xml:space="preserve">Corte IDH. Caso Amrhein y otros Vs. Costa Rica. Excepciones Preliminares, Fondo, Reparaciones y Costas. Sentencia de 25 de abril de 2018. Serie C No. 354, párr. 48. </w:t>
      </w:r>
    </w:p>
  </w:footnote>
  <w:footnote w:id="11">
    <w:p w14:paraId="7C05ABA0" w14:textId="59C17C65" w:rsidR="00372BF2" w:rsidRPr="008A508D" w:rsidRDefault="00372BF2" w:rsidP="004D0E62">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w:t>
      </w:r>
      <w:r w:rsidR="004D0E62" w:rsidRPr="004D0E62">
        <w:rPr>
          <w:rFonts w:asciiTheme="majorHAnsi" w:hAnsiTheme="majorHAnsi"/>
          <w:sz w:val="16"/>
          <w:szCs w:val="16"/>
          <w:lang w:val="es-US"/>
        </w:rPr>
        <w:t>Corte IDH. Caso Amrhein y otros Vs. Costa Rica. Excepciones Preliminares, Fondo, Reparaciones y Costas. Sentencia de 25 de abril de 2018. Serie C No. 354</w:t>
      </w:r>
      <w:r w:rsidR="004D0E62">
        <w:rPr>
          <w:rFonts w:asciiTheme="majorHAnsi" w:hAnsiTheme="majorHAnsi"/>
          <w:sz w:val="16"/>
          <w:szCs w:val="16"/>
          <w:lang w:val="es-US"/>
        </w:rPr>
        <w:t xml:space="preserve">, párr. 265. </w:t>
      </w:r>
    </w:p>
  </w:footnote>
  <w:footnote w:id="12">
    <w:p w14:paraId="40BFF1F1" w14:textId="466134CD" w:rsidR="00EE7817" w:rsidRPr="00EE7817" w:rsidRDefault="00EE7817" w:rsidP="00EE7817">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252FBC">
        <w:rPr>
          <w:rFonts w:asciiTheme="majorHAnsi" w:hAnsiTheme="majorHAnsi"/>
          <w:sz w:val="16"/>
          <w:szCs w:val="16"/>
          <w:lang w:val="pt-BR"/>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3">
    <w:p w14:paraId="5360E06B" w14:textId="77777777" w:rsidR="004D0E62" w:rsidRPr="00735708" w:rsidRDefault="004D0E62" w:rsidP="00CE3C79">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4">
    <w:p w14:paraId="25D754A8" w14:textId="77777777" w:rsidR="00CE3C79" w:rsidRPr="00CE3C79" w:rsidRDefault="00CE3C79" w:rsidP="00CE3C79">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5">
    <w:p w14:paraId="0EFA70DC" w14:textId="77777777" w:rsidR="00CE3C79" w:rsidRPr="00090967" w:rsidRDefault="00CE3C79" w:rsidP="00D47C7D">
      <w:pPr>
        <w:pStyle w:val="FootnoteText"/>
        <w:ind w:firstLine="720"/>
        <w:jc w:val="both"/>
        <w:rPr>
          <w:rFonts w:ascii="Cambria" w:hAnsi="Cambria"/>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C No. 354. Párr. 266. </w:t>
      </w:r>
    </w:p>
  </w:footnote>
  <w:footnote w:id="16">
    <w:p w14:paraId="17F9ACBA" w14:textId="5BD1D99A" w:rsidR="00EE0AB1" w:rsidRPr="0093035A" w:rsidRDefault="00EE0AB1" w:rsidP="00EE0AB1">
      <w:pPr>
        <w:pStyle w:val="FootnoteText"/>
        <w:ind w:firstLine="720"/>
        <w:rPr>
          <w:rFonts w:asciiTheme="majorHAnsi" w:hAnsiTheme="majorHAnsi"/>
          <w:sz w:val="16"/>
          <w:szCs w:val="16"/>
          <w:lang w:val="es-US"/>
        </w:rPr>
      </w:pPr>
      <w:r w:rsidRPr="00EE0AB1">
        <w:rPr>
          <w:rStyle w:val="FootnoteReference"/>
          <w:rFonts w:asciiTheme="majorHAnsi" w:hAnsiTheme="majorHAnsi"/>
          <w:sz w:val="16"/>
          <w:szCs w:val="16"/>
        </w:rPr>
        <w:footnoteRef/>
      </w:r>
      <w:r w:rsidRPr="00EE0AB1">
        <w:rPr>
          <w:rFonts w:asciiTheme="majorHAnsi" w:hAnsiTheme="majorHAnsi"/>
          <w:sz w:val="16"/>
          <w:szCs w:val="16"/>
          <w:lang w:val="es-US"/>
        </w:rPr>
        <w:t xml:space="preserve"> Corte IDH</w:t>
      </w:r>
      <w:r w:rsidRPr="0093035A">
        <w:rPr>
          <w:rFonts w:asciiTheme="majorHAnsi" w:hAnsiTheme="majorHAnsi"/>
          <w:sz w:val="16"/>
          <w:szCs w:val="16"/>
          <w:lang w:val="es-US"/>
        </w:rPr>
        <w:t xml:space="preserve">. Caso Velásquez Rodríguez Vs. Honduras. Excepciones Preliminares. Sentencia de 26 de junio de 1987. Serie C No. 1, párr. 88; y Caso Cuya Lavy y otros Vs. Perú. Excepciones preliminares, Fondo, Reparaciones y Costas. Sentencia de 28 de septiembre de 2021. Serie C No. 438, párr. 27. </w:t>
      </w:r>
    </w:p>
  </w:footnote>
  <w:footnote w:id="17">
    <w:p w14:paraId="21C6F1CB" w14:textId="3D419B44" w:rsidR="001B27CB" w:rsidRPr="00F752CD" w:rsidRDefault="001B27CB" w:rsidP="001B27CB">
      <w:pPr>
        <w:pStyle w:val="FootnoteText"/>
        <w:jc w:val="both"/>
        <w:rPr>
          <w:rFonts w:ascii="Cambria" w:hAnsi="Cambria"/>
          <w:sz w:val="16"/>
          <w:szCs w:val="16"/>
          <w:lang w:val="es-ES"/>
        </w:rPr>
      </w:pPr>
      <w:r w:rsidRPr="0093035A">
        <w:rPr>
          <w:rFonts w:ascii="Cambria" w:hAnsi="Cambria"/>
          <w:sz w:val="16"/>
          <w:szCs w:val="16"/>
          <w:lang w:val="es-ES"/>
        </w:rPr>
        <w:tab/>
      </w:r>
      <w:r w:rsidRPr="0093035A">
        <w:rPr>
          <w:rStyle w:val="FootnoteReference"/>
          <w:rFonts w:ascii="Cambria" w:hAnsi="Cambria"/>
          <w:sz w:val="16"/>
          <w:szCs w:val="16"/>
        </w:rPr>
        <w:footnoteRef/>
      </w:r>
      <w:r w:rsidRPr="0093035A">
        <w:rPr>
          <w:rFonts w:ascii="Cambria" w:hAnsi="Cambria"/>
          <w:sz w:val="16"/>
          <w:szCs w:val="16"/>
          <w:lang w:val="es-ES"/>
        </w:rPr>
        <w:t xml:space="preserve"> CIDH, Informe No. 168/17, Petición 1502-07. Admisibilidad.  Miguel Ángel Morales Morales. Perú. 1 de diciembre de 2017,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93BC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75EDC4C"/>
    <w:lvl w:ilvl="0" w:tplc="EF2AC614">
      <w:start w:val="1"/>
      <w:numFmt w:val="decimal"/>
      <w:lvlText w:val="%1."/>
      <w:lvlJc w:val="left"/>
      <w:pPr>
        <w:tabs>
          <w:tab w:val="num" w:pos="720"/>
        </w:tabs>
        <w:ind w:left="0" w:firstLine="720"/>
      </w:pPr>
      <w:rPr>
        <w:rFonts w:asciiTheme="majorHAnsi" w:hAnsiTheme="majorHAnsi"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436119D"/>
    <w:multiLevelType w:val="hybridMultilevel"/>
    <w:tmpl w:val="50A2E904"/>
    <w:lvl w:ilvl="0" w:tplc="DFA085BA">
      <w:start w:val="1"/>
      <w:numFmt w:val="decimal"/>
      <w:lvlText w:val="%1."/>
      <w:lvlJc w:val="left"/>
      <w:pPr>
        <w:ind w:left="720" w:hanging="360"/>
      </w:pPr>
      <w:rPr>
        <w:rFonts w:ascii="Cambria" w:hAnsi="Cambria" w:hint="default"/>
        <w:b w:val="0"/>
        <w:i w:val="0"/>
        <w:sz w:val="20"/>
        <w:szCs w:val="2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1"/>
  </w:num>
  <w:num w:numId="8" w16cid:durableId="1933658824">
    <w:abstractNumId w:val="24"/>
  </w:num>
  <w:num w:numId="9" w16cid:durableId="102309653">
    <w:abstractNumId w:val="52"/>
  </w:num>
  <w:num w:numId="10" w16cid:durableId="359858344">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30"/>
  </w:num>
  <w:num w:numId="12" w16cid:durableId="1031029938">
    <w:abstractNumId w:val="59"/>
  </w:num>
  <w:num w:numId="13" w16cid:durableId="669716046">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9"/>
  </w:num>
  <w:num w:numId="21" w16cid:durableId="1760907783">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20"/>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2"/>
  </w:num>
  <w:num w:numId="43" w16cid:durableId="101634653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6"/>
  </w:num>
  <w:num w:numId="53" w16cid:durableId="993338501">
    <w:abstractNumId w:val="0"/>
  </w:num>
  <w:num w:numId="54" w16cid:durableId="783113306">
    <w:abstractNumId w:val="41"/>
  </w:num>
  <w:num w:numId="55" w16cid:durableId="1627199839">
    <w:abstractNumId w:val="42"/>
  </w:num>
  <w:num w:numId="56" w16cid:durableId="906108081">
    <w:abstractNumId w:val="48"/>
  </w:num>
  <w:num w:numId="57" w16cid:durableId="1662195483">
    <w:abstractNumId w:val="1"/>
  </w:num>
  <w:num w:numId="58" w16cid:durableId="1422067352">
    <w:abstractNumId w:val="2"/>
  </w:num>
  <w:num w:numId="59" w16cid:durableId="728697696">
    <w:abstractNumId w:val="10"/>
  </w:num>
  <w:num w:numId="60" w16cid:durableId="532697137">
    <w:abstractNumId w:val="11"/>
  </w:num>
  <w:num w:numId="61" w16cid:durableId="1882203984">
    <w:abstractNumId w:val="12"/>
  </w:num>
  <w:num w:numId="62" w16cid:durableId="1351371818">
    <w:abstractNumId w:val="13"/>
  </w:num>
  <w:num w:numId="63" w16cid:durableId="1675113195">
    <w:abstractNumId w:val="14"/>
  </w:num>
  <w:num w:numId="64" w16cid:durableId="1955670201">
    <w:abstractNumId w:val="16"/>
  </w:num>
  <w:num w:numId="65" w16cid:durableId="574364452">
    <w:abstractNumId w:val="17"/>
  </w:num>
  <w:num w:numId="66" w16cid:durableId="223028224">
    <w:abstractNumId w:val="18"/>
  </w:num>
  <w:num w:numId="67" w16cid:durableId="839083034">
    <w:abstractNumId w:val="19"/>
  </w:num>
  <w:num w:numId="68" w16cid:durableId="1048453737">
    <w:abstractNumId w:val="21"/>
  </w:num>
  <w:num w:numId="69" w16cid:durableId="1026640194">
    <w:abstractNumId w:val="22"/>
  </w:num>
  <w:num w:numId="70" w16cid:durableId="1329288156">
    <w:abstractNumId w:val="25"/>
  </w:num>
  <w:num w:numId="71" w16cid:durableId="1809085151">
    <w:abstractNumId w:val="26"/>
  </w:num>
  <w:num w:numId="72" w16cid:durableId="1080827732">
    <w:abstractNumId w:val="27"/>
  </w:num>
  <w:num w:numId="73" w16cid:durableId="2036301683">
    <w:abstractNumId w:val="29"/>
  </w:num>
  <w:num w:numId="74" w16cid:durableId="126708259">
    <w:abstractNumId w:val="31"/>
  </w:num>
  <w:num w:numId="75" w16cid:durableId="2058167483">
    <w:abstractNumId w:val="33"/>
  </w:num>
  <w:num w:numId="76" w16cid:durableId="2058311766">
    <w:abstractNumId w:val="34"/>
  </w:num>
  <w:num w:numId="77" w16cid:durableId="410128829">
    <w:abstractNumId w:val="35"/>
  </w:num>
  <w:num w:numId="78" w16cid:durableId="1761218776">
    <w:abstractNumId w:val="36"/>
  </w:num>
  <w:num w:numId="79" w16cid:durableId="1781222947">
    <w:abstractNumId w:val="37"/>
  </w:num>
  <w:num w:numId="80" w16cid:durableId="1311638866">
    <w:abstractNumId w:val="38"/>
  </w:num>
  <w:num w:numId="81" w16cid:durableId="1285455016">
    <w:abstractNumId w:val="39"/>
  </w:num>
  <w:num w:numId="82" w16cid:durableId="1160926393">
    <w:abstractNumId w:val="43"/>
  </w:num>
  <w:num w:numId="83" w16cid:durableId="1364018377">
    <w:abstractNumId w:val="44"/>
  </w:num>
  <w:num w:numId="84" w16cid:durableId="80612354">
    <w:abstractNumId w:val="50"/>
  </w:num>
  <w:num w:numId="85" w16cid:durableId="1691254366">
    <w:abstractNumId w:val="53"/>
  </w:num>
  <w:num w:numId="86" w16cid:durableId="580339032">
    <w:abstractNumId w:val="56"/>
  </w:num>
  <w:num w:numId="87" w16cid:durableId="379717792">
    <w:abstractNumId w:val="58"/>
  </w:num>
  <w:num w:numId="88" w16cid:durableId="1044066421">
    <w:abstractNumId w:val="60"/>
  </w:num>
  <w:num w:numId="89" w16cid:durableId="2091930067">
    <w:abstractNumId w:val="62"/>
  </w:num>
  <w:num w:numId="90" w16cid:durableId="532546517">
    <w:abstractNumId w:val="63"/>
  </w:num>
  <w:num w:numId="91" w16cid:durableId="414666162">
    <w:abstractNumId w:val="64"/>
  </w:num>
  <w:num w:numId="92" w16cid:durableId="1269311212">
    <w:abstractNumId w:val="65"/>
  </w:num>
  <w:num w:numId="93" w16cid:durableId="1631939513">
    <w:abstractNumId w:val="67"/>
  </w:num>
  <w:num w:numId="94" w16cid:durableId="1834564849">
    <w:abstractNumId w:val="23"/>
  </w:num>
  <w:num w:numId="95" w16cid:durableId="205724164">
    <w:abstractNumId w:val="45"/>
  </w:num>
  <w:num w:numId="96" w16cid:durableId="949429864">
    <w:abstractNumId w:val="57"/>
  </w:num>
  <w:num w:numId="97" w16cid:durableId="288970792">
    <w:abstractNumId w:val="54"/>
  </w:num>
  <w:num w:numId="98" w16cid:durableId="952714129">
    <w:abstractNumId w:val="49"/>
  </w:num>
  <w:num w:numId="99" w16cid:durableId="1523976620">
    <w:abstractNumId w:val="40"/>
  </w:num>
  <w:num w:numId="100" w16cid:durableId="156654599">
    <w:abstractNumId w:val="3"/>
  </w:num>
  <w:num w:numId="101" w16cid:durableId="1936327866">
    <w:abstractNumId w:val="28"/>
  </w:num>
  <w:num w:numId="102" w16cid:durableId="1754089481">
    <w:abstractNumId w:val="51"/>
  </w:num>
  <w:num w:numId="103" w16cid:durableId="219633537">
    <w:abstractNumId w:val="6"/>
  </w:num>
  <w:num w:numId="104" w16cid:durableId="195585926">
    <w:abstractNumId w:val="66"/>
  </w:num>
  <w:num w:numId="105" w16cid:durableId="525605381">
    <w:abstractNumId w:val="55"/>
  </w:num>
  <w:num w:numId="106" w16cid:durableId="202910152">
    <w:abstractNumId w:val="4"/>
  </w:num>
  <w:num w:numId="107" w16cid:durableId="1026829289">
    <w:abstractNumId w:val="32"/>
  </w:num>
  <w:num w:numId="108" w16cid:durableId="681589062">
    <w:abstractNumId w:val="15"/>
  </w:num>
  <w:num w:numId="109" w16cid:durableId="546839422">
    <w:abstractNumId w:val="47"/>
  </w:num>
  <w:num w:numId="110" w16cid:durableId="1991207784">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16DE"/>
    <w:rsid w:val="00026103"/>
    <w:rsid w:val="000337EF"/>
    <w:rsid w:val="00040C3A"/>
    <w:rsid w:val="000419AD"/>
    <w:rsid w:val="00042C75"/>
    <w:rsid w:val="000433C9"/>
    <w:rsid w:val="000716C5"/>
    <w:rsid w:val="00073838"/>
    <w:rsid w:val="00075E23"/>
    <w:rsid w:val="000834F8"/>
    <w:rsid w:val="0009344A"/>
    <w:rsid w:val="000A392E"/>
    <w:rsid w:val="000A575F"/>
    <w:rsid w:val="000C4C15"/>
    <w:rsid w:val="000C7FC8"/>
    <w:rsid w:val="000D05CB"/>
    <w:rsid w:val="000D10DB"/>
    <w:rsid w:val="000E5EB5"/>
    <w:rsid w:val="000F35ED"/>
    <w:rsid w:val="00107131"/>
    <w:rsid w:val="0010736F"/>
    <w:rsid w:val="00113F73"/>
    <w:rsid w:val="00120C0F"/>
    <w:rsid w:val="00121CC2"/>
    <w:rsid w:val="00131425"/>
    <w:rsid w:val="00133EE5"/>
    <w:rsid w:val="001638F7"/>
    <w:rsid w:val="00167A34"/>
    <w:rsid w:val="00192CA4"/>
    <w:rsid w:val="001A6A9B"/>
    <w:rsid w:val="001A7870"/>
    <w:rsid w:val="001B01D4"/>
    <w:rsid w:val="001B06E2"/>
    <w:rsid w:val="001B27CB"/>
    <w:rsid w:val="001B3A00"/>
    <w:rsid w:val="001C1B41"/>
    <w:rsid w:val="001D5DD1"/>
    <w:rsid w:val="001D65EF"/>
    <w:rsid w:val="001E49E7"/>
    <w:rsid w:val="001F7201"/>
    <w:rsid w:val="002070C9"/>
    <w:rsid w:val="0020729B"/>
    <w:rsid w:val="00223A29"/>
    <w:rsid w:val="002250A3"/>
    <w:rsid w:val="0022673B"/>
    <w:rsid w:val="00235217"/>
    <w:rsid w:val="00246D1F"/>
    <w:rsid w:val="00247403"/>
    <w:rsid w:val="00247542"/>
    <w:rsid w:val="0024784B"/>
    <w:rsid w:val="00252FBC"/>
    <w:rsid w:val="00266B61"/>
    <w:rsid w:val="0026712A"/>
    <w:rsid w:val="002704DB"/>
    <w:rsid w:val="002A0AAE"/>
    <w:rsid w:val="002A0D68"/>
    <w:rsid w:val="002A33D8"/>
    <w:rsid w:val="002A5820"/>
    <w:rsid w:val="002B210A"/>
    <w:rsid w:val="002B4477"/>
    <w:rsid w:val="002B49F5"/>
    <w:rsid w:val="002D2B26"/>
    <w:rsid w:val="002D3BB2"/>
    <w:rsid w:val="002D7EA2"/>
    <w:rsid w:val="002E187C"/>
    <w:rsid w:val="002E2FB9"/>
    <w:rsid w:val="002E4819"/>
    <w:rsid w:val="00302733"/>
    <w:rsid w:val="003071F7"/>
    <w:rsid w:val="00313C9E"/>
    <w:rsid w:val="00314078"/>
    <w:rsid w:val="0031535D"/>
    <w:rsid w:val="003239B8"/>
    <w:rsid w:val="0032557E"/>
    <w:rsid w:val="00330D36"/>
    <w:rsid w:val="0033169F"/>
    <w:rsid w:val="00331D9E"/>
    <w:rsid w:val="00342517"/>
    <w:rsid w:val="00344977"/>
    <w:rsid w:val="00346C95"/>
    <w:rsid w:val="003538B9"/>
    <w:rsid w:val="003538C3"/>
    <w:rsid w:val="00356185"/>
    <w:rsid w:val="00356890"/>
    <w:rsid w:val="00360380"/>
    <w:rsid w:val="00371A41"/>
    <w:rsid w:val="00372BF2"/>
    <w:rsid w:val="0037519E"/>
    <w:rsid w:val="003869D1"/>
    <w:rsid w:val="00386CF0"/>
    <w:rsid w:val="00387ABE"/>
    <w:rsid w:val="003B70FB"/>
    <w:rsid w:val="003C676B"/>
    <w:rsid w:val="003D3BC2"/>
    <w:rsid w:val="003E3CB7"/>
    <w:rsid w:val="003E5CDC"/>
    <w:rsid w:val="003E6CA1"/>
    <w:rsid w:val="003F41D6"/>
    <w:rsid w:val="004010E5"/>
    <w:rsid w:val="00401D83"/>
    <w:rsid w:val="00401DBA"/>
    <w:rsid w:val="00402BE9"/>
    <w:rsid w:val="00405F9C"/>
    <w:rsid w:val="004065A8"/>
    <w:rsid w:val="00406D7B"/>
    <w:rsid w:val="0041436B"/>
    <w:rsid w:val="0041526F"/>
    <w:rsid w:val="004165C2"/>
    <w:rsid w:val="00434766"/>
    <w:rsid w:val="00441ECB"/>
    <w:rsid w:val="00444190"/>
    <w:rsid w:val="00445193"/>
    <w:rsid w:val="00445C2D"/>
    <w:rsid w:val="00453D87"/>
    <w:rsid w:val="004541C2"/>
    <w:rsid w:val="00462C1B"/>
    <w:rsid w:val="00464713"/>
    <w:rsid w:val="0046528F"/>
    <w:rsid w:val="00467B7E"/>
    <w:rsid w:val="004727B2"/>
    <w:rsid w:val="00473699"/>
    <w:rsid w:val="00473BB4"/>
    <w:rsid w:val="00477592"/>
    <w:rsid w:val="00486F1C"/>
    <w:rsid w:val="0049419D"/>
    <w:rsid w:val="004A12C7"/>
    <w:rsid w:val="004A1E12"/>
    <w:rsid w:val="004A47CF"/>
    <w:rsid w:val="004A6A54"/>
    <w:rsid w:val="004C20D2"/>
    <w:rsid w:val="004C2312"/>
    <w:rsid w:val="004C4835"/>
    <w:rsid w:val="004C4B62"/>
    <w:rsid w:val="004C54C9"/>
    <w:rsid w:val="004D0AE0"/>
    <w:rsid w:val="004D0E62"/>
    <w:rsid w:val="004D3EC1"/>
    <w:rsid w:val="004D4ABA"/>
    <w:rsid w:val="004D6025"/>
    <w:rsid w:val="004E1539"/>
    <w:rsid w:val="004E17B2"/>
    <w:rsid w:val="004E2649"/>
    <w:rsid w:val="004F148A"/>
    <w:rsid w:val="004F2715"/>
    <w:rsid w:val="004F3290"/>
    <w:rsid w:val="004F626F"/>
    <w:rsid w:val="00501399"/>
    <w:rsid w:val="0050633D"/>
    <w:rsid w:val="00507BC4"/>
    <w:rsid w:val="005128E4"/>
    <w:rsid w:val="00512BFD"/>
    <w:rsid w:val="005133DB"/>
    <w:rsid w:val="00514504"/>
    <w:rsid w:val="00525560"/>
    <w:rsid w:val="00525F6F"/>
    <w:rsid w:val="00544C49"/>
    <w:rsid w:val="005516A1"/>
    <w:rsid w:val="005559EF"/>
    <w:rsid w:val="00560A39"/>
    <w:rsid w:val="00563557"/>
    <w:rsid w:val="00565232"/>
    <w:rsid w:val="00571C1E"/>
    <w:rsid w:val="0057402A"/>
    <w:rsid w:val="005771D0"/>
    <w:rsid w:val="0059191A"/>
    <w:rsid w:val="005921FF"/>
    <w:rsid w:val="00592689"/>
    <w:rsid w:val="005A1DD8"/>
    <w:rsid w:val="005A24ED"/>
    <w:rsid w:val="005A3B43"/>
    <w:rsid w:val="005A6D0E"/>
    <w:rsid w:val="005B52B0"/>
    <w:rsid w:val="005B6806"/>
    <w:rsid w:val="005C4225"/>
    <w:rsid w:val="005C6704"/>
    <w:rsid w:val="005D38F9"/>
    <w:rsid w:val="005E347E"/>
    <w:rsid w:val="005F0DAD"/>
    <w:rsid w:val="005F0F33"/>
    <w:rsid w:val="005F5512"/>
    <w:rsid w:val="00600DEB"/>
    <w:rsid w:val="00627C9F"/>
    <w:rsid w:val="006311E9"/>
    <w:rsid w:val="00632354"/>
    <w:rsid w:val="00635421"/>
    <w:rsid w:val="00642810"/>
    <w:rsid w:val="00652333"/>
    <w:rsid w:val="0065631D"/>
    <w:rsid w:val="0068009E"/>
    <w:rsid w:val="00684BFC"/>
    <w:rsid w:val="00687272"/>
    <w:rsid w:val="00692219"/>
    <w:rsid w:val="006A17D2"/>
    <w:rsid w:val="006A3F10"/>
    <w:rsid w:val="006A73E6"/>
    <w:rsid w:val="006A7DCD"/>
    <w:rsid w:val="006B2D5C"/>
    <w:rsid w:val="006C07D4"/>
    <w:rsid w:val="006C4EB1"/>
    <w:rsid w:val="006C6F55"/>
    <w:rsid w:val="006D0F37"/>
    <w:rsid w:val="006D5973"/>
    <w:rsid w:val="006E0166"/>
    <w:rsid w:val="006E2FFB"/>
    <w:rsid w:val="006E6C4C"/>
    <w:rsid w:val="006E7B34"/>
    <w:rsid w:val="006F2B79"/>
    <w:rsid w:val="006F3221"/>
    <w:rsid w:val="0070697F"/>
    <w:rsid w:val="0072199C"/>
    <w:rsid w:val="00722C9F"/>
    <w:rsid w:val="00723FBA"/>
    <w:rsid w:val="007253B8"/>
    <w:rsid w:val="0073741F"/>
    <w:rsid w:val="007425E4"/>
    <w:rsid w:val="00743D17"/>
    <w:rsid w:val="00744F21"/>
    <w:rsid w:val="00744FFD"/>
    <w:rsid w:val="00755B96"/>
    <w:rsid w:val="0076643F"/>
    <w:rsid w:val="0077179E"/>
    <w:rsid w:val="00774FDB"/>
    <w:rsid w:val="00777F63"/>
    <w:rsid w:val="007917BA"/>
    <w:rsid w:val="007A20DA"/>
    <w:rsid w:val="007A5817"/>
    <w:rsid w:val="007B05C4"/>
    <w:rsid w:val="007B2705"/>
    <w:rsid w:val="007B60E9"/>
    <w:rsid w:val="007B6CC3"/>
    <w:rsid w:val="007B76D3"/>
    <w:rsid w:val="007B7742"/>
    <w:rsid w:val="007C3334"/>
    <w:rsid w:val="007C7562"/>
    <w:rsid w:val="007D2B98"/>
    <w:rsid w:val="007E02E9"/>
    <w:rsid w:val="007E21BC"/>
    <w:rsid w:val="007E46DD"/>
    <w:rsid w:val="007E7C82"/>
    <w:rsid w:val="007F2697"/>
    <w:rsid w:val="007F2AA1"/>
    <w:rsid w:val="007F588D"/>
    <w:rsid w:val="007F637B"/>
    <w:rsid w:val="00803F1C"/>
    <w:rsid w:val="0080453B"/>
    <w:rsid w:val="0080493E"/>
    <w:rsid w:val="00804C15"/>
    <w:rsid w:val="0080600E"/>
    <w:rsid w:val="00807158"/>
    <w:rsid w:val="00814688"/>
    <w:rsid w:val="00817612"/>
    <w:rsid w:val="00823D85"/>
    <w:rsid w:val="008338A4"/>
    <w:rsid w:val="00834D49"/>
    <w:rsid w:val="00837C45"/>
    <w:rsid w:val="00840541"/>
    <w:rsid w:val="00844730"/>
    <w:rsid w:val="008457C2"/>
    <w:rsid w:val="00855ADB"/>
    <w:rsid w:val="00857A82"/>
    <w:rsid w:val="00857ED1"/>
    <w:rsid w:val="00866B86"/>
    <w:rsid w:val="00873836"/>
    <w:rsid w:val="00884A44"/>
    <w:rsid w:val="00885737"/>
    <w:rsid w:val="008904DF"/>
    <w:rsid w:val="00890650"/>
    <w:rsid w:val="00897E12"/>
    <w:rsid w:val="008A508D"/>
    <w:rsid w:val="008A51CF"/>
    <w:rsid w:val="008A7E0F"/>
    <w:rsid w:val="008B12F5"/>
    <w:rsid w:val="008C5E2D"/>
    <w:rsid w:val="008D2040"/>
    <w:rsid w:val="008D4CAC"/>
    <w:rsid w:val="008D6FB3"/>
    <w:rsid w:val="008D70A1"/>
    <w:rsid w:val="008D768D"/>
    <w:rsid w:val="008E3759"/>
    <w:rsid w:val="008E3BFE"/>
    <w:rsid w:val="008E494B"/>
    <w:rsid w:val="008F1912"/>
    <w:rsid w:val="009020F8"/>
    <w:rsid w:val="0090270B"/>
    <w:rsid w:val="009041DC"/>
    <w:rsid w:val="00912A07"/>
    <w:rsid w:val="00916C1D"/>
    <w:rsid w:val="00917B5A"/>
    <w:rsid w:val="00920A58"/>
    <w:rsid w:val="00920A8C"/>
    <w:rsid w:val="00921E6D"/>
    <w:rsid w:val="0092489C"/>
    <w:rsid w:val="0093035A"/>
    <w:rsid w:val="00934A2C"/>
    <w:rsid w:val="00941BE5"/>
    <w:rsid w:val="009504C4"/>
    <w:rsid w:val="00955980"/>
    <w:rsid w:val="00961C04"/>
    <w:rsid w:val="0096706E"/>
    <w:rsid w:val="009739FC"/>
    <w:rsid w:val="00974491"/>
    <w:rsid w:val="00975C4E"/>
    <w:rsid w:val="00980ECE"/>
    <w:rsid w:val="00981FBA"/>
    <w:rsid w:val="00984A0D"/>
    <w:rsid w:val="009930D6"/>
    <w:rsid w:val="00997BC5"/>
    <w:rsid w:val="009A4F41"/>
    <w:rsid w:val="009B381B"/>
    <w:rsid w:val="009B3AAF"/>
    <w:rsid w:val="009D0FAC"/>
    <w:rsid w:val="009D1753"/>
    <w:rsid w:val="009D2008"/>
    <w:rsid w:val="009D7611"/>
    <w:rsid w:val="009E0B61"/>
    <w:rsid w:val="009E0F16"/>
    <w:rsid w:val="009E53DE"/>
    <w:rsid w:val="009E7843"/>
    <w:rsid w:val="009F2FC3"/>
    <w:rsid w:val="009F60D1"/>
    <w:rsid w:val="00A11212"/>
    <w:rsid w:val="00A11E44"/>
    <w:rsid w:val="00A123FF"/>
    <w:rsid w:val="00A207CA"/>
    <w:rsid w:val="00A30100"/>
    <w:rsid w:val="00A328B3"/>
    <w:rsid w:val="00A3460F"/>
    <w:rsid w:val="00A35D2F"/>
    <w:rsid w:val="00A50FCF"/>
    <w:rsid w:val="00A528D1"/>
    <w:rsid w:val="00A610CD"/>
    <w:rsid w:val="00A67D73"/>
    <w:rsid w:val="00A758AA"/>
    <w:rsid w:val="00AA09A2"/>
    <w:rsid w:val="00AA7996"/>
    <w:rsid w:val="00AB17B0"/>
    <w:rsid w:val="00AB70D6"/>
    <w:rsid w:val="00AB7136"/>
    <w:rsid w:val="00AC1660"/>
    <w:rsid w:val="00AC19CB"/>
    <w:rsid w:val="00AC7891"/>
    <w:rsid w:val="00AE5488"/>
    <w:rsid w:val="00AE6F91"/>
    <w:rsid w:val="00AF5571"/>
    <w:rsid w:val="00B014F2"/>
    <w:rsid w:val="00B07341"/>
    <w:rsid w:val="00B11F71"/>
    <w:rsid w:val="00B13DCD"/>
    <w:rsid w:val="00B1412E"/>
    <w:rsid w:val="00B17BFE"/>
    <w:rsid w:val="00B30539"/>
    <w:rsid w:val="00B314DB"/>
    <w:rsid w:val="00B361F2"/>
    <w:rsid w:val="00B3718B"/>
    <w:rsid w:val="00B3745F"/>
    <w:rsid w:val="00B4632A"/>
    <w:rsid w:val="00B530F1"/>
    <w:rsid w:val="00B6527A"/>
    <w:rsid w:val="00B82E09"/>
    <w:rsid w:val="00B879BC"/>
    <w:rsid w:val="00B93DFA"/>
    <w:rsid w:val="00BA00EA"/>
    <w:rsid w:val="00BA276C"/>
    <w:rsid w:val="00BB306F"/>
    <w:rsid w:val="00BB613B"/>
    <w:rsid w:val="00BD4B89"/>
    <w:rsid w:val="00BD5922"/>
    <w:rsid w:val="00BE6CCA"/>
    <w:rsid w:val="00BE7866"/>
    <w:rsid w:val="00BF02CB"/>
    <w:rsid w:val="00BF2506"/>
    <w:rsid w:val="00BF6FD8"/>
    <w:rsid w:val="00C01A43"/>
    <w:rsid w:val="00C03680"/>
    <w:rsid w:val="00C054DF"/>
    <w:rsid w:val="00C109EA"/>
    <w:rsid w:val="00C165CB"/>
    <w:rsid w:val="00C21762"/>
    <w:rsid w:val="00C21FEF"/>
    <w:rsid w:val="00C23BA4"/>
    <w:rsid w:val="00C24543"/>
    <w:rsid w:val="00C256A2"/>
    <w:rsid w:val="00C25ADB"/>
    <w:rsid w:val="00C51515"/>
    <w:rsid w:val="00C52E05"/>
    <w:rsid w:val="00C5660B"/>
    <w:rsid w:val="00C66B72"/>
    <w:rsid w:val="00C7066E"/>
    <w:rsid w:val="00C75780"/>
    <w:rsid w:val="00C75972"/>
    <w:rsid w:val="00C852B1"/>
    <w:rsid w:val="00C86AC3"/>
    <w:rsid w:val="00C87AC4"/>
    <w:rsid w:val="00C9567A"/>
    <w:rsid w:val="00CA4466"/>
    <w:rsid w:val="00CA764E"/>
    <w:rsid w:val="00CA7CE7"/>
    <w:rsid w:val="00CB212D"/>
    <w:rsid w:val="00CB2660"/>
    <w:rsid w:val="00CB7CD5"/>
    <w:rsid w:val="00CC4AC6"/>
    <w:rsid w:val="00CC5E90"/>
    <w:rsid w:val="00CC6134"/>
    <w:rsid w:val="00CC74EF"/>
    <w:rsid w:val="00CD046C"/>
    <w:rsid w:val="00CE076C"/>
    <w:rsid w:val="00CE3C79"/>
    <w:rsid w:val="00CE5199"/>
    <w:rsid w:val="00CE66D5"/>
    <w:rsid w:val="00CE746F"/>
    <w:rsid w:val="00CF637A"/>
    <w:rsid w:val="00D059DE"/>
    <w:rsid w:val="00D05ABD"/>
    <w:rsid w:val="00D13945"/>
    <w:rsid w:val="00D13BC5"/>
    <w:rsid w:val="00D13FCE"/>
    <w:rsid w:val="00D236CE"/>
    <w:rsid w:val="00D306D1"/>
    <w:rsid w:val="00D30800"/>
    <w:rsid w:val="00D34786"/>
    <w:rsid w:val="00D37BFC"/>
    <w:rsid w:val="00D40090"/>
    <w:rsid w:val="00D47A8E"/>
    <w:rsid w:val="00D47C7D"/>
    <w:rsid w:val="00D524E2"/>
    <w:rsid w:val="00D52D14"/>
    <w:rsid w:val="00D64573"/>
    <w:rsid w:val="00D712D3"/>
    <w:rsid w:val="00D71422"/>
    <w:rsid w:val="00D72DC6"/>
    <w:rsid w:val="00D7558D"/>
    <w:rsid w:val="00D81D92"/>
    <w:rsid w:val="00D876F9"/>
    <w:rsid w:val="00D943C0"/>
    <w:rsid w:val="00DA2B3A"/>
    <w:rsid w:val="00DA556B"/>
    <w:rsid w:val="00DA7B5F"/>
    <w:rsid w:val="00DB5600"/>
    <w:rsid w:val="00DC11E7"/>
    <w:rsid w:val="00DC18BD"/>
    <w:rsid w:val="00DC24E3"/>
    <w:rsid w:val="00DC7023"/>
    <w:rsid w:val="00DC769A"/>
    <w:rsid w:val="00DC7C2C"/>
    <w:rsid w:val="00DD3D86"/>
    <w:rsid w:val="00DD4AD2"/>
    <w:rsid w:val="00DF1EC4"/>
    <w:rsid w:val="00E00E53"/>
    <w:rsid w:val="00E0340B"/>
    <w:rsid w:val="00E04A90"/>
    <w:rsid w:val="00E0551F"/>
    <w:rsid w:val="00E215C6"/>
    <w:rsid w:val="00E219C7"/>
    <w:rsid w:val="00E374A8"/>
    <w:rsid w:val="00E4118C"/>
    <w:rsid w:val="00E43157"/>
    <w:rsid w:val="00E453AD"/>
    <w:rsid w:val="00E461CE"/>
    <w:rsid w:val="00E573E4"/>
    <w:rsid w:val="00E64C3D"/>
    <w:rsid w:val="00E720CA"/>
    <w:rsid w:val="00E84EB5"/>
    <w:rsid w:val="00E85662"/>
    <w:rsid w:val="00E8789F"/>
    <w:rsid w:val="00E87E14"/>
    <w:rsid w:val="00E97B71"/>
    <w:rsid w:val="00EA07D1"/>
    <w:rsid w:val="00EA32C7"/>
    <w:rsid w:val="00EA3787"/>
    <w:rsid w:val="00EA3D34"/>
    <w:rsid w:val="00EB454D"/>
    <w:rsid w:val="00ED202D"/>
    <w:rsid w:val="00ED549D"/>
    <w:rsid w:val="00ED634D"/>
    <w:rsid w:val="00ED76BE"/>
    <w:rsid w:val="00EE00E9"/>
    <w:rsid w:val="00EE0AB1"/>
    <w:rsid w:val="00EE684B"/>
    <w:rsid w:val="00EE7817"/>
    <w:rsid w:val="00EF1AAA"/>
    <w:rsid w:val="00EF3167"/>
    <w:rsid w:val="00EF619B"/>
    <w:rsid w:val="00F00B55"/>
    <w:rsid w:val="00F02AD1"/>
    <w:rsid w:val="00F253CC"/>
    <w:rsid w:val="00F30091"/>
    <w:rsid w:val="00F37106"/>
    <w:rsid w:val="00F42786"/>
    <w:rsid w:val="00F44E25"/>
    <w:rsid w:val="00F46822"/>
    <w:rsid w:val="00F47D05"/>
    <w:rsid w:val="00F519CF"/>
    <w:rsid w:val="00F56BA5"/>
    <w:rsid w:val="00F60E22"/>
    <w:rsid w:val="00F62528"/>
    <w:rsid w:val="00F81395"/>
    <w:rsid w:val="00F81BB8"/>
    <w:rsid w:val="00F83639"/>
    <w:rsid w:val="00F90C64"/>
    <w:rsid w:val="00F917D1"/>
    <w:rsid w:val="00F93BC2"/>
    <w:rsid w:val="00F9653B"/>
    <w:rsid w:val="00FA1333"/>
    <w:rsid w:val="00FA5AD5"/>
    <w:rsid w:val="00FB62CF"/>
    <w:rsid w:val="00FD3C3B"/>
    <w:rsid w:val="00FD412C"/>
    <w:rsid w:val="00FD4872"/>
    <w:rsid w:val="00FD7B1B"/>
    <w:rsid w:val="00FE07DD"/>
    <w:rsid w:val="00FE41DE"/>
    <w:rsid w:val="00FE6B45"/>
    <w:rsid w:val="00FE77E2"/>
    <w:rsid w:val="00FF1BE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paragraph" w:customStyle="1" w:styleId="paragraph">
    <w:name w:val="paragraph"/>
    <w:basedOn w:val="Normal"/>
    <w:rsid w:val="00A67D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2"/>
      </w:numPr>
    </w:pPr>
  </w:style>
  <w:style w:type="character" w:customStyle="1" w:styleId="normaltextrun">
    <w:name w:val="normaltextrun"/>
    <w:basedOn w:val="DefaultParagraphFont"/>
    <w:rsid w:val="00A67D73"/>
  </w:style>
  <w:style w:type="numbering" w:customStyle="1" w:styleId="List210">
    <w:name w:val="List 21"/>
    <w:pPr>
      <w:numPr>
        <w:numId w:val="95"/>
      </w:numPr>
    </w:pPr>
  </w:style>
  <w:style w:type="character" w:customStyle="1" w:styleId="eop">
    <w:name w:val="eop"/>
    <w:basedOn w:val="DefaultParagraphFont"/>
    <w:rsid w:val="00A67D73"/>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0">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
    <w:name w:val="List 2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0">
    <w:name w:val="List 3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0">
    <w:name w:val="List 4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
    <w:name w:val="List 5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4D0E62"/>
    <w:rPr>
      <w:rFonts w:ascii="Cambria" w:eastAsia="Cambria" w:hAnsi="Cambria" w:cs="Cambria"/>
      <w:color w:val="000000"/>
      <w:sz w:val="24"/>
      <w:szCs w:val="24"/>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4D0E6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7F637B"/>
    <w:rPr>
      <w:sz w:val="16"/>
      <w:szCs w:val="16"/>
    </w:rPr>
  </w:style>
  <w:style w:type="paragraph" w:styleId="CommentText">
    <w:name w:val="annotation text"/>
    <w:basedOn w:val="Normal"/>
    <w:link w:val="CommentTextChar"/>
    <w:uiPriority w:val="99"/>
    <w:semiHidden/>
    <w:unhideWhenUsed/>
    <w:rsid w:val="007F637B"/>
    <w:rPr>
      <w:sz w:val="20"/>
      <w:szCs w:val="20"/>
    </w:rPr>
  </w:style>
  <w:style w:type="character" w:customStyle="1" w:styleId="CommentTextChar">
    <w:name w:val="Comment Text Char"/>
    <w:basedOn w:val="DefaultParagraphFont"/>
    <w:link w:val="CommentText"/>
    <w:uiPriority w:val="99"/>
    <w:semiHidden/>
    <w:rsid w:val="007F637B"/>
    <w:rPr>
      <w:lang w:val="en-US" w:eastAsia="en-US"/>
    </w:rPr>
  </w:style>
  <w:style w:type="paragraph" w:styleId="CommentSubject">
    <w:name w:val="annotation subject"/>
    <w:basedOn w:val="CommentText"/>
    <w:next w:val="CommentText"/>
    <w:link w:val="CommentSubjectChar"/>
    <w:uiPriority w:val="99"/>
    <w:semiHidden/>
    <w:unhideWhenUsed/>
    <w:rsid w:val="007F637B"/>
    <w:rPr>
      <w:b/>
      <w:bCs/>
    </w:rPr>
  </w:style>
  <w:style w:type="character" w:customStyle="1" w:styleId="CommentSubjectChar">
    <w:name w:val="Comment Subject Char"/>
    <w:basedOn w:val="CommentTextChar"/>
    <w:link w:val="CommentSubject"/>
    <w:uiPriority w:val="99"/>
    <w:semiHidden/>
    <w:rsid w:val="007F637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5563">
      <w:bodyDiv w:val="1"/>
      <w:marLeft w:val="0"/>
      <w:marRight w:val="0"/>
      <w:marTop w:val="0"/>
      <w:marBottom w:val="0"/>
      <w:divBdr>
        <w:top w:val="none" w:sz="0" w:space="0" w:color="auto"/>
        <w:left w:val="none" w:sz="0" w:space="0" w:color="auto"/>
        <w:bottom w:val="none" w:sz="0" w:space="0" w:color="auto"/>
        <w:right w:val="none" w:sz="0" w:space="0" w:color="auto"/>
      </w:divBdr>
      <w:divsChild>
        <w:div w:id="805928947">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0C6B18"/>
    <w:rsid w:val="00200821"/>
    <w:rsid w:val="0025245B"/>
    <w:rsid w:val="002A3923"/>
    <w:rsid w:val="002E6589"/>
    <w:rsid w:val="00394049"/>
    <w:rsid w:val="003F6C18"/>
    <w:rsid w:val="00435235"/>
    <w:rsid w:val="00435BFB"/>
    <w:rsid w:val="004B5BBB"/>
    <w:rsid w:val="004F2DF8"/>
    <w:rsid w:val="005738D0"/>
    <w:rsid w:val="005F31E4"/>
    <w:rsid w:val="0061797F"/>
    <w:rsid w:val="006A2071"/>
    <w:rsid w:val="006A21A6"/>
    <w:rsid w:val="006F24A1"/>
    <w:rsid w:val="007B691F"/>
    <w:rsid w:val="00886A41"/>
    <w:rsid w:val="00933197"/>
    <w:rsid w:val="009A261B"/>
    <w:rsid w:val="009E257B"/>
    <w:rsid w:val="009F171F"/>
    <w:rsid w:val="009F4BCF"/>
    <w:rsid w:val="00AA2E17"/>
    <w:rsid w:val="00AC15A4"/>
    <w:rsid w:val="00B0336C"/>
    <w:rsid w:val="00BB1AE4"/>
    <w:rsid w:val="00CB2CEC"/>
    <w:rsid w:val="00D241E9"/>
    <w:rsid w:val="00D7750D"/>
    <w:rsid w:val="00D80801"/>
    <w:rsid w:val="00DA3189"/>
    <w:rsid w:val="00E21385"/>
    <w:rsid w:val="00E40BA5"/>
    <w:rsid w:val="00E854C2"/>
    <w:rsid w:val="00F00D2F"/>
    <w:rsid w:val="00F128DF"/>
    <w:rsid w:val="00FB5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3486</Words>
  <Characters>19872</Characters>
  <Application>Microsoft Office Word</Application>
  <DocSecurity>0</DocSecurity>
  <Lines>165</Lines>
  <Paragraphs>46</Paragraphs>
  <ScaleCrop>false</ScaleCrop>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2023-06-27T18:27:00Z</dcterms:created>
  <dcterms:modified xsi:type="dcterms:W3CDTF">2023-06-27T18:27:00Z</dcterms:modified>
</cp:coreProperties>
</file>