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E1D177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42772E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41568">
                              <w:rPr>
                                <w:rFonts w:asciiTheme="majorHAnsi" w:hAnsiTheme="majorHAnsi" w:cs="Arial"/>
                                <w:b/>
                                <w:bCs/>
                                <w:color w:val="0D0D0D" w:themeColor="text1" w:themeTint="F2"/>
                                <w:sz w:val="36"/>
                                <w:szCs w:val="22"/>
                                <w:lang w:val="es-ES_tradnl"/>
                              </w:rPr>
                              <w:t>56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4A5F5D6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21C0">
                              <w:rPr>
                                <w:rFonts w:asciiTheme="majorHAnsi" w:hAnsiTheme="majorHAnsi" w:cs="Arial"/>
                                <w:b/>
                                <w:color w:val="0D0D0D" w:themeColor="text1" w:themeTint="F2"/>
                                <w:sz w:val="36"/>
                                <w:szCs w:val="22"/>
                                <w:lang w:val="es-ES_tradnl"/>
                              </w:rPr>
                              <w:t>1</w:t>
                            </w:r>
                            <w:r w:rsidR="00D143FC">
                              <w:rPr>
                                <w:rFonts w:asciiTheme="majorHAnsi" w:hAnsiTheme="majorHAnsi" w:cs="Arial"/>
                                <w:b/>
                                <w:color w:val="0D0D0D" w:themeColor="text1" w:themeTint="F2"/>
                                <w:sz w:val="36"/>
                                <w:szCs w:val="22"/>
                                <w:lang w:val="es-ES_tradnl"/>
                              </w:rPr>
                              <w:t>487</w:t>
                            </w:r>
                            <w:r w:rsidR="00246D1F" w:rsidRPr="004E2649">
                              <w:rPr>
                                <w:rFonts w:asciiTheme="majorHAnsi" w:hAnsiTheme="majorHAnsi" w:cs="Arial"/>
                                <w:b/>
                                <w:color w:val="0D0D0D" w:themeColor="text1" w:themeTint="F2"/>
                                <w:sz w:val="36"/>
                                <w:szCs w:val="22"/>
                                <w:lang w:val="es-ES_tradnl"/>
                              </w:rPr>
                              <w:t>-</w:t>
                            </w:r>
                            <w:r w:rsidR="00744FFD">
                              <w:rPr>
                                <w:rFonts w:asciiTheme="majorHAnsi" w:hAnsiTheme="majorHAnsi" w:cs="Arial"/>
                                <w:b/>
                                <w:color w:val="0D0D0D" w:themeColor="text1" w:themeTint="F2"/>
                                <w:sz w:val="36"/>
                                <w:szCs w:val="22"/>
                                <w:lang w:val="es-ES_tradnl"/>
                              </w:rPr>
                              <w:t>0</w:t>
                            </w:r>
                            <w:r w:rsidR="00897C3D">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400B58E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2CE7F42" w:rsidR="005B52B0" w:rsidRPr="00D143FC" w:rsidRDefault="00D143FC" w:rsidP="00997BC5">
                            <w:pPr>
                              <w:spacing w:line="276" w:lineRule="auto"/>
                              <w:rPr>
                                <w:rFonts w:asciiTheme="majorHAnsi" w:hAnsiTheme="majorHAnsi" w:cs="Arial"/>
                                <w:color w:val="0D0D0D" w:themeColor="text1" w:themeTint="F2"/>
                                <w:szCs w:val="22"/>
                                <w:lang w:val="es-US"/>
                              </w:rPr>
                            </w:pPr>
                            <w:r w:rsidRPr="00D143FC">
                              <w:rPr>
                                <w:rFonts w:asciiTheme="majorHAnsi" w:hAnsiTheme="majorHAnsi" w:cs="Arial"/>
                                <w:color w:val="0D0D0D" w:themeColor="text1" w:themeTint="F2"/>
                                <w:szCs w:val="22"/>
                                <w:lang w:val="es-US"/>
                              </w:rPr>
                              <w:t>A</w:t>
                            </w:r>
                            <w:r>
                              <w:rPr>
                                <w:rFonts w:asciiTheme="majorHAnsi" w:hAnsiTheme="majorHAnsi" w:cs="Arial"/>
                                <w:color w:val="0D0D0D" w:themeColor="text1" w:themeTint="F2"/>
                                <w:szCs w:val="22"/>
                                <w:lang w:val="es-US"/>
                              </w:rPr>
                              <w:t>RTHUR CARL KANEV</w:t>
                            </w:r>
                          </w:p>
                          <w:bookmarkEnd w:id="0"/>
                          <w:p w14:paraId="575DFD52" w14:textId="23B3557C" w:rsidR="005B52B0" w:rsidRPr="00D143FC" w:rsidRDefault="00744FFD" w:rsidP="007A5817">
                            <w:pPr>
                              <w:rPr>
                                <w:color w:val="0D0D0D" w:themeColor="text1" w:themeTint="F2"/>
                                <w:lang w:val="es-US"/>
                              </w:rPr>
                            </w:pPr>
                            <w:r w:rsidRPr="00D143FC">
                              <w:rPr>
                                <w:rFonts w:asciiTheme="majorHAnsi" w:hAnsiTheme="majorHAnsi" w:cs="Arial"/>
                                <w:color w:val="0D0D0D" w:themeColor="text1" w:themeTint="F2"/>
                                <w:szCs w:val="22"/>
                                <w:lang w:val="es-US"/>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42772E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41568">
                        <w:rPr>
                          <w:rFonts w:asciiTheme="majorHAnsi" w:hAnsiTheme="majorHAnsi" w:cs="Arial"/>
                          <w:b/>
                          <w:bCs/>
                          <w:color w:val="0D0D0D" w:themeColor="text1" w:themeTint="F2"/>
                          <w:sz w:val="36"/>
                          <w:szCs w:val="22"/>
                          <w:lang w:val="es-ES_tradnl"/>
                        </w:rPr>
                        <w:t>56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4A5F5D6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21C0">
                        <w:rPr>
                          <w:rFonts w:asciiTheme="majorHAnsi" w:hAnsiTheme="majorHAnsi" w:cs="Arial"/>
                          <w:b/>
                          <w:color w:val="0D0D0D" w:themeColor="text1" w:themeTint="F2"/>
                          <w:sz w:val="36"/>
                          <w:szCs w:val="22"/>
                          <w:lang w:val="es-ES_tradnl"/>
                        </w:rPr>
                        <w:t>1</w:t>
                      </w:r>
                      <w:r w:rsidR="00D143FC">
                        <w:rPr>
                          <w:rFonts w:asciiTheme="majorHAnsi" w:hAnsiTheme="majorHAnsi" w:cs="Arial"/>
                          <w:b/>
                          <w:color w:val="0D0D0D" w:themeColor="text1" w:themeTint="F2"/>
                          <w:sz w:val="36"/>
                          <w:szCs w:val="22"/>
                          <w:lang w:val="es-ES_tradnl"/>
                        </w:rPr>
                        <w:t>487</w:t>
                      </w:r>
                      <w:r w:rsidR="00246D1F" w:rsidRPr="004E2649">
                        <w:rPr>
                          <w:rFonts w:asciiTheme="majorHAnsi" w:hAnsiTheme="majorHAnsi" w:cs="Arial"/>
                          <w:b/>
                          <w:color w:val="0D0D0D" w:themeColor="text1" w:themeTint="F2"/>
                          <w:sz w:val="36"/>
                          <w:szCs w:val="22"/>
                          <w:lang w:val="es-ES_tradnl"/>
                        </w:rPr>
                        <w:t>-</w:t>
                      </w:r>
                      <w:r w:rsidR="00744FFD">
                        <w:rPr>
                          <w:rFonts w:asciiTheme="majorHAnsi" w:hAnsiTheme="majorHAnsi" w:cs="Arial"/>
                          <w:b/>
                          <w:color w:val="0D0D0D" w:themeColor="text1" w:themeTint="F2"/>
                          <w:sz w:val="36"/>
                          <w:szCs w:val="22"/>
                          <w:lang w:val="es-ES_tradnl"/>
                        </w:rPr>
                        <w:t>0</w:t>
                      </w:r>
                      <w:r w:rsidR="00897C3D">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400B58E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2CE7F42" w:rsidR="005B52B0" w:rsidRPr="00D143FC" w:rsidRDefault="00D143FC" w:rsidP="00997BC5">
                      <w:pPr>
                        <w:spacing w:line="276" w:lineRule="auto"/>
                        <w:rPr>
                          <w:rFonts w:asciiTheme="majorHAnsi" w:hAnsiTheme="majorHAnsi" w:cs="Arial"/>
                          <w:color w:val="0D0D0D" w:themeColor="text1" w:themeTint="F2"/>
                          <w:szCs w:val="22"/>
                          <w:lang w:val="es-US"/>
                        </w:rPr>
                      </w:pPr>
                      <w:r w:rsidRPr="00D143FC">
                        <w:rPr>
                          <w:rFonts w:asciiTheme="majorHAnsi" w:hAnsiTheme="majorHAnsi" w:cs="Arial"/>
                          <w:color w:val="0D0D0D" w:themeColor="text1" w:themeTint="F2"/>
                          <w:szCs w:val="22"/>
                          <w:lang w:val="es-US"/>
                        </w:rPr>
                        <w:t>A</w:t>
                      </w:r>
                      <w:r>
                        <w:rPr>
                          <w:rFonts w:asciiTheme="majorHAnsi" w:hAnsiTheme="majorHAnsi" w:cs="Arial"/>
                          <w:color w:val="0D0D0D" w:themeColor="text1" w:themeTint="F2"/>
                          <w:szCs w:val="22"/>
                          <w:lang w:val="es-US"/>
                        </w:rPr>
                        <w:t>RTHUR CARL KANEV</w:t>
                      </w:r>
                    </w:p>
                    <w:bookmarkEnd w:id="1"/>
                    <w:p w14:paraId="575DFD52" w14:textId="23B3557C" w:rsidR="005B52B0" w:rsidRPr="00D143FC" w:rsidRDefault="00744FFD" w:rsidP="007A5817">
                      <w:pPr>
                        <w:rPr>
                          <w:color w:val="0D0D0D" w:themeColor="text1" w:themeTint="F2"/>
                          <w:lang w:val="es-US"/>
                        </w:rPr>
                      </w:pPr>
                      <w:r w:rsidRPr="00D143FC">
                        <w:rPr>
                          <w:rFonts w:asciiTheme="majorHAnsi" w:hAnsiTheme="majorHAnsi" w:cs="Arial"/>
                          <w:color w:val="0D0D0D" w:themeColor="text1" w:themeTint="F2"/>
                          <w:szCs w:val="22"/>
                          <w:lang w:val="es-US"/>
                        </w:rPr>
                        <w:t>COSTA RICA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DB53430" w:rsidR="00627C9F" w:rsidRPr="003A3F27" w:rsidRDefault="00834D49" w:rsidP="007A5817">
                            <w:pPr>
                              <w:spacing w:line="276" w:lineRule="auto"/>
                              <w:jc w:val="right"/>
                              <w:rPr>
                                <w:rFonts w:asciiTheme="minorHAnsi" w:hAnsiTheme="minorHAnsi"/>
                                <w:color w:val="FFFFFF" w:themeColor="background1"/>
                                <w:sz w:val="22"/>
                                <w:lang w:val="es-AR"/>
                              </w:rPr>
                            </w:pPr>
                            <w:r w:rsidRPr="003A3F27">
                              <w:rPr>
                                <w:rFonts w:asciiTheme="minorHAnsi" w:hAnsiTheme="minorHAnsi"/>
                                <w:color w:val="FFFFFF" w:themeColor="background1"/>
                                <w:sz w:val="22"/>
                                <w:lang w:val="es-AR"/>
                              </w:rPr>
                              <w:t>OEA/Ser.L/V/II</w:t>
                            </w:r>
                          </w:p>
                          <w:p w14:paraId="6A41611B" w14:textId="1D703177" w:rsidR="00627C9F" w:rsidRPr="003A3F27" w:rsidRDefault="00627C9F" w:rsidP="007A5817">
                            <w:pPr>
                              <w:spacing w:line="276" w:lineRule="auto"/>
                              <w:jc w:val="right"/>
                              <w:rPr>
                                <w:rFonts w:asciiTheme="minorHAnsi" w:hAnsiTheme="minorHAnsi"/>
                                <w:color w:val="FFFFFF" w:themeColor="background1"/>
                                <w:sz w:val="22"/>
                                <w:lang w:val="es-AR"/>
                              </w:rPr>
                            </w:pPr>
                            <w:r w:rsidRPr="003A3F27">
                              <w:rPr>
                                <w:rFonts w:asciiTheme="minorHAnsi" w:hAnsiTheme="minorHAnsi"/>
                                <w:color w:val="FFFFFF" w:themeColor="background1"/>
                                <w:sz w:val="22"/>
                                <w:lang w:val="es-AR"/>
                              </w:rPr>
                              <w:t xml:space="preserve">Doc. </w:t>
                            </w:r>
                            <w:r w:rsidR="0005413E" w:rsidRPr="003A3F27">
                              <w:rPr>
                                <w:rFonts w:asciiTheme="minorHAnsi" w:hAnsiTheme="minorHAnsi"/>
                                <w:color w:val="FFFFFF" w:themeColor="background1"/>
                                <w:sz w:val="22"/>
                                <w:lang w:val="es-AR"/>
                              </w:rPr>
                              <w:t>64</w:t>
                            </w:r>
                          </w:p>
                          <w:p w14:paraId="69373ED2" w14:textId="03EDACD4" w:rsidR="00627C9F" w:rsidRPr="00C25ADB" w:rsidRDefault="0005413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DB53430" w:rsidR="00627C9F" w:rsidRPr="003A3F27" w:rsidRDefault="00834D49" w:rsidP="007A5817">
                      <w:pPr>
                        <w:spacing w:line="276" w:lineRule="auto"/>
                        <w:jc w:val="right"/>
                        <w:rPr>
                          <w:rFonts w:asciiTheme="minorHAnsi" w:hAnsiTheme="minorHAnsi"/>
                          <w:color w:val="FFFFFF" w:themeColor="background1"/>
                          <w:sz w:val="22"/>
                          <w:lang w:val="es-AR"/>
                        </w:rPr>
                      </w:pPr>
                      <w:r w:rsidRPr="003A3F27">
                        <w:rPr>
                          <w:rFonts w:asciiTheme="minorHAnsi" w:hAnsiTheme="minorHAnsi"/>
                          <w:color w:val="FFFFFF" w:themeColor="background1"/>
                          <w:sz w:val="22"/>
                          <w:lang w:val="es-AR"/>
                        </w:rPr>
                        <w:t>OEA/Ser.L/V/II</w:t>
                      </w:r>
                    </w:p>
                    <w:p w14:paraId="6A41611B" w14:textId="1D703177" w:rsidR="00627C9F" w:rsidRPr="003A3F27" w:rsidRDefault="00627C9F" w:rsidP="007A5817">
                      <w:pPr>
                        <w:spacing w:line="276" w:lineRule="auto"/>
                        <w:jc w:val="right"/>
                        <w:rPr>
                          <w:rFonts w:asciiTheme="minorHAnsi" w:hAnsiTheme="minorHAnsi"/>
                          <w:color w:val="FFFFFF" w:themeColor="background1"/>
                          <w:sz w:val="22"/>
                          <w:lang w:val="es-AR"/>
                        </w:rPr>
                      </w:pPr>
                      <w:r w:rsidRPr="003A3F27">
                        <w:rPr>
                          <w:rFonts w:asciiTheme="minorHAnsi" w:hAnsiTheme="minorHAnsi"/>
                          <w:color w:val="FFFFFF" w:themeColor="background1"/>
                          <w:sz w:val="22"/>
                          <w:lang w:val="es-AR"/>
                        </w:rPr>
                        <w:t xml:space="preserve">Doc. </w:t>
                      </w:r>
                      <w:r w:rsidR="0005413E" w:rsidRPr="003A3F27">
                        <w:rPr>
                          <w:rFonts w:asciiTheme="minorHAnsi" w:hAnsiTheme="minorHAnsi"/>
                          <w:color w:val="FFFFFF" w:themeColor="background1"/>
                          <w:sz w:val="22"/>
                          <w:lang w:val="es-AR"/>
                        </w:rPr>
                        <w:t>64</w:t>
                      </w:r>
                    </w:p>
                    <w:p w14:paraId="69373ED2" w14:textId="03EDACD4" w:rsidR="00627C9F" w:rsidRPr="00C25ADB" w:rsidRDefault="0005413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F8802C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41568">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B41568">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B4156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F8802C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41568">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B41568">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B4156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4FD5D7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41568" w:rsidRPr="00B41568">
                              <w:rPr>
                                <w:rFonts w:asciiTheme="majorHAnsi" w:hAnsiTheme="majorHAnsi"/>
                                <w:color w:val="595959" w:themeColor="text1" w:themeTint="A6"/>
                                <w:sz w:val="18"/>
                                <w:szCs w:val="18"/>
                                <w:lang w:val="pt-BR"/>
                              </w:rPr>
                              <w:t>56</w:t>
                            </w:r>
                            <w:r w:rsidR="007B05C4" w:rsidRPr="00B41568">
                              <w:rPr>
                                <w:rFonts w:asciiTheme="majorHAnsi" w:hAnsiTheme="majorHAnsi"/>
                                <w:color w:val="595959" w:themeColor="text1" w:themeTint="A6"/>
                                <w:sz w:val="18"/>
                                <w:szCs w:val="18"/>
                                <w:lang w:val="pt-BR"/>
                              </w:rPr>
                              <w:t>/</w:t>
                            </w:r>
                            <w:r w:rsidR="00B41568" w:rsidRPr="00B41568">
                              <w:rPr>
                                <w:rFonts w:asciiTheme="majorHAnsi" w:hAnsiTheme="majorHAnsi"/>
                                <w:color w:val="595959" w:themeColor="text1" w:themeTint="A6"/>
                                <w:sz w:val="18"/>
                                <w:szCs w:val="18"/>
                                <w:lang w:val="pt-BR"/>
                              </w:rPr>
                              <w:t>23</w:t>
                            </w:r>
                            <w:r w:rsidRPr="00B4156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F3B79">
                              <w:rPr>
                                <w:rFonts w:asciiTheme="majorHAnsi" w:hAnsiTheme="majorHAnsi"/>
                                <w:color w:val="595959" w:themeColor="text1" w:themeTint="A6"/>
                                <w:sz w:val="18"/>
                                <w:szCs w:val="18"/>
                                <w:lang w:val="es-ES"/>
                              </w:rPr>
                              <w:t>1487</w:t>
                            </w:r>
                            <w:r w:rsidR="00744FFD">
                              <w:rPr>
                                <w:rFonts w:asciiTheme="majorHAnsi" w:hAnsiTheme="majorHAnsi"/>
                                <w:color w:val="595959" w:themeColor="text1" w:themeTint="A6"/>
                                <w:sz w:val="18"/>
                                <w:szCs w:val="18"/>
                                <w:lang w:val="es-ES"/>
                              </w:rPr>
                              <w:t>-0</w:t>
                            </w:r>
                            <w:r w:rsidR="00D0053A">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D143FC">
                              <w:rPr>
                                <w:rFonts w:asciiTheme="majorHAnsi" w:hAnsiTheme="majorHAnsi"/>
                                <w:color w:val="595959" w:themeColor="text1" w:themeTint="A6"/>
                                <w:sz w:val="18"/>
                                <w:szCs w:val="18"/>
                                <w:lang w:val="es-ES_tradnl"/>
                              </w:rPr>
                              <w:t>Arthur Carl Kanev</w:t>
                            </w:r>
                            <w:r w:rsidRPr="00890650">
                              <w:rPr>
                                <w:rFonts w:asciiTheme="majorHAnsi" w:hAnsiTheme="majorHAnsi"/>
                                <w:color w:val="595959" w:themeColor="text1" w:themeTint="A6"/>
                                <w:sz w:val="18"/>
                                <w:szCs w:val="18"/>
                                <w:lang w:val="es-ES_tradnl"/>
                              </w:rPr>
                              <w:t xml:space="preserve">. </w:t>
                            </w:r>
                            <w:r w:rsidR="00744FF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88252A">
                              <w:rPr>
                                <w:rFonts w:asciiTheme="majorHAnsi" w:hAnsiTheme="majorHAnsi"/>
                                <w:color w:val="595959" w:themeColor="text1" w:themeTint="A6"/>
                                <w:sz w:val="18"/>
                                <w:szCs w:val="18"/>
                                <w:lang w:val="es-ES"/>
                              </w:rPr>
                              <w:t>12 de mayo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4FD5D7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41568" w:rsidRPr="00B41568">
                        <w:rPr>
                          <w:rFonts w:asciiTheme="majorHAnsi" w:hAnsiTheme="majorHAnsi"/>
                          <w:color w:val="595959" w:themeColor="text1" w:themeTint="A6"/>
                          <w:sz w:val="18"/>
                          <w:szCs w:val="18"/>
                          <w:lang w:val="pt-BR"/>
                        </w:rPr>
                        <w:t>56</w:t>
                      </w:r>
                      <w:r w:rsidR="007B05C4" w:rsidRPr="00B41568">
                        <w:rPr>
                          <w:rFonts w:asciiTheme="majorHAnsi" w:hAnsiTheme="majorHAnsi"/>
                          <w:color w:val="595959" w:themeColor="text1" w:themeTint="A6"/>
                          <w:sz w:val="18"/>
                          <w:szCs w:val="18"/>
                          <w:lang w:val="pt-BR"/>
                        </w:rPr>
                        <w:t>/</w:t>
                      </w:r>
                      <w:r w:rsidR="00B41568" w:rsidRPr="00B41568">
                        <w:rPr>
                          <w:rFonts w:asciiTheme="majorHAnsi" w:hAnsiTheme="majorHAnsi"/>
                          <w:color w:val="595959" w:themeColor="text1" w:themeTint="A6"/>
                          <w:sz w:val="18"/>
                          <w:szCs w:val="18"/>
                          <w:lang w:val="pt-BR"/>
                        </w:rPr>
                        <w:t>23</w:t>
                      </w:r>
                      <w:r w:rsidRPr="00B4156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F3B79">
                        <w:rPr>
                          <w:rFonts w:asciiTheme="majorHAnsi" w:hAnsiTheme="majorHAnsi"/>
                          <w:color w:val="595959" w:themeColor="text1" w:themeTint="A6"/>
                          <w:sz w:val="18"/>
                          <w:szCs w:val="18"/>
                          <w:lang w:val="es-ES"/>
                        </w:rPr>
                        <w:t>1487</w:t>
                      </w:r>
                      <w:r w:rsidR="00744FFD">
                        <w:rPr>
                          <w:rFonts w:asciiTheme="majorHAnsi" w:hAnsiTheme="majorHAnsi"/>
                          <w:color w:val="595959" w:themeColor="text1" w:themeTint="A6"/>
                          <w:sz w:val="18"/>
                          <w:szCs w:val="18"/>
                          <w:lang w:val="es-ES"/>
                        </w:rPr>
                        <w:t>-0</w:t>
                      </w:r>
                      <w:r w:rsidR="00D0053A">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D143FC">
                        <w:rPr>
                          <w:rFonts w:asciiTheme="majorHAnsi" w:hAnsiTheme="majorHAnsi"/>
                          <w:color w:val="595959" w:themeColor="text1" w:themeTint="A6"/>
                          <w:sz w:val="18"/>
                          <w:szCs w:val="18"/>
                          <w:lang w:val="es-ES_tradnl"/>
                        </w:rPr>
                        <w:t>Arthur Carl Kanev</w:t>
                      </w:r>
                      <w:r w:rsidRPr="00890650">
                        <w:rPr>
                          <w:rFonts w:asciiTheme="majorHAnsi" w:hAnsiTheme="majorHAnsi"/>
                          <w:color w:val="595959" w:themeColor="text1" w:themeTint="A6"/>
                          <w:sz w:val="18"/>
                          <w:szCs w:val="18"/>
                          <w:lang w:val="es-ES_tradnl"/>
                        </w:rPr>
                        <w:t xml:space="preserve">. </w:t>
                      </w:r>
                      <w:r w:rsidR="00744FF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88252A">
                        <w:rPr>
                          <w:rFonts w:asciiTheme="majorHAnsi" w:hAnsiTheme="majorHAnsi"/>
                          <w:color w:val="595959" w:themeColor="text1" w:themeTint="A6"/>
                          <w:sz w:val="18"/>
                          <w:szCs w:val="18"/>
                          <w:lang w:val="es-ES"/>
                        </w:rPr>
                        <w:t>12 de mayo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0A7F8CF" w:rsidR="00D72DC6" w:rsidRPr="00D72DC6" w:rsidRDefault="00937DB7" w:rsidP="00F02AD1">
                            <w:pPr>
                              <w:rPr>
                                <w:color w:val="FFFFFF" w:themeColor="background1"/>
                                <w14:textFill>
                                  <w14:noFill/>
                                </w14:textFill>
                              </w:rPr>
                            </w:pPr>
                            <w:r>
                              <w:rPr>
                                <w:noProof/>
                              </w:rPr>
                              <w:drawing>
                                <wp:inline distT="0" distB="0" distL="0" distR="0" wp14:anchorId="4700C031" wp14:editId="02D9EAFA">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00A7F8CF" w:rsidR="00D72DC6" w:rsidRPr="00D72DC6" w:rsidRDefault="00937DB7" w:rsidP="00F02AD1">
                      <w:pPr>
                        <w:rPr>
                          <w:color w:val="FFFFFF" w:themeColor="background1"/>
                          <w14:textFill>
                            <w14:noFill/>
                          </w14:textFill>
                        </w:rPr>
                      </w:pPr>
                      <w:r>
                        <w:rPr>
                          <w:noProof/>
                        </w:rPr>
                        <w:drawing>
                          <wp:inline distT="0" distB="0" distL="0" distR="0" wp14:anchorId="4700C031" wp14:editId="02D9EAFA">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071F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0279DCF6" w:rsidR="003239B8" w:rsidRPr="00CC4AC6" w:rsidRDefault="009F3B79" w:rsidP="008D2290">
            <w:pPr>
              <w:jc w:val="both"/>
              <w:rPr>
                <w:rFonts w:ascii="Cambria" w:hAnsi="Cambria"/>
                <w:bCs/>
                <w:sz w:val="20"/>
                <w:szCs w:val="20"/>
                <w:lang w:val="es-US"/>
              </w:rPr>
            </w:pPr>
            <w:r>
              <w:rPr>
                <w:rFonts w:ascii="Cambria" w:hAnsi="Cambria"/>
                <w:bCs/>
                <w:sz w:val="20"/>
                <w:szCs w:val="20"/>
                <w:lang w:val="es-US"/>
              </w:rPr>
              <w:t>Hugo Luis Levy Mena</w:t>
            </w:r>
          </w:p>
        </w:tc>
      </w:tr>
      <w:tr w:rsidR="003239B8" w:rsidRPr="00804C1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7168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6E92FD0" w:rsidR="003239B8" w:rsidRPr="00916C1D" w:rsidRDefault="009F3B79" w:rsidP="00684BFC">
            <w:pPr>
              <w:rPr>
                <w:lang w:val="es-US"/>
              </w:rPr>
            </w:pPr>
            <w:r>
              <w:rPr>
                <w:rFonts w:ascii="Cambria" w:hAnsi="Cambria"/>
                <w:bCs/>
                <w:sz w:val="20"/>
                <w:szCs w:val="20"/>
                <w:lang w:val="es-US"/>
              </w:rPr>
              <w:t>Arthur Carl Kanev</w:t>
            </w:r>
            <w:r w:rsidR="006D0F37" w:rsidRPr="00916C1D">
              <w:rPr>
                <w:rFonts w:ascii="Cambria" w:hAnsi="Cambria"/>
                <w:bCs/>
                <w:sz w:val="20"/>
                <w:szCs w:val="20"/>
                <w:lang w:val="es-US"/>
              </w:rPr>
              <w:t xml:space="preserve"> </w:t>
            </w:r>
            <w:r w:rsidR="00684BFC" w:rsidRPr="00916C1D">
              <w:rPr>
                <w:lang w:val="es-US"/>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F6E60A6" w:rsidR="003239B8" w:rsidRPr="000D05CB" w:rsidRDefault="00D029F8" w:rsidP="008D2290">
            <w:pPr>
              <w:jc w:val="both"/>
              <w:rPr>
                <w:rFonts w:ascii="Cambria" w:hAnsi="Cambria"/>
                <w:bCs/>
                <w:sz w:val="20"/>
                <w:szCs w:val="20"/>
              </w:rPr>
            </w:pPr>
            <w:r>
              <w:rPr>
                <w:rFonts w:ascii="Cambria" w:hAnsi="Cambria"/>
                <w:bCs/>
                <w:sz w:val="20"/>
                <w:szCs w:val="20"/>
              </w:rPr>
              <w:t>Costa Rica</w:t>
            </w:r>
          </w:p>
        </w:tc>
      </w:tr>
      <w:tr w:rsidR="00223A29" w:rsidRPr="003A3F2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18BA363" w:rsidR="00223A29" w:rsidRPr="00406D7B" w:rsidRDefault="00B54039" w:rsidP="008D2290">
            <w:pPr>
              <w:jc w:val="both"/>
              <w:rPr>
                <w:rFonts w:ascii="Cambria" w:hAnsi="Cambria"/>
                <w:bCs/>
                <w:sz w:val="20"/>
                <w:szCs w:val="20"/>
                <w:lang w:val="es-US"/>
              </w:rPr>
            </w:pPr>
            <w:r>
              <w:rPr>
                <w:rFonts w:ascii="Cambria" w:hAnsi="Cambria"/>
                <w:bCs/>
                <w:sz w:val="20"/>
                <w:szCs w:val="20"/>
                <w:lang w:val="es-ES"/>
              </w:rPr>
              <w:t xml:space="preserve">Artículo 8 (garantías judiciales), 9 (principio de legalidad y de retroactividad), 24 (igualdad ante la ley) y 25 (protección judicial)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2B77B0A" w:rsidR="004C2312" w:rsidRPr="003239B8" w:rsidRDefault="003D7D36" w:rsidP="002625EA">
            <w:pPr>
              <w:jc w:val="both"/>
              <w:rPr>
                <w:rFonts w:ascii="Cambria" w:hAnsi="Cambria"/>
                <w:bCs/>
                <w:sz w:val="20"/>
                <w:szCs w:val="20"/>
                <w:lang w:val="es-ES"/>
              </w:rPr>
            </w:pPr>
            <w:r>
              <w:rPr>
                <w:rFonts w:ascii="Cambria" w:hAnsi="Cambria"/>
                <w:bCs/>
                <w:sz w:val="20"/>
                <w:szCs w:val="20"/>
                <w:lang w:val="es-ES"/>
              </w:rPr>
              <w:t>19 de diciembre de 2008</w:t>
            </w:r>
          </w:p>
        </w:tc>
      </w:tr>
      <w:tr w:rsidR="0080493E" w:rsidRPr="00FA1333" w14:paraId="79EBA584" w14:textId="77777777" w:rsidTr="004A6A54">
        <w:tc>
          <w:tcPr>
            <w:tcW w:w="3600" w:type="dxa"/>
            <w:tcBorders>
              <w:top w:val="single" w:sz="6" w:space="0" w:color="auto"/>
              <w:bottom w:val="single" w:sz="6" w:space="0" w:color="auto"/>
            </w:tcBorders>
            <w:shd w:val="clear" w:color="auto" w:fill="386294"/>
            <w:vAlign w:val="center"/>
          </w:tcPr>
          <w:p w14:paraId="371D250B" w14:textId="5B15DB17" w:rsidR="0080493E" w:rsidRDefault="00FA1333"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422E658" w14:textId="3E18A689" w:rsidR="0080493E" w:rsidRDefault="003D7D36" w:rsidP="002625EA">
            <w:pPr>
              <w:jc w:val="both"/>
              <w:rPr>
                <w:rFonts w:ascii="Cambria" w:hAnsi="Cambria"/>
                <w:bCs/>
                <w:sz w:val="20"/>
                <w:szCs w:val="20"/>
                <w:lang w:val="es-ES"/>
              </w:rPr>
            </w:pPr>
            <w:r>
              <w:rPr>
                <w:rFonts w:ascii="Cambria" w:hAnsi="Cambria"/>
                <w:bCs/>
                <w:sz w:val="20"/>
                <w:szCs w:val="20"/>
                <w:lang w:val="es-ES"/>
              </w:rPr>
              <w:t>23 de noviembre de 2015</w:t>
            </w:r>
          </w:p>
        </w:tc>
      </w:tr>
      <w:tr w:rsidR="004C2312" w:rsidRPr="00560A3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7C8CCF1" w:rsidR="004C2312" w:rsidRPr="003239B8" w:rsidRDefault="003D7D36" w:rsidP="008D2290">
            <w:pPr>
              <w:jc w:val="both"/>
              <w:rPr>
                <w:rFonts w:ascii="Cambria" w:hAnsi="Cambria"/>
                <w:bCs/>
                <w:sz w:val="20"/>
                <w:szCs w:val="20"/>
                <w:lang w:val="es-ES"/>
              </w:rPr>
            </w:pPr>
            <w:r>
              <w:rPr>
                <w:rFonts w:ascii="Cambria" w:hAnsi="Cambria"/>
                <w:bCs/>
                <w:sz w:val="20"/>
                <w:szCs w:val="20"/>
                <w:lang w:val="es-ES"/>
              </w:rPr>
              <w:t>24 de agosto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E3A3FAE" w:rsidR="004C2312" w:rsidRPr="003239B8" w:rsidRDefault="003D7D36" w:rsidP="008D2290">
            <w:pPr>
              <w:jc w:val="both"/>
              <w:rPr>
                <w:rFonts w:ascii="Cambria" w:hAnsi="Cambria"/>
                <w:bCs/>
                <w:sz w:val="20"/>
                <w:szCs w:val="20"/>
                <w:lang w:val="es-ES"/>
              </w:rPr>
            </w:pPr>
            <w:r>
              <w:rPr>
                <w:rFonts w:ascii="Cambria" w:hAnsi="Cambria"/>
                <w:bCs/>
                <w:sz w:val="20"/>
                <w:szCs w:val="20"/>
                <w:lang w:val="es-ES"/>
              </w:rPr>
              <w:t>2 de diciembre de 2016</w:t>
            </w:r>
          </w:p>
        </w:tc>
      </w:tr>
      <w:tr w:rsidR="00855ADB" w:rsidRPr="003A3F27" w14:paraId="370C6B67" w14:textId="77777777" w:rsidTr="004A6A54">
        <w:tc>
          <w:tcPr>
            <w:tcW w:w="3600" w:type="dxa"/>
            <w:tcBorders>
              <w:top w:val="single" w:sz="6" w:space="0" w:color="auto"/>
              <w:bottom w:val="single" w:sz="6" w:space="0" w:color="auto"/>
            </w:tcBorders>
            <w:shd w:val="clear" w:color="auto" w:fill="386294"/>
            <w:vAlign w:val="center"/>
          </w:tcPr>
          <w:p w14:paraId="673449BE" w14:textId="0058B676"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5BFDEA25" w14:textId="1028E4B6" w:rsidR="00855ADB" w:rsidRDefault="0063463C" w:rsidP="008D2290">
            <w:pPr>
              <w:jc w:val="both"/>
              <w:rPr>
                <w:rFonts w:ascii="Cambria" w:hAnsi="Cambria"/>
                <w:bCs/>
                <w:sz w:val="20"/>
                <w:szCs w:val="20"/>
                <w:lang w:val="es-ES"/>
              </w:rPr>
            </w:pPr>
            <w:r>
              <w:rPr>
                <w:rFonts w:ascii="Cambria" w:hAnsi="Cambria"/>
                <w:bCs/>
                <w:sz w:val="20"/>
                <w:szCs w:val="20"/>
                <w:lang w:val="es-ES"/>
              </w:rPr>
              <w:t>15 de junio de 2017, 20 de octubre de 2017, 4 de octubre de 2019, 26 de junio de 2020</w:t>
            </w:r>
            <w:r w:rsidR="00C230AB">
              <w:rPr>
                <w:rFonts w:ascii="Cambria" w:hAnsi="Cambria"/>
                <w:bCs/>
                <w:sz w:val="20"/>
                <w:szCs w:val="20"/>
                <w:lang w:val="es-ES"/>
              </w:rPr>
              <w:t>, 21 de diciembre de 2020 y 18 de febrero de 2022</w:t>
            </w:r>
          </w:p>
        </w:tc>
      </w:tr>
      <w:tr w:rsidR="00855ADB" w:rsidRPr="003A3F27" w14:paraId="53744B43" w14:textId="77777777" w:rsidTr="004A6A54">
        <w:tc>
          <w:tcPr>
            <w:tcW w:w="3600" w:type="dxa"/>
            <w:tcBorders>
              <w:top w:val="single" w:sz="6" w:space="0" w:color="auto"/>
              <w:bottom w:val="single" w:sz="6" w:space="0" w:color="auto"/>
            </w:tcBorders>
            <w:shd w:val="clear" w:color="auto" w:fill="386294"/>
            <w:vAlign w:val="center"/>
          </w:tcPr>
          <w:p w14:paraId="2612331C" w14:textId="05520089"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233F6E39" w14:textId="1DE5D4A6" w:rsidR="00855ADB" w:rsidRDefault="0063463C" w:rsidP="008D2290">
            <w:pPr>
              <w:jc w:val="both"/>
              <w:rPr>
                <w:rFonts w:ascii="Cambria" w:hAnsi="Cambria"/>
                <w:bCs/>
                <w:sz w:val="20"/>
                <w:szCs w:val="20"/>
                <w:lang w:val="es-ES"/>
              </w:rPr>
            </w:pPr>
            <w:r>
              <w:rPr>
                <w:rFonts w:ascii="Cambria" w:hAnsi="Cambria"/>
                <w:bCs/>
                <w:sz w:val="20"/>
                <w:szCs w:val="20"/>
                <w:lang w:val="es-ES"/>
              </w:rPr>
              <w:t>14 de julio de 2018, 25 de mayo de 2020 y 22 de septiembre de 2020</w:t>
            </w:r>
            <w:r w:rsidR="00C230AB">
              <w:rPr>
                <w:rFonts w:ascii="Cambria" w:hAnsi="Cambria"/>
                <w:bCs/>
                <w:sz w:val="20"/>
                <w:szCs w:val="20"/>
                <w:lang w:val="es-ES"/>
              </w:rPr>
              <w:t xml:space="preserve"> y 17 de mayo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3A3F2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76CCC835"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D029F8">
              <w:rPr>
                <w:rFonts w:ascii="Cambria" w:hAnsi="Cambria"/>
                <w:bCs/>
                <w:sz w:val="20"/>
                <w:szCs w:val="20"/>
                <w:lang w:val="es-ES"/>
              </w:rPr>
              <w:t>8</w:t>
            </w:r>
            <w:r>
              <w:rPr>
                <w:rFonts w:ascii="Cambria" w:hAnsi="Cambria"/>
                <w:bCs/>
                <w:sz w:val="20"/>
                <w:szCs w:val="20"/>
                <w:lang w:val="es-ES"/>
              </w:rPr>
              <w:t xml:space="preserve"> de </w:t>
            </w:r>
            <w:r w:rsidR="00D029F8">
              <w:rPr>
                <w:rFonts w:ascii="Cambria" w:hAnsi="Cambria"/>
                <w:bCs/>
                <w:sz w:val="20"/>
                <w:szCs w:val="20"/>
                <w:lang w:val="es-ES"/>
              </w:rPr>
              <w:t>abril</w:t>
            </w:r>
            <w:r>
              <w:rPr>
                <w:rFonts w:ascii="Cambria" w:hAnsi="Cambria"/>
                <w:bCs/>
                <w:sz w:val="20"/>
                <w:szCs w:val="20"/>
                <w:lang w:val="es-ES"/>
              </w:rPr>
              <w:t xml:space="preserve"> de 197</w:t>
            </w:r>
            <w:r w:rsidR="00D029F8">
              <w:rPr>
                <w:rFonts w:ascii="Cambria" w:hAnsi="Cambria"/>
                <w:bCs/>
                <w:sz w:val="20"/>
                <w:szCs w:val="20"/>
                <w:lang w:val="es-ES"/>
              </w:rPr>
              <w:t>0</w:t>
            </w:r>
            <w:r>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0"/>
        <w:gridCol w:w="5672"/>
      </w:tblGrid>
      <w:tr w:rsidR="00EE00E9" w:rsidRPr="007B2666" w14:paraId="1231C988" w14:textId="77777777" w:rsidTr="001237F3">
        <w:trPr>
          <w:cantSplit/>
        </w:trPr>
        <w:tc>
          <w:tcPr>
            <w:tcW w:w="3570" w:type="dxa"/>
            <w:tcBorders>
              <w:top w:val="single" w:sz="4" w:space="0" w:color="auto"/>
              <w:bottom w:val="single" w:sz="6" w:space="0" w:color="auto"/>
            </w:tcBorders>
            <w:shd w:val="clear" w:color="auto" w:fill="386294"/>
            <w:vAlign w:val="center"/>
          </w:tcPr>
          <w:p w14:paraId="6F8031F4" w14:textId="77777777" w:rsidR="00EE00E9" w:rsidRPr="005628C9" w:rsidRDefault="00EE00E9" w:rsidP="008D2290">
            <w:pPr>
              <w:jc w:val="center"/>
              <w:rPr>
                <w:rFonts w:ascii="Cambria" w:hAnsi="Cambria"/>
                <w:b/>
                <w:bCs/>
                <w:color w:val="FFFFFF" w:themeColor="background1"/>
                <w:sz w:val="20"/>
                <w:szCs w:val="20"/>
                <w:lang w:val="es-ES_tradnl"/>
              </w:rPr>
            </w:pPr>
            <w:r w:rsidRPr="005628C9">
              <w:rPr>
                <w:rFonts w:ascii="Cambria" w:hAnsi="Cambria"/>
                <w:b/>
                <w:bCs/>
                <w:color w:val="FFFFFF" w:themeColor="background1"/>
                <w:sz w:val="20"/>
                <w:szCs w:val="20"/>
                <w:lang w:val="es-ES_tradnl"/>
              </w:rPr>
              <w:t>Duplicación de procedimientos y cosa juzgada internacional:</w:t>
            </w:r>
          </w:p>
        </w:tc>
        <w:tc>
          <w:tcPr>
            <w:tcW w:w="5672" w:type="dxa"/>
            <w:vAlign w:val="center"/>
          </w:tcPr>
          <w:p w14:paraId="240941E6" w14:textId="53F39C37" w:rsidR="00EE00E9" w:rsidRPr="005628C9" w:rsidRDefault="001237F3" w:rsidP="008D2290">
            <w:pPr>
              <w:jc w:val="both"/>
              <w:rPr>
                <w:rFonts w:ascii="Cambria" w:hAnsi="Cambria"/>
                <w:bCs/>
                <w:sz w:val="20"/>
                <w:szCs w:val="20"/>
                <w:lang w:val="es-ES_tradnl"/>
              </w:rPr>
            </w:pPr>
            <w:r w:rsidRPr="005628C9">
              <w:rPr>
                <w:rFonts w:ascii="Cambria" w:hAnsi="Cambria"/>
                <w:bCs/>
                <w:sz w:val="20"/>
                <w:szCs w:val="20"/>
                <w:lang w:val="es-ES_tradnl"/>
              </w:rPr>
              <w:t>No</w:t>
            </w:r>
          </w:p>
        </w:tc>
      </w:tr>
      <w:tr w:rsidR="003239B8" w:rsidRPr="002021CE" w14:paraId="15FAA7D1" w14:textId="77777777" w:rsidTr="001237F3">
        <w:trPr>
          <w:cantSplit/>
        </w:trPr>
        <w:tc>
          <w:tcPr>
            <w:tcW w:w="3570" w:type="dxa"/>
            <w:tcBorders>
              <w:top w:val="single" w:sz="4" w:space="0" w:color="auto"/>
              <w:bottom w:val="single" w:sz="6" w:space="0" w:color="auto"/>
            </w:tcBorders>
            <w:shd w:val="clear" w:color="auto" w:fill="386294"/>
            <w:vAlign w:val="center"/>
          </w:tcPr>
          <w:p w14:paraId="1B0D29FF" w14:textId="77777777" w:rsidR="003239B8" w:rsidRPr="005628C9" w:rsidRDefault="003239B8" w:rsidP="008D2290">
            <w:pPr>
              <w:jc w:val="center"/>
              <w:rPr>
                <w:rFonts w:ascii="Cambria" w:hAnsi="Cambria"/>
                <w:b/>
                <w:bCs/>
                <w:i/>
                <w:color w:val="FFFFFF" w:themeColor="background1"/>
                <w:sz w:val="20"/>
                <w:szCs w:val="20"/>
                <w:lang w:val="es-ES_tradnl"/>
              </w:rPr>
            </w:pPr>
            <w:r w:rsidRPr="005628C9">
              <w:rPr>
                <w:rFonts w:ascii="Cambria" w:hAnsi="Cambria"/>
                <w:b/>
                <w:bCs/>
                <w:color w:val="FFFFFF" w:themeColor="background1"/>
                <w:sz w:val="20"/>
                <w:szCs w:val="20"/>
                <w:lang w:val="es-ES_tradnl"/>
              </w:rPr>
              <w:t>Derechos declarados admisibles</w:t>
            </w:r>
            <w:r w:rsidRPr="005628C9">
              <w:rPr>
                <w:rFonts w:ascii="Cambria" w:hAnsi="Cambria"/>
                <w:b/>
                <w:bCs/>
                <w:i/>
                <w:color w:val="FFFFFF" w:themeColor="background1"/>
                <w:sz w:val="20"/>
                <w:szCs w:val="20"/>
                <w:lang w:val="es-ES_tradnl"/>
              </w:rPr>
              <w:t>:</w:t>
            </w:r>
          </w:p>
        </w:tc>
        <w:tc>
          <w:tcPr>
            <w:tcW w:w="5672" w:type="dxa"/>
            <w:vAlign w:val="center"/>
          </w:tcPr>
          <w:p w14:paraId="6310C8F7" w14:textId="0F8552BE" w:rsidR="003239B8" w:rsidRPr="005628C9" w:rsidRDefault="001237F3" w:rsidP="008D2290">
            <w:pPr>
              <w:jc w:val="both"/>
              <w:rPr>
                <w:rFonts w:ascii="Cambria" w:hAnsi="Cambria"/>
                <w:bCs/>
                <w:sz w:val="20"/>
                <w:szCs w:val="20"/>
                <w:lang w:val="es-ES_tradnl"/>
              </w:rPr>
            </w:pPr>
            <w:r w:rsidRPr="005628C9">
              <w:rPr>
                <w:rFonts w:ascii="Cambria" w:hAnsi="Cambria"/>
                <w:bCs/>
                <w:sz w:val="20"/>
                <w:szCs w:val="20"/>
                <w:lang w:val="es-ES_tradnl"/>
              </w:rPr>
              <w:t>N</w:t>
            </w:r>
            <w:r w:rsidR="005F6585">
              <w:rPr>
                <w:rFonts w:ascii="Cambria" w:hAnsi="Cambria"/>
                <w:bCs/>
                <w:sz w:val="20"/>
                <w:szCs w:val="20"/>
                <w:lang w:val="es-ES_tradnl"/>
              </w:rPr>
              <w:t>o aplica</w:t>
            </w:r>
          </w:p>
        </w:tc>
      </w:tr>
      <w:tr w:rsidR="001237F3" w:rsidRPr="003A3F27" w14:paraId="4EFD141E" w14:textId="77777777" w:rsidTr="001237F3">
        <w:trPr>
          <w:cantSplit/>
        </w:trPr>
        <w:tc>
          <w:tcPr>
            <w:tcW w:w="3570" w:type="dxa"/>
            <w:tcBorders>
              <w:top w:val="single" w:sz="6" w:space="0" w:color="auto"/>
              <w:bottom w:val="single" w:sz="6" w:space="0" w:color="auto"/>
            </w:tcBorders>
            <w:shd w:val="clear" w:color="auto" w:fill="386294"/>
            <w:vAlign w:val="center"/>
          </w:tcPr>
          <w:p w14:paraId="4C04A89C" w14:textId="77777777" w:rsidR="001237F3" w:rsidRPr="00DC24E3" w:rsidRDefault="001237F3" w:rsidP="001237F3">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672" w:type="dxa"/>
            <w:vAlign w:val="center"/>
          </w:tcPr>
          <w:p w14:paraId="69C53E8A" w14:textId="5FED5DC3" w:rsidR="001237F3" w:rsidRPr="00DC24E3" w:rsidRDefault="001237F3" w:rsidP="001237F3">
            <w:pPr>
              <w:rPr>
                <w:rFonts w:ascii="Cambria" w:hAnsi="Cambria"/>
                <w:bCs/>
                <w:sz w:val="20"/>
                <w:szCs w:val="20"/>
                <w:lang w:val="es-ES"/>
              </w:rPr>
            </w:pPr>
            <w:r>
              <w:rPr>
                <w:rFonts w:ascii="Cambria" w:hAnsi="Cambria"/>
                <w:bCs/>
                <w:sz w:val="20"/>
                <w:szCs w:val="20"/>
                <w:lang w:val="es-ES"/>
              </w:rPr>
              <w:t>No, en los términos de la sección VII</w:t>
            </w:r>
          </w:p>
        </w:tc>
      </w:tr>
      <w:tr w:rsidR="001237F3" w:rsidRPr="001B5726" w14:paraId="52B5BA17" w14:textId="77777777" w:rsidTr="001237F3">
        <w:trPr>
          <w:cantSplit/>
        </w:trPr>
        <w:tc>
          <w:tcPr>
            <w:tcW w:w="3570" w:type="dxa"/>
            <w:tcBorders>
              <w:top w:val="single" w:sz="6" w:space="0" w:color="auto"/>
              <w:bottom w:val="single" w:sz="6" w:space="0" w:color="auto"/>
            </w:tcBorders>
            <w:shd w:val="clear" w:color="auto" w:fill="386294"/>
            <w:vAlign w:val="center"/>
          </w:tcPr>
          <w:p w14:paraId="5DF99086" w14:textId="77777777" w:rsidR="001237F3" w:rsidRPr="00A41296" w:rsidRDefault="001237F3" w:rsidP="001237F3">
            <w:pPr>
              <w:jc w:val="center"/>
              <w:rPr>
                <w:rFonts w:ascii="Cambria" w:hAnsi="Cambria"/>
                <w:b/>
                <w:bCs/>
                <w:color w:val="FFFFFF" w:themeColor="background1"/>
                <w:sz w:val="20"/>
                <w:szCs w:val="20"/>
              </w:rPr>
            </w:pPr>
            <w:r w:rsidRPr="00A41296">
              <w:rPr>
                <w:rFonts w:ascii="Cambria" w:hAnsi="Cambria"/>
                <w:b/>
                <w:bCs/>
                <w:color w:val="FFFFFF" w:themeColor="background1"/>
                <w:sz w:val="20"/>
                <w:szCs w:val="20"/>
              </w:rPr>
              <w:t>Presentación dentro de plazo:</w:t>
            </w:r>
          </w:p>
        </w:tc>
        <w:tc>
          <w:tcPr>
            <w:tcW w:w="5672" w:type="dxa"/>
            <w:vAlign w:val="center"/>
          </w:tcPr>
          <w:p w14:paraId="4A2A4569" w14:textId="00C94473" w:rsidR="001237F3" w:rsidRPr="00A41296" w:rsidRDefault="001237F3" w:rsidP="001237F3">
            <w:pPr>
              <w:rPr>
                <w:rFonts w:ascii="Cambria" w:hAnsi="Cambria"/>
                <w:bCs/>
                <w:sz w:val="20"/>
                <w:szCs w:val="20"/>
                <w:lang w:val="es-PE"/>
              </w:rPr>
            </w:pPr>
            <w:r w:rsidRPr="00A41296">
              <w:rPr>
                <w:rFonts w:ascii="Cambria" w:hAnsi="Cambria"/>
                <w:bCs/>
                <w:sz w:val="20"/>
                <w:szCs w:val="20"/>
                <w:lang w:val="es-ES"/>
              </w:rPr>
              <w:t>No</w:t>
            </w:r>
            <w:r w:rsidR="001B5726" w:rsidRPr="00A41296">
              <w:rPr>
                <w:rFonts w:ascii="Cambria" w:hAnsi="Cambria"/>
                <w:bCs/>
                <w:sz w:val="20"/>
                <w:szCs w:val="20"/>
                <w:lang w:val="es-ES"/>
              </w:rPr>
              <w:t xml:space="preserve"> aplica</w:t>
            </w:r>
          </w:p>
        </w:tc>
      </w:tr>
    </w:tbl>
    <w:p w14:paraId="18E6423B" w14:textId="5762B3E0" w:rsidR="003239B8" w:rsidRPr="000E4587"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39144C" w:rsidRPr="000E4587">
        <w:rPr>
          <w:rFonts w:asciiTheme="majorHAnsi" w:hAnsiTheme="majorHAnsi"/>
          <w:b/>
          <w:sz w:val="20"/>
          <w:szCs w:val="20"/>
          <w:lang w:val="es-ES_tradnl"/>
        </w:rPr>
        <w:t>POSICIÓN DE LAS PARTES</w:t>
      </w:r>
      <w:r w:rsidR="003239B8" w:rsidRPr="000E4587">
        <w:rPr>
          <w:rFonts w:asciiTheme="majorHAnsi" w:hAnsiTheme="majorHAnsi"/>
          <w:b/>
          <w:sz w:val="20"/>
          <w:szCs w:val="20"/>
          <w:lang w:val="es-ES_tradnl"/>
        </w:rPr>
        <w:t xml:space="preserve"> </w:t>
      </w:r>
    </w:p>
    <w:p w14:paraId="445A4157" w14:textId="48AF6D04" w:rsidR="005B2CCC" w:rsidRPr="000E4587" w:rsidRDefault="005B2CCC" w:rsidP="003239B8">
      <w:pPr>
        <w:spacing w:before="240" w:after="240"/>
        <w:ind w:firstLine="720"/>
        <w:jc w:val="both"/>
        <w:rPr>
          <w:rFonts w:asciiTheme="majorHAnsi" w:hAnsiTheme="majorHAnsi"/>
          <w:bCs/>
          <w:i/>
          <w:iCs/>
          <w:sz w:val="20"/>
          <w:szCs w:val="20"/>
          <w:lang w:val="es-ES_tradnl"/>
        </w:rPr>
      </w:pPr>
      <w:r w:rsidRPr="000E4587">
        <w:rPr>
          <w:rFonts w:asciiTheme="majorHAnsi" w:hAnsiTheme="majorHAnsi"/>
          <w:bCs/>
          <w:i/>
          <w:iCs/>
          <w:sz w:val="20"/>
          <w:szCs w:val="20"/>
          <w:lang w:val="es-ES_tradnl"/>
        </w:rPr>
        <w:t>Alegatos de la parte peticionaria</w:t>
      </w:r>
    </w:p>
    <w:p w14:paraId="68B1EDC0" w14:textId="1DD10E4C" w:rsidR="0001487E" w:rsidRPr="000E4587" w:rsidRDefault="0001487E" w:rsidP="000148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E4587">
        <w:rPr>
          <w:rFonts w:ascii="Cambria" w:hAnsi="Cambria"/>
          <w:sz w:val="20"/>
          <w:szCs w:val="20"/>
          <w:lang w:val="es-ES_tradnl"/>
        </w:rPr>
        <w:t xml:space="preserve">La parte peticionaria denuncia que el señor </w:t>
      </w:r>
      <w:r w:rsidR="003214C5" w:rsidRPr="000E4587">
        <w:rPr>
          <w:rFonts w:ascii="Cambria" w:hAnsi="Cambria"/>
          <w:sz w:val="20"/>
          <w:szCs w:val="20"/>
          <w:lang w:val="es-ES_tradnl"/>
        </w:rPr>
        <w:t>Kanev, de nacionalidad estadounidense,</w:t>
      </w:r>
      <w:r w:rsidRPr="000E4587">
        <w:rPr>
          <w:rFonts w:ascii="Cambria" w:hAnsi="Cambria"/>
          <w:sz w:val="20"/>
          <w:szCs w:val="20"/>
          <w:lang w:val="es-ES_tradnl"/>
        </w:rPr>
        <w:t xml:space="preserve"> no tuvo acceso a un recurso que permita la revisión integral de su condena por el delito </w:t>
      </w:r>
      <w:r w:rsidR="005F2083" w:rsidRPr="000E4587">
        <w:rPr>
          <w:rFonts w:ascii="Cambria" w:hAnsi="Cambria"/>
          <w:sz w:val="20"/>
          <w:szCs w:val="20"/>
          <w:lang w:val="es-ES_tradnl"/>
        </w:rPr>
        <w:t>de suministro de drogas</w:t>
      </w:r>
      <w:r w:rsidR="00E42A42" w:rsidRPr="000E4587">
        <w:rPr>
          <w:rFonts w:ascii="Cambria" w:hAnsi="Cambria"/>
          <w:sz w:val="20"/>
          <w:szCs w:val="20"/>
          <w:lang w:val="es-ES_tradnl"/>
        </w:rPr>
        <w:t xml:space="preserve"> </w:t>
      </w:r>
      <w:r w:rsidR="00A62848" w:rsidRPr="000E4587">
        <w:rPr>
          <w:rFonts w:ascii="Cambria" w:hAnsi="Cambria"/>
          <w:sz w:val="20"/>
          <w:szCs w:val="20"/>
          <w:lang w:val="es-ES_tradnl"/>
        </w:rPr>
        <w:t xml:space="preserve">a menores de edad. </w:t>
      </w:r>
      <w:r w:rsidRPr="000E4587">
        <w:rPr>
          <w:rFonts w:ascii="Cambria" w:hAnsi="Cambria"/>
          <w:sz w:val="20"/>
          <w:szCs w:val="20"/>
          <w:lang w:val="es-ES_tradnl"/>
        </w:rPr>
        <w:t xml:space="preserve">Asimismo, afirma que tal decisión no contó con una debida motivación. </w:t>
      </w:r>
    </w:p>
    <w:p w14:paraId="3EC2BED9" w14:textId="0D4F7421" w:rsidR="00FC099B" w:rsidRPr="000E4587" w:rsidRDefault="007B6338" w:rsidP="00E02A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E4587">
        <w:rPr>
          <w:rFonts w:ascii="Cambria" w:hAnsi="Cambria"/>
          <w:sz w:val="20"/>
          <w:szCs w:val="20"/>
          <w:lang w:val="es-ES_tradnl"/>
        </w:rPr>
        <w:t>Explica que e</w:t>
      </w:r>
      <w:r w:rsidR="007B2666" w:rsidRPr="000E4587">
        <w:rPr>
          <w:rFonts w:ascii="Cambria" w:hAnsi="Cambria"/>
          <w:sz w:val="20"/>
          <w:szCs w:val="20"/>
          <w:lang w:val="es-ES_tradnl"/>
        </w:rPr>
        <w:t xml:space="preserve">l 5 de </w:t>
      </w:r>
      <w:r w:rsidR="00CB0AAA" w:rsidRPr="000E4587">
        <w:rPr>
          <w:rFonts w:ascii="Cambria" w:hAnsi="Cambria"/>
          <w:sz w:val="20"/>
          <w:szCs w:val="20"/>
          <w:lang w:val="es-ES_tradnl"/>
        </w:rPr>
        <w:t>enero</w:t>
      </w:r>
      <w:r w:rsidR="007B2666" w:rsidRPr="000E4587">
        <w:rPr>
          <w:rFonts w:ascii="Cambria" w:hAnsi="Cambria"/>
          <w:sz w:val="20"/>
          <w:szCs w:val="20"/>
          <w:lang w:val="es-ES_tradnl"/>
        </w:rPr>
        <w:t xml:space="preserve"> de 1999 el Ministerio Público</w:t>
      </w:r>
      <w:r w:rsidR="00AD075F" w:rsidRPr="000E4587">
        <w:rPr>
          <w:rFonts w:ascii="Cambria" w:hAnsi="Cambria"/>
          <w:sz w:val="20"/>
          <w:szCs w:val="20"/>
          <w:lang w:val="es-ES_tradnl"/>
        </w:rPr>
        <w:t xml:space="preserve"> de Costa Rica</w:t>
      </w:r>
      <w:r w:rsidR="007B2666" w:rsidRPr="000E4587">
        <w:rPr>
          <w:rFonts w:ascii="Cambria" w:hAnsi="Cambria"/>
          <w:sz w:val="20"/>
          <w:szCs w:val="20"/>
          <w:lang w:val="es-ES_tradnl"/>
        </w:rPr>
        <w:t xml:space="preserve"> inició una investigación contra el señor Kan</w:t>
      </w:r>
      <w:r w:rsidR="00DD7A16" w:rsidRPr="000E4587">
        <w:rPr>
          <w:rFonts w:ascii="Cambria" w:hAnsi="Cambria"/>
          <w:sz w:val="20"/>
          <w:szCs w:val="20"/>
          <w:lang w:val="es-ES_tradnl"/>
        </w:rPr>
        <w:t>ev</w:t>
      </w:r>
      <w:r w:rsidR="00E6298B" w:rsidRPr="000E4587">
        <w:rPr>
          <w:rFonts w:ascii="Cambria" w:hAnsi="Cambria"/>
          <w:sz w:val="20"/>
          <w:szCs w:val="20"/>
          <w:lang w:val="es-ES_tradnl"/>
        </w:rPr>
        <w:t>,</w:t>
      </w:r>
      <w:r w:rsidR="00A470FE" w:rsidRPr="000E4587">
        <w:rPr>
          <w:rFonts w:ascii="Cambria" w:hAnsi="Cambria"/>
          <w:sz w:val="20"/>
          <w:szCs w:val="20"/>
          <w:lang w:val="es-ES_tradnl"/>
        </w:rPr>
        <w:t xml:space="preserve"> y tras recabar las pruebas pertinentes, el 30 de agosto de 1999 lo acusó por</w:t>
      </w:r>
      <w:r w:rsidR="004051B1" w:rsidRPr="000E4587">
        <w:rPr>
          <w:rFonts w:ascii="Cambria" w:hAnsi="Cambria"/>
          <w:sz w:val="20"/>
          <w:szCs w:val="20"/>
          <w:lang w:val="es-ES_tradnl"/>
        </w:rPr>
        <w:t xml:space="preserve"> </w:t>
      </w:r>
      <w:r w:rsidR="00C35E5A" w:rsidRPr="000E4587">
        <w:rPr>
          <w:rFonts w:ascii="Cambria" w:hAnsi="Cambria"/>
          <w:sz w:val="20"/>
          <w:szCs w:val="20"/>
          <w:lang w:val="es-ES_tradnl"/>
        </w:rPr>
        <w:t xml:space="preserve">los delitos </w:t>
      </w:r>
      <w:r w:rsidR="00C35E5A" w:rsidRPr="000E4587">
        <w:rPr>
          <w:rFonts w:ascii="Cambria" w:hAnsi="Cambria"/>
          <w:sz w:val="20"/>
          <w:szCs w:val="20"/>
          <w:lang w:val="es-ES_tradnl"/>
        </w:rPr>
        <w:lastRenderedPageBreak/>
        <w:t>de corrupción de menores, violación, abusos deshonestos y suministro de drogas para el consumo</w:t>
      </w:r>
      <w:r w:rsidR="005B2CCC" w:rsidRPr="000E4587">
        <w:rPr>
          <w:rFonts w:ascii="Cambria" w:hAnsi="Cambria"/>
          <w:sz w:val="20"/>
          <w:szCs w:val="20"/>
          <w:lang w:val="es-ES_tradnl"/>
        </w:rPr>
        <w:t>, al</w:t>
      </w:r>
      <w:r w:rsidR="00F94A4A" w:rsidRPr="000E4587">
        <w:rPr>
          <w:rFonts w:ascii="Cambria" w:hAnsi="Cambria"/>
          <w:sz w:val="20"/>
          <w:szCs w:val="20"/>
          <w:lang w:val="es-ES_tradnl"/>
        </w:rPr>
        <w:t xml:space="preserve"> </w:t>
      </w:r>
      <w:r w:rsidR="00AB748A" w:rsidRPr="000E4587">
        <w:rPr>
          <w:rFonts w:ascii="Cambria" w:hAnsi="Cambria"/>
          <w:sz w:val="20"/>
          <w:szCs w:val="20"/>
          <w:lang w:val="es-ES_tradnl"/>
        </w:rPr>
        <w:t>considerar</w:t>
      </w:r>
      <w:r w:rsidR="00A66B00" w:rsidRPr="000E4587">
        <w:rPr>
          <w:rFonts w:ascii="Cambria" w:hAnsi="Cambria"/>
          <w:sz w:val="20"/>
          <w:szCs w:val="20"/>
          <w:lang w:val="es-ES_tradnl"/>
        </w:rPr>
        <w:t>, entre otros acontecimientos,</w:t>
      </w:r>
      <w:r w:rsidR="00AB748A" w:rsidRPr="000E4587">
        <w:rPr>
          <w:rFonts w:ascii="Cambria" w:hAnsi="Cambria"/>
          <w:sz w:val="20"/>
          <w:szCs w:val="20"/>
          <w:lang w:val="es-ES_tradnl"/>
        </w:rPr>
        <w:t xml:space="preserve"> que entre los años 1997 y 1998 el procesado invitó a dos jóvenes de 13 </w:t>
      </w:r>
      <w:r w:rsidR="009A51CC" w:rsidRPr="000E4587">
        <w:rPr>
          <w:rFonts w:ascii="Cambria" w:hAnsi="Cambria"/>
          <w:sz w:val="20"/>
          <w:szCs w:val="20"/>
          <w:lang w:val="es-ES_tradnl"/>
        </w:rPr>
        <w:t>y 15 años a su casa de habitación para consumir marihuana</w:t>
      </w:r>
      <w:r w:rsidR="005B2CCC" w:rsidRPr="000E4587">
        <w:rPr>
          <w:rFonts w:ascii="Cambria" w:hAnsi="Cambria"/>
          <w:sz w:val="20"/>
          <w:szCs w:val="20"/>
          <w:lang w:val="es-ES_tradnl"/>
        </w:rPr>
        <w:t>, la cual era producida en el mismo lugar</w:t>
      </w:r>
      <w:r w:rsidR="00C35E5A" w:rsidRPr="000E4587">
        <w:rPr>
          <w:rFonts w:ascii="Cambria" w:hAnsi="Cambria"/>
          <w:sz w:val="20"/>
          <w:szCs w:val="20"/>
          <w:lang w:val="es-ES_tradnl"/>
        </w:rPr>
        <w:t xml:space="preserve">. </w:t>
      </w:r>
      <w:r w:rsidR="00FC099B" w:rsidRPr="000E4587">
        <w:rPr>
          <w:rFonts w:ascii="Cambria" w:hAnsi="Cambria"/>
          <w:sz w:val="20"/>
          <w:szCs w:val="20"/>
          <w:lang w:val="es-ES_tradnl"/>
        </w:rPr>
        <w:t xml:space="preserve">Afirma que por recomendación de su abogado defensor </w:t>
      </w:r>
      <w:r w:rsidR="00A66B00" w:rsidRPr="000E4587">
        <w:rPr>
          <w:rFonts w:ascii="Cambria" w:hAnsi="Cambria"/>
          <w:sz w:val="20"/>
          <w:szCs w:val="20"/>
          <w:lang w:val="es-ES_tradnl"/>
        </w:rPr>
        <w:t>la presunta víctima</w:t>
      </w:r>
      <w:r w:rsidR="0052192E" w:rsidRPr="000E4587">
        <w:rPr>
          <w:rFonts w:ascii="Cambria" w:hAnsi="Cambria"/>
          <w:sz w:val="20"/>
          <w:szCs w:val="20"/>
          <w:lang w:val="es-ES_tradnl"/>
        </w:rPr>
        <w:t xml:space="preserve"> salió</w:t>
      </w:r>
      <w:r w:rsidR="00A921E3" w:rsidRPr="000E4587">
        <w:rPr>
          <w:rFonts w:ascii="Cambria" w:hAnsi="Cambria"/>
          <w:sz w:val="20"/>
          <w:szCs w:val="20"/>
          <w:lang w:val="es-ES_tradnl"/>
        </w:rPr>
        <w:t xml:space="preserve"> del país</w:t>
      </w:r>
      <w:r w:rsidR="00A867E7" w:rsidRPr="000E4587">
        <w:rPr>
          <w:rFonts w:ascii="Cambria" w:hAnsi="Cambria"/>
          <w:sz w:val="20"/>
          <w:szCs w:val="20"/>
          <w:lang w:val="es-ES_tradnl"/>
        </w:rPr>
        <w:t xml:space="preserve"> hacia Estados Unidos, al considerar que su vida corría peligro. </w:t>
      </w:r>
      <w:r w:rsidR="008A7B00" w:rsidRPr="000E4587">
        <w:rPr>
          <w:rFonts w:ascii="Cambria" w:hAnsi="Cambria"/>
          <w:sz w:val="20"/>
          <w:szCs w:val="20"/>
          <w:lang w:val="es-ES_tradnl"/>
        </w:rPr>
        <w:t xml:space="preserve">Sin embargo, </w:t>
      </w:r>
      <w:r w:rsidR="00157118" w:rsidRPr="000E4587">
        <w:rPr>
          <w:rFonts w:ascii="Cambria" w:hAnsi="Cambria"/>
          <w:sz w:val="20"/>
          <w:szCs w:val="20"/>
          <w:lang w:val="es-ES_tradnl"/>
        </w:rPr>
        <w:t xml:space="preserve">el Sr. Kanev fue detenido posteriormente y </w:t>
      </w:r>
      <w:r w:rsidR="00C302C7" w:rsidRPr="000E4587">
        <w:rPr>
          <w:rFonts w:ascii="Cambria" w:hAnsi="Cambria"/>
          <w:sz w:val="20"/>
          <w:szCs w:val="20"/>
          <w:lang w:val="es-ES_tradnl"/>
        </w:rPr>
        <w:t>aceptó ser extraditado voluntariamente</w:t>
      </w:r>
      <w:r w:rsidR="00157118" w:rsidRPr="000E4587">
        <w:rPr>
          <w:rFonts w:ascii="Cambria" w:hAnsi="Cambria"/>
          <w:sz w:val="20"/>
          <w:szCs w:val="20"/>
          <w:lang w:val="es-ES_tradnl"/>
        </w:rPr>
        <w:t xml:space="preserve"> a Costa Rica</w:t>
      </w:r>
      <w:r w:rsidR="00C302C7" w:rsidRPr="000E4587">
        <w:rPr>
          <w:rFonts w:ascii="Cambria" w:hAnsi="Cambria"/>
          <w:sz w:val="20"/>
          <w:szCs w:val="20"/>
          <w:lang w:val="es-ES_tradnl"/>
        </w:rPr>
        <w:t xml:space="preserve">. </w:t>
      </w:r>
    </w:p>
    <w:p w14:paraId="6F845F09" w14:textId="3B054987" w:rsidR="00402BE9" w:rsidRPr="000E4587" w:rsidRDefault="0015711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E4587">
        <w:rPr>
          <w:rFonts w:ascii="Cambria" w:hAnsi="Cambria"/>
          <w:sz w:val="20"/>
          <w:szCs w:val="20"/>
          <w:lang w:val="es-ES_tradnl"/>
        </w:rPr>
        <w:t>T</w:t>
      </w:r>
      <w:r w:rsidR="00C35E5A" w:rsidRPr="000E4587">
        <w:rPr>
          <w:rFonts w:ascii="Cambria" w:hAnsi="Cambria"/>
          <w:sz w:val="20"/>
          <w:szCs w:val="20"/>
          <w:lang w:val="es-ES_tradnl"/>
        </w:rPr>
        <w:t>ras la realización del respectivo juico oral</w:t>
      </w:r>
      <w:r w:rsidR="00AD075F" w:rsidRPr="000E4587">
        <w:rPr>
          <w:rFonts w:ascii="Cambria" w:hAnsi="Cambria"/>
          <w:sz w:val="20"/>
          <w:szCs w:val="20"/>
          <w:lang w:val="es-ES_tradnl"/>
        </w:rPr>
        <w:t>,</w:t>
      </w:r>
      <w:r w:rsidR="00C35E5A" w:rsidRPr="000E4587">
        <w:rPr>
          <w:rFonts w:ascii="Cambria" w:hAnsi="Cambria"/>
          <w:sz w:val="20"/>
          <w:szCs w:val="20"/>
          <w:lang w:val="es-ES_tradnl"/>
        </w:rPr>
        <w:t xml:space="preserve"> </w:t>
      </w:r>
      <w:r w:rsidR="00AD075F" w:rsidRPr="000E4587">
        <w:rPr>
          <w:rFonts w:ascii="Cambria" w:hAnsi="Cambria"/>
          <w:sz w:val="20"/>
          <w:szCs w:val="20"/>
          <w:lang w:val="es-ES_tradnl"/>
        </w:rPr>
        <w:t>e</w:t>
      </w:r>
      <w:r w:rsidR="00C35E5A" w:rsidRPr="000E4587">
        <w:rPr>
          <w:rFonts w:ascii="Cambria" w:hAnsi="Cambria"/>
          <w:sz w:val="20"/>
          <w:szCs w:val="20"/>
          <w:lang w:val="es-ES_tradnl"/>
        </w:rPr>
        <w:t xml:space="preserve">l 20 de octubre de 2004 el </w:t>
      </w:r>
      <w:r w:rsidR="00455273" w:rsidRPr="000E4587">
        <w:rPr>
          <w:rFonts w:ascii="Cambria" w:hAnsi="Cambria"/>
          <w:sz w:val="20"/>
          <w:szCs w:val="20"/>
          <w:lang w:val="es-ES_tradnl"/>
        </w:rPr>
        <w:t xml:space="preserve">Tribunal de Juicio de Puntarenas, sede Aguirre y Parrita, </w:t>
      </w:r>
      <w:r w:rsidR="00C35E5A" w:rsidRPr="000E4587">
        <w:rPr>
          <w:rFonts w:ascii="Cambria" w:hAnsi="Cambria"/>
          <w:sz w:val="20"/>
          <w:szCs w:val="20"/>
          <w:lang w:val="es-ES_tradnl"/>
        </w:rPr>
        <w:t xml:space="preserve">absolvió a la presunta víctima </w:t>
      </w:r>
      <w:r w:rsidR="00B54039" w:rsidRPr="000E4587">
        <w:rPr>
          <w:rFonts w:ascii="Cambria" w:hAnsi="Cambria"/>
          <w:sz w:val="20"/>
          <w:szCs w:val="20"/>
          <w:lang w:val="es-ES_tradnl"/>
        </w:rPr>
        <w:t>de los delitos de corrupción, violación y abusos deshonestos</w:t>
      </w:r>
      <w:r w:rsidR="00455273" w:rsidRPr="000E4587">
        <w:rPr>
          <w:rFonts w:ascii="Cambria" w:hAnsi="Cambria"/>
          <w:sz w:val="20"/>
          <w:szCs w:val="20"/>
          <w:lang w:val="es-ES_tradnl"/>
        </w:rPr>
        <w:t xml:space="preserve">, pero lo condenó </w:t>
      </w:r>
      <w:r w:rsidR="00F04716" w:rsidRPr="000E4587">
        <w:rPr>
          <w:rFonts w:ascii="Cambria" w:hAnsi="Cambria"/>
          <w:sz w:val="20"/>
          <w:szCs w:val="20"/>
          <w:lang w:val="es-ES_tradnl"/>
        </w:rPr>
        <w:t xml:space="preserve">por dos delitos de suministro de drogas para el consumo, imponiéndole dieciséis años de pena privativa de libertad. </w:t>
      </w:r>
    </w:p>
    <w:p w14:paraId="0F397808" w14:textId="0213B09A" w:rsidR="00BA7E61" w:rsidRPr="00A41296" w:rsidRDefault="007F4A9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E4587">
        <w:rPr>
          <w:rFonts w:ascii="Cambria" w:hAnsi="Cambria"/>
          <w:sz w:val="20"/>
          <w:szCs w:val="20"/>
          <w:lang w:val="es-ES_tradnl"/>
        </w:rPr>
        <w:t>El peticionario d</w:t>
      </w:r>
      <w:r w:rsidR="00E72304" w:rsidRPr="000E4587">
        <w:rPr>
          <w:rFonts w:ascii="Cambria" w:hAnsi="Cambria"/>
          <w:sz w:val="20"/>
          <w:szCs w:val="20"/>
          <w:lang w:val="es-ES_tradnl"/>
        </w:rPr>
        <w:t>estaca</w:t>
      </w:r>
      <w:r w:rsidR="00BA7E61" w:rsidRPr="000E4587">
        <w:rPr>
          <w:rFonts w:ascii="Cambria" w:hAnsi="Cambria"/>
          <w:sz w:val="20"/>
          <w:szCs w:val="20"/>
          <w:lang w:val="es-ES_tradnl"/>
        </w:rPr>
        <w:t xml:space="preserve"> que, por recomendación </w:t>
      </w:r>
      <w:r w:rsidR="0078111B" w:rsidRPr="000E4587">
        <w:rPr>
          <w:rFonts w:ascii="Cambria" w:hAnsi="Cambria"/>
          <w:sz w:val="20"/>
          <w:szCs w:val="20"/>
          <w:lang w:val="es-ES_tradnl"/>
        </w:rPr>
        <w:t>de su abogado,</w:t>
      </w:r>
      <w:r w:rsidR="00520DDD" w:rsidRPr="000E4587">
        <w:rPr>
          <w:rFonts w:ascii="Cambria" w:hAnsi="Cambria"/>
          <w:sz w:val="20"/>
          <w:szCs w:val="20"/>
          <w:lang w:val="es-ES_tradnl"/>
        </w:rPr>
        <w:t xml:space="preserve"> la </w:t>
      </w:r>
      <w:r w:rsidR="0021417E" w:rsidRPr="000E4587">
        <w:rPr>
          <w:rFonts w:ascii="Cambria" w:hAnsi="Cambria"/>
          <w:sz w:val="20"/>
          <w:szCs w:val="20"/>
          <w:lang w:val="es-ES_tradnl"/>
        </w:rPr>
        <w:t>presunta víctima</w:t>
      </w:r>
      <w:r w:rsidR="0078111B" w:rsidRPr="000E4587">
        <w:rPr>
          <w:rFonts w:ascii="Cambria" w:hAnsi="Cambria"/>
          <w:sz w:val="20"/>
          <w:szCs w:val="20"/>
          <w:lang w:val="es-ES_tradnl"/>
        </w:rPr>
        <w:t xml:space="preserve"> </w:t>
      </w:r>
      <w:r w:rsidR="0021417E" w:rsidRPr="000E4587">
        <w:rPr>
          <w:rFonts w:ascii="Cambria" w:hAnsi="Cambria"/>
          <w:sz w:val="20"/>
          <w:szCs w:val="20"/>
          <w:lang w:val="es-ES_tradnl"/>
        </w:rPr>
        <w:t>no recurrió</w:t>
      </w:r>
      <w:r w:rsidR="00597310" w:rsidRPr="000E4587">
        <w:rPr>
          <w:rFonts w:ascii="Cambria" w:hAnsi="Cambria"/>
          <w:sz w:val="20"/>
          <w:szCs w:val="20"/>
          <w:lang w:val="es-ES_tradnl"/>
        </w:rPr>
        <w:t xml:space="preserve"> la sentencia</w:t>
      </w:r>
      <w:r w:rsidRPr="000E4587">
        <w:rPr>
          <w:rFonts w:ascii="Cambria" w:hAnsi="Cambria"/>
          <w:sz w:val="20"/>
          <w:szCs w:val="20"/>
          <w:lang w:val="es-ES_tradnl"/>
        </w:rPr>
        <w:t>,</w:t>
      </w:r>
      <w:r w:rsidR="00597310" w:rsidRPr="000E4587">
        <w:rPr>
          <w:rFonts w:ascii="Cambria" w:hAnsi="Cambria"/>
          <w:sz w:val="20"/>
          <w:szCs w:val="20"/>
          <w:lang w:val="es-ES_tradnl"/>
        </w:rPr>
        <w:t xml:space="preserve"> </w:t>
      </w:r>
      <w:r w:rsidR="006A67F1" w:rsidRPr="000E4587">
        <w:rPr>
          <w:rFonts w:ascii="Cambria" w:hAnsi="Cambria"/>
          <w:sz w:val="20"/>
          <w:szCs w:val="20"/>
          <w:lang w:val="es-ES_tradnl"/>
        </w:rPr>
        <w:t>y,</w:t>
      </w:r>
      <w:r w:rsidR="00597310" w:rsidRPr="000E4587">
        <w:rPr>
          <w:rFonts w:ascii="Cambria" w:hAnsi="Cambria"/>
          <w:sz w:val="20"/>
          <w:szCs w:val="20"/>
          <w:lang w:val="es-ES_tradnl"/>
        </w:rPr>
        <w:t xml:space="preserve"> por el contrario, el 19 de noviembre de 2004 requirió </w:t>
      </w:r>
      <w:r w:rsidR="00C86F13" w:rsidRPr="000E4587">
        <w:rPr>
          <w:rFonts w:ascii="Cambria" w:hAnsi="Cambria"/>
          <w:sz w:val="20"/>
          <w:szCs w:val="20"/>
          <w:lang w:val="es-ES_tradnl"/>
        </w:rPr>
        <w:t>que se le traslade a Estados Unidos a efectos</w:t>
      </w:r>
      <w:r w:rsidR="009428A0" w:rsidRPr="000E4587">
        <w:rPr>
          <w:rFonts w:ascii="Cambria" w:hAnsi="Cambria"/>
          <w:sz w:val="20"/>
          <w:szCs w:val="20"/>
          <w:lang w:val="es-ES_tradnl"/>
        </w:rPr>
        <w:t xml:space="preserve"> de concluir su sanción, con base en la Convención sobre la Transferencia de Personas Sentenciadas de Estrasburgo. </w:t>
      </w:r>
      <w:r w:rsidR="00595BD6" w:rsidRPr="000E4587">
        <w:rPr>
          <w:rFonts w:ascii="Cambria" w:hAnsi="Cambria"/>
          <w:sz w:val="20"/>
          <w:szCs w:val="20"/>
          <w:lang w:val="es-ES_tradnl"/>
        </w:rPr>
        <w:t xml:space="preserve">Sostiene </w:t>
      </w:r>
      <w:r w:rsidR="004A10FA" w:rsidRPr="000E4587">
        <w:rPr>
          <w:rFonts w:ascii="Cambria" w:hAnsi="Cambria"/>
          <w:sz w:val="20"/>
          <w:szCs w:val="20"/>
          <w:lang w:val="es-ES_tradnl"/>
        </w:rPr>
        <w:t>que,</w:t>
      </w:r>
      <w:r w:rsidR="00595BD6" w:rsidRPr="000E4587">
        <w:rPr>
          <w:rFonts w:ascii="Cambria" w:hAnsi="Cambria"/>
          <w:sz w:val="20"/>
          <w:szCs w:val="20"/>
          <w:lang w:val="es-ES_tradnl"/>
        </w:rPr>
        <w:t xml:space="preserve"> si bien el 10 de marzo de 2005</w:t>
      </w:r>
      <w:r w:rsidR="004A10FA" w:rsidRPr="000E4587">
        <w:rPr>
          <w:rFonts w:ascii="Cambria" w:hAnsi="Cambria"/>
          <w:sz w:val="20"/>
          <w:szCs w:val="20"/>
          <w:lang w:val="es-ES_tradnl"/>
        </w:rPr>
        <w:t xml:space="preserve"> </w:t>
      </w:r>
      <w:r w:rsidR="00A10521" w:rsidRPr="000E4587">
        <w:rPr>
          <w:rFonts w:ascii="Cambria" w:hAnsi="Cambria"/>
          <w:sz w:val="20"/>
          <w:szCs w:val="20"/>
          <w:lang w:val="es-ES_tradnl"/>
        </w:rPr>
        <w:t xml:space="preserve">el Instituto de Adaptación Social </w:t>
      </w:r>
      <w:r w:rsidR="005B3C97" w:rsidRPr="000E4587">
        <w:rPr>
          <w:rFonts w:ascii="Cambria" w:hAnsi="Cambria"/>
          <w:sz w:val="20"/>
          <w:szCs w:val="20"/>
          <w:lang w:val="es-ES_tradnl"/>
        </w:rPr>
        <w:t xml:space="preserve">aprobó </w:t>
      </w:r>
      <w:r w:rsidR="00CD0EC6" w:rsidRPr="000E4587">
        <w:rPr>
          <w:rFonts w:ascii="Cambria" w:hAnsi="Cambria"/>
          <w:sz w:val="20"/>
          <w:szCs w:val="20"/>
          <w:lang w:val="es-ES_tradnl"/>
        </w:rPr>
        <w:t xml:space="preserve">tal </w:t>
      </w:r>
      <w:r w:rsidR="005B3C97" w:rsidRPr="000E4587">
        <w:rPr>
          <w:rFonts w:ascii="Cambria" w:hAnsi="Cambria"/>
          <w:sz w:val="20"/>
          <w:szCs w:val="20"/>
          <w:lang w:val="es-ES_tradnl"/>
        </w:rPr>
        <w:t xml:space="preserve">solicitud, el 24 de enero de 2006 dicha autoridad, </w:t>
      </w:r>
      <w:r w:rsidR="00AE5B23" w:rsidRPr="000E4587">
        <w:rPr>
          <w:rFonts w:ascii="Cambria" w:hAnsi="Cambria"/>
          <w:sz w:val="20"/>
          <w:szCs w:val="20"/>
          <w:lang w:val="es-ES_tradnl"/>
        </w:rPr>
        <w:t xml:space="preserve">según alega, </w:t>
      </w:r>
      <w:r w:rsidR="005B3C97" w:rsidRPr="000E4587">
        <w:rPr>
          <w:rFonts w:ascii="Cambria" w:hAnsi="Cambria"/>
          <w:sz w:val="20"/>
          <w:szCs w:val="20"/>
          <w:lang w:val="es-ES_tradnl"/>
        </w:rPr>
        <w:t xml:space="preserve">por presiones de alto nivel, </w:t>
      </w:r>
      <w:r w:rsidR="00EE614C" w:rsidRPr="000E4587">
        <w:rPr>
          <w:rFonts w:ascii="Cambria" w:hAnsi="Cambria"/>
          <w:sz w:val="20"/>
          <w:szCs w:val="20"/>
          <w:lang w:val="es-ES_tradnl"/>
        </w:rPr>
        <w:t xml:space="preserve">denegó en última instancia la transferencia del señor Kanev. </w:t>
      </w:r>
      <w:r w:rsidR="008A13CC" w:rsidRPr="00A41296">
        <w:rPr>
          <w:rFonts w:ascii="Cambria" w:hAnsi="Cambria"/>
          <w:sz w:val="20"/>
          <w:szCs w:val="20"/>
          <w:lang w:val="es-ES_tradnl"/>
        </w:rPr>
        <w:t xml:space="preserve">Señala que la presunta víctima presentó un recurso de reconsideración, </w:t>
      </w:r>
      <w:r w:rsidR="003E00CD" w:rsidRPr="00A41296">
        <w:rPr>
          <w:rFonts w:ascii="Cambria" w:hAnsi="Cambria"/>
          <w:sz w:val="20"/>
          <w:szCs w:val="20"/>
          <w:lang w:val="es-ES_tradnl"/>
        </w:rPr>
        <w:t>pero el 2 de marzo de 2006 est</w:t>
      </w:r>
      <w:r w:rsidR="00B475B2" w:rsidRPr="00A41296">
        <w:rPr>
          <w:rFonts w:ascii="Cambria" w:hAnsi="Cambria"/>
          <w:sz w:val="20"/>
          <w:szCs w:val="20"/>
          <w:lang w:val="es-ES_tradnl"/>
        </w:rPr>
        <w:t>e</w:t>
      </w:r>
      <w:r w:rsidR="003E00CD" w:rsidRPr="00A41296">
        <w:rPr>
          <w:rFonts w:ascii="Cambria" w:hAnsi="Cambria"/>
          <w:sz w:val="20"/>
          <w:szCs w:val="20"/>
          <w:lang w:val="es-ES_tradnl"/>
        </w:rPr>
        <w:t xml:space="preserve"> </w:t>
      </w:r>
      <w:r w:rsidR="00B475B2" w:rsidRPr="00A41296">
        <w:rPr>
          <w:rFonts w:ascii="Cambria" w:hAnsi="Cambria"/>
          <w:sz w:val="20"/>
          <w:szCs w:val="20"/>
          <w:lang w:val="es-ES_tradnl"/>
        </w:rPr>
        <w:t xml:space="preserve">recurso </w:t>
      </w:r>
      <w:r w:rsidR="003E00CD" w:rsidRPr="00A41296">
        <w:rPr>
          <w:rFonts w:ascii="Cambria" w:hAnsi="Cambria"/>
          <w:sz w:val="20"/>
          <w:szCs w:val="20"/>
          <w:lang w:val="es-ES_tradnl"/>
        </w:rPr>
        <w:t>fue rechazad</w:t>
      </w:r>
      <w:r w:rsidR="00B475B2" w:rsidRPr="00A41296">
        <w:rPr>
          <w:rFonts w:ascii="Cambria" w:hAnsi="Cambria"/>
          <w:sz w:val="20"/>
          <w:szCs w:val="20"/>
          <w:lang w:val="es-ES_tradnl"/>
        </w:rPr>
        <w:t>o</w:t>
      </w:r>
      <w:r w:rsidR="003E00CD" w:rsidRPr="00A41296">
        <w:rPr>
          <w:rFonts w:ascii="Cambria" w:hAnsi="Cambria"/>
          <w:sz w:val="20"/>
          <w:szCs w:val="20"/>
          <w:lang w:val="es-ES_tradnl"/>
        </w:rPr>
        <w:t>.</w:t>
      </w:r>
    </w:p>
    <w:p w14:paraId="69B54FF2" w14:textId="52E34F12" w:rsidR="00B54039" w:rsidRPr="00A41296" w:rsidRDefault="00B22390" w:rsidP="00F829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41296">
        <w:rPr>
          <w:rFonts w:ascii="Cambria" w:hAnsi="Cambria"/>
          <w:sz w:val="20"/>
          <w:szCs w:val="20"/>
          <w:lang w:val="es-ES_tradnl"/>
        </w:rPr>
        <w:t>Ante ello,</w:t>
      </w:r>
      <w:r w:rsidR="009701DD" w:rsidRPr="00A41296">
        <w:rPr>
          <w:rFonts w:ascii="Cambria" w:hAnsi="Cambria"/>
          <w:sz w:val="20"/>
          <w:szCs w:val="20"/>
          <w:lang w:val="es-ES_tradnl"/>
        </w:rPr>
        <w:t xml:space="preserve"> el 20 de abril de 2006</w:t>
      </w:r>
      <w:r w:rsidRPr="00A41296">
        <w:rPr>
          <w:rFonts w:ascii="Cambria" w:hAnsi="Cambria"/>
          <w:sz w:val="20"/>
          <w:szCs w:val="20"/>
          <w:lang w:val="es-ES_tradnl"/>
        </w:rPr>
        <w:t xml:space="preserve"> la representación del señor Kanev interpuso </w:t>
      </w:r>
      <w:r w:rsidR="00F91CFA" w:rsidRPr="00A41296">
        <w:rPr>
          <w:rFonts w:ascii="Cambria" w:hAnsi="Cambria"/>
          <w:sz w:val="20"/>
          <w:szCs w:val="20"/>
          <w:lang w:val="es-ES_tradnl"/>
        </w:rPr>
        <w:t xml:space="preserve">un </w:t>
      </w:r>
      <w:r w:rsidRPr="00A41296">
        <w:rPr>
          <w:rFonts w:ascii="Cambria" w:hAnsi="Cambria"/>
          <w:sz w:val="20"/>
          <w:szCs w:val="20"/>
          <w:lang w:val="es-ES_tradnl"/>
        </w:rPr>
        <w:t>recurso de revisión</w:t>
      </w:r>
      <w:r w:rsidR="0083496B" w:rsidRPr="00A41296">
        <w:rPr>
          <w:rFonts w:ascii="Cambria" w:hAnsi="Cambria"/>
          <w:sz w:val="20"/>
          <w:szCs w:val="20"/>
          <w:lang w:val="es-ES_tradnl"/>
        </w:rPr>
        <w:t xml:space="preserve"> contra su sentencia condenatoria</w:t>
      </w:r>
      <w:r w:rsidR="009701DD" w:rsidRPr="00A41296">
        <w:rPr>
          <w:rFonts w:ascii="Cambria" w:hAnsi="Cambria"/>
          <w:sz w:val="20"/>
          <w:szCs w:val="20"/>
          <w:lang w:val="es-ES_tradnl"/>
        </w:rPr>
        <w:t xml:space="preserve">, </w:t>
      </w:r>
      <w:r w:rsidR="00F829E5" w:rsidRPr="00A41296">
        <w:rPr>
          <w:rFonts w:ascii="Cambria" w:hAnsi="Cambria"/>
          <w:sz w:val="20"/>
          <w:szCs w:val="20"/>
          <w:lang w:val="es-ES_tradnl"/>
        </w:rPr>
        <w:t xml:space="preserve">alegando que no se ponderó el testimonio de un testigo y que no </w:t>
      </w:r>
      <w:r w:rsidR="00C74A3B" w:rsidRPr="00A41296">
        <w:rPr>
          <w:rFonts w:ascii="Cambria" w:hAnsi="Cambria"/>
          <w:sz w:val="20"/>
          <w:szCs w:val="20"/>
          <w:lang w:val="es-ES_tradnl"/>
        </w:rPr>
        <w:t xml:space="preserve">se </w:t>
      </w:r>
      <w:r w:rsidR="00F829E5" w:rsidRPr="00A41296">
        <w:rPr>
          <w:rFonts w:ascii="Cambria" w:hAnsi="Cambria"/>
          <w:sz w:val="20"/>
          <w:szCs w:val="20"/>
          <w:lang w:val="es-ES_tradnl"/>
        </w:rPr>
        <w:t xml:space="preserve">comprobó el cuerpo del delito. Sin embargo, </w:t>
      </w:r>
      <w:r w:rsidR="009701DD" w:rsidRPr="00A41296">
        <w:rPr>
          <w:rFonts w:ascii="Cambria" w:hAnsi="Cambria"/>
          <w:sz w:val="20"/>
          <w:szCs w:val="20"/>
          <w:lang w:val="es-ES_tradnl"/>
        </w:rPr>
        <w:t xml:space="preserve">el 30 de abril de 2008 la Sala </w:t>
      </w:r>
      <w:r w:rsidR="00C74A3B" w:rsidRPr="00A41296">
        <w:rPr>
          <w:rFonts w:ascii="Cambria" w:hAnsi="Cambria"/>
          <w:sz w:val="20"/>
          <w:szCs w:val="20"/>
          <w:lang w:val="es-ES_tradnl"/>
        </w:rPr>
        <w:t>T</w:t>
      </w:r>
      <w:r w:rsidR="009701DD" w:rsidRPr="00A41296">
        <w:rPr>
          <w:rFonts w:ascii="Cambria" w:hAnsi="Cambria"/>
          <w:sz w:val="20"/>
          <w:szCs w:val="20"/>
          <w:lang w:val="es-ES_tradnl"/>
        </w:rPr>
        <w:t>ercera de lo Penal de la Corte Suprema</w:t>
      </w:r>
      <w:r w:rsidR="002279C0" w:rsidRPr="00A41296">
        <w:rPr>
          <w:rFonts w:ascii="Cambria" w:hAnsi="Cambria"/>
          <w:sz w:val="20"/>
          <w:szCs w:val="20"/>
          <w:lang w:val="es-ES_tradnl"/>
        </w:rPr>
        <w:t xml:space="preserve"> desestimó estos alegatos, al considerar que no demostraban que la sentencia haya incurrido en un error o carezca de una adecuada motivación. </w:t>
      </w:r>
    </w:p>
    <w:p w14:paraId="498D3BA4" w14:textId="0ADEF7F5" w:rsidR="005357F9" w:rsidRPr="00A41296" w:rsidRDefault="004A10FA" w:rsidP="00F829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41296">
        <w:rPr>
          <w:rFonts w:ascii="Cambria" w:hAnsi="Cambria"/>
          <w:sz w:val="20"/>
          <w:szCs w:val="20"/>
          <w:lang w:val="es-ES_tradnl"/>
        </w:rPr>
        <w:t>Asimismo, i</w:t>
      </w:r>
      <w:r w:rsidR="005357F9" w:rsidRPr="00A41296">
        <w:rPr>
          <w:rFonts w:ascii="Cambria" w:hAnsi="Cambria"/>
          <w:sz w:val="20"/>
          <w:szCs w:val="20"/>
          <w:lang w:val="es-ES_tradnl"/>
        </w:rPr>
        <w:t xml:space="preserve">nforma que en septiembre de 2008 </w:t>
      </w:r>
      <w:r w:rsidR="00094380" w:rsidRPr="00A41296">
        <w:rPr>
          <w:rFonts w:ascii="Cambria" w:hAnsi="Cambria"/>
          <w:sz w:val="20"/>
          <w:szCs w:val="20"/>
          <w:lang w:val="es-ES_tradnl"/>
        </w:rPr>
        <w:t xml:space="preserve">el señor Kanev solicitó por vía telefónica a la Defensa Pública del Estado de Costa Rica que lo representara en la </w:t>
      </w:r>
      <w:r w:rsidR="00067F26" w:rsidRPr="00A41296">
        <w:rPr>
          <w:rFonts w:ascii="Cambria" w:hAnsi="Cambria"/>
          <w:sz w:val="20"/>
          <w:szCs w:val="20"/>
          <w:lang w:val="es-ES_tradnl"/>
        </w:rPr>
        <w:t>presentación de esta petición. Sin embargo, la operadora que lo atendió no terminó de darle una respuesta</w:t>
      </w:r>
      <w:r w:rsidR="00397F3F" w:rsidRPr="00A41296">
        <w:rPr>
          <w:rFonts w:ascii="Cambria" w:hAnsi="Cambria"/>
          <w:sz w:val="20"/>
          <w:szCs w:val="20"/>
          <w:lang w:val="es-ES_tradnl"/>
        </w:rPr>
        <w:t xml:space="preserve">, comprometiéndose a realizar una visita al centro carcelario de la presunta víctima. Sin embargo, manifiesta que </w:t>
      </w:r>
      <w:r w:rsidR="002E516A" w:rsidRPr="00A41296">
        <w:rPr>
          <w:rFonts w:ascii="Cambria" w:hAnsi="Cambria"/>
          <w:sz w:val="20"/>
          <w:szCs w:val="20"/>
          <w:lang w:val="es-ES_tradnl"/>
        </w:rPr>
        <w:t>dicha funcionaria nunca se presentó a la cárcel.</w:t>
      </w:r>
    </w:p>
    <w:p w14:paraId="17B1B0CB" w14:textId="20BAB37C" w:rsidR="001B5726" w:rsidRPr="00A41296" w:rsidRDefault="004A10FA" w:rsidP="00287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41296">
        <w:rPr>
          <w:rFonts w:ascii="Cambria" w:hAnsi="Cambria"/>
          <w:sz w:val="20"/>
          <w:szCs w:val="20"/>
          <w:lang w:val="es-ES_tradnl"/>
        </w:rPr>
        <w:t xml:space="preserve">Con base en estas consideraciones, la parte peticionaria denuncia que Costa Rica condenó indebidamente al señor Kanev, dado que no corroboró la existencia del delito de </w:t>
      </w:r>
      <w:r w:rsidR="00E80FB6" w:rsidRPr="00A41296">
        <w:rPr>
          <w:rFonts w:ascii="Cambria" w:hAnsi="Cambria"/>
          <w:sz w:val="20"/>
          <w:szCs w:val="20"/>
          <w:lang w:val="es-ES_tradnl"/>
        </w:rPr>
        <w:t>suministro de drogas.</w:t>
      </w:r>
      <w:r w:rsidR="001B5726" w:rsidRPr="00A41296">
        <w:rPr>
          <w:rFonts w:ascii="Cambria" w:hAnsi="Cambria"/>
          <w:sz w:val="20"/>
          <w:szCs w:val="20"/>
          <w:lang w:val="es-ES_tradnl"/>
        </w:rPr>
        <w:t xml:space="preserve"> A juicio de la parte peticionaria, tal situación significó una afectación al principio de legalidad y de igualdad procesal. </w:t>
      </w:r>
    </w:p>
    <w:p w14:paraId="27EA2B9D" w14:textId="1143F4AA" w:rsidR="002C3918" w:rsidRPr="00A41296" w:rsidRDefault="001B5726" w:rsidP="00287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41296">
        <w:rPr>
          <w:rFonts w:ascii="Cambria" w:hAnsi="Cambria"/>
          <w:sz w:val="20"/>
          <w:szCs w:val="20"/>
          <w:lang w:val="es-ES_tradnl"/>
        </w:rPr>
        <w:t>Finalmente, a</w:t>
      </w:r>
      <w:r w:rsidR="00E80FB6" w:rsidRPr="00A41296">
        <w:rPr>
          <w:rFonts w:ascii="Cambria" w:hAnsi="Cambria"/>
          <w:sz w:val="20"/>
          <w:szCs w:val="20"/>
          <w:lang w:val="es-ES_tradnl"/>
        </w:rPr>
        <w:t>rguye que, al momento de su condena, no existían tribunales de apelación</w:t>
      </w:r>
      <w:r w:rsidR="002C09D8" w:rsidRPr="00A41296">
        <w:rPr>
          <w:rFonts w:ascii="Cambria" w:hAnsi="Cambria"/>
          <w:sz w:val="20"/>
          <w:szCs w:val="20"/>
          <w:lang w:val="es-ES_tradnl"/>
        </w:rPr>
        <w:t>,</w:t>
      </w:r>
      <w:r w:rsidR="00032BCF" w:rsidRPr="00A41296">
        <w:rPr>
          <w:rFonts w:ascii="Cambria" w:hAnsi="Cambria"/>
          <w:sz w:val="20"/>
          <w:szCs w:val="20"/>
          <w:lang w:val="es-ES_tradnl"/>
        </w:rPr>
        <w:t xml:space="preserve"> y</w:t>
      </w:r>
      <w:r w:rsidR="008824C5" w:rsidRPr="00A41296">
        <w:rPr>
          <w:rFonts w:ascii="Cambria" w:hAnsi="Cambria"/>
          <w:sz w:val="20"/>
          <w:szCs w:val="20"/>
          <w:lang w:val="es-ES_tradnl"/>
        </w:rPr>
        <w:t xml:space="preserve"> que</w:t>
      </w:r>
      <w:r w:rsidR="00032BCF" w:rsidRPr="00A41296">
        <w:rPr>
          <w:rFonts w:ascii="Cambria" w:hAnsi="Cambria"/>
          <w:sz w:val="20"/>
          <w:szCs w:val="20"/>
          <w:lang w:val="es-ES_tradnl"/>
        </w:rPr>
        <w:t xml:space="preserve"> en sentido similar</w:t>
      </w:r>
      <w:r w:rsidR="008824C5" w:rsidRPr="00A41296">
        <w:rPr>
          <w:rFonts w:ascii="Cambria" w:hAnsi="Cambria"/>
          <w:sz w:val="20"/>
          <w:szCs w:val="20"/>
          <w:lang w:val="es-ES_tradnl"/>
        </w:rPr>
        <w:t xml:space="preserve"> la Ley 8503 aún no se encontraba vigente. </w:t>
      </w:r>
      <w:r w:rsidR="00287337" w:rsidRPr="00A41296">
        <w:rPr>
          <w:rFonts w:ascii="Cambria" w:hAnsi="Cambria"/>
          <w:sz w:val="20"/>
          <w:szCs w:val="20"/>
          <w:lang w:val="es-ES_tradnl"/>
        </w:rPr>
        <w:t xml:space="preserve">En consecuencia, considera que su reclamo debe ser admitido, en tanto se configura la excepción prevista en el artículo 46.2.c), pues la Corte Suprema se demoró dos años en resolver el recurso de revisión que interpuso. </w:t>
      </w:r>
    </w:p>
    <w:p w14:paraId="1D2A9B27" w14:textId="21D22D5E" w:rsidR="00C35E5A" w:rsidRPr="00A41296" w:rsidRDefault="005B2CCC" w:rsidP="005B2CCC">
      <w:pPr>
        <w:pStyle w:val="ListParagraph"/>
        <w:spacing w:before="240" w:after="240"/>
        <w:jc w:val="both"/>
        <w:rPr>
          <w:rFonts w:asciiTheme="majorHAnsi" w:hAnsiTheme="majorHAnsi"/>
          <w:bCs/>
          <w:i/>
          <w:iCs/>
          <w:sz w:val="20"/>
          <w:szCs w:val="20"/>
          <w:lang w:val="es-ES_tradnl"/>
        </w:rPr>
      </w:pPr>
      <w:r w:rsidRPr="00A41296">
        <w:rPr>
          <w:rFonts w:asciiTheme="majorHAnsi" w:hAnsiTheme="majorHAnsi"/>
          <w:bCs/>
          <w:i/>
          <w:iCs/>
          <w:sz w:val="20"/>
          <w:szCs w:val="20"/>
          <w:lang w:val="es-ES_tradnl"/>
        </w:rPr>
        <w:t>Alegatos del Estado</w:t>
      </w:r>
      <w:r w:rsidR="001E75A3" w:rsidRPr="00A41296">
        <w:rPr>
          <w:rFonts w:asciiTheme="majorHAnsi" w:hAnsiTheme="majorHAnsi"/>
          <w:bCs/>
          <w:i/>
          <w:iCs/>
          <w:sz w:val="20"/>
          <w:szCs w:val="20"/>
          <w:lang w:val="es-ES_tradnl"/>
        </w:rPr>
        <w:t xml:space="preserve"> costarricense</w:t>
      </w:r>
    </w:p>
    <w:p w14:paraId="7E966E1F" w14:textId="69309813" w:rsidR="00445C2D" w:rsidRPr="00A41296" w:rsidRDefault="00506A0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41296">
        <w:rPr>
          <w:rFonts w:ascii="Cambria" w:hAnsi="Cambria"/>
          <w:sz w:val="20"/>
          <w:szCs w:val="20"/>
          <w:lang w:val="es-ES_tradnl"/>
        </w:rPr>
        <w:t xml:space="preserve">El Estado, por su parte, replica que la petición debe ser inadmitida, toda vez que se presentó de manera extemporánea. </w:t>
      </w:r>
      <w:r w:rsidR="00BF41CE" w:rsidRPr="00A41296">
        <w:rPr>
          <w:rFonts w:ascii="Cambria" w:hAnsi="Cambria"/>
          <w:sz w:val="20"/>
          <w:szCs w:val="20"/>
          <w:lang w:val="es-ES_tradnl"/>
        </w:rPr>
        <w:t>Arguye q</w:t>
      </w:r>
      <w:r w:rsidR="0010329F" w:rsidRPr="00A41296">
        <w:rPr>
          <w:rFonts w:ascii="Cambria" w:hAnsi="Cambria"/>
          <w:sz w:val="20"/>
          <w:szCs w:val="20"/>
          <w:lang w:val="es-ES_tradnl"/>
        </w:rPr>
        <w:t xml:space="preserve">ue a pesar de que el 30 de abril de 2008 se notificó a la presunta víctima del resultado del procedimiento de revisión, este recién presentó su petición el 19 de diciembre de 2008, excediendo </w:t>
      </w:r>
      <w:r w:rsidR="00980A30" w:rsidRPr="00A41296">
        <w:rPr>
          <w:rFonts w:ascii="Cambria" w:hAnsi="Cambria"/>
          <w:sz w:val="20"/>
          <w:szCs w:val="20"/>
          <w:lang w:val="es-ES_tradnl"/>
        </w:rPr>
        <w:t xml:space="preserve">el plazo de seis meses previsto en el artículo 46.1.b) de la Convención. En consecuencia, solicita a la Comisión que declare inadmisible el presente asunto por no cumplir con el citado artículo de la Convención Americana. </w:t>
      </w:r>
    </w:p>
    <w:p w14:paraId="296DCA39" w14:textId="1F8EF933" w:rsidR="00980A30" w:rsidRPr="00A41296" w:rsidRDefault="0093122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41296">
        <w:rPr>
          <w:rFonts w:ascii="Cambria" w:hAnsi="Cambria"/>
          <w:sz w:val="20"/>
          <w:szCs w:val="20"/>
          <w:lang w:val="es-ES_tradnl"/>
        </w:rPr>
        <w:t>D</w:t>
      </w:r>
      <w:r w:rsidR="00194F5B" w:rsidRPr="00A41296">
        <w:rPr>
          <w:rFonts w:ascii="Cambria" w:hAnsi="Cambria"/>
          <w:sz w:val="20"/>
          <w:szCs w:val="20"/>
          <w:lang w:val="es-ES_tradnl"/>
        </w:rPr>
        <w:t xml:space="preserve">e manera subsidiaria, </w:t>
      </w:r>
      <w:r w:rsidR="00D12FFB" w:rsidRPr="00A41296">
        <w:rPr>
          <w:rFonts w:ascii="Cambria" w:hAnsi="Cambria"/>
          <w:sz w:val="20"/>
          <w:szCs w:val="20"/>
          <w:lang w:val="es-ES_tradnl"/>
        </w:rPr>
        <w:t xml:space="preserve">alega que la parte peticionaria no cumplió con agotar la vía interna al momento de interponer la </w:t>
      </w:r>
      <w:r w:rsidR="00F92D20" w:rsidRPr="00A41296">
        <w:rPr>
          <w:rFonts w:ascii="Cambria" w:hAnsi="Cambria"/>
          <w:sz w:val="20"/>
          <w:szCs w:val="20"/>
          <w:lang w:val="es-ES_tradnl"/>
        </w:rPr>
        <w:t>petición, ya que no había utilizado de forma adecuada los recursos de casación y de amparo</w:t>
      </w:r>
      <w:r w:rsidR="00303900" w:rsidRPr="00A41296">
        <w:rPr>
          <w:rFonts w:ascii="Cambria" w:hAnsi="Cambria"/>
          <w:sz w:val="20"/>
          <w:szCs w:val="20"/>
          <w:lang w:val="es-ES_tradnl"/>
        </w:rPr>
        <w:t xml:space="preserve">, a efectos de cuestionar las presuntas afectaciones a la igualdad ante la ley, el principio de legalidad y retroactividad y el derecho a la protección judicial. </w:t>
      </w:r>
      <w:r w:rsidR="00626A43" w:rsidRPr="00A41296">
        <w:rPr>
          <w:rFonts w:ascii="Cambria" w:hAnsi="Cambria"/>
          <w:sz w:val="20"/>
          <w:szCs w:val="20"/>
          <w:lang w:val="es-ES_tradnl"/>
        </w:rPr>
        <w:t xml:space="preserve">Respecto del primero, manifiesta </w:t>
      </w:r>
      <w:r w:rsidR="00AB517A" w:rsidRPr="00A41296">
        <w:rPr>
          <w:rFonts w:ascii="Cambria" w:hAnsi="Cambria"/>
          <w:sz w:val="20"/>
          <w:szCs w:val="20"/>
          <w:lang w:val="es-ES_tradnl"/>
        </w:rPr>
        <w:t xml:space="preserve">que </w:t>
      </w:r>
      <w:r w:rsidR="007C6E91" w:rsidRPr="00A41296">
        <w:rPr>
          <w:rFonts w:ascii="Cambria" w:hAnsi="Cambria"/>
          <w:sz w:val="20"/>
          <w:szCs w:val="20"/>
          <w:lang w:val="es-ES_tradnl"/>
        </w:rPr>
        <w:t xml:space="preserve">es la vía adecuada y </w:t>
      </w:r>
      <w:r w:rsidR="007C6E91" w:rsidRPr="00A41296">
        <w:rPr>
          <w:rFonts w:ascii="Cambria" w:hAnsi="Cambria"/>
          <w:sz w:val="20"/>
          <w:szCs w:val="20"/>
          <w:lang w:val="es-ES_tradnl"/>
        </w:rPr>
        <w:lastRenderedPageBreak/>
        <w:t xml:space="preserve">efectiva para revocar sentencias sobre la base de su revisión integral ya dictadas en procesos penales; mientras que el recurso de amparo permite resolver </w:t>
      </w:r>
      <w:r w:rsidR="0004412D" w:rsidRPr="00A41296">
        <w:rPr>
          <w:rFonts w:ascii="Cambria" w:hAnsi="Cambria"/>
          <w:sz w:val="20"/>
          <w:szCs w:val="20"/>
          <w:lang w:val="es-ES_tradnl"/>
        </w:rPr>
        <w:t xml:space="preserve">las demás violaciones de derechos humanos. </w:t>
      </w:r>
    </w:p>
    <w:p w14:paraId="57A06ABE" w14:textId="5FE5A728" w:rsidR="00530F2D" w:rsidRPr="00A41296" w:rsidRDefault="00530F2D" w:rsidP="00530F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41296">
        <w:rPr>
          <w:rFonts w:ascii="Cambria" w:hAnsi="Cambria"/>
          <w:sz w:val="20"/>
          <w:szCs w:val="20"/>
          <w:lang w:val="es-ES_tradnl"/>
        </w:rPr>
        <w:t>En relación con l</w:t>
      </w:r>
      <w:r w:rsidR="007E7642" w:rsidRPr="00A41296">
        <w:rPr>
          <w:rFonts w:ascii="Cambria" w:hAnsi="Cambria"/>
          <w:sz w:val="20"/>
          <w:szCs w:val="20"/>
          <w:lang w:val="es-ES_tradnl"/>
        </w:rPr>
        <w:t>a supuesta violación al derecho a recurrir la sentencia ante un tribunal superior</w:t>
      </w:r>
      <w:r w:rsidRPr="00A41296">
        <w:rPr>
          <w:rFonts w:ascii="Cambria" w:hAnsi="Cambria"/>
          <w:sz w:val="20"/>
          <w:szCs w:val="20"/>
          <w:lang w:val="es-ES_tradnl"/>
        </w:rPr>
        <w:t xml:space="preserve">, destaca que </w:t>
      </w:r>
      <w:r w:rsidR="002A6C0A" w:rsidRPr="00A41296">
        <w:rPr>
          <w:rFonts w:ascii="Cambria" w:hAnsi="Cambria"/>
          <w:sz w:val="20"/>
          <w:szCs w:val="20"/>
          <w:lang w:val="es-ES_tradnl"/>
        </w:rPr>
        <w:t>la presunta víctima</w:t>
      </w:r>
      <w:r w:rsidRPr="00A41296">
        <w:rPr>
          <w:rFonts w:ascii="Cambria" w:hAnsi="Cambria"/>
          <w:sz w:val="20"/>
          <w:szCs w:val="20"/>
          <w:lang w:val="es-ES_tradnl"/>
        </w:rPr>
        <w:t xml:space="preserve"> no utiliz</w:t>
      </w:r>
      <w:r w:rsidR="002A6C0A" w:rsidRPr="00A41296">
        <w:rPr>
          <w:rFonts w:ascii="Cambria" w:hAnsi="Cambria"/>
          <w:sz w:val="20"/>
          <w:szCs w:val="20"/>
          <w:lang w:val="es-ES_tradnl"/>
        </w:rPr>
        <w:t>ó los mecanismos especiales de revisión</w:t>
      </w:r>
      <w:r w:rsidRPr="00A41296">
        <w:rPr>
          <w:rFonts w:ascii="Cambria" w:hAnsi="Cambria"/>
          <w:sz w:val="20"/>
          <w:szCs w:val="20"/>
          <w:lang w:val="es-ES_tradnl"/>
        </w:rPr>
        <w:t>, a pesar de que están idead</w:t>
      </w:r>
      <w:r w:rsidR="008F76CD" w:rsidRPr="00A41296">
        <w:rPr>
          <w:rFonts w:ascii="Cambria" w:hAnsi="Cambria"/>
          <w:sz w:val="20"/>
          <w:szCs w:val="20"/>
          <w:lang w:val="es-ES_tradnl"/>
        </w:rPr>
        <w:t>o</w:t>
      </w:r>
      <w:r w:rsidRPr="00A41296">
        <w:rPr>
          <w:rFonts w:ascii="Cambria" w:hAnsi="Cambria"/>
          <w:sz w:val="20"/>
          <w:szCs w:val="20"/>
          <w:lang w:val="es-ES_tradnl"/>
        </w:rPr>
        <w:t xml:space="preserve">s precisamente para aquellas personas con sentencias condenatorias en firme y que consideran vulnerado su derecho a recurrir su fallo condenatorio, de conformidad con el artículo 8.2.h) de la Convención. En esa línea, manifiesta que al momento en que se le notificó de esta petición, </w:t>
      </w:r>
      <w:r w:rsidR="00AE7AB7" w:rsidRPr="00A41296">
        <w:rPr>
          <w:rFonts w:ascii="Cambria" w:hAnsi="Cambria"/>
          <w:sz w:val="20"/>
          <w:szCs w:val="20"/>
          <w:lang w:val="es-ES_tradnl"/>
        </w:rPr>
        <w:t>el señor Kanev</w:t>
      </w:r>
      <w:r w:rsidR="0070297F" w:rsidRPr="00A41296">
        <w:rPr>
          <w:rFonts w:ascii="Cambria" w:hAnsi="Cambria"/>
          <w:sz w:val="20"/>
          <w:szCs w:val="20"/>
          <w:lang w:val="es-ES_tradnl"/>
        </w:rPr>
        <w:t xml:space="preserve"> había tenido</w:t>
      </w:r>
      <w:r w:rsidRPr="00A41296">
        <w:rPr>
          <w:rFonts w:ascii="Cambria" w:hAnsi="Cambria"/>
          <w:sz w:val="20"/>
          <w:szCs w:val="20"/>
          <w:lang w:val="es-ES_tradnl"/>
        </w:rPr>
        <w:t xml:space="preserve"> la oportunidad de interponer el procedimiento establecido en las disposiciones transitorias de la Ley N.º 8503</w:t>
      </w:r>
      <w:r w:rsidRPr="00A41296">
        <w:rPr>
          <w:rStyle w:val="FootnoteReference"/>
          <w:rFonts w:ascii="Cambria" w:hAnsi="Cambria"/>
          <w:sz w:val="20"/>
          <w:szCs w:val="20"/>
          <w:lang w:val="es-ES_tradnl"/>
        </w:rPr>
        <w:footnoteReference w:id="4"/>
      </w:r>
      <w:r w:rsidRPr="00A41296">
        <w:rPr>
          <w:rFonts w:ascii="Cambria" w:hAnsi="Cambria"/>
          <w:sz w:val="20"/>
          <w:szCs w:val="20"/>
          <w:lang w:val="es-ES_tradnl"/>
        </w:rPr>
        <w:t xml:space="preserve"> y, en su defecto, posteriormente podía utilizar el mecanismo especial de revisión previsto en el Transitorio III de la Ley N.º 8837</w:t>
      </w:r>
      <w:r w:rsidRPr="00A41296">
        <w:rPr>
          <w:rStyle w:val="FootnoteReference"/>
          <w:rFonts w:ascii="Cambria" w:hAnsi="Cambria"/>
          <w:sz w:val="20"/>
          <w:szCs w:val="20"/>
          <w:lang w:val="es-ES_tradnl"/>
        </w:rPr>
        <w:footnoteReference w:id="5"/>
      </w:r>
      <w:r w:rsidRPr="00A41296">
        <w:rPr>
          <w:rFonts w:ascii="Cambria" w:hAnsi="Cambria"/>
          <w:sz w:val="20"/>
          <w:szCs w:val="20"/>
          <w:lang w:val="es-ES_tradnl"/>
        </w:rPr>
        <w:t>. Por ende, arguye que el ordenamiento interno disponía opciones adicionales para que la presunta víctima pueda utilizarlas en el momento procesal oportuno</w:t>
      </w:r>
      <w:r w:rsidR="00700D57" w:rsidRPr="00A41296">
        <w:rPr>
          <w:rFonts w:ascii="Cambria" w:hAnsi="Cambria"/>
          <w:sz w:val="20"/>
          <w:szCs w:val="20"/>
          <w:lang w:val="es-ES_tradnl"/>
        </w:rPr>
        <w:t>,</w:t>
      </w:r>
      <w:r w:rsidRPr="00A41296">
        <w:rPr>
          <w:rFonts w:ascii="Cambria" w:hAnsi="Cambria"/>
          <w:sz w:val="20"/>
          <w:szCs w:val="20"/>
          <w:lang w:val="es-ES_tradnl"/>
        </w:rPr>
        <w:t xml:space="preserve"> y a pesar de ello, no uso estas vías. </w:t>
      </w:r>
    </w:p>
    <w:p w14:paraId="49FD1D4E" w14:textId="701C9D49" w:rsidR="008742FD" w:rsidRPr="00A41296" w:rsidRDefault="003B5CA1" w:rsidP="00A84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A41296">
        <w:rPr>
          <w:rFonts w:asciiTheme="majorHAnsi" w:hAnsiTheme="majorHAnsi"/>
          <w:bCs/>
          <w:sz w:val="20"/>
          <w:szCs w:val="20"/>
          <w:lang w:val="es-ES_tradnl"/>
        </w:rPr>
        <w:t xml:space="preserve">Adicionalmente, arguye que los hechos alegados no caracterizan una violación de derechos humanos que le sea atribuible. Por el contrario, arguye que la parte peticionaria pretende que la Comisión actúe como una cuarta instancia judicial y revise las valoraciones de echo y de derecho efectuadas por los jueces y tribunales internos que actuaron en la esfera de su competencia. </w:t>
      </w:r>
      <w:r w:rsidR="00A8435E" w:rsidRPr="00A41296">
        <w:rPr>
          <w:rFonts w:asciiTheme="majorHAnsi" w:hAnsiTheme="majorHAnsi"/>
          <w:bCs/>
          <w:sz w:val="20"/>
          <w:szCs w:val="20"/>
          <w:lang w:val="es-ES_tradnl"/>
        </w:rPr>
        <w:t>Destaca además</w:t>
      </w:r>
      <w:r w:rsidR="008742FD" w:rsidRPr="00A41296">
        <w:rPr>
          <w:rFonts w:asciiTheme="majorHAnsi" w:hAnsiTheme="majorHAnsi"/>
          <w:bCs/>
          <w:sz w:val="20"/>
          <w:szCs w:val="20"/>
          <w:lang w:val="es-ES_tradnl"/>
        </w:rPr>
        <w:t xml:space="preserve"> que </w:t>
      </w:r>
      <w:r w:rsidR="00A80765" w:rsidRPr="00A41296">
        <w:rPr>
          <w:rFonts w:asciiTheme="majorHAnsi" w:hAnsiTheme="majorHAnsi"/>
          <w:bCs/>
          <w:sz w:val="20"/>
          <w:szCs w:val="20"/>
          <w:lang w:val="es-ES_tradnl"/>
        </w:rPr>
        <w:t>diversos abogados particulares asumieron la defensa técnica de la presunta víctima</w:t>
      </w:r>
      <w:r w:rsidR="00815A9A" w:rsidRPr="00A41296">
        <w:rPr>
          <w:rFonts w:asciiTheme="majorHAnsi" w:hAnsiTheme="majorHAnsi"/>
          <w:bCs/>
          <w:sz w:val="20"/>
          <w:szCs w:val="20"/>
          <w:lang w:val="es-ES_tradnl"/>
        </w:rPr>
        <w:t xml:space="preserve">, tras ser designas libremente por este último. </w:t>
      </w:r>
      <w:r w:rsidR="0020395A" w:rsidRPr="00A41296">
        <w:rPr>
          <w:rFonts w:asciiTheme="majorHAnsi" w:hAnsiTheme="majorHAnsi"/>
          <w:bCs/>
          <w:sz w:val="20"/>
          <w:szCs w:val="20"/>
          <w:lang w:val="es-ES_tradnl"/>
        </w:rPr>
        <w:t xml:space="preserve">En tal sentido, </w:t>
      </w:r>
      <w:r w:rsidR="002A0545" w:rsidRPr="00A41296">
        <w:rPr>
          <w:rFonts w:asciiTheme="majorHAnsi" w:hAnsiTheme="majorHAnsi"/>
          <w:bCs/>
          <w:sz w:val="20"/>
          <w:szCs w:val="20"/>
          <w:lang w:val="es-ES_tradnl"/>
        </w:rPr>
        <w:t xml:space="preserve">el Estado resalta que </w:t>
      </w:r>
      <w:r w:rsidR="0020395A" w:rsidRPr="00A41296">
        <w:rPr>
          <w:rFonts w:asciiTheme="majorHAnsi" w:hAnsiTheme="majorHAnsi"/>
          <w:bCs/>
          <w:sz w:val="20"/>
          <w:szCs w:val="20"/>
          <w:lang w:val="es-ES_tradnl"/>
        </w:rPr>
        <w:t xml:space="preserve">los errores u omisiones que hayan cometido al representar los intereses del señor Kanev no </w:t>
      </w:r>
      <w:r w:rsidR="002A0545" w:rsidRPr="00A41296">
        <w:rPr>
          <w:rFonts w:asciiTheme="majorHAnsi" w:hAnsiTheme="majorHAnsi"/>
          <w:bCs/>
          <w:sz w:val="20"/>
          <w:szCs w:val="20"/>
          <w:lang w:val="es-ES_tradnl"/>
        </w:rPr>
        <w:t>le son atribuibles. Además, en cuanto a la afirmación sobre un contacto telefónico entre la presunta víctima y una funcionaria de la Defensa P</w:t>
      </w:r>
      <w:r w:rsidR="009D4B48" w:rsidRPr="00A41296">
        <w:rPr>
          <w:rFonts w:asciiTheme="majorHAnsi" w:hAnsiTheme="majorHAnsi"/>
          <w:bCs/>
          <w:sz w:val="20"/>
          <w:szCs w:val="20"/>
          <w:lang w:val="es-ES_tradnl"/>
        </w:rPr>
        <w:t xml:space="preserve">ública para una posible visita al centro penitenciario, </w:t>
      </w:r>
      <w:r w:rsidR="00DB2EE7" w:rsidRPr="00A41296">
        <w:rPr>
          <w:rFonts w:asciiTheme="majorHAnsi" w:hAnsiTheme="majorHAnsi"/>
          <w:bCs/>
          <w:sz w:val="20"/>
          <w:szCs w:val="20"/>
          <w:lang w:val="es-ES_tradnl"/>
        </w:rPr>
        <w:t xml:space="preserve">destaca que no es posible verificar tal información por imprecisa. </w:t>
      </w:r>
      <w:r w:rsidR="002A0545" w:rsidRPr="00A41296">
        <w:rPr>
          <w:rFonts w:asciiTheme="majorHAnsi" w:hAnsiTheme="majorHAnsi"/>
          <w:bCs/>
          <w:sz w:val="20"/>
          <w:szCs w:val="20"/>
          <w:lang w:val="es-ES_tradnl"/>
        </w:rPr>
        <w:t xml:space="preserve"> </w:t>
      </w:r>
    </w:p>
    <w:p w14:paraId="50B1755A" w14:textId="0047BB44" w:rsidR="000F148A" w:rsidRPr="00A41296" w:rsidRDefault="000F148A" w:rsidP="000F14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A41296">
        <w:rPr>
          <w:rFonts w:asciiTheme="majorHAnsi" w:hAnsiTheme="majorHAnsi"/>
          <w:b/>
          <w:sz w:val="20"/>
          <w:szCs w:val="20"/>
          <w:lang w:val="es-ES_tradnl"/>
        </w:rPr>
        <w:t xml:space="preserve">VI. </w:t>
      </w:r>
      <w:r w:rsidR="00171ED8" w:rsidRPr="00A41296">
        <w:rPr>
          <w:rFonts w:asciiTheme="majorHAnsi" w:hAnsiTheme="majorHAnsi"/>
          <w:b/>
          <w:sz w:val="20"/>
          <w:szCs w:val="20"/>
          <w:lang w:val="es-ES_tradnl"/>
        </w:rPr>
        <w:tab/>
      </w:r>
      <w:r w:rsidR="00B00DCA" w:rsidRPr="00A41296">
        <w:rPr>
          <w:rFonts w:asciiTheme="majorHAnsi" w:hAnsiTheme="majorHAnsi"/>
          <w:b/>
          <w:sz w:val="20"/>
          <w:szCs w:val="20"/>
          <w:lang w:val="es-ES_tradnl"/>
        </w:rPr>
        <w:t>CONSIDERACIONES PREVIAS</w:t>
      </w:r>
    </w:p>
    <w:p w14:paraId="648A02B5" w14:textId="77777777" w:rsidR="000F148A" w:rsidRPr="00A41296" w:rsidRDefault="000F148A" w:rsidP="000F14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A41296">
        <w:rPr>
          <w:rFonts w:asciiTheme="majorHAnsi" w:hAnsiTheme="majorHAnsi"/>
          <w:bCs/>
          <w:sz w:val="20"/>
          <w:szCs w:val="20"/>
          <w:lang w:val="es-ES_tradnl"/>
        </w:rPr>
        <w:t xml:space="preserve">La Comisión observa que el objeto principal de la presente petición es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1D96BCA9" w14:textId="77777777" w:rsidR="000F148A" w:rsidRPr="00A41296" w:rsidRDefault="000F148A" w:rsidP="000F14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41296">
        <w:rPr>
          <w:rFonts w:asciiTheme="majorHAnsi" w:hAnsiTheme="majorHAnsi"/>
          <w:bCs/>
          <w:sz w:val="20"/>
          <w:szCs w:val="20"/>
          <w:lang w:val="es-ES_tradnl"/>
        </w:rPr>
        <w:t xml:space="preserve">Así, en la sentencia del caso </w:t>
      </w:r>
      <w:r w:rsidRPr="00A41296">
        <w:rPr>
          <w:rFonts w:asciiTheme="majorHAnsi" w:hAnsiTheme="majorHAnsi"/>
          <w:bCs/>
          <w:i/>
          <w:iCs/>
          <w:sz w:val="20"/>
          <w:szCs w:val="20"/>
          <w:lang w:val="es-ES_tradnl"/>
        </w:rPr>
        <w:t xml:space="preserve">Herrera Ulloa vs. Costa Rica </w:t>
      </w:r>
      <w:r w:rsidRPr="00A41296">
        <w:rPr>
          <w:rFonts w:asciiTheme="majorHAnsi" w:hAnsiTheme="majorHAnsi"/>
          <w:bCs/>
          <w:sz w:val="20"/>
          <w:szCs w:val="20"/>
          <w:lang w:val="es-ES_tradnl"/>
        </w:rPr>
        <w:t>del 2 de julio de 2004, la Corte Interamericana de Derechos Humanos</w:t>
      </w:r>
      <w:r w:rsidRPr="00A41296">
        <w:rPr>
          <w:rStyle w:val="FootnoteReference"/>
          <w:rFonts w:asciiTheme="majorHAnsi" w:hAnsiTheme="majorHAnsi"/>
          <w:bCs/>
          <w:sz w:val="20"/>
          <w:szCs w:val="20"/>
          <w:lang w:val="es-ES_tradnl"/>
        </w:rPr>
        <w:footnoteReference w:id="6"/>
      </w:r>
      <w:r w:rsidRPr="00A41296">
        <w:rPr>
          <w:rFonts w:asciiTheme="majorHAnsi" w:hAnsiTheme="majorHAnsi"/>
          <w:bCs/>
          <w:sz w:val="20"/>
          <w:szCs w:val="20"/>
          <w:lang w:val="es-ES_tradnl"/>
        </w:rPr>
        <w:t xml:space="preserve"> examinó  la regulación establecida en el Código Procesal Penal vigente desde 1998; y concluyó que no contaba con “</w:t>
      </w:r>
      <w:r w:rsidRPr="00A41296">
        <w:rPr>
          <w:rFonts w:asciiTheme="majorHAnsi" w:hAnsiTheme="majorHAnsi"/>
          <w:bCs/>
          <w:i/>
          <w:iCs/>
          <w:sz w:val="20"/>
          <w:szCs w:val="20"/>
          <w:lang w:val="es-ES_tradnl"/>
        </w:rPr>
        <w:t xml:space="preserve">un recurso que </w:t>
      </w:r>
      <w:r w:rsidRPr="00A41296">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A41296">
        <w:rPr>
          <w:rFonts w:asciiTheme="majorHAnsi" w:hAnsiTheme="majorHAnsi"/>
          <w:sz w:val="20"/>
          <w:szCs w:val="20"/>
          <w:lang w:val="es-ES_tradnl"/>
        </w:rPr>
        <w:t>”, dada las limitaciones que tenía la regulación del recurso de casación en el ámbito penal</w:t>
      </w:r>
      <w:r w:rsidRPr="00A41296">
        <w:rPr>
          <w:rStyle w:val="FootnoteReference"/>
          <w:rFonts w:asciiTheme="majorHAnsi" w:hAnsiTheme="majorHAnsi"/>
          <w:sz w:val="20"/>
          <w:szCs w:val="20"/>
          <w:lang w:val="es-ES_tradnl"/>
        </w:rPr>
        <w:footnoteReference w:id="7"/>
      </w:r>
      <w:r w:rsidRPr="00A41296">
        <w:rPr>
          <w:rFonts w:asciiTheme="majorHAnsi" w:hAnsiTheme="majorHAnsi"/>
          <w:sz w:val="20"/>
          <w:szCs w:val="20"/>
          <w:lang w:val="es-ES_tradnl"/>
        </w:rPr>
        <w:t xml:space="preserve">. En consecuencia, la Corte IDH declaró que el Estado costarricense violó el artículo 8.2.h) de la Convención en relación con sus artículos 1.1 y 2 en perjuicio del señor Mauricio Herrera Ulloa, al no haber garantizado su derecho a recurrir el </w:t>
      </w:r>
      <w:r w:rsidRPr="00A41296">
        <w:rPr>
          <w:rFonts w:asciiTheme="majorHAnsi" w:hAnsiTheme="majorHAnsi"/>
          <w:sz w:val="20"/>
          <w:szCs w:val="20"/>
          <w:lang w:val="es-ES_tradnl"/>
        </w:rPr>
        <w:lastRenderedPageBreak/>
        <w:t>fallo; y ordenó a Costa Rica “</w:t>
      </w:r>
      <w:r w:rsidRPr="00A41296">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A41296">
        <w:rPr>
          <w:rFonts w:asciiTheme="majorHAnsi" w:hAnsiTheme="majorHAnsi"/>
          <w:sz w:val="20"/>
          <w:szCs w:val="20"/>
          <w:lang w:val="es-ES_tradnl"/>
        </w:rPr>
        <w:t>”</w:t>
      </w:r>
      <w:r w:rsidRPr="00A41296">
        <w:rPr>
          <w:rStyle w:val="FootnoteReference"/>
          <w:rFonts w:asciiTheme="majorHAnsi" w:hAnsiTheme="majorHAnsi"/>
          <w:sz w:val="20"/>
          <w:szCs w:val="20"/>
          <w:lang w:val="es-ES_tradnl"/>
        </w:rPr>
        <w:footnoteReference w:id="8"/>
      </w:r>
      <w:r w:rsidRPr="00A41296">
        <w:rPr>
          <w:rFonts w:asciiTheme="majorHAnsi" w:hAnsiTheme="majorHAnsi"/>
          <w:sz w:val="20"/>
          <w:szCs w:val="20"/>
          <w:lang w:val="es-ES_tradnl"/>
        </w:rPr>
        <w:t>.</w:t>
      </w:r>
    </w:p>
    <w:p w14:paraId="3AD0703E" w14:textId="486AC103" w:rsidR="000F148A" w:rsidRPr="00A41296" w:rsidRDefault="000F148A" w:rsidP="000F14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41296">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A41296">
        <w:rPr>
          <w:rFonts w:ascii="Cambria" w:hAnsi="Cambria"/>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y en lo relevante para el presente caso, tal legislación estableció en su Transitorio I, un procedimiento de revisión especial para “</w:t>
      </w:r>
      <w:r w:rsidRPr="00A41296">
        <w:rPr>
          <w:rFonts w:ascii="Cambria" w:hAnsi="Cambria"/>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A41296">
        <w:rPr>
          <w:rFonts w:ascii="Cambria" w:hAnsi="Cambria"/>
          <w:sz w:val="20"/>
          <w:szCs w:val="20"/>
          <w:lang w:val="es-ES_tradnl"/>
        </w:rPr>
        <w:t>”. En virtud de ello, la Corte Interamericana consideró que “</w:t>
      </w:r>
      <w:r w:rsidRPr="00A41296">
        <w:rPr>
          <w:rFonts w:ascii="Cambria" w:hAnsi="Cambria"/>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A41296">
        <w:rPr>
          <w:rFonts w:ascii="Cambria" w:hAnsi="Cambria"/>
          <w:sz w:val="20"/>
          <w:szCs w:val="20"/>
          <w:lang w:val="es-ES_tradnl"/>
        </w:rPr>
        <w:t>”</w:t>
      </w:r>
      <w:r w:rsidRPr="00A41296">
        <w:rPr>
          <w:rStyle w:val="FootnoteReference"/>
          <w:rFonts w:ascii="Cambria" w:hAnsi="Cambria"/>
          <w:sz w:val="20"/>
          <w:szCs w:val="20"/>
          <w:lang w:val="es-ES_tradnl"/>
        </w:rPr>
        <w:footnoteReference w:id="9"/>
      </w:r>
      <w:r w:rsidRPr="00A41296">
        <w:rPr>
          <w:rFonts w:ascii="Cambria" w:hAnsi="Cambria"/>
          <w:sz w:val="20"/>
          <w:szCs w:val="20"/>
          <w:lang w:val="es-ES_tradnl"/>
        </w:rPr>
        <w:t>.</w:t>
      </w:r>
    </w:p>
    <w:p w14:paraId="696ED3FC" w14:textId="77777777" w:rsidR="000F148A" w:rsidRPr="00A41296" w:rsidRDefault="000F148A" w:rsidP="000F14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A41296">
        <w:rPr>
          <w:rFonts w:asciiTheme="majorHAnsi" w:hAnsiTheme="majorHAnsi"/>
          <w:bCs/>
          <w:sz w:val="20"/>
          <w:szCs w:val="20"/>
          <w:lang w:val="es-ES_tradnl"/>
        </w:rPr>
        <w:t>Adicionalmente, tanto la Comisión como la Corte IDH también constataron que e</w:t>
      </w:r>
      <w:r w:rsidRPr="00A41296">
        <w:rPr>
          <w:rFonts w:ascii="Cambria" w:hAnsi="Cambria"/>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5BC7661A" w14:textId="77777777" w:rsidR="000F148A" w:rsidRPr="00A41296" w:rsidRDefault="000F148A" w:rsidP="000F14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A41296">
        <w:rPr>
          <w:rFonts w:ascii="Cambria" w:hAnsi="Cambria"/>
          <w:sz w:val="20"/>
          <w:szCs w:val="20"/>
          <w:lang w:val="es-ES_tradnl"/>
        </w:rPr>
        <w:t xml:space="preserve">Como consecuencia de las citadas modificaciones, en la sentencia del caso </w:t>
      </w:r>
      <w:r w:rsidRPr="00A41296">
        <w:rPr>
          <w:rFonts w:ascii="Cambria" w:hAnsi="Cambria"/>
          <w:i/>
          <w:iCs/>
          <w:sz w:val="20"/>
          <w:szCs w:val="20"/>
          <w:lang w:val="es-ES_tradnl"/>
        </w:rPr>
        <w:t>Amrhein y otros vs. Costa Rica</w:t>
      </w:r>
      <w:r w:rsidRPr="00A41296">
        <w:rPr>
          <w:rFonts w:ascii="Cambria" w:hAnsi="Cambria"/>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0BA4E172" w14:textId="77777777" w:rsidR="000F148A" w:rsidRPr="00A41296" w:rsidRDefault="000F148A" w:rsidP="000F14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A41296">
        <w:rPr>
          <w:rFonts w:ascii="Cambria" w:hAnsi="Cambria"/>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A41296">
        <w:rPr>
          <w:rFonts w:ascii="Cambria" w:hAnsi="Cambria"/>
          <w:i/>
          <w:iCs/>
          <w:sz w:val="20"/>
          <w:szCs w:val="20"/>
          <w:lang w:val="es-ES_tradnl"/>
        </w:rPr>
        <w:t xml:space="preserve">el hecho de que se trataría de un recurso extraordinario no puede ser determinante, </w:t>
      </w:r>
      <w:r w:rsidRPr="00A41296">
        <w:rPr>
          <w:rFonts w:ascii="Cambria" w:hAnsi="Cambria"/>
          <w:sz w:val="20"/>
          <w:szCs w:val="20"/>
          <w:lang w:val="es-ES_tradnl"/>
        </w:rPr>
        <w:t>per se</w:t>
      </w:r>
      <w:r w:rsidRPr="00A41296">
        <w:rPr>
          <w:rFonts w:ascii="Cambria" w:hAnsi="Cambria"/>
          <w:i/>
          <w:iCs/>
          <w:sz w:val="20"/>
          <w:szCs w:val="20"/>
          <w:lang w:val="es-ES_tradnl"/>
        </w:rPr>
        <w:t>, para concluir su inefectividad”</w:t>
      </w:r>
      <w:r w:rsidRPr="00A41296">
        <w:rPr>
          <w:rStyle w:val="FootnoteReference"/>
          <w:rFonts w:ascii="Cambria" w:hAnsi="Cambria"/>
          <w:i/>
          <w:iCs/>
          <w:sz w:val="20"/>
          <w:szCs w:val="20"/>
          <w:lang w:val="es-ES_tradnl"/>
        </w:rPr>
        <w:footnoteReference w:id="10"/>
      </w:r>
      <w:r w:rsidRPr="00A41296">
        <w:rPr>
          <w:rFonts w:ascii="Cambria" w:hAnsi="Cambria"/>
          <w:i/>
          <w:iCs/>
          <w:sz w:val="20"/>
          <w:szCs w:val="20"/>
          <w:lang w:val="es-ES_tradnl"/>
        </w:rPr>
        <w:t xml:space="preserve">. </w:t>
      </w:r>
      <w:r w:rsidRPr="00A41296">
        <w:rPr>
          <w:rFonts w:ascii="Cambria" w:hAnsi="Cambria"/>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4F697867" w14:textId="77777777" w:rsidR="000F148A" w:rsidRPr="00A41296" w:rsidRDefault="000F148A" w:rsidP="000F14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A41296">
        <w:rPr>
          <w:rFonts w:ascii="Cambria" w:hAnsi="Cambria"/>
          <w:sz w:val="20"/>
          <w:szCs w:val="20"/>
          <w:lang w:val="es-ES_tradnl"/>
        </w:rPr>
        <w:t>Finalmente, a efectos del análisis de caracterización de las peticiones, la Comisión nota que la Corte Interamericana concluyó en la citada sentencia que no correspondía “</w:t>
      </w:r>
      <w:r w:rsidRPr="00A41296">
        <w:rPr>
          <w:rFonts w:ascii="Cambria" w:hAnsi="Cambria"/>
          <w:i/>
          <w:iCs/>
          <w:sz w:val="20"/>
          <w:szCs w:val="20"/>
          <w:lang w:val="es-ES_tradnl"/>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A41296">
        <w:rPr>
          <w:rFonts w:ascii="Cambria" w:hAnsi="Cambria"/>
          <w:sz w:val="20"/>
          <w:szCs w:val="20"/>
          <w:lang w:val="es-ES_tradnl"/>
        </w:rPr>
        <w:t xml:space="preserve"> […]”</w:t>
      </w:r>
      <w:r w:rsidRPr="00A41296">
        <w:rPr>
          <w:rStyle w:val="FootnoteReference"/>
          <w:rFonts w:ascii="Cambria" w:hAnsi="Cambria"/>
          <w:sz w:val="20"/>
          <w:szCs w:val="20"/>
          <w:lang w:val="es-ES_tradnl"/>
        </w:rPr>
        <w:footnoteReference w:id="11"/>
      </w:r>
      <w:r w:rsidRPr="00A41296">
        <w:rPr>
          <w:rFonts w:ascii="Cambria" w:hAnsi="Cambria"/>
          <w:sz w:val="20"/>
          <w:szCs w:val="20"/>
          <w:lang w:val="es-ES_tradnl"/>
        </w:rPr>
        <w:t xml:space="preserve">. Asimismo, recuerda que en la resolución de supervisión de cumplimiento del 22 de noviembre de 2010 del caso </w:t>
      </w:r>
      <w:r w:rsidRPr="00A41296">
        <w:rPr>
          <w:rFonts w:ascii="Cambria" w:hAnsi="Cambria"/>
          <w:i/>
          <w:iCs/>
          <w:sz w:val="20"/>
          <w:szCs w:val="20"/>
          <w:lang w:val="es-ES_tradnl"/>
        </w:rPr>
        <w:t xml:space="preserve">Herrera Ulloa vs. Costa Rica, </w:t>
      </w:r>
      <w:r w:rsidRPr="00A41296">
        <w:rPr>
          <w:rFonts w:ascii="Cambria" w:hAnsi="Cambria"/>
          <w:sz w:val="20"/>
          <w:szCs w:val="20"/>
          <w:lang w:val="es-ES_tradnl"/>
        </w:rPr>
        <w:t xml:space="preserve">el Tribunal valoró positivamente las reformas </w:t>
      </w:r>
      <w:r w:rsidRPr="00A41296">
        <w:rPr>
          <w:rFonts w:ascii="Cambria" w:hAnsi="Cambria"/>
          <w:sz w:val="20"/>
          <w:szCs w:val="20"/>
          <w:lang w:val="es-ES_tradnl"/>
        </w:rPr>
        <w:lastRenderedPageBreak/>
        <w:t>introducidas en la legislación procesal penal y, en virtud de tales modificaciones, concluyó que “</w:t>
      </w:r>
      <w:r w:rsidRPr="00A41296">
        <w:rPr>
          <w:rFonts w:ascii="Cambria" w:hAnsi="Cambria"/>
          <w:i/>
          <w:iCs/>
          <w:sz w:val="20"/>
          <w:szCs w:val="20"/>
          <w:lang w:val="es-ES_tradnl"/>
        </w:rPr>
        <w:t>al garantizar la posibilidad de un amplio control de la sentencia emitida por un tribunal de juicio en materia penal a nivel interno</w:t>
      </w:r>
      <w:r w:rsidRPr="00A41296">
        <w:rPr>
          <w:rFonts w:ascii="Cambria" w:hAnsi="Cambria"/>
          <w:sz w:val="20"/>
          <w:szCs w:val="20"/>
          <w:lang w:val="es-ES_tradnl"/>
        </w:rPr>
        <w:t>”</w:t>
      </w:r>
      <w:r w:rsidRPr="00A41296">
        <w:rPr>
          <w:rStyle w:val="FootnoteReference"/>
          <w:rFonts w:ascii="Cambria" w:hAnsi="Cambria"/>
          <w:sz w:val="20"/>
          <w:szCs w:val="20"/>
          <w:lang w:val="es-ES_tradnl"/>
        </w:rPr>
        <w:footnoteReference w:id="12"/>
      </w:r>
      <w:r w:rsidRPr="00A41296">
        <w:rPr>
          <w:rFonts w:ascii="Cambria" w:hAnsi="Cambria"/>
          <w:sz w:val="20"/>
          <w:szCs w:val="20"/>
          <w:lang w:val="es-ES_tradnl"/>
        </w:rPr>
        <w:t xml:space="preserve">, Costa Rica había cumplido con adecuar su legislación interna. </w:t>
      </w:r>
    </w:p>
    <w:p w14:paraId="1C3CE4C8" w14:textId="77777777" w:rsidR="000F148A" w:rsidRPr="00A41296" w:rsidRDefault="000F148A" w:rsidP="000F14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A41296">
        <w:rPr>
          <w:rFonts w:ascii="Cambria" w:hAnsi="Cambria"/>
          <w:sz w:val="20"/>
          <w:szCs w:val="20"/>
          <w:lang w:val="es-ES_tradnl"/>
        </w:rPr>
        <w:t>Sin perjuicio de ello, la Comisión destaca que las citadas normas</w:t>
      </w:r>
      <w:r w:rsidRPr="00A41296">
        <w:rPr>
          <w:rFonts w:ascii="Cambria" w:hAnsi="Cambria" w:cs="Calibri"/>
          <w:sz w:val="20"/>
          <w:szCs w:val="20"/>
          <w:lang w:val="es-ES_tradnl"/>
        </w:rPr>
        <w:t xml:space="preserve"> reconocieron a aquellos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A41296">
        <w:rPr>
          <w:rFonts w:ascii="Cambria" w:hAnsi="Cambria" w:cs="Calibri"/>
          <w:i/>
          <w:iCs/>
          <w:sz w:val="20"/>
          <w:szCs w:val="20"/>
          <w:lang w:val="es-ES_tradnl"/>
        </w:rPr>
        <w:t>el agravio y los aspectos de hecho y derecho que no fueron posibles de conocer en casación</w:t>
      </w:r>
      <w:r w:rsidRPr="00A41296">
        <w:rPr>
          <w:rFonts w:ascii="Cambria" w:hAnsi="Cambria" w:cs="Calibri"/>
          <w:sz w:val="20"/>
          <w:szCs w:val="20"/>
          <w:lang w:val="es-ES_tradnl"/>
        </w:rPr>
        <w:t>”. Por su parte, el Transitorio III de la ley 8837 demandaba para la procedencia del procedimiento de revisión que el condenado “</w:t>
      </w:r>
      <w:r w:rsidRPr="00A41296">
        <w:rPr>
          <w:rFonts w:ascii="Cambria" w:hAnsi="Cambria" w:cs="Calibri"/>
          <w:i/>
          <w:iCs/>
          <w:sz w:val="20"/>
          <w:szCs w:val="20"/>
          <w:lang w:val="es-ES_tradnl"/>
        </w:rPr>
        <w:t>haya alegado con anterioridad la vulneración del artículo 8.2.h de la Convención</w:t>
      </w:r>
      <w:r w:rsidRPr="00A41296">
        <w:rPr>
          <w:rFonts w:ascii="Cambria" w:hAnsi="Cambria" w:cs="Calibri"/>
          <w:sz w:val="20"/>
          <w:szCs w:val="20"/>
          <w:lang w:val="es-ES_tradnl"/>
        </w:rPr>
        <w:t xml:space="preserve">”.   </w:t>
      </w:r>
    </w:p>
    <w:p w14:paraId="67218C91" w14:textId="77777777" w:rsidR="000F148A" w:rsidRPr="00A41296" w:rsidRDefault="000F148A" w:rsidP="000F148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A41296">
        <w:rPr>
          <w:rFonts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A41296">
        <w:rPr>
          <w:rStyle w:val="FootnoteReference"/>
          <w:rFonts w:cs="Calibri"/>
          <w:sz w:val="20"/>
          <w:szCs w:val="20"/>
          <w:lang w:val="es-ES_tradnl"/>
        </w:rPr>
        <w:footnoteReference w:id="13"/>
      </w:r>
      <w:r w:rsidRPr="00A41296">
        <w:rPr>
          <w:rFonts w:cs="Calibri"/>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0D1A948F" w14:textId="77777777" w:rsidR="000F148A" w:rsidRPr="00A41296" w:rsidRDefault="000F148A" w:rsidP="000F148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4FC1EB6B" w14:textId="77777777" w:rsidR="000F148A" w:rsidRPr="00A41296" w:rsidRDefault="000F148A" w:rsidP="000F148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A41296">
        <w:rPr>
          <w:sz w:val="20"/>
          <w:szCs w:val="20"/>
          <w:lang w:val="es-ES_tradnl"/>
        </w:rPr>
        <w:t>No obstante, la Comisión reconoce, en primer término, que la Sala Constitucional de la Corte Suprema de Justicia de Costa Rica se refirió en reiterados pronunciamientos a la necesidad de “</w:t>
      </w:r>
      <w:r w:rsidRPr="00A41296">
        <w:rPr>
          <w:i/>
          <w:iCs/>
          <w:sz w:val="20"/>
          <w:szCs w:val="20"/>
          <w:lang w:val="es-ES_tradnl"/>
        </w:rPr>
        <w:t>asegurar el derecho al recurso, excluyendo formalismos que impidieran la revisión de las sentencias de condena, a fin de satisfacer lo dispuesto por el artículo 8.2.h de la Convención</w:t>
      </w:r>
      <w:r w:rsidRPr="00A41296">
        <w:rPr>
          <w:sz w:val="20"/>
          <w:szCs w:val="20"/>
          <w:lang w:val="es-ES_tradnl"/>
        </w:rPr>
        <w:t>”</w:t>
      </w:r>
      <w:r w:rsidRPr="00A41296">
        <w:rPr>
          <w:rStyle w:val="FootnoteReference"/>
          <w:sz w:val="20"/>
          <w:szCs w:val="20"/>
          <w:lang w:val="es-ES_tradnl"/>
        </w:rPr>
        <w:footnoteReference w:id="14"/>
      </w:r>
      <w:r w:rsidRPr="00A41296">
        <w:rPr>
          <w:sz w:val="20"/>
          <w:szCs w:val="20"/>
          <w:lang w:val="es-ES_tradnl"/>
        </w:rPr>
        <w:t>.</w:t>
      </w:r>
    </w:p>
    <w:p w14:paraId="5D714DEC" w14:textId="77777777" w:rsidR="000F148A" w:rsidRPr="00A41296" w:rsidRDefault="000F148A" w:rsidP="000F148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5EC73FB5" w14:textId="77777777" w:rsidR="000F148A" w:rsidRPr="00A41296" w:rsidRDefault="000F148A" w:rsidP="000F148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A41296">
        <w:rPr>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A41296">
        <w:rPr>
          <w:i/>
          <w:iCs/>
          <w:sz w:val="20"/>
          <w:szCs w:val="20"/>
          <w:lang w:val="es-ES_tradnl"/>
        </w:rPr>
        <w:t>Herrera Ulloa</w:t>
      </w:r>
      <w:r w:rsidRPr="00A41296">
        <w:rPr>
          <w:sz w:val="20"/>
          <w:szCs w:val="20"/>
          <w:lang w:val="es-ES_tradnl"/>
        </w:rPr>
        <w:t xml:space="preserve">. </w:t>
      </w:r>
    </w:p>
    <w:p w14:paraId="1CE3EEF4" w14:textId="77777777" w:rsidR="000F148A" w:rsidRPr="00A41296" w:rsidRDefault="000F148A" w:rsidP="000F148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6F52C534" w14:textId="77777777" w:rsidR="000F148A" w:rsidRPr="00A41296" w:rsidRDefault="000F148A" w:rsidP="000F148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A41296">
        <w:rPr>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55644F6E" w14:textId="77777777" w:rsidR="000F148A" w:rsidRPr="00A41296" w:rsidRDefault="000F148A" w:rsidP="000F148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04480C67" w14:textId="77777777" w:rsidR="000F148A" w:rsidRPr="00A41296" w:rsidRDefault="000F148A" w:rsidP="000F148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A41296">
        <w:rPr>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A41296">
        <w:rPr>
          <w:i/>
          <w:iCs/>
          <w:sz w:val="20"/>
          <w:szCs w:val="20"/>
          <w:lang w:val="es-ES_tradnl"/>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A41296">
        <w:rPr>
          <w:sz w:val="20"/>
          <w:szCs w:val="20"/>
          <w:lang w:val="es-ES_tradnl"/>
        </w:rPr>
        <w:t>”</w:t>
      </w:r>
      <w:r w:rsidRPr="00A41296">
        <w:rPr>
          <w:rStyle w:val="FootnoteReference"/>
          <w:sz w:val="20"/>
          <w:szCs w:val="20"/>
          <w:lang w:val="es-ES_tradnl"/>
        </w:rPr>
        <w:footnoteReference w:id="15"/>
      </w:r>
      <w:r w:rsidRPr="00A41296">
        <w:rPr>
          <w:sz w:val="20"/>
          <w:szCs w:val="20"/>
          <w:lang w:val="es-ES_tradnl"/>
        </w:rPr>
        <w:t xml:space="preserve">. Lo que en principio requiere de un análisis de fondo por parte de la CIDH, salvo </w:t>
      </w:r>
      <w:r w:rsidRPr="00A41296">
        <w:rPr>
          <w:sz w:val="20"/>
          <w:szCs w:val="20"/>
          <w:lang w:val="es-ES_tradnl"/>
        </w:rPr>
        <w:lastRenderedPageBreak/>
        <w:t xml:space="preserve">que de la información de las partes se observe que los hechos planteados por el peticionario no caractericen </w:t>
      </w:r>
      <w:r w:rsidRPr="00A41296">
        <w:rPr>
          <w:i/>
          <w:iCs/>
          <w:sz w:val="20"/>
          <w:szCs w:val="20"/>
          <w:lang w:val="es-ES_tradnl"/>
        </w:rPr>
        <w:t>prima facie</w:t>
      </w:r>
      <w:r w:rsidRPr="00A41296">
        <w:rPr>
          <w:sz w:val="20"/>
          <w:szCs w:val="20"/>
          <w:lang w:val="es-ES_tradnl"/>
        </w:rPr>
        <w:t xml:space="preserve"> violaciones a la Convención Americana, en los términos de su artículo 47.</w:t>
      </w:r>
    </w:p>
    <w:p w14:paraId="6F4D4171" w14:textId="740415A6" w:rsidR="003239B8" w:rsidRPr="00A41296" w:rsidRDefault="000F148A" w:rsidP="003239B8">
      <w:pPr>
        <w:spacing w:before="240" w:after="240"/>
        <w:ind w:firstLine="720"/>
        <w:jc w:val="both"/>
        <w:rPr>
          <w:rFonts w:ascii="Cambria" w:hAnsi="Cambria"/>
          <w:sz w:val="20"/>
          <w:szCs w:val="20"/>
          <w:lang w:val="es-ES_tradnl"/>
        </w:rPr>
      </w:pPr>
      <w:r w:rsidRPr="00A41296">
        <w:rPr>
          <w:rFonts w:asciiTheme="majorHAnsi" w:eastAsia="Cambria" w:hAnsiTheme="majorHAnsi" w:cs="Cambria"/>
          <w:b/>
          <w:bCs/>
          <w:color w:val="000000"/>
          <w:sz w:val="20"/>
          <w:szCs w:val="20"/>
          <w:u w:color="000000"/>
          <w:lang w:val="es-ES_tradnl" w:eastAsia="es-ES"/>
        </w:rPr>
        <w:t xml:space="preserve">VII. </w:t>
      </w:r>
      <w:r w:rsidR="00E13171" w:rsidRPr="00A41296">
        <w:rPr>
          <w:rFonts w:asciiTheme="majorHAnsi" w:eastAsia="Cambria" w:hAnsiTheme="majorHAnsi" w:cs="Cambria"/>
          <w:b/>
          <w:bCs/>
          <w:color w:val="000000"/>
          <w:sz w:val="20"/>
          <w:szCs w:val="20"/>
          <w:u w:color="000000"/>
          <w:lang w:val="es-ES_tradnl" w:eastAsia="es-ES"/>
        </w:rPr>
        <w:tab/>
      </w:r>
      <w:r w:rsidR="004A6A54" w:rsidRPr="00A41296">
        <w:rPr>
          <w:rFonts w:asciiTheme="majorHAnsi" w:hAnsiTheme="majorHAnsi"/>
          <w:b/>
          <w:bCs/>
          <w:sz w:val="20"/>
          <w:szCs w:val="20"/>
          <w:lang w:val="es-ES_tradnl"/>
        </w:rPr>
        <w:t xml:space="preserve">ANÁLISIS DE </w:t>
      </w:r>
      <w:r w:rsidR="00C21FEF" w:rsidRPr="00A41296">
        <w:rPr>
          <w:rFonts w:asciiTheme="majorHAnsi" w:hAnsiTheme="majorHAnsi"/>
          <w:b/>
          <w:sz w:val="20"/>
          <w:szCs w:val="20"/>
          <w:lang w:val="es-ES_tradnl"/>
        </w:rPr>
        <w:t>AGOTAMIENTO DE LOS RECURSOS INTERNOS Y PLAZO DE PRESENTACIÓN</w:t>
      </w:r>
      <w:r w:rsidR="00C21FEF" w:rsidRPr="00A41296">
        <w:rPr>
          <w:rFonts w:asciiTheme="majorHAnsi" w:eastAsia="Cambria" w:hAnsiTheme="majorHAnsi" w:cs="Cambria"/>
          <w:b/>
          <w:bCs/>
          <w:color w:val="000000"/>
          <w:sz w:val="20"/>
          <w:szCs w:val="20"/>
          <w:u w:color="000000"/>
          <w:lang w:val="es-ES_tradnl" w:eastAsia="es-ES"/>
        </w:rPr>
        <w:t xml:space="preserve"> </w:t>
      </w:r>
    </w:p>
    <w:p w14:paraId="48EA2ADB" w14:textId="6982AE9F" w:rsidR="00C174BA" w:rsidRPr="00A41296" w:rsidRDefault="00C174BA" w:rsidP="005749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41296">
        <w:rPr>
          <w:rFonts w:ascii="Cambria" w:hAnsi="Cambria"/>
          <w:sz w:val="20"/>
          <w:szCs w:val="20"/>
          <w:lang w:val="es-ES_tradnl"/>
        </w:rPr>
        <w:t xml:space="preserve">Con base en las consideraciones previamente expuestas, la Comisión observa que el 30 de abril de 2008 </w:t>
      </w:r>
      <w:r w:rsidR="006457F9" w:rsidRPr="00A41296">
        <w:rPr>
          <w:rFonts w:ascii="Cambria" w:hAnsi="Cambria"/>
          <w:sz w:val="20"/>
          <w:szCs w:val="20"/>
          <w:lang w:val="es-ES_tradnl"/>
        </w:rPr>
        <w:t xml:space="preserve">la Tercera Sala de lo Penal de la Corte Suprema desestimó el recurso de revisión interpuesto por la presunta víctima contra su sentencia condenatoria del </w:t>
      </w:r>
      <w:r w:rsidR="00FF4C36" w:rsidRPr="00A41296">
        <w:rPr>
          <w:rFonts w:ascii="Cambria" w:hAnsi="Cambria"/>
          <w:sz w:val="20"/>
          <w:szCs w:val="20"/>
          <w:lang w:val="es-ES_tradnl"/>
        </w:rPr>
        <w:t>20 de octubre de 2004.</w:t>
      </w:r>
      <w:r w:rsidR="005749C1" w:rsidRPr="00A41296">
        <w:rPr>
          <w:rFonts w:ascii="Cambria" w:hAnsi="Cambria"/>
          <w:sz w:val="20"/>
          <w:szCs w:val="20"/>
          <w:lang w:val="es-ES_tradnl"/>
        </w:rPr>
        <w:t xml:space="preserve"> </w:t>
      </w:r>
      <w:r w:rsidRPr="00A41296">
        <w:rPr>
          <w:rFonts w:ascii="Cambria" w:hAnsi="Cambria"/>
          <w:sz w:val="20"/>
          <w:szCs w:val="20"/>
          <w:lang w:val="es-ES_tradnl"/>
        </w:rPr>
        <w:t xml:space="preserve">Sobre este punto, el Estado plantea, en otros alegatos, que la presunta víctima podía solicitar la revisión integral de su condena mediante los mecanismos especiales de revisión, establecidos en Transitorio I de la Ley N.º 8503 y en el Transitorio IIII de la Ley N.º 8837, y a pesar de ello no utilizó estas vías. </w:t>
      </w:r>
    </w:p>
    <w:p w14:paraId="286D843C" w14:textId="4095CB70" w:rsidR="005749C1" w:rsidRPr="00A41296" w:rsidRDefault="005749C1" w:rsidP="005749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1296">
        <w:rPr>
          <w:rFonts w:ascii="Cambria" w:hAnsi="Cambria"/>
          <w:sz w:val="20"/>
          <w:szCs w:val="20"/>
          <w:lang w:val="es-AR"/>
        </w:rPr>
        <w:t>Conforme a los alegatos expuestos, la Comisión observa que el Estado cumplió con su deber de especificar los recursos internos que no fueron agotados y las razones por las cuáles estos resultaban adecuados y efectivos para solventar la situación jurídica de la presunta víctima. En efecto, d</w:t>
      </w:r>
      <w:r w:rsidRPr="00A41296">
        <w:rPr>
          <w:rFonts w:ascii="Cambria" w:hAnsi="Cambria"/>
          <w:sz w:val="20"/>
          <w:szCs w:val="20"/>
          <w:lang w:val="es-ES"/>
        </w:rPr>
        <w:t>esde su primera jurisprudencia la Corte Interamericana estableció que “</w:t>
      </w:r>
      <w:r w:rsidRPr="00A41296">
        <w:rPr>
          <w:rFonts w:ascii="Cambria" w:hAnsi="Cambria"/>
          <w:i/>
          <w:iCs/>
          <w:sz w:val="20"/>
          <w:szCs w:val="20"/>
          <w:lang w:val="es-ES"/>
        </w:rPr>
        <w:t>el Estado que alega el no agotamiento tiene a su cargo el señalamiento de los recursos internos que deben agotarse y de su efectividad</w:t>
      </w:r>
      <w:r w:rsidRPr="00A41296">
        <w:rPr>
          <w:rFonts w:ascii="Cambria" w:hAnsi="Cambria"/>
          <w:sz w:val="20"/>
          <w:szCs w:val="20"/>
          <w:lang w:val="es-ES"/>
        </w:rPr>
        <w:t>”</w:t>
      </w:r>
      <w:r w:rsidRPr="00A41296">
        <w:rPr>
          <w:rStyle w:val="FootnoteReference"/>
          <w:rFonts w:ascii="Cambria" w:hAnsi="Cambria"/>
          <w:sz w:val="20"/>
          <w:szCs w:val="20"/>
          <w:lang w:val="es-AR"/>
        </w:rPr>
        <w:footnoteReference w:id="16"/>
      </w:r>
      <w:r w:rsidRPr="00A41296">
        <w:rPr>
          <w:rFonts w:ascii="Cambria" w:hAnsi="Cambria"/>
          <w:sz w:val="20"/>
          <w:szCs w:val="20"/>
          <w:lang w:val="es-AR"/>
        </w:rPr>
        <w:t xml:space="preserve">. En concreto, la información aportada demuestra que, tras la denegatoria de su recurso de casación, el señor </w:t>
      </w:r>
      <w:r w:rsidR="001B5726" w:rsidRPr="00A41296">
        <w:rPr>
          <w:rFonts w:ascii="Cambria" w:hAnsi="Cambria"/>
          <w:sz w:val="20"/>
          <w:szCs w:val="20"/>
          <w:lang w:val="es-AR"/>
        </w:rPr>
        <w:t>Kanev</w:t>
      </w:r>
      <w:r w:rsidRPr="00A41296">
        <w:rPr>
          <w:rFonts w:ascii="Cambria" w:hAnsi="Cambria"/>
          <w:sz w:val="20"/>
          <w:szCs w:val="20"/>
          <w:lang w:val="es-AR"/>
        </w:rPr>
        <w:t xml:space="preserve"> tenía a su disposición la vía de revisión especial establecida en el Transitorio I de la Ley N.º 8503 para cuestionar su condena y lograr una revisión integral de tal fallo, toda vez que esta disposición entró en vigor el </w:t>
      </w:r>
      <w:r w:rsidRPr="00A41296">
        <w:rPr>
          <w:rFonts w:asciiTheme="majorHAnsi" w:hAnsiTheme="majorHAnsi"/>
          <w:bCs/>
          <w:sz w:val="20"/>
          <w:szCs w:val="20"/>
          <w:lang w:val="es-ES_tradnl"/>
        </w:rPr>
        <w:t>6 de</w:t>
      </w:r>
      <w:r w:rsidRPr="00A41296">
        <w:rPr>
          <w:rFonts w:ascii="Cambria" w:hAnsi="Cambria"/>
          <w:sz w:val="20"/>
          <w:szCs w:val="20"/>
          <w:lang w:val="es-ES"/>
        </w:rPr>
        <w:t xml:space="preserve"> de junio de 2006. </w:t>
      </w:r>
    </w:p>
    <w:p w14:paraId="0C76BC6E" w14:textId="0B0F1513" w:rsidR="005749C1" w:rsidRPr="00A41296" w:rsidRDefault="005749C1" w:rsidP="005749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US"/>
        </w:rPr>
      </w:pPr>
      <w:r w:rsidRPr="00A41296">
        <w:rPr>
          <w:rFonts w:ascii="Cambria" w:hAnsi="Cambria"/>
          <w:sz w:val="20"/>
          <w:szCs w:val="20"/>
          <w:lang w:val="es-ES"/>
        </w:rPr>
        <w:t xml:space="preserve">Al respecto, la Comisión reitera que la Corte Interamericana consideró que el citado mecanismo, junto con </w:t>
      </w:r>
      <w:r w:rsidRPr="00A41296">
        <w:rPr>
          <w:rFonts w:ascii="Cambria" w:hAnsi="Cambria"/>
          <w:sz w:val="20"/>
          <w:szCs w:val="20"/>
          <w:lang w:val="es-AR"/>
        </w:rPr>
        <w:t xml:space="preserve">el Transitorio IIII de la Ley N.º 8837, permiten garantizar el derecho a la revisión integral de un fallo condenatorio y, por ende, cumplen con la obligación establecida en el artículo 8.2.h) de la Convención Americana. </w:t>
      </w:r>
      <w:r w:rsidRPr="00A41296">
        <w:rPr>
          <w:rFonts w:ascii="Cambria" w:hAnsi="Cambria"/>
          <w:sz w:val="20"/>
          <w:szCs w:val="20"/>
          <w:lang w:val="es-ES"/>
        </w:rPr>
        <w:t>Bajo este entendimiento, el precedente del caso</w:t>
      </w:r>
      <w:r w:rsidRPr="00A41296">
        <w:rPr>
          <w:rFonts w:ascii="Cambria" w:hAnsi="Cambria"/>
          <w:i/>
          <w:iCs/>
          <w:sz w:val="20"/>
          <w:szCs w:val="20"/>
          <w:lang w:val="es-ES"/>
        </w:rPr>
        <w:t xml:space="preserve"> Amrhein y otros vs. Costa Rica</w:t>
      </w:r>
      <w:r w:rsidRPr="00A41296">
        <w:rPr>
          <w:rFonts w:ascii="Cambria" w:hAnsi="Cambria"/>
          <w:sz w:val="20"/>
          <w:szCs w:val="20"/>
          <w:lang w:val="es-ES"/>
        </w:rPr>
        <w:t xml:space="preserve"> estableció que las presuntas víctimas que aleguen una afectación al derecho contemplado en el citado artículo 8.2.h) y/u otras garantías vinculadas deben utilizar tales vías si estas se encontraban disponibles al momento de los hechos, o de lo contrario tienen que demostrar su falta de accesibilidad u idoneidad. En sentido congruente, la Comisión ha considerado también que cuando el Estado cumple con su deber de cuestionar en tiempo y forma el agotamiento de los recursos internos, corresponde a la parte peticionaria replicar esta información</w:t>
      </w:r>
      <w:r w:rsidRPr="00A41296">
        <w:rPr>
          <w:rStyle w:val="FootnoteReference"/>
          <w:rFonts w:ascii="Cambria" w:hAnsi="Cambria" w:cs="Calibri"/>
          <w:sz w:val="20"/>
          <w:szCs w:val="20"/>
        </w:rPr>
        <w:footnoteReference w:id="17"/>
      </w:r>
      <w:r w:rsidR="00D578BC">
        <w:rPr>
          <w:rFonts w:ascii="Cambria" w:hAnsi="Cambria"/>
          <w:sz w:val="20"/>
          <w:szCs w:val="20"/>
          <w:lang w:val="es-ES"/>
        </w:rPr>
        <w:t>.</w:t>
      </w:r>
    </w:p>
    <w:p w14:paraId="42277824" w14:textId="77777777" w:rsidR="005749C1" w:rsidRPr="00A41296" w:rsidRDefault="005749C1" w:rsidP="005749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1296">
        <w:rPr>
          <w:rFonts w:asciiTheme="majorHAnsi" w:hAnsiTheme="majorHAnsi"/>
          <w:sz w:val="20"/>
          <w:szCs w:val="20"/>
          <w:lang w:val="es-ES"/>
        </w:rPr>
        <w:t xml:space="preserve">En ese sentido, toda vez que la parte peticionaria no presenta alegatos orientados a replicar los argumentos e información presentados por Costa Rica; ni cuestiona que, en el caso en concreto, el mecanismo especial de revisión haya carecido de algún elemento que afecte su idoneidad o eficacia, la Comisión concluye que, en aplicación de los estándares fijados por la Corte Interamericana de Derechos Humanos, el presente asunto no cumple con el requisito previsto en el artículo 46.1.a) de la Convención Americana y, en consecuencia, corresponde declarar inadmisible la presente petición. </w:t>
      </w:r>
    </w:p>
    <w:p w14:paraId="7F38CF0C" w14:textId="77777777" w:rsidR="005749C1" w:rsidRPr="00A41296" w:rsidRDefault="005749C1" w:rsidP="005749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41296">
        <w:rPr>
          <w:rFonts w:asciiTheme="majorHAnsi" w:hAnsiTheme="majorHAnsi"/>
          <w:sz w:val="20"/>
          <w:szCs w:val="20"/>
          <w:lang w:val="es-US"/>
        </w:rPr>
        <w:t xml:space="preserve">Finalmente, toda vez que no se cumplió con el requisito del previo agotamiento de los recursos internos ni se configura alguna de las excepciones previstas en el artículo 46.2 de la Convención, no procede un estudio sobre el cumplimiento del requisito de presentación de la petición. </w:t>
      </w:r>
    </w:p>
    <w:p w14:paraId="29BB41F5" w14:textId="77777777" w:rsidR="003239B8" w:rsidRPr="00A41296" w:rsidRDefault="003239B8" w:rsidP="003239B8">
      <w:pPr>
        <w:pStyle w:val="ListParagraph"/>
        <w:spacing w:before="240" w:after="240"/>
        <w:jc w:val="both"/>
        <w:rPr>
          <w:rFonts w:asciiTheme="majorHAnsi" w:hAnsiTheme="majorHAnsi"/>
          <w:b/>
          <w:bCs/>
          <w:sz w:val="20"/>
          <w:szCs w:val="20"/>
          <w:lang w:val="es-ES_tradnl"/>
        </w:rPr>
      </w:pPr>
      <w:r w:rsidRPr="00A41296">
        <w:rPr>
          <w:rFonts w:asciiTheme="majorHAnsi" w:hAnsiTheme="majorHAnsi"/>
          <w:b/>
          <w:bCs/>
          <w:sz w:val="20"/>
          <w:szCs w:val="20"/>
          <w:lang w:val="es-ES_tradnl"/>
        </w:rPr>
        <w:t xml:space="preserve">VIII. </w:t>
      </w:r>
      <w:r w:rsidRPr="00A41296">
        <w:rPr>
          <w:rFonts w:asciiTheme="majorHAnsi" w:hAnsiTheme="majorHAnsi"/>
          <w:b/>
          <w:bCs/>
          <w:sz w:val="20"/>
          <w:szCs w:val="20"/>
          <w:lang w:val="es-ES_tradnl"/>
        </w:rPr>
        <w:tab/>
        <w:t>DECISIÓN</w:t>
      </w:r>
    </w:p>
    <w:p w14:paraId="41AA5BF6" w14:textId="081BFB40" w:rsidR="000419AD" w:rsidRPr="00A41296"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41296">
        <w:rPr>
          <w:rFonts w:asciiTheme="majorHAnsi" w:hAnsiTheme="majorHAnsi"/>
          <w:sz w:val="20"/>
          <w:szCs w:val="20"/>
          <w:lang w:val="es-ES_tradnl"/>
        </w:rPr>
        <w:t xml:space="preserve">Declarar </w:t>
      </w:r>
      <w:r w:rsidR="00AF3A08" w:rsidRPr="00A41296">
        <w:rPr>
          <w:rFonts w:asciiTheme="majorHAnsi" w:hAnsiTheme="majorHAnsi"/>
          <w:sz w:val="20"/>
          <w:szCs w:val="20"/>
          <w:lang w:val="es-ES_tradnl"/>
        </w:rPr>
        <w:t>inadmisible la presente petición</w:t>
      </w:r>
      <w:r w:rsidR="00A758AA" w:rsidRPr="00A41296">
        <w:rPr>
          <w:rFonts w:asciiTheme="majorHAnsi" w:hAnsiTheme="majorHAnsi"/>
          <w:sz w:val="20"/>
          <w:szCs w:val="20"/>
          <w:lang w:val="es-ES_tradnl"/>
        </w:rPr>
        <w:t>;</w:t>
      </w:r>
      <w:r w:rsidR="007B76D3" w:rsidRPr="00A41296">
        <w:rPr>
          <w:rFonts w:asciiTheme="majorHAnsi" w:hAnsiTheme="majorHAnsi"/>
          <w:sz w:val="20"/>
          <w:szCs w:val="20"/>
          <w:lang w:val="es-ES_tradnl"/>
        </w:rPr>
        <w:t xml:space="preserve"> y</w:t>
      </w:r>
    </w:p>
    <w:p w14:paraId="6AC80CA6" w14:textId="310FBE38" w:rsidR="00722C9F" w:rsidRDefault="004A6A54" w:rsidP="00A4129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41296">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r w:rsidR="00A41296">
        <w:rPr>
          <w:rFonts w:asciiTheme="majorHAnsi" w:hAnsiTheme="majorHAnsi"/>
          <w:sz w:val="20"/>
          <w:szCs w:val="20"/>
          <w:lang w:val="es-ES_tradnl"/>
        </w:rPr>
        <w:t>.</w:t>
      </w:r>
    </w:p>
    <w:p w14:paraId="4A6B3079" w14:textId="60F2CB11" w:rsidR="0046609B" w:rsidRPr="003A3F27" w:rsidRDefault="0046609B" w:rsidP="003A3F2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12 días del mes de mayo de 2023.  (Firmado): Margarette May Macaulay, Presidenta; Roberta Clarke, Segunda Vicepresidenta; Julissa Mantilla Falcón y Carlos Bernal Pulido, </w:t>
      </w:r>
      <w:r w:rsidR="003A3F2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46609B" w:rsidRPr="003A3F2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E066" w14:textId="77777777" w:rsidR="000211CD" w:rsidRDefault="000211CD">
      <w:r>
        <w:separator/>
      </w:r>
    </w:p>
  </w:endnote>
  <w:endnote w:type="continuationSeparator" w:id="0">
    <w:p w14:paraId="33F8C579" w14:textId="77777777" w:rsidR="000211CD" w:rsidRDefault="0002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BADF" w14:textId="77777777" w:rsidR="000211CD" w:rsidRPr="000F35ED" w:rsidRDefault="000211C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10B92DD" w14:textId="77777777" w:rsidR="000211CD" w:rsidRPr="000F35ED" w:rsidRDefault="000211CD" w:rsidP="000F35ED">
      <w:pPr>
        <w:rPr>
          <w:rFonts w:asciiTheme="majorHAnsi" w:hAnsiTheme="majorHAnsi"/>
          <w:sz w:val="16"/>
          <w:szCs w:val="16"/>
        </w:rPr>
      </w:pPr>
      <w:r w:rsidRPr="000F35ED">
        <w:rPr>
          <w:rFonts w:asciiTheme="majorHAnsi" w:hAnsiTheme="majorHAnsi"/>
          <w:sz w:val="16"/>
          <w:szCs w:val="16"/>
        </w:rPr>
        <w:separator/>
      </w:r>
    </w:p>
    <w:p w14:paraId="140E1562" w14:textId="77777777" w:rsidR="000211CD" w:rsidRPr="000F35ED" w:rsidRDefault="000211C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6F625E6" w14:textId="77777777" w:rsidR="000211CD" w:rsidRPr="000F35ED" w:rsidRDefault="000211C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49C52" w14:textId="0A98B7DE" w:rsidR="00916C1D" w:rsidRPr="00A41296" w:rsidRDefault="00916C1D" w:rsidP="00916C1D">
      <w:pPr>
        <w:pStyle w:val="FootnoteText"/>
        <w:ind w:firstLine="720"/>
        <w:jc w:val="both"/>
        <w:rPr>
          <w:lang w:val="es-US"/>
        </w:rPr>
      </w:pPr>
      <w:r w:rsidRPr="00A41296">
        <w:rPr>
          <w:rStyle w:val="FootnoteReference"/>
          <w:rFonts w:asciiTheme="majorHAnsi" w:hAnsiTheme="majorHAnsi"/>
          <w:sz w:val="16"/>
          <w:szCs w:val="16"/>
        </w:rPr>
        <w:footnoteRef/>
      </w:r>
      <w:r w:rsidRPr="00A41296">
        <w:rPr>
          <w:rFonts w:asciiTheme="majorHAnsi" w:hAnsiTheme="majorHAnsi"/>
          <w:sz w:val="16"/>
          <w:szCs w:val="16"/>
          <w:lang w:val="es-US"/>
        </w:rPr>
        <w:t xml:space="preserve"> En adelante, “la Convención Americana” o “la Convención”</w:t>
      </w:r>
    </w:p>
  </w:footnote>
  <w:footnote w:id="3">
    <w:p w14:paraId="79F07139" w14:textId="77777777" w:rsidR="008E3BFE" w:rsidRPr="00A41296" w:rsidRDefault="008E3BFE" w:rsidP="000337EF">
      <w:pPr>
        <w:pStyle w:val="FootnoteText"/>
        <w:spacing w:after="120"/>
        <w:ind w:firstLine="720"/>
        <w:jc w:val="both"/>
        <w:rPr>
          <w:rFonts w:ascii="Cambria" w:hAnsi="Cambria"/>
          <w:sz w:val="16"/>
          <w:szCs w:val="16"/>
          <w:lang w:val="es-ES"/>
        </w:rPr>
      </w:pPr>
      <w:r w:rsidRPr="00A41296">
        <w:rPr>
          <w:rStyle w:val="FootnoteReference"/>
          <w:rFonts w:ascii="Cambria" w:hAnsi="Cambria"/>
          <w:sz w:val="16"/>
          <w:szCs w:val="16"/>
        </w:rPr>
        <w:footnoteRef/>
      </w:r>
      <w:r w:rsidRPr="00A41296">
        <w:rPr>
          <w:rFonts w:ascii="Cambria" w:hAnsi="Cambria"/>
          <w:sz w:val="16"/>
          <w:szCs w:val="16"/>
          <w:lang w:val="es-ES"/>
        </w:rPr>
        <w:t xml:space="preserve"> Las observaciones de cada parte fueron debidamente trasladadas a la parte contraria.</w:t>
      </w:r>
    </w:p>
  </w:footnote>
  <w:footnote w:id="4">
    <w:p w14:paraId="402BE007" w14:textId="34207CFF" w:rsidR="00530F2D" w:rsidRPr="00A41296" w:rsidRDefault="00530F2D" w:rsidP="00530F2D">
      <w:pPr>
        <w:pStyle w:val="FootnoteText"/>
        <w:ind w:firstLine="720"/>
        <w:jc w:val="both"/>
        <w:rPr>
          <w:rFonts w:asciiTheme="majorHAnsi" w:hAnsiTheme="majorHAnsi"/>
          <w:sz w:val="16"/>
          <w:szCs w:val="16"/>
          <w:lang w:val="es-PE"/>
        </w:rPr>
      </w:pPr>
      <w:r w:rsidRPr="00A41296">
        <w:rPr>
          <w:rStyle w:val="FootnoteReference"/>
          <w:rFonts w:asciiTheme="majorHAnsi" w:hAnsiTheme="majorHAnsi"/>
          <w:sz w:val="16"/>
          <w:szCs w:val="16"/>
          <w:lang w:val="es-PE"/>
        </w:rPr>
        <w:footnoteRef/>
      </w:r>
      <w:r w:rsidRPr="00A41296">
        <w:rPr>
          <w:rFonts w:asciiTheme="majorHAnsi" w:hAnsiTheme="majorHAnsi"/>
          <w:sz w:val="16"/>
          <w:szCs w:val="16"/>
          <w:lang w:val="es-PE"/>
        </w:rPr>
        <w:t xml:space="preserve"> Ley N. º 8503.- Transitorio 1.- Las personas condenadas por un hecho delictivo con fecha anterior a esta Ley, a quienes se les haya obstaculizado formular recurso de casación contra la sentencia, </w:t>
      </w:r>
      <w:r w:rsidR="005628C9" w:rsidRPr="00A41296">
        <w:rPr>
          <w:rFonts w:asciiTheme="majorHAnsi" w:hAnsiTheme="majorHAnsi"/>
          <w:sz w:val="16"/>
          <w:szCs w:val="16"/>
          <w:lang w:val="es-PE"/>
        </w:rPr>
        <w:t>debido a</w:t>
      </w:r>
      <w:r w:rsidRPr="00A41296">
        <w:rPr>
          <w:rFonts w:asciiTheme="majorHAnsi" w:hAnsiTheme="majorHAnsi"/>
          <w:sz w:val="16"/>
          <w:szCs w:val="16"/>
          <w:lang w:val="es-PE"/>
        </w:rPr>
        <w:t xml:space="preserv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6E3E40AF" w14:textId="77777777" w:rsidR="00530F2D" w:rsidRPr="00A41296" w:rsidRDefault="00530F2D" w:rsidP="00530F2D">
      <w:pPr>
        <w:ind w:firstLine="720"/>
        <w:jc w:val="both"/>
        <w:rPr>
          <w:rFonts w:asciiTheme="majorHAnsi" w:eastAsia="Calibri" w:hAnsiTheme="majorHAnsi" w:cs="Calibri"/>
          <w:color w:val="000000"/>
          <w:sz w:val="16"/>
          <w:szCs w:val="16"/>
          <w:u w:color="000000"/>
          <w:lang w:val="es-US" w:eastAsia="es-ES"/>
        </w:rPr>
      </w:pPr>
      <w:r w:rsidRPr="00A41296">
        <w:rPr>
          <w:rStyle w:val="FootnoteReference"/>
          <w:rFonts w:asciiTheme="majorHAnsi" w:hAnsiTheme="majorHAnsi"/>
          <w:sz w:val="16"/>
          <w:szCs w:val="16"/>
        </w:rPr>
        <w:footnoteRef/>
      </w:r>
      <w:r w:rsidRPr="00A41296">
        <w:rPr>
          <w:rFonts w:asciiTheme="majorHAnsi" w:hAnsiTheme="majorHAnsi"/>
          <w:sz w:val="16"/>
          <w:szCs w:val="16"/>
          <w:lang w:val="es-US"/>
        </w:rPr>
        <w:t xml:space="preserve"> Ley N.º 8837.- Transitorio III.-</w:t>
      </w:r>
      <w:r w:rsidRPr="00A41296">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8.2.h)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5B106BEF" w14:textId="77777777" w:rsidR="000F148A" w:rsidRPr="00A41296" w:rsidRDefault="000F148A" w:rsidP="000F148A">
      <w:pPr>
        <w:pStyle w:val="FootnoteText"/>
        <w:ind w:firstLine="720"/>
        <w:jc w:val="both"/>
        <w:rPr>
          <w:rFonts w:asciiTheme="majorHAnsi" w:hAnsiTheme="majorHAnsi"/>
          <w:sz w:val="16"/>
          <w:szCs w:val="16"/>
          <w:lang w:val="es-US"/>
        </w:rPr>
      </w:pPr>
      <w:r w:rsidRPr="00A41296">
        <w:rPr>
          <w:rStyle w:val="FootnoteReference"/>
          <w:rFonts w:asciiTheme="majorHAnsi" w:hAnsiTheme="majorHAnsi"/>
          <w:sz w:val="16"/>
          <w:szCs w:val="16"/>
        </w:rPr>
        <w:footnoteRef/>
      </w:r>
      <w:r w:rsidRPr="00A41296">
        <w:rPr>
          <w:rFonts w:asciiTheme="majorHAnsi" w:hAnsiTheme="majorHAnsi"/>
          <w:sz w:val="16"/>
          <w:szCs w:val="16"/>
          <w:lang w:val="es-US"/>
        </w:rPr>
        <w:t xml:space="preserve"> En adelante, la “Corte Interamericana” o la “Corte IDH”.</w:t>
      </w:r>
    </w:p>
  </w:footnote>
  <w:footnote w:id="7">
    <w:p w14:paraId="2009A996" w14:textId="77777777" w:rsidR="000F148A" w:rsidRPr="00A41296" w:rsidRDefault="000F148A" w:rsidP="000F148A">
      <w:pPr>
        <w:pStyle w:val="FootnoteText"/>
        <w:ind w:firstLine="720"/>
        <w:jc w:val="both"/>
        <w:rPr>
          <w:rFonts w:asciiTheme="majorHAnsi" w:hAnsiTheme="majorHAnsi"/>
          <w:sz w:val="16"/>
          <w:szCs w:val="16"/>
          <w:lang w:val="es-US"/>
        </w:rPr>
      </w:pPr>
      <w:r w:rsidRPr="00A41296">
        <w:rPr>
          <w:rStyle w:val="FootnoteReference"/>
          <w:rFonts w:asciiTheme="majorHAnsi" w:hAnsiTheme="majorHAnsi"/>
          <w:sz w:val="16"/>
          <w:szCs w:val="16"/>
        </w:rPr>
        <w:footnoteRef/>
      </w:r>
      <w:r w:rsidRPr="00A41296">
        <w:rPr>
          <w:rFonts w:asciiTheme="majorHAnsi" w:hAnsiTheme="majorHAnsi"/>
          <w:sz w:val="16"/>
          <w:szCs w:val="16"/>
          <w:lang w:val="pt-BR"/>
        </w:rPr>
        <w:t xml:space="preserve"> Corte IDH. Caso Herrera Ulloa Vs. </w:t>
      </w:r>
      <w:r w:rsidRPr="00A41296">
        <w:rPr>
          <w:rFonts w:asciiTheme="majorHAnsi" w:hAnsiTheme="majorHAnsi"/>
          <w:sz w:val="16"/>
          <w:szCs w:val="16"/>
          <w:lang w:val="es-US"/>
        </w:rPr>
        <w:t xml:space="preserve">Costa Rica. Excepciones Preliminares, Fondo, Reparaciones y Costas. Sentencia de 2 de julio de 2004. Serie C No. 107, párr. 167. </w:t>
      </w:r>
    </w:p>
  </w:footnote>
  <w:footnote w:id="8">
    <w:p w14:paraId="2DBB9957" w14:textId="77777777" w:rsidR="000F148A" w:rsidRPr="00A41296" w:rsidRDefault="000F148A" w:rsidP="000F148A">
      <w:pPr>
        <w:pStyle w:val="FootnoteText"/>
        <w:ind w:firstLine="720"/>
        <w:jc w:val="both"/>
        <w:rPr>
          <w:lang w:val="es-US"/>
        </w:rPr>
      </w:pPr>
      <w:r w:rsidRPr="00A41296">
        <w:rPr>
          <w:rStyle w:val="FootnoteReference"/>
          <w:rFonts w:asciiTheme="majorHAnsi" w:hAnsiTheme="majorHAnsi"/>
          <w:sz w:val="16"/>
          <w:szCs w:val="16"/>
        </w:rPr>
        <w:footnoteRef/>
      </w:r>
      <w:r w:rsidRPr="00A41296">
        <w:rPr>
          <w:rFonts w:asciiTheme="majorHAnsi" w:hAnsiTheme="majorHAnsi"/>
          <w:sz w:val="16"/>
          <w:szCs w:val="16"/>
          <w:lang w:val="es-ES"/>
        </w:rPr>
        <w:t xml:space="preserve"> Corte IDH. Caso Herrera Ulloa Vs. </w:t>
      </w:r>
      <w:r w:rsidRPr="00A41296">
        <w:rPr>
          <w:rFonts w:asciiTheme="majorHAnsi" w:hAnsiTheme="majorHAnsi"/>
          <w:sz w:val="16"/>
          <w:szCs w:val="16"/>
          <w:lang w:val="es-US"/>
        </w:rPr>
        <w:t xml:space="preserve">Costa Rica. Excepciones Preliminares, Fondo, Reparaciones y Costas. </w:t>
      </w:r>
      <w:r w:rsidRPr="00A41296">
        <w:rPr>
          <w:rFonts w:asciiTheme="majorHAnsi" w:hAnsiTheme="majorHAnsi"/>
          <w:sz w:val="16"/>
          <w:szCs w:val="16"/>
          <w:lang w:val="es-ES"/>
        </w:rPr>
        <w:t>Sentencia de 2 de julio de 2004. Serie C No. 107, párr. 198.</w:t>
      </w:r>
    </w:p>
  </w:footnote>
  <w:footnote w:id="9">
    <w:p w14:paraId="10F65AC7" w14:textId="77777777" w:rsidR="000F148A" w:rsidRPr="00A41296" w:rsidRDefault="000F148A" w:rsidP="000F148A">
      <w:pPr>
        <w:pStyle w:val="FootnoteText"/>
        <w:ind w:firstLine="720"/>
        <w:jc w:val="both"/>
        <w:rPr>
          <w:rFonts w:asciiTheme="majorHAnsi" w:hAnsiTheme="majorHAnsi"/>
          <w:sz w:val="16"/>
          <w:szCs w:val="16"/>
          <w:lang w:val="es-US"/>
        </w:rPr>
      </w:pPr>
      <w:r w:rsidRPr="00A41296">
        <w:rPr>
          <w:rStyle w:val="FootnoteReference"/>
          <w:rFonts w:asciiTheme="majorHAnsi" w:hAnsiTheme="majorHAnsi"/>
          <w:sz w:val="16"/>
          <w:szCs w:val="16"/>
        </w:rPr>
        <w:footnoteRef/>
      </w:r>
      <w:r w:rsidRPr="00A41296">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10">
    <w:p w14:paraId="5605324C" w14:textId="77777777" w:rsidR="000F148A" w:rsidRPr="00A41296" w:rsidRDefault="000F148A" w:rsidP="000F148A">
      <w:pPr>
        <w:pStyle w:val="FootnoteText"/>
        <w:ind w:firstLine="720"/>
        <w:jc w:val="both"/>
        <w:rPr>
          <w:rFonts w:asciiTheme="majorHAnsi" w:hAnsiTheme="majorHAnsi"/>
          <w:sz w:val="16"/>
          <w:szCs w:val="16"/>
          <w:lang w:val="es-US"/>
        </w:rPr>
      </w:pPr>
      <w:r w:rsidRPr="00A41296">
        <w:rPr>
          <w:rStyle w:val="FootnoteReference"/>
          <w:rFonts w:asciiTheme="majorHAnsi" w:hAnsiTheme="majorHAnsi"/>
          <w:sz w:val="16"/>
          <w:szCs w:val="16"/>
        </w:rPr>
        <w:footnoteRef/>
      </w:r>
      <w:r w:rsidRPr="00A41296">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11">
    <w:p w14:paraId="20677BAE" w14:textId="77777777" w:rsidR="000F148A" w:rsidRPr="00A41296" w:rsidRDefault="000F148A" w:rsidP="000F148A">
      <w:pPr>
        <w:pStyle w:val="FootnoteText"/>
        <w:ind w:firstLine="720"/>
        <w:jc w:val="both"/>
        <w:rPr>
          <w:lang w:val="es-US"/>
        </w:rPr>
      </w:pPr>
      <w:r w:rsidRPr="00A41296">
        <w:rPr>
          <w:rStyle w:val="FootnoteReference"/>
          <w:rFonts w:asciiTheme="majorHAnsi" w:hAnsiTheme="majorHAnsi"/>
          <w:sz w:val="16"/>
          <w:szCs w:val="16"/>
        </w:rPr>
        <w:footnoteRef/>
      </w:r>
      <w:r w:rsidRPr="00A41296">
        <w:rPr>
          <w:rFonts w:asciiTheme="majorHAnsi" w:hAnsiTheme="majorHAnsi"/>
          <w:sz w:val="16"/>
          <w:szCs w:val="16"/>
          <w:lang w:val="es-US"/>
        </w:rPr>
        <w:t xml:space="preserve"> Corte IDH. Caso Amrhein y otros Vs. Costa Rica. Excepciones Preliminares, Fondo, Reparaciones y Costas. Sentencia de 25 de abril de 2018. Serie C No. 354, párr. 265. </w:t>
      </w:r>
    </w:p>
  </w:footnote>
  <w:footnote w:id="12">
    <w:p w14:paraId="3D009588" w14:textId="77777777" w:rsidR="000F148A" w:rsidRPr="00A41296" w:rsidRDefault="000F148A" w:rsidP="000F148A">
      <w:pPr>
        <w:pStyle w:val="FootnoteText"/>
        <w:ind w:firstLine="720"/>
        <w:jc w:val="both"/>
        <w:rPr>
          <w:rFonts w:asciiTheme="majorHAnsi" w:hAnsiTheme="majorHAnsi"/>
          <w:sz w:val="16"/>
          <w:szCs w:val="16"/>
          <w:lang w:val="es-US"/>
        </w:rPr>
      </w:pPr>
      <w:r w:rsidRPr="00A41296">
        <w:rPr>
          <w:rStyle w:val="FootnoteReference"/>
          <w:rFonts w:asciiTheme="majorHAnsi" w:hAnsiTheme="majorHAnsi"/>
          <w:sz w:val="16"/>
          <w:szCs w:val="16"/>
        </w:rPr>
        <w:footnoteRef/>
      </w:r>
      <w:r w:rsidRPr="00A41296">
        <w:rPr>
          <w:rFonts w:asciiTheme="majorHAnsi" w:hAnsiTheme="majorHAnsi"/>
          <w:sz w:val="16"/>
          <w:szCs w:val="16"/>
          <w:lang w:val="es-US"/>
        </w:rPr>
        <w:t xml:space="preserve"> Corte IDH. Caso Herrera Ulloa Vs. Costa Rica. Supervisión de Cumplimiento de Sentencia. Resolución de la Corte Interamericana de Derechos Humanos de 22 de noviembre de 2010, párr. 16. </w:t>
      </w:r>
    </w:p>
  </w:footnote>
  <w:footnote w:id="13">
    <w:p w14:paraId="5A755BA5" w14:textId="77777777" w:rsidR="000F148A" w:rsidRPr="00A41296" w:rsidRDefault="000F148A" w:rsidP="000F148A">
      <w:pPr>
        <w:pStyle w:val="FootnoteText"/>
        <w:ind w:firstLine="720"/>
        <w:jc w:val="both"/>
        <w:rPr>
          <w:rFonts w:ascii="Cambria" w:hAnsi="Cambria"/>
          <w:sz w:val="16"/>
          <w:szCs w:val="16"/>
          <w:lang w:val="es-AR"/>
        </w:rPr>
      </w:pPr>
      <w:r w:rsidRPr="00A41296">
        <w:rPr>
          <w:rStyle w:val="FootnoteReference"/>
          <w:rFonts w:ascii="Cambria" w:hAnsi="Cambria"/>
          <w:sz w:val="16"/>
          <w:szCs w:val="16"/>
        </w:rPr>
        <w:footnoteRef/>
      </w:r>
      <w:r w:rsidRPr="00A41296">
        <w:rPr>
          <w:rFonts w:ascii="Cambria" w:hAnsi="Cambria"/>
          <w:sz w:val="16"/>
          <w:szCs w:val="16"/>
          <w:lang w:val="es-US"/>
        </w:rPr>
        <w:t xml:space="preserve"> </w:t>
      </w:r>
      <w:r w:rsidRPr="00A41296">
        <w:rPr>
          <w:rFonts w:ascii="Cambria" w:hAnsi="Cambria"/>
          <w:sz w:val="16"/>
          <w:szCs w:val="16"/>
          <w:lang w:val="es-ES"/>
        </w:rPr>
        <w:t xml:space="preserve">CIDH. Informe No. 33/14. Caso 12.820. Fondo. Manfred Amrhein y otros. Costa Rica. 4 de abril de 2014. Párr. 217 a 220. </w:t>
      </w:r>
    </w:p>
  </w:footnote>
  <w:footnote w:id="14">
    <w:p w14:paraId="6349AF97" w14:textId="77777777" w:rsidR="000F148A" w:rsidRPr="00A41296" w:rsidRDefault="000F148A" w:rsidP="000F148A">
      <w:pPr>
        <w:pStyle w:val="FootnoteText"/>
        <w:ind w:firstLine="720"/>
        <w:jc w:val="both"/>
        <w:rPr>
          <w:sz w:val="16"/>
          <w:szCs w:val="16"/>
          <w:lang w:val="es-US"/>
        </w:rPr>
      </w:pPr>
      <w:r w:rsidRPr="00A41296">
        <w:rPr>
          <w:rStyle w:val="FootnoteReference"/>
          <w:rFonts w:ascii="Cambria" w:hAnsi="Cambria"/>
          <w:sz w:val="16"/>
          <w:szCs w:val="16"/>
        </w:rPr>
        <w:footnoteRef/>
      </w:r>
      <w:r w:rsidRPr="00A41296">
        <w:rPr>
          <w:rFonts w:ascii="Cambria" w:hAnsi="Cambria"/>
          <w:sz w:val="16"/>
          <w:szCs w:val="16"/>
          <w:lang w:val="es-AR"/>
        </w:rPr>
        <w:t xml:space="preserve"> </w:t>
      </w:r>
      <w:r w:rsidRPr="00A41296">
        <w:rPr>
          <w:rFonts w:ascii="Cambria" w:hAnsi="Cambria"/>
          <w:bCs/>
          <w:sz w:val="16"/>
          <w:szCs w:val="16"/>
          <w:shd w:val="clear" w:color="auto" w:fill="FFFFFF"/>
          <w:lang w:val="es-ES"/>
        </w:rPr>
        <w:t xml:space="preserve">Corte IDH. </w:t>
      </w:r>
      <w:r w:rsidRPr="00A41296">
        <w:rPr>
          <w:rFonts w:ascii="Cambria" w:hAnsi="Cambria"/>
          <w:bCs/>
          <w:i/>
          <w:sz w:val="16"/>
          <w:szCs w:val="16"/>
          <w:shd w:val="clear" w:color="auto" w:fill="FFFFFF"/>
          <w:lang w:val="es-ES"/>
        </w:rPr>
        <w:t>Caso Amrhein y otros Vs. Costa Rica</w:t>
      </w:r>
      <w:r w:rsidRPr="00A41296">
        <w:rPr>
          <w:rFonts w:ascii="Cambria" w:hAnsi="Cambria"/>
          <w:bCs/>
          <w:sz w:val="16"/>
          <w:szCs w:val="16"/>
          <w:shd w:val="clear" w:color="auto" w:fill="FFFFFF"/>
          <w:lang w:val="es-ES"/>
        </w:rPr>
        <w:t xml:space="preserve">. Excepciones Preliminares, Fondo, Reparaciones y Costas. </w:t>
      </w:r>
      <w:r w:rsidRPr="00A41296">
        <w:rPr>
          <w:rFonts w:ascii="Cambria" w:hAnsi="Cambria"/>
          <w:bCs/>
          <w:sz w:val="16"/>
          <w:szCs w:val="16"/>
          <w:shd w:val="clear" w:color="auto" w:fill="FFFFFF"/>
          <w:lang w:val="es-US"/>
        </w:rPr>
        <w:t>Sentencia de 25 de abril de 2018. Serie C No. 354. Párr. 260.</w:t>
      </w:r>
    </w:p>
  </w:footnote>
  <w:footnote w:id="15">
    <w:p w14:paraId="1CE22E37" w14:textId="77777777" w:rsidR="000F148A" w:rsidRPr="00A41296" w:rsidRDefault="000F148A" w:rsidP="000F148A">
      <w:pPr>
        <w:pStyle w:val="FootnoteText"/>
        <w:ind w:firstLine="720"/>
        <w:jc w:val="both"/>
        <w:rPr>
          <w:rFonts w:ascii="Cambria" w:hAnsi="Cambria"/>
          <w:sz w:val="16"/>
          <w:szCs w:val="16"/>
          <w:lang w:val="es-US"/>
        </w:rPr>
      </w:pPr>
      <w:r w:rsidRPr="00A41296">
        <w:rPr>
          <w:rStyle w:val="FootnoteReference"/>
          <w:rFonts w:ascii="Cambria" w:hAnsi="Cambria"/>
          <w:sz w:val="16"/>
          <w:szCs w:val="16"/>
          <w:lang w:val="es-ES"/>
        </w:rPr>
        <w:footnoteRef/>
      </w:r>
      <w:r w:rsidRPr="00A41296">
        <w:rPr>
          <w:rFonts w:ascii="Cambria" w:hAnsi="Cambria"/>
          <w:sz w:val="16"/>
          <w:szCs w:val="16"/>
          <w:lang w:val="es-ES"/>
        </w:rPr>
        <w:t xml:space="preserve"> </w:t>
      </w:r>
      <w:r w:rsidRPr="00A41296">
        <w:rPr>
          <w:rFonts w:ascii="Cambria" w:hAnsi="Cambria"/>
          <w:bCs/>
          <w:sz w:val="16"/>
          <w:szCs w:val="16"/>
          <w:shd w:val="clear" w:color="auto" w:fill="FFFFFF"/>
          <w:lang w:val="es-ES"/>
        </w:rPr>
        <w:t xml:space="preserve">Corte IDH. </w:t>
      </w:r>
      <w:r w:rsidRPr="00A41296">
        <w:rPr>
          <w:rFonts w:ascii="Cambria" w:hAnsi="Cambria"/>
          <w:bCs/>
          <w:i/>
          <w:sz w:val="16"/>
          <w:szCs w:val="16"/>
          <w:shd w:val="clear" w:color="auto" w:fill="FFFFFF"/>
          <w:lang w:val="es-ES"/>
        </w:rPr>
        <w:t>Caso Amrhein y otros Vs. Costa Rica</w:t>
      </w:r>
      <w:r w:rsidRPr="00A41296">
        <w:rPr>
          <w:rFonts w:ascii="Cambria" w:hAnsi="Cambria"/>
          <w:bCs/>
          <w:sz w:val="16"/>
          <w:szCs w:val="16"/>
          <w:shd w:val="clear" w:color="auto" w:fill="FFFFFF"/>
          <w:lang w:val="es-ES"/>
        </w:rPr>
        <w:t xml:space="preserve">. Excepciones Preliminares, Fondo, Reparaciones y Costas. Sentencia de 25 de abril de 2018. Serie C No. 354. Párr. 266. </w:t>
      </w:r>
    </w:p>
  </w:footnote>
  <w:footnote w:id="16">
    <w:p w14:paraId="416BF49F" w14:textId="77777777" w:rsidR="005749C1" w:rsidRPr="00A41296" w:rsidRDefault="005749C1" w:rsidP="005749C1">
      <w:pPr>
        <w:pStyle w:val="FootnoteText"/>
        <w:ind w:firstLine="720"/>
        <w:rPr>
          <w:rFonts w:asciiTheme="majorHAnsi" w:hAnsiTheme="majorHAnsi"/>
          <w:sz w:val="16"/>
          <w:szCs w:val="16"/>
          <w:lang w:val="es-US"/>
        </w:rPr>
      </w:pPr>
      <w:r w:rsidRPr="00A41296">
        <w:rPr>
          <w:rStyle w:val="FootnoteReference"/>
          <w:rFonts w:asciiTheme="majorHAnsi" w:hAnsiTheme="majorHAnsi"/>
          <w:sz w:val="16"/>
          <w:szCs w:val="16"/>
        </w:rPr>
        <w:footnoteRef/>
      </w:r>
      <w:r w:rsidRPr="00A41296">
        <w:rPr>
          <w:rFonts w:asciiTheme="majorHAnsi" w:hAnsiTheme="majorHAnsi"/>
          <w:sz w:val="16"/>
          <w:szCs w:val="16"/>
          <w:lang w:val="es-US"/>
        </w:rPr>
        <w:t xml:space="preserve"> Corte IDH. Caso Velásquez Rodríguez Vs. Honduras. Excepciones Preliminares. Sentencia de 26 de junio de 1987. Serie C No. 1, párr. 88; y Caso Cuya Lavy y otros Vs. Perú. Excepciones preliminares, Fondo, Reparaciones y Costas. Sentencia de 28 de septiembre de 2021. Serie C No. 438, párr. 27. </w:t>
      </w:r>
    </w:p>
  </w:footnote>
  <w:footnote w:id="17">
    <w:p w14:paraId="65945BF0" w14:textId="77777777" w:rsidR="005749C1" w:rsidRPr="00787E0A" w:rsidRDefault="005749C1" w:rsidP="005749C1">
      <w:pPr>
        <w:pStyle w:val="FootnoteText"/>
        <w:jc w:val="both"/>
        <w:rPr>
          <w:rFonts w:ascii="Cambria" w:hAnsi="Cambria"/>
          <w:sz w:val="16"/>
          <w:szCs w:val="16"/>
          <w:lang w:val="es-US"/>
        </w:rPr>
      </w:pPr>
      <w:r w:rsidRPr="00A41296">
        <w:rPr>
          <w:rFonts w:ascii="Cambria" w:hAnsi="Cambria"/>
          <w:sz w:val="16"/>
          <w:szCs w:val="16"/>
          <w:lang w:val="es-ES"/>
        </w:rPr>
        <w:tab/>
      </w:r>
      <w:r w:rsidRPr="00A41296">
        <w:rPr>
          <w:rStyle w:val="FootnoteReference"/>
          <w:rFonts w:ascii="Cambria" w:hAnsi="Cambria"/>
          <w:sz w:val="16"/>
          <w:szCs w:val="16"/>
        </w:rPr>
        <w:footnoteRef/>
      </w:r>
      <w:r w:rsidRPr="00A41296">
        <w:rPr>
          <w:rFonts w:ascii="Cambria" w:hAnsi="Cambria"/>
          <w:sz w:val="16"/>
          <w:szCs w:val="16"/>
          <w:lang w:val="es-ES"/>
        </w:rPr>
        <w:t xml:space="preserve"> CIDH, Informe No. 168/17, Petición 1502-07. Admisibilidad.  Miguel Ángel Morales Morales. Perú. 1 de diciembre de 2017, párr.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7168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0"/>
  </w:num>
  <w:num w:numId="8" w16cid:durableId="1933658824">
    <w:abstractNumId w:val="23"/>
  </w:num>
  <w:num w:numId="9" w16cid:durableId="102309653">
    <w:abstractNumId w:val="51"/>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58"/>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5"/>
  </w:num>
  <w:num w:numId="53" w16cid:durableId="993338501">
    <w:abstractNumId w:val="0"/>
  </w:num>
  <w:num w:numId="54" w16cid:durableId="783113306">
    <w:abstractNumId w:val="40"/>
  </w:num>
  <w:num w:numId="55" w16cid:durableId="1627199839">
    <w:abstractNumId w:val="41"/>
  </w:num>
  <w:num w:numId="56" w16cid:durableId="906108081">
    <w:abstractNumId w:val="47"/>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2"/>
  </w:num>
  <w:num w:numId="83" w16cid:durableId="1364018377">
    <w:abstractNumId w:val="43"/>
  </w:num>
  <w:num w:numId="84" w16cid:durableId="80612354">
    <w:abstractNumId w:val="49"/>
  </w:num>
  <w:num w:numId="85" w16cid:durableId="1691254366">
    <w:abstractNumId w:val="52"/>
  </w:num>
  <w:num w:numId="86" w16cid:durableId="580339032">
    <w:abstractNumId w:val="55"/>
  </w:num>
  <w:num w:numId="87" w16cid:durableId="379717792">
    <w:abstractNumId w:val="57"/>
  </w:num>
  <w:num w:numId="88" w16cid:durableId="1044066421">
    <w:abstractNumId w:val="59"/>
  </w:num>
  <w:num w:numId="89" w16cid:durableId="2091930067">
    <w:abstractNumId w:val="61"/>
  </w:num>
  <w:num w:numId="90" w16cid:durableId="532546517">
    <w:abstractNumId w:val="62"/>
  </w:num>
  <w:num w:numId="91" w16cid:durableId="414666162">
    <w:abstractNumId w:val="63"/>
  </w:num>
  <w:num w:numId="92" w16cid:durableId="1269311212">
    <w:abstractNumId w:val="64"/>
  </w:num>
  <w:num w:numId="93" w16cid:durableId="1631939513">
    <w:abstractNumId w:val="66"/>
  </w:num>
  <w:num w:numId="94" w16cid:durableId="1834564849">
    <w:abstractNumId w:val="22"/>
  </w:num>
  <w:num w:numId="95" w16cid:durableId="205724164">
    <w:abstractNumId w:val="44"/>
  </w:num>
  <w:num w:numId="96" w16cid:durableId="949429864">
    <w:abstractNumId w:val="56"/>
  </w:num>
  <w:num w:numId="97" w16cid:durableId="288970792">
    <w:abstractNumId w:val="53"/>
  </w:num>
  <w:num w:numId="98" w16cid:durableId="952714129">
    <w:abstractNumId w:val="48"/>
  </w:num>
  <w:num w:numId="99" w16cid:durableId="1523976620">
    <w:abstractNumId w:val="39"/>
  </w:num>
  <w:num w:numId="100" w16cid:durableId="156654599">
    <w:abstractNumId w:val="3"/>
  </w:num>
  <w:num w:numId="101" w16cid:durableId="1936327866">
    <w:abstractNumId w:val="27"/>
  </w:num>
  <w:num w:numId="102" w16cid:durableId="1754089481">
    <w:abstractNumId w:val="50"/>
  </w:num>
  <w:num w:numId="103" w16cid:durableId="219633537">
    <w:abstractNumId w:val="6"/>
  </w:num>
  <w:num w:numId="104" w16cid:durableId="195585926">
    <w:abstractNumId w:val="65"/>
  </w:num>
  <w:num w:numId="105" w16cid:durableId="525605381">
    <w:abstractNumId w:val="54"/>
  </w:num>
  <w:num w:numId="106" w16cid:durableId="202910152">
    <w:abstractNumId w:val="4"/>
  </w:num>
  <w:num w:numId="107" w16cid:durableId="1026829289">
    <w:abstractNumId w:val="31"/>
  </w:num>
  <w:num w:numId="108" w16cid:durableId="681589062">
    <w:abstractNumId w:val="14"/>
  </w:num>
  <w:num w:numId="109" w16cid:durableId="54683942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09F7"/>
    <w:rsid w:val="0001487E"/>
    <w:rsid w:val="0001788C"/>
    <w:rsid w:val="000211CD"/>
    <w:rsid w:val="000216DE"/>
    <w:rsid w:val="00032BCF"/>
    <w:rsid w:val="000337EF"/>
    <w:rsid w:val="00040C3A"/>
    <w:rsid w:val="000419AD"/>
    <w:rsid w:val="0004211B"/>
    <w:rsid w:val="00042C75"/>
    <w:rsid w:val="000433C9"/>
    <w:rsid w:val="0004412D"/>
    <w:rsid w:val="0005413E"/>
    <w:rsid w:val="0006546B"/>
    <w:rsid w:val="00067F26"/>
    <w:rsid w:val="000716C5"/>
    <w:rsid w:val="00075E23"/>
    <w:rsid w:val="000834F8"/>
    <w:rsid w:val="0008503A"/>
    <w:rsid w:val="0009344A"/>
    <w:rsid w:val="00094380"/>
    <w:rsid w:val="000A1234"/>
    <w:rsid w:val="000A392E"/>
    <w:rsid w:val="000A575F"/>
    <w:rsid w:val="000A6654"/>
    <w:rsid w:val="000D05CB"/>
    <w:rsid w:val="000D10DB"/>
    <w:rsid w:val="000E4587"/>
    <w:rsid w:val="000E5EB5"/>
    <w:rsid w:val="000F148A"/>
    <w:rsid w:val="000F35ED"/>
    <w:rsid w:val="0010329F"/>
    <w:rsid w:val="00107131"/>
    <w:rsid w:val="0010736F"/>
    <w:rsid w:val="00113F73"/>
    <w:rsid w:val="00121CC2"/>
    <w:rsid w:val="001237F3"/>
    <w:rsid w:val="00131425"/>
    <w:rsid w:val="00133EE5"/>
    <w:rsid w:val="00157118"/>
    <w:rsid w:val="00167A34"/>
    <w:rsid w:val="00171ED8"/>
    <w:rsid w:val="00194F5B"/>
    <w:rsid w:val="001A6A9B"/>
    <w:rsid w:val="001A7870"/>
    <w:rsid w:val="001B3A00"/>
    <w:rsid w:val="001B5726"/>
    <w:rsid w:val="001C1B41"/>
    <w:rsid w:val="001D65EF"/>
    <w:rsid w:val="001E49E7"/>
    <w:rsid w:val="001E75A3"/>
    <w:rsid w:val="001F7201"/>
    <w:rsid w:val="0020395A"/>
    <w:rsid w:val="0021417E"/>
    <w:rsid w:val="00223A29"/>
    <w:rsid w:val="002250A3"/>
    <w:rsid w:val="002279C0"/>
    <w:rsid w:val="00235217"/>
    <w:rsid w:val="00246D1F"/>
    <w:rsid w:val="00247403"/>
    <w:rsid w:val="00247542"/>
    <w:rsid w:val="00266B61"/>
    <w:rsid w:val="0026712A"/>
    <w:rsid w:val="002704DB"/>
    <w:rsid w:val="00287337"/>
    <w:rsid w:val="002A0545"/>
    <w:rsid w:val="002A0AAE"/>
    <w:rsid w:val="002A5820"/>
    <w:rsid w:val="002A6C0A"/>
    <w:rsid w:val="002B4477"/>
    <w:rsid w:val="002C09D8"/>
    <w:rsid w:val="002C3918"/>
    <w:rsid w:val="002D2B26"/>
    <w:rsid w:val="002D7EA2"/>
    <w:rsid w:val="002E187C"/>
    <w:rsid w:val="002E516A"/>
    <w:rsid w:val="00302733"/>
    <w:rsid w:val="00303900"/>
    <w:rsid w:val="003071F7"/>
    <w:rsid w:val="00314078"/>
    <w:rsid w:val="0031535D"/>
    <w:rsid w:val="003214C5"/>
    <w:rsid w:val="00321FF2"/>
    <w:rsid w:val="003239B8"/>
    <w:rsid w:val="00330D36"/>
    <w:rsid w:val="0033169F"/>
    <w:rsid w:val="003367B7"/>
    <w:rsid w:val="00344977"/>
    <w:rsid w:val="00346C95"/>
    <w:rsid w:val="003544F0"/>
    <w:rsid w:val="00356185"/>
    <w:rsid w:val="00360380"/>
    <w:rsid w:val="0037519E"/>
    <w:rsid w:val="00386CF0"/>
    <w:rsid w:val="0039144C"/>
    <w:rsid w:val="00397F3F"/>
    <w:rsid w:val="003A0E9C"/>
    <w:rsid w:val="003A3F27"/>
    <w:rsid w:val="003B5CA1"/>
    <w:rsid w:val="003B70FB"/>
    <w:rsid w:val="003C676B"/>
    <w:rsid w:val="003D3BC2"/>
    <w:rsid w:val="003D7D36"/>
    <w:rsid w:val="003E00CD"/>
    <w:rsid w:val="003E3BC0"/>
    <w:rsid w:val="003E5CDC"/>
    <w:rsid w:val="003E6CA1"/>
    <w:rsid w:val="00401D83"/>
    <w:rsid w:val="00401DBA"/>
    <w:rsid w:val="00402BE9"/>
    <w:rsid w:val="004051B1"/>
    <w:rsid w:val="00405F9C"/>
    <w:rsid w:val="004065A8"/>
    <w:rsid w:val="00406D7B"/>
    <w:rsid w:val="0041526F"/>
    <w:rsid w:val="004165C2"/>
    <w:rsid w:val="00434766"/>
    <w:rsid w:val="00441ECB"/>
    <w:rsid w:val="00445193"/>
    <w:rsid w:val="00445C2D"/>
    <w:rsid w:val="00453D87"/>
    <w:rsid w:val="00455273"/>
    <w:rsid w:val="00462C1B"/>
    <w:rsid w:val="0046609B"/>
    <w:rsid w:val="00467B7E"/>
    <w:rsid w:val="0047168A"/>
    <w:rsid w:val="00473BB4"/>
    <w:rsid w:val="00477592"/>
    <w:rsid w:val="00486F1C"/>
    <w:rsid w:val="0049419D"/>
    <w:rsid w:val="004A10FA"/>
    <w:rsid w:val="004A12C7"/>
    <w:rsid w:val="004A47CF"/>
    <w:rsid w:val="004A6A54"/>
    <w:rsid w:val="004C20D2"/>
    <w:rsid w:val="004C2312"/>
    <w:rsid w:val="004C4B62"/>
    <w:rsid w:val="004C54C9"/>
    <w:rsid w:val="004D0AE0"/>
    <w:rsid w:val="004D4ABA"/>
    <w:rsid w:val="004D6025"/>
    <w:rsid w:val="004E2649"/>
    <w:rsid w:val="004E46F7"/>
    <w:rsid w:val="004F148A"/>
    <w:rsid w:val="004F626F"/>
    <w:rsid w:val="00501399"/>
    <w:rsid w:val="0050633D"/>
    <w:rsid w:val="00506A00"/>
    <w:rsid w:val="00507BC4"/>
    <w:rsid w:val="005128E4"/>
    <w:rsid w:val="00512BFD"/>
    <w:rsid w:val="005133DB"/>
    <w:rsid w:val="00514504"/>
    <w:rsid w:val="00520DDD"/>
    <w:rsid w:val="00521139"/>
    <w:rsid w:val="0052192E"/>
    <w:rsid w:val="00525560"/>
    <w:rsid w:val="00525F6F"/>
    <w:rsid w:val="00530F2D"/>
    <w:rsid w:val="005357F9"/>
    <w:rsid w:val="00544C49"/>
    <w:rsid w:val="005516A1"/>
    <w:rsid w:val="005559EF"/>
    <w:rsid w:val="00560A39"/>
    <w:rsid w:val="005628C9"/>
    <w:rsid w:val="00563557"/>
    <w:rsid w:val="0057402A"/>
    <w:rsid w:val="005749C1"/>
    <w:rsid w:val="005771D0"/>
    <w:rsid w:val="0059191A"/>
    <w:rsid w:val="005921FF"/>
    <w:rsid w:val="00595BD6"/>
    <w:rsid w:val="00597310"/>
    <w:rsid w:val="005A1DD8"/>
    <w:rsid w:val="005A24ED"/>
    <w:rsid w:val="005A6D0E"/>
    <w:rsid w:val="005B2477"/>
    <w:rsid w:val="005B2CCC"/>
    <w:rsid w:val="005B3C97"/>
    <w:rsid w:val="005B52B0"/>
    <w:rsid w:val="005B6806"/>
    <w:rsid w:val="005C4225"/>
    <w:rsid w:val="005C53BA"/>
    <w:rsid w:val="005D38F9"/>
    <w:rsid w:val="005F0DAD"/>
    <w:rsid w:val="005F0F33"/>
    <w:rsid w:val="005F2083"/>
    <w:rsid w:val="005F6585"/>
    <w:rsid w:val="00600DEB"/>
    <w:rsid w:val="00626A43"/>
    <w:rsid w:val="00627C9F"/>
    <w:rsid w:val="006311E9"/>
    <w:rsid w:val="00632354"/>
    <w:rsid w:val="0063463C"/>
    <w:rsid w:val="00635421"/>
    <w:rsid w:val="00642810"/>
    <w:rsid w:val="0064436B"/>
    <w:rsid w:val="006457F9"/>
    <w:rsid w:val="00652333"/>
    <w:rsid w:val="00655F02"/>
    <w:rsid w:val="0068009E"/>
    <w:rsid w:val="00684BFC"/>
    <w:rsid w:val="00692219"/>
    <w:rsid w:val="00697F45"/>
    <w:rsid w:val="006A17D2"/>
    <w:rsid w:val="006A3F10"/>
    <w:rsid w:val="006A67F1"/>
    <w:rsid w:val="006A73E6"/>
    <w:rsid w:val="006B2D5C"/>
    <w:rsid w:val="006C4EB1"/>
    <w:rsid w:val="006D0F37"/>
    <w:rsid w:val="006D5973"/>
    <w:rsid w:val="006E0166"/>
    <w:rsid w:val="006E2FFB"/>
    <w:rsid w:val="006E7B34"/>
    <w:rsid w:val="00700D57"/>
    <w:rsid w:val="0070297F"/>
    <w:rsid w:val="0070697F"/>
    <w:rsid w:val="0072199C"/>
    <w:rsid w:val="00722C9F"/>
    <w:rsid w:val="00723FBA"/>
    <w:rsid w:val="007253B8"/>
    <w:rsid w:val="0073741F"/>
    <w:rsid w:val="00744F21"/>
    <w:rsid w:val="00744FFD"/>
    <w:rsid w:val="0076643F"/>
    <w:rsid w:val="00777F63"/>
    <w:rsid w:val="0078111B"/>
    <w:rsid w:val="007A20DA"/>
    <w:rsid w:val="007A5817"/>
    <w:rsid w:val="007B05C4"/>
    <w:rsid w:val="007B2666"/>
    <w:rsid w:val="007B60E9"/>
    <w:rsid w:val="007B6338"/>
    <w:rsid w:val="007B6CC3"/>
    <w:rsid w:val="007B76D3"/>
    <w:rsid w:val="007B7742"/>
    <w:rsid w:val="007C3334"/>
    <w:rsid w:val="007C6E91"/>
    <w:rsid w:val="007C7562"/>
    <w:rsid w:val="007D2B98"/>
    <w:rsid w:val="007D4675"/>
    <w:rsid w:val="007E21BC"/>
    <w:rsid w:val="007E7642"/>
    <w:rsid w:val="007E7C82"/>
    <w:rsid w:val="007F2697"/>
    <w:rsid w:val="007F2AA1"/>
    <w:rsid w:val="007F4A95"/>
    <w:rsid w:val="007F588D"/>
    <w:rsid w:val="00803F1C"/>
    <w:rsid w:val="0080493E"/>
    <w:rsid w:val="00804C15"/>
    <w:rsid w:val="0080600E"/>
    <w:rsid w:val="00814688"/>
    <w:rsid w:val="00815A9A"/>
    <w:rsid w:val="00817612"/>
    <w:rsid w:val="00821E3E"/>
    <w:rsid w:val="00823D85"/>
    <w:rsid w:val="008338A4"/>
    <w:rsid w:val="0083496B"/>
    <w:rsid w:val="00834D49"/>
    <w:rsid w:val="00837C45"/>
    <w:rsid w:val="00840541"/>
    <w:rsid w:val="0084129A"/>
    <w:rsid w:val="00844730"/>
    <w:rsid w:val="008457C2"/>
    <w:rsid w:val="00854B3F"/>
    <w:rsid w:val="00855ADB"/>
    <w:rsid w:val="00857A82"/>
    <w:rsid w:val="00873836"/>
    <w:rsid w:val="008742FD"/>
    <w:rsid w:val="008824C5"/>
    <w:rsid w:val="0088252A"/>
    <w:rsid w:val="00884A44"/>
    <w:rsid w:val="00885737"/>
    <w:rsid w:val="00890650"/>
    <w:rsid w:val="00897C3D"/>
    <w:rsid w:val="00897E12"/>
    <w:rsid w:val="008A13CC"/>
    <w:rsid w:val="008A7B00"/>
    <w:rsid w:val="008A7E0F"/>
    <w:rsid w:val="008B12F5"/>
    <w:rsid w:val="008C5E2D"/>
    <w:rsid w:val="008D768D"/>
    <w:rsid w:val="008E3759"/>
    <w:rsid w:val="008E3BFE"/>
    <w:rsid w:val="008F1912"/>
    <w:rsid w:val="008F76CD"/>
    <w:rsid w:val="0090270B"/>
    <w:rsid w:val="009041DC"/>
    <w:rsid w:val="00912A07"/>
    <w:rsid w:val="00916C1D"/>
    <w:rsid w:val="00917B5A"/>
    <w:rsid w:val="00920A58"/>
    <w:rsid w:val="00920A8C"/>
    <w:rsid w:val="00931229"/>
    <w:rsid w:val="00934A2C"/>
    <w:rsid w:val="00937DB7"/>
    <w:rsid w:val="009428A0"/>
    <w:rsid w:val="00962F81"/>
    <w:rsid w:val="0096706E"/>
    <w:rsid w:val="009701DD"/>
    <w:rsid w:val="00974491"/>
    <w:rsid w:val="00975C4E"/>
    <w:rsid w:val="00980A30"/>
    <w:rsid w:val="00981FBA"/>
    <w:rsid w:val="00997BC5"/>
    <w:rsid w:val="009A12B2"/>
    <w:rsid w:val="009A4F41"/>
    <w:rsid w:val="009A51CC"/>
    <w:rsid w:val="009B381B"/>
    <w:rsid w:val="009D1753"/>
    <w:rsid w:val="009D2008"/>
    <w:rsid w:val="009D4B48"/>
    <w:rsid w:val="009D7611"/>
    <w:rsid w:val="009E0B61"/>
    <w:rsid w:val="009E0F16"/>
    <w:rsid w:val="009E53DE"/>
    <w:rsid w:val="009F3B79"/>
    <w:rsid w:val="00A10521"/>
    <w:rsid w:val="00A11212"/>
    <w:rsid w:val="00A11E44"/>
    <w:rsid w:val="00A16F37"/>
    <w:rsid w:val="00A207CA"/>
    <w:rsid w:val="00A30100"/>
    <w:rsid w:val="00A328B3"/>
    <w:rsid w:val="00A41296"/>
    <w:rsid w:val="00A470FE"/>
    <w:rsid w:val="00A50FCF"/>
    <w:rsid w:val="00A528D1"/>
    <w:rsid w:val="00A570C2"/>
    <w:rsid w:val="00A610CD"/>
    <w:rsid w:val="00A62848"/>
    <w:rsid w:val="00A66B00"/>
    <w:rsid w:val="00A758AA"/>
    <w:rsid w:val="00A80765"/>
    <w:rsid w:val="00A8435E"/>
    <w:rsid w:val="00A867E7"/>
    <w:rsid w:val="00A87BBA"/>
    <w:rsid w:val="00A921E3"/>
    <w:rsid w:val="00AA09A2"/>
    <w:rsid w:val="00AA7996"/>
    <w:rsid w:val="00AB517A"/>
    <w:rsid w:val="00AB7136"/>
    <w:rsid w:val="00AB748A"/>
    <w:rsid w:val="00AC19CB"/>
    <w:rsid w:val="00AC21C0"/>
    <w:rsid w:val="00AC7891"/>
    <w:rsid w:val="00AD075F"/>
    <w:rsid w:val="00AE5488"/>
    <w:rsid w:val="00AE5B23"/>
    <w:rsid w:val="00AE6F91"/>
    <w:rsid w:val="00AE7AB7"/>
    <w:rsid w:val="00AF3A08"/>
    <w:rsid w:val="00AF5571"/>
    <w:rsid w:val="00B00DCA"/>
    <w:rsid w:val="00B07341"/>
    <w:rsid w:val="00B11F71"/>
    <w:rsid w:val="00B17BFE"/>
    <w:rsid w:val="00B22390"/>
    <w:rsid w:val="00B30539"/>
    <w:rsid w:val="00B314DB"/>
    <w:rsid w:val="00B361F2"/>
    <w:rsid w:val="00B36C6D"/>
    <w:rsid w:val="00B3718B"/>
    <w:rsid w:val="00B3745F"/>
    <w:rsid w:val="00B41568"/>
    <w:rsid w:val="00B4632A"/>
    <w:rsid w:val="00B475B2"/>
    <w:rsid w:val="00B530F1"/>
    <w:rsid w:val="00B54039"/>
    <w:rsid w:val="00B82E09"/>
    <w:rsid w:val="00BA276C"/>
    <w:rsid w:val="00BA7E61"/>
    <w:rsid w:val="00BB306F"/>
    <w:rsid w:val="00BD4B89"/>
    <w:rsid w:val="00BD5922"/>
    <w:rsid w:val="00BE7866"/>
    <w:rsid w:val="00BF02CB"/>
    <w:rsid w:val="00BF41CE"/>
    <w:rsid w:val="00BF6FD8"/>
    <w:rsid w:val="00C03680"/>
    <w:rsid w:val="00C054DF"/>
    <w:rsid w:val="00C174BA"/>
    <w:rsid w:val="00C21762"/>
    <w:rsid w:val="00C21FEF"/>
    <w:rsid w:val="00C230AB"/>
    <w:rsid w:val="00C23BA4"/>
    <w:rsid w:val="00C24543"/>
    <w:rsid w:val="00C256A2"/>
    <w:rsid w:val="00C25ADB"/>
    <w:rsid w:val="00C302C7"/>
    <w:rsid w:val="00C35E5A"/>
    <w:rsid w:val="00C51515"/>
    <w:rsid w:val="00C5660B"/>
    <w:rsid w:val="00C66B72"/>
    <w:rsid w:val="00C74A3B"/>
    <w:rsid w:val="00C84792"/>
    <w:rsid w:val="00C852B1"/>
    <w:rsid w:val="00C86F13"/>
    <w:rsid w:val="00C87AC4"/>
    <w:rsid w:val="00C9567A"/>
    <w:rsid w:val="00CB0AAA"/>
    <w:rsid w:val="00CB212D"/>
    <w:rsid w:val="00CB2660"/>
    <w:rsid w:val="00CC12FB"/>
    <w:rsid w:val="00CC4AC6"/>
    <w:rsid w:val="00CC5E90"/>
    <w:rsid w:val="00CD046C"/>
    <w:rsid w:val="00CD0EC6"/>
    <w:rsid w:val="00CE076C"/>
    <w:rsid w:val="00CE5199"/>
    <w:rsid w:val="00CE66D5"/>
    <w:rsid w:val="00CF637A"/>
    <w:rsid w:val="00D0053A"/>
    <w:rsid w:val="00D029F8"/>
    <w:rsid w:val="00D059DE"/>
    <w:rsid w:val="00D05ABD"/>
    <w:rsid w:val="00D12FFB"/>
    <w:rsid w:val="00D13BC5"/>
    <w:rsid w:val="00D13FCE"/>
    <w:rsid w:val="00D143FC"/>
    <w:rsid w:val="00D306D1"/>
    <w:rsid w:val="00D30800"/>
    <w:rsid w:val="00D34786"/>
    <w:rsid w:val="00D37BFC"/>
    <w:rsid w:val="00D47A8E"/>
    <w:rsid w:val="00D52D14"/>
    <w:rsid w:val="00D578BC"/>
    <w:rsid w:val="00D712D3"/>
    <w:rsid w:val="00D71422"/>
    <w:rsid w:val="00D72DC6"/>
    <w:rsid w:val="00D7558D"/>
    <w:rsid w:val="00D81D92"/>
    <w:rsid w:val="00D876F9"/>
    <w:rsid w:val="00DA3648"/>
    <w:rsid w:val="00DA7B5F"/>
    <w:rsid w:val="00DB2EE7"/>
    <w:rsid w:val="00DB5600"/>
    <w:rsid w:val="00DC11E7"/>
    <w:rsid w:val="00DC24E3"/>
    <w:rsid w:val="00DC7023"/>
    <w:rsid w:val="00DC769A"/>
    <w:rsid w:val="00DD3D86"/>
    <w:rsid w:val="00DD4AD2"/>
    <w:rsid w:val="00DD7A16"/>
    <w:rsid w:val="00DF1EC4"/>
    <w:rsid w:val="00E02A9D"/>
    <w:rsid w:val="00E0340B"/>
    <w:rsid w:val="00E04A90"/>
    <w:rsid w:val="00E0551F"/>
    <w:rsid w:val="00E13171"/>
    <w:rsid w:val="00E219C7"/>
    <w:rsid w:val="00E4118C"/>
    <w:rsid w:val="00E42A42"/>
    <w:rsid w:val="00E43157"/>
    <w:rsid w:val="00E461CE"/>
    <w:rsid w:val="00E573E4"/>
    <w:rsid w:val="00E6298B"/>
    <w:rsid w:val="00E62BC9"/>
    <w:rsid w:val="00E64C3D"/>
    <w:rsid w:val="00E720CA"/>
    <w:rsid w:val="00E72304"/>
    <w:rsid w:val="00E80FB6"/>
    <w:rsid w:val="00E84EB5"/>
    <w:rsid w:val="00E85662"/>
    <w:rsid w:val="00E8789F"/>
    <w:rsid w:val="00E87E14"/>
    <w:rsid w:val="00E97B71"/>
    <w:rsid w:val="00EA3D34"/>
    <w:rsid w:val="00EB454D"/>
    <w:rsid w:val="00ED549D"/>
    <w:rsid w:val="00ED76BE"/>
    <w:rsid w:val="00EE00E9"/>
    <w:rsid w:val="00EE614C"/>
    <w:rsid w:val="00EF1AAA"/>
    <w:rsid w:val="00EF3167"/>
    <w:rsid w:val="00EF619B"/>
    <w:rsid w:val="00F00B55"/>
    <w:rsid w:val="00F02AD1"/>
    <w:rsid w:val="00F04716"/>
    <w:rsid w:val="00F253CC"/>
    <w:rsid w:val="00F37106"/>
    <w:rsid w:val="00F44E25"/>
    <w:rsid w:val="00F519CF"/>
    <w:rsid w:val="00F56BA5"/>
    <w:rsid w:val="00F60E22"/>
    <w:rsid w:val="00F81395"/>
    <w:rsid w:val="00F81BB8"/>
    <w:rsid w:val="00F829E5"/>
    <w:rsid w:val="00F90C64"/>
    <w:rsid w:val="00F917D1"/>
    <w:rsid w:val="00F91CFA"/>
    <w:rsid w:val="00F92D20"/>
    <w:rsid w:val="00F94A4A"/>
    <w:rsid w:val="00F9653B"/>
    <w:rsid w:val="00FA1333"/>
    <w:rsid w:val="00FB62CF"/>
    <w:rsid w:val="00FC099B"/>
    <w:rsid w:val="00FC7866"/>
    <w:rsid w:val="00FD3C3B"/>
    <w:rsid w:val="00FE07DD"/>
    <w:rsid w:val="00FE6B45"/>
    <w:rsid w:val="00FF1BEE"/>
    <w:rsid w:val="00FF4C36"/>
    <w:rsid w:val="00FF4D6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2CCC"/>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paragraph" w:customStyle="1" w:styleId="paragraph">
    <w:name w:val="paragraph"/>
    <w:basedOn w:val="Normal"/>
    <w:rsid w:val="004660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2"/>
      </w:numPr>
    </w:pPr>
  </w:style>
  <w:style w:type="character" w:customStyle="1" w:styleId="normaltextrun">
    <w:name w:val="normaltextrun"/>
    <w:basedOn w:val="DefaultParagraphFont"/>
    <w:rsid w:val="0046609B"/>
  </w:style>
  <w:style w:type="numbering" w:customStyle="1" w:styleId="List210">
    <w:name w:val="List 21"/>
    <w:pPr>
      <w:numPr>
        <w:numId w:val="95"/>
      </w:numPr>
    </w:pPr>
  </w:style>
  <w:style w:type="character" w:customStyle="1" w:styleId="eop">
    <w:name w:val="eop"/>
    <w:basedOn w:val="DefaultParagraphFont"/>
    <w:rsid w:val="0046609B"/>
  </w:style>
  <w:style w:type="numbering" w:customStyle="1" w:styleId="List31">
    <w:name w:val="List 31"/>
    <w:pPr>
      <w:numPr>
        <w:numId w:val="94"/>
      </w:numPr>
    </w:pPr>
  </w:style>
  <w:style w:type="numbering" w:customStyle="1" w:styleId="List41">
    <w:name w:val="List 41"/>
    <w:pPr>
      <w:numPr>
        <w:numId w:val="5"/>
      </w:numPr>
    </w:pPr>
  </w:style>
  <w:style w:type="numbering" w:customStyle="1" w:styleId="List510">
    <w:name w:val="List 51"/>
    <w:pPr>
      <w:numPr>
        <w:numId w:val="98"/>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65"/>
      </w:numPr>
    </w:pPr>
  </w:style>
  <w:style w:type="numbering" w:customStyle="1" w:styleId="List10">
    <w:name w:val="List 10"/>
    <w:pPr>
      <w:numPr>
        <w:numId w:val="11"/>
      </w:numPr>
    </w:pPr>
  </w:style>
  <w:style w:type="numbering" w:customStyle="1" w:styleId="List11">
    <w:name w:val="List 11"/>
    <w:pPr>
      <w:numPr>
        <w:numId w:val="20"/>
      </w:numPr>
    </w:pPr>
  </w:style>
  <w:style w:type="numbering" w:customStyle="1" w:styleId="List12">
    <w:name w:val="List 12"/>
    <w:pPr>
      <w:numPr>
        <w:numId w:val="79"/>
      </w:numPr>
    </w:pPr>
  </w:style>
  <w:style w:type="numbering" w:customStyle="1" w:styleId="List13">
    <w:name w:val="List 13"/>
    <w:pPr>
      <w:numPr>
        <w:numId w:val="85"/>
      </w:numPr>
    </w:pPr>
  </w:style>
  <w:style w:type="numbering" w:customStyle="1" w:styleId="List14">
    <w:name w:val="List 14"/>
    <w:pPr>
      <w:numPr>
        <w:numId w:val="60"/>
      </w:numPr>
    </w:pPr>
  </w:style>
  <w:style w:type="numbering" w:customStyle="1" w:styleId="List15">
    <w:name w:val="List 15"/>
    <w:pPr>
      <w:numPr>
        <w:numId w:val="59"/>
      </w:numPr>
    </w:pPr>
  </w:style>
  <w:style w:type="numbering" w:customStyle="1" w:styleId="List16">
    <w:name w:val="List 16"/>
    <w:pPr>
      <w:numPr>
        <w:numId w:val="53"/>
      </w:numPr>
    </w:pPr>
  </w:style>
  <w:style w:type="numbering" w:customStyle="1" w:styleId="List17">
    <w:name w:val="List 17"/>
    <w:pPr>
      <w:numPr>
        <w:numId w:val="68"/>
      </w:numPr>
    </w:pPr>
  </w:style>
  <w:style w:type="numbering" w:customStyle="1" w:styleId="List18">
    <w:name w:val="List 18"/>
    <w:pPr>
      <w:numPr>
        <w:numId w:val="70"/>
      </w:numPr>
    </w:pPr>
  </w:style>
  <w:style w:type="numbering" w:customStyle="1" w:styleId="List19">
    <w:name w:val="List 19"/>
    <w:pPr>
      <w:numPr>
        <w:numId w:val="62"/>
      </w:numPr>
    </w:pPr>
  </w:style>
  <w:style w:type="numbering" w:customStyle="1" w:styleId="List20">
    <w:name w:val="List 20"/>
    <w:pPr>
      <w:numPr>
        <w:numId w:val="86"/>
      </w:numPr>
    </w:pPr>
  </w:style>
  <w:style w:type="numbering" w:customStyle="1" w:styleId="List21">
    <w:name w:val="List 21"/>
    <w:pPr>
      <w:numPr>
        <w:numId w:val="81"/>
      </w:numPr>
    </w:pPr>
  </w:style>
  <w:style w:type="numbering" w:customStyle="1" w:styleId="List22">
    <w:name w:val="List 22"/>
    <w:pPr>
      <w:numPr>
        <w:numId w:val="71"/>
      </w:numPr>
    </w:pPr>
  </w:style>
  <w:style w:type="numbering" w:customStyle="1" w:styleId="List23">
    <w:name w:val="List 23"/>
    <w:pPr>
      <w:numPr>
        <w:numId w:val="61"/>
      </w:numPr>
    </w:pPr>
  </w:style>
  <w:style w:type="numbering" w:customStyle="1" w:styleId="List24">
    <w:name w:val="List 24"/>
    <w:pPr>
      <w:numPr>
        <w:numId w:val="56"/>
      </w:numPr>
    </w:pPr>
  </w:style>
  <w:style w:type="numbering" w:customStyle="1" w:styleId="List25">
    <w:name w:val="List 25"/>
    <w:pPr>
      <w:numPr>
        <w:numId w:val="58"/>
      </w:numPr>
    </w:pPr>
  </w:style>
  <w:style w:type="numbering" w:customStyle="1" w:styleId="List26">
    <w:name w:val="List 26"/>
    <w:pPr>
      <w:numPr>
        <w:numId w:val="92"/>
      </w:numPr>
    </w:pPr>
  </w:style>
  <w:style w:type="numbering" w:customStyle="1" w:styleId="List27">
    <w:name w:val="List 27"/>
    <w:pPr>
      <w:numPr>
        <w:numId w:val="84"/>
      </w:numPr>
    </w:pPr>
  </w:style>
  <w:style w:type="numbering" w:customStyle="1" w:styleId="List28">
    <w:name w:val="List 28"/>
    <w:pPr>
      <w:numPr>
        <w:numId w:val="73"/>
      </w:numPr>
    </w:pPr>
  </w:style>
  <w:style w:type="numbering" w:customStyle="1" w:styleId="List29">
    <w:name w:val="List 29"/>
    <w:pPr>
      <w:numPr>
        <w:numId w:val="77"/>
      </w:numPr>
    </w:pPr>
  </w:style>
  <w:style w:type="numbering" w:customStyle="1" w:styleId="List30">
    <w:name w:val="List 30"/>
    <w:pPr>
      <w:numPr>
        <w:numId w:val="75"/>
      </w:numPr>
    </w:pPr>
  </w:style>
  <w:style w:type="numbering" w:customStyle="1" w:styleId="List310">
    <w:name w:val="List 31"/>
    <w:pPr>
      <w:numPr>
        <w:numId w:val="88"/>
      </w:numPr>
    </w:pPr>
  </w:style>
  <w:style w:type="numbering" w:customStyle="1" w:styleId="List32">
    <w:name w:val="List 32"/>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69"/>
      </w:numPr>
    </w:pPr>
  </w:style>
  <w:style w:type="numbering" w:customStyle="1" w:styleId="List34">
    <w:name w:val="List 34"/>
    <w:pPr>
      <w:numPr>
        <w:numId w:val="54"/>
      </w:numPr>
    </w:pPr>
  </w:style>
  <w:style w:type="numbering" w:customStyle="1" w:styleId="List35">
    <w:name w:val="List 35"/>
    <w:pPr>
      <w:numPr>
        <w:numId w:val="35"/>
      </w:numPr>
    </w:pPr>
  </w:style>
  <w:style w:type="numbering" w:customStyle="1" w:styleId="List36">
    <w:name w:val="List 36"/>
    <w:pPr>
      <w:numPr>
        <w:numId w:val="57"/>
      </w:numPr>
    </w:pPr>
  </w:style>
  <w:style w:type="numbering" w:customStyle="1" w:styleId="List37">
    <w:name w:val="List 37"/>
    <w:pPr>
      <w:numPr>
        <w:numId w:val="90"/>
      </w:numPr>
    </w:pPr>
  </w:style>
  <w:style w:type="numbering" w:customStyle="1" w:styleId="List38">
    <w:name w:val="List 38"/>
    <w:pPr>
      <w:numPr>
        <w:numId w:val="78"/>
      </w:numPr>
    </w:pPr>
  </w:style>
  <w:style w:type="numbering" w:customStyle="1" w:styleId="List39">
    <w:name w:val="List 39"/>
    <w:pPr>
      <w:numPr>
        <w:numId w:val="89"/>
      </w:numPr>
    </w:pPr>
  </w:style>
  <w:style w:type="numbering" w:customStyle="1" w:styleId="List40">
    <w:name w:val="List 40"/>
    <w:pPr>
      <w:numPr>
        <w:numId w:val="64"/>
      </w:numPr>
    </w:pPr>
  </w:style>
  <w:style w:type="numbering" w:customStyle="1" w:styleId="List410">
    <w:name w:val="List 41"/>
    <w:pPr>
      <w:numPr>
        <w:numId w:val="87"/>
      </w:numPr>
    </w:pPr>
  </w:style>
  <w:style w:type="numbering" w:customStyle="1" w:styleId="List42">
    <w:name w:val="List 42"/>
    <w:pPr>
      <w:numPr>
        <w:numId w:val="42"/>
      </w:numPr>
    </w:pPr>
  </w:style>
  <w:style w:type="numbering" w:customStyle="1" w:styleId="List43">
    <w:name w:val="List 43"/>
    <w:pPr>
      <w:numPr>
        <w:numId w:val="66"/>
      </w:numPr>
    </w:pPr>
  </w:style>
  <w:style w:type="numbering" w:customStyle="1" w:styleId="List44">
    <w:name w:val="List 44"/>
    <w:pPr>
      <w:numPr>
        <w:numId w:val="83"/>
      </w:numPr>
    </w:pPr>
  </w:style>
  <w:style w:type="numbering" w:customStyle="1" w:styleId="List45">
    <w:name w:val="List 45"/>
    <w:pPr>
      <w:numPr>
        <w:numId w:val="63"/>
      </w:numPr>
    </w:pPr>
  </w:style>
  <w:style w:type="numbering" w:customStyle="1" w:styleId="List46">
    <w:name w:val="List 46"/>
    <w:pPr>
      <w:numPr>
        <w:numId w:val="67"/>
      </w:numPr>
    </w:pPr>
  </w:style>
  <w:style w:type="numbering" w:customStyle="1" w:styleId="List47">
    <w:name w:val="List 47"/>
    <w:pPr>
      <w:numPr>
        <w:numId w:val="72"/>
      </w:numPr>
    </w:pPr>
  </w:style>
  <w:style w:type="numbering" w:customStyle="1" w:styleId="List48">
    <w:name w:val="List 48"/>
    <w:pPr>
      <w:numPr>
        <w:numId w:val="93"/>
      </w:numPr>
    </w:pPr>
  </w:style>
  <w:style w:type="numbering" w:customStyle="1" w:styleId="List49">
    <w:name w:val="List 49"/>
    <w:pPr>
      <w:numPr>
        <w:numId w:val="82"/>
      </w:numPr>
    </w:pPr>
  </w:style>
  <w:style w:type="numbering" w:customStyle="1" w:styleId="List50">
    <w:name w:val="List 50"/>
    <w:pPr>
      <w:numPr>
        <w:numId w:val="80"/>
      </w:numPr>
    </w:pPr>
  </w:style>
  <w:style w:type="numbering" w:customStyle="1" w:styleId="List51">
    <w:name w:val="List 51"/>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530F2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0F148A"/>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1E66FE"/>
    <w:rsid w:val="00200821"/>
    <w:rsid w:val="0025245B"/>
    <w:rsid w:val="002A3923"/>
    <w:rsid w:val="00307DBF"/>
    <w:rsid w:val="003200CD"/>
    <w:rsid w:val="00394049"/>
    <w:rsid w:val="003C0E97"/>
    <w:rsid w:val="003F6C18"/>
    <w:rsid w:val="004B5BBB"/>
    <w:rsid w:val="004D502A"/>
    <w:rsid w:val="004F2DF8"/>
    <w:rsid w:val="0050232F"/>
    <w:rsid w:val="0061797F"/>
    <w:rsid w:val="006A7611"/>
    <w:rsid w:val="006F24A1"/>
    <w:rsid w:val="00886A41"/>
    <w:rsid w:val="009A261B"/>
    <w:rsid w:val="009E257B"/>
    <w:rsid w:val="009F171F"/>
    <w:rsid w:val="009F4BCF"/>
    <w:rsid w:val="00AA2E17"/>
    <w:rsid w:val="00AC15A4"/>
    <w:rsid w:val="00B0336C"/>
    <w:rsid w:val="00BB7F70"/>
    <w:rsid w:val="00C9683F"/>
    <w:rsid w:val="00CE1D10"/>
    <w:rsid w:val="00D02BB0"/>
    <w:rsid w:val="00D241E9"/>
    <w:rsid w:val="00D7750D"/>
    <w:rsid w:val="00D80801"/>
    <w:rsid w:val="00DA3189"/>
    <w:rsid w:val="00E40BA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3339</Words>
  <Characters>19035</Characters>
  <Application>Microsoft Office Word</Application>
  <DocSecurity>0</DocSecurity>
  <Lines>158</Lines>
  <Paragraphs>44</Paragraphs>
  <ScaleCrop>false</ScaleCrop>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2023-06-27T18:27:00Z</dcterms:created>
  <dcterms:modified xsi:type="dcterms:W3CDTF">2023-06-27T18:27:00Z</dcterms:modified>
</cp:coreProperties>
</file>