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DE16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728920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6130F">
                              <w:rPr>
                                <w:rFonts w:asciiTheme="majorHAnsi" w:hAnsiTheme="majorHAnsi" w:cs="Arial"/>
                                <w:b/>
                                <w:bCs/>
                                <w:color w:val="0D0D0D" w:themeColor="text1" w:themeTint="F2"/>
                                <w:sz w:val="36"/>
                                <w:szCs w:val="22"/>
                                <w:lang w:val="es-ES_tradnl"/>
                              </w:rPr>
                              <w:t>123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F16C05">
                              <w:rPr>
                                <w:rFonts w:asciiTheme="majorHAnsi" w:hAnsiTheme="majorHAnsi" w:cs="Arial"/>
                                <w:b/>
                                <w:bCs/>
                                <w:color w:val="0D0D0D" w:themeColor="text1" w:themeTint="F2"/>
                                <w:sz w:val="36"/>
                                <w:szCs w:val="22"/>
                                <w:lang w:val="es-ES_tradnl"/>
                              </w:rPr>
                              <w:t>3</w:t>
                            </w:r>
                          </w:p>
                          <w:p w14:paraId="09C54AB3" w14:textId="16EA3DD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16C05">
                              <w:rPr>
                                <w:rFonts w:asciiTheme="majorHAnsi" w:hAnsiTheme="majorHAnsi" w:cs="Arial"/>
                                <w:b/>
                                <w:color w:val="0D0D0D" w:themeColor="text1" w:themeTint="F2"/>
                                <w:sz w:val="36"/>
                                <w:szCs w:val="22"/>
                                <w:lang w:val="es-ES_tradnl"/>
                              </w:rPr>
                              <w:t>1670</w:t>
                            </w:r>
                            <w:r w:rsidR="00246D1F" w:rsidRPr="004E2649">
                              <w:rPr>
                                <w:rFonts w:asciiTheme="majorHAnsi" w:hAnsiTheme="majorHAnsi" w:cs="Arial"/>
                                <w:b/>
                                <w:color w:val="0D0D0D" w:themeColor="text1" w:themeTint="F2"/>
                                <w:sz w:val="36"/>
                                <w:szCs w:val="22"/>
                                <w:lang w:val="es-ES_tradnl"/>
                              </w:rPr>
                              <w:t>-</w:t>
                            </w:r>
                            <w:r w:rsidR="00F16C05">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0CF6833" w14:textId="773E401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5051995B" w:rsidR="005B52B0" w:rsidRPr="00F16C05" w:rsidRDefault="00F16C05" w:rsidP="00997BC5">
                            <w:pPr>
                              <w:spacing w:line="276" w:lineRule="auto"/>
                              <w:rPr>
                                <w:rFonts w:asciiTheme="majorHAnsi" w:hAnsiTheme="majorHAnsi" w:cs="Arial"/>
                                <w:color w:val="0D0D0D" w:themeColor="text1" w:themeTint="F2"/>
                                <w:szCs w:val="22"/>
                                <w:lang w:val="pt-BR"/>
                              </w:rPr>
                            </w:pPr>
                            <w:r w:rsidRPr="00F16C05">
                              <w:rPr>
                                <w:rFonts w:asciiTheme="majorHAnsi" w:hAnsiTheme="majorHAnsi" w:cs="Arial"/>
                                <w:color w:val="0D0D0D" w:themeColor="text1" w:themeTint="F2"/>
                                <w:szCs w:val="22"/>
                                <w:lang w:val="pt-BR"/>
                              </w:rPr>
                              <w:t>OMAR GERARDO H</w:t>
                            </w:r>
                            <w:r>
                              <w:rPr>
                                <w:rFonts w:asciiTheme="majorHAnsi" w:hAnsiTheme="majorHAnsi" w:cs="Arial"/>
                                <w:color w:val="0D0D0D" w:themeColor="text1" w:themeTint="F2"/>
                                <w:szCs w:val="22"/>
                                <w:lang w:val="pt-BR"/>
                              </w:rPr>
                              <w:t>ERNÁNDEZ CÓRDOBA</w:t>
                            </w:r>
                          </w:p>
                          <w:bookmarkEnd w:id="0"/>
                          <w:p w14:paraId="35068D0D" w14:textId="7C7E4C1A" w:rsidR="005B52B0" w:rsidRPr="00F16C05" w:rsidRDefault="00F16C05" w:rsidP="00997BC5">
                            <w:pPr>
                              <w:spacing w:line="276" w:lineRule="auto"/>
                              <w:rPr>
                                <w:rFonts w:asciiTheme="majorHAnsi" w:hAnsiTheme="majorHAnsi" w:cs="Arial"/>
                                <w:color w:val="0D0D0D" w:themeColor="text1" w:themeTint="F2"/>
                                <w:szCs w:val="22"/>
                                <w:lang w:val="pt-BR"/>
                              </w:rPr>
                            </w:pPr>
                            <w:r w:rsidRPr="00F16C05">
                              <w:rPr>
                                <w:rFonts w:asciiTheme="majorHAnsi" w:hAnsiTheme="majorHAnsi" w:cs="Arial"/>
                                <w:color w:val="0D0D0D" w:themeColor="text1" w:themeTint="F2"/>
                                <w:szCs w:val="22"/>
                                <w:lang w:val="pt-BR"/>
                              </w:rPr>
                              <w:t xml:space="preserve">COSTA RICA </w:t>
                            </w:r>
                          </w:p>
                          <w:p w14:paraId="575DFD52" w14:textId="77777777" w:rsidR="005B52B0" w:rsidRPr="00F16C05" w:rsidRDefault="005B52B0"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7728920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6130F">
                        <w:rPr>
                          <w:rFonts w:asciiTheme="majorHAnsi" w:hAnsiTheme="majorHAnsi" w:cs="Arial"/>
                          <w:b/>
                          <w:bCs/>
                          <w:color w:val="0D0D0D" w:themeColor="text1" w:themeTint="F2"/>
                          <w:sz w:val="36"/>
                          <w:szCs w:val="22"/>
                          <w:lang w:val="es-ES_tradnl"/>
                        </w:rPr>
                        <w:t>123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F16C05">
                        <w:rPr>
                          <w:rFonts w:asciiTheme="majorHAnsi" w:hAnsiTheme="majorHAnsi" w:cs="Arial"/>
                          <w:b/>
                          <w:bCs/>
                          <w:color w:val="0D0D0D" w:themeColor="text1" w:themeTint="F2"/>
                          <w:sz w:val="36"/>
                          <w:szCs w:val="22"/>
                          <w:lang w:val="es-ES_tradnl"/>
                        </w:rPr>
                        <w:t>3</w:t>
                      </w:r>
                    </w:p>
                    <w:p w14:paraId="09C54AB3" w14:textId="16EA3DD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16C05">
                        <w:rPr>
                          <w:rFonts w:asciiTheme="majorHAnsi" w:hAnsiTheme="majorHAnsi" w:cs="Arial"/>
                          <w:b/>
                          <w:color w:val="0D0D0D" w:themeColor="text1" w:themeTint="F2"/>
                          <w:sz w:val="36"/>
                          <w:szCs w:val="22"/>
                          <w:lang w:val="es-ES_tradnl"/>
                        </w:rPr>
                        <w:t>1670</w:t>
                      </w:r>
                      <w:r w:rsidR="00246D1F" w:rsidRPr="004E2649">
                        <w:rPr>
                          <w:rFonts w:asciiTheme="majorHAnsi" w:hAnsiTheme="majorHAnsi" w:cs="Arial"/>
                          <w:b/>
                          <w:color w:val="0D0D0D" w:themeColor="text1" w:themeTint="F2"/>
                          <w:sz w:val="36"/>
                          <w:szCs w:val="22"/>
                          <w:lang w:val="es-ES_tradnl"/>
                        </w:rPr>
                        <w:t>-</w:t>
                      </w:r>
                      <w:r w:rsidR="00F16C05">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0CF6833" w14:textId="773E401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5051995B" w:rsidR="005B52B0" w:rsidRPr="00F16C05" w:rsidRDefault="00F16C05" w:rsidP="00997BC5">
                      <w:pPr>
                        <w:spacing w:line="276" w:lineRule="auto"/>
                        <w:rPr>
                          <w:rFonts w:asciiTheme="majorHAnsi" w:hAnsiTheme="majorHAnsi" w:cs="Arial"/>
                          <w:color w:val="0D0D0D" w:themeColor="text1" w:themeTint="F2"/>
                          <w:szCs w:val="22"/>
                          <w:lang w:val="pt-BR"/>
                        </w:rPr>
                      </w:pPr>
                      <w:r w:rsidRPr="00F16C05">
                        <w:rPr>
                          <w:rFonts w:asciiTheme="majorHAnsi" w:hAnsiTheme="majorHAnsi" w:cs="Arial"/>
                          <w:color w:val="0D0D0D" w:themeColor="text1" w:themeTint="F2"/>
                          <w:szCs w:val="22"/>
                          <w:lang w:val="pt-BR"/>
                        </w:rPr>
                        <w:t>OMAR GERARDO H</w:t>
                      </w:r>
                      <w:r>
                        <w:rPr>
                          <w:rFonts w:asciiTheme="majorHAnsi" w:hAnsiTheme="majorHAnsi" w:cs="Arial"/>
                          <w:color w:val="0D0D0D" w:themeColor="text1" w:themeTint="F2"/>
                          <w:szCs w:val="22"/>
                          <w:lang w:val="pt-BR"/>
                        </w:rPr>
                        <w:t>ERNÁNDEZ CÓRDOBA</w:t>
                      </w:r>
                    </w:p>
                    <w:bookmarkEnd w:id="1"/>
                    <w:p w14:paraId="35068D0D" w14:textId="7C7E4C1A" w:rsidR="005B52B0" w:rsidRPr="00F16C05" w:rsidRDefault="00F16C05" w:rsidP="00997BC5">
                      <w:pPr>
                        <w:spacing w:line="276" w:lineRule="auto"/>
                        <w:rPr>
                          <w:rFonts w:asciiTheme="majorHAnsi" w:hAnsiTheme="majorHAnsi" w:cs="Arial"/>
                          <w:color w:val="0D0D0D" w:themeColor="text1" w:themeTint="F2"/>
                          <w:szCs w:val="22"/>
                          <w:lang w:val="pt-BR"/>
                        </w:rPr>
                      </w:pPr>
                      <w:r w:rsidRPr="00F16C05">
                        <w:rPr>
                          <w:rFonts w:asciiTheme="majorHAnsi" w:hAnsiTheme="majorHAnsi" w:cs="Arial"/>
                          <w:color w:val="0D0D0D" w:themeColor="text1" w:themeTint="F2"/>
                          <w:szCs w:val="22"/>
                          <w:lang w:val="pt-BR"/>
                        </w:rPr>
                        <w:t xml:space="preserve">COSTA RICA </w:t>
                      </w:r>
                    </w:p>
                    <w:p w14:paraId="575DFD52" w14:textId="77777777" w:rsidR="005B52B0" w:rsidRPr="00F16C05" w:rsidRDefault="005B52B0" w:rsidP="007A5817">
                      <w:pPr>
                        <w:rPr>
                          <w:color w:val="0D0D0D" w:themeColor="text1" w:themeTint="F2"/>
                          <w:lang w:val="pt-BR"/>
                        </w:rPr>
                      </w:pP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03DFE5C"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5C1D97AC"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86130F">
                              <w:rPr>
                                <w:rFonts w:asciiTheme="minorHAnsi" w:hAnsiTheme="minorHAnsi"/>
                                <w:color w:val="FFFFFF" w:themeColor="background1"/>
                                <w:sz w:val="22"/>
                                <w:lang w:val="pt-BR"/>
                              </w:rPr>
                              <w:t>133</w:t>
                            </w:r>
                          </w:p>
                          <w:p w14:paraId="69373ED2" w14:textId="0429D041" w:rsidR="00627C9F" w:rsidRPr="0008546F" w:rsidRDefault="00AC5EBD" w:rsidP="007A5817">
                            <w:pPr>
                              <w:spacing w:line="276" w:lineRule="auto"/>
                              <w:jc w:val="right"/>
                              <w:rPr>
                                <w:rFonts w:asciiTheme="minorHAnsi" w:hAnsiTheme="minorHAnsi"/>
                                <w:color w:val="FFFFFF" w:themeColor="background1"/>
                                <w:sz w:val="22"/>
                                <w:lang w:val="pt-BR"/>
                              </w:rPr>
                            </w:pPr>
                            <w:r w:rsidRPr="0008546F">
                              <w:rPr>
                                <w:rFonts w:asciiTheme="minorHAnsi" w:hAnsiTheme="minorHAnsi"/>
                                <w:color w:val="FFFFFF" w:themeColor="background1"/>
                                <w:sz w:val="22"/>
                                <w:lang w:val="pt-BR"/>
                              </w:rPr>
                              <w:t>1 agosto</w:t>
                            </w:r>
                            <w:r w:rsidR="007B05C4" w:rsidRPr="0008546F">
                              <w:rPr>
                                <w:rFonts w:asciiTheme="minorHAnsi" w:hAnsiTheme="minorHAnsi"/>
                                <w:color w:val="FFFFFF" w:themeColor="background1"/>
                                <w:sz w:val="22"/>
                                <w:lang w:val="pt-BR"/>
                              </w:rPr>
                              <w:t xml:space="preserve"> </w:t>
                            </w:r>
                            <w:r w:rsidR="00627C9F" w:rsidRPr="0008546F">
                              <w:rPr>
                                <w:rFonts w:asciiTheme="minorHAnsi" w:hAnsiTheme="minorHAnsi"/>
                                <w:color w:val="FFFFFF" w:themeColor="background1"/>
                                <w:sz w:val="22"/>
                                <w:lang w:val="pt-BR"/>
                              </w:rPr>
                              <w:t>20</w:t>
                            </w:r>
                            <w:r w:rsidR="00C23BA4" w:rsidRPr="0008546F">
                              <w:rPr>
                                <w:rFonts w:asciiTheme="minorHAnsi" w:hAnsiTheme="minorHAnsi"/>
                                <w:color w:val="FFFFFF" w:themeColor="background1"/>
                                <w:sz w:val="22"/>
                                <w:lang w:val="pt-BR"/>
                              </w:rPr>
                              <w:t>2</w:t>
                            </w:r>
                            <w:r w:rsidR="00F16C05" w:rsidRPr="0008546F">
                              <w:rPr>
                                <w:rFonts w:asciiTheme="minorHAnsi" w:hAnsiTheme="minorHAnsi"/>
                                <w:color w:val="FFFFFF" w:themeColor="background1"/>
                                <w:sz w:val="22"/>
                                <w:lang w:val="pt-BR"/>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503DFE5C"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5C1D97AC"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86130F">
                        <w:rPr>
                          <w:rFonts w:asciiTheme="minorHAnsi" w:hAnsiTheme="minorHAnsi"/>
                          <w:color w:val="FFFFFF" w:themeColor="background1"/>
                          <w:sz w:val="22"/>
                          <w:lang w:val="pt-BR"/>
                        </w:rPr>
                        <w:t>133</w:t>
                      </w:r>
                    </w:p>
                    <w:p w14:paraId="69373ED2" w14:textId="0429D041" w:rsidR="00627C9F" w:rsidRPr="0008546F" w:rsidRDefault="00AC5EBD" w:rsidP="007A5817">
                      <w:pPr>
                        <w:spacing w:line="276" w:lineRule="auto"/>
                        <w:jc w:val="right"/>
                        <w:rPr>
                          <w:rFonts w:asciiTheme="minorHAnsi" w:hAnsiTheme="minorHAnsi"/>
                          <w:color w:val="FFFFFF" w:themeColor="background1"/>
                          <w:sz w:val="22"/>
                          <w:lang w:val="pt-BR"/>
                        </w:rPr>
                      </w:pPr>
                      <w:r w:rsidRPr="0008546F">
                        <w:rPr>
                          <w:rFonts w:asciiTheme="minorHAnsi" w:hAnsiTheme="minorHAnsi"/>
                          <w:color w:val="FFFFFF" w:themeColor="background1"/>
                          <w:sz w:val="22"/>
                          <w:lang w:val="pt-BR"/>
                        </w:rPr>
                        <w:t>1 agosto</w:t>
                      </w:r>
                      <w:r w:rsidR="007B05C4" w:rsidRPr="0008546F">
                        <w:rPr>
                          <w:rFonts w:asciiTheme="minorHAnsi" w:hAnsiTheme="minorHAnsi"/>
                          <w:color w:val="FFFFFF" w:themeColor="background1"/>
                          <w:sz w:val="22"/>
                          <w:lang w:val="pt-BR"/>
                        </w:rPr>
                        <w:t xml:space="preserve"> </w:t>
                      </w:r>
                      <w:r w:rsidR="00627C9F" w:rsidRPr="0008546F">
                        <w:rPr>
                          <w:rFonts w:asciiTheme="minorHAnsi" w:hAnsiTheme="minorHAnsi"/>
                          <w:color w:val="FFFFFF" w:themeColor="background1"/>
                          <w:sz w:val="22"/>
                          <w:lang w:val="pt-BR"/>
                        </w:rPr>
                        <w:t>20</w:t>
                      </w:r>
                      <w:r w:rsidR="00C23BA4" w:rsidRPr="0008546F">
                        <w:rPr>
                          <w:rFonts w:asciiTheme="minorHAnsi" w:hAnsiTheme="minorHAnsi"/>
                          <w:color w:val="FFFFFF" w:themeColor="background1"/>
                          <w:sz w:val="22"/>
                          <w:lang w:val="pt-BR"/>
                        </w:rPr>
                        <w:t>2</w:t>
                      </w:r>
                      <w:r w:rsidR="00F16C05" w:rsidRPr="0008546F">
                        <w:rPr>
                          <w:rFonts w:asciiTheme="minorHAnsi" w:hAnsiTheme="minorHAnsi"/>
                          <w:color w:val="FFFFFF" w:themeColor="background1"/>
                          <w:sz w:val="22"/>
                          <w:lang w:val="pt-BR"/>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6102103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AC5EBD">
                              <w:rPr>
                                <w:rFonts w:asciiTheme="majorHAnsi" w:hAnsiTheme="majorHAnsi"/>
                                <w:color w:val="0D0D0D" w:themeColor="text1" w:themeTint="F2"/>
                                <w:sz w:val="18"/>
                                <w:szCs w:val="22"/>
                                <w:lang w:val="es-ES"/>
                              </w:rPr>
                              <w:t>1</w:t>
                            </w:r>
                            <w:r w:rsidR="0008546F">
                              <w:rPr>
                                <w:rFonts w:asciiTheme="majorHAnsi" w:hAnsiTheme="majorHAnsi"/>
                                <w:color w:val="0D0D0D" w:themeColor="text1" w:themeTint="F2"/>
                                <w:sz w:val="18"/>
                                <w:szCs w:val="22"/>
                                <w:lang w:val="es-ES"/>
                              </w:rPr>
                              <w:t>º d</w:t>
                            </w:r>
                            <w:r w:rsidRPr="00890650">
                              <w:rPr>
                                <w:rFonts w:asciiTheme="majorHAnsi" w:hAnsiTheme="majorHAnsi"/>
                                <w:color w:val="0D0D0D" w:themeColor="text1" w:themeTint="F2"/>
                                <w:sz w:val="18"/>
                                <w:szCs w:val="22"/>
                                <w:lang w:val="es-ES"/>
                              </w:rPr>
                              <w:t xml:space="preserve">e </w:t>
                            </w:r>
                            <w:r w:rsidR="00AC5EBD">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F16C05">
                              <w:rPr>
                                <w:rFonts w:asciiTheme="majorHAnsi" w:hAnsiTheme="majorHAnsi"/>
                                <w:color w:val="0D0D0D" w:themeColor="text1" w:themeTint="F2"/>
                                <w:sz w:val="18"/>
                                <w:szCs w:val="22"/>
                                <w:lang w:val="es-ES"/>
                              </w:rPr>
                              <w:t>3</w:t>
                            </w:r>
                            <w:r w:rsidR="00AC5EBD">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6102103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AC5EBD">
                        <w:rPr>
                          <w:rFonts w:asciiTheme="majorHAnsi" w:hAnsiTheme="majorHAnsi"/>
                          <w:color w:val="0D0D0D" w:themeColor="text1" w:themeTint="F2"/>
                          <w:sz w:val="18"/>
                          <w:szCs w:val="22"/>
                          <w:lang w:val="es-ES"/>
                        </w:rPr>
                        <w:t>1</w:t>
                      </w:r>
                      <w:r w:rsidR="0008546F">
                        <w:rPr>
                          <w:rFonts w:asciiTheme="majorHAnsi" w:hAnsiTheme="majorHAnsi"/>
                          <w:color w:val="0D0D0D" w:themeColor="text1" w:themeTint="F2"/>
                          <w:sz w:val="18"/>
                          <w:szCs w:val="22"/>
                          <w:lang w:val="es-ES"/>
                        </w:rPr>
                        <w:t>º d</w:t>
                      </w:r>
                      <w:r w:rsidRPr="00890650">
                        <w:rPr>
                          <w:rFonts w:asciiTheme="majorHAnsi" w:hAnsiTheme="majorHAnsi"/>
                          <w:color w:val="0D0D0D" w:themeColor="text1" w:themeTint="F2"/>
                          <w:sz w:val="18"/>
                          <w:szCs w:val="22"/>
                          <w:lang w:val="es-ES"/>
                        </w:rPr>
                        <w:t xml:space="preserve">e </w:t>
                      </w:r>
                      <w:r w:rsidR="00AC5EBD">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F16C05">
                        <w:rPr>
                          <w:rFonts w:asciiTheme="majorHAnsi" w:hAnsiTheme="majorHAnsi"/>
                          <w:color w:val="0D0D0D" w:themeColor="text1" w:themeTint="F2"/>
                          <w:sz w:val="18"/>
                          <w:szCs w:val="22"/>
                          <w:lang w:val="es-ES"/>
                        </w:rPr>
                        <w:t>3</w:t>
                      </w:r>
                      <w:r w:rsidR="00AC5EBD">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3F4FC5AC"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C5EBD" w:rsidRPr="00AC5EBD">
                              <w:rPr>
                                <w:rFonts w:asciiTheme="majorHAnsi" w:hAnsiTheme="majorHAnsi"/>
                                <w:color w:val="595959" w:themeColor="text1" w:themeTint="A6"/>
                                <w:sz w:val="18"/>
                                <w:szCs w:val="18"/>
                                <w:lang w:val="pt-BR"/>
                              </w:rPr>
                              <w:t>123</w:t>
                            </w:r>
                            <w:r w:rsidR="007B05C4" w:rsidRPr="00AC5EBD">
                              <w:rPr>
                                <w:rFonts w:asciiTheme="majorHAnsi" w:hAnsiTheme="majorHAnsi"/>
                                <w:color w:val="595959" w:themeColor="text1" w:themeTint="A6"/>
                                <w:sz w:val="18"/>
                                <w:szCs w:val="18"/>
                                <w:lang w:val="pt-BR"/>
                              </w:rPr>
                              <w:t>/</w:t>
                            </w:r>
                            <w:r w:rsidR="00AC5EBD" w:rsidRPr="00AC5EBD">
                              <w:rPr>
                                <w:rFonts w:asciiTheme="majorHAnsi" w:hAnsiTheme="majorHAnsi"/>
                                <w:color w:val="595959" w:themeColor="text1" w:themeTint="A6"/>
                                <w:sz w:val="18"/>
                                <w:szCs w:val="18"/>
                                <w:lang w:val="pt-BR"/>
                              </w:rPr>
                              <w:t>23</w:t>
                            </w:r>
                            <w:r w:rsidRPr="00AC5EBD">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F16C05">
                              <w:rPr>
                                <w:rFonts w:asciiTheme="majorHAnsi" w:hAnsiTheme="majorHAnsi"/>
                                <w:color w:val="595959" w:themeColor="text1" w:themeTint="A6"/>
                                <w:sz w:val="18"/>
                                <w:szCs w:val="18"/>
                                <w:lang w:val="es-ES"/>
                              </w:rPr>
                              <w:t>1670</w:t>
                            </w:r>
                            <w:r w:rsidR="000433C9">
                              <w:rPr>
                                <w:rFonts w:asciiTheme="majorHAnsi" w:hAnsiTheme="majorHAnsi"/>
                                <w:color w:val="595959" w:themeColor="text1" w:themeTint="A6"/>
                                <w:sz w:val="18"/>
                                <w:szCs w:val="18"/>
                                <w:lang w:val="es-ES"/>
                              </w:rPr>
                              <w:t>-</w:t>
                            </w:r>
                            <w:r w:rsidR="00F16C05">
                              <w:rPr>
                                <w:rFonts w:asciiTheme="majorHAnsi" w:hAnsiTheme="majorHAnsi"/>
                                <w:color w:val="595959" w:themeColor="text1" w:themeTint="A6"/>
                                <w:sz w:val="18"/>
                                <w:szCs w:val="18"/>
                                <w:lang w:val="es-ES"/>
                              </w:rPr>
                              <w:t>10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E15732">
                              <w:rPr>
                                <w:rFonts w:asciiTheme="majorHAnsi" w:hAnsiTheme="majorHAnsi"/>
                                <w:color w:val="595959" w:themeColor="text1" w:themeTint="A6"/>
                                <w:sz w:val="18"/>
                                <w:szCs w:val="18"/>
                                <w:lang w:val="es-ES_tradnl"/>
                              </w:rPr>
                              <w:t>Omar Gerardo Hernández Córdoba</w:t>
                            </w:r>
                            <w:r w:rsidRPr="00890650">
                              <w:rPr>
                                <w:rFonts w:asciiTheme="majorHAnsi" w:hAnsiTheme="majorHAnsi"/>
                                <w:color w:val="595959" w:themeColor="text1" w:themeTint="A6"/>
                                <w:sz w:val="18"/>
                                <w:szCs w:val="18"/>
                                <w:lang w:val="es-ES_tradnl"/>
                              </w:rPr>
                              <w:t xml:space="preserve">. </w:t>
                            </w:r>
                            <w:r w:rsidR="00E15732">
                              <w:rPr>
                                <w:rFonts w:asciiTheme="majorHAnsi" w:hAnsiTheme="majorHAnsi"/>
                                <w:color w:val="595959" w:themeColor="text1" w:themeTint="A6"/>
                                <w:sz w:val="18"/>
                                <w:szCs w:val="18"/>
                                <w:lang w:val="es-ES_tradnl"/>
                              </w:rPr>
                              <w:t>Costa Rica</w:t>
                            </w:r>
                            <w:r w:rsidRPr="00890650">
                              <w:rPr>
                                <w:rFonts w:asciiTheme="majorHAnsi" w:hAnsiTheme="majorHAnsi"/>
                                <w:color w:val="595959" w:themeColor="text1" w:themeTint="A6"/>
                                <w:sz w:val="18"/>
                                <w:szCs w:val="18"/>
                                <w:lang w:val="es-ES_tradnl"/>
                              </w:rPr>
                              <w:t xml:space="preserve">. </w:t>
                            </w:r>
                            <w:r w:rsidR="00665B99">
                              <w:rPr>
                                <w:rFonts w:asciiTheme="majorHAnsi" w:hAnsiTheme="majorHAnsi"/>
                                <w:color w:val="595959" w:themeColor="text1" w:themeTint="A6"/>
                                <w:sz w:val="18"/>
                                <w:szCs w:val="18"/>
                                <w:lang w:val="es-ES"/>
                              </w:rPr>
                              <w:t>1º de agosto de 2023</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3F4FC5AC"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C5EBD" w:rsidRPr="00AC5EBD">
                        <w:rPr>
                          <w:rFonts w:asciiTheme="majorHAnsi" w:hAnsiTheme="majorHAnsi"/>
                          <w:color w:val="595959" w:themeColor="text1" w:themeTint="A6"/>
                          <w:sz w:val="18"/>
                          <w:szCs w:val="18"/>
                          <w:lang w:val="pt-BR"/>
                        </w:rPr>
                        <w:t>123</w:t>
                      </w:r>
                      <w:r w:rsidR="007B05C4" w:rsidRPr="00AC5EBD">
                        <w:rPr>
                          <w:rFonts w:asciiTheme="majorHAnsi" w:hAnsiTheme="majorHAnsi"/>
                          <w:color w:val="595959" w:themeColor="text1" w:themeTint="A6"/>
                          <w:sz w:val="18"/>
                          <w:szCs w:val="18"/>
                          <w:lang w:val="pt-BR"/>
                        </w:rPr>
                        <w:t>/</w:t>
                      </w:r>
                      <w:r w:rsidR="00AC5EBD" w:rsidRPr="00AC5EBD">
                        <w:rPr>
                          <w:rFonts w:asciiTheme="majorHAnsi" w:hAnsiTheme="majorHAnsi"/>
                          <w:color w:val="595959" w:themeColor="text1" w:themeTint="A6"/>
                          <w:sz w:val="18"/>
                          <w:szCs w:val="18"/>
                          <w:lang w:val="pt-BR"/>
                        </w:rPr>
                        <w:t>23</w:t>
                      </w:r>
                      <w:r w:rsidRPr="00AC5EBD">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F16C05">
                        <w:rPr>
                          <w:rFonts w:asciiTheme="majorHAnsi" w:hAnsiTheme="majorHAnsi"/>
                          <w:color w:val="595959" w:themeColor="text1" w:themeTint="A6"/>
                          <w:sz w:val="18"/>
                          <w:szCs w:val="18"/>
                          <w:lang w:val="es-ES"/>
                        </w:rPr>
                        <w:t>1670</w:t>
                      </w:r>
                      <w:r w:rsidR="000433C9">
                        <w:rPr>
                          <w:rFonts w:asciiTheme="majorHAnsi" w:hAnsiTheme="majorHAnsi"/>
                          <w:color w:val="595959" w:themeColor="text1" w:themeTint="A6"/>
                          <w:sz w:val="18"/>
                          <w:szCs w:val="18"/>
                          <w:lang w:val="es-ES"/>
                        </w:rPr>
                        <w:t>-</w:t>
                      </w:r>
                      <w:r w:rsidR="00F16C05">
                        <w:rPr>
                          <w:rFonts w:asciiTheme="majorHAnsi" w:hAnsiTheme="majorHAnsi"/>
                          <w:color w:val="595959" w:themeColor="text1" w:themeTint="A6"/>
                          <w:sz w:val="18"/>
                          <w:szCs w:val="18"/>
                          <w:lang w:val="es-ES"/>
                        </w:rPr>
                        <w:t>10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E15732">
                        <w:rPr>
                          <w:rFonts w:asciiTheme="majorHAnsi" w:hAnsiTheme="majorHAnsi"/>
                          <w:color w:val="595959" w:themeColor="text1" w:themeTint="A6"/>
                          <w:sz w:val="18"/>
                          <w:szCs w:val="18"/>
                          <w:lang w:val="es-ES_tradnl"/>
                        </w:rPr>
                        <w:t>Omar Gerardo Hernández Córdoba</w:t>
                      </w:r>
                      <w:r w:rsidRPr="00890650">
                        <w:rPr>
                          <w:rFonts w:asciiTheme="majorHAnsi" w:hAnsiTheme="majorHAnsi"/>
                          <w:color w:val="595959" w:themeColor="text1" w:themeTint="A6"/>
                          <w:sz w:val="18"/>
                          <w:szCs w:val="18"/>
                          <w:lang w:val="es-ES_tradnl"/>
                        </w:rPr>
                        <w:t xml:space="preserve">. </w:t>
                      </w:r>
                      <w:r w:rsidR="00E15732">
                        <w:rPr>
                          <w:rFonts w:asciiTheme="majorHAnsi" w:hAnsiTheme="majorHAnsi"/>
                          <w:color w:val="595959" w:themeColor="text1" w:themeTint="A6"/>
                          <w:sz w:val="18"/>
                          <w:szCs w:val="18"/>
                          <w:lang w:val="es-ES_tradnl"/>
                        </w:rPr>
                        <w:t>Costa Rica</w:t>
                      </w:r>
                      <w:r w:rsidRPr="00890650">
                        <w:rPr>
                          <w:rFonts w:asciiTheme="majorHAnsi" w:hAnsiTheme="majorHAnsi"/>
                          <w:color w:val="595959" w:themeColor="text1" w:themeTint="A6"/>
                          <w:sz w:val="18"/>
                          <w:szCs w:val="18"/>
                          <w:lang w:val="es-ES_tradnl"/>
                        </w:rPr>
                        <w:t xml:space="preserve">. </w:t>
                      </w:r>
                      <w:r w:rsidR="00665B99">
                        <w:rPr>
                          <w:rFonts w:asciiTheme="majorHAnsi" w:hAnsiTheme="majorHAnsi"/>
                          <w:color w:val="595959" w:themeColor="text1" w:themeTint="A6"/>
                          <w:sz w:val="18"/>
                          <w:szCs w:val="18"/>
                          <w:lang w:val="es-ES"/>
                        </w:rPr>
                        <w:t>1º de agosto de 2023</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13309EDF" w:rsidR="00D72DC6" w:rsidRPr="00D72DC6" w:rsidRDefault="00F6551B" w:rsidP="00F02AD1">
                            <w:pPr>
                              <w:rPr>
                                <w:color w:val="FFFFFF" w:themeColor="background1"/>
                                <w14:textFill>
                                  <w14:noFill/>
                                </w14:textFill>
                              </w:rPr>
                            </w:pPr>
                            <w:r>
                              <w:rPr>
                                <w:noProof/>
                                <w:color w:val="FFFFFF" w:themeColor="background1"/>
                              </w:rPr>
                              <w:drawing>
                                <wp:inline distT="0" distB="0" distL="0" distR="0" wp14:anchorId="4B4B94D2" wp14:editId="2D9924E4">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13309EDF" w:rsidR="00D72DC6" w:rsidRPr="00D72DC6" w:rsidRDefault="00F6551B" w:rsidP="00F02AD1">
                      <w:pPr>
                        <w:rPr>
                          <w:color w:val="FFFFFF" w:themeColor="background1"/>
                          <w14:textFill>
                            <w14:noFill/>
                          </w14:textFill>
                        </w:rPr>
                      </w:pPr>
                      <w:r>
                        <w:rPr>
                          <w:noProof/>
                          <w:color w:val="FFFFFF" w:themeColor="background1"/>
                        </w:rPr>
                        <w:drawing>
                          <wp:inline distT="0" distB="0" distL="0" distR="0" wp14:anchorId="4B4B94D2" wp14:editId="2D9924E4">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636F92F3" w:rsidR="003239B8" w:rsidRPr="000D05CB" w:rsidRDefault="001E2981" w:rsidP="008D2290">
            <w:pPr>
              <w:jc w:val="both"/>
              <w:rPr>
                <w:rFonts w:ascii="Cambria" w:hAnsi="Cambria"/>
                <w:bCs/>
                <w:sz w:val="20"/>
                <w:szCs w:val="20"/>
              </w:rPr>
            </w:pPr>
            <w:r>
              <w:rPr>
                <w:rFonts w:ascii="Cambria" w:hAnsi="Cambria"/>
                <w:bCs/>
                <w:sz w:val="20"/>
                <w:szCs w:val="20"/>
              </w:rPr>
              <w:t>Alexander Rodríguez Campos</w:t>
            </w:r>
          </w:p>
        </w:tc>
      </w:tr>
      <w:tr w:rsidR="003239B8" w:rsidRPr="001E49E7"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1E2981" w:rsidRDefault="002B3248" w:rsidP="008D2290">
            <w:pPr>
              <w:jc w:val="center"/>
              <w:rPr>
                <w:rFonts w:ascii="Cambria" w:hAnsi="Cambria"/>
                <w:b/>
                <w:bCs/>
                <w:color w:val="FFFFFF" w:themeColor="background1"/>
                <w:sz w:val="20"/>
                <w:szCs w:val="20"/>
                <w:lang w:val="es-PE"/>
              </w:rPr>
            </w:pPr>
            <w:sdt>
              <w:sdtPr>
                <w:rPr>
                  <w:rFonts w:ascii="Cambria" w:hAnsi="Cambria"/>
                  <w:b/>
                  <w:bCs/>
                  <w:color w:val="FFFFFF" w:themeColor="background1"/>
                  <w:sz w:val="20"/>
                  <w:szCs w:val="20"/>
                  <w:lang w:val="es-PE"/>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1E2981">
                  <w:rPr>
                    <w:rFonts w:ascii="Cambria" w:hAnsi="Cambria"/>
                    <w:b/>
                    <w:bCs/>
                    <w:color w:val="FFFFFF" w:themeColor="background1"/>
                    <w:sz w:val="20"/>
                    <w:szCs w:val="20"/>
                    <w:lang w:val="es-PE"/>
                  </w:rPr>
                  <w:t>Presunta víctima</w:t>
                </w:r>
              </w:sdtContent>
            </w:sdt>
            <w:r w:rsidR="003239B8" w:rsidRPr="001E2981">
              <w:rPr>
                <w:rFonts w:ascii="Cambria" w:hAnsi="Cambria"/>
                <w:b/>
                <w:bCs/>
                <w:color w:val="FFFFFF" w:themeColor="background1"/>
                <w:sz w:val="20"/>
                <w:szCs w:val="20"/>
                <w:lang w:val="es-PE"/>
              </w:rPr>
              <w:t>:</w:t>
            </w:r>
          </w:p>
        </w:tc>
        <w:tc>
          <w:tcPr>
            <w:tcW w:w="5760" w:type="dxa"/>
            <w:vAlign w:val="center"/>
          </w:tcPr>
          <w:p w14:paraId="4AEBF59E" w14:textId="40CBC518" w:rsidR="003239B8" w:rsidRPr="001E2981" w:rsidRDefault="00E15732" w:rsidP="008D2290">
            <w:pPr>
              <w:jc w:val="both"/>
              <w:rPr>
                <w:rFonts w:ascii="Cambria" w:hAnsi="Cambria"/>
                <w:bCs/>
                <w:sz w:val="20"/>
                <w:szCs w:val="20"/>
                <w:lang w:val="es-PE"/>
              </w:rPr>
            </w:pPr>
            <w:r w:rsidRPr="001E2981">
              <w:rPr>
                <w:rFonts w:ascii="Cambria" w:hAnsi="Cambria"/>
                <w:bCs/>
                <w:sz w:val="20"/>
                <w:szCs w:val="20"/>
                <w:lang w:val="es-PE"/>
              </w:rPr>
              <w:t>Omar Gerardo Hernández Córdoba</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1E2981" w:rsidRDefault="003239B8" w:rsidP="008D2290">
            <w:pPr>
              <w:jc w:val="center"/>
              <w:rPr>
                <w:rFonts w:ascii="Cambria" w:hAnsi="Cambria"/>
                <w:b/>
                <w:bCs/>
                <w:color w:val="FFFFFF" w:themeColor="background1"/>
                <w:sz w:val="20"/>
                <w:szCs w:val="20"/>
                <w:lang w:val="es-PE"/>
              </w:rPr>
            </w:pPr>
            <w:r w:rsidRPr="001E2981">
              <w:rPr>
                <w:rFonts w:ascii="Cambria" w:hAnsi="Cambria"/>
                <w:b/>
                <w:bCs/>
                <w:color w:val="FFFFFF" w:themeColor="background1"/>
                <w:sz w:val="20"/>
                <w:szCs w:val="20"/>
                <w:lang w:val="es-PE"/>
              </w:rPr>
              <w:t>Estado denunciado:</w:t>
            </w:r>
          </w:p>
        </w:tc>
        <w:tc>
          <w:tcPr>
            <w:tcW w:w="5760" w:type="dxa"/>
            <w:vAlign w:val="center"/>
          </w:tcPr>
          <w:p w14:paraId="274C8A50" w14:textId="3A2B7788" w:rsidR="003239B8" w:rsidRPr="001E2981" w:rsidRDefault="00E15732" w:rsidP="008D2290">
            <w:pPr>
              <w:jc w:val="both"/>
              <w:rPr>
                <w:rFonts w:ascii="Cambria" w:hAnsi="Cambria"/>
                <w:bCs/>
                <w:sz w:val="20"/>
                <w:szCs w:val="20"/>
                <w:lang w:val="es-PE"/>
              </w:rPr>
            </w:pPr>
            <w:r w:rsidRPr="001E2981">
              <w:rPr>
                <w:rFonts w:ascii="Cambria" w:hAnsi="Cambria"/>
                <w:bCs/>
                <w:sz w:val="20"/>
                <w:szCs w:val="20"/>
                <w:lang w:val="es-PE"/>
              </w:rPr>
              <w:t>Costa Rica</w:t>
            </w:r>
          </w:p>
        </w:tc>
      </w:tr>
      <w:tr w:rsidR="00223A29" w:rsidRPr="00096A43"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1E2981" w:rsidRDefault="001B3A00" w:rsidP="00E4118C">
            <w:pPr>
              <w:jc w:val="center"/>
              <w:rPr>
                <w:rFonts w:ascii="Cambria" w:hAnsi="Cambria"/>
                <w:b/>
                <w:bCs/>
                <w:color w:val="FFFFFF" w:themeColor="background1"/>
                <w:sz w:val="20"/>
                <w:szCs w:val="20"/>
                <w:lang w:val="es-PE"/>
              </w:rPr>
            </w:pPr>
            <w:r w:rsidRPr="001E2981">
              <w:rPr>
                <w:rFonts w:ascii="Cambria" w:hAnsi="Cambria"/>
                <w:b/>
                <w:bCs/>
                <w:color w:val="FFFFFF" w:themeColor="background1"/>
                <w:sz w:val="20"/>
                <w:szCs w:val="20"/>
                <w:lang w:val="es-PE"/>
              </w:rPr>
              <w:t xml:space="preserve">Derechos </w:t>
            </w:r>
            <w:r w:rsidR="00E4118C" w:rsidRPr="001E2981">
              <w:rPr>
                <w:rFonts w:ascii="Cambria" w:hAnsi="Cambria"/>
                <w:b/>
                <w:bCs/>
                <w:color w:val="FFFFFF" w:themeColor="background1"/>
                <w:sz w:val="20"/>
                <w:szCs w:val="20"/>
                <w:lang w:val="es-PE"/>
              </w:rPr>
              <w:t>invocados</w:t>
            </w:r>
            <w:r w:rsidRPr="001E2981">
              <w:rPr>
                <w:rFonts w:ascii="Cambria" w:hAnsi="Cambria"/>
                <w:b/>
                <w:bCs/>
                <w:color w:val="FFFFFF" w:themeColor="background1"/>
                <w:sz w:val="20"/>
                <w:szCs w:val="20"/>
                <w:lang w:val="es-PE"/>
              </w:rPr>
              <w:t>:</w:t>
            </w:r>
          </w:p>
        </w:tc>
        <w:tc>
          <w:tcPr>
            <w:tcW w:w="5760" w:type="dxa"/>
            <w:vAlign w:val="center"/>
          </w:tcPr>
          <w:p w14:paraId="6DEE1EEB" w14:textId="1CFBEEDB" w:rsidR="00223A29" w:rsidRPr="001E2981" w:rsidRDefault="001E2981" w:rsidP="008D2290">
            <w:pPr>
              <w:jc w:val="both"/>
              <w:rPr>
                <w:rFonts w:ascii="Cambria" w:hAnsi="Cambria"/>
                <w:bCs/>
                <w:sz w:val="20"/>
                <w:szCs w:val="20"/>
                <w:lang w:val="es-PE"/>
              </w:rPr>
            </w:pPr>
            <w:r w:rsidRPr="001E2981">
              <w:rPr>
                <w:rFonts w:ascii="Cambria" w:hAnsi="Cambria"/>
                <w:bCs/>
                <w:sz w:val="20"/>
                <w:szCs w:val="20"/>
                <w:lang w:val="es-PE"/>
              </w:rPr>
              <w:t>Artículos</w:t>
            </w:r>
            <w:r w:rsidR="005A7A21">
              <w:rPr>
                <w:rFonts w:ascii="Cambria" w:hAnsi="Cambria"/>
                <w:bCs/>
                <w:sz w:val="20"/>
                <w:szCs w:val="20"/>
                <w:lang w:val="es-PE"/>
              </w:rPr>
              <w:t xml:space="preserve"> </w:t>
            </w:r>
            <w:r w:rsidR="005A7A21">
              <w:rPr>
                <w:rFonts w:ascii="Cambria" w:hAnsi="Cambria"/>
                <w:bCs/>
                <w:sz w:val="20"/>
                <w:szCs w:val="20"/>
                <w:lang w:val="es-ES"/>
              </w:rPr>
              <w:t>8 (garantías judiciales) y 25 (protección judicial) de la Convención Americana sobre Derechos Humanos</w:t>
            </w:r>
            <w:r w:rsidR="005A7A21">
              <w:rPr>
                <w:rStyle w:val="FootnoteReference"/>
                <w:rFonts w:ascii="Cambria" w:hAnsi="Cambria"/>
                <w:bCs/>
                <w:sz w:val="20"/>
                <w:szCs w:val="20"/>
                <w:lang w:val="es-ES"/>
              </w:rPr>
              <w:footnoteReference w:id="2"/>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4EDEBF53" w:rsidR="004C2312" w:rsidRPr="003239B8" w:rsidRDefault="00463ABA" w:rsidP="002625EA">
            <w:pPr>
              <w:jc w:val="both"/>
              <w:rPr>
                <w:rFonts w:ascii="Cambria" w:hAnsi="Cambria"/>
                <w:bCs/>
                <w:sz w:val="20"/>
                <w:szCs w:val="20"/>
                <w:lang w:val="es-ES"/>
              </w:rPr>
            </w:pPr>
            <w:r>
              <w:rPr>
                <w:rFonts w:ascii="Cambria" w:hAnsi="Cambria"/>
                <w:bCs/>
                <w:sz w:val="20"/>
                <w:szCs w:val="20"/>
                <w:lang w:val="es-ES"/>
              </w:rPr>
              <w:t>22 de noviembre de 2010</w:t>
            </w:r>
          </w:p>
        </w:tc>
      </w:tr>
      <w:tr w:rsidR="00131425" w:rsidRPr="00096A43"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3055600B" w:rsidR="00131425" w:rsidRPr="003239B8" w:rsidRDefault="00C430BC" w:rsidP="002625EA">
            <w:pPr>
              <w:jc w:val="both"/>
              <w:rPr>
                <w:rFonts w:ascii="Cambria" w:hAnsi="Cambria"/>
                <w:bCs/>
                <w:sz w:val="20"/>
                <w:szCs w:val="20"/>
                <w:lang w:val="es-ES"/>
              </w:rPr>
            </w:pPr>
            <w:r>
              <w:rPr>
                <w:rFonts w:ascii="Cambria" w:hAnsi="Cambria"/>
                <w:bCs/>
                <w:sz w:val="20"/>
                <w:szCs w:val="20"/>
                <w:lang w:val="es-ES"/>
              </w:rPr>
              <w:t>13 de diciembre de 2010</w:t>
            </w:r>
            <w:r w:rsidR="00742E50">
              <w:rPr>
                <w:rFonts w:ascii="Cambria" w:hAnsi="Cambria"/>
                <w:bCs/>
                <w:sz w:val="20"/>
                <w:szCs w:val="20"/>
                <w:lang w:val="es-ES"/>
              </w:rPr>
              <w:t xml:space="preserve"> y 18 de septiembre de 2014</w:t>
            </w:r>
          </w:p>
        </w:tc>
      </w:tr>
      <w:tr w:rsidR="004C2312" w:rsidRPr="00F16C05"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366D5D9F" w:rsidR="004C2312" w:rsidRPr="003239B8" w:rsidRDefault="00E01700" w:rsidP="008D2290">
            <w:pPr>
              <w:jc w:val="both"/>
              <w:rPr>
                <w:rFonts w:ascii="Cambria" w:hAnsi="Cambria"/>
                <w:bCs/>
                <w:sz w:val="20"/>
                <w:szCs w:val="20"/>
                <w:lang w:val="es-ES"/>
              </w:rPr>
            </w:pPr>
            <w:r>
              <w:rPr>
                <w:rFonts w:ascii="Cambria" w:hAnsi="Cambria"/>
                <w:bCs/>
                <w:sz w:val="20"/>
                <w:szCs w:val="20"/>
                <w:lang w:val="es-ES"/>
              </w:rPr>
              <w:t>17 de octubre de 2016</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6D1974D0" w:rsidR="004C2312" w:rsidRPr="003239B8" w:rsidRDefault="00381CAE" w:rsidP="008D2290">
            <w:pPr>
              <w:jc w:val="both"/>
              <w:rPr>
                <w:rFonts w:ascii="Cambria" w:hAnsi="Cambria"/>
                <w:bCs/>
                <w:sz w:val="20"/>
                <w:szCs w:val="20"/>
                <w:lang w:val="es-ES"/>
              </w:rPr>
            </w:pPr>
            <w:r>
              <w:rPr>
                <w:rFonts w:ascii="Cambria" w:hAnsi="Cambria"/>
                <w:bCs/>
                <w:sz w:val="20"/>
                <w:szCs w:val="20"/>
                <w:lang w:val="es-ES"/>
              </w:rPr>
              <w:t>17 de febrero de 2017</w:t>
            </w:r>
          </w:p>
        </w:tc>
      </w:tr>
      <w:tr w:rsidR="004C2312" w:rsidRPr="00096A43"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760" w:type="dxa"/>
            <w:vAlign w:val="center"/>
          </w:tcPr>
          <w:p w14:paraId="3CE49AFE" w14:textId="15D298A2" w:rsidR="004C2312" w:rsidRPr="004740F6" w:rsidRDefault="00FE39D5" w:rsidP="008D2290">
            <w:pPr>
              <w:jc w:val="both"/>
              <w:rPr>
                <w:rFonts w:ascii="Cambria" w:hAnsi="Cambria"/>
                <w:bCs/>
                <w:sz w:val="20"/>
                <w:szCs w:val="20"/>
                <w:lang w:val="es-US"/>
              </w:rPr>
            </w:pPr>
            <w:r w:rsidRPr="004740F6">
              <w:rPr>
                <w:rFonts w:ascii="Cambria" w:hAnsi="Cambria"/>
                <w:bCs/>
                <w:sz w:val="20"/>
                <w:szCs w:val="20"/>
                <w:lang w:val="es-US"/>
              </w:rPr>
              <w:t xml:space="preserve">14 de junio de 2022 y </w:t>
            </w:r>
            <w:r w:rsidR="00E70DCA" w:rsidRPr="004740F6">
              <w:rPr>
                <w:rFonts w:ascii="Cambria" w:hAnsi="Cambria"/>
                <w:bCs/>
                <w:sz w:val="20"/>
                <w:szCs w:val="20"/>
                <w:lang w:val="es-US"/>
              </w:rPr>
              <w:t>13 de septiembre de 2022</w:t>
            </w:r>
          </w:p>
        </w:tc>
      </w:tr>
      <w:tr w:rsidR="001E49E7" w:rsidRPr="007B76D3" w14:paraId="0F502B44" w14:textId="77777777" w:rsidTr="004A6A54">
        <w:tc>
          <w:tcPr>
            <w:tcW w:w="3600" w:type="dxa"/>
            <w:tcBorders>
              <w:top w:val="single" w:sz="6" w:space="0" w:color="auto"/>
              <w:bottom w:val="single" w:sz="6" w:space="0" w:color="auto"/>
            </w:tcBorders>
            <w:shd w:val="clear" w:color="auto" w:fill="386294"/>
            <w:vAlign w:val="center"/>
          </w:tcPr>
          <w:p w14:paraId="046FEDC0" w14:textId="71E42F00"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5500808B" w14:textId="6014D6C3" w:rsidR="001E49E7" w:rsidRPr="003239B8" w:rsidRDefault="00942085" w:rsidP="002625EA">
            <w:pPr>
              <w:jc w:val="both"/>
              <w:rPr>
                <w:rFonts w:ascii="Cambria" w:hAnsi="Cambria"/>
                <w:bCs/>
                <w:sz w:val="20"/>
                <w:szCs w:val="20"/>
                <w:lang w:val="es-ES"/>
              </w:rPr>
            </w:pPr>
            <w:r>
              <w:rPr>
                <w:rFonts w:ascii="Cambria" w:hAnsi="Cambria"/>
                <w:bCs/>
                <w:sz w:val="20"/>
                <w:szCs w:val="20"/>
                <w:lang w:val="es-ES"/>
              </w:rPr>
              <w:t>21 de diciembre de 2021</w:t>
            </w:r>
          </w:p>
        </w:tc>
      </w:tr>
      <w:tr w:rsidR="001E49E7" w:rsidRPr="00096A43" w14:paraId="789A7AF7" w14:textId="77777777" w:rsidTr="004A6A54">
        <w:tc>
          <w:tcPr>
            <w:tcW w:w="3600" w:type="dxa"/>
            <w:tcBorders>
              <w:top w:val="single" w:sz="6" w:space="0" w:color="auto"/>
              <w:bottom w:val="single" w:sz="6" w:space="0" w:color="auto"/>
            </w:tcBorders>
            <w:shd w:val="clear" w:color="auto" w:fill="386294"/>
            <w:vAlign w:val="center"/>
          </w:tcPr>
          <w:p w14:paraId="11989038" w14:textId="59EC032B"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14:paraId="24E176E2" w14:textId="16FF2A12" w:rsidR="001E49E7" w:rsidRPr="003239B8" w:rsidRDefault="00792ADC" w:rsidP="002625EA">
            <w:pPr>
              <w:jc w:val="both"/>
              <w:rPr>
                <w:rFonts w:ascii="Cambria" w:hAnsi="Cambria"/>
                <w:bCs/>
                <w:sz w:val="20"/>
                <w:szCs w:val="20"/>
                <w:lang w:val="es-ES"/>
              </w:rPr>
            </w:pPr>
            <w:r>
              <w:rPr>
                <w:rFonts w:ascii="Cambria" w:hAnsi="Cambria"/>
                <w:bCs/>
                <w:sz w:val="20"/>
                <w:szCs w:val="20"/>
                <w:lang w:val="es-ES"/>
              </w:rPr>
              <w:t>3 de enero de 2022</w:t>
            </w:r>
            <w:r w:rsidR="007948D3">
              <w:rPr>
                <w:rFonts w:ascii="Cambria" w:hAnsi="Cambria"/>
                <w:bCs/>
                <w:sz w:val="20"/>
                <w:szCs w:val="20"/>
                <w:lang w:val="es-ES"/>
              </w:rPr>
              <w:t xml:space="preserve"> y 20 de abril de 2022</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773541">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76" w:type="dxa"/>
            <w:vAlign w:val="center"/>
          </w:tcPr>
          <w:p w14:paraId="7707F3E9" w14:textId="050A7746" w:rsidR="003239B8" w:rsidRPr="00B3745F" w:rsidRDefault="0095107E" w:rsidP="008D2290">
            <w:pPr>
              <w:rPr>
                <w:rFonts w:ascii="Cambria" w:hAnsi="Cambria"/>
                <w:bCs/>
                <w:sz w:val="20"/>
                <w:szCs w:val="20"/>
              </w:rPr>
            </w:pPr>
            <w:r>
              <w:rPr>
                <w:rFonts w:ascii="Cambria" w:hAnsi="Cambria"/>
                <w:bCs/>
                <w:sz w:val="20"/>
                <w:szCs w:val="20"/>
                <w:lang w:val="es-ES"/>
              </w:rPr>
              <w:t>Sí</w:t>
            </w:r>
          </w:p>
        </w:tc>
      </w:tr>
      <w:tr w:rsidR="003239B8" w:rsidRPr="00540F17" w14:paraId="4B8802DA" w14:textId="77777777" w:rsidTr="00773541">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6" w:type="dxa"/>
            <w:vAlign w:val="center"/>
          </w:tcPr>
          <w:p w14:paraId="12C931CB" w14:textId="6CA4B040" w:rsidR="003239B8" w:rsidRPr="00B3745F" w:rsidRDefault="0095107E" w:rsidP="008D2290">
            <w:pPr>
              <w:rPr>
                <w:rFonts w:ascii="Cambria" w:hAnsi="Cambria"/>
                <w:bCs/>
                <w:sz w:val="20"/>
                <w:szCs w:val="20"/>
              </w:rPr>
            </w:pPr>
            <w:r>
              <w:rPr>
                <w:rFonts w:ascii="Cambria" w:hAnsi="Cambria"/>
                <w:bCs/>
                <w:sz w:val="20"/>
                <w:szCs w:val="20"/>
                <w:lang w:val="es-ES"/>
              </w:rPr>
              <w:t>Sí</w:t>
            </w:r>
          </w:p>
        </w:tc>
      </w:tr>
      <w:tr w:rsidR="003239B8" w:rsidRPr="00540F17" w14:paraId="4362FDF3" w14:textId="77777777" w:rsidTr="00773541">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76" w:type="dxa"/>
            <w:vAlign w:val="center"/>
          </w:tcPr>
          <w:p w14:paraId="6F8B059B" w14:textId="490C018F" w:rsidR="003239B8" w:rsidRPr="00B3745F" w:rsidRDefault="0095107E" w:rsidP="008D2290">
            <w:pPr>
              <w:rPr>
                <w:rFonts w:ascii="Cambria" w:hAnsi="Cambria"/>
                <w:bCs/>
                <w:sz w:val="20"/>
                <w:szCs w:val="20"/>
              </w:rPr>
            </w:pPr>
            <w:r>
              <w:rPr>
                <w:rFonts w:ascii="Cambria" w:hAnsi="Cambria"/>
                <w:bCs/>
                <w:sz w:val="20"/>
                <w:szCs w:val="20"/>
                <w:lang w:val="es-ES"/>
              </w:rPr>
              <w:t>Sí</w:t>
            </w:r>
          </w:p>
        </w:tc>
      </w:tr>
      <w:tr w:rsidR="003239B8" w:rsidRPr="00096A43" w14:paraId="30ABEC3E" w14:textId="77777777" w:rsidTr="00773541">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76" w:type="dxa"/>
            <w:vAlign w:val="center"/>
          </w:tcPr>
          <w:p w14:paraId="0C122F44" w14:textId="195AE6C4" w:rsidR="003239B8" w:rsidRPr="00B3745F" w:rsidRDefault="0095107E" w:rsidP="008D2290">
            <w:pPr>
              <w:jc w:val="both"/>
              <w:rPr>
                <w:rFonts w:ascii="Cambria" w:hAnsi="Cambria"/>
                <w:bCs/>
                <w:sz w:val="20"/>
                <w:szCs w:val="20"/>
                <w:lang w:val="es-ES"/>
              </w:rPr>
            </w:pPr>
            <w:r>
              <w:rPr>
                <w:rFonts w:ascii="Cambria" w:hAnsi="Cambria"/>
                <w:bCs/>
                <w:sz w:val="20"/>
                <w:szCs w:val="20"/>
                <w:lang w:val="es-ES"/>
              </w:rPr>
              <w:t>Sí, Convención Americana (depósito del instrumento de ratificación realizado el 8 de abril de 1970)</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F74FF2" w14:paraId="1231C988" w14:textId="77777777" w:rsidTr="00773541">
        <w:trPr>
          <w:cantSplit/>
        </w:trPr>
        <w:tc>
          <w:tcPr>
            <w:tcW w:w="3566" w:type="dxa"/>
            <w:tcBorders>
              <w:top w:val="single" w:sz="4" w:space="0" w:color="auto"/>
              <w:bottom w:val="single" w:sz="6" w:space="0" w:color="auto"/>
            </w:tcBorders>
            <w:shd w:val="clear" w:color="auto" w:fill="386294"/>
            <w:vAlign w:val="center"/>
          </w:tcPr>
          <w:p w14:paraId="6F8031F4" w14:textId="77777777" w:rsidR="00EE00E9" w:rsidRPr="005A63FA" w:rsidRDefault="00EE00E9" w:rsidP="008D2290">
            <w:pPr>
              <w:jc w:val="center"/>
              <w:rPr>
                <w:rFonts w:ascii="Cambria" w:hAnsi="Cambria"/>
                <w:b/>
                <w:bCs/>
                <w:color w:val="FFFFFF" w:themeColor="background1"/>
                <w:sz w:val="20"/>
                <w:szCs w:val="20"/>
                <w:lang w:val="es-AR"/>
              </w:rPr>
            </w:pPr>
            <w:r w:rsidRPr="005A63FA">
              <w:rPr>
                <w:rFonts w:ascii="Cambria" w:hAnsi="Cambria"/>
                <w:b/>
                <w:bCs/>
                <w:color w:val="FFFFFF" w:themeColor="background1"/>
                <w:sz w:val="20"/>
                <w:szCs w:val="20"/>
                <w:lang w:val="es-AR"/>
              </w:rPr>
              <w:t>Duplicación de procedimientos y cosa juzgada internacional:</w:t>
            </w:r>
          </w:p>
        </w:tc>
        <w:tc>
          <w:tcPr>
            <w:tcW w:w="5771" w:type="dxa"/>
            <w:vAlign w:val="center"/>
          </w:tcPr>
          <w:p w14:paraId="240941E6" w14:textId="62B5BD72" w:rsidR="00EE00E9" w:rsidRPr="005A63FA" w:rsidRDefault="005A63FA" w:rsidP="008D2290">
            <w:pPr>
              <w:jc w:val="both"/>
              <w:rPr>
                <w:rFonts w:ascii="Cambria" w:hAnsi="Cambria"/>
                <w:bCs/>
                <w:sz w:val="20"/>
                <w:szCs w:val="20"/>
                <w:lang w:val="es-AR"/>
              </w:rPr>
            </w:pPr>
            <w:r w:rsidRPr="005A63FA">
              <w:rPr>
                <w:rFonts w:ascii="Cambria" w:hAnsi="Cambria"/>
                <w:bCs/>
                <w:sz w:val="20"/>
                <w:szCs w:val="20"/>
                <w:lang w:val="es-AR"/>
              </w:rPr>
              <w:t>No</w:t>
            </w:r>
          </w:p>
        </w:tc>
      </w:tr>
      <w:tr w:rsidR="003239B8" w:rsidRPr="002021CE" w14:paraId="15FAA7D1" w14:textId="77777777" w:rsidTr="00773541">
        <w:trPr>
          <w:cantSplit/>
        </w:trPr>
        <w:tc>
          <w:tcPr>
            <w:tcW w:w="3566" w:type="dxa"/>
            <w:tcBorders>
              <w:top w:val="single" w:sz="4" w:space="0" w:color="auto"/>
              <w:bottom w:val="single" w:sz="6" w:space="0" w:color="auto"/>
            </w:tcBorders>
            <w:shd w:val="clear" w:color="auto" w:fill="386294"/>
            <w:vAlign w:val="center"/>
          </w:tcPr>
          <w:p w14:paraId="1B0D29FF" w14:textId="77777777" w:rsidR="003239B8" w:rsidRPr="005A63FA" w:rsidRDefault="003239B8" w:rsidP="008D2290">
            <w:pPr>
              <w:jc w:val="center"/>
              <w:rPr>
                <w:rFonts w:ascii="Cambria" w:hAnsi="Cambria"/>
                <w:b/>
                <w:bCs/>
                <w:i/>
                <w:color w:val="FFFFFF" w:themeColor="background1"/>
                <w:sz w:val="20"/>
                <w:szCs w:val="20"/>
                <w:lang w:val="es-AR"/>
              </w:rPr>
            </w:pPr>
            <w:r w:rsidRPr="005A63FA">
              <w:rPr>
                <w:rFonts w:ascii="Cambria" w:hAnsi="Cambria"/>
                <w:b/>
                <w:bCs/>
                <w:color w:val="FFFFFF" w:themeColor="background1"/>
                <w:sz w:val="20"/>
                <w:szCs w:val="20"/>
                <w:lang w:val="es-AR"/>
              </w:rPr>
              <w:t>Derechos declarados admisibles</w:t>
            </w:r>
            <w:r w:rsidRPr="005A63FA">
              <w:rPr>
                <w:rFonts w:ascii="Cambria" w:hAnsi="Cambria"/>
                <w:b/>
                <w:bCs/>
                <w:i/>
                <w:color w:val="FFFFFF" w:themeColor="background1"/>
                <w:sz w:val="20"/>
                <w:szCs w:val="20"/>
                <w:lang w:val="es-AR"/>
              </w:rPr>
              <w:t>:</w:t>
            </w:r>
          </w:p>
        </w:tc>
        <w:tc>
          <w:tcPr>
            <w:tcW w:w="5771" w:type="dxa"/>
            <w:vAlign w:val="center"/>
          </w:tcPr>
          <w:p w14:paraId="6310C8F7" w14:textId="1912DADE" w:rsidR="003239B8" w:rsidRPr="005A63FA" w:rsidRDefault="00EC79DF" w:rsidP="008D2290">
            <w:pPr>
              <w:jc w:val="both"/>
              <w:rPr>
                <w:rFonts w:ascii="Cambria" w:hAnsi="Cambria"/>
                <w:bCs/>
                <w:sz w:val="20"/>
                <w:szCs w:val="20"/>
                <w:lang w:val="es-AR"/>
              </w:rPr>
            </w:pPr>
            <w:r>
              <w:rPr>
                <w:rFonts w:ascii="Cambria" w:hAnsi="Cambria"/>
                <w:bCs/>
                <w:sz w:val="20"/>
                <w:szCs w:val="20"/>
                <w:lang w:val="es-AR"/>
              </w:rPr>
              <w:t>Ninguno</w:t>
            </w:r>
          </w:p>
        </w:tc>
      </w:tr>
      <w:tr w:rsidR="003239B8" w:rsidRPr="00096A43" w14:paraId="4EFD141E" w14:textId="77777777" w:rsidTr="00773541">
        <w:trPr>
          <w:cantSplit/>
        </w:trPr>
        <w:tc>
          <w:tcPr>
            <w:tcW w:w="3566" w:type="dxa"/>
            <w:tcBorders>
              <w:top w:val="single" w:sz="6" w:space="0" w:color="auto"/>
              <w:bottom w:val="single" w:sz="6" w:space="0" w:color="auto"/>
            </w:tcBorders>
            <w:shd w:val="clear" w:color="auto" w:fill="386294"/>
            <w:vAlign w:val="center"/>
          </w:tcPr>
          <w:p w14:paraId="4C04A89C" w14:textId="77777777" w:rsidR="003239B8" w:rsidRPr="005A63FA" w:rsidRDefault="003239B8" w:rsidP="008D2290">
            <w:pPr>
              <w:jc w:val="center"/>
              <w:rPr>
                <w:rFonts w:ascii="Cambria" w:hAnsi="Cambria"/>
                <w:b/>
                <w:bCs/>
                <w:color w:val="FFFFFF" w:themeColor="background1"/>
                <w:sz w:val="20"/>
                <w:szCs w:val="20"/>
                <w:lang w:val="es-AR"/>
              </w:rPr>
            </w:pPr>
            <w:r w:rsidRPr="005A63FA">
              <w:rPr>
                <w:rFonts w:ascii="Cambria" w:hAnsi="Cambria"/>
                <w:b/>
                <w:bCs/>
                <w:color w:val="FFFFFF" w:themeColor="background1"/>
                <w:sz w:val="20"/>
                <w:szCs w:val="20"/>
                <w:lang w:val="es-AR"/>
              </w:rPr>
              <w:t>Agotamiento de recursos internos</w:t>
            </w:r>
            <w:r w:rsidR="00EE00E9" w:rsidRPr="005A63FA">
              <w:rPr>
                <w:rFonts w:ascii="Cambria" w:hAnsi="Cambria"/>
                <w:b/>
                <w:bCs/>
                <w:color w:val="FFFFFF" w:themeColor="background1"/>
                <w:sz w:val="20"/>
                <w:szCs w:val="20"/>
                <w:lang w:val="es-AR"/>
              </w:rPr>
              <w:t xml:space="preserve"> o procedencia de una excepción</w:t>
            </w:r>
            <w:r w:rsidRPr="005A63FA">
              <w:rPr>
                <w:rFonts w:ascii="Cambria" w:hAnsi="Cambria"/>
                <w:b/>
                <w:bCs/>
                <w:color w:val="FFFFFF" w:themeColor="background1"/>
                <w:sz w:val="20"/>
                <w:szCs w:val="20"/>
                <w:lang w:val="es-AR"/>
              </w:rPr>
              <w:t>:</w:t>
            </w:r>
          </w:p>
        </w:tc>
        <w:tc>
          <w:tcPr>
            <w:tcW w:w="5771" w:type="dxa"/>
            <w:vAlign w:val="center"/>
          </w:tcPr>
          <w:p w14:paraId="69C53E8A" w14:textId="39435E21" w:rsidR="003239B8" w:rsidRPr="005A63FA" w:rsidRDefault="001B36E2" w:rsidP="008D2290">
            <w:pPr>
              <w:rPr>
                <w:rFonts w:ascii="Cambria" w:hAnsi="Cambria"/>
                <w:bCs/>
                <w:sz w:val="20"/>
                <w:szCs w:val="20"/>
                <w:lang w:val="es-AR"/>
              </w:rPr>
            </w:pPr>
            <w:r>
              <w:rPr>
                <w:rFonts w:ascii="Cambria" w:hAnsi="Cambria"/>
                <w:bCs/>
                <w:sz w:val="20"/>
                <w:szCs w:val="20"/>
                <w:lang w:val="es-AR"/>
              </w:rPr>
              <w:t>Sí, en los términos de la sección VII</w:t>
            </w:r>
          </w:p>
        </w:tc>
      </w:tr>
      <w:tr w:rsidR="003239B8" w:rsidRPr="00096A43" w14:paraId="52B5BA17" w14:textId="77777777" w:rsidTr="00773541">
        <w:trPr>
          <w:cantSplit/>
        </w:trPr>
        <w:tc>
          <w:tcPr>
            <w:tcW w:w="3566" w:type="dxa"/>
            <w:tcBorders>
              <w:top w:val="single" w:sz="6" w:space="0" w:color="auto"/>
              <w:bottom w:val="single" w:sz="6" w:space="0" w:color="auto"/>
            </w:tcBorders>
            <w:shd w:val="clear" w:color="auto" w:fill="386294"/>
            <w:vAlign w:val="center"/>
          </w:tcPr>
          <w:p w14:paraId="5DF99086" w14:textId="77777777" w:rsidR="003239B8" w:rsidRPr="005A63FA" w:rsidRDefault="003239B8" w:rsidP="008D2290">
            <w:pPr>
              <w:jc w:val="center"/>
              <w:rPr>
                <w:rFonts w:ascii="Cambria" w:hAnsi="Cambria"/>
                <w:b/>
                <w:bCs/>
                <w:color w:val="FFFFFF" w:themeColor="background1"/>
                <w:sz w:val="20"/>
                <w:szCs w:val="20"/>
                <w:lang w:val="es-AR"/>
              </w:rPr>
            </w:pPr>
            <w:r w:rsidRPr="005A63FA">
              <w:rPr>
                <w:rFonts w:ascii="Cambria" w:hAnsi="Cambria"/>
                <w:b/>
                <w:bCs/>
                <w:color w:val="FFFFFF" w:themeColor="background1"/>
                <w:sz w:val="20"/>
                <w:szCs w:val="20"/>
                <w:lang w:val="es-AR"/>
              </w:rPr>
              <w:t>Presentación dentro de plazo:</w:t>
            </w:r>
          </w:p>
        </w:tc>
        <w:tc>
          <w:tcPr>
            <w:tcW w:w="5771" w:type="dxa"/>
            <w:vAlign w:val="center"/>
          </w:tcPr>
          <w:p w14:paraId="4A2A4569" w14:textId="4953D8B6" w:rsidR="003239B8" w:rsidRPr="005A63FA" w:rsidRDefault="001B36E2" w:rsidP="008D2290">
            <w:pPr>
              <w:rPr>
                <w:rFonts w:ascii="Cambria" w:hAnsi="Cambria"/>
                <w:bCs/>
                <w:sz w:val="20"/>
                <w:szCs w:val="20"/>
                <w:lang w:val="es-AR"/>
              </w:rPr>
            </w:pPr>
            <w:r>
              <w:rPr>
                <w:rFonts w:ascii="Cambria" w:hAnsi="Cambria"/>
                <w:bCs/>
                <w:sz w:val="20"/>
                <w:szCs w:val="20"/>
                <w:lang w:val="es-AR"/>
              </w:rPr>
              <w:t>Sí, en los términos de la sección VII</w:t>
            </w:r>
          </w:p>
        </w:tc>
      </w:tr>
    </w:tbl>
    <w:p w14:paraId="18E6423B" w14:textId="6506CBA0" w:rsidR="003239B8" w:rsidRPr="00FF1B07" w:rsidRDefault="00223A29" w:rsidP="003239B8">
      <w:pPr>
        <w:spacing w:before="240" w:after="240"/>
        <w:ind w:firstLine="720"/>
        <w:jc w:val="both"/>
        <w:rPr>
          <w:rFonts w:asciiTheme="majorHAnsi" w:hAnsiTheme="majorHAnsi"/>
          <w:b/>
          <w:sz w:val="20"/>
          <w:szCs w:val="20"/>
          <w:lang w:val="es-ES_tradnl"/>
        </w:rPr>
      </w:pPr>
      <w:r>
        <w:rPr>
          <w:rFonts w:asciiTheme="majorHAnsi" w:hAnsiTheme="majorHAnsi"/>
          <w:b/>
          <w:sz w:val="20"/>
          <w:szCs w:val="20"/>
          <w:lang w:val="es-UY"/>
        </w:rPr>
        <w:t xml:space="preserve">V. </w:t>
      </w:r>
      <w:r>
        <w:rPr>
          <w:rFonts w:asciiTheme="majorHAnsi" w:hAnsiTheme="majorHAnsi"/>
          <w:b/>
          <w:sz w:val="20"/>
          <w:szCs w:val="20"/>
          <w:lang w:val="es-UY"/>
        </w:rPr>
        <w:tab/>
      </w:r>
      <w:r w:rsidR="00867314" w:rsidRPr="00FF1B07">
        <w:rPr>
          <w:rFonts w:asciiTheme="majorHAnsi" w:hAnsiTheme="majorHAnsi"/>
          <w:b/>
          <w:sz w:val="20"/>
          <w:szCs w:val="20"/>
          <w:lang w:val="es-ES_tradnl"/>
        </w:rPr>
        <w:t>POSICIÓN DE LAS PARTES</w:t>
      </w:r>
    </w:p>
    <w:p w14:paraId="50BEA09A" w14:textId="68F19F39" w:rsidR="00253744" w:rsidRPr="00FF1B07" w:rsidRDefault="00253744" w:rsidP="003239B8">
      <w:pPr>
        <w:spacing w:before="240" w:after="240"/>
        <w:ind w:firstLine="720"/>
        <w:jc w:val="both"/>
        <w:rPr>
          <w:rFonts w:asciiTheme="majorHAnsi" w:hAnsiTheme="majorHAnsi"/>
          <w:bCs/>
          <w:i/>
          <w:iCs/>
          <w:sz w:val="20"/>
          <w:szCs w:val="20"/>
          <w:lang w:val="es-ES_tradnl"/>
        </w:rPr>
      </w:pPr>
      <w:r w:rsidRPr="00FF1B07">
        <w:rPr>
          <w:rFonts w:asciiTheme="majorHAnsi" w:hAnsiTheme="majorHAnsi"/>
          <w:bCs/>
          <w:i/>
          <w:iCs/>
          <w:sz w:val="20"/>
          <w:szCs w:val="20"/>
          <w:lang w:val="es-ES_tradnl"/>
        </w:rPr>
        <w:t>Alegatos de la parte peticionaria</w:t>
      </w:r>
    </w:p>
    <w:p w14:paraId="19EBAEB3" w14:textId="65E47432" w:rsidR="008C5E2D" w:rsidRPr="00FF1B07" w:rsidRDefault="00183342" w:rsidP="0018334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F1B07">
        <w:rPr>
          <w:rFonts w:asciiTheme="majorHAnsi" w:hAnsiTheme="majorHAnsi"/>
          <w:sz w:val="20"/>
          <w:szCs w:val="20"/>
          <w:lang w:val="es-ES_tradnl"/>
        </w:rPr>
        <w:t>La parte peticionaria denuncia que el señor Hernández Córdoba no tuvo acceso a un recurso que permita la revisión integral de su condena por el delito de homicidio calificado y robo agravado. Asimismo, afirma que tal sanción penal también afectó otras garantías judiciales, debido a las irregularidades cometidas durante el proceso y</w:t>
      </w:r>
      <w:r w:rsidR="00BD3088" w:rsidRPr="00FF1B07">
        <w:rPr>
          <w:rFonts w:asciiTheme="majorHAnsi" w:hAnsiTheme="majorHAnsi"/>
          <w:sz w:val="20"/>
          <w:szCs w:val="20"/>
          <w:lang w:val="es-ES_tradnl"/>
        </w:rPr>
        <w:t xml:space="preserve"> a</w:t>
      </w:r>
      <w:r w:rsidRPr="00FF1B07">
        <w:rPr>
          <w:rFonts w:asciiTheme="majorHAnsi" w:hAnsiTheme="majorHAnsi"/>
          <w:sz w:val="20"/>
          <w:szCs w:val="20"/>
          <w:lang w:val="es-ES_tradnl"/>
        </w:rPr>
        <w:t xml:space="preserve"> la inadecuada valoración del acervo probatorio.  </w:t>
      </w:r>
    </w:p>
    <w:p w14:paraId="1753D573" w14:textId="4E50BEC6" w:rsidR="00054613" w:rsidRPr="00FF1B07" w:rsidRDefault="00054613"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F1B07">
        <w:rPr>
          <w:rFonts w:asciiTheme="majorHAnsi" w:hAnsiTheme="majorHAnsi"/>
          <w:sz w:val="20"/>
          <w:szCs w:val="20"/>
          <w:lang w:val="es-ES_tradnl"/>
        </w:rPr>
        <w:t>Informa que el Ministerio Público tramitó el proceso penal número 08-002549-0057-PE contra</w:t>
      </w:r>
      <w:r w:rsidR="00D20CC8" w:rsidRPr="00FF1B07">
        <w:rPr>
          <w:rFonts w:asciiTheme="majorHAnsi" w:hAnsiTheme="majorHAnsi"/>
          <w:sz w:val="20"/>
          <w:szCs w:val="20"/>
          <w:lang w:val="es-ES_tradnl"/>
        </w:rPr>
        <w:t xml:space="preserve"> del</w:t>
      </w:r>
      <w:r w:rsidRPr="00FF1B07">
        <w:rPr>
          <w:rFonts w:asciiTheme="majorHAnsi" w:hAnsiTheme="majorHAnsi"/>
          <w:sz w:val="20"/>
          <w:szCs w:val="20"/>
          <w:lang w:val="es-ES_tradnl"/>
        </w:rPr>
        <w:t xml:space="preserve"> </w:t>
      </w:r>
      <w:r w:rsidR="00D20CC8" w:rsidRPr="00FF1B07">
        <w:rPr>
          <w:rFonts w:asciiTheme="majorHAnsi" w:hAnsiTheme="majorHAnsi"/>
          <w:sz w:val="20"/>
          <w:szCs w:val="20"/>
          <w:lang w:val="es-ES_tradnl"/>
        </w:rPr>
        <w:t xml:space="preserve">señor Hernández Córdoba, </w:t>
      </w:r>
      <w:r w:rsidRPr="00FF1B07">
        <w:rPr>
          <w:rFonts w:asciiTheme="majorHAnsi" w:hAnsiTheme="majorHAnsi"/>
          <w:sz w:val="20"/>
          <w:szCs w:val="20"/>
          <w:lang w:val="es-ES_tradnl"/>
        </w:rPr>
        <w:t>y como resultado, el 24 de agosto de 20</w:t>
      </w:r>
      <w:r w:rsidR="00F8290F" w:rsidRPr="00FF1B07">
        <w:rPr>
          <w:rFonts w:asciiTheme="majorHAnsi" w:hAnsiTheme="majorHAnsi"/>
          <w:sz w:val="20"/>
          <w:szCs w:val="20"/>
          <w:lang w:val="es-ES_tradnl"/>
        </w:rPr>
        <w:t>09</w:t>
      </w:r>
      <w:r w:rsidR="00D20CC8" w:rsidRPr="00FF1B07">
        <w:rPr>
          <w:rFonts w:asciiTheme="majorHAnsi" w:hAnsiTheme="majorHAnsi"/>
          <w:sz w:val="20"/>
          <w:szCs w:val="20"/>
          <w:lang w:val="es-ES_tradnl"/>
        </w:rPr>
        <w:t>,</w:t>
      </w:r>
      <w:r w:rsidRPr="00FF1B07">
        <w:rPr>
          <w:rFonts w:asciiTheme="majorHAnsi" w:hAnsiTheme="majorHAnsi"/>
          <w:sz w:val="20"/>
          <w:szCs w:val="20"/>
          <w:lang w:val="es-ES_tradnl"/>
        </w:rPr>
        <w:t xml:space="preserve"> el Tribunal de Juicio del </w:t>
      </w:r>
      <w:r w:rsidR="00183342" w:rsidRPr="00FF1B07">
        <w:rPr>
          <w:rFonts w:asciiTheme="majorHAnsi" w:hAnsiTheme="majorHAnsi"/>
          <w:sz w:val="20"/>
          <w:szCs w:val="20"/>
          <w:lang w:val="es-ES_tradnl"/>
        </w:rPr>
        <w:t>P</w:t>
      </w:r>
      <w:r w:rsidRPr="00FF1B07">
        <w:rPr>
          <w:rFonts w:asciiTheme="majorHAnsi" w:hAnsiTheme="majorHAnsi"/>
          <w:sz w:val="20"/>
          <w:szCs w:val="20"/>
          <w:lang w:val="es-ES_tradnl"/>
        </w:rPr>
        <w:t xml:space="preserve">rimer </w:t>
      </w:r>
      <w:r w:rsidR="00183342" w:rsidRPr="00FF1B07">
        <w:rPr>
          <w:rFonts w:asciiTheme="majorHAnsi" w:hAnsiTheme="majorHAnsi"/>
          <w:sz w:val="20"/>
          <w:szCs w:val="20"/>
          <w:lang w:val="es-ES_tradnl"/>
        </w:rPr>
        <w:lastRenderedPageBreak/>
        <w:t>C</w:t>
      </w:r>
      <w:r w:rsidRPr="00FF1B07">
        <w:rPr>
          <w:rFonts w:asciiTheme="majorHAnsi" w:hAnsiTheme="majorHAnsi"/>
          <w:sz w:val="20"/>
          <w:szCs w:val="20"/>
          <w:lang w:val="es-ES_tradnl"/>
        </w:rPr>
        <w:t xml:space="preserve">ircuito </w:t>
      </w:r>
      <w:r w:rsidR="00183342" w:rsidRPr="00FF1B07">
        <w:rPr>
          <w:rFonts w:asciiTheme="majorHAnsi" w:hAnsiTheme="majorHAnsi"/>
          <w:sz w:val="20"/>
          <w:szCs w:val="20"/>
          <w:lang w:val="es-ES_tradnl"/>
        </w:rPr>
        <w:t>J</w:t>
      </w:r>
      <w:r w:rsidRPr="00FF1B07">
        <w:rPr>
          <w:rFonts w:asciiTheme="majorHAnsi" w:hAnsiTheme="majorHAnsi"/>
          <w:sz w:val="20"/>
          <w:szCs w:val="20"/>
          <w:lang w:val="es-ES_tradnl"/>
        </w:rPr>
        <w:t xml:space="preserve">udicial de Alajuela </w:t>
      </w:r>
      <w:r w:rsidR="00946994" w:rsidRPr="00FF1B07">
        <w:rPr>
          <w:rFonts w:asciiTheme="majorHAnsi" w:hAnsiTheme="majorHAnsi"/>
          <w:sz w:val="20"/>
          <w:szCs w:val="20"/>
          <w:lang w:val="es-ES_tradnl"/>
        </w:rPr>
        <w:t xml:space="preserve">lo </w:t>
      </w:r>
      <w:r w:rsidRPr="00FF1B07">
        <w:rPr>
          <w:rFonts w:asciiTheme="majorHAnsi" w:hAnsiTheme="majorHAnsi"/>
          <w:sz w:val="20"/>
          <w:szCs w:val="20"/>
          <w:lang w:val="es-ES_tradnl"/>
        </w:rPr>
        <w:t>condenó a treinta años de pena privativa de libertad por la comisión en concurso ideal de los delitos de homicidio calificado y robo agravado.</w:t>
      </w:r>
    </w:p>
    <w:p w14:paraId="0F0D76D7" w14:textId="02530277" w:rsidR="00F74FF2" w:rsidRPr="00FF1B07" w:rsidRDefault="00946994" w:rsidP="00562E2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F1B07">
        <w:rPr>
          <w:rFonts w:asciiTheme="majorHAnsi" w:hAnsiTheme="majorHAnsi"/>
          <w:sz w:val="20"/>
          <w:szCs w:val="20"/>
          <w:lang w:val="es-ES_tradnl"/>
        </w:rPr>
        <w:t>L</w:t>
      </w:r>
      <w:r w:rsidR="00054613" w:rsidRPr="00FF1B07">
        <w:rPr>
          <w:rFonts w:asciiTheme="majorHAnsi" w:hAnsiTheme="majorHAnsi"/>
          <w:sz w:val="20"/>
          <w:szCs w:val="20"/>
          <w:lang w:val="es-ES_tradnl"/>
        </w:rPr>
        <w:t xml:space="preserve">a presunta víctima presentó un recurso de casación </w:t>
      </w:r>
      <w:r w:rsidR="000C618C" w:rsidRPr="00FF1B07">
        <w:rPr>
          <w:rFonts w:asciiTheme="majorHAnsi" w:hAnsiTheme="majorHAnsi"/>
          <w:sz w:val="20"/>
          <w:szCs w:val="20"/>
          <w:lang w:val="es-ES_tradnl"/>
        </w:rPr>
        <w:t>cuestionando</w:t>
      </w:r>
      <w:r w:rsidR="00562E20" w:rsidRPr="00FF1B07">
        <w:rPr>
          <w:rFonts w:asciiTheme="majorHAnsi" w:hAnsiTheme="majorHAnsi"/>
          <w:sz w:val="20"/>
          <w:szCs w:val="20"/>
          <w:lang w:val="es-ES_tradnl"/>
        </w:rPr>
        <w:t>:</w:t>
      </w:r>
      <w:r w:rsidR="000C618C" w:rsidRPr="00FF1B07">
        <w:rPr>
          <w:rFonts w:asciiTheme="majorHAnsi" w:hAnsiTheme="majorHAnsi"/>
          <w:sz w:val="20"/>
          <w:szCs w:val="20"/>
          <w:lang w:val="es-ES_tradnl"/>
        </w:rPr>
        <w:t xml:space="preserve"> i) la afectación al principio </w:t>
      </w:r>
      <w:r w:rsidR="000C618C" w:rsidRPr="00FF1B07">
        <w:rPr>
          <w:rFonts w:asciiTheme="majorHAnsi" w:hAnsiTheme="majorHAnsi"/>
          <w:i/>
          <w:iCs/>
          <w:sz w:val="20"/>
          <w:szCs w:val="20"/>
          <w:lang w:val="es-ES_tradnl"/>
        </w:rPr>
        <w:t xml:space="preserve">in dubio </w:t>
      </w:r>
      <w:r w:rsidR="00183342" w:rsidRPr="00FF1B07">
        <w:rPr>
          <w:rFonts w:asciiTheme="majorHAnsi" w:hAnsiTheme="majorHAnsi"/>
          <w:i/>
          <w:iCs/>
          <w:sz w:val="20"/>
          <w:szCs w:val="20"/>
          <w:lang w:val="es-ES_tradnl"/>
        </w:rPr>
        <w:t>pro-reo</w:t>
      </w:r>
      <w:r w:rsidR="008E7152" w:rsidRPr="00FF1B07">
        <w:rPr>
          <w:rFonts w:asciiTheme="majorHAnsi" w:hAnsiTheme="majorHAnsi"/>
          <w:sz w:val="20"/>
          <w:szCs w:val="20"/>
          <w:lang w:val="es-ES_tradnl"/>
        </w:rPr>
        <w:t>;</w:t>
      </w:r>
      <w:r w:rsidR="000C618C" w:rsidRPr="00FF1B07">
        <w:rPr>
          <w:rFonts w:asciiTheme="majorHAnsi" w:hAnsiTheme="majorHAnsi"/>
          <w:sz w:val="20"/>
          <w:szCs w:val="20"/>
          <w:lang w:val="es-ES_tradnl"/>
        </w:rPr>
        <w:t xml:space="preserve"> </w:t>
      </w:r>
      <w:r w:rsidR="008479E7" w:rsidRPr="00FF1B07">
        <w:rPr>
          <w:rFonts w:asciiTheme="majorHAnsi" w:hAnsiTheme="majorHAnsi"/>
          <w:sz w:val="20"/>
          <w:szCs w:val="20"/>
          <w:lang w:val="es-ES_tradnl"/>
        </w:rPr>
        <w:t xml:space="preserve">ii) </w:t>
      </w:r>
      <w:r w:rsidR="000C618C" w:rsidRPr="00FF1B07">
        <w:rPr>
          <w:rFonts w:asciiTheme="majorHAnsi" w:hAnsiTheme="majorHAnsi"/>
          <w:sz w:val="20"/>
          <w:szCs w:val="20"/>
          <w:lang w:val="es-ES_tradnl"/>
        </w:rPr>
        <w:t>la falta de correlación entre la acusación y la sentencia</w:t>
      </w:r>
      <w:r w:rsidR="008E7152" w:rsidRPr="00FF1B07">
        <w:rPr>
          <w:rFonts w:asciiTheme="majorHAnsi" w:hAnsiTheme="majorHAnsi"/>
          <w:sz w:val="20"/>
          <w:szCs w:val="20"/>
          <w:lang w:val="es-ES_tradnl"/>
        </w:rPr>
        <w:t>;</w:t>
      </w:r>
      <w:r w:rsidR="000C618C" w:rsidRPr="00FF1B07">
        <w:rPr>
          <w:rFonts w:asciiTheme="majorHAnsi" w:hAnsiTheme="majorHAnsi"/>
          <w:sz w:val="20"/>
          <w:szCs w:val="20"/>
          <w:lang w:val="es-ES_tradnl"/>
        </w:rPr>
        <w:t xml:space="preserve"> </w:t>
      </w:r>
      <w:r w:rsidR="008479E7" w:rsidRPr="00FF1B07">
        <w:rPr>
          <w:rFonts w:asciiTheme="majorHAnsi" w:hAnsiTheme="majorHAnsi"/>
          <w:sz w:val="20"/>
          <w:szCs w:val="20"/>
          <w:lang w:val="es-ES_tradnl"/>
        </w:rPr>
        <w:t xml:space="preserve">iii) </w:t>
      </w:r>
      <w:r w:rsidR="000C618C" w:rsidRPr="00FF1B07">
        <w:rPr>
          <w:rFonts w:asciiTheme="majorHAnsi" w:hAnsiTheme="majorHAnsi"/>
          <w:sz w:val="20"/>
          <w:szCs w:val="20"/>
          <w:lang w:val="es-ES_tradnl"/>
        </w:rPr>
        <w:t>la ausencia de fundamentación de la decisión</w:t>
      </w:r>
      <w:r w:rsidR="008E7152" w:rsidRPr="00FF1B07">
        <w:rPr>
          <w:rFonts w:asciiTheme="majorHAnsi" w:hAnsiTheme="majorHAnsi"/>
          <w:sz w:val="20"/>
          <w:szCs w:val="20"/>
          <w:lang w:val="es-ES_tradnl"/>
        </w:rPr>
        <w:t>;</w:t>
      </w:r>
      <w:r w:rsidR="000C618C" w:rsidRPr="00FF1B07">
        <w:rPr>
          <w:rFonts w:asciiTheme="majorHAnsi" w:hAnsiTheme="majorHAnsi"/>
          <w:sz w:val="20"/>
          <w:szCs w:val="20"/>
          <w:lang w:val="es-ES_tradnl"/>
        </w:rPr>
        <w:t xml:space="preserve"> </w:t>
      </w:r>
      <w:r w:rsidR="008479E7" w:rsidRPr="00FF1B07">
        <w:rPr>
          <w:rFonts w:asciiTheme="majorHAnsi" w:hAnsiTheme="majorHAnsi"/>
          <w:sz w:val="20"/>
          <w:szCs w:val="20"/>
          <w:lang w:val="es-ES_tradnl"/>
        </w:rPr>
        <w:t xml:space="preserve">iv) </w:t>
      </w:r>
      <w:r w:rsidR="000C618C" w:rsidRPr="00FF1B07">
        <w:rPr>
          <w:rFonts w:asciiTheme="majorHAnsi" w:hAnsiTheme="majorHAnsi"/>
          <w:sz w:val="20"/>
          <w:szCs w:val="20"/>
          <w:lang w:val="es-ES_tradnl"/>
        </w:rPr>
        <w:t>el quebrantamiento de la cadena de custodia de la prueba</w:t>
      </w:r>
      <w:r w:rsidR="008E7152" w:rsidRPr="00FF1B07">
        <w:rPr>
          <w:rFonts w:asciiTheme="majorHAnsi" w:hAnsiTheme="majorHAnsi"/>
          <w:sz w:val="20"/>
          <w:szCs w:val="20"/>
          <w:lang w:val="es-ES_tradnl"/>
        </w:rPr>
        <w:t>;</w:t>
      </w:r>
      <w:r w:rsidR="000C618C" w:rsidRPr="00FF1B07">
        <w:rPr>
          <w:rFonts w:asciiTheme="majorHAnsi" w:hAnsiTheme="majorHAnsi"/>
          <w:sz w:val="20"/>
          <w:szCs w:val="20"/>
          <w:lang w:val="es-ES_tradnl"/>
        </w:rPr>
        <w:t xml:space="preserve"> y </w:t>
      </w:r>
      <w:r w:rsidR="008479E7" w:rsidRPr="00FF1B07">
        <w:rPr>
          <w:rFonts w:asciiTheme="majorHAnsi" w:hAnsiTheme="majorHAnsi"/>
          <w:sz w:val="20"/>
          <w:szCs w:val="20"/>
          <w:lang w:val="es-ES_tradnl"/>
        </w:rPr>
        <w:t xml:space="preserve">v) </w:t>
      </w:r>
      <w:r w:rsidR="000C618C" w:rsidRPr="00FF1B07">
        <w:rPr>
          <w:rFonts w:asciiTheme="majorHAnsi" w:hAnsiTheme="majorHAnsi"/>
          <w:sz w:val="20"/>
          <w:szCs w:val="20"/>
          <w:lang w:val="es-ES_tradnl"/>
        </w:rPr>
        <w:t>la ausencia de razón suficiente para la condena. Sin embargo</w:t>
      </w:r>
      <w:r w:rsidR="00325646" w:rsidRPr="00FF1B07">
        <w:rPr>
          <w:rFonts w:asciiTheme="majorHAnsi" w:hAnsiTheme="majorHAnsi"/>
          <w:sz w:val="20"/>
          <w:szCs w:val="20"/>
          <w:lang w:val="es-ES_tradnl"/>
        </w:rPr>
        <w:t>, afirma que</w:t>
      </w:r>
      <w:r w:rsidR="000C618C" w:rsidRPr="00FF1B07">
        <w:rPr>
          <w:rFonts w:asciiTheme="majorHAnsi" w:hAnsiTheme="majorHAnsi"/>
          <w:sz w:val="20"/>
          <w:szCs w:val="20"/>
          <w:lang w:val="es-ES_tradnl"/>
        </w:rPr>
        <w:t xml:space="preserve"> </w:t>
      </w:r>
      <w:r w:rsidR="00054613" w:rsidRPr="00FF1B07">
        <w:rPr>
          <w:rFonts w:asciiTheme="majorHAnsi" w:hAnsiTheme="majorHAnsi"/>
          <w:sz w:val="20"/>
          <w:szCs w:val="20"/>
          <w:lang w:val="es-ES_tradnl"/>
        </w:rPr>
        <w:t xml:space="preserve">el </w:t>
      </w:r>
      <w:r w:rsidR="0092196C" w:rsidRPr="00FF1B07">
        <w:rPr>
          <w:rFonts w:asciiTheme="majorHAnsi" w:hAnsiTheme="majorHAnsi"/>
          <w:sz w:val="20"/>
          <w:szCs w:val="20"/>
          <w:lang w:val="es-ES_tradnl"/>
        </w:rPr>
        <w:t>21 de abril de 2010</w:t>
      </w:r>
      <w:r w:rsidR="00054613" w:rsidRPr="00FF1B07">
        <w:rPr>
          <w:rFonts w:asciiTheme="majorHAnsi" w:hAnsiTheme="majorHAnsi"/>
          <w:sz w:val="20"/>
          <w:szCs w:val="20"/>
          <w:lang w:val="es-ES_tradnl"/>
        </w:rPr>
        <w:t xml:space="preserve"> la Sala Tercera de la Corte Suprema de Justicia</w:t>
      </w:r>
      <w:r w:rsidR="00325646" w:rsidRPr="00FF1B07">
        <w:rPr>
          <w:rFonts w:asciiTheme="majorHAnsi" w:hAnsiTheme="majorHAnsi"/>
          <w:sz w:val="20"/>
          <w:szCs w:val="20"/>
          <w:lang w:val="es-ES_tradnl"/>
        </w:rPr>
        <w:t xml:space="preserve"> </w:t>
      </w:r>
      <w:r w:rsidR="00054613" w:rsidRPr="00FF1B07">
        <w:rPr>
          <w:rFonts w:asciiTheme="majorHAnsi" w:hAnsiTheme="majorHAnsi"/>
          <w:sz w:val="20"/>
          <w:szCs w:val="20"/>
          <w:lang w:val="es-ES_tradnl"/>
        </w:rPr>
        <w:t>lo declar</w:t>
      </w:r>
      <w:r w:rsidR="00540194" w:rsidRPr="00FF1B07">
        <w:rPr>
          <w:rFonts w:asciiTheme="majorHAnsi" w:hAnsiTheme="majorHAnsi"/>
          <w:sz w:val="20"/>
          <w:szCs w:val="20"/>
          <w:lang w:val="es-ES_tradnl"/>
        </w:rPr>
        <w:t>ó</w:t>
      </w:r>
      <w:r w:rsidR="00054613" w:rsidRPr="00FF1B07">
        <w:rPr>
          <w:rFonts w:asciiTheme="majorHAnsi" w:hAnsiTheme="majorHAnsi"/>
          <w:sz w:val="20"/>
          <w:szCs w:val="20"/>
          <w:lang w:val="es-ES_tradnl"/>
        </w:rPr>
        <w:t xml:space="preserve"> sin luga</w:t>
      </w:r>
      <w:r w:rsidR="00F74FF2" w:rsidRPr="00FF1B07">
        <w:rPr>
          <w:rFonts w:asciiTheme="majorHAnsi" w:hAnsiTheme="majorHAnsi"/>
          <w:sz w:val="20"/>
          <w:szCs w:val="20"/>
          <w:lang w:val="es-ES_tradnl"/>
        </w:rPr>
        <w:t>r, al considerar que la sentencia de primera instancia valoró adecuadamente todas las pruebas aportadas al proceso</w:t>
      </w:r>
      <w:r w:rsidR="00915DE0" w:rsidRPr="00FF1B07">
        <w:rPr>
          <w:rFonts w:asciiTheme="majorHAnsi" w:hAnsiTheme="majorHAnsi"/>
          <w:sz w:val="20"/>
          <w:szCs w:val="20"/>
          <w:lang w:val="es-ES_tradnl"/>
        </w:rPr>
        <w:t xml:space="preserve"> a efectos de fundamentar su decisión. </w:t>
      </w:r>
      <w:r w:rsidR="00F74FF2" w:rsidRPr="00FF1B07">
        <w:rPr>
          <w:rFonts w:asciiTheme="majorHAnsi" w:hAnsiTheme="majorHAnsi"/>
          <w:sz w:val="20"/>
          <w:szCs w:val="20"/>
          <w:lang w:val="es-ES_tradnl"/>
        </w:rPr>
        <w:t xml:space="preserve">Asimismo, </w:t>
      </w:r>
      <w:r w:rsidR="00915DE0" w:rsidRPr="00FF1B07">
        <w:rPr>
          <w:rFonts w:asciiTheme="majorHAnsi" w:hAnsiTheme="majorHAnsi"/>
          <w:sz w:val="20"/>
          <w:szCs w:val="20"/>
          <w:lang w:val="es-ES_tradnl"/>
        </w:rPr>
        <w:t>sostuvo</w:t>
      </w:r>
      <w:r w:rsidR="00F74FF2" w:rsidRPr="00FF1B07">
        <w:rPr>
          <w:rFonts w:asciiTheme="majorHAnsi" w:hAnsiTheme="majorHAnsi"/>
          <w:sz w:val="20"/>
          <w:szCs w:val="20"/>
          <w:lang w:val="es-ES_tradnl"/>
        </w:rPr>
        <w:t xml:space="preserve"> que </w:t>
      </w:r>
      <w:r w:rsidR="00F4412F" w:rsidRPr="00FF1B07">
        <w:rPr>
          <w:rFonts w:asciiTheme="majorHAnsi" w:hAnsiTheme="majorHAnsi"/>
          <w:sz w:val="20"/>
          <w:szCs w:val="20"/>
          <w:lang w:val="es-ES_tradnl"/>
        </w:rPr>
        <w:t xml:space="preserve">durante el proceso </w:t>
      </w:r>
      <w:r w:rsidR="00F74FF2" w:rsidRPr="00FF1B07">
        <w:rPr>
          <w:rFonts w:asciiTheme="majorHAnsi" w:hAnsiTheme="majorHAnsi"/>
          <w:sz w:val="20"/>
          <w:szCs w:val="20"/>
          <w:lang w:val="es-ES_tradnl"/>
        </w:rPr>
        <w:t>no se cometió ningún vicio procedimental o de fundamentación en la decisión que amerite su nulidad, pues todo el trámite se realizó con base en un determinado marco fáctico</w:t>
      </w:r>
      <w:r w:rsidR="00915DE0" w:rsidRPr="00FF1B07">
        <w:rPr>
          <w:rFonts w:asciiTheme="majorHAnsi" w:hAnsiTheme="majorHAnsi"/>
          <w:sz w:val="20"/>
          <w:szCs w:val="20"/>
          <w:lang w:val="es-ES_tradnl"/>
        </w:rPr>
        <w:t xml:space="preserve"> y no se identificó </w:t>
      </w:r>
      <w:r w:rsidR="001E111C" w:rsidRPr="00FF1B07">
        <w:rPr>
          <w:rFonts w:asciiTheme="majorHAnsi" w:hAnsiTheme="majorHAnsi"/>
          <w:sz w:val="20"/>
          <w:szCs w:val="20"/>
          <w:lang w:val="es-ES_tradnl"/>
        </w:rPr>
        <w:t>ningún</w:t>
      </w:r>
      <w:r w:rsidR="00915DE0" w:rsidRPr="00FF1B07">
        <w:rPr>
          <w:rFonts w:asciiTheme="majorHAnsi" w:hAnsiTheme="majorHAnsi"/>
          <w:sz w:val="20"/>
          <w:szCs w:val="20"/>
          <w:lang w:val="es-ES_tradnl"/>
        </w:rPr>
        <w:t xml:space="preserve"> quebrantamiento de la cadena de custodia del acervo probatorio. </w:t>
      </w:r>
    </w:p>
    <w:p w14:paraId="7E103D8D" w14:textId="50F2618C" w:rsidR="00993935" w:rsidRPr="00FF1B07" w:rsidRDefault="00993935" w:rsidP="00872EB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F1B07">
        <w:rPr>
          <w:rFonts w:asciiTheme="majorHAnsi" w:hAnsiTheme="majorHAnsi"/>
          <w:sz w:val="20"/>
          <w:szCs w:val="20"/>
          <w:lang w:val="es-ES_tradnl"/>
        </w:rPr>
        <w:t xml:space="preserve">Frente a esta </w:t>
      </w:r>
      <w:r w:rsidR="00E72C72" w:rsidRPr="00FF1B07">
        <w:rPr>
          <w:rFonts w:asciiTheme="majorHAnsi" w:hAnsiTheme="majorHAnsi"/>
          <w:sz w:val="20"/>
          <w:szCs w:val="20"/>
          <w:lang w:val="es-ES_tradnl"/>
        </w:rPr>
        <w:t>situación</w:t>
      </w:r>
      <w:r w:rsidRPr="00FF1B07">
        <w:rPr>
          <w:rFonts w:asciiTheme="majorHAnsi" w:hAnsiTheme="majorHAnsi"/>
          <w:sz w:val="20"/>
          <w:szCs w:val="20"/>
          <w:lang w:val="es-ES_tradnl"/>
        </w:rPr>
        <w:t xml:space="preserve">, indica que el 15 de febrero de 2011 la presunta víctima presentó un procedimiento de revisión contra su sentencia condenatoria, alegando que esta afectó su derecho al debido proceso. Asimismo, el 25 de mayo de 2012 el señor Hernández Córdoba </w:t>
      </w:r>
      <w:r w:rsidR="00B73CB7" w:rsidRPr="00FF1B07">
        <w:rPr>
          <w:rFonts w:asciiTheme="majorHAnsi" w:hAnsiTheme="majorHAnsi"/>
          <w:sz w:val="20"/>
          <w:szCs w:val="20"/>
          <w:lang w:val="es-ES_tradnl"/>
        </w:rPr>
        <w:t>también interpuso</w:t>
      </w:r>
      <w:r w:rsidRPr="00FF1B07">
        <w:rPr>
          <w:rFonts w:asciiTheme="majorHAnsi" w:hAnsiTheme="majorHAnsi"/>
          <w:sz w:val="20"/>
          <w:szCs w:val="20"/>
          <w:lang w:val="es-ES_tradnl"/>
        </w:rPr>
        <w:t xml:space="preserve"> un procedimiento</w:t>
      </w:r>
      <w:r w:rsidR="00B73CB7" w:rsidRPr="00FF1B07">
        <w:rPr>
          <w:rFonts w:asciiTheme="majorHAnsi" w:hAnsiTheme="majorHAnsi"/>
          <w:sz w:val="20"/>
          <w:szCs w:val="20"/>
          <w:lang w:val="es-ES_tradnl"/>
        </w:rPr>
        <w:t xml:space="preserve"> especial</w:t>
      </w:r>
      <w:r w:rsidRPr="00FF1B07">
        <w:rPr>
          <w:rFonts w:asciiTheme="majorHAnsi" w:hAnsiTheme="majorHAnsi"/>
          <w:sz w:val="20"/>
          <w:szCs w:val="20"/>
          <w:lang w:val="es-ES_tradnl"/>
        </w:rPr>
        <w:t xml:space="preserve"> de revisión, con base en el Transitorio III de la Ley Nro. 8837, </w:t>
      </w:r>
      <w:r w:rsidR="00A731AE" w:rsidRPr="00FF1B07">
        <w:rPr>
          <w:rFonts w:asciiTheme="majorHAnsi" w:hAnsiTheme="majorHAnsi"/>
          <w:sz w:val="20"/>
          <w:szCs w:val="20"/>
          <w:lang w:val="es-ES_tradnl"/>
        </w:rPr>
        <w:t>argumentando</w:t>
      </w:r>
      <w:r w:rsidRPr="00FF1B07">
        <w:rPr>
          <w:rFonts w:asciiTheme="majorHAnsi" w:hAnsiTheme="majorHAnsi"/>
          <w:sz w:val="20"/>
          <w:szCs w:val="20"/>
          <w:lang w:val="es-ES_tradnl"/>
        </w:rPr>
        <w:t xml:space="preserve"> la afectación de su derecho contemplado en el artículo 8.2.h) de la Convención Americana. </w:t>
      </w:r>
      <w:r w:rsidR="00872EB7" w:rsidRPr="00FF1B07">
        <w:rPr>
          <w:rFonts w:asciiTheme="majorHAnsi" w:hAnsiTheme="majorHAnsi"/>
          <w:sz w:val="20"/>
          <w:szCs w:val="20"/>
          <w:lang w:val="es-ES_tradnl"/>
        </w:rPr>
        <w:t xml:space="preserve">Sin embargo, el 24 de mayo de 2013 la Sala Tercera de la Corte Suprema de Justicia, tras acumular ambos procedimientos de revisión, </w:t>
      </w:r>
      <w:r w:rsidR="00A731AE" w:rsidRPr="00FF1B07">
        <w:rPr>
          <w:rFonts w:asciiTheme="majorHAnsi" w:hAnsiTheme="majorHAnsi"/>
          <w:sz w:val="20"/>
          <w:szCs w:val="20"/>
          <w:lang w:val="es-ES_tradnl"/>
        </w:rPr>
        <w:t>analiz</w:t>
      </w:r>
      <w:r w:rsidR="00CA7521" w:rsidRPr="00FF1B07">
        <w:rPr>
          <w:rFonts w:asciiTheme="majorHAnsi" w:hAnsiTheme="majorHAnsi"/>
          <w:sz w:val="20"/>
          <w:szCs w:val="20"/>
          <w:lang w:val="es-ES_tradnl"/>
        </w:rPr>
        <w:t>ó</w:t>
      </w:r>
      <w:r w:rsidR="00A731AE" w:rsidRPr="00FF1B07">
        <w:rPr>
          <w:rFonts w:asciiTheme="majorHAnsi" w:hAnsiTheme="majorHAnsi"/>
          <w:sz w:val="20"/>
          <w:szCs w:val="20"/>
          <w:lang w:val="es-ES_tradnl"/>
        </w:rPr>
        <w:t xml:space="preserve"> los reclamos planteados por la presunta víctima</w:t>
      </w:r>
      <w:r w:rsidR="00CA7521" w:rsidRPr="00FF1B07">
        <w:rPr>
          <w:rFonts w:asciiTheme="majorHAnsi" w:hAnsiTheme="majorHAnsi"/>
          <w:sz w:val="20"/>
          <w:szCs w:val="20"/>
          <w:lang w:val="es-ES_tradnl"/>
        </w:rPr>
        <w:t xml:space="preserve"> y los desestimó, al considerar que carecían de fundamentos. </w:t>
      </w:r>
    </w:p>
    <w:p w14:paraId="39F44B78" w14:textId="370B6A99" w:rsidR="00993935" w:rsidRPr="00FF1B07" w:rsidRDefault="00E5483E" w:rsidP="009939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F1B07">
        <w:rPr>
          <w:rFonts w:asciiTheme="majorHAnsi" w:hAnsiTheme="majorHAnsi"/>
          <w:sz w:val="20"/>
          <w:szCs w:val="20"/>
          <w:lang w:val="es-ES_tradnl"/>
        </w:rPr>
        <w:t>Posteriormente,</w:t>
      </w:r>
      <w:r w:rsidR="00993935" w:rsidRPr="00FF1B07">
        <w:rPr>
          <w:rFonts w:asciiTheme="majorHAnsi" w:hAnsiTheme="majorHAnsi"/>
          <w:sz w:val="20"/>
          <w:szCs w:val="20"/>
          <w:lang w:val="es-ES_tradnl"/>
        </w:rPr>
        <w:t xml:space="preserve"> el 5 de julio de 2013</w:t>
      </w:r>
      <w:r w:rsidR="005E75C6" w:rsidRPr="00FF1B07">
        <w:rPr>
          <w:rFonts w:asciiTheme="majorHAnsi" w:hAnsiTheme="majorHAnsi"/>
          <w:sz w:val="20"/>
          <w:szCs w:val="20"/>
          <w:lang w:val="es-ES_tradnl"/>
        </w:rPr>
        <w:t xml:space="preserve"> el señor Hernández Córdoba</w:t>
      </w:r>
      <w:r w:rsidR="00993935" w:rsidRPr="00FF1B07">
        <w:rPr>
          <w:rFonts w:asciiTheme="majorHAnsi" w:hAnsiTheme="majorHAnsi"/>
          <w:sz w:val="20"/>
          <w:szCs w:val="20"/>
          <w:lang w:val="es-ES_tradnl"/>
        </w:rPr>
        <w:t xml:space="preserve"> presentó una recusación contra los magistrados de la Sala Tercera de la Corte Suprema de Justicia que intervinieron en el rechazo de sus recursos de revisión. </w:t>
      </w:r>
      <w:r w:rsidR="00133E45" w:rsidRPr="00FF1B07">
        <w:rPr>
          <w:rFonts w:asciiTheme="majorHAnsi" w:hAnsiTheme="majorHAnsi"/>
          <w:sz w:val="20"/>
          <w:szCs w:val="20"/>
          <w:lang w:val="es-ES_tradnl"/>
        </w:rPr>
        <w:t>No obstante, señala que el 7 de marzo de 2014 la citada sala desestimó el recurso planteado, argumentando que este se presentó de forma extemporánea.</w:t>
      </w:r>
    </w:p>
    <w:p w14:paraId="4C29FC3A" w14:textId="595E6300" w:rsidR="008479E7" w:rsidRPr="00FF1B07" w:rsidRDefault="008479E7" w:rsidP="000C618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F1B07">
        <w:rPr>
          <w:rFonts w:asciiTheme="majorHAnsi" w:hAnsiTheme="majorHAnsi"/>
          <w:sz w:val="20"/>
          <w:szCs w:val="20"/>
          <w:lang w:val="es-ES_tradnl"/>
        </w:rPr>
        <w:t>Con base en las citadas consideraciones de hecho, la parte peticionaria denuncia que Costa Rica violó el derecho contemplado en el artículo 8.2.h) de la Convención, pues la Sala Tercera de la Corte Suprema de Justicia no revisó de manera integral la sentencia condenatoria de primera instancia</w:t>
      </w:r>
      <w:r w:rsidR="00E14103" w:rsidRPr="00FF1B07">
        <w:rPr>
          <w:rFonts w:asciiTheme="majorHAnsi" w:hAnsiTheme="majorHAnsi"/>
          <w:sz w:val="20"/>
          <w:szCs w:val="20"/>
          <w:lang w:val="es-ES_tradnl"/>
        </w:rPr>
        <w:t>;</w:t>
      </w:r>
      <w:r w:rsidRPr="00FF1B07">
        <w:rPr>
          <w:rFonts w:asciiTheme="majorHAnsi" w:hAnsiTheme="majorHAnsi"/>
          <w:sz w:val="20"/>
          <w:szCs w:val="20"/>
          <w:lang w:val="es-ES_tradnl"/>
        </w:rPr>
        <w:t xml:space="preserve"> y más bien siguió criterios meramente formalistas para rechazar los reclamos planteados por el señor Hernández Córdoba en su recurso de casación. </w:t>
      </w:r>
      <w:r w:rsidR="004B6A74" w:rsidRPr="00FF1B07">
        <w:rPr>
          <w:rFonts w:asciiTheme="majorHAnsi" w:hAnsiTheme="majorHAnsi"/>
          <w:sz w:val="20"/>
          <w:szCs w:val="20"/>
          <w:lang w:val="es-ES_tradnl"/>
        </w:rPr>
        <w:t xml:space="preserve">A juicio de la parte peticionaria, </w:t>
      </w:r>
      <w:r w:rsidRPr="00FF1B07">
        <w:rPr>
          <w:rFonts w:asciiTheme="majorHAnsi" w:hAnsiTheme="majorHAnsi"/>
          <w:sz w:val="20"/>
          <w:szCs w:val="20"/>
          <w:lang w:val="es-ES_tradnl"/>
        </w:rPr>
        <w:t>esto es consecuencia de la regulación limitada y restringida que tiene el citado recurso</w:t>
      </w:r>
      <w:r w:rsidR="004B6A74" w:rsidRPr="00FF1B07">
        <w:rPr>
          <w:rFonts w:asciiTheme="majorHAnsi" w:hAnsiTheme="majorHAnsi"/>
          <w:sz w:val="20"/>
          <w:szCs w:val="20"/>
          <w:lang w:val="es-ES_tradnl"/>
        </w:rPr>
        <w:t xml:space="preserve"> de casación</w:t>
      </w:r>
      <w:r w:rsidRPr="00FF1B07">
        <w:rPr>
          <w:rFonts w:asciiTheme="majorHAnsi" w:hAnsiTheme="majorHAnsi"/>
          <w:sz w:val="20"/>
          <w:szCs w:val="20"/>
          <w:lang w:val="es-ES_tradnl"/>
        </w:rPr>
        <w:t xml:space="preserve"> en el ordenamiento costarricense. </w:t>
      </w:r>
    </w:p>
    <w:p w14:paraId="6D80D4AF" w14:textId="6B1F13B5" w:rsidR="00D5018E" w:rsidRPr="00FF1B07" w:rsidRDefault="00581547" w:rsidP="0058154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F1B07">
        <w:rPr>
          <w:rFonts w:asciiTheme="majorHAnsi" w:hAnsiTheme="majorHAnsi"/>
          <w:sz w:val="20"/>
          <w:szCs w:val="20"/>
          <w:lang w:val="es-ES_tradnl"/>
        </w:rPr>
        <w:t>Asimismo</w:t>
      </w:r>
      <w:r w:rsidR="00D5018E" w:rsidRPr="00FF1B07">
        <w:rPr>
          <w:rFonts w:asciiTheme="majorHAnsi" w:hAnsiTheme="majorHAnsi"/>
          <w:sz w:val="20"/>
          <w:szCs w:val="20"/>
          <w:lang w:val="es-ES_tradnl"/>
        </w:rPr>
        <w:t xml:space="preserve">, sostiene que los mecanismos aprobados por el Estado para garantizar a las personas el derecho contemplado en el artículo 8.2.h) de la Convención no resultaron efectivos para atender el caso de la presunta víctima. </w:t>
      </w:r>
      <w:r w:rsidRPr="00FF1B07">
        <w:rPr>
          <w:rFonts w:asciiTheme="majorHAnsi" w:hAnsiTheme="majorHAnsi"/>
          <w:sz w:val="20"/>
          <w:szCs w:val="20"/>
          <w:lang w:val="es-ES_tradnl"/>
        </w:rPr>
        <w:t>Al respecto,</w:t>
      </w:r>
      <w:r w:rsidR="00D5018E" w:rsidRPr="00FF1B07">
        <w:rPr>
          <w:rFonts w:asciiTheme="majorHAnsi" w:hAnsiTheme="majorHAnsi"/>
          <w:sz w:val="20"/>
          <w:szCs w:val="20"/>
          <w:lang w:val="es-ES_tradnl"/>
        </w:rPr>
        <w:t xml:space="preserve"> afirma que a pesar de que </w:t>
      </w:r>
      <w:r w:rsidR="002A6E67" w:rsidRPr="00FF1B07">
        <w:rPr>
          <w:rFonts w:asciiTheme="majorHAnsi" w:hAnsiTheme="majorHAnsi"/>
          <w:sz w:val="20"/>
          <w:szCs w:val="20"/>
          <w:lang w:val="es-ES_tradnl"/>
        </w:rPr>
        <w:t>el señor Hernández Córdoba</w:t>
      </w:r>
      <w:r w:rsidR="00D5018E" w:rsidRPr="00FF1B07">
        <w:rPr>
          <w:rFonts w:asciiTheme="majorHAnsi" w:hAnsiTheme="majorHAnsi"/>
          <w:sz w:val="20"/>
          <w:szCs w:val="20"/>
          <w:lang w:val="es-ES_tradnl"/>
        </w:rPr>
        <w:t xml:space="preserve"> presentó un procedimiento de revisión con base en el Transitorio III de la Ley Nro. 8837, la Sala Tercera de la Corte Suprema de Justicia lo desestimó sin realizar sin ningún análisis sustantivo</w:t>
      </w:r>
      <w:r w:rsidR="002A6E67" w:rsidRPr="00FF1B07">
        <w:rPr>
          <w:rFonts w:asciiTheme="majorHAnsi" w:hAnsiTheme="majorHAnsi"/>
          <w:sz w:val="20"/>
          <w:szCs w:val="20"/>
          <w:lang w:val="es-ES_tradnl"/>
        </w:rPr>
        <w:t xml:space="preserve"> de los reclamos planteados</w:t>
      </w:r>
      <w:r w:rsidR="00D5018E" w:rsidRPr="00FF1B07">
        <w:rPr>
          <w:rFonts w:asciiTheme="majorHAnsi" w:hAnsiTheme="majorHAnsi"/>
          <w:sz w:val="20"/>
          <w:szCs w:val="20"/>
          <w:lang w:val="es-ES_tradnl"/>
        </w:rPr>
        <w:t>. En sentido similar, refiere que la Ley N.º 8503</w:t>
      </w:r>
      <w:r w:rsidR="008E62DC" w:rsidRPr="00FF1B07">
        <w:rPr>
          <w:rFonts w:asciiTheme="majorHAnsi" w:hAnsiTheme="majorHAnsi"/>
          <w:sz w:val="20"/>
          <w:szCs w:val="20"/>
          <w:lang w:val="es-ES_tradnl"/>
        </w:rPr>
        <w:t xml:space="preserve"> no cambió la práctica de los tribunales internos, dado que estos continuaron aplicando criterios restrictivos en la resolución de los recursos de casación, declarándolos inadmisibles sin realizar un análisis de los argumentos planteados. </w:t>
      </w:r>
    </w:p>
    <w:p w14:paraId="23C95969" w14:textId="37BD0F59" w:rsidR="002A6E67" w:rsidRPr="00FF1B07" w:rsidRDefault="002A6E67" w:rsidP="0058154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F1B07">
        <w:rPr>
          <w:rFonts w:asciiTheme="majorHAnsi" w:hAnsiTheme="majorHAnsi"/>
          <w:sz w:val="20"/>
          <w:szCs w:val="20"/>
          <w:lang w:val="es-ES_tradnl"/>
        </w:rPr>
        <w:t xml:space="preserve">Finalmente, arguye que la Sala Tercera de la Corte Suprema de Justicia rechazó el procedimiento especial de revisión presentado con base en el Transitorio III de la Ley Nro. 8837 sin fundamentar su decisión. Por el contrario, explica que la resolución de dicha sala únicamente analizó los argumentos planteados en el primer recurso de revisión, sin </w:t>
      </w:r>
      <w:r w:rsidR="00DF5CDB" w:rsidRPr="00FF1B07">
        <w:rPr>
          <w:rFonts w:asciiTheme="majorHAnsi" w:hAnsiTheme="majorHAnsi"/>
          <w:sz w:val="20"/>
          <w:szCs w:val="20"/>
          <w:lang w:val="es-ES_tradnl"/>
        </w:rPr>
        <w:t xml:space="preserve">atender el segundo. </w:t>
      </w:r>
    </w:p>
    <w:p w14:paraId="1E9D128F" w14:textId="5B5AF327" w:rsidR="001937BB" w:rsidRPr="00FF1B07" w:rsidRDefault="001937BB" w:rsidP="001937B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r w:rsidRPr="00FF1B07">
        <w:rPr>
          <w:rFonts w:asciiTheme="majorHAnsi" w:hAnsiTheme="majorHAnsi"/>
          <w:i/>
          <w:iCs/>
          <w:sz w:val="20"/>
          <w:szCs w:val="20"/>
          <w:lang w:val="es-ES_tradnl"/>
        </w:rPr>
        <w:t>Alegatos del Estado</w:t>
      </w:r>
      <w:r w:rsidR="00B7527D" w:rsidRPr="00FF1B07">
        <w:rPr>
          <w:rFonts w:asciiTheme="majorHAnsi" w:hAnsiTheme="majorHAnsi"/>
          <w:i/>
          <w:iCs/>
          <w:sz w:val="20"/>
          <w:szCs w:val="20"/>
          <w:lang w:val="es-ES_tradnl"/>
        </w:rPr>
        <w:t xml:space="preserve"> costarricense</w:t>
      </w:r>
    </w:p>
    <w:p w14:paraId="2202B711" w14:textId="0C9E65C0" w:rsidR="00054613" w:rsidRPr="00FF1B07" w:rsidRDefault="00054613"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F1B07">
        <w:rPr>
          <w:rFonts w:asciiTheme="majorHAnsi" w:hAnsiTheme="majorHAnsi"/>
          <w:sz w:val="20"/>
          <w:szCs w:val="20"/>
          <w:lang w:val="es-ES_tradnl"/>
        </w:rPr>
        <w:t xml:space="preserve"> </w:t>
      </w:r>
      <w:r w:rsidR="001937BB" w:rsidRPr="00FF1B07">
        <w:rPr>
          <w:rFonts w:asciiTheme="majorHAnsi" w:hAnsiTheme="majorHAnsi"/>
          <w:sz w:val="20"/>
          <w:szCs w:val="20"/>
          <w:lang w:val="es-ES_tradnl"/>
        </w:rPr>
        <w:t xml:space="preserve">Por su parte, el Estado replica que la petición es inadmisible por falta de agotamiento de la jurisdicción doméstica. </w:t>
      </w:r>
      <w:r w:rsidR="0092196C" w:rsidRPr="00FF1B07">
        <w:rPr>
          <w:rFonts w:asciiTheme="majorHAnsi" w:hAnsiTheme="majorHAnsi"/>
          <w:sz w:val="20"/>
          <w:szCs w:val="20"/>
          <w:lang w:val="es-ES_tradnl"/>
        </w:rPr>
        <w:t xml:space="preserve">Afirma que, al momento de presentación de la petición, el señor Hernández Córdoba aún no había </w:t>
      </w:r>
      <w:r w:rsidR="001674F6" w:rsidRPr="00FF1B07">
        <w:rPr>
          <w:rFonts w:asciiTheme="majorHAnsi" w:hAnsiTheme="majorHAnsi"/>
          <w:sz w:val="20"/>
          <w:szCs w:val="20"/>
          <w:lang w:val="es-ES_tradnl"/>
        </w:rPr>
        <w:t xml:space="preserve">interpuesto </w:t>
      </w:r>
      <w:r w:rsidR="0092196C" w:rsidRPr="00FF1B07">
        <w:rPr>
          <w:rFonts w:asciiTheme="majorHAnsi" w:hAnsiTheme="majorHAnsi"/>
          <w:sz w:val="20"/>
          <w:szCs w:val="20"/>
          <w:lang w:val="es-ES_tradnl"/>
        </w:rPr>
        <w:t xml:space="preserve">un recurso de revisión contra la decisión que desestimó </w:t>
      </w:r>
      <w:r w:rsidR="00F165FD" w:rsidRPr="00FF1B07">
        <w:rPr>
          <w:rFonts w:asciiTheme="majorHAnsi" w:hAnsiTheme="majorHAnsi"/>
          <w:sz w:val="20"/>
          <w:szCs w:val="20"/>
          <w:lang w:val="es-ES_tradnl"/>
        </w:rPr>
        <w:t>su</w:t>
      </w:r>
      <w:r w:rsidR="0092196C" w:rsidRPr="00FF1B07">
        <w:rPr>
          <w:rFonts w:asciiTheme="majorHAnsi" w:hAnsiTheme="majorHAnsi"/>
          <w:sz w:val="20"/>
          <w:szCs w:val="20"/>
          <w:lang w:val="es-ES_tradnl"/>
        </w:rPr>
        <w:t xml:space="preserve"> recurso de casación. En </w:t>
      </w:r>
      <w:r w:rsidR="00DA4C17" w:rsidRPr="00FF1B07">
        <w:rPr>
          <w:rFonts w:asciiTheme="majorHAnsi" w:hAnsiTheme="majorHAnsi"/>
          <w:sz w:val="20"/>
          <w:szCs w:val="20"/>
          <w:lang w:val="es-ES_tradnl"/>
        </w:rPr>
        <w:t xml:space="preserve">ese </w:t>
      </w:r>
      <w:r w:rsidR="0092196C" w:rsidRPr="00FF1B07">
        <w:rPr>
          <w:rFonts w:asciiTheme="majorHAnsi" w:hAnsiTheme="majorHAnsi"/>
          <w:sz w:val="20"/>
          <w:szCs w:val="20"/>
          <w:lang w:val="es-ES_tradnl"/>
        </w:rPr>
        <w:t xml:space="preserve">sentido, sostiene que toda vez que la presunta víctima recién utilizó la citada vía de revisión el 15 de febrero de 2011, es decir, casi tres meses después de presentada esta petición, la Comisión debe declarar inadmisible el reclamo por no cumplir con el requisito previsto en el artículo 46.1.a) de la Convención Americana. </w:t>
      </w:r>
    </w:p>
    <w:p w14:paraId="10288BF4" w14:textId="0044CBE8" w:rsidR="00287434" w:rsidRPr="00FF1B07" w:rsidRDefault="002A362C" w:rsidP="002A362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F1B07">
        <w:rPr>
          <w:rFonts w:asciiTheme="majorHAnsi" w:hAnsiTheme="majorHAnsi"/>
          <w:sz w:val="20"/>
          <w:szCs w:val="20"/>
          <w:lang w:val="es-ES_tradnl"/>
        </w:rPr>
        <w:lastRenderedPageBreak/>
        <w:t>En sentido similar, sostiene que el señor Hernández Córdoba</w:t>
      </w:r>
      <w:r w:rsidR="00287434" w:rsidRPr="00FF1B07">
        <w:rPr>
          <w:rFonts w:asciiTheme="majorHAnsi" w:hAnsiTheme="majorHAnsi"/>
          <w:sz w:val="20"/>
          <w:szCs w:val="20"/>
          <w:lang w:val="es-ES_tradnl"/>
        </w:rPr>
        <w:t xml:space="preserve"> </w:t>
      </w:r>
      <w:r w:rsidRPr="00FF1B07">
        <w:rPr>
          <w:rFonts w:asciiTheme="majorHAnsi" w:hAnsiTheme="majorHAnsi"/>
          <w:sz w:val="20"/>
          <w:szCs w:val="20"/>
          <w:lang w:val="es-ES_tradnl"/>
        </w:rPr>
        <w:t>tampoco</w:t>
      </w:r>
      <w:r w:rsidR="00287434" w:rsidRPr="00FF1B07">
        <w:rPr>
          <w:rFonts w:asciiTheme="majorHAnsi" w:hAnsiTheme="majorHAnsi"/>
          <w:sz w:val="20"/>
          <w:szCs w:val="20"/>
          <w:lang w:val="es-ES_tradnl"/>
        </w:rPr>
        <w:t xml:space="preserve"> utilizó</w:t>
      </w:r>
      <w:r w:rsidRPr="00FF1B07">
        <w:rPr>
          <w:rFonts w:asciiTheme="majorHAnsi" w:hAnsiTheme="majorHAnsi"/>
          <w:sz w:val="20"/>
          <w:szCs w:val="20"/>
          <w:lang w:val="es-ES_tradnl"/>
        </w:rPr>
        <w:t xml:space="preserve"> oportunamente</w:t>
      </w:r>
      <w:r w:rsidR="00287434" w:rsidRPr="00FF1B07">
        <w:rPr>
          <w:rFonts w:asciiTheme="majorHAnsi" w:hAnsiTheme="majorHAnsi"/>
          <w:sz w:val="20"/>
          <w:szCs w:val="20"/>
          <w:lang w:val="es-ES_tradnl"/>
        </w:rPr>
        <w:t xml:space="preserve"> los mecanismos especiales de revisión ideados a partir de las reformas procesales realizadas en favor de las personas con sentencia firme. Respecto a este punto, destaca que la presunta víctima no empleó dichas vías, a pesar de que están ideadas precisamente para aquellas personas con sentencias condenatorias en firme y que consideran vulnerado su derecho a recurrir su fallo condenatorio, de conformidad con el artículo 8.2.h) de la Convención. En esa línea, el Estado manifiesta que al momento en que se le notificó de esta petición, el señor </w:t>
      </w:r>
      <w:r w:rsidRPr="00FF1B07">
        <w:rPr>
          <w:rFonts w:asciiTheme="majorHAnsi" w:hAnsiTheme="majorHAnsi"/>
          <w:sz w:val="20"/>
          <w:szCs w:val="20"/>
          <w:lang w:val="es-ES_tradnl"/>
        </w:rPr>
        <w:t>Hernández Córdoba</w:t>
      </w:r>
      <w:r w:rsidR="00287434" w:rsidRPr="00FF1B07">
        <w:rPr>
          <w:rFonts w:asciiTheme="majorHAnsi" w:hAnsiTheme="majorHAnsi"/>
          <w:sz w:val="20"/>
          <w:szCs w:val="20"/>
          <w:lang w:val="es-ES_tradnl"/>
        </w:rPr>
        <w:t xml:space="preserve"> tuvo la oportunidad de interponer el procedimiento </w:t>
      </w:r>
      <w:r w:rsidR="00A72690" w:rsidRPr="00FF1B07">
        <w:rPr>
          <w:rFonts w:asciiTheme="majorHAnsi" w:hAnsiTheme="majorHAnsi"/>
          <w:sz w:val="20"/>
          <w:szCs w:val="20"/>
          <w:lang w:val="es-ES_tradnl"/>
        </w:rPr>
        <w:t xml:space="preserve">especial de revisión </w:t>
      </w:r>
      <w:r w:rsidR="00287434" w:rsidRPr="00FF1B07">
        <w:rPr>
          <w:rFonts w:asciiTheme="majorHAnsi" w:hAnsiTheme="majorHAnsi"/>
          <w:sz w:val="20"/>
          <w:szCs w:val="20"/>
          <w:lang w:val="es-ES_tradnl"/>
        </w:rPr>
        <w:t>establecido en las disposiciones transitorias de la Ley N.º 8503</w:t>
      </w:r>
      <w:r w:rsidR="00287434" w:rsidRPr="00FF1B07">
        <w:rPr>
          <w:rStyle w:val="FootnoteReference"/>
          <w:rFonts w:asciiTheme="majorHAnsi" w:hAnsiTheme="majorHAnsi"/>
          <w:sz w:val="20"/>
          <w:szCs w:val="20"/>
          <w:lang w:val="es-ES_tradnl"/>
        </w:rPr>
        <w:footnoteReference w:id="4"/>
      </w:r>
      <w:r w:rsidR="00287434" w:rsidRPr="00FF1B07">
        <w:rPr>
          <w:rFonts w:asciiTheme="majorHAnsi" w:hAnsiTheme="majorHAnsi"/>
          <w:sz w:val="20"/>
          <w:szCs w:val="20"/>
          <w:lang w:val="es-ES_tradnl"/>
        </w:rPr>
        <w:t>, y</w:t>
      </w:r>
      <w:r w:rsidR="00A72690" w:rsidRPr="00FF1B07">
        <w:rPr>
          <w:rFonts w:asciiTheme="majorHAnsi" w:hAnsiTheme="majorHAnsi"/>
          <w:sz w:val="20"/>
          <w:szCs w:val="20"/>
          <w:lang w:val="es-ES_tradnl"/>
        </w:rPr>
        <w:t xml:space="preserve">, </w:t>
      </w:r>
      <w:r w:rsidR="00287434" w:rsidRPr="00FF1B07">
        <w:rPr>
          <w:rFonts w:asciiTheme="majorHAnsi" w:hAnsiTheme="majorHAnsi"/>
          <w:sz w:val="20"/>
          <w:szCs w:val="20"/>
          <w:lang w:val="es-ES_tradnl"/>
        </w:rPr>
        <w:t>en su defecto</w:t>
      </w:r>
      <w:r w:rsidR="00A72690" w:rsidRPr="00FF1B07">
        <w:rPr>
          <w:rFonts w:asciiTheme="majorHAnsi" w:hAnsiTheme="majorHAnsi"/>
          <w:sz w:val="20"/>
          <w:szCs w:val="20"/>
          <w:lang w:val="es-ES_tradnl"/>
        </w:rPr>
        <w:t>,</w:t>
      </w:r>
      <w:r w:rsidR="00287434" w:rsidRPr="00FF1B07">
        <w:rPr>
          <w:rFonts w:asciiTheme="majorHAnsi" w:hAnsiTheme="majorHAnsi"/>
          <w:sz w:val="20"/>
          <w:szCs w:val="20"/>
          <w:lang w:val="es-ES_tradnl"/>
        </w:rPr>
        <w:t xml:space="preserve"> </w:t>
      </w:r>
      <w:r w:rsidR="00A72690" w:rsidRPr="00FF1B07">
        <w:rPr>
          <w:rFonts w:asciiTheme="majorHAnsi" w:hAnsiTheme="majorHAnsi"/>
          <w:sz w:val="20"/>
          <w:szCs w:val="20"/>
          <w:lang w:val="es-ES_tradnl"/>
        </w:rPr>
        <w:t xml:space="preserve">también </w:t>
      </w:r>
      <w:r w:rsidR="00287434" w:rsidRPr="00FF1B07">
        <w:rPr>
          <w:rFonts w:asciiTheme="majorHAnsi" w:hAnsiTheme="majorHAnsi"/>
          <w:sz w:val="20"/>
          <w:szCs w:val="20"/>
          <w:lang w:val="es-ES_tradnl"/>
        </w:rPr>
        <w:t>podía utilizar el mecanismo especial de revisión previsto en el Transitorio III de la Ley N.º 8837</w:t>
      </w:r>
      <w:r w:rsidR="00287434" w:rsidRPr="00FF1B07">
        <w:rPr>
          <w:rStyle w:val="FootnoteReference"/>
          <w:rFonts w:asciiTheme="majorHAnsi" w:hAnsiTheme="majorHAnsi"/>
          <w:sz w:val="20"/>
          <w:szCs w:val="20"/>
          <w:lang w:val="es-ES_tradnl"/>
        </w:rPr>
        <w:footnoteReference w:id="5"/>
      </w:r>
      <w:r w:rsidR="00287434" w:rsidRPr="00FF1B07">
        <w:rPr>
          <w:rFonts w:asciiTheme="majorHAnsi" w:hAnsiTheme="majorHAnsi"/>
          <w:sz w:val="20"/>
          <w:szCs w:val="20"/>
          <w:lang w:val="es-ES_tradnl"/>
        </w:rPr>
        <w:t xml:space="preserve">. Por ende, </w:t>
      </w:r>
      <w:r w:rsidR="003448D5" w:rsidRPr="00FF1B07">
        <w:rPr>
          <w:rFonts w:asciiTheme="majorHAnsi" w:hAnsiTheme="majorHAnsi"/>
          <w:sz w:val="20"/>
          <w:szCs w:val="20"/>
          <w:lang w:val="es-ES_tradnl"/>
        </w:rPr>
        <w:t>aduce</w:t>
      </w:r>
      <w:r w:rsidR="00287434" w:rsidRPr="00FF1B07">
        <w:rPr>
          <w:rFonts w:asciiTheme="majorHAnsi" w:hAnsiTheme="majorHAnsi"/>
          <w:sz w:val="20"/>
          <w:szCs w:val="20"/>
          <w:lang w:val="es-ES_tradnl"/>
        </w:rPr>
        <w:t xml:space="preserve"> que el ordenamiento interno disponía opciones adicionales para que la presunta víctima pueda utilizarlas en el momento procesal oportuno, y a pesar de </w:t>
      </w:r>
      <w:r w:rsidR="009D7466" w:rsidRPr="00FF1B07">
        <w:rPr>
          <w:rFonts w:asciiTheme="majorHAnsi" w:hAnsiTheme="majorHAnsi"/>
          <w:sz w:val="20"/>
          <w:szCs w:val="20"/>
          <w:lang w:val="es-ES_tradnl"/>
        </w:rPr>
        <w:t>eso</w:t>
      </w:r>
      <w:r w:rsidR="00287434" w:rsidRPr="00FF1B07">
        <w:rPr>
          <w:rFonts w:asciiTheme="majorHAnsi" w:hAnsiTheme="majorHAnsi"/>
          <w:sz w:val="20"/>
          <w:szCs w:val="20"/>
          <w:lang w:val="es-ES_tradnl"/>
        </w:rPr>
        <w:t xml:space="preserve"> no uso estas vías. </w:t>
      </w:r>
    </w:p>
    <w:p w14:paraId="1F860771" w14:textId="77777777" w:rsidR="00287434" w:rsidRPr="00FF1B07" w:rsidRDefault="00287434" w:rsidP="0028743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FF1B07">
        <w:rPr>
          <w:rFonts w:asciiTheme="majorHAnsi" w:hAnsiTheme="majorHAnsi"/>
          <w:bCs/>
          <w:sz w:val="20"/>
          <w:szCs w:val="20"/>
          <w:lang w:val="es-ES_tradnl"/>
        </w:rPr>
        <w:t xml:space="preserve">Por último, Costa Rica plantea que los hechos alegados no caracterizan una violación de derechos humanos que le sea atribuible. Por el contrario, arguye que la parte peticionaria pretende que la Comisión actúe como una cuarta instancia judicial y revise las valoraciones de hecho y de derecho efectuadas por los jueces y tribunales internos que actuaron en la esfera de su competencia. </w:t>
      </w:r>
    </w:p>
    <w:p w14:paraId="63E338A1" w14:textId="0A6BB8E3" w:rsidR="0092196C" w:rsidRPr="00FF1B07" w:rsidRDefault="00287434" w:rsidP="00E07E7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F1B07">
        <w:rPr>
          <w:rFonts w:asciiTheme="majorHAnsi" w:hAnsiTheme="majorHAnsi"/>
          <w:sz w:val="20"/>
          <w:szCs w:val="20"/>
          <w:lang w:val="es-ES_tradnl"/>
        </w:rPr>
        <w:t>Destaca que dentro del ordenamiento costarricense se han previsto una diversidad de recursos, principalmente judiciales, con el fin de ofrecer a las personas medios para determinar derechos de distinta índole. En esa línea, específica que tales medios cumplen con las reglas del debido proceso y garantizan un acceso justo y una discusión equilibrada en los procesos, por lo que estos respetan las normas de la Convención Americana. Por ende, considera que no corresponde a la Comisión analizar el presente asunto, pues no se ha acreditado la existencia de una sentencia nacional que haya sido dictada al margen del debido proceso o que aparentemente haya violado cualquier otro derecho garantizado por la Convención.</w:t>
      </w:r>
    </w:p>
    <w:p w14:paraId="69DF7C12" w14:textId="77777777" w:rsidR="001C58F6" w:rsidRPr="00FF1B07" w:rsidRDefault="001C58F6" w:rsidP="001C58F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_tradnl"/>
        </w:rPr>
      </w:pPr>
      <w:r w:rsidRPr="00FF1B07">
        <w:rPr>
          <w:rFonts w:asciiTheme="majorHAnsi" w:hAnsiTheme="majorHAnsi"/>
          <w:b/>
          <w:bCs/>
          <w:sz w:val="20"/>
          <w:szCs w:val="20"/>
          <w:lang w:val="es-ES_tradnl"/>
        </w:rPr>
        <w:t xml:space="preserve">VI. </w:t>
      </w:r>
      <w:r w:rsidRPr="00FF1B07">
        <w:rPr>
          <w:rFonts w:asciiTheme="majorHAnsi" w:hAnsiTheme="majorHAnsi"/>
          <w:b/>
          <w:bCs/>
          <w:sz w:val="20"/>
          <w:szCs w:val="20"/>
          <w:lang w:val="es-ES_tradnl"/>
        </w:rPr>
        <w:tab/>
        <w:t>CONSIDERACIONES PREVIAS</w:t>
      </w:r>
    </w:p>
    <w:p w14:paraId="3DA7A591" w14:textId="77777777" w:rsidR="001C58F6" w:rsidRPr="00FF1B07" w:rsidRDefault="001C58F6" w:rsidP="001C58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FF1B07">
        <w:rPr>
          <w:rFonts w:asciiTheme="majorHAnsi" w:hAnsiTheme="majorHAnsi"/>
          <w:bCs/>
          <w:sz w:val="20"/>
          <w:szCs w:val="20"/>
          <w:lang w:val="es-ES_tradnl"/>
        </w:rPr>
        <w:t xml:space="preserve">La Comisión observa que parte del objeto principal de la presente petición se centra en cuestionar la afectación al derecho a recurrir el fallo, contemplado en el artículo 8.2.h) de la Convención Americana. En razón a ello, dado que se han emitido distintas decisiones dentro del sistema interamericano sobre esta temática, en función de las modificaciones implementadas en la legislación procesal penal costarricense, la CIDH estima necesario realizar un recuento de estos pronunciamientos a efectos de identificar estándares que permitan resolver adecuadamente la presente petición. </w:t>
      </w:r>
    </w:p>
    <w:p w14:paraId="63877C26" w14:textId="5CE51AB3" w:rsidR="001C58F6" w:rsidRPr="00FF1B07" w:rsidRDefault="001C58F6" w:rsidP="001C58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F1B07">
        <w:rPr>
          <w:rFonts w:asciiTheme="majorHAnsi" w:hAnsiTheme="majorHAnsi"/>
          <w:bCs/>
          <w:sz w:val="20"/>
          <w:szCs w:val="20"/>
          <w:lang w:val="es-ES_tradnl"/>
        </w:rPr>
        <w:t xml:space="preserve">Así, </w:t>
      </w:r>
      <w:r w:rsidR="00F165FD" w:rsidRPr="00FF1B07">
        <w:rPr>
          <w:rFonts w:asciiTheme="majorHAnsi" w:hAnsiTheme="majorHAnsi"/>
          <w:bCs/>
          <w:sz w:val="20"/>
          <w:szCs w:val="20"/>
          <w:lang w:val="es-ES_tradnl"/>
        </w:rPr>
        <w:t xml:space="preserve">la CIDH recuerda que </w:t>
      </w:r>
      <w:r w:rsidRPr="00FF1B07">
        <w:rPr>
          <w:rFonts w:asciiTheme="majorHAnsi" w:hAnsiTheme="majorHAnsi"/>
          <w:bCs/>
          <w:sz w:val="20"/>
          <w:szCs w:val="20"/>
          <w:lang w:val="es-ES_tradnl"/>
        </w:rPr>
        <w:t xml:space="preserve">en la sentencia del caso </w:t>
      </w:r>
      <w:r w:rsidRPr="00FF1B07">
        <w:rPr>
          <w:rFonts w:asciiTheme="majorHAnsi" w:hAnsiTheme="majorHAnsi"/>
          <w:bCs/>
          <w:i/>
          <w:iCs/>
          <w:sz w:val="20"/>
          <w:szCs w:val="20"/>
          <w:lang w:val="es-ES_tradnl"/>
        </w:rPr>
        <w:t xml:space="preserve">Herrera Ulloa vs. Costa Rica </w:t>
      </w:r>
      <w:r w:rsidRPr="00FF1B07">
        <w:rPr>
          <w:rFonts w:asciiTheme="majorHAnsi" w:hAnsiTheme="majorHAnsi"/>
          <w:bCs/>
          <w:sz w:val="20"/>
          <w:szCs w:val="20"/>
          <w:lang w:val="es-ES_tradnl"/>
        </w:rPr>
        <w:t>del 2 de julio de 2004, la Corte Interamericana de Derechos Humanos</w:t>
      </w:r>
      <w:r w:rsidRPr="00FF1B07">
        <w:rPr>
          <w:rStyle w:val="FootnoteReference"/>
          <w:rFonts w:asciiTheme="majorHAnsi" w:hAnsiTheme="majorHAnsi"/>
          <w:bCs/>
          <w:sz w:val="20"/>
          <w:szCs w:val="20"/>
          <w:lang w:val="es-ES_tradnl"/>
        </w:rPr>
        <w:footnoteReference w:id="6"/>
      </w:r>
      <w:r w:rsidRPr="00FF1B07">
        <w:rPr>
          <w:rFonts w:asciiTheme="majorHAnsi" w:hAnsiTheme="majorHAnsi"/>
          <w:bCs/>
          <w:sz w:val="20"/>
          <w:szCs w:val="20"/>
          <w:lang w:val="es-ES_tradnl"/>
        </w:rPr>
        <w:t xml:space="preserve"> examinó la regulación establecida en el Código Procesal Penal vigente desde 1998; y concluyó que no contaba con “</w:t>
      </w:r>
      <w:r w:rsidRPr="00FF1B07">
        <w:rPr>
          <w:rFonts w:asciiTheme="majorHAnsi" w:hAnsiTheme="majorHAnsi"/>
          <w:bCs/>
          <w:i/>
          <w:iCs/>
          <w:sz w:val="20"/>
          <w:szCs w:val="20"/>
          <w:lang w:val="es-ES_tradnl"/>
        </w:rPr>
        <w:t xml:space="preserve">un recurso que </w:t>
      </w:r>
      <w:r w:rsidRPr="00FF1B07">
        <w:rPr>
          <w:rFonts w:asciiTheme="majorHAnsi" w:hAnsiTheme="majorHAnsi"/>
          <w:i/>
          <w:iCs/>
          <w:sz w:val="20"/>
          <w:szCs w:val="20"/>
          <w:lang w:val="es-ES_tradnl"/>
        </w:rPr>
        <w:t>permitiera que el tribunal superior realizara un análisis o examen comprensivo e integral de todas las cuestiones debatidas y analizadas por el tribunal inferior</w:t>
      </w:r>
      <w:r w:rsidRPr="00FF1B07">
        <w:rPr>
          <w:rFonts w:asciiTheme="majorHAnsi" w:hAnsiTheme="majorHAnsi"/>
          <w:sz w:val="20"/>
          <w:szCs w:val="20"/>
          <w:lang w:val="es-ES_tradnl"/>
        </w:rPr>
        <w:t>”, dada las limitaciones que tenía la regulación del recurso de casación en el ámbito penal</w:t>
      </w:r>
      <w:r w:rsidRPr="00FF1B07">
        <w:rPr>
          <w:rStyle w:val="FootnoteReference"/>
          <w:rFonts w:asciiTheme="majorHAnsi" w:hAnsiTheme="majorHAnsi"/>
          <w:sz w:val="20"/>
          <w:szCs w:val="20"/>
          <w:lang w:val="es-ES_tradnl"/>
        </w:rPr>
        <w:footnoteReference w:id="7"/>
      </w:r>
      <w:r w:rsidRPr="00FF1B07">
        <w:rPr>
          <w:rFonts w:asciiTheme="majorHAnsi" w:hAnsiTheme="majorHAnsi"/>
          <w:sz w:val="20"/>
          <w:szCs w:val="20"/>
          <w:lang w:val="es-ES_tradnl"/>
        </w:rPr>
        <w:t xml:space="preserve">. En consecuencia, la Corte IDH declaró que el Estado costarricense violó el artículo 8.2.h) de la Convención en relación con sus artículos 1.1 y 2 en perjuicio del señor Mauricio Herrera Ulloa, al no haber garantizado su </w:t>
      </w:r>
      <w:r w:rsidRPr="00FF1B07">
        <w:rPr>
          <w:rFonts w:asciiTheme="majorHAnsi" w:hAnsiTheme="majorHAnsi"/>
          <w:sz w:val="20"/>
          <w:szCs w:val="20"/>
          <w:lang w:val="es-ES_tradnl"/>
        </w:rPr>
        <w:lastRenderedPageBreak/>
        <w:t>derecho a recurrir el fallo; y ordenó a Costa Rica “</w:t>
      </w:r>
      <w:r w:rsidRPr="00FF1B07">
        <w:rPr>
          <w:rFonts w:asciiTheme="majorHAnsi" w:hAnsiTheme="majorHAnsi"/>
          <w:i/>
          <w:iCs/>
          <w:sz w:val="20"/>
          <w:szCs w:val="20"/>
          <w:lang w:val="es-ES_tradnl"/>
        </w:rPr>
        <w:t>adecuar su ordenamiento jurídico interno a lo establecido en el artículo 8.2.h de la Convención Americana, en relación con el artículo 2 de la misma</w:t>
      </w:r>
      <w:r w:rsidRPr="00FF1B07">
        <w:rPr>
          <w:rFonts w:asciiTheme="majorHAnsi" w:hAnsiTheme="majorHAnsi"/>
          <w:sz w:val="20"/>
          <w:szCs w:val="20"/>
          <w:lang w:val="es-ES_tradnl"/>
        </w:rPr>
        <w:t>”</w:t>
      </w:r>
      <w:r w:rsidRPr="00FF1B07">
        <w:rPr>
          <w:rStyle w:val="FootnoteReference"/>
          <w:rFonts w:asciiTheme="majorHAnsi" w:hAnsiTheme="majorHAnsi"/>
          <w:sz w:val="20"/>
          <w:szCs w:val="20"/>
          <w:lang w:val="es-ES_tradnl"/>
        </w:rPr>
        <w:footnoteReference w:id="8"/>
      </w:r>
      <w:r w:rsidRPr="00FF1B07">
        <w:rPr>
          <w:rFonts w:asciiTheme="majorHAnsi" w:hAnsiTheme="majorHAnsi"/>
          <w:sz w:val="20"/>
          <w:szCs w:val="20"/>
          <w:lang w:val="es-ES_tradnl"/>
        </w:rPr>
        <w:t>.</w:t>
      </w:r>
    </w:p>
    <w:p w14:paraId="5FB29ACA" w14:textId="77777777" w:rsidR="001C58F6" w:rsidRPr="00FF1B07" w:rsidRDefault="001C58F6" w:rsidP="001C58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F1B07">
        <w:rPr>
          <w:rFonts w:asciiTheme="majorHAnsi" w:hAnsiTheme="majorHAnsi"/>
          <w:bCs/>
          <w:sz w:val="20"/>
          <w:szCs w:val="20"/>
          <w:lang w:val="es-ES_tradnl"/>
        </w:rPr>
        <w:t>Como consecuencia de esta sentencia, Costa Rica reformó la regulación de su sistema procesal penal a efectos de contar con una regulación acorde con las obligaciones contempladas en el artículo 8.2.h) de la Convención Americana. Así, el 6 de</w:t>
      </w:r>
      <w:r w:rsidRPr="00FF1B07">
        <w:rPr>
          <w:rFonts w:asciiTheme="majorHAnsi" w:hAnsiTheme="majorHAnsi"/>
          <w:sz w:val="20"/>
          <w:szCs w:val="20"/>
          <w:lang w:val="es-ES_tradnl"/>
        </w:rPr>
        <w:t xml:space="preserve"> junio de 2006 entró en vigor la Ley No. 8503, denominada “Ley de Apertura de la Casación Penal”, la cual modificó y adicionó distintos artículos del Código Procesal Penal relacionados con los recursos de casación y revisión. Asimismo, y en lo relevante para el presente caso, tal legislación estableció en su Transitorio I, un procedimiento de revisión especial para “</w:t>
      </w:r>
      <w:r w:rsidRPr="00FF1B07">
        <w:rPr>
          <w:rFonts w:asciiTheme="majorHAnsi" w:hAnsiTheme="majorHAnsi"/>
          <w:i/>
          <w:iCs/>
          <w:sz w:val="20"/>
          <w:szCs w:val="20"/>
          <w:lang w:val="es-ES_tradnl"/>
        </w:rPr>
        <w:t>las personas condenadas por un hecho delictivo con fecha anterior a esta Ley, a quienes se les haya obstaculizado formular recurso de casación contra la sentencia, en razón de las reglas que regulaban su admisibilidad en aquella fecha […] invocando, en cada caso, el agravio y los aspectos de hecho y de derecho que no fueron posibles de conocer en casación</w:t>
      </w:r>
      <w:r w:rsidRPr="00FF1B07">
        <w:rPr>
          <w:rFonts w:asciiTheme="majorHAnsi" w:hAnsiTheme="majorHAnsi"/>
          <w:sz w:val="20"/>
          <w:szCs w:val="20"/>
          <w:lang w:val="es-ES_tradnl"/>
        </w:rPr>
        <w:t>”. En virtud de ello, la Corte Interamericana consideró que “</w:t>
      </w:r>
      <w:r w:rsidRPr="00FF1B07">
        <w:rPr>
          <w:rFonts w:asciiTheme="majorHAnsi" w:hAnsiTheme="majorHAnsi"/>
          <w:i/>
          <w:iCs/>
          <w:sz w:val="20"/>
          <w:szCs w:val="20"/>
          <w:lang w:val="es-ES_tradnl"/>
        </w:rPr>
        <w:t>a través de la causal de revisión creada por el Transitorio I, una persona condenada penalmente podría, en principio, obtener una revisión integral de su sentencia que incluya tanto cuestiones de hecho como de derecho</w:t>
      </w:r>
      <w:r w:rsidRPr="00FF1B07">
        <w:rPr>
          <w:rFonts w:asciiTheme="majorHAnsi" w:hAnsiTheme="majorHAnsi"/>
          <w:sz w:val="20"/>
          <w:szCs w:val="20"/>
          <w:lang w:val="es-ES_tradnl"/>
        </w:rPr>
        <w:t>”</w:t>
      </w:r>
      <w:r w:rsidRPr="00FF1B07">
        <w:rPr>
          <w:rStyle w:val="FootnoteReference"/>
          <w:rFonts w:asciiTheme="majorHAnsi" w:hAnsiTheme="majorHAnsi"/>
          <w:sz w:val="20"/>
          <w:szCs w:val="20"/>
          <w:lang w:val="es-ES_tradnl"/>
        </w:rPr>
        <w:footnoteReference w:id="9"/>
      </w:r>
      <w:r w:rsidRPr="00FF1B07">
        <w:rPr>
          <w:rFonts w:asciiTheme="majorHAnsi" w:hAnsiTheme="majorHAnsi"/>
          <w:sz w:val="20"/>
          <w:szCs w:val="20"/>
          <w:lang w:val="es-ES_tradnl"/>
        </w:rPr>
        <w:t>.</w:t>
      </w:r>
    </w:p>
    <w:p w14:paraId="61E9212E" w14:textId="77777777" w:rsidR="001C58F6" w:rsidRPr="00FF1B07" w:rsidRDefault="001C58F6" w:rsidP="001C58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F1B07">
        <w:rPr>
          <w:rFonts w:asciiTheme="majorHAnsi" w:hAnsiTheme="majorHAnsi"/>
          <w:bCs/>
          <w:sz w:val="20"/>
          <w:szCs w:val="20"/>
          <w:lang w:val="es-ES_tradnl"/>
        </w:rPr>
        <w:t>Adicionalmente, tanto la Comisión como la Corte IDH también constataron que e</w:t>
      </w:r>
      <w:r w:rsidRPr="00FF1B07">
        <w:rPr>
          <w:rFonts w:asciiTheme="majorHAnsi" w:hAnsiTheme="majorHAnsi"/>
          <w:sz w:val="20"/>
          <w:szCs w:val="20"/>
          <w:lang w:val="es-ES_tradnl"/>
        </w:rPr>
        <w:t>l 9 de junio de 2010 se publicó la Ley No. 8837, denominada “Creación del recurso de apelación de la sentencia, otras reformas al régimen de impugnación e implementación de nuevas reglas de oralidad en el proceso penal”, vigente a partir del 9 de diciembre de 2011; la cual creó y reguló el recurso de apelación. Además, el Transitorio III de dicha norma reguló dos supuestos adicionales: i) para las personas cuyas sentencias estaban firmes para el momento de entrada en vigencia de la ley, se estableció que pueden interponer, por única vez, un procedimiento de revisión en los primeros seis meses; y ii) para las personas cuyos recursos de casación se encontraban pendientes de resolución al momento de la entrada en vigencia de la ley, se estableció que podían solicitar la conversión del recurso de casación ya presentado a uno de apelación conforme a la nueva norma.</w:t>
      </w:r>
    </w:p>
    <w:p w14:paraId="47AACDD5" w14:textId="77777777" w:rsidR="001C58F6" w:rsidRPr="00FF1B07" w:rsidRDefault="001C58F6" w:rsidP="001C58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F1B07">
        <w:rPr>
          <w:rFonts w:asciiTheme="majorHAnsi" w:hAnsiTheme="majorHAnsi"/>
          <w:sz w:val="20"/>
          <w:szCs w:val="20"/>
          <w:lang w:val="es-ES_tradnl"/>
        </w:rPr>
        <w:t xml:space="preserve">Como consecuencia de las citadas modificaciones, en la sentencia del caso </w:t>
      </w:r>
      <w:r w:rsidRPr="00FF1B07">
        <w:rPr>
          <w:rFonts w:asciiTheme="majorHAnsi" w:hAnsiTheme="majorHAnsi"/>
          <w:i/>
          <w:iCs/>
          <w:sz w:val="20"/>
          <w:szCs w:val="20"/>
          <w:lang w:val="es-ES_tradnl"/>
        </w:rPr>
        <w:t>Amrhein y otros vs. Costa Rica</w:t>
      </w:r>
      <w:r w:rsidRPr="00FF1B07">
        <w:rPr>
          <w:rFonts w:asciiTheme="majorHAnsi" w:hAnsiTheme="majorHAnsi"/>
          <w:sz w:val="20"/>
          <w:szCs w:val="20"/>
          <w:lang w:val="es-ES_tradnl"/>
        </w:rPr>
        <w:t xml:space="preserve"> del 25 de abril de 2018, la Corte Interamericana evaluó nuevamente la regulación procesal penal costarricense; y amplió sus criterios jurídicos tanto respecto al agotamiento de la jurisdicción interna, como al análisis de fondo de casos sobre la misma temática. </w:t>
      </w:r>
    </w:p>
    <w:p w14:paraId="7EA74256" w14:textId="7AC7E13F" w:rsidR="001C58F6" w:rsidRPr="00FF1B07" w:rsidRDefault="001C58F6" w:rsidP="001C58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F1B07">
        <w:rPr>
          <w:rFonts w:asciiTheme="majorHAnsi" w:hAnsiTheme="majorHAnsi"/>
          <w:sz w:val="20"/>
          <w:szCs w:val="20"/>
          <w:lang w:val="es-ES_tradnl"/>
        </w:rPr>
        <w:t>En relación con el primer punto, la Comisión destaca que, en el citado caso, la Corte IDH consideró que las presuntas víctimas debieron haber interpuesto el recurso de revisión especial con base en el Transitorio I de la Ley 8503 de 2006 durante el trámite de admisibilidad de la petición, pues estaba destinado específicamente a personas con condenas ya en firme; y por ello, “</w:t>
      </w:r>
      <w:r w:rsidRPr="00FF1B07">
        <w:rPr>
          <w:rFonts w:asciiTheme="majorHAnsi" w:hAnsiTheme="majorHAnsi"/>
          <w:i/>
          <w:iCs/>
          <w:sz w:val="20"/>
          <w:szCs w:val="20"/>
          <w:lang w:val="es-ES_tradnl"/>
        </w:rPr>
        <w:t>el hecho de que se trataría de un recurso extraordinario no puede ser determinante, per se, para concluir su inefectividad”</w:t>
      </w:r>
      <w:r w:rsidRPr="00FF1B07">
        <w:rPr>
          <w:rStyle w:val="FootnoteReference"/>
          <w:rFonts w:asciiTheme="majorHAnsi" w:hAnsiTheme="majorHAnsi"/>
          <w:i/>
          <w:iCs/>
          <w:sz w:val="20"/>
          <w:szCs w:val="20"/>
          <w:lang w:val="es-ES_tradnl"/>
        </w:rPr>
        <w:footnoteReference w:id="10"/>
      </w:r>
      <w:r w:rsidRPr="00FF1B07">
        <w:rPr>
          <w:rFonts w:asciiTheme="majorHAnsi" w:hAnsiTheme="majorHAnsi"/>
          <w:i/>
          <w:iCs/>
          <w:sz w:val="20"/>
          <w:szCs w:val="20"/>
          <w:lang w:val="es-ES_tradnl"/>
        </w:rPr>
        <w:t xml:space="preserve">. </w:t>
      </w:r>
      <w:r w:rsidRPr="00FF1B07">
        <w:rPr>
          <w:rFonts w:asciiTheme="majorHAnsi" w:hAnsiTheme="majorHAnsi"/>
          <w:sz w:val="20"/>
          <w:szCs w:val="20"/>
          <w:lang w:val="es-ES_tradnl"/>
        </w:rPr>
        <w:t xml:space="preserve">En consecuencia, siguiendo la citada jurisprudencia, la Comisión considera que a efectos de determinar la admisibilidad de un asunto sobre esta temática debe determinar si la citada vía recursiva estuvo a disposición de las presuntas víctimas tras la emisión de su condena, y de ser este el supuesto, verificar si agotaron o no tal recurso. </w:t>
      </w:r>
    </w:p>
    <w:p w14:paraId="71A8D4E6" w14:textId="2F99A1BC" w:rsidR="001C58F6" w:rsidRPr="00FF1B07" w:rsidRDefault="001C58F6" w:rsidP="001C58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F1B07">
        <w:rPr>
          <w:rFonts w:asciiTheme="majorHAnsi" w:hAnsiTheme="majorHAnsi"/>
          <w:sz w:val="20"/>
          <w:szCs w:val="20"/>
          <w:lang w:val="es-ES_tradnl"/>
        </w:rPr>
        <w:t>Finalmente, a efectos del análisis de caracterización de las peticiones, la Comisión nota que la Corte Interamericana concluyó en la citada sentencia que no correspondía “</w:t>
      </w:r>
      <w:r w:rsidRPr="00FF1B07">
        <w:rPr>
          <w:rFonts w:asciiTheme="majorHAnsi" w:hAnsiTheme="majorHAnsi"/>
          <w:i/>
          <w:iCs/>
          <w:sz w:val="20"/>
          <w:szCs w:val="20"/>
          <w:lang w:val="es-ES_tradnl"/>
        </w:rPr>
        <w:t>declarar una violación al artículo 2 de la Convención Americana por la forma en que está regulado el sistema recursivo costarricense, ni por la forma en que dicho Estado atendió la situación de personas cuyas sentencias ya estaban en firme con anterioridad a la vigencia de las Leyes 8503 y 8837, ya que, a través de dichas reformas, subsanó las deficiencias en la aplicación de las normas recursivas</w:t>
      </w:r>
      <w:r w:rsidRPr="00FF1B07">
        <w:rPr>
          <w:rFonts w:asciiTheme="majorHAnsi" w:hAnsiTheme="majorHAnsi"/>
          <w:sz w:val="20"/>
          <w:szCs w:val="20"/>
          <w:lang w:val="es-ES_tradnl"/>
        </w:rPr>
        <w:t xml:space="preserve"> […]”</w:t>
      </w:r>
      <w:r w:rsidRPr="00FF1B07">
        <w:rPr>
          <w:rStyle w:val="FootnoteReference"/>
          <w:rFonts w:asciiTheme="majorHAnsi" w:hAnsiTheme="majorHAnsi"/>
          <w:sz w:val="20"/>
          <w:szCs w:val="20"/>
          <w:lang w:val="es-ES_tradnl"/>
        </w:rPr>
        <w:footnoteReference w:id="11"/>
      </w:r>
      <w:r w:rsidRPr="00FF1B07">
        <w:rPr>
          <w:rFonts w:asciiTheme="majorHAnsi" w:hAnsiTheme="majorHAnsi"/>
          <w:sz w:val="20"/>
          <w:szCs w:val="20"/>
          <w:lang w:val="es-ES_tradnl"/>
        </w:rPr>
        <w:t xml:space="preserve">. Asimismo, recuerda que en la resolución de supervisión de cumplimiento del 22 de noviembre de 2010 del caso </w:t>
      </w:r>
      <w:r w:rsidRPr="00FF1B07">
        <w:rPr>
          <w:rFonts w:asciiTheme="majorHAnsi" w:hAnsiTheme="majorHAnsi"/>
          <w:i/>
          <w:iCs/>
          <w:sz w:val="20"/>
          <w:szCs w:val="20"/>
          <w:lang w:val="es-ES_tradnl"/>
        </w:rPr>
        <w:t xml:space="preserve">Herrera Ulloa vs. Costa Rica, </w:t>
      </w:r>
      <w:r w:rsidRPr="00FF1B07">
        <w:rPr>
          <w:rFonts w:asciiTheme="majorHAnsi" w:hAnsiTheme="majorHAnsi"/>
          <w:sz w:val="20"/>
          <w:szCs w:val="20"/>
          <w:lang w:val="es-ES_tradnl"/>
        </w:rPr>
        <w:t xml:space="preserve">el Tribunal valoró positivamente las reformas </w:t>
      </w:r>
      <w:r w:rsidRPr="00FF1B07">
        <w:rPr>
          <w:rFonts w:asciiTheme="majorHAnsi" w:hAnsiTheme="majorHAnsi"/>
          <w:sz w:val="20"/>
          <w:szCs w:val="20"/>
          <w:lang w:val="es-ES_tradnl"/>
        </w:rPr>
        <w:lastRenderedPageBreak/>
        <w:t>introducidas en la legislación procesal penal</w:t>
      </w:r>
      <w:r w:rsidR="00CC5F1F" w:rsidRPr="00FF1B07">
        <w:rPr>
          <w:rFonts w:asciiTheme="majorHAnsi" w:hAnsiTheme="majorHAnsi"/>
          <w:sz w:val="20"/>
          <w:szCs w:val="20"/>
          <w:lang w:val="es-ES_tradnl"/>
        </w:rPr>
        <w:t>;</w:t>
      </w:r>
      <w:r w:rsidRPr="00FF1B07">
        <w:rPr>
          <w:rFonts w:asciiTheme="majorHAnsi" w:hAnsiTheme="majorHAnsi"/>
          <w:sz w:val="20"/>
          <w:szCs w:val="20"/>
          <w:lang w:val="es-ES_tradnl"/>
        </w:rPr>
        <w:t xml:space="preserve"> y en virtud de tales modificaciones concluyó que “</w:t>
      </w:r>
      <w:r w:rsidRPr="00FF1B07">
        <w:rPr>
          <w:rFonts w:asciiTheme="majorHAnsi" w:hAnsiTheme="majorHAnsi"/>
          <w:i/>
          <w:iCs/>
          <w:sz w:val="20"/>
          <w:szCs w:val="20"/>
          <w:lang w:val="es-ES_tradnl"/>
        </w:rPr>
        <w:t>al garantizar la posibilidad de un amplio control de la sentencia emitida por un tribunal de juicio en materia penal a nivel interno</w:t>
      </w:r>
      <w:r w:rsidRPr="00FF1B07">
        <w:rPr>
          <w:rFonts w:asciiTheme="majorHAnsi" w:hAnsiTheme="majorHAnsi"/>
          <w:sz w:val="20"/>
          <w:szCs w:val="20"/>
          <w:lang w:val="es-ES_tradnl"/>
        </w:rPr>
        <w:t>”</w:t>
      </w:r>
      <w:r w:rsidRPr="00FF1B07">
        <w:rPr>
          <w:rStyle w:val="FootnoteReference"/>
          <w:rFonts w:asciiTheme="majorHAnsi" w:hAnsiTheme="majorHAnsi"/>
          <w:sz w:val="20"/>
          <w:szCs w:val="20"/>
          <w:lang w:val="es-ES_tradnl"/>
        </w:rPr>
        <w:footnoteReference w:id="12"/>
      </w:r>
      <w:r w:rsidRPr="00FF1B07">
        <w:rPr>
          <w:rFonts w:asciiTheme="majorHAnsi" w:hAnsiTheme="majorHAnsi"/>
          <w:sz w:val="20"/>
          <w:szCs w:val="20"/>
          <w:lang w:val="es-ES_tradnl"/>
        </w:rPr>
        <w:t xml:space="preserve">, Costa Rica había cumplido con adecuar su legislación interna. </w:t>
      </w:r>
    </w:p>
    <w:p w14:paraId="74FC7EE7" w14:textId="77777777" w:rsidR="001C58F6" w:rsidRPr="00FF1B07" w:rsidRDefault="001C58F6" w:rsidP="001C58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F1B07">
        <w:rPr>
          <w:rFonts w:asciiTheme="majorHAnsi" w:hAnsiTheme="majorHAnsi"/>
          <w:sz w:val="20"/>
          <w:szCs w:val="20"/>
          <w:lang w:val="es-ES_tradnl"/>
        </w:rPr>
        <w:t>Sin perjuicio de ello, la Comisión destaca que las citadas normas</w:t>
      </w:r>
      <w:r w:rsidRPr="00FF1B07">
        <w:rPr>
          <w:rFonts w:asciiTheme="majorHAnsi" w:hAnsiTheme="majorHAnsi" w:cs="Calibri"/>
          <w:sz w:val="20"/>
          <w:szCs w:val="20"/>
          <w:lang w:val="es-ES_tradnl"/>
        </w:rPr>
        <w:t xml:space="preserve"> reconocieron a aquellas personas cuyas sentencias condenatorias ya habían adquirido calidad de cosa juzgada la posibilidad de interponer un procedimiento de revisión, aunque supeditado al cumplimiento de ciertos requisitos. En el caso de la ley 8503, la Comisión destaca que se exigía que el recurrente invoque en su presentación “</w:t>
      </w:r>
      <w:r w:rsidRPr="00FF1B07">
        <w:rPr>
          <w:rFonts w:asciiTheme="majorHAnsi" w:hAnsiTheme="majorHAnsi" w:cs="Calibri"/>
          <w:i/>
          <w:iCs/>
          <w:sz w:val="20"/>
          <w:szCs w:val="20"/>
          <w:lang w:val="es-ES_tradnl"/>
        </w:rPr>
        <w:t>el agravio y los aspectos de hecho y derecho que no fueron posibles de conocer en casación</w:t>
      </w:r>
      <w:r w:rsidRPr="00FF1B07">
        <w:rPr>
          <w:rFonts w:asciiTheme="majorHAnsi" w:hAnsiTheme="majorHAnsi" w:cs="Calibri"/>
          <w:sz w:val="20"/>
          <w:szCs w:val="20"/>
          <w:lang w:val="es-ES_tradnl"/>
        </w:rPr>
        <w:t>”. Por su parte, el Transitorio III de la ley 8837 demandaba para la procedencia del procedimiento de revisión que el condenado “</w:t>
      </w:r>
      <w:r w:rsidRPr="00FF1B07">
        <w:rPr>
          <w:rFonts w:asciiTheme="majorHAnsi" w:hAnsiTheme="majorHAnsi" w:cs="Calibri"/>
          <w:i/>
          <w:iCs/>
          <w:sz w:val="20"/>
          <w:szCs w:val="20"/>
          <w:lang w:val="es-ES_tradnl"/>
        </w:rPr>
        <w:t>haya alegado con anterioridad la vulneración del artículo 8.2.h de la Convención</w:t>
      </w:r>
      <w:r w:rsidRPr="00FF1B07">
        <w:rPr>
          <w:rFonts w:asciiTheme="majorHAnsi" w:hAnsiTheme="majorHAnsi" w:cs="Calibri"/>
          <w:sz w:val="20"/>
          <w:szCs w:val="20"/>
          <w:lang w:val="es-ES_tradnl"/>
        </w:rPr>
        <w:t xml:space="preserve">”.   </w:t>
      </w:r>
    </w:p>
    <w:p w14:paraId="159D4DCB" w14:textId="77777777" w:rsidR="001C58F6" w:rsidRPr="00FF1B07" w:rsidRDefault="001C58F6" w:rsidP="001C58F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r w:rsidRPr="00FF1B07">
        <w:rPr>
          <w:rFonts w:asciiTheme="majorHAnsi" w:hAnsiTheme="majorHAnsi" w:cs="Calibri"/>
          <w:sz w:val="20"/>
          <w:szCs w:val="20"/>
          <w:lang w:val="es-ES_tradnl"/>
        </w:rPr>
        <w:t>En tal sentido, la Comisión reafirma que la manera en que se encontraba regulado el procedimiento de revisión establecido por el Transitorio I de la ley 8503 podía generar limitaciones en términos de la accesibilidad del recurso, y, en consecuencia, no garantiza en sí mismo el derecho a la revisión integral del fallo condenatorio a todos aquellos que fueron condenados durante la vigencia del texto originario del Código Procesal Penal</w:t>
      </w:r>
      <w:r w:rsidRPr="00FF1B07">
        <w:rPr>
          <w:rStyle w:val="FootnoteReference"/>
          <w:rFonts w:asciiTheme="majorHAnsi" w:hAnsiTheme="majorHAnsi" w:cs="Calibri"/>
          <w:sz w:val="20"/>
          <w:szCs w:val="20"/>
          <w:lang w:val="es-ES_tradnl"/>
        </w:rPr>
        <w:footnoteReference w:id="13"/>
      </w:r>
      <w:r w:rsidRPr="00FF1B07">
        <w:rPr>
          <w:rFonts w:asciiTheme="majorHAnsi" w:hAnsiTheme="majorHAnsi" w:cs="Calibri"/>
          <w:sz w:val="20"/>
          <w:szCs w:val="20"/>
          <w:lang w:val="es-ES_tradnl"/>
        </w:rPr>
        <w:t xml:space="preserve">. Idéntica conclusión cabe realizar respecto del recurso de revisión consagrado en el Transitorio III de la ley 8837, toda vez que la norma incluía la exigencia de haber alegado previamente la vulneración del derecho al recurso como un requisito de procedibilidad del recurso de revisión. </w:t>
      </w:r>
    </w:p>
    <w:p w14:paraId="4EBE318C" w14:textId="77777777" w:rsidR="001C58F6" w:rsidRPr="00FF1B07" w:rsidRDefault="001C58F6" w:rsidP="001C58F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p>
    <w:p w14:paraId="717FA8AA" w14:textId="77777777" w:rsidR="001C58F6" w:rsidRPr="00FF1B07" w:rsidRDefault="001C58F6" w:rsidP="001C58F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r w:rsidRPr="00FF1B07">
        <w:rPr>
          <w:rFonts w:asciiTheme="majorHAnsi" w:hAnsiTheme="majorHAnsi"/>
          <w:sz w:val="20"/>
          <w:szCs w:val="20"/>
          <w:lang w:val="es-ES_tradnl"/>
        </w:rPr>
        <w:t>No obstante, la Comisión reconoce, en primer término, que la Sala Constitucional de la Corte Suprema de Justicia de Costa Rica se refirió en reiterados pronunciamientos a la necesidad de “</w:t>
      </w:r>
      <w:r w:rsidRPr="00FF1B07">
        <w:rPr>
          <w:rFonts w:asciiTheme="majorHAnsi" w:hAnsiTheme="majorHAnsi"/>
          <w:i/>
          <w:iCs/>
          <w:sz w:val="20"/>
          <w:szCs w:val="20"/>
          <w:lang w:val="es-ES_tradnl"/>
        </w:rPr>
        <w:t>asegurar el derecho al recurso, excluyendo formalismos que impidieran la revisión de las sentencias de condena, a fin de satisfacer lo dispuesto por el artículo 8.2.h de la Convención</w:t>
      </w:r>
      <w:r w:rsidRPr="00FF1B07">
        <w:rPr>
          <w:rFonts w:asciiTheme="majorHAnsi" w:hAnsiTheme="majorHAnsi"/>
          <w:sz w:val="20"/>
          <w:szCs w:val="20"/>
          <w:lang w:val="es-ES_tradnl"/>
        </w:rPr>
        <w:t>”</w:t>
      </w:r>
      <w:r w:rsidRPr="00FF1B07">
        <w:rPr>
          <w:rStyle w:val="FootnoteReference"/>
          <w:rFonts w:asciiTheme="majorHAnsi" w:hAnsiTheme="majorHAnsi"/>
          <w:sz w:val="20"/>
          <w:szCs w:val="20"/>
          <w:lang w:val="es-ES_tradnl"/>
        </w:rPr>
        <w:footnoteReference w:id="14"/>
      </w:r>
      <w:r w:rsidRPr="00FF1B07">
        <w:rPr>
          <w:rFonts w:asciiTheme="majorHAnsi" w:hAnsiTheme="majorHAnsi"/>
          <w:sz w:val="20"/>
          <w:szCs w:val="20"/>
          <w:lang w:val="es-ES_tradnl"/>
        </w:rPr>
        <w:t>.</w:t>
      </w:r>
    </w:p>
    <w:p w14:paraId="497675AC" w14:textId="77777777" w:rsidR="001C58F6" w:rsidRPr="00FF1B07" w:rsidRDefault="001C58F6" w:rsidP="001C58F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p>
    <w:p w14:paraId="608D2152" w14:textId="77777777" w:rsidR="001C58F6" w:rsidRPr="00FF1B07" w:rsidRDefault="001C58F6" w:rsidP="001C58F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r w:rsidRPr="00FF1B07">
        <w:rPr>
          <w:rFonts w:asciiTheme="majorHAnsi" w:hAnsiTheme="majorHAnsi"/>
          <w:sz w:val="20"/>
          <w:szCs w:val="20"/>
          <w:lang w:val="es-ES_tradnl"/>
        </w:rPr>
        <w:t xml:space="preserve">Asimismo, la CIDH considera que, a pesar de los obstáculos a la procedencia del recurso incorporados en la redacción del Transitorio I de la ley 8503, el recurso de revisión allí reconocido significó una oportunidad adicional al recurso de casación para que una persona condenada pudiera obtener una revisión integral de su sentencia. Dicha revisión integral dependía, en esencia, de la forma en que los jueces de los tribunales de alzada interpretaban las normas procesales vigentes a la luz de la jurisprudencia de la Sala Constitucional de la Corte Suprema de Justicia de Costa Rica, del artículo 8.2.h de la Convención Americana y de lo decidido por la Corte IDH en el caso </w:t>
      </w:r>
      <w:r w:rsidRPr="00FF1B07">
        <w:rPr>
          <w:rFonts w:asciiTheme="majorHAnsi" w:hAnsiTheme="majorHAnsi"/>
          <w:i/>
          <w:iCs/>
          <w:sz w:val="20"/>
          <w:szCs w:val="20"/>
          <w:lang w:val="es-ES_tradnl"/>
        </w:rPr>
        <w:t>Herrera Ulloa</w:t>
      </w:r>
      <w:r w:rsidRPr="00FF1B07">
        <w:rPr>
          <w:rFonts w:asciiTheme="majorHAnsi" w:hAnsiTheme="majorHAnsi"/>
          <w:sz w:val="20"/>
          <w:szCs w:val="20"/>
          <w:lang w:val="es-ES_tradnl"/>
        </w:rPr>
        <w:t xml:space="preserve">. </w:t>
      </w:r>
    </w:p>
    <w:p w14:paraId="21443ED4" w14:textId="77777777" w:rsidR="001C58F6" w:rsidRPr="00FF1B07" w:rsidRDefault="001C58F6" w:rsidP="001C58F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p>
    <w:p w14:paraId="522AFE0A" w14:textId="66448EEB" w:rsidR="001C58F6" w:rsidRPr="00FF1B07" w:rsidRDefault="001C58F6" w:rsidP="001C58F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r w:rsidRPr="00FF1B07">
        <w:rPr>
          <w:rFonts w:asciiTheme="majorHAnsi" w:hAnsiTheme="majorHAnsi"/>
          <w:sz w:val="20"/>
          <w:szCs w:val="20"/>
          <w:lang w:val="es-ES_tradnl"/>
        </w:rPr>
        <w:t xml:space="preserve">En particular, y en línea con lo decidido por la Corte, la Comisión observa que, teniendo en cuenta que tales modificaciones legislativas al sistema recursivo costarricense fueron adoptadas como resultado de los pronunciamientos de los órganos del </w:t>
      </w:r>
      <w:r w:rsidR="002E59CE" w:rsidRPr="00FF1B07">
        <w:rPr>
          <w:rFonts w:asciiTheme="majorHAnsi" w:hAnsiTheme="majorHAnsi"/>
          <w:sz w:val="20"/>
          <w:szCs w:val="20"/>
          <w:lang w:val="es-ES_tradnl"/>
        </w:rPr>
        <w:t>S</w:t>
      </w:r>
      <w:r w:rsidRPr="00FF1B07">
        <w:rPr>
          <w:rFonts w:asciiTheme="majorHAnsi" w:hAnsiTheme="majorHAnsi"/>
          <w:sz w:val="20"/>
          <w:szCs w:val="20"/>
          <w:lang w:val="es-ES_tradnl"/>
        </w:rPr>
        <w:t xml:space="preserve">istema </w:t>
      </w:r>
      <w:r w:rsidR="002E59CE" w:rsidRPr="00FF1B07">
        <w:rPr>
          <w:rFonts w:asciiTheme="majorHAnsi" w:hAnsiTheme="majorHAnsi"/>
          <w:sz w:val="20"/>
          <w:szCs w:val="20"/>
          <w:lang w:val="es-ES_tradnl"/>
        </w:rPr>
        <w:t>I</w:t>
      </w:r>
      <w:r w:rsidRPr="00FF1B07">
        <w:rPr>
          <w:rFonts w:asciiTheme="majorHAnsi" w:hAnsiTheme="majorHAnsi"/>
          <w:sz w:val="20"/>
          <w:szCs w:val="20"/>
          <w:lang w:val="es-ES_tradnl"/>
        </w:rPr>
        <w:t>nteramericano de derechos humanos, resulta razonable como causal de admisibilidad del recurso que los interesados deban invocar los posibles errores que hubiera podido cometer el juez o tribunal de la instancia inferior.</w:t>
      </w:r>
    </w:p>
    <w:p w14:paraId="5660BA38" w14:textId="77777777" w:rsidR="001C58F6" w:rsidRPr="00FF1B07" w:rsidRDefault="001C58F6" w:rsidP="001C58F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p>
    <w:p w14:paraId="7F047A94" w14:textId="737B828D" w:rsidR="001C58F6" w:rsidRPr="00FF1B07" w:rsidRDefault="001C58F6" w:rsidP="001C58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F1B07">
        <w:rPr>
          <w:rFonts w:asciiTheme="majorHAnsi" w:hAnsiTheme="majorHAnsi"/>
          <w:sz w:val="20"/>
          <w:szCs w:val="20"/>
          <w:lang w:val="es-ES_tradnl"/>
        </w:rPr>
        <w:t xml:space="preserve">En consecuencia, teniendo en cuenta las especificidades existentes respecto de este tema en el sistema costarricense, como resultado de las sentencias dictadas por el </w:t>
      </w:r>
      <w:r w:rsidR="000D6F28" w:rsidRPr="00FF1B07">
        <w:rPr>
          <w:rFonts w:asciiTheme="majorHAnsi" w:hAnsiTheme="majorHAnsi"/>
          <w:sz w:val="20"/>
          <w:szCs w:val="20"/>
          <w:lang w:val="es-ES_tradnl"/>
        </w:rPr>
        <w:t>S</w:t>
      </w:r>
      <w:r w:rsidRPr="00FF1B07">
        <w:rPr>
          <w:rFonts w:asciiTheme="majorHAnsi" w:hAnsiTheme="majorHAnsi"/>
          <w:sz w:val="20"/>
          <w:szCs w:val="20"/>
          <w:lang w:val="es-ES_tradnl"/>
        </w:rPr>
        <w:t xml:space="preserve">istema </w:t>
      </w:r>
      <w:r w:rsidR="000D6F28" w:rsidRPr="00FF1B07">
        <w:rPr>
          <w:rFonts w:asciiTheme="majorHAnsi" w:hAnsiTheme="majorHAnsi"/>
          <w:sz w:val="20"/>
          <w:szCs w:val="20"/>
          <w:lang w:val="es-ES_tradnl"/>
        </w:rPr>
        <w:t>I</w:t>
      </w:r>
      <w:r w:rsidRPr="00FF1B07">
        <w:rPr>
          <w:rFonts w:asciiTheme="majorHAnsi" w:hAnsiTheme="majorHAnsi"/>
          <w:sz w:val="20"/>
          <w:szCs w:val="20"/>
          <w:lang w:val="es-ES_tradnl"/>
        </w:rPr>
        <w:t>nteramericano, y concretamente con lo señalado por la Corte IDH en el caso “Amrhein”, la Comisión considera que no resulta apropiado realizar una evaluación en abstracto de cada uno de los recursos disponibles en la legislación procesal penal, sino que se debe efectuar “</w:t>
      </w:r>
      <w:r w:rsidRPr="00FF1B07">
        <w:rPr>
          <w:rFonts w:asciiTheme="majorHAnsi" w:hAnsiTheme="majorHAnsi"/>
          <w:i/>
          <w:iCs/>
          <w:sz w:val="20"/>
          <w:szCs w:val="20"/>
          <w:lang w:val="es-ES_tradnl"/>
        </w:rPr>
        <w:t>un análisis, caso por caso, de los recursos efectivamente interpuestos por las presuntas víctimas a fin de determinar si la forma en que éstos fueron resueltos en el sistema recursivo costarricense, tomando en cuenta sus reformas, respetaron el derecho de aquellas a una revisión integral de sus sentencias condenatorias</w:t>
      </w:r>
      <w:r w:rsidRPr="00FF1B07">
        <w:rPr>
          <w:rFonts w:asciiTheme="majorHAnsi" w:hAnsiTheme="majorHAnsi"/>
          <w:sz w:val="20"/>
          <w:szCs w:val="20"/>
          <w:lang w:val="es-ES_tradnl"/>
        </w:rPr>
        <w:t>”</w:t>
      </w:r>
      <w:r w:rsidRPr="00FF1B07">
        <w:rPr>
          <w:rStyle w:val="FootnoteReference"/>
          <w:rFonts w:asciiTheme="majorHAnsi" w:hAnsiTheme="majorHAnsi"/>
          <w:sz w:val="20"/>
          <w:szCs w:val="20"/>
          <w:lang w:val="es-ES_tradnl"/>
        </w:rPr>
        <w:footnoteReference w:id="15"/>
      </w:r>
      <w:r w:rsidRPr="00FF1B07">
        <w:rPr>
          <w:rFonts w:asciiTheme="majorHAnsi" w:hAnsiTheme="majorHAnsi"/>
          <w:sz w:val="20"/>
          <w:szCs w:val="20"/>
          <w:lang w:val="es-ES_tradnl"/>
        </w:rPr>
        <w:t xml:space="preserve">. Lo que en principio requiere de un análisis de fondo por parte de la CIDH, salvo </w:t>
      </w:r>
      <w:r w:rsidRPr="00FF1B07">
        <w:rPr>
          <w:rFonts w:asciiTheme="majorHAnsi" w:hAnsiTheme="majorHAnsi"/>
          <w:sz w:val="20"/>
          <w:szCs w:val="20"/>
          <w:lang w:val="es-ES_tradnl"/>
        </w:rPr>
        <w:lastRenderedPageBreak/>
        <w:t xml:space="preserve">que de la información de las partes se observe que los hechos planteados por el peticionario no caractericen </w:t>
      </w:r>
      <w:r w:rsidRPr="00FF1B07">
        <w:rPr>
          <w:rFonts w:asciiTheme="majorHAnsi" w:hAnsiTheme="majorHAnsi"/>
          <w:i/>
          <w:iCs/>
          <w:sz w:val="20"/>
          <w:szCs w:val="20"/>
          <w:lang w:val="es-ES_tradnl"/>
        </w:rPr>
        <w:t>prima facie</w:t>
      </w:r>
      <w:r w:rsidRPr="00FF1B07">
        <w:rPr>
          <w:rFonts w:asciiTheme="majorHAnsi" w:hAnsiTheme="majorHAnsi"/>
          <w:sz w:val="20"/>
          <w:szCs w:val="20"/>
          <w:lang w:val="es-ES_tradnl"/>
        </w:rPr>
        <w:t xml:space="preserve"> violaciones a la Convención Americana, en los términos de su artículo 47.</w:t>
      </w:r>
    </w:p>
    <w:p w14:paraId="6F4D4171" w14:textId="14B56395" w:rsidR="003239B8" w:rsidRPr="00FF1B07" w:rsidRDefault="003239B8" w:rsidP="003239B8">
      <w:pPr>
        <w:spacing w:before="240" w:after="240"/>
        <w:ind w:firstLine="720"/>
        <w:jc w:val="both"/>
        <w:rPr>
          <w:rFonts w:asciiTheme="majorHAnsi" w:hAnsiTheme="majorHAnsi"/>
          <w:sz w:val="20"/>
          <w:szCs w:val="20"/>
          <w:lang w:val="es-ES_tradnl"/>
        </w:rPr>
      </w:pPr>
      <w:r w:rsidRPr="00FF1B07">
        <w:rPr>
          <w:rFonts w:asciiTheme="majorHAnsi" w:eastAsia="Cambria" w:hAnsiTheme="majorHAnsi" w:cs="Cambria"/>
          <w:b/>
          <w:bCs/>
          <w:color w:val="000000"/>
          <w:sz w:val="20"/>
          <w:szCs w:val="20"/>
          <w:u w:color="000000"/>
          <w:lang w:val="es-ES_tradnl" w:eastAsia="es-ES"/>
        </w:rPr>
        <w:t>VI</w:t>
      </w:r>
      <w:r w:rsidR="001C58F6" w:rsidRPr="00FF1B07">
        <w:rPr>
          <w:rFonts w:asciiTheme="majorHAnsi" w:eastAsia="Cambria" w:hAnsiTheme="majorHAnsi" w:cs="Cambria"/>
          <w:b/>
          <w:bCs/>
          <w:color w:val="000000"/>
          <w:sz w:val="20"/>
          <w:szCs w:val="20"/>
          <w:u w:color="000000"/>
          <w:lang w:val="es-ES_tradnl" w:eastAsia="es-ES"/>
        </w:rPr>
        <w:t>I</w:t>
      </w:r>
      <w:r w:rsidRPr="00FF1B07">
        <w:rPr>
          <w:rFonts w:asciiTheme="majorHAnsi" w:eastAsia="Cambria" w:hAnsiTheme="majorHAnsi" w:cs="Cambria"/>
          <w:b/>
          <w:bCs/>
          <w:color w:val="000000"/>
          <w:sz w:val="20"/>
          <w:szCs w:val="20"/>
          <w:u w:color="000000"/>
          <w:lang w:val="es-ES_tradnl" w:eastAsia="es-ES"/>
        </w:rPr>
        <w:t>.</w:t>
      </w:r>
      <w:r w:rsidRPr="00FF1B07">
        <w:rPr>
          <w:rFonts w:asciiTheme="majorHAnsi" w:eastAsia="Cambria" w:hAnsiTheme="majorHAnsi" w:cs="Cambria"/>
          <w:b/>
          <w:bCs/>
          <w:color w:val="000000"/>
          <w:sz w:val="20"/>
          <w:szCs w:val="20"/>
          <w:u w:color="000000"/>
          <w:lang w:val="es-ES_tradnl" w:eastAsia="es-ES"/>
        </w:rPr>
        <w:tab/>
      </w:r>
      <w:r w:rsidR="004A6A54" w:rsidRPr="00FF1B07">
        <w:rPr>
          <w:rFonts w:asciiTheme="majorHAnsi" w:hAnsiTheme="majorHAnsi"/>
          <w:b/>
          <w:bCs/>
          <w:sz w:val="20"/>
          <w:szCs w:val="20"/>
          <w:lang w:val="es-ES_tradnl"/>
        </w:rPr>
        <w:t xml:space="preserve">ANÁLISIS DE </w:t>
      </w:r>
      <w:r w:rsidR="00C21FEF" w:rsidRPr="00FF1B07">
        <w:rPr>
          <w:rFonts w:asciiTheme="majorHAnsi" w:hAnsiTheme="majorHAnsi"/>
          <w:b/>
          <w:sz w:val="20"/>
          <w:szCs w:val="20"/>
          <w:lang w:val="es-ES_tradnl"/>
        </w:rPr>
        <w:t>AGOTAMIENTO DE LOS RECURSOS INTERNOS Y PLAZO DE PRESENTACIÓN</w:t>
      </w:r>
      <w:r w:rsidR="00C21FEF" w:rsidRPr="00FF1B07">
        <w:rPr>
          <w:rFonts w:asciiTheme="majorHAnsi" w:eastAsia="Cambria" w:hAnsiTheme="majorHAnsi" w:cs="Cambria"/>
          <w:b/>
          <w:bCs/>
          <w:color w:val="000000"/>
          <w:sz w:val="20"/>
          <w:szCs w:val="20"/>
          <w:u w:color="000000"/>
          <w:lang w:val="es-ES_tradnl" w:eastAsia="es-ES"/>
        </w:rPr>
        <w:t xml:space="preserve"> </w:t>
      </w:r>
    </w:p>
    <w:p w14:paraId="3AA7D179" w14:textId="77777777" w:rsidR="005C17E9" w:rsidRPr="00FF1B07" w:rsidRDefault="005C17E9" w:rsidP="005C17E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F1B07">
        <w:rPr>
          <w:rFonts w:asciiTheme="majorHAnsi" w:hAnsiTheme="majorHAnsi"/>
          <w:sz w:val="20"/>
          <w:szCs w:val="20"/>
          <w:lang w:val="es-ES_tradnl"/>
        </w:rPr>
        <w:t>Respecto al cuestionamiento del Estado sobre el hecho de que el agotamiento de la jurisdicción doméstica se produjo con posterioridad a la presentación de la petición, la CIDH reitera su posición constante según la cual el análisis sobre los requisitos previstos en los artículos 46 y 47 de la Convención debe hacerse a la luz de la situación vigente al momento en que se pronuncia sobre la admisibilidad o inadmisibilidad del reclamo. Es muy frecuente que, durante la tramitación, haya cambios en el estado de agotamiento de los recursos internos. No obstante, el sistema de peticiones y casos asegura que tanto el Estado como el peticionario tengan la plena oportunidad para presentar información y alegatos al respecto</w:t>
      </w:r>
      <w:r w:rsidRPr="00FF1B07">
        <w:rPr>
          <w:rStyle w:val="FootnoteReference"/>
          <w:rFonts w:asciiTheme="majorHAnsi" w:hAnsiTheme="majorHAnsi"/>
          <w:sz w:val="20"/>
          <w:szCs w:val="20"/>
          <w:lang w:val="es-ES_tradnl"/>
        </w:rPr>
        <w:footnoteReference w:id="16"/>
      </w:r>
      <w:r w:rsidRPr="00FF1B07">
        <w:rPr>
          <w:rFonts w:asciiTheme="majorHAnsi" w:hAnsiTheme="majorHAnsi"/>
          <w:sz w:val="20"/>
          <w:szCs w:val="20"/>
          <w:lang w:val="es-ES_tradnl"/>
        </w:rPr>
        <w:t xml:space="preserve">. </w:t>
      </w:r>
    </w:p>
    <w:p w14:paraId="531BD40A" w14:textId="5D3B0077" w:rsidR="005C17E9" w:rsidRPr="00FF1B07" w:rsidRDefault="005C17E9" w:rsidP="000720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F1B07">
        <w:rPr>
          <w:rFonts w:asciiTheme="majorHAnsi" w:hAnsiTheme="majorHAnsi"/>
          <w:sz w:val="20"/>
          <w:szCs w:val="20"/>
          <w:lang w:val="es-ES_tradnl"/>
        </w:rPr>
        <w:t xml:space="preserve">Con base en esta premisa, la Comisión observa que, según la información </w:t>
      </w:r>
      <w:r w:rsidR="008C283F" w:rsidRPr="00FF1B07">
        <w:rPr>
          <w:rFonts w:asciiTheme="majorHAnsi" w:hAnsiTheme="majorHAnsi"/>
          <w:sz w:val="20"/>
          <w:szCs w:val="20"/>
          <w:lang w:val="es-ES_tradnl"/>
        </w:rPr>
        <w:t>en el expediente</w:t>
      </w:r>
      <w:r w:rsidRPr="00FF1B07">
        <w:rPr>
          <w:rFonts w:asciiTheme="majorHAnsi" w:hAnsiTheme="majorHAnsi"/>
          <w:sz w:val="20"/>
          <w:szCs w:val="20"/>
          <w:lang w:val="es-ES_tradnl"/>
        </w:rPr>
        <w:t xml:space="preserve">, de conformidad con la jurisprudencia sentada por la Corte Interamericana en el caso </w:t>
      </w:r>
      <w:r w:rsidRPr="00FF1B07">
        <w:rPr>
          <w:rFonts w:asciiTheme="majorHAnsi" w:hAnsiTheme="majorHAnsi"/>
          <w:i/>
          <w:iCs/>
          <w:sz w:val="20"/>
          <w:szCs w:val="20"/>
          <w:lang w:val="es-ES_tradnl"/>
        </w:rPr>
        <w:t>Amrhein y otros vs. Costa Rica</w:t>
      </w:r>
      <w:r w:rsidRPr="00FF1B07">
        <w:rPr>
          <w:rFonts w:asciiTheme="majorHAnsi" w:hAnsiTheme="majorHAnsi"/>
          <w:sz w:val="20"/>
          <w:szCs w:val="20"/>
          <w:lang w:val="es-ES_tradnl"/>
        </w:rPr>
        <w:t xml:space="preserve">, el señor </w:t>
      </w:r>
      <w:r w:rsidR="008C283F" w:rsidRPr="00FF1B07">
        <w:rPr>
          <w:rFonts w:asciiTheme="majorHAnsi" w:hAnsiTheme="majorHAnsi"/>
          <w:sz w:val="20"/>
          <w:szCs w:val="20"/>
          <w:lang w:val="es-ES_tradnl"/>
        </w:rPr>
        <w:t>Hernández Córdoba</w:t>
      </w:r>
      <w:r w:rsidRPr="00FF1B07">
        <w:rPr>
          <w:rFonts w:asciiTheme="majorHAnsi" w:hAnsiTheme="majorHAnsi"/>
          <w:sz w:val="20"/>
          <w:szCs w:val="20"/>
          <w:lang w:val="es-ES_tradnl"/>
        </w:rPr>
        <w:t xml:space="preserve"> cumplió con presentar un procedimiento de revisión, con base en el Transitorio III de la Ley N° 8837, a efectos de cuestionar la presunta afectación a su derecho a la revisión integral de su condena. Así, producto de este accionar, el </w:t>
      </w:r>
      <w:r w:rsidR="00072044" w:rsidRPr="00FF1B07">
        <w:rPr>
          <w:rFonts w:asciiTheme="majorHAnsi" w:hAnsiTheme="majorHAnsi"/>
          <w:sz w:val="20"/>
          <w:szCs w:val="20"/>
          <w:lang w:val="es-ES_tradnl"/>
        </w:rPr>
        <w:t xml:space="preserve">24 de mayo de 2013 la Sala Tercera de la Corte Suprema de Justicia </w:t>
      </w:r>
      <w:r w:rsidRPr="00FF1B07">
        <w:rPr>
          <w:rFonts w:asciiTheme="majorHAnsi" w:hAnsiTheme="majorHAnsi"/>
          <w:sz w:val="20"/>
          <w:szCs w:val="20"/>
          <w:lang w:val="es-ES_tradnl"/>
        </w:rPr>
        <w:t xml:space="preserve">rechazó el citado procedimiento de revisión. </w:t>
      </w:r>
    </w:p>
    <w:p w14:paraId="6DA26F9A" w14:textId="69D7DAEB" w:rsidR="005C17E9" w:rsidRPr="00FF1B07" w:rsidRDefault="005C17E9" w:rsidP="005C17E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F1B07">
        <w:rPr>
          <w:rFonts w:asciiTheme="majorHAnsi" w:hAnsiTheme="majorHAnsi"/>
          <w:sz w:val="20"/>
          <w:szCs w:val="20"/>
          <w:lang w:val="es-ES_tradnl"/>
        </w:rPr>
        <w:t xml:space="preserve">En consecuencia, toda vez que la presunta víctima empleó la vía dispuesta por el Estado para cuestionar posibles afectaciones al derecho contemplado en el artículo 8.2.h) de la Convención Americana, la Comisión considera que el presente asunto cumple con el requisito previsto en el artículo 46.1.a) de la Convención Americana. Asimismo, </w:t>
      </w:r>
      <w:r w:rsidR="00072044" w:rsidRPr="00FF1B07">
        <w:rPr>
          <w:rFonts w:asciiTheme="majorHAnsi" w:hAnsiTheme="majorHAnsi"/>
          <w:sz w:val="20"/>
          <w:szCs w:val="20"/>
          <w:lang w:val="es-ES_tradnl"/>
        </w:rPr>
        <w:t>dado</w:t>
      </w:r>
      <w:r w:rsidRPr="00FF1B07">
        <w:rPr>
          <w:rFonts w:asciiTheme="majorHAnsi" w:hAnsiTheme="majorHAnsi"/>
          <w:sz w:val="20"/>
          <w:szCs w:val="20"/>
          <w:lang w:val="es-ES_tradnl"/>
        </w:rPr>
        <w:t xml:space="preserve"> que la decisión que agotó la jurisdicción doméstica se emitió cuando el presente asunto se encontraba bajo estudio de admisibilidad, la Comisión también concluye que esta petición cumple con el requisito de plazo establecido en el artículo 46.1.b) de la Convención. </w:t>
      </w:r>
    </w:p>
    <w:p w14:paraId="4FFBE378" w14:textId="0DBA1756" w:rsidR="003239B8" w:rsidRPr="00FF1B07" w:rsidRDefault="003239B8" w:rsidP="003239B8">
      <w:pPr>
        <w:pStyle w:val="ListParagraph"/>
        <w:spacing w:before="240" w:after="240"/>
        <w:jc w:val="both"/>
        <w:rPr>
          <w:rFonts w:asciiTheme="majorHAnsi" w:hAnsiTheme="majorHAnsi"/>
          <w:b/>
          <w:sz w:val="20"/>
          <w:szCs w:val="20"/>
          <w:lang w:val="es-ES_tradnl"/>
        </w:rPr>
      </w:pPr>
      <w:r w:rsidRPr="00FF1B07">
        <w:rPr>
          <w:rFonts w:asciiTheme="majorHAnsi" w:hAnsiTheme="majorHAnsi"/>
          <w:b/>
          <w:bCs/>
          <w:sz w:val="20"/>
          <w:szCs w:val="20"/>
          <w:lang w:val="es-ES_tradnl"/>
        </w:rPr>
        <w:t>VII</w:t>
      </w:r>
      <w:r w:rsidR="001C58F6" w:rsidRPr="00FF1B07">
        <w:rPr>
          <w:rFonts w:asciiTheme="majorHAnsi" w:hAnsiTheme="majorHAnsi"/>
          <w:b/>
          <w:bCs/>
          <w:sz w:val="20"/>
          <w:szCs w:val="20"/>
          <w:lang w:val="es-ES_tradnl"/>
        </w:rPr>
        <w:t>I</w:t>
      </w:r>
      <w:r w:rsidRPr="00FF1B07">
        <w:rPr>
          <w:rFonts w:asciiTheme="majorHAnsi" w:hAnsiTheme="majorHAnsi"/>
          <w:b/>
          <w:bCs/>
          <w:sz w:val="20"/>
          <w:szCs w:val="20"/>
          <w:lang w:val="es-ES_tradnl"/>
        </w:rPr>
        <w:t>.</w:t>
      </w:r>
      <w:r w:rsidRPr="00FF1B07">
        <w:rPr>
          <w:rFonts w:asciiTheme="majorHAnsi" w:hAnsiTheme="majorHAnsi"/>
          <w:b/>
          <w:bCs/>
          <w:sz w:val="20"/>
          <w:szCs w:val="20"/>
          <w:lang w:val="es-ES_tradnl"/>
        </w:rPr>
        <w:tab/>
      </w:r>
      <w:r w:rsidR="004A6A54" w:rsidRPr="00FF1B07">
        <w:rPr>
          <w:rFonts w:asciiTheme="majorHAnsi" w:hAnsiTheme="majorHAnsi"/>
          <w:b/>
          <w:bCs/>
          <w:sz w:val="20"/>
          <w:szCs w:val="20"/>
          <w:lang w:val="es-ES_tradnl"/>
        </w:rPr>
        <w:t xml:space="preserve">ANÁLISIS DE </w:t>
      </w:r>
      <w:r w:rsidR="00C21FEF" w:rsidRPr="00FF1B07">
        <w:rPr>
          <w:rFonts w:asciiTheme="majorHAnsi" w:hAnsiTheme="majorHAnsi"/>
          <w:b/>
          <w:bCs/>
          <w:sz w:val="20"/>
          <w:szCs w:val="20"/>
          <w:lang w:val="es-ES_tradnl"/>
        </w:rPr>
        <w:t>CARACTERIZACIÓN DE LOS HECHOS ALEGADOS</w:t>
      </w:r>
    </w:p>
    <w:p w14:paraId="4296A5C7" w14:textId="2F73AA70" w:rsidR="00A8414A" w:rsidRPr="00FF1B07" w:rsidRDefault="00A8414A" w:rsidP="00A8414A">
      <w:pPr>
        <w:pStyle w:val="ListParagraph"/>
        <w:numPr>
          <w:ilvl w:val="0"/>
          <w:numId w:val="103"/>
        </w:numPr>
        <w:jc w:val="both"/>
        <w:rPr>
          <w:rFonts w:asciiTheme="majorHAnsi" w:hAnsiTheme="majorHAnsi"/>
          <w:sz w:val="20"/>
          <w:szCs w:val="20"/>
          <w:lang w:val="es-ES_tradnl"/>
        </w:rPr>
      </w:pPr>
      <w:r w:rsidRPr="00FF1B07">
        <w:rPr>
          <w:rFonts w:asciiTheme="majorHAnsi" w:hAnsiTheme="majorHAnsi"/>
          <w:sz w:val="20"/>
          <w:szCs w:val="20"/>
          <w:lang w:val="es-ES_tradnl"/>
        </w:rPr>
        <w:t>La Comisión identifica que la parte peticionaria cuestiona, principalmente, tres asuntos puntuales: i) la afectación al derecho a recurrir el fallo</w:t>
      </w:r>
      <w:r w:rsidR="0009657F" w:rsidRPr="00FF1B07">
        <w:rPr>
          <w:rFonts w:asciiTheme="majorHAnsi" w:hAnsiTheme="majorHAnsi"/>
          <w:sz w:val="20"/>
          <w:szCs w:val="20"/>
          <w:lang w:val="es-ES_tradnl"/>
        </w:rPr>
        <w:t xml:space="preserve"> condenatorio</w:t>
      </w:r>
      <w:r w:rsidRPr="00FF1B07">
        <w:rPr>
          <w:rFonts w:asciiTheme="majorHAnsi" w:hAnsiTheme="majorHAnsi"/>
          <w:sz w:val="20"/>
          <w:szCs w:val="20"/>
          <w:lang w:val="es-ES_tradnl"/>
        </w:rPr>
        <w:t xml:space="preserve">; ii) la vulneración a la presunción de inocencia, debido a la inadecuada fundamentación de la condena del señor Hernández Córdoba; y iii) la vulneración a las garantías judiciales, debido a la manera cómo se realizó el proceso penal en su contra. </w:t>
      </w:r>
    </w:p>
    <w:p w14:paraId="2862AB98" w14:textId="77777777" w:rsidR="00A8414A" w:rsidRPr="00FF1B07" w:rsidRDefault="00A8414A" w:rsidP="00A8414A">
      <w:pPr>
        <w:pStyle w:val="ListParagraph"/>
        <w:jc w:val="both"/>
        <w:rPr>
          <w:rFonts w:asciiTheme="majorHAnsi" w:hAnsiTheme="majorHAnsi"/>
          <w:sz w:val="20"/>
          <w:szCs w:val="20"/>
          <w:lang w:val="es-ES_tradnl"/>
        </w:rPr>
      </w:pPr>
    </w:p>
    <w:p w14:paraId="6C5DBA10" w14:textId="77777777" w:rsidR="00A8414A" w:rsidRPr="00FF1B07" w:rsidRDefault="00A8414A" w:rsidP="00A8414A">
      <w:pPr>
        <w:pStyle w:val="ListParagraph"/>
        <w:numPr>
          <w:ilvl w:val="0"/>
          <w:numId w:val="103"/>
        </w:numPr>
        <w:jc w:val="both"/>
        <w:rPr>
          <w:rFonts w:asciiTheme="majorHAnsi" w:hAnsiTheme="majorHAnsi"/>
          <w:sz w:val="20"/>
          <w:szCs w:val="20"/>
          <w:lang w:val="es-ES_tradnl"/>
        </w:rPr>
      </w:pPr>
      <w:r w:rsidRPr="00FF1B07">
        <w:rPr>
          <w:rFonts w:asciiTheme="majorHAnsi" w:hAnsiTheme="majorHAnsi"/>
          <w:sz w:val="20"/>
          <w:szCs w:val="20"/>
          <w:lang w:val="es-ES_tradnl"/>
        </w:rPr>
        <w:t>Sobre el primer aspecto, la Comisión recuerda que el derecho a recurrir el fallo ante un juez o tribunal distinto y de superior jerarquía es una de las garantías mínimas que tiene toda persona sometida a una investigación y proceso penal. Su finalidad es asegurar la revisión de una sentencia adversa de manera tal de que se tenga la posibilidad de corregir decisiones judiciales contrarias a derecho y evitar que una decisión injusta adquiera calidad de cosa juzgada</w:t>
      </w:r>
      <w:r w:rsidRPr="00FF1B07">
        <w:rPr>
          <w:rFonts w:asciiTheme="majorHAnsi" w:hAnsiTheme="majorHAnsi"/>
          <w:sz w:val="20"/>
          <w:szCs w:val="20"/>
          <w:vertAlign w:val="superscript"/>
          <w:lang w:val="es-ES_tradnl"/>
        </w:rPr>
        <w:footnoteReference w:id="17"/>
      </w:r>
      <w:r w:rsidRPr="00FF1B07">
        <w:rPr>
          <w:rFonts w:asciiTheme="majorHAnsi" w:hAnsiTheme="majorHAnsi"/>
          <w:sz w:val="20"/>
          <w:szCs w:val="20"/>
          <w:lang w:val="es-ES_tradnl"/>
        </w:rPr>
        <w:t>. En esa línea, la Comisión reitera que resulta irrelevante para el derecho internacional de los derechos humanos la denominación o el nombre con el que se designe el recurso disponible</w:t>
      </w:r>
      <w:r w:rsidRPr="00FF1B07">
        <w:rPr>
          <w:rFonts w:asciiTheme="majorHAnsi" w:hAnsiTheme="majorHAnsi"/>
          <w:sz w:val="20"/>
          <w:szCs w:val="20"/>
          <w:vertAlign w:val="superscript"/>
          <w:lang w:val="es-ES_tradnl"/>
        </w:rPr>
        <w:footnoteReference w:id="18"/>
      </w:r>
      <w:r w:rsidRPr="00FF1B07">
        <w:rPr>
          <w:rFonts w:asciiTheme="majorHAnsi" w:hAnsiTheme="majorHAnsi"/>
          <w:sz w:val="20"/>
          <w:szCs w:val="20"/>
          <w:lang w:val="es-ES_tradnl"/>
        </w:rPr>
        <w:t xml:space="preserve">. Lo importante es que el recurso contemplado en la normativa interna satisfaga una serie de </w:t>
      </w:r>
      <w:r w:rsidRPr="00FF1B07">
        <w:rPr>
          <w:rFonts w:asciiTheme="majorHAnsi" w:hAnsiTheme="majorHAnsi"/>
          <w:sz w:val="20"/>
          <w:szCs w:val="20"/>
          <w:lang w:val="es-ES_tradnl"/>
        </w:rPr>
        <w:lastRenderedPageBreak/>
        <w:t>estándares y, en tal sentido, cumpla con ser oportuno</w:t>
      </w:r>
      <w:r w:rsidRPr="00FF1B07">
        <w:rPr>
          <w:rStyle w:val="FootnoteReference"/>
          <w:rFonts w:asciiTheme="majorHAnsi" w:hAnsiTheme="majorHAnsi"/>
          <w:sz w:val="20"/>
          <w:szCs w:val="20"/>
          <w:lang w:val="es-ES_tradnl"/>
        </w:rPr>
        <w:footnoteReference w:id="19"/>
      </w:r>
      <w:r w:rsidRPr="00FF1B07">
        <w:rPr>
          <w:rFonts w:asciiTheme="majorHAnsi" w:hAnsiTheme="majorHAnsi"/>
          <w:sz w:val="20"/>
          <w:szCs w:val="20"/>
          <w:lang w:val="es-ES_tradnl"/>
        </w:rPr>
        <w:t>, accesible</w:t>
      </w:r>
      <w:r w:rsidRPr="00FF1B07">
        <w:rPr>
          <w:rStyle w:val="FootnoteReference"/>
          <w:rFonts w:asciiTheme="majorHAnsi" w:hAnsiTheme="majorHAnsi"/>
          <w:sz w:val="20"/>
          <w:szCs w:val="20"/>
          <w:lang w:val="es-ES_tradnl"/>
        </w:rPr>
        <w:footnoteReference w:id="20"/>
      </w:r>
      <w:r w:rsidRPr="00FF1B07">
        <w:rPr>
          <w:rFonts w:asciiTheme="majorHAnsi" w:hAnsiTheme="majorHAnsi"/>
          <w:sz w:val="20"/>
          <w:szCs w:val="20"/>
          <w:lang w:val="es-ES_tradnl"/>
        </w:rPr>
        <w:t>, eficaz</w:t>
      </w:r>
      <w:r w:rsidRPr="00FF1B07">
        <w:rPr>
          <w:rStyle w:val="FootnoteReference"/>
          <w:rFonts w:asciiTheme="majorHAnsi" w:hAnsiTheme="majorHAnsi"/>
          <w:sz w:val="20"/>
          <w:szCs w:val="20"/>
          <w:lang w:val="es-ES_tradnl"/>
        </w:rPr>
        <w:footnoteReference w:id="21"/>
      </w:r>
      <w:r w:rsidRPr="00FF1B07">
        <w:rPr>
          <w:rFonts w:asciiTheme="majorHAnsi" w:hAnsiTheme="majorHAnsi"/>
          <w:sz w:val="20"/>
          <w:szCs w:val="20"/>
          <w:lang w:val="es-ES_tradnl"/>
        </w:rPr>
        <w:t xml:space="preserve"> y, en particular, que permita la revisión integral de la condena</w:t>
      </w:r>
      <w:r w:rsidRPr="00FF1B07">
        <w:rPr>
          <w:rStyle w:val="FootnoteReference"/>
          <w:rFonts w:asciiTheme="majorHAnsi" w:hAnsiTheme="majorHAnsi"/>
          <w:sz w:val="20"/>
          <w:szCs w:val="20"/>
          <w:lang w:val="es-ES_tradnl"/>
        </w:rPr>
        <w:footnoteReference w:id="22"/>
      </w:r>
      <w:r w:rsidRPr="00FF1B07">
        <w:rPr>
          <w:rFonts w:asciiTheme="majorHAnsi" w:hAnsiTheme="majorHAnsi"/>
          <w:sz w:val="20"/>
          <w:szCs w:val="20"/>
          <w:lang w:val="es-ES_tradnl"/>
        </w:rPr>
        <w:t>.</w:t>
      </w:r>
    </w:p>
    <w:p w14:paraId="62B7DB77" w14:textId="77777777" w:rsidR="00A8414A" w:rsidRPr="00FF1B07" w:rsidRDefault="00A8414A" w:rsidP="00A8414A">
      <w:pPr>
        <w:pStyle w:val="ListParagraph"/>
        <w:jc w:val="both"/>
        <w:rPr>
          <w:rFonts w:asciiTheme="majorHAnsi" w:hAnsiTheme="majorHAnsi"/>
          <w:sz w:val="20"/>
          <w:szCs w:val="20"/>
          <w:lang w:val="es-ES_tradnl"/>
        </w:rPr>
      </w:pPr>
    </w:p>
    <w:p w14:paraId="426B548C" w14:textId="13AE8C08" w:rsidR="00A8414A" w:rsidRPr="00FF1B07" w:rsidRDefault="00A8414A" w:rsidP="00A8414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eastAsia="Cambria" w:hAnsiTheme="majorHAnsi" w:cs="Cambria"/>
          <w:color w:val="000000"/>
          <w:sz w:val="20"/>
          <w:szCs w:val="20"/>
          <w:u w:color="000000"/>
          <w:lang w:val="es-ES_tradnl" w:eastAsia="es-ES"/>
        </w:rPr>
      </w:pPr>
      <w:r w:rsidRPr="00FF1B07">
        <w:rPr>
          <w:rFonts w:asciiTheme="majorHAnsi" w:eastAsia="Cambria" w:hAnsiTheme="majorHAnsi" w:cs="Cambria"/>
          <w:color w:val="000000"/>
          <w:sz w:val="20"/>
          <w:szCs w:val="20"/>
          <w:u w:color="000000"/>
          <w:lang w:val="es-ES_tradnl" w:eastAsia="es-ES"/>
        </w:rPr>
        <w:t>En torno a este último punto, la Comisión Interamericana indicó en el caso Abella respecto de Argentina</w:t>
      </w:r>
      <w:r w:rsidR="009C2C8C" w:rsidRPr="00FF1B07">
        <w:rPr>
          <w:rFonts w:asciiTheme="majorHAnsi" w:eastAsia="Cambria" w:hAnsiTheme="majorHAnsi" w:cs="Cambria"/>
          <w:color w:val="000000"/>
          <w:sz w:val="20"/>
          <w:szCs w:val="20"/>
          <w:u w:color="000000"/>
          <w:lang w:val="es-ES_tradnl" w:eastAsia="es-ES"/>
        </w:rPr>
        <w:t xml:space="preserve"> que</w:t>
      </w:r>
      <w:r w:rsidRPr="00FF1B07">
        <w:rPr>
          <w:rFonts w:asciiTheme="majorHAnsi" w:eastAsia="Cambria" w:hAnsiTheme="majorHAnsi" w:cs="Cambria"/>
          <w:color w:val="000000"/>
          <w:sz w:val="20"/>
          <w:szCs w:val="20"/>
          <w:u w:color="000000"/>
          <w:lang w:val="es-ES_tradnl" w:eastAsia="es-ES"/>
        </w:rPr>
        <w:t xml:space="preserve">: </w:t>
      </w:r>
    </w:p>
    <w:p w14:paraId="2A97636A" w14:textId="77777777" w:rsidR="00A8414A" w:rsidRPr="00FF1B07" w:rsidRDefault="00A8414A" w:rsidP="00A8414A">
      <w:pPr>
        <w:tabs>
          <w:tab w:val="left" w:pos="567"/>
        </w:tabs>
        <w:ind w:left="720"/>
        <w:jc w:val="both"/>
        <w:rPr>
          <w:rFonts w:asciiTheme="majorHAnsi" w:eastAsia="Cambria" w:hAnsiTheme="majorHAnsi" w:cs="Cambria"/>
          <w:color w:val="000000"/>
          <w:sz w:val="20"/>
          <w:szCs w:val="20"/>
          <w:u w:color="000000"/>
          <w:lang w:val="es-ES_tradnl" w:eastAsia="es-ES"/>
        </w:rPr>
      </w:pPr>
    </w:p>
    <w:p w14:paraId="0CCDAA36" w14:textId="24B5CDC8" w:rsidR="00A8414A" w:rsidRPr="00FF1B07" w:rsidRDefault="00A8414A" w:rsidP="00A8414A">
      <w:pPr>
        <w:tabs>
          <w:tab w:val="left" w:pos="567"/>
        </w:tabs>
        <w:ind w:left="709" w:right="798"/>
        <w:jc w:val="both"/>
        <w:rPr>
          <w:rFonts w:asciiTheme="majorHAnsi" w:hAnsiTheme="majorHAnsi"/>
          <w:sz w:val="20"/>
          <w:szCs w:val="20"/>
          <w:lang w:val="es-ES_tradnl"/>
        </w:rPr>
      </w:pPr>
      <w:r w:rsidRPr="00FF1B07">
        <w:rPr>
          <w:rFonts w:asciiTheme="majorHAnsi" w:hAnsiTheme="majorHAnsi"/>
          <w:sz w:val="20"/>
          <w:szCs w:val="20"/>
          <w:lang w:val="es-ES_tradnl"/>
        </w:rPr>
        <w:t xml:space="preserve">[E]l artículo 8.2.h se refiere a las características mínimas de un recurso que controle la corrección del fallo tanto material como formal. En este sentido, desde un punto de vista formal, el derecho de recurrir el fallo ante un juez o tribunal superior, a que se refiere la Convención Americana, debe en primer lugar proceder [...] con la finalidad de examinar la aplicación indebida, la falta de aplicación o errónea interpretación, de normas de </w:t>
      </w:r>
      <w:r w:rsidR="00B07FF7" w:rsidRPr="00FF1B07">
        <w:rPr>
          <w:rFonts w:asciiTheme="majorHAnsi" w:hAnsiTheme="majorHAnsi"/>
          <w:sz w:val="20"/>
          <w:szCs w:val="20"/>
          <w:lang w:val="es-ES_tradnl"/>
        </w:rPr>
        <w:t>d</w:t>
      </w:r>
      <w:r w:rsidRPr="00FF1B07">
        <w:rPr>
          <w:rFonts w:asciiTheme="majorHAnsi" w:hAnsiTheme="majorHAnsi"/>
          <w:sz w:val="20"/>
          <w:szCs w:val="20"/>
          <w:lang w:val="es-ES_tradnl"/>
        </w:rPr>
        <w:t>erecho que determinen la parte resolutiva de la sentencia. La Comisión considera, además, que, para garantizar el pleno derecho de defensa, dicho recurso debe incluir una revisión material en relación a la interpretación de las normas procesales que hubieran influido en la decisión de la causa, cuando hayan producido nulidad insanable o provocado indefensión, así́ como la interpretación de las normas referentes a la valoración de las pruebas, siempre que hayan conducido a una equivocada aplicación o a la no aplicación de las mismas</w:t>
      </w:r>
      <w:r w:rsidRPr="00FF1B07">
        <w:rPr>
          <w:rFonts w:asciiTheme="majorHAnsi" w:hAnsiTheme="majorHAnsi"/>
          <w:sz w:val="20"/>
          <w:szCs w:val="20"/>
          <w:vertAlign w:val="superscript"/>
          <w:lang w:val="es-ES_tradnl"/>
        </w:rPr>
        <w:footnoteReference w:id="23"/>
      </w:r>
      <w:r w:rsidRPr="00FF1B07">
        <w:rPr>
          <w:rFonts w:asciiTheme="majorHAnsi" w:hAnsiTheme="majorHAnsi"/>
          <w:sz w:val="20"/>
          <w:szCs w:val="20"/>
          <w:lang w:val="es-ES_tradnl"/>
        </w:rPr>
        <w:t xml:space="preserve">. </w:t>
      </w:r>
    </w:p>
    <w:p w14:paraId="49077EC8" w14:textId="77777777" w:rsidR="00A8414A" w:rsidRPr="00FF1B07" w:rsidRDefault="00A8414A" w:rsidP="00A8414A">
      <w:pPr>
        <w:tabs>
          <w:tab w:val="left" w:pos="567"/>
        </w:tabs>
        <w:ind w:right="798"/>
        <w:jc w:val="both"/>
        <w:rPr>
          <w:rFonts w:asciiTheme="majorHAnsi" w:hAnsiTheme="majorHAnsi"/>
          <w:sz w:val="20"/>
          <w:szCs w:val="20"/>
          <w:lang w:val="es-ES_tradnl"/>
        </w:rPr>
      </w:pPr>
    </w:p>
    <w:p w14:paraId="20DCA603" w14:textId="11F9EF6B" w:rsidR="00A8414A" w:rsidRPr="00FF1B07" w:rsidRDefault="00A8414A" w:rsidP="00A8414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contextualSpacing/>
        <w:jc w:val="both"/>
        <w:rPr>
          <w:rFonts w:asciiTheme="majorHAnsi" w:eastAsia="Cambria" w:hAnsiTheme="majorHAnsi" w:cs="Cambria"/>
          <w:color w:val="000000"/>
          <w:sz w:val="20"/>
          <w:szCs w:val="20"/>
          <w:u w:color="000000"/>
          <w:lang w:val="es-ES_tradnl" w:eastAsia="es-ES"/>
        </w:rPr>
      </w:pPr>
      <w:r w:rsidRPr="00FF1B07">
        <w:rPr>
          <w:rFonts w:asciiTheme="majorHAnsi" w:eastAsia="Cambria" w:hAnsiTheme="majorHAnsi" w:cs="Cambria"/>
          <w:color w:val="000000"/>
          <w:sz w:val="20"/>
          <w:szCs w:val="20"/>
          <w:u w:color="000000"/>
          <w:lang w:val="es-ES_tradnl" w:eastAsia="es-ES"/>
        </w:rPr>
        <w:t>En esa línea, la CIDH ha destacado que, si bien el derecho a recurrir no implica necesariamente un nuevo juicio o una nueva audiencia, siempre que el tribunal que realiza la revisión no esté impedido de estudiar los hechos de la causa, resulta necesario a la luz del artículo 8.2.h</w:t>
      </w:r>
      <w:r w:rsidR="00F444AB" w:rsidRPr="00FF1B07">
        <w:rPr>
          <w:rFonts w:asciiTheme="majorHAnsi" w:eastAsia="Cambria" w:hAnsiTheme="majorHAnsi" w:cs="Cambria"/>
          <w:color w:val="000000"/>
          <w:sz w:val="20"/>
          <w:szCs w:val="20"/>
          <w:u w:color="000000"/>
          <w:lang w:val="es-ES_tradnl" w:eastAsia="es-ES"/>
        </w:rPr>
        <w:t>)</w:t>
      </w:r>
      <w:r w:rsidRPr="00FF1B07">
        <w:rPr>
          <w:rFonts w:asciiTheme="majorHAnsi" w:eastAsia="Cambria" w:hAnsiTheme="majorHAnsi" w:cs="Cambria"/>
          <w:color w:val="000000"/>
          <w:sz w:val="20"/>
          <w:szCs w:val="20"/>
          <w:u w:color="000000"/>
          <w:lang w:val="es-ES_tradnl" w:eastAsia="es-ES"/>
        </w:rPr>
        <w:t xml:space="preserve"> de la Convención que exista la posibilidad de señalar y obtener respuesta sobre errores que hubiera podido cometer el juez o tribunal de la instancia inferior. Ello significa que no resulta posible excluir del ámbito del recurso ciertas categorías como las cuestiones fácticas</w:t>
      </w:r>
      <w:r w:rsidR="00B96F6B" w:rsidRPr="00FF1B07">
        <w:rPr>
          <w:rFonts w:asciiTheme="majorHAnsi" w:eastAsia="Cambria" w:hAnsiTheme="majorHAnsi" w:cs="Cambria"/>
          <w:color w:val="000000"/>
          <w:sz w:val="20"/>
          <w:szCs w:val="20"/>
          <w:u w:color="000000"/>
          <w:lang w:val="es-ES_tradnl" w:eastAsia="es-ES"/>
        </w:rPr>
        <w:t>;</w:t>
      </w:r>
      <w:r w:rsidRPr="00FF1B07">
        <w:rPr>
          <w:rFonts w:asciiTheme="majorHAnsi" w:eastAsia="Cambria" w:hAnsiTheme="majorHAnsi" w:cs="Cambria"/>
          <w:color w:val="000000"/>
          <w:sz w:val="20"/>
          <w:szCs w:val="20"/>
          <w:u w:color="000000"/>
          <w:lang w:val="es-ES_tradnl" w:eastAsia="es-ES"/>
        </w:rPr>
        <w:t xml:space="preserve"> la manera en que se incorporaron de las pruebas al proceso</w:t>
      </w:r>
      <w:r w:rsidR="00B96F6B" w:rsidRPr="00FF1B07">
        <w:rPr>
          <w:rFonts w:asciiTheme="majorHAnsi" w:eastAsia="Cambria" w:hAnsiTheme="majorHAnsi" w:cs="Cambria"/>
          <w:color w:val="000000"/>
          <w:sz w:val="20"/>
          <w:szCs w:val="20"/>
          <w:u w:color="000000"/>
          <w:lang w:val="es-ES_tradnl" w:eastAsia="es-ES"/>
        </w:rPr>
        <w:t>;</w:t>
      </w:r>
      <w:r w:rsidRPr="00FF1B07">
        <w:rPr>
          <w:rFonts w:asciiTheme="majorHAnsi" w:eastAsia="Cambria" w:hAnsiTheme="majorHAnsi" w:cs="Cambria"/>
          <w:color w:val="000000"/>
          <w:sz w:val="20"/>
          <w:szCs w:val="20"/>
          <w:u w:color="000000"/>
          <w:lang w:val="es-ES_tradnl" w:eastAsia="es-ES"/>
        </w:rPr>
        <w:t xml:space="preserve"> y la valoración que los magistrados de la instancia inferior hicieron de ellas. La forma y los medios a través de los cuales se realice la revisión dependerán de la naturaleza de las cuestiones en debate, así como de las particularidades del sistema procesal penal de los respectivos Estados</w:t>
      </w:r>
      <w:r w:rsidRPr="00FF1B07">
        <w:rPr>
          <w:rFonts w:asciiTheme="majorHAnsi" w:eastAsia="Cambria" w:hAnsiTheme="majorHAnsi" w:cs="Cambria"/>
          <w:color w:val="000000"/>
          <w:sz w:val="20"/>
          <w:szCs w:val="20"/>
          <w:u w:color="000000"/>
          <w:vertAlign w:val="superscript"/>
          <w:lang w:val="es-ES_tradnl" w:eastAsia="es-ES"/>
        </w:rPr>
        <w:footnoteReference w:id="24"/>
      </w:r>
      <w:r w:rsidRPr="00FF1B07">
        <w:rPr>
          <w:rFonts w:asciiTheme="majorHAnsi" w:eastAsia="Cambria" w:hAnsiTheme="majorHAnsi" w:cs="Cambria"/>
          <w:color w:val="000000"/>
          <w:sz w:val="20"/>
          <w:szCs w:val="20"/>
          <w:u w:color="000000"/>
          <w:lang w:val="es-ES_tradnl" w:eastAsia="es-ES"/>
        </w:rPr>
        <w:t xml:space="preserve">. </w:t>
      </w:r>
    </w:p>
    <w:p w14:paraId="37153FE2" w14:textId="77777777" w:rsidR="00A8414A" w:rsidRPr="00FF1B07" w:rsidRDefault="00A8414A" w:rsidP="00A8414A">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ind w:left="720"/>
        <w:contextualSpacing/>
        <w:jc w:val="both"/>
        <w:rPr>
          <w:rFonts w:asciiTheme="majorHAnsi" w:eastAsia="Cambria" w:hAnsiTheme="majorHAnsi" w:cs="Cambria"/>
          <w:color w:val="000000"/>
          <w:sz w:val="20"/>
          <w:szCs w:val="20"/>
          <w:u w:color="000000"/>
          <w:lang w:val="es-ES_tradnl" w:eastAsia="es-ES"/>
        </w:rPr>
      </w:pPr>
    </w:p>
    <w:p w14:paraId="7042B161" w14:textId="2A07CB31" w:rsidR="00A8414A" w:rsidRPr="00FF1B07" w:rsidRDefault="00A8414A" w:rsidP="00A8414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contextualSpacing/>
        <w:jc w:val="both"/>
        <w:rPr>
          <w:rFonts w:asciiTheme="majorHAnsi" w:eastAsia="Cambria" w:hAnsiTheme="majorHAnsi" w:cs="Cambria"/>
          <w:color w:val="000000"/>
          <w:sz w:val="20"/>
          <w:szCs w:val="20"/>
          <w:u w:color="000000"/>
          <w:lang w:val="es-ES_tradnl" w:eastAsia="es-ES"/>
        </w:rPr>
      </w:pPr>
      <w:r w:rsidRPr="00FF1B07">
        <w:rPr>
          <w:rFonts w:asciiTheme="majorHAnsi" w:hAnsiTheme="majorHAnsi"/>
          <w:sz w:val="20"/>
          <w:szCs w:val="20"/>
          <w:lang w:val="es-ES_tradnl"/>
        </w:rPr>
        <w:t xml:space="preserve">Con base en las citadas consideraciones, en el presente asunto la Comisión observa que </w:t>
      </w:r>
      <w:r w:rsidR="00E922AA" w:rsidRPr="00FF1B07">
        <w:rPr>
          <w:rFonts w:asciiTheme="majorHAnsi" w:hAnsiTheme="majorHAnsi"/>
          <w:sz w:val="20"/>
          <w:szCs w:val="20"/>
          <w:lang w:val="es-ES_tradnl"/>
        </w:rPr>
        <w:t>el 24 de agosto de 2009 el Tribunal de Juicio del Primer Circuito Judicial de Alajuela condenó al señor Hernández Córdoba a treinta años de pena privativa de libertad por la comisión en concurso ideal de los delitos de homicidio calificado y robo agravado</w:t>
      </w:r>
      <w:r w:rsidR="00E25B31" w:rsidRPr="00FF1B07">
        <w:rPr>
          <w:rFonts w:asciiTheme="majorHAnsi" w:hAnsiTheme="majorHAnsi"/>
          <w:sz w:val="20"/>
          <w:szCs w:val="20"/>
          <w:lang w:val="es-ES_tradnl"/>
        </w:rPr>
        <w:t>. Frente a ello, la presunta interpuso un recurso de casación</w:t>
      </w:r>
      <w:r w:rsidR="00E922AA" w:rsidRPr="00FF1B07">
        <w:rPr>
          <w:rFonts w:asciiTheme="majorHAnsi" w:hAnsiTheme="majorHAnsi"/>
          <w:sz w:val="20"/>
          <w:szCs w:val="20"/>
          <w:lang w:val="es-ES_tradnl"/>
        </w:rPr>
        <w:t>,</w:t>
      </w:r>
      <w:r w:rsidR="00E25B31" w:rsidRPr="00FF1B07">
        <w:rPr>
          <w:rFonts w:asciiTheme="majorHAnsi" w:hAnsiTheme="majorHAnsi"/>
          <w:sz w:val="20"/>
          <w:szCs w:val="20"/>
          <w:lang w:val="es-ES_tradnl"/>
        </w:rPr>
        <w:t xml:space="preserve"> cuestionando tanto aspectos fácticos como jurídicos de la decisión de primera instancia. Sin embargo, el </w:t>
      </w:r>
      <w:r w:rsidR="00E922AA" w:rsidRPr="00FF1B07">
        <w:rPr>
          <w:rFonts w:asciiTheme="majorHAnsi" w:hAnsiTheme="majorHAnsi"/>
          <w:sz w:val="20"/>
          <w:szCs w:val="20"/>
          <w:lang w:val="es-ES_tradnl"/>
        </w:rPr>
        <w:t>21 de abril de 2010 la Sala Tercera de la Corte Suprema de Justicia</w:t>
      </w:r>
      <w:r w:rsidR="00E25B31" w:rsidRPr="00FF1B07">
        <w:rPr>
          <w:rFonts w:asciiTheme="majorHAnsi" w:hAnsiTheme="majorHAnsi"/>
          <w:sz w:val="20"/>
          <w:szCs w:val="20"/>
          <w:lang w:val="es-ES_tradnl"/>
        </w:rPr>
        <w:t xml:space="preserve"> desestimó dicho recurso, luego de analizar todos los reclamos presentados por el señor </w:t>
      </w:r>
      <w:r w:rsidR="00E922AA" w:rsidRPr="00FF1B07">
        <w:rPr>
          <w:rFonts w:asciiTheme="majorHAnsi" w:hAnsiTheme="majorHAnsi"/>
          <w:sz w:val="20"/>
          <w:szCs w:val="20"/>
          <w:lang w:val="es-ES_tradnl"/>
        </w:rPr>
        <w:t>Hernández Córdoba.</w:t>
      </w:r>
    </w:p>
    <w:p w14:paraId="1E583327" w14:textId="77777777" w:rsidR="002C3AC7" w:rsidRPr="00FF1B07" w:rsidRDefault="002C3AC7" w:rsidP="002C3AC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ind w:left="720"/>
        <w:contextualSpacing/>
        <w:jc w:val="both"/>
        <w:rPr>
          <w:rFonts w:asciiTheme="majorHAnsi" w:eastAsia="Cambria" w:hAnsiTheme="majorHAnsi" w:cs="Cambria"/>
          <w:color w:val="000000"/>
          <w:sz w:val="20"/>
          <w:szCs w:val="20"/>
          <w:u w:color="000000"/>
          <w:lang w:val="es-ES_tradnl" w:eastAsia="es-ES"/>
        </w:rPr>
      </w:pPr>
    </w:p>
    <w:p w14:paraId="7BC19F91" w14:textId="6FEDBC9A" w:rsidR="00083070" w:rsidRPr="00FF1B07" w:rsidRDefault="00083070" w:rsidP="001B30B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F1B07">
        <w:rPr>
          <w:rFonts w:asciiTheme="majorHAnsi" w:hAnsiTheme="majorHAnsi"/>
          <w:sz w:val="20"/>
          <w:szCs w:val="20"/>
          <w:lang w:val="es-ES_tradnl"/>
        </w:rPr>
        <w:t>Al respecto, a partir de la lectura del texto de esta última resolución, la Comisión considera que el Tribunal de Casación Penal realizó un reexamen de la manera en que el tribunal de primera instancia valoró el plexo probatorio existente en la causa</w:t>
      </w:r>
      <w:r w:rsidR="0047435D" w:rsidRPr="00FF1B07">
        <w:rPr>
          <w:rFonts w:asciiTheme="majorHAnsi" w:hAnsiTheme="majorHAnsi"/>
          <w:sz w:val="20"/>
          <w:szCs w:val="20"/>
          <w:lang w:val="es-ES_tradnl"/>
        </w:rPr>
        <w:t>,</w:t>
      </w:r>
      <w:r w:rsidRPr="00FF1B07">
        <w:rPr>
          <w:rFonts w:asciiTheme="majorHAnsi" w:hAnsiTheme="majorHAnsi"/>
          <w:sz w:val="20"/>
          <w:szCs w:val="20"/>
          <w:lang w:val="es-ES_tradnl"/>
        </w:rPr>
        <w:t xml:space="preserve"> y en respuesta a los agravios planteados por la defensa del </w:t>
      </w:r>
      <w:r w:rsidR="00BA21B3" w:rsidRPr="00FF1B07">
        <w:rPr>
          <w:rFonts w:asciiTheme="majorHAnsi" w:hAnsiTheme="majorHAnsi"/>
          <w:sz w:val="20"/>
          <w:szCs w:val="20"/>
          <w:lang w:val="es-ES_tradnl"/>
        </w:rPr>
        <w:t>procesado</w:t>
      </w:r>
      <w:r w:rsidRPr="00FF1B07">
        <w:rPr>
          <w:rFonts w:asciiTheme="majorHAnsi" w:hAnsiTheme="majorHAnsi"/>
          <w:sz w:val="20"/>
          <w:szCs w:val="20"/>
          <w:lang w:val="es-ES_tradnl"/>
        </w:rPr>
        <w:t>, fundamentó por qué el razonamiento</w:t>
      </w:r>
      <w:r w:rsidR="00BA21B3" w:rsidRPr="00FF1B07">
        <w:rPr>
          <w:rFonts w:asciiTheme="majorHAnsi" w:hAnsiTheme="majorHAnsi"/>
          <w:sz w:val="20"/>
          <w:szCs w:val="20"/>
          <w:lang w:val="es-ES_tradnl"/>
        </w:rPr>
        <w:t xml:space="preserve"> </w:t>
      </w:r>
      <w:r w:rsidRPr="00FF1B07">
        <w:rPr>
          <w:rFonts w:asciiTheme="majorHAnsi" w:hAnsiTheme="majorHAnsi"/>
          <w:sz w:val="20"/>
          <w:szCs w:val="20"/>
          <w:lang w:val="es-ES_tradnl"/>
        </w:rPr>
        <w:t xml:space="preserve">utilizado para </w:t>
      </w:r>
      <w:r w:rsidR="00BA21B3" w:rsidRPr="00FF1B07">
        <w:rPr>
          <w:rFonts w:asciiTheme="majorHAnsi" w:hAnsiTheme="majorHAnsi"/>
          <w:sz w:val="20"/>
          <w:szCs w:val="20"/>
          <w:lang w:val="es-ES_tradnl"/>
        </w:rPr>
        <w:t xml:space="preserve">establecer </w:t>
      </w:r>
      <w:r w:rsidRPr="00FF1B07">
        <w:rPr>
          <w:rFonts w:asciiTheme="majorHAnsi" w:hAnsiTheme="majorHAnsi"/>
          <w:sz w:val="20"/>
          <w:szCs w:val="20"/>
          <w:lang w:val="es-ES_tradnl"/>
        </w:rPr>
        <w:t xml:space="preserve"> la</w:t>
      </w:r>
      <w:r w:rsidR="00BA21B3" w:rsidRPr="00FF1B07">
        <w:rPr>
          <w:rFonts w:asciiTheme="majorHAnsi" w:hAnsiTheme="majorHAnsi"/>
          <w:sz w:val="20"/>
          <w:szCs w:val="20"/>
          <w:lang w:val="es-ES_tradnl"/>
        </w:rPr>
        <w:t xml:space="preserve"> culpabilidad del señor Hernández Córdoba</w:t>
      </w:r>
      <w:r w:rsidRPr="00FF1B07">
        <w:rPr>
          <w:rFonts w:asciiTheme="majorHAnsi" w:hAnsiTheme="majorHAnsi"/>
          <w:sz w:val="20"/>
          <w:szCs w:val="20"/>
          <w:lang w:val="es-ES_tradnl"/>
        </w:rPr>
        <w:t xml:space="preserve"> no afectó los principios de la sana crítica y la presunción de inocencia. Asimismo, la Comisión aprecia que el tribunal también ingresó en el análisis de cuestiones relacionadas con la aplicación de la ley penal sustantiva, en concreto en lo que respecta </w:t>
      </w:r>
      <w:r w:rsidR="00586563" w:rsidRPr="00FF1B07">
        <w:rPr>
          <w:rFonts w:asciiTheme="majorHAnsi" w:hAnsiTheme="majorHAnsi"/>
          <w:sz w:val="20"/>
          <w:szCs w:val="20"/>
          <w:lang w:val="es-ES_tradnl"/>
        </w:rPr>
        <w:t>a</w:t>
      </w:r>
      <w:r w:rsidRPr="00FF1B07">
        <w:rPr>
          <w:rFonts w:asciiTheme="majorHAnsi" w:hAnsiTheme="majorHAnsi"/>
          <w:sz w:val="20"/>
          <w:szCs w:val="20"/>
          <w:lang w:val="es-ES_tradnl"/>
        </w:rPr>
        <w:t xml:space="preserve"> la subsunción de la conducta </w:t>
      </w:r>
      <w:r w:rsidR="00586563" w:rsidRPr="00FF1B07">
        <w:rPr>
          <w:rFonts w:asciiTheme="majorHAnsi" w:hAnsiTheme="majorHAnsi"/>
          <w:sz w:val="20"/>
          <w:szCs w:val="20"/>
          <w:lang w:val="es-ES_tradnl"/>
        </w:rPr>
        <w:t>de aquel</w:t>
      </w:r>
      <w:r w:rsidRPr="00FF1B07">
        <w:rPr>
          <w:rFonts w:asciiTheme="majorHAnsi" w:hAnsiTheme="majorHAnsi"/>
          <w:sz w:val="20"/>
          <w:szCs w:val="20"/>
          <w:lang w:val="es-ES_tradnl"/>
        </w:rPr>
        <w:t xml:space="preserve"> al delito de</w:t>
      </w:r>
      <w:r w:rsidR="00A07168" w:rsidRPr="00FF1B07">
        <w:rPr>
          <w:rFonts w:asciiTheme="majorHAnsi" w:hAnsiTheme="majorHAnsi"/>
          <w:sz w:val="20"/>
          <w:szCs w:val="20"/>
          <w:lang w:val="es-ES_tradnl"/>
        </w:rPr>
        <w:t xml:space="preserve"> homicidio cal</w:t>
      </w:r>
      <w:r w:rsidR="001B30BD" w:rsidRPr="00FF1B07">
        <w:rPr>
          <w:rFonts w:asciiTheme="majorHAnsi" w:hAnsiTheme="majorHAnsi"/>
          <w:sz w:val="20"/>
          <w:szCs w:val="20"/>
          <w:lang w:val="es-ES_tradnl"/>
        </w:rPr>
        <w:t>i</w:t>
      </w:r>
      <w:r w:rsidR="00A07168" w:rsidRPr="00FF1B07">
        <w:rPr>
          <w:rFonts w:asciiTheme="majorHAnsi" w:hAnsiTheme="majorHAnsi"/>
          <w:sz w:val="20"/>
          <w:szCs w:val="20"/>
          <w:lang w:val="es-ES_tradnl"/>
        </w:rPr>
        <w:t>ficado</w:t>
      </w:r>
      <w:r w:rsidRPr="00FF1B07">
        <w:rPr>
          <w:rFonts w:asciiTheme="majorHAnsi" w:hAnsiTheme="majorHAnsi"/>
          <w:sz w:val="20"/>
          <w:szCs w:val="20"/>
          <w:lang w:val="es-ES_tradnl"/>
        </w:rPr>
        <w:t xml:space="preserve">. Por ende, la Comisión considera que, </w:t>
      </w:r>
      <w:r w:rsidRPr="00FF1B07">
        <w:rPr>
          <w:rFonts w:asciiTheme="majorHAnsi" w:hAnsiTheme="majorHAnsi"/>
          <w:i/>
          <w:iCs/>
          <w:sz w:val="20"/>
          <w:szCs w:val="20"/>
          <w:lang w:val="es-ES_tradnl"/>
        </w:rPr>
        <w:t xml:space="preserve">prima facie, </w:t>
      </w:r>
      <w:r w:rsidRPr="00FF1B07">
        <w:rPr>
          <w:rFonts w:asciiTheme="majorHAnsi" w:hAnsiTheme="majorHAnsi"/>
          <w:sz w:val="20"/>
          <w:szCs w:val="20"/>
          <w:lang w:val="es-ES_tradnl"/>
        </w:rPr>
        <w:t xml:space="preserve">no se han presentado argumentos o pruebas que permitan identificar alguna restricción o limitación que hayan evitado un análisis integral de los </w:t>
      </w:r>
      <w:r w:rsidRPr="00FF1B07">
        <w:rPr>
          <w:rFonts w:asciiTheme="majorHAnsi" w:hAnsiTheme="majorHAnsi"/>
          <w:sz w:val="20"/>
          <w:szCs w:val="20"/>
          <w:lang w:val="es-ES_tradnl"/>
        </w:rPr>
        <w:lastRenderedPageBreak/>
        <w:t xml:space="preserve">cuestionamientos planteados por el señor </w:t>
      </w:r>
      <w:r w:rsidR="007C0791" w:rsidRPr="00FF1B07">
        <w:rPr>
          <w:rFonts w:asciiTheme="majorHAnsi" w:hAnsiTheme="majorHAnsi"/>
          <w:sz w:val="20"/>
          <w:szCs w:val="20"/>
          <w:lang w:val="es-ES_tradnl"/>
        </w:rPr>
        <w:t>Hernández Córdoba</w:t>
      </w:r>
      <w:r w:rsidRPr="00FF1B07">
        <w:rPr>
          <w:rFonts w:asciiTheme="majorHAnsi" w:hAnsiTheme="majorHAnsi"/>
          <w:sz w:val="20"/>
          <w:szCs w:val="20"/>
          <w:lang w:val="es-ES_tradnl"/>
        </w:rPr>
        <w:t xml:space="preserve"> contra su fallo condenatorio de primera instancia. </w:t>
      </w:r>
    </w:p>
    <w:p w14:paraId="66F26208" w14:textId="61D3EE56" w:rsidR="001A5B88" w:rsidRPr="00FF1B07" w:rsidRDefault="001A5B88" w:rsidP="00B45C0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F1B07">
        <w:rPr>
          <w:rFonts w:asciiTheme="majorHAnsi" w:hAnsiTheme="majorHAnsi"/>
          <w:sz w:val="20"/>
          <w:szCs w:val="20"/>
          <w:lang w:val="es-ES_tradnl"/>
        </w:rPr>
        <w:t>Sin perjuicio de ello, la Comisión nota que, a partir de la interposición de un procedimiento de especial de revisión con base en el Transitorio III de la Ley N° 8837, el 24 de mayo de 2013 la Sala Tercera de la Corte Suprema de Justicia analizó nuevamente los cuestionamientos de la presunta víctima contra su condena</w:t>
      </w:r>
      <w:r w:rsidR="008603B7" w:rsidRPr="00FF1B07">
        <w:rPr>
          <w:rFonts w:asciiTheme="majorHAnsi" w:hAnsiTheme="majorHAnsi"/>
          <w:sz w:val="20"/>
          <w:szCs w:val="20"/>
          <w:lang w:val="es-ES_tradnl"/>
        </w:rPr>
        <w:t>,</w:t>
      </w:r>
      <w:r w:rsidRPr="00FF1B07">
        <w:rPr>
          <w:rFonts w:asciiTheme="majorHAnsi" w:hAnsiTheme="majorHAnsi"/>
          <w:sz w:val="20"/>
          <w:szCs w:val="20"/>
          <w:lang w:val="es-ES_tradnl"/>
        </w:rPr>
        <w:t xml:space="preserve"> y volvió a desestimarlos. Conforme a la información en el expediente, la Comisión observa que en la citada resolución examinó todos los planteamientos del señor Hernández Córdoba, referidos principalmente a la licitud y verosimilitud de determinadas pruebas utilizadas para fundamentar la condena, </w:t>
      </w:r>
      <w:r w:rsidR="00B45C0E" w:rsidRPr="00FF1B07">
        <w:rPr>
          <w:rFonts w:asciiTheme="majorHAnsi" w:hAnsiTheme="majorHAnsi"/>
          <w:sz w:val="20"/>
          <w:szCs w:val="20"/>
          <w:lang w:val="es-ES_tradnl"/>
        </w:rPr>
        <w:t xml:space="preserve">así como la cadena de custodia utilizada para resguardarlas. Al respecto, si bien la presunta víctima sostiene que dicho tribunal no examinó todos los reclamos presentados en el procedimiento especial de revisión, la Comisión destaca que no se han aportado pruebas o elementos que permitan identificar alguna omisión en la sentencia. </w:t>
      </w:r>
      <w:r w:rsidRPr="00FF1B07">
        <w:rPr>
          <w:rFonts w:asciiTheme="majorHAnsi" w:hAnsiTheme="majorHAnsi"/>
          <w:sz w:val="20"/>
          <w:szCs w:val="20"/>
          <w:lang w:val="es-ES_tradnl"/>
        </w:rPr>
        <w:t xml:space="preserve">Por consiguiente, la CIDH concluye que, </w:t>
      </w:r>
      <w:r w:rsidRPr="00FF1B07">
        <w:rPr>
          <w:rFonts w:asciiTheme="majorHAnsi" w:hAnsiTheme="majorHAnsi"/>
          <w:i/>
          <w:iCs/>
          <w:sz w:val="20"/>
          <w:szCs w:val="20"/>
          <w:lang w:val="es-ES_tradnl"/>
        </w:rPr>
        <w:t xml:space="preserve">prima facie, </w:t>
      </w:r>
      <w:r w:rsidRPr="00FF1B07">
        <w:rPr>
          <w:rFonts w:asciiTheme="majorHAnsi" w:hAnsiTheme="majorHAnsi"/>
          <w:sz w:val="20"/>
          <w:szCs w:val="20"/>
          <w:lang w:val="es-ES_tradnl"/>
        </w:rPr>
        <w:t>no se ha</w:t>
      </w:r>
      <w:r w:rsidR="005160DD" w:rsidRPr="00FF1B07">
        <w:rPr>
          <w:rFonts w:asciiTheme="majorHAnsi" w:hAnsiTheme="majorHAnsi"/>
          <w:sz w:val="20"/>
          <w:szCs w:val="20"/>
          <w:lang w:val="es-ES_tradnl"/>
        </w:rPr>
        <w:t>n</w:t>
      </w:r>
      <w:r w:rsidR="00B45C0E" w:rsidRPr="00FF1B07">
        <w:rPr>
          <w:rFonts w:asciiTheme="majorHAnsi" w:hAnsiTheme="majorHAnsi"/>
          <w:sz w:val="20"/>
          <w:szCs w:val="20"/>
          <w:lang w:val="es-ES_tradnl"/>
        </w:rPr>
        <w:t xml:space="preserve"> aportado </w:t>
      </w:r>
      <w:r w:rsidR="005160DD" w:rsidRPr="00FF1B07">
        <w:rPr>
          <w:rFonts w:asciiTheme="majorHAnsi" w:hAnsiTheme="majorHAnsi"/>
          <w:sz w:val="20"/>
          <w:szCs w:val="20"/>
          <w:lang w:val="es-ES_tradnl"/>
        </w:rPr>
        <w:t xml:space="preserve">elementos </w:t>
      </w:r>
      <w:r w:rsidRPr="00FF1B07">
        <w:rPr>
          <w:rFonts w:asciiTheme="majorHAnsi" w:hAnsiTheme="majorHAnsi"/>
          <w:sz w:val="20"/>
          <w:szCs w:val="20"/>
          <w:lang w:val="es-ES_tradnl"/>
        </w:rPr>
        <w:t xml:space="preserve">que permitan identificar una posible vulneración al derecho contemplado en el artículo 8.2.h) de la Convención. </w:t>
      </w:r>
    </w:p>
    <w:p w14:paraId="7BA7BB33" w14:textId="54CB8032" w:rsidR="001A5B88" w:rsidRPr="00FF1B07" w:rsidRDefault="001A5B88" w:rsidP="00B45C0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F1B07">
        <w:rPr>
          <w:rFonts w:asciiTheme="majorHAnsi" w:hAnsiTheme="majorHAnsi"/>
          <w:sz w:val="20"/>
          <w:szCs w:val="20"/>
          <w:lang w:val="es-ES_tradnl"/>
        </w:rPr>
        <w:t xml:space="preserve">Ahora bien, respecto al segundo punto, referido a la fundamentación de la condena en contra de la presunta víctima, la Comisión </w:t>
      </w:r>
      <w:r w:rsidR="00B45C0E" w:rsidRPr="00FF1B07">
        <w:rPr>
          <w:rFonts w:asciiTheme="majorHAnsi" w:hAnsiTheme="majorHAnsi"/>
          <w:sz w:val="20"/>
          <w:szCs w:val="20"/>
          <w:lang w:val="es-ES_tradnl"/>
        </w:rPr>
        <w:t xml:space="preserve">destaca que la condena del señor Hernández Córdoba estuvo sustentada en diversos elementos probatorios, tales como testimonios y material recabado a partir de la investigación realizada por el Ministerio Público. </w:t>
      </w:r>
      <w:r w:rsidRPr="00FF1B07">
        <w:rPr>
          <w:rFonts w:asciiTheme="majorHAnsi" w:hAnsiTheme="majorHAnsi"/>
          <w:sz w:val="20"/>
          <w:szCs w:val="20"/>
          <w:lang w:val="es-ES_tradnl"/>
        </w:rPr>
        <w:t>Así, a partir de estos elementos, los tribunales internos consideraron que estaba debidamente probada la comisión de</w:t>
      </w:r>
      <w:r w:rsidR="00B45C0E" w:rsidRPr="00FF1B07">
        <w:rPr>
          <w:rFonts w:asciiTheme="majorHAnsi" w:hAnsiTheme="majorHAnsi"/>
          <w:sz w:val="20"/>
          <w:szCs w:val="20"/>
          <w:lang w:val="es-ES_tradnl"/>
        </w:rPr>
        <w:t xml:space="preserve"> </w:t>
      </w:r>
      <w:r w:rsidRPr="00FF1B07">
        <w:rPr>
          <w:rFonts w:asciiTheme="majorHAnsi" w:hAnsiTheme="majorHAnsi"/>
          <w:sz w:val="20"/>
          <w:szCs w:val="20"/>
          <w:lang w:val="es-ES_tradnl"/>
        </w:rPr>
        <w:t>l</w:t>
      </w:r>
      <w:r w:rsidR="00B45C0E" w:rsidRPr="00FF1B07">
        <w:rPr>
          <w:rFonts w:asciiTheme="majorHAnsi" w:hAnsiTheme="majorHAnsi"/>
          <w:sz w:val="20"/>
          <w:szCs w:val="20"/>
          <w:lang w:val="es-ES_tradnl"/>
        </w:rPr>
        <w:t>os</w:t>
      </w:r>
      <w:r w:rsidRPr="00FF1B07">
        <w:rPr>
          <w:rFonts w:asciiTheme="majorHAnsi" w:hAnsiTheme="majorHAnsi"/>
          <w:sz w:val="20"/>
          <w:szCs w:val="20"/>
          <w:lang w:val="es-ES_tradnl"/>
        </w:rPr>
        <w:t xml:space="preserve"> delito</w:t>
      </w:r>
      <w:r w:rsidR="00B45C0E" w:rsidRPr="00FF1B07">
        <w:rPr>
          <w:rFonts w:asciiTheme="majorHAnsi" w:hAnsiTheme="majorHAnsi"/>
          <w:sz w:val="20"/>
          <w:szCs w:val="20"/>
          <w:lang w:val="es-ES_tradnl"/>
        </w:rPr>
        <w:t>s</w:t>
      </w:r>
      <w:r w:rsidRPr="00FF1B07">
        <w:rPr>
          <w:rFonts w:asciiTheme="majorHAnsi" w:hAnsiTheme="majorHAnsi"/>
          <w:sz w:val="20"/>
          <w:szCs w:val="20"/>
          <w:lang w:val="es-ES_tradnl"/>
        </w:rPr>
        <w:t xml:space="preserve"> de </w:t>
      </w:r>
      <w:r w:rsidR="00B45C0E" w:rsidRPr="00FF1B07">
        <w:rPr>
          <w:rFonts w:asciiTheme="majorHAnsi" w:hAnsiTheme="majorHAnsi"/>
          <w:sz w:val="20"/>
          <w:szCs w:val="20"/>
          <w:lang w:val="es-ES_tradnl"/>
        </w:rPr>
        <w:t>homicidio calificado y robo.</w:t>
      </w:r>
      <w:r w:rsidRPr="00FF1B07">
        <w:rPr>
          <w:rFonts w:asciiTheme="majorHAnsi" w:hAnsiTheme="majorHAnsi"/>
          <w:sz w:val="20"/>
          <w:szCs w:val="20"/>
          <w:lang w:val="es-ES_tradnl"/>
        </w:rPr>
        <w:t xml:space="preserve"> </w:t>
      </w:r>
    </w:p>
    <w:p w14:paraId="6F296810" w14:textId="785796F1" w:rsidR="001A5B88" w:rsidRPr="00FF1B07" w:rsidRDefault="001A5B88" w:rsidP="00F14051">
      <w:pPr>
        <w:pStyle w:val="ListParagraph"/>
        <w:numPr>
          <w:ilvl w:val="0"/>
          <w:numId w:val="103"/>
        </w:numPr>
        <w:jc w:val="both"/>
        <w:rPr>
          <w:rFonts w:asciiTheme="majorHAnsi" w:hAnsiTheme="majorHAnsi"/>
          <w:sz w:val="20"/>
          <w:szCs w:val="20"/>
          <w:lang w:val="es-ES_tradnl"/>
        </w:rPr>
      </w:pPr>
      <w:r w:rsidRPr="00FF1B07">
        <w:rPr>
          <w:rFonts w:asciiTheme="majorHAnsi" w:hAnsiTheme="majorHAnsi"/>
          <w:sz w:val="20"/>
          <w:szCs w:val="20"/>
          <w:lang w:val="es-ES_tradnl"/>
        </w:rPr>
        <w:t>A juicio de la Comisión, los citados elementos permiten verificar que los tribunales internos, en respeto al principio de presunción de inocencia, se apoyaron en distintas diligencias a efectos de</w:t>
      </w:r>
      <w:r w:rsidR="00B45C0E" w:rsidRPr="00FF1B07">
        <w:rPr>
          <w:rFonts w:asciiTheme="majorHAnsi" w:hAnsiTheme="majorHAnsi"/>
          <w:sz w:val="20"/>
          <w:szCs w:val="20"/>
          <w:lang w:val="es-ES_tradnl"/>
        </w:rPr>
        <w:t xml:space="preserve"> sustentar culpabilidad y consecuente condena del señor Hernández Córdoba</w:t>
      </w:r>
      <w:r w:rsidRPr="00FF1B07">
        <w:rPr>
          <w:rFonts w:asciiTheme="majorHAnsi" w:hAnsiTheme="majorHAnsi"/>
          <w:sz w:val="20"/>
          <w:szCs w:val="20"/>
          <w:lang w:val="es-ES_tradnl"/>
        </w:rPr>
        <w:t xml:space="preserve">. </w:t>
      </w:r>
      <w:r w:rsidR="005019D3" w:rsidRPr="00FF1B07">
        <w:rPr>
          <w:rFonts w:asciiTheme="majorHAnsi" w:hAnsiTheme="majorHAnsi"/>
          <w:sz w:val="20"/>
          <w:szCs w:val="20"/>
          <w:lang w:val="es-ES_tradnl"/>
        </w:rPr>
        <w:t>L</w:t>
      </w:r>
      <w:r w:rsidRPr="00FF1B07">
        <w:rPr>
          <w:rFonts w:asciiTheme="majorHAnsi" w:hAnsiTheme="majorHAnsi"/>
          <w:sz w:val="20"/>
          <w:szCs w:val="20"/>
          <w:lang w:val="es-ES_tradnl"/>
        </w:rPr>
        <w:t xml:space="preserve">a Comisión tampoco identifica en los alegatos de la parte peticionaria </w:t>
      </w:r>
      <w:r w:rsidR="005019D3" w:rsidRPr="00FF1B07">
        <w:rPr>
          <w:rFonts w:asciiTheme="majorHAnsi" w:hAnsiTheme="majorHAnsi"/>
          <w:sz w:val="20"/>
          <w:szCs w:val="20"/>
          <w:lang w:val="es-ES_tradnl"/>
        </w:rPr>
        <w:t>elementos</w:t>
      </w:r>
      <w:r w:rsidRPr="00FF1B07">
        <w:rPr>
          <w:rFonts w:asciiTheme="majorHAnsi" w:hAnsiTheme="majorHAnsi"/>
          <w:sz w:val="20"/>
          <w:szCs w:val="20"/>
          <w:lang w:val="es-ES_tradnl"/>
        </w:rPr>
        <w:t xml:space="preserve"> que permita</w:t>
      </w:r>
      <w:r w:rsidR="005019D3" w:rsidRPr="00FF1B07">
        <w:rPr>
          <w:rFonts w:asciiTheme="majorHAnsi" w:hAnsiTheme="majorHAnsi"/>
          <w:sz w:val="20"/>
          <w:szCs w:val="20"/>
          <w:lang w:val="es-ES_tradnl"/>
        </w:rPr>
        <w:t>n</w:t>
      </w:r>
      <w:r w:rsidR="00F14051" w:rsidRPr="00FF1B07">
        <w:rPr>
          <w:rFonts w:asciiTheme="majorHAnsi" w:hAnsiTheme="majorHAnsi"/>
          <w:sz w:val="20"/>
          <w:szCs w:val="20"/>
          <w:lang w:val="es-ES_tradnl"/>
        </w:rPr>
        <w:t xml:space="preserve"> establecer</w:t>
      </w:r>
      <w:r w:rsidRPr="00FF1B07">
        <w:rPr>
          <w:rFonts w:asciiTheme="majorHAnsi" w:hAnsiTheme="majorHAnsi"/>
          <w:sz w:val="20"/>
          <w:szCs w:val="20"/>
          <w:lang w:val="es-ES_tradnl"/>
        </w:rPr>
        <w:t xml:space="preserve"> alguna afectación al debido proceso, </w:t>
      </w:r>
      <w:r w:rsidR="00F14051" w:rsidRPr="00FF1B07">
        <w:rPr>
          <w:rFonts w:asciiTheme="majorHAnsi" w:hAnsiTheme="majorHAnsi"/>
          <w:sz w:val="20"/>
          <w:szCs w:val="20"/>
          <w:lang w:val="es-ES_tradnl"/>
        </w:rPr>
        <w:t>en</w:t>
      </w:r>
      <w:r w:rsidRPr="00FF1B07">
        <w:rPr>
          <w:rFonts w:asciiTheme="majorHAnsi" w:hAnsiTheme="majorHAnsi"/>
          <w:sz w:val="20"/>
          <w:szCs w:val="20"/>
          <w:lang w:val="es-ES_tradnl"/>
        </w:rPr>
        <w:t xml:space="preserve"> la manera cómo se condujo el proceso penal contra la presunta víctima. Conforme a la información disponible en el expediente, la representación de la presunta víctima tuvo la oportunidad de participar activamente en el proceso y cuestionar ampliamente aspectos de hecho y de derecho. </w:t>
      </w:r>
      <w:r w:rsidR="004F66FF" w:rsidRPr="00FF1B07">
        <w:rPr>
          <w:rFonts w:asciiTheme="majorHAnsi" w:hAnsiTheme="majorHAnsi"/>
          <w:sz w:val="20"/>
          <w:szCs w:val="20"/>
          <w:lang w:val="es-ES_tradnl"/>
        </w:rPr>
        <w:t xml:space="preserve">En definitiva, </w:t>
      </w:r>
      <w:r w:rsidR="00F14051" w:rsidRPr="00FF1B07">
        <w:rPr>
          <w:rFonts w:asciiTheme="majorHAnsi" w:hAnsiTheme="majorHAnsi"/>
          <w:i/>
          <w:iCs/>
          <w:sz w:val="20"/>
          <w:szCs w:val="20"/>
          <w:lang w:val="es-ES_tradnl"/>
        </w:rPr>
        <w:t>prima facie</w:t>
      </w:r>
      <w:r w:rsidR="00F14051" w:rsidRPr="00FF1B07">
        <w:rPr>
          <w:rFonts w:asciiTheme="majorHAnsi" w:hAnsiTheme="majorHAnsi"/>
          <w:sz w:val="20"/>
          <w:szCs w:val="20"/>
          <w:lang w:val="es-ES_tradnl"/>
        </w:rPr>
        <w:t xml:space="preserve"> </w:t>
      </w:r>
      <w:r w:rsidR="004F66FF" w:rsidRPr="00FF1B07">
        <w:rPr>
          <w:rFonts w:asciiTheme="majorHAnsi" w:hAnsiTheme="majorHAnsi"/>
          <w:sz w:val="20"/>
          <w:szCs w:val="20"/>
          <w:lang w:val="es-ES_tradnl"/>
        </w:rPr>
        <w:t>no se encuentran</w:t>
      </w:r>
      <w:r w:rsidR="00521F14" w:rsidRPr="00FF1B07">
        <w:rPr>
          <w:rFonts w:asciiTheme="majorHAnsi" w:hAnsiTheme="majorHAnsi"/>
          <w:sz w:val="20"/>
          <w:szCs w:val="20"/>
          <w:lang w:val="es-ES_tradnl"/>
        </w:rPr>
        <w:t xml:space="preserve"> </w:t>
      </w:r>
      <w:r w:rsidR="00F14051" w:rsidRPr="00FF1B07">
        <w:rPr>
          <w:rFonts w:asciiTheme="majorHAnsi" w:hAnsiTheme="majorHAnsi"/>
          <w:sz w:val="20"/>
          <w:szCs w:val="20"/>
          <w:lang w:val="es-ES_tradnl"/>
        </w:rPr>
        <w:t xml:space="preserve">en el expediente de la presente petición otras posibles vulneraciones a los derechos a las garantías judiciales (artículo 8), la protección judicial (artículo 25), u otros conexos establecidos en la Convención Americana. </w:t>
      </w:r>
    </w:p>
    <w:p w14:paraId="1DD515F1" w14:textId="77777777" w:rsidR="00F14051" w:rsidRPr="00FF1B07" w:rsidRDefault="00F14051" w:rsidP="00F14051">
      <w:pPr>
        <w:pStyle w:val="ListParagraph"/>
        <w:rPr>
          <w:rFonts w:asciiTheme="majorHAnsi" w:hAnsiTheme="majorHAnsi"/>
          <w:sz w:val="20"/>
          <w:szCs w:val="20"/>
          <w:lang w:val="es-ES_tradnl"/>
        </w:rPr>
      </w:pPr>
    </w:p>
    <w:p w14:paraId="799E48E2" w14:textId="1A2E5F21" w:rsidR="00A8414A" w:rsidRPr="00FF1B07" w:rsidRDefault="001A5B88" w:rsidP="00A8414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F1B07">
        <w:rPr>
          <w:rFonts w:asciiTheme="majorHAnsi" w:eastAsia="Cambria" w:hAnsiTheme="majorHAnsi" w:cs="Cambria"/>
          <w:color w:val="000000"/>
          <w:sz w:val="20"/>
          <w:szCs w:val="20"/>
          <w:u w:color="000000"/>
          <w:lang w:val="es-ES_tradnl" w:eastAsia="es-ES"/>
        </w:rPr>
        <w:t>Con base en estas consideraciones, la Comisión concluye que el presente asunto no presenta elementos que puedan involucrar una posible afectación de los derechos consagrados en la Convención Americana u otros tratados interamericanos</w:t>
      </w:r>
      <w:r w:rsidR="00521F14" w:rsidRPr="00FF1B07">
        <w:rPr>
          <w:rFonts w:asciiTheme="majorHAnsi" w:eastAsia="Cambria" w:hAnsiTheme="majorHAnsi" w:cs="Cambria"/>
          <w:color w:val="000000"/>
          <w:sz w:val="20"/>
          <w:szCs w:val="20"/>
          <w:u w:color="000000"/>
          <w:lang w:val="es-ES_tradnl" w:eastAsia="es-ES"/>
        </w:rPr>
        <w:t>, en los términos del artículo 47 de es</w:t>
      </w:r>
      <w:r w:rsidR="00FF1B07" w:rsidRPr="00FF1B07">
        <w:rPr>
          <w:rFonts w:asciiTheme="majorHAnsi" w:eastAsia="Cambria" w:hAnsiTheme="majorHAnsi" w:cs="Cambria"/>
          <w:color w:val="000000"/>
          <w:sz w:val="20"/>
          <w:szCs w:val="20"/>
          <w:u w:color="000000"/>
          <w:lang w:val="es-ES_tradnl" w:eastAsia="es-ES"/>
        </w:rPr>
        <w:t>t</w:t>
      </w:r>
      <w:r w:rsidR="00521F14" w:rsidRPr="00FF1B07">
        <w:rPr>
          <w:rFonts w:asciiTheme="majorHAnsi" w:eastAsia="Cambria" w:hAnsiTheme="majorHAnsi" w:cs="Cambria"/>
          <w:color w:val="000000"/>
          <w:sz w:val="20"/>
          <w:szCs w:val="20"/>
          <w:u w:color="000000"/>
          <w:lang w:val="es-ES_tradnl" w:eastAsia="es-ES"/>
        </w:rPr>
        <w:t>e tratado</w:t>
      </w:r>
      <w:r w:rsidRPr="00FF1B07">
        <w:rPr>
          <w:rFonts w:asciiTheme="majorHAnsi" w:eastAsia="Cambria" w:hAnsiTheme="majorHAnsi" w:cs="Cambria"/>
          <w:color w:val="000000"/>
          <w:sz w:val="20"/>
          <w:szCs w:val="20"/>
          <w:u w:color="000000"/>
          <w:lang w:val="es-ES_tradnl" w:eastAsia="es-ES"/>
        </w:rPr>
        <w:t xml:space="preserve">.  </w:t>
      </w:r>
    </w:p>
    <w:p w14:paraId="29BB41F5" w14:textId="5C005CDB" w:rsidR="003239B8" w:rsidRPr="00FF1B07" w:rsidRDefault="00A8414A" w:rsidP="00A8414A">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contextualSpacing/>
        <w:jc w:val="both"/>
        <w:rPr>
          <w:rFonts w:asciiTheme="majorHAnsi" w:hAnsiTheme="majorHAnsi"/>
          <w:b/>
          <w:bCs/>
          <w:sz w:val="20"/>
          <w:szCs w:val="20"/>
          <w:lang w:val="es-ES_tradnl"/>
        </w:rPr>
      </w:pPr>
      <w:r w:rsidRPr="00FF1B07">
        <w:rPr>
          <w:rFonts w:asciiTheme="majorHAnsi" w:hAnsiTheme="majorHAnsi"/>
          <w:sz w:val="20"/>
          <w:szCs w:val="20"/>
          <w:lang w:val="es-ES_tradnl"/>
        </w:rPr>
        <w:tab/>
      </w:r>
      <w:r w:rsidR="00D8617B">
        <w:rPr>
          <w:rFonts w:asciiTheme="majorHAnsi" w:hAnsiTheme="majorHAnsi"/>
          <w:b/>
          <w:bCs/>
          <w:sz w:val="20"/>
          <w:szCs w:val="20"/>
          <w:lang w:val="es-ES_tradnl"/>
        </w:rPr>
        <w:t xml:space="preserve">    </w:t>
      </w:r>
      <w:r w:rsidR="003239B8" w:rsidRPr="00FF1B07">
        <w:rPr>
          <w:rFonts w:asciiTheme="majorHAnsi" w:hAnsiTheme="majorHAnsi"/>
          <w:b/>
          <w:bCs/>
          <w:sz w:val="20"/>
          <w:szCs w:val="20"/>
          <w:lang w:val="es-ES_tradnl"/>
        </w:rPr>
        <w:t>I</w:t>
      </w:r>
      <w:r w:rsidR="00D8617B">
        <w:rPr>
          <w:rFonts w:asciiTheme="majorHAnsi" w:hAnsiTheme="majorHAnsi"/>
          <w:b/>
          <w:bCs/>
          <w:sz w:val="20"/>
          <w:szCs w:val="20"/>
          <w:lang w:val="es-ES_tradnl"/>
        </w:rPr>
        <w:t>X</w:t>
      </w:r>
      <w:r w:rsidR="003239B8" w:rsidRPr="00FF1B07">
        <w:rPr>
          <w:rFonts w:asciiTheme="majorHAnsi" w:hAnsiTheme="majorHAnsi"/>
          <w:b/>
          <w:bCs/>
          <w:sz w:val="20"/>
          <w:szCs w:val="20"/>
          <w:lang w:val="es-ES_tradnl"/>
        </w:rPr>
        <w:t xml:space="preserve">. </w:t>
      </w:r>
      <w:r w:rsidR="003239B8" w:rsidRPr="00FF1B07">
        <w:rPr>
          <w:rFonts w:asciiTheme="majorHAnsi" w:hAnsiTheme="majorHAnsi"/>
          <w:b/>
          <w:bCs/>
          <w:sz w:val="20"/>
          <w:szCs w:val="20"/>
          <w:lang w:val="es-ES_tradnl"/>
        </w:rPr>
        <w:tab/>
        <w:t>DECISIÓN</w:t>
      </w:r>
    </w:p>
    <w:p w14:paraId="08C08960" w14:textId="77777777" w:rsidR="00A8414A" w:rsidRPr="00FF1B07" w:rsidRDefault="00A8414A" w:rsidP="00A8414A">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contextualSpacing/>
        <w:jc w:val="both"/>
        <w:rPr>
          <w:rFonts w:asciiTheme="majorHAnsi" w:eastAsia="Cambria" w:hAnsiTheme="majorHAnsi" w:cs="Cambria"/>
          <w:color w:val="000000"/>
          <w:sz w:val="20"/>
          <w:szCs w:val="20"/>
          <w:u w:color="000000"/>
          <w:lang w:val="es-ES_tradnl" w:eastAsia="es-ES"/>
        </w:rPr>
      </w:pPr>
    </w:p>
    <w:p w14:paraId="570DA61C" w14:textId="47D8AF8A" w:rsidR="000419AD" w:rsidRPr="00D8617B" w:rsidRDefault="000419AD" w:rsidP="000419AD">
      <w:pPr>
        <w:pStyle w:val="ListParagraph"/>
        <w:numPr>
          <w:ilvl w:val="0"/>
          <w:numId w:val="109"/>
        </w:numPr>
        <w:rPr>
          <w:rFonts w:asciiTheme="majorHAnsi" w:eastAsia="Arial Unicode MS" w:hAnsiTheme="majorHAnsi" w:cs="Times New Roman"/>
          <w:color w:val="auto"/>
          <w:sz w:val="20"/>
          <w:szCs w:val="20"/>
          <w:lang w:val="es-ES_tradnl" w:eastAsia="en-US"/>
        </w:rPr>
      </w:pPr>
      <w:r w:rsidRPr="00FF1B07">
        <w:rPr>
          <w:rFonts w:asciiTheme="majorHAnsi" w:eastAsia="Arial Unicode MS" w:hAnsiTheme="majorHAnsi" w:cs="Times New Roman"/>
          <w:color w:val="auto"/>
          <w:sz w:val="20"/>
          <w:szCs w:val="20"/>
          <w:lang w:val="es-ES_tradnl" w:eastAsia="en-US"/>
        </w:rPr>
        <w:t>Declar</w:t>
      </w:r>
      <w:r w:rsidRPr="00D8617B">
        <w:rPr>
          <w:rFonts w:asciiTheme="majorHAnsi" w:eastAsia="Arial Unicode MS" w:hAnsiTheme="majorHAnsi" w:cs="Times New Roman"/>
          <w:color w:val="auto"/>
          <w:sz w:val="20"/>
          <w:szCs w:val="20"/>
          <w:lang w:val="es-ES_tradnl" w:eastAsia="en-US"/>
        </w:rPr>
        <w:t>ar inadmisible la presente petición</w:t>
      </w:r>
      <w:r w:rsidR="00A758AA" w:rsidRPr="00D8617B">
        <w:rPr>
          <w:rFonts w:asciiTheme="majorHAnsi" w:eastAsia="Arial Unicode MS" w:hAnsiTheme="majorHAnsi" w:cs="Times New Roman"/>
          <w:color w:val="auto"/>
          <w:sz w:val="20"/>
          <w:szCs w:val="20"/>
          <w:lang w:val="es-ES_tradnl" w:eastAsia="en-US"/>
        </w:rPr>
        <w:t>;</w:t>
      </w:r>
      <w:r w:rsidR="004A6A54" w:rsidRPr="00D8617B">
        <w:rPr>
          <w:rFonts w:asciiTheme="majorHAnsi" w:eastAsia="Arial Unicode MS" w:hAnsiTheme="majorHAnsi" w:cs="Times New Roman"/>
          <w:color w:val="auto"/>
          <w:sz w:val="20"/>
          <w:szCs w:val="20"/>
          <w:lang w:val="es-ES_tradnl" w:eastAsia="en-US"/>
        </w:rPr>
        <w:t xml:space="preserve"> y</w:t>
      </w:r>
    </w:p>
    <w:p w14:paraId="41AA5BF6" w14:textId="77777777" w:rsidR="000419AD" w:rsidRPr="00D8617B" w:rsidRDefault="000419AD" w:rsidP="000419AD">
      <w:pPr>
        <w:pStyle w:val="ListParagraph"/>
        <w:rPr>
          <w:rFonts w:asciiTheme="majorHAnsi" w:eastAsia="Arial Unicode MS" w:hAnsiTheme="majorHAnsi" w:cs="Times New Roman"/>
          <w:color w:val="auto"/>
          <w:sz w:val="20"/>
          <w:szCs w:val="20"/>
          <w:lang w:val="es-ES_tradnl" w:eastAsia="en-US"/>
        </w:rPr>
      </w:pPr>
    </w:p>
    <w:p w14:paraId="12A7002C" w14:textId="65B2BDA0" w:rsidR="004A6A5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8617B">
        <w:rPr>
          <w:rFonts w:asciiTheme="majorHAnsi" w:hAnsiTheme="majorHAnsi"/>
          <w:sz w:val="20"/>
          <w:szCs w:val="20"/>
          <w:lang w:val="es-ES_tradnl"/>
        </w:rPr>
        <w:t>Notificar a las partes la presente decisión;</w:t>
      </w:r>
      <w:r w:rsidRPr="00FF1B07">
        <w:rPr>
          <w:rFonts w:asciiTheme="majorHAnsi" w:hAnsiTheme="majorHAnsi"/>
          <w:sz w:val="20"/>
          <w:szCs w:val="20"/>
          <w:lang w:val="es-ES_tradnl"/>
        </w:rPr>
        <w:t xml:space="preserve"> y publicar esta decisión e incluirla en su Informe Anual a la Asamblea General de la Organización de los Estados Americanos.</w:t>
      </w:r>
    </w:p>
    <w:p w14:paraId="7CD4DFBD" w14:textId="5DB2C652" w:rsidR="003239B8" w:rsidRPr="00096A43" w:rsidRDefault="00D8617B" w:rsidP="00096A43">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al primer día del mes de agosto de 2023.</w:t>
      </w:r>
      <w:r w:rsidR="00096A43">
        <w:rPr>
          <w:rStyle w:val="normaltextrun"/>
          <w:rFonts w:ascii="Cambria" w:hAnsi="Cambria" w:cs="Segoe UI"/>
          <w:sz w:val="20"/>
          <w:szCs w:val="20"/>
          <w:lang w:val="es-CL"/>
        </w:rPr>
        <w:t xml:space="preserve"> </w:t>
      </w:r>
      <w:r>
        <w:rPr>
          <w:rStyle w:val="normaltextrun"/>
          <w:rFonts w:ascii="Cambria" w:hAnsi="Cambria" w:cs="Segoe UI"/>
          <w:sz w:val="20"/>
          <w:szCs w:val="20"/>
          <w:lang w:val="es-CL"/>
        </w:rPr>
        <w:t>(Firmado): Esmeralda Arosemena de Troitiño, Primer</w:t>
      </w:r>
      <w:r w:rsidR="00096A43">
        <w:rPr>
          <w:rStyle w:val="normaltextrun"/>
          <w:rFonts w:ascii="Cambria" w:hAnsi="Cambria" w:cs="Segoe UI"/>
          <w:sz w:val="20"/>
          <w:szCs w:val="20"/>
          <w:lang w:val="es-CL"/>
        </w:rPr>
        <w:t>a</w:t>
      </w:r>
      <w:r>
        <w:rPr>
          <w:rStyle w:val="normaltextrun"/>
          <w:rFonts w:ascii="Cambria" w:hAnsi="Cambria" w:cs="Segoe UI"/>
          <w:sz w:val="20"/>
          <w:szCs w:val="20"/>
          <w:lang w:val="es-CL"/>
        </w:rPr>
        <w:t xml:space="preserve"> Vicepresidenta; Joel Hernández García, Julissa Mantilla Falcón y Stuardo Ralón Orellana, </w:t>
      </w:r>
      <w:r w:rsidR="00096A43">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0D98495A" w14:textId="77777777" w:rsidR="008D768D" w:rsidRPr="00FF1B07" w:rsidRDefault="008D768D" w:rsidP="001D65EF">
      <w:pPr>
        <w:tabs>
          <w:tab w:val="center" w:pos="5400"/>
        </w:tabs>
        <w:suppressAutoHyphens/>
        <w:spacing w:line="276" w:lineRule="auto"/>
        <w:rPr>
          <w:rFonts w:asciiTheme="majorHAnsi" w:hAnsiTheme="majorHAnsi"/>
          <w:sz w:val="20"/>
          <w:szCs w:val="20"/>
          <w:lang w:val="es-ES_tradnl"/>
        </w:rPr>
      </w:pPr>
    </w:p>
    <w:p w14:paraId="2642C68E" w14:textId="77777777" w:rsidR="008D768D" w:rsidRPr="00FF1B07" w:rsidRDefault="008D768D" w:rsidP="001D65EF">
      <w:pPr>
        <w:tabs>
          <w:tab w:val="center" w:pos="5400"/>
        </w:tabs>
        <w:suppressAutoHyphens/>
        <w:spacing w:line="276" w:lineRule="auto"/>
        <w:rPr>
          <w:rFonts w:asciiTheme="majorHAnsi" w:hAnsiTheme="majorHAnsi"/>
          <w:sz w:val="20"/>
          <w:szCs w:val="20"/>
          <w:lang w:val="es-ES_tradnl"/>
        </w:rPr>
      </w:pPr>
    </w:p>
    <w:p w14:paraId="6AC80CA6" w14:textId="77777777" w:rsidR="00722C9F" w:rsidRPr="00FF1B07" w:rsidRDefault="00722C9F" w:rsidP="00974491">
      <w:pPr>
        <w:rPr>
          <w:rFonts w:asciiTheme="majorHAnsi" w:hAnsiTheme="majorHAnsi" w:cs="Calibri"/>
          <w:sz w:val="20"/>
          <w:szCs w:val="20"/>
          <w:lang w:val="es-ES_tradnl"/>
        </w:rPr>
      </w:pPr>
    </w:p>
    <w:sectPr w:rsidR="00722C9F" w:rsidRPr="00FF1B0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3F840" w14:textId="77777777" w:rsidR="00DF24C9" w:rsidRDefault="00DF24C9">
      <w:r>
        <w:separator/>
      </w:r>
    </w:p>
  </w:endnote>
  <w:endnote w:type="continuationSeparator" w:id="0">
    <w:p w14:paraId="40CD643E" w14:textId="77777777" w:rsidR="00DF24C9" w:rsidRDefault="00DF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C2CD1" w14:textId="77777777" w:rsidR="00DF24C9" w:rsidRPr="000F35ED" w:rsidRDefault="00DF24C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4E270C2" w14:textId="77777777" w:rsidR="00DF24C9" w:rsidRPr="000F35ED" w:rsidRDefault="00DF24C9" w:rsidP="000F35ED">
      <w:pPr>
        <w:rPr>
          <w:rFonts w:asciiTheme="majorHAnsi" w:hAnsiTheme="majorHAnsi"/>
          <w:sz w:val="16"/>
          <w:szCs w:val="16"/>
        </w:rPr>
      </w:pPr>
      <w:r w:rsidRPr="000F35ED">
        <w:rPr>
          <w:rFonts w:asciiTheme="majorHAnsi" w:hAnsiTheme="majorHAnsi"/>
          <w:sz w:val="16"/>
          <w:szCs w:val="16"/>
        </w:rPr>
        <w:separator/>
      </w:r>
    </w:p>
    <w:p w14:paraId="4E0C8131" w14:textId="77777777" w:rsidR="00DF24C9" w:rsidRPr="000F35ED" w:rsidRDefault="00DF24C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300590D" w14:textId="77777777" w:rsidR="00DF24C9" w:rsidRPr="000F35ED" w:rsidRDefault="00DF24C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807109E" w14:textId="77777777" w:rsidR="005A7A21" w:rsidRPr="00916C1D" w:rsidRDefault="005A7A21" w:rsidP="005A7A21">
      <w:pPr>
        <w:pStyle w:val="FootnoteText"/>
        <w:ind w:firstLine="720"/>
        <w:jc w:val="both"/>
        <w:rPr>
          <w:lang w:val="es-US"/>
        </w:rPr>
      </w:pPr>
      <w:r w:rsidRPr="00916C1D">
        <w:rPr>
          <w:rStyle w:val="FootnoteReference"/>
          <w:rFonts w:asciiTheme="majorHAnsi" w:hAnsiTheme="majorHAnsi"/>
          <w:sz w:val="16"/>
          <w:szCs w:val="16"/>
        </w:rPr>
        <w:footnoteRef/>
      </w:r>
      <w:r w:rsidRPr="00916C1D">
        <w:rPr>
          <w:rFonts w:asciiTheme="majorHAnsi" w:hAnsiTheme="majorHAnsi"/>
          <w:sz w:val="16"/>
          <w:szCs w:val="16"/>
          <w:lang w:val="es-US"/>
        </w:rPr>
        <w:t xml:space="preserve"> En adelante, “la Convención Americana” o “la Convención”</w:t>
      </w:r>
    </w:p>
  </w:footnote>
  <w:footnote w:id="3">
    <w:p w14:paraId="79F07139" w14:textId="77777777" w:rsidR="008E3BFE" w:rsidRPr="00537490" w:rsidRDefault="008E3BFE"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4">
    <w:p w14:paraId="4C6AAB42" w14:textId="77777777" w:rsidR="00287434" w:rsidRPr="002D3BB2" w:rsidRDefault="00287434" w:rsidP="00287434">
      <w:pPr>
        <w:pStyle w:val="FootnoteText"/>
        <w:ind w:firstLine="720"/>
        <w:jc w:val="both"/>
        <w:rPr>
          <w:rFonts w:asciiTheme="majorHAnsi" w:hAnsiTheme="majorHAnsi"/>
          <w:sz w:val="16"/>
          <w:szCs w:val="16"/>
          <w:lang w:val="es-PE"/>
        </w:rPr>
      </w:pPr>
      <w:r w:rsidRPr="002D3BB2">
        <w:rPr>
          <w:rStyle w:val="FootnoteReference"/>
          <w:rFonts w:asciiTheme="majorHAnsi" w:hAnsiTheme="majorHAnsi"/>
          <w:sz w:val="16"/>
          <w:szCs w:val="16"/>
          <w:lang w:val="es-PE"/>
        </w:rPr>
        <w:footnoteRef/>
      </w:r>
      <w:r w:rsidRPr="002D3BB2">
        <w:rPr>
          <w:rFonts w:asciiTheme="majorHAnsi" w:hAnsiTheme="majorHAnsi"/>
          <w:sz w:val="16"/>
          <w:szCs w:val="16"/>
          <w:lang w:val="es-PE"/>
        </w:rPr>
        <w:t xml:space="preserve"> Ley N. º 8503.- Transitorio 1.- </w:t>
      </w:r>
      <w:r>
        <w:rPr>
          <w:rFonts w:asciiTheme="majorHAnsi" w:hAnsiTheme="majorHAnsi"/>
          <w:sz w:val="16"/>
          <w:szCs w:val="16"/>
          <w:lang w:val="es-PE"/>
        </w:rPr>
        <w:t xml:space="preserve">Las personas condenadas por un hecho delictivo con fecha anterior a esta Ley, a quienes se les haya obstaculizado formular recurso de casación contra la sentencia, en razón de las reglas que regulaban su admisibilidad en aquella fecha, podrán plantear la revisión de la sentencia ante el tribunal competente, invocando en cada caso, el agravio y los aspectos de hecho y de derecho que no fueron posibles de conocer en casación. </w:t>
      </w:r>
    </w:p>
  </w:footnote>
  <w:footnote w:id="5">
    <w:p w14:paraId="3338ED9A" w14:textId="77777777" w:rsidR="00287434" w:rsidRPr="0024784B" w:rsidRDefault="00287434" w:rsidP="00287434">
      <w:pPr>
        <w:ind w:firstLine="720"/>
        <w:jc w:val="both"/>
        <w:rPr>
          <w:rFonts w:asciiTheme="majorHAnsi" w:eastAsia="Calibri" w:hAnsiTheme="majorHAnsi" w:cs="Calibri"/>
          <w:color w:val="000000"/>
          <w:sz w:val="16"/>
          <w:szCs w:val="16"/>
          <w:u w:color="000000"/>
          <w:lang w:val="es-US" w:eastAsia="es-ES"/>
        </w:rPr>
      </w:pPr>
      <w:r w:rsidRPr="00F42786">
        <w:rPr>
          <w:rStyle w:val="FootnoteReference"/>
          <w:rFonts w:asciiTheme="majorHAnsi" w:hAnsiTheme="majorHAnsi"/>
          <w:sz w:val="16"/>
          <w:szCs w:val="16"/>
        </w:rPr>
        <w:footnoteRef/>
      </w:r>
      <w:r w:rsidRPr="00F42786">
        <w:rPr>
          <w:rFonts w:asciiTheme="majorHAnsi" w:hAnsiTheme="majorHAnsi"/>
          <w:sz w:val="16"/>
          <w:szCs w:val="16"/>
          <w:lang w:val="es-US"/>
        </w:rPr>
        <w:t xml:space="preserve"> Ley N.º 8837</w:t>
      </w:r>
      <w:r>
        <w:rPr>
          <w:rFonts w:asciiTheme="majorHAnsi" w:hAnsiTheme="majorHAnsi"/>
          <w:sz w:val="16"/>
          <w:szCs w:val="16"/>
          <w:lang w:val="es-US"/>
        </w:rPr>
        <w:t xml:space="preserve">.- </w:t>
      </w:r>
      <w:r w:rsidRPr="00F42786">
        <w:rPr>
          <w:rFonts w:asciiTheme="majorHAnsi" w:hAnsiTheme="majorHAnsi"/>
          <w:sz w:val="16"/>
          <w:szCs w:val="16"/>
          <w:lang w:val="es-US"/>
        </w:rPr>
        <w:t>Transitorio III</w:t>
      </w:r>
      <w:r>
        <w:rPr>
          <w:rFonts w:asciiTheme="majorHAnsi" w:hAnsiTheme="majorHAnsi"/>
          <w:sz w:val="16"/>
          <w:szCs w:val="16"/>
          <w:lang w:val="es-US"/>
        </w:rPr>
        <w:t>.-</w:t>
      </w:r>
      <w:r w:rsidRPr="00F42786">
        <w:rPr>
          <w:rFonts w:asciiTheme="majorHAnsi" w:eastAsia="Calibri" w:hAnsiTheme="majorHAnsi" w:cs="Calibri"/>
          <w:color w:val="000000"/>
          <w:sz w:val="16"/>
          <w:szCs w:val="16"/>
          <w:u w:color="000000"/>
          <w:lang w:val="es-US" w:eastAsia="es-ES"/>
        </w:rPr>
        <w:t>En todos los asuntos que tengan sentencia firme al momento de entrar en vigencia la presente Ley, y que se haya alegado con anterioridad la vulneración del artículo 8.2</w:t>
      </w:r>
      <w:r>
        <w:rPr>
          <w:rFonts w:asciiTheme="majorHAnsi" w:eastAsia="Calibri" w:hAnsiTheme="majorHAnsi" w:cs="Calibri"/>
          <w:color w:val="000000"/>
          <w:sz w:val="16"/>
          <w:szCs w:val="16"/>
          <w:u w:color="000000"/>
          <w:lang w:val="es-US" w:eastAsia="es-ES"/>
        </w:rPr>
        <w:t>.</w:t>
      </w:r>
      <w:r w:rsidRPr="00F42786">
        <w:rPr>
          <w:rFonts w:asciiTheme="majorHAnsi" w:eastAsia="Calibri" w:hAnsiTheme="majorHAnsi" w:cs="Calibri"/>
          <w:color w:val="000000"/>
          <w:sz w:val="16"/>
          <w:szCs w:val="16"/>
          <w:u w:color="000000"/>
          <w:lang w:val="es-US" w:eastAsia="es-ES"/>
        </w:rPr>
        <w:t>h</w:t>
      </w:r>
      <w:r>
        <w:rPr>
          <w:rFonts w:asciiTheme="majorHAnsi" w:eastAsia="Calibri" w:hAnsiTheme="majorHAnsi" w:cs="Calibri"/>
          <w:color w:val="000000"/>
          <w:sz w:val="16"/>
          <w:szCs w:val="16"/>
          <w:u w:color="000000"/>
          <w:lang w:val="es-US" w:eastAsia="es-ES"/>
        </w:rPr>
        <w:t>)</w:t>
      </w:r>
      <w:r w:rsidRPr="00F42786">
        <w:rPr>
          <w:rFonts w:asciiTheme="majorHAnsi" w:eastAsia="Calibri" w:hAnsiTheme="majorHAnsi" w:cs="Calibri"/>
          <w:color w:val="000000"/>
          <w:sz w:val="16"/>
          <w:szCs w:val="16"/>
          <w:u w:color="000000"/>
          <w:lang w:val="es-US" w:eastAsia="es-ES"/>
        </w:rPr>
        <w:t xml:space="preserve"> de la Convención Americana de Derechos Humanos, el condenado tendrá derecho a interponer, por única vez, durante los primeros seis meses, procedimiento de revisión que se conocerá conforme a las competencias establecidas en esta Ley, por los antiguos Tribunales de Casación o la Sala Tercera Penal.  En los asuntos que se encuentren pendientes de resolución y que se haya alegado con anterioridad la vulneración del artículo 8.2 h de la Convención </w:t>
      </w:r>
      <w:r w:rsidRPr="0024784B">
        <w:rPr>
          <w:rFonts w:asciiTheme="majorHAnsi" w:eastAsia="Calibri" w:hAnsiTheme="majorHAnsi" w:cs="Calibri"/>
          <w:color w:val="000000"/>
          <w:sz w:val="16"/>
          <w:szCs w:val="16"/>
          <w:u w:color="000000"/>
          <w:lang w:val="es-US" w:eastAsia="es-ES"/>
        </w:rPr>
        <w:t>Americana de Derechos Humanos, al recurrente se le brindará el término de dos meses para readecuar su recurso de casación a un recurso de apelación, el cual se presentará ante los antiguos Tribunales de Casación o la Sala Tercera, según corresponda, que remitirán el expediente ante los nuevos Tribunales de Apelación para su resolución.  Bajo pena de inadmisibilidad se deberá concretar específicamente el agravio.</w:t>
      </w:r>
    </w:p>
  </w:footnote>
  <w:footnote w:id="6">
    <w:p w14:paraId="1DE6C2D9" w14:textId="77777777" w:rsidR="001C58F6" w:rsidRPr="00EA3787" w:rsidRDefault="001C58F6" w:rsidP="001C58F6">
      <w:pPr>
        <w:pStyle w:val="FootnoteText"/>
        <w:ind w:firstLine="720"/>
        <w:jc w:val="both"/>
        <w:rPr>
          <w:rFonts w:asciiTheme="majorHAnsi" w:hAnsiTheme="majorHAnsi"/>
          <w:sz w:val="16"/>
          <w:szCs w:val="16"/>
          <w:lang w:val="es-US"/>
        </w:rPr>
      </w:pPr>
      <w:r w:rsidRPr="00EA3787">
        <w:rPr>
          <w:rStyle w:val="FootnoteReference"/>
          <w:rFonts w:asciiTheme="majorHAnsi" w:hAnsiTheme="majorHAnsi"/>
          <w:sz w:val="16"/>
          <w:szCs w:val="16"/>
        </w:rPr>
        <w:footnoteRef/>
      </w:r>
      <w:r w:rsidRPr="00EA3787">
        <w:rPr>
          <w:rFonts w:asciiTheme="majorHAnsi" w:hAnsiTheme="majorHAnsi"/>
          <w:sz w:val="16"/>
          <w:szCs w:val="16"/>
          <w:lang w:val="es-US"/>
        </w:rPr>
        <w:t xml:space="preserve"> En adelante, la “Corte Interamericana” o la “Corte IDH”.</w:t>
      </w:r>
    </w:p>
  </w:footnote>
  <w:footnote w:id="7">
    <w:p w14:paraId="38CDB95A" w14:textId="77777777" w:rsidR="001C58F6" w:rsidRPr="004D0E62" w:rsidRDefault="001C58F6" w:rsidP="001C58F6">
      <w:pPr>
        <w:pStyle w:val="FootnoteText"/>
        <w:ind w:firstLine="720"/>
        <w:jc w:val="both"/>
        <w:rPr>
          <w:rFonts w:asciiTheme="majorHAnsi" w:hAnsiTheme="majorHAnsi"/>
          <w:sz w:val="16"/>
          <w:szCs w:val="16"/>
          <w:lang w:val="es-US"/>
        </w:rPr>
      </w:pPr>
      <w:r w:rsidRPr="00EA3787">
        <w:rPr>
          <w:rStyle w:val="FootnoteReference"/>
          <w:rFonts w:asciiTheme="majorHAnsi" w:hAnsiTheme="majorHAnsi"/>
          <w:sz w:val="16"/>
          <w:szCs w:val="16"/>
        </w:rPr>
        <w:footnoteRef/>
      </w:r>
      <w:r w:rsidRPr="00EA3787">
        <w:rPr>
          <w:rFonts w:asciiTheme="majorHAnsi" w:hAnsiTheme="majorHAnsi"/>
          <w:sz w:val="16"/>
          <w:szCs w:val="16"/>
          <w:lang w:val="pt-BR"/>
        </w:rPr>
        <w:t xml:space="preserve"> Corte IDH. Caso Herrera Ulloa Vs. </w:t>
      </w:r>
      <w:r w:rsidRPr="00EA3787">
        <w:rPr>
          <w:rFonts w:asciiTheme="majorHAnsi" w:hAnsiTheme="majorHAnsi"/>
          <w:sz w:val="16"/>
          <w:szCs w:val="16"/>
          <w:lang w:val="es-US"/>
        </w:rPr>
        <w:t xml:space="preserve">Costa Rica. Excepciones Preliminares, Fondo, Reparaciones y Costas. </w:t>
      </w:r>
      <w:r w:rsidRPr="004D0E62">
        <w:rPr>
          <w:rFonts w:asciiTheme="majorHAnsi" w:hAnsiTheme="majorHAnsi"/>
          <w:sz w:val="16"/>
          <w:szCs w:val="16"/>
          <w:lang w:val="es-US"/>
        </w:rPr>
        <w:t xml:space="preserve">Sentencia de 2 de julio de 2004. Serie C No. 107, párr. 167. </w:t>
      </w:r>
    </w:p>
  </w:footnote>
  <w:footnote w:id="8">
    <w:p w14:paraId="474C8637" w14:textId="77777777" w:rsidR="001C58F6" w:rsidRPr="008A508D" w:rsidRDefault="001C58F6" w:rsidP="001C58F6">
      <w:pPr>
        <w:pStyle w:val="FootnoteText"/>
        <w:ind w:firstLine="720"/>
        <w:jc w:val="both"/>
        <w:rPr>
          <w:lang w:val="es-US"/>
        </w:rPr>
      </w:pPr>
      <w:r w:rsidRPr="004D0E62">
        <w:rPr>
          <w:rStyle w:val="FootnoteReference"/>
          <w:rFonts w:asciiTheme="majorHAnsi" w:hAnsiTheme="majorHAnsi"/>
          <w:sz w:val="16"/>
          <w:szCs w:val="16"/>
        </w:rPr>
        <w:footnoteRef/>
      </w:r>
      <w:r w:rsidRPr="0008546F">
        <w:rPr>
          <w:rFonts w:asciiTheme="majorHAnsi" w:hAnsiTheme="majorHAnsi"/>
          <w:sz w:val="16"/>
          <w:szCs w:val="16"/>
          <w:lang w:val="pt-BR"/>
        </w:rPr>
        <w:t xml:space="preserve"> Corte IDH. Caso Herrera Ulloa Vs. </w:t>
      </w:r>
      <w:r w:rsidRPr="004D0E62">
        <w:rPr>
          <w:rFonts w:asciiTheme="majorHAnsi" w:hAnsiTheme="majorHAnsi"/>
          <w:sz w:val="16"/>
          <w:szCs w:val="16"/>
          <w:lang w:val="es-US"/>
        </w:rPr>
        <w:t xml:space="preserve">Costa Rica. Excepciones Preliminares, Fondo, Reparaciones y Costas. </w:t>
      </w:r>
      <w:r w:rsidRPr="003869D1">
        <w:rPr>
          <w:rFonts w:asciiTheme="majorHAnsi" w:hAnsiTheme="majorHAnsi"/>
          <w:sz w:val="16"/>
          <w:szCs w:val="16"/>
          <w:lang w:val="es-ES"/>
        </w:rPr>
        <w:t>Sentencia de 2 de julio de 2004. Serie C No. 107, párr. 198.</w:t>
      </w:r>
    </w:p>
  </w:footnote>
  <w:footnote w:id="9">
    <w:p w14:paraId="5DC5C19F" w14:textId="77777777" w:rsidR="001C58F6" w:rsidRPr="00565232" w:rsidRDefault="001C58F6" w:rsidP="001C58F6">
      <w:pPr>
        <w:pStyle w:val="FootnoteText"/>
        <w:ind w:firstLine="720"/>
        <w:jc w:val="both"/>
        <w:rPr>
          <w:rFonts w:asciiTheme="majorHAnsi" w:hAnsiTheme="majorHAnsi"/>
          <w:sz w:val="16"/>
          <w:szCs w:val="16"/>
          <w:lang w:val="es-US"/>
        </w:rPr>
      </w:pPr>
      <w:r w:rsidRPr="006A7DCD">
        <w:rPr>
          <w:rStyle w:val="FootnoteReference"/>
          <w:rFonts w:asciiTheme="majorHAnsi" w:hAnsiTheme="majorHAnsi"/>
          <w:sz w:val="16"/>
          <w:szCs w:val="16"/>
        </w:rPr>
        <w:footnoteRef/>
      </w:r>
      <w:r w:rsidRPr="006A7DCD">
        <w:rPr>
          <w:rFonts w:asciiTheme="majorHAnsi" w:hAnsiTheme="majorHAnsi"/>
          <w:sz w:val="16"/>
          <w:szCs w:val="16"/>
          <w:lang w:val="es-US"/>
        </w:rPr>
        <w:t xml:space="preserve"> Corte IDH. Caso Amrhein y otros Vs. Costa Rica. Excepciones Preliminares, Fondo, Reparaciones y Costas. Sentencia de 25 de abril de 2018. Serie C No. 354, párr. 262.</w:t>
      </w:r>
    </w:p>
  </w:footnote>
  <w:footnote w:id="10">
    <w:p w14:paraId="06A1E235" w14:textId="77777777" w:rsidR="001C58F6" w:rsidRPr="004D0E62" w:rsidRDefault="001C58F6" w:rsidP="001C58F6">
      <w:pPr>
        <w:pStyle w:val="FootnoteText"/>
        <w:ind w:firstLine="720"/>
        <w:jc w:val="both"/>
        <w:rPr>
          <w:rFonts w:asciiTheme="majorHAnsi" w:hAnsiTheme="majorHAnsi"/>
          <w:sz w:val="16"/>
          <w:szCs w:val="16"/>
          <w:lang w:val="es-US"/>
        </w:rPr>
      </w:pPr>
      <w:r w:rsidRPr="004D0E62">
        <w:rPr>
          <w:rStyle w:val="FootnoteReference"/>
          <w:rFonts w:asciiTheme="majorHAnsi" w:hAnsiTheme="majorHAnsi"/>
          <w:sz w:val="16"/>
          <w:szCs w:val="16"/>
        </w:rPr>
        <w:footnoteRef/>
      </w:r>
      <w:r w:rsidRPr="004D0E62">
        <w:rPr>
          <w:rFonts w:asciiTheme="majorHAnsi" w:hAnsiTheme="majorHAnsi"/>
          <w:sz w:val="16"/>
          <w:szCs w:val="16"/>
          <w:lang w:val="es-US"/>
        </w:rPr>
        <w:t xml:space="preserve"> Corte IDH. Caso Amrhein y otros Vs. Costa Rica. Excepciones Preliminares, Fondo, Reparaciones y Costas. Sentencia de 25 de abril de 2018. Serie C No. 354, párr. 48. </w:t>
      </w:r>
    </w:p>
  </w:footnote>
  <w:footnote w:id="11">
    <w:p w14:paraId="0B6FBEE2" w14:textId="77777777" w:rsidR="001C58F6" w:rsidRPr="008A508D" w:rsidRDefault="001C58F6" w:rsidP="001C58F6">
      <w:pPr>
        <w:pStyle w:val="FootnoteText"/>
        <w:ind w:firstLine="720"/>
        <w:jc w:val="both"/>
        <w:rPr>
          <w:lang w:val="es-US"/>
        </w:rPr>
      </w:pPr>
      <w:r w:rsidRPr="004D0E62">
        <w:rPr>
          <w:rStyle w:val="FootnoteReference"/>
          <w:rFonts w:asciiTheme="majorHAnsi" w:hAnsiTheme="majorHAnsi"/>
          <w:sz w:val="16"/>
          <w:szCs w:val="16"/>
        </w:rPr>
        <w:footnoteRef/>
      </w:r>
      <w:r w:rsidRPr="004D0E62">
        <w:rPr>
          <w:rFonts w:asciiTheme="majorHAnsi" w:hAnsiTheme="majorHAnsi"/>
          <w:sz w:val="16"/>
          <w:szCs w:val="16"/>
          <w:lang w:val="es-US"/>
        </w:rPr>
        <w:t xml:space="preserve"> Corte IDH. Caso Amrhein y otros Vs. Costa Rica. Excepciones Preliminares, Fondo, Reparaciones y Costas. Sentencia de 25 de abril de 2018. Serie C No. 354</w:t>
      </w:r>
      <w:r>
        <w:rPr>
          <w:rFonts w:asciiTheme="majorHAnsi" w:hAnsiTheme="majorHAnsi"/>
          <w:sz w:val="16"/>
          <w:szCs w:val="16"/>
          <w:lang w:val="es-US"/>
        </w:rPr>
        <w:t xml:space="preserve">, párr. 265. </w:t>
      </w:r>
    </w:p>
  </w:footnote>
  <w:footnote w:id="12">
    <w:p w14:paraId="58FA9D58" w14:textId="77777777" w:rsidR="001C58F6" w:rsidRPr="00EE7817" w:rsidRDefault="001C58F6" w:rsidP="001C58F6">
      <w:pPr>
        <w:pStyle w:val="FootnoteText"/>
        <w:ind w:firstLine="720"/>
        <w:jc w:val="both"/>
        <w:rPr>
          <w:rFonts w:asciiTheme="majorHAnsi" w:hAnsiTheme="majorHAnsi"/>
          <w:sz w:val="16"/>
          <w:szCs w:val="16"/>
          <w:lang w:val="es-US"/>
        </w:rPr>
      </w:pPr>
      <w:r w:rsidRPr="00EE7817">
        <w:rPr>
          <w:rStyle w:val="FootnoteReference"/>
          <w:rFonts w:asciiTheme="majorHAnsi" w:hAnsiTheme="majorHAnsi"/>
          <w:sz w:val="16"/>
          <w:szCs w:val="16"/>
        </w:rPr>
        <w:footnoteRef/>
      </w:r>
      <w:r w:rsidRPr="0008546F">
        <w:rPr>
          <w:rFonts w:asciiTheme="majorHAnsi" w:hAnsiTheme="majorHAnsi"/>
          <w:sz w:val="16"/>
          <w:szCs w:val="16"/>
          <w:lang w:val="pt-BR"/>
        </w:rPr>
        <w:t xml:space="preserve"> Corte IDH. Caso Herrera Ulloa Vs. </w:t>
      </w:r>
      <w:r w:rsidRPr="00EE7817">
        <w:rPr>
          <w:rFonts w:asciiTheme="majorHAnsi" w:hAnsiTheme="majorHAnsi"/>
          <w:sz w:val="16"/>
          <w:szCs w:val="16"/>
          <w:lang w:val="es-US"/>
        </w:rPr>
        <w:t>Costa Rica. Supervisión de Cumplimiento de Sentencia. Resolución de la Corte Interamericana de Derechos Humanos de 22 de noviembre de 2010</w:t>
      </w:r>
      <w:r>
        <w:rPr>
          <w:rFonts w:asciiTheme="majorHAnsi" w:hAnsiTheme="majorHAnsi"/>
          <w:sz w:val="16"/>
          <w:szCs w:val="16"/>
          <w:lang w:val="es-US"/>
        </w:rPr>
        <w:t xml:space="preserve">, párr. 16. </w:t>
      </w:r>
    </w:p>
  </w:footnote>
  <w:footnote w:id="13">
    <w:p w14:paraId="2173307B" w14:textId="77777777" w:rsidR="001C58F6" w:rsidRPr="00735708" w:rsidRDefault="001C58F6" w:rsidP="001C58F6">
      <w:pPr>
        <w:pStyle w:val="FootnoteText"/>
        <w:ind w:firstLine="720"/>
        <w:jc w:val="both"/>
        <w:rPr>
          <w:rFonts w:ascii="Cambria" w:hAnsi="Cambria"/>
          <w:sz w:val="16"/>
          <w:szCs w:val="16"/>
          <w:lang w:val="es-AR"/>
        </w:rPr>
      </w:pPr>
      <w:r w:rsidRPr="00FA73F6">
        <w:rPr>
          <w:rStyle w:val="FootnoteReference"/>
          <w:rFonts w:ascii="Cambria" w:hAnsi="Cambria"/>
          <w:sz w:val="16"/>
          <w:szCs w:val="16"/>
        </w:rPr>
        <w:footnoteRef/>
      </w:r>
      <w:r w:rsidRPr="00FA73F6">
        <w:rPr>
          <w:rFonts w:ascii="Cambria" w:hAnsi="Cambria"/>
          <w:sz w:val="16"/>
          <w:szCs w:val="16"/>
          <w:lang w:val="es-US"/>
        </w:rPr>
        <w:t xml:space="preserve"> </w:t>
      </w:r>
      <w:r w:rsidRPr="00FA73F6">
        <w:rPr>
          <w:rFonts w:ascii="Cambria" w:hAnsi="Cambria"/>
          <w:sz w:val="16"/>
          <w:szCs w:val="16"/>
          <w:lang w:val="es-ES"/>
        </w:rPr>
        <w:t xml:space="preserve">CIDH. Informe No. 33/14. Caso 12.820. Fondo. Manfred Amrhein y otros. Costa Rica. 4 de abril de 2014. Párr. 217 a 220. </w:t>
      </w:r>
    </w:p>
  </w:footnote>
  <w:footnote w:id="14">
    <w:p w14:paraId="5B17ADA8" w14:textId="77777777" w:rsidR="001C58F6" w:rsidRPr="00CE3C79" w:rsidRDefault="001C58F6" w:rsidP="001C58F6">
      <w:pPr>
        <w:pStyle w:val="FootnoteText"/>
        <w:ind w:firstLine="720"/>
        <w:jc w:val="both"/>
        <w:rPr>
          <w:sz w:val="16"/>
          <w:szCs w:val="16"/>
          <w:lang w:val="es-US"/>
        </w:rPr>
      </w:pPr>
      <w:r w:rsidRPr="00FA73F6">
        <w:rPr>
          <w:rStyle w:val="FootnoteReference"/>
          <w:rFonts w:ascii="Cambria" w:hAnsi="Cambria"/>
          <w:sz w:val="16"/>
          <w:szCs w:val="16"/>
        </w:rPr>
        <w:footnoteRef/>
      </w:r>
      <w:r w:rsidRPr="00735708">
        <w:rPr>
          <w:rFonts w:ascii="Cambria" w:hAnsi="Cambria"/>
          <w:sz w:val="16"/>
          <w:szCs w:val="16"/>
          <w:lang w:val="es-AR"/>
        </w:rPr>
        <w:t xml:space="preserve"> </w:t>
      </w:r>
      <w:r w:rsidRPr="00FA73F6">
        <w:rPr>
          <w:rFonts w:ascii="Cambria" w:hAnsi="Cambria"/>
          <w:bCs/>
          <w:sz w:val="16"/>
          <w:szCs w:val="16"/>
          <w:shd w:val="clear" w:color="auto" w:fill="FFFFFF"/>
          <w:lang w:val="es-ES"/>
        </w:rPr>
        <w:t xml:space="preserve">Corte IDH. </w:t>
      </w:r>
      <w:r w:rsidRPr="00FA73F6">
        <w:rPr>
          <w:rFonts w:ascii="Cambria" w:hAnsi="Cambria"/>
          <w:bCs/>
          <w:i/>
          <w:sz w:val="16"/>
          <w:szCs w:val="16"/>
          <w:shd w:val="clear" w:color="auto" w:fill="FFFFFF"/>
          <w:lang w:val="es-ES"/>
        </w:rPr>
        <w:t>Caso Amrhein y otros Vs. Costa Rica</w:t>
      </w:r>
      <w:r w:rsidRPr="00FA73F6">
        <w:rPr>
          <w:rFonts w:ascii="Cambria" w:hAnsi="Cambria"/>
          <w:bCs/>
          <w:sz w:val="16"/>
          <w:szCs w:val="16"/>
          <w:shd w:val="clear" w:color="auto" w:fill="FFFFFF"/>
          <w:lang w:val="es-ES"/>
        </w:rPr>
        <w:t xml:space="preserve">. Excepciones Preliminares, Fondo, Reparaciones y Costas. </w:t>
      </w:r>
      <w:r w:rsidRPr="00CE3C79">
        <w:rPr>
          <w:rFonts w:ascii="Cambria" w:hAnsi="Cambria"/>
          <w:bCs/>
          <w:sz w:val="16"/>
          <w:szCs w:val="16"/>
          <w:shd w:val="clear" w:color="auto" w:fill="FFFFFF"/>
          <w:lang w:val="es-US"/>
        </w:rPr>
        <w:t>Sentencia de 25 de abril de 2018. Serie C No. 354. Párr. 260.</w:t>
      </w:r>
    </w:p>
  </w:footnote>
  <w:footnote w:id="15">
    <w:p w14:paraId="366DF11B" w14:textId="77777777" w:rsidR="001C58F6" w:rsidRPr="00C70A03" w:rsidRDefault="001C58F6" w:rsidP="001C58F6">
      <w:pPr>
        <w:pStyle w:val="FootnoteText"/>
        <w:ind w:firstLine="720"/>
        <w:jc w:val="both"/>
        <w:rPr>
          <w:rFonts w:asciiTheme="majorHAnsi" w:hAnsiTheme="majorHAnsi"/>
          <w:color w:val="auto"/>
          <w:sz w:val="16"/>
          <w:szCs w:val="16"/>
          <w:lang w:val="es-US"/>
        </w:rPr>
      </w:pPr>
      <w:r w:rsidRPr="00534D20">
        <w:rPr>
          <w:rStyle w:val="FootnoteReference"/>
          <w:rFonts w:ascii="Cambria" w:hAnsi="Cambria"/>
          <w:sz w:val="16"/>
          <w:szCs w:val="16"/>
          <w:lang w:val="es-ES"/>
        </w:rPr>
        <w:footnoteRef/>
      </w:r>
      <w:r w:rsidRPr="00534D20">
        <w:rPr>
          <w:rFonts w:ascii="Cambria" w:hAnsi="Cambria"/>
          <w:sz w:val="16"/>
          <w:szCs w:val="16"/>
          <w:lang w:val="es-ES"/>
        </w:rPr>
        <w:t xml:space="preserve"> </w:t>
      </w:r>
      <w:r w:rsidRPr="00534D20">
        <w:rPr>
          <w:rFonts w:ascii="Cambria" w:hAnsi="Cambria"/>
          <w:bCs/>
          <w:sz w:val="16"/>
          <w:szCs w:val="16"/>
          <w:shd w:val="clear" w:color="auto" w:fill="FFFFFF"/>
          <w:lang w:val="es-ES"/>
        </w:rPr>
        <w:t xml:space="preserve">Corte IDH. </w:t>
      </w:r>
      <w:r w:rsidRPr="00534D20">
        <w:rPr>
          <w:rFonts w:ascii="Cambria" w:hAnsi="Cambria"/>
          <w:bCs/>
          <w:i/>
          <w:sz w:val="16"/>
          <w:szCs w:val="16"/>
          <w:shd w:val="clear" w:color="auto" w:fill="FFFFFF"/>
          <w:lang w:val="es-ES"/>
        </w:rPr>
        <w:t>Caso Amrhein y otros Vs. Costa Rica</w:t>
      </w:r>
      <w:r w:rsidRPr="00534D20">
        <w:rPr>
          <w:rFonts w:ascii="Cambria" w:hAnsi="Cambria"/>
          <w:bCs/>
          <w:sz w:val="16"/>
          <w:szCs w:val="16"/>
          <w:shd w:val="clear" w:color="auto" w:fill="FFFFFF"/>
          <w:lang w:val="es-ES"/>
        </w:rPr>
        <w:t xml:space="preserve">. Excepciones Preliminares, Fondo, Reparaciones y Costas. Sentencia de 25 de abril de </w:t>
      </w:r>
      <w:r w:rsidRPr="00090967">
        <w:rPr>
          <w:rFonts w:ascii="Cambria" w:hAnsi="Cambria"/>
          <w:bCs/>
          <w:sz w:val="16"/>
          <w:szCs w:val="16"/>
          <w:shd w:val="clear" w:color="auto" w:fill="FFFFFF"/>
          <w:lang w:val="es-ES"/>
        </w:rPr>
        <w:t xml:space="preserve">2018. Serie </w:t>
      </w:r>
      <w:r w:rsidRPr="0013395A">
        <w:rPr>
          <w:rFonts w:asciiTheme="majorHAnsi" w:hAnsiTheme="majorHAnsi"/>
          <w:bCs/>
          <w:sz w:val="16"/>
          <w:szCs w:val="16"/>
          <w:shd w:val="clear" w:color="auto" w:fill="FFFFFF"/>
          <w:lang w:val="es-ES"/>
        </w:rPr>
        <w:t xml:space="preserve">C No. 354. Párr. </w:t>
      </w:r>
      <w:r w:rsidRPr="00C70A03">
        <w:rPr>
          <w:rFonts w:asciiTheme="majorHAnsi" w:hAnsiTheme="majorHAnsi"/>
          <w:bCs/>
          <w:color w:val="auto"/>
          <w:sz w:val="16"/>
          <w:szCs w:val="16"/>
          <w:shd w:val="clear" w:color="auto" w:fill="FFFFFF"/>
          <w:lang w:val="es-ES"/>
        </w:rPr>
        <w:t xml:space="preserve">266. </w:t>
      </w:r>
    </w:p>
  </w:footnote>
  <w:footnote w:id="16">
    <w:p w14:paraId="0BA05D56" w14:textId="77777777" w:rsidR="005C17E9" w:rsidRPr="00C70A03" w:rsidRDefault="005C17E9" w:rsidP="005C17E9">
      <w:pPr>
        <w:pStyle w:val="FootnoteText"/>
        <w:ind w:firstLine="720"/>
        <w:rPr>
          <w:color w:val="auto"/>
          <w:lang w:val="es-US"/>
        </w:rPr>
      </w:pPr>
      <w:r w:rsidRPr="00C70A03">
        <w:rPr>
          <w:rStyle w:val="FootnoteReference"/>
          <w:rFonts w:asciiTheme="majorHAnsi" w:hAnsiTheme="majorHAnsi"/>
          <w:color w:val="auto"/>
          <w:sz w:val="16"/>
          <w:szCs w:val="16"/>
        </w:rPr>
        <w:footnoteRef/>
      </w:r>
      <w:r w:rsidRPr="00C70A03">
        <w:rPr>
          <w:rFonts w:asciiTheme="majorHAnsi" w:hAnsiTheme="majorHAnsi"/>
          <w:color w:val="auto"/>
          <w:sz w:val="16"/>
          <w:szCs w:val="16"/>
          <w:lang w:val="es-US"/>
        </w:rPr>
        <w:t xml:space="preserve"> CIDH, Informe No. 35/16, Petición 4480-02. Admisibilidad. Carlos Manuel Veraza Ustusuástegui. México. 29 de julio de 2016, párr. 33.</w:t>
      </w:r>
    </w:p>
  </w:footnote>
  <w:footnote w:id="17">
    <w:p w14:paraId="464277D0" w14:textId="77777777" w:rsidR="00A8414A" w:rsidRPr="00C70A03" w:rsidRDefault="00A8414A" w:rsidP="00A8414A">
      <w:pPr>
        <w:ind w:firstLine="720"/>
        <w:jc w:val="both"/>
        <w:rPr>
          <w:rFonts w:asciiTheme="majorHAnsi" w:hAnsiTheme="majorHAnsi"/>
          <w:sz w:val="16"/>
          <w:szCs w:val="16"/>
          <w:lang w:val="es-PE"/>
        </w:rPr>
      </w:pPr>
      <w:r w:rsidRPr="00C70A03">
        <w:rPr>
          <w:rStyle w:val="FootnoteReference"/>
          <w:rFonts w:asciiTheme="majorHAnsi" w:hAnsiTheme="majorHAnsi"/>
          <w:sz w:val="16"/>
          <w:szCs w:val="16"/>
          <w:lang w:val="es-PE"/>
        </w:rPr>
        <w:footnoteRef/>
      </w:r>
      <w:r w:rsidRPr="0008546F">
        <w:rPr>
          <w:rFonts w:asciiTheme="majorHAnsi" w:hAnsiTheme="majorHAnsi"/>
          <w:sz w:val="16"/>
          <w:szCs w:val="16"/>
          <w:lang w:val="pt-BR"/>
        </w:rPr>
        <w:t xml:space="preserve"> </w:t>
      </w:r>
      <w:r w:rsidRPr="0008546F">
        <w:rPr>
          <w:rFonts w:asciiTheme="majorHAnsi" w:hAnsiTheme="majorHAnsi"/>
          <w:bCs/>
          <w:sz w:val="16"/>
          <w:szCs w:val="16"/>
          <w:shd w:val="clear" w:color="auto" w:fill="FFFFFF"/>
          <w:lang w:val="pt-BR"/>
        </w:rPr>
        <w:t xml:space="preserve">Corte IDH. Caso Herrera Ulloa Vs. </w:t>
      </w:r>
      <w:r w:rsidRPr="00C70A03">
        <w:rPr>
          <w:rFonts w:asciiTheme="majorHAnsi" w:hAnsiTheme="majorHAnsi"/>
          <w:bCs/>
          <w:sz w:val="16"/>
          <w:szCs w:val="16"/>
          <w:shd w:val="clear" w:color="auto" w:fill="FFFFFF"/>
          <w:lang w:val="es-PE"/>
        </w:rPr>
        <w:t xml:space="preserve">Costa Rica. Excepciones Preliminares, Fondo, Reparaciones y Costas. Sentencia de 2 de julio de 2004. Serie C No. 107. Párr. 158 a 161; Corte IDH. Caso Mendoza y otros Vs. Argentina. Excepciones Preliminares, Fondo y Reparaciones. Sentencia de 14 de mayo de 2013. Serie C No. 260. Párr. 242. </w:t>
      </w:r>
      <w:r w:rsidRPr="00C70A03">
        <w:rPr>
          <w:rFonts w:asciiTheme="majorHAnsi" w:hAnsiTheme="majorHAnsi"/>
          <w:sz w:val="16"/>
          <w:szCs w:val="16"/>
          <w:lang w:val="es-PE"/>
        </w:rPr>
        <w:t xml:space="preserve"> </w:t>
      </w:r>
    </w:p>
  </w:footnote>
  <w:footnote w:id="18">
    <w:p w14:paraId="7EFB4917" w14:textId="77777777" w:rsidR="00A8414A" w:rsidRPr="00F33ACC" w:rsidRDefault="00A8414A" w:rsidP="00A8414A">
      <w:pPr>
        <w:pStyle w:val="NormalWeb"/>
        <w:ind w:firstLine="720"/>
        <w:jc w:val="both"/>
        <w:rPr>
          <w:rFonts w:asciiTheme="majorHAnsi" w:hAnsiTheme="majorHAnsi"/>
          <w:sz w:val="16"/>
          <w:szCs w:val="16"/>
          <w:lang w:val="es-PE"/>
        </w:rPr>
      </w:pPr>
      <w:r w:rsidRPr="00C70A03">
        <w:rPr>
          <w:rStyle w:val="FootnoteReference"/>
          <w:rFonts w:asciiTheme="majorHAnsi" w:eastAsia="Trebuchet MS" w:hAnsiTheme="majorHAnsi"/>
          <w:sz w:val="16"/>
          <w:szCs w:val="16"/>
          <w:lang w:val="es-PE"/>
        </w:rPr>
        <w:footnoteRef/>
      </w:r>
      <w:r w:rsidRPr="00C70A03">
        <w:rPr>
          <w:rFonts w:asciiTheme="majorHAnsi" w:hAnsiTheme="majorHAnsi"/>
          <w:sz w:val="16"/>
          <w:szCs w:val="16"/>
          <w:lang w:val="es-PE"/>
        </w:rPr>
        <w:t xml:space="preserve"> </w:t>
      </w:r>
      <w:r w:rsidRPr="00C70A03">
        <w:rPr>
          <w:rFonts w:asciiTheme="majorHAnsi" w:hAnsiTheme="majorHAnsi" w:cs="Calibri"/>
          <w:sz w:val="16"/>
          <w:szCs w:val="16"/>
          <w:lang w:val="es-PE"/>
        </w:rPr>
        <w:t xml:space="preserve">Corte IDH., </w:t>
      </w:r>
      <w:r w:rsidRPr="00C70A03">
        <w:rPr>
          <w:rFonts w:asciiTheme="majorHAnsi" w:hAnsiTheme="majorHAnsi" w:cs="Calibri"/>
          <w:iCs/>
          <w:sz w:val="16"/>
          <w:szCs w:val="16"/>
          <w:lang w:val="es-PE"/>
        </w:rPr>
        <w:t>Caso Herrera Ulloa Vs. Costa Rica</w:t>
      </w:r>
      <w:r w:rsidRPr="00C70A03">
        <w:rPr>
          <w:rFonts w:asciiTheme="majorHAnsi" w:hAnsiTheme="majorHAnsi" w:cs="Calibri"/>
          <w:sz w:val="16"/>
          <w:szCs w:val="16"/>
          <w:lang w:val="es-PE"/>
        </w:rPr>
        <w:t xml:space="preserve">. Sentencia de Excepciones Preliminares, Fondo, Reparaciones y Costas. 2 de julio de 2004. Serie C No. 107, párr. 165; ONU, Comité́ de Derechos Humanos. </w:t>
      </w:r>
      <w:r w:rsidRPr="00C70A03">
        <w:rPr>
          <w:rFonts w:asciiTheme="majorHAnsi" w:hAnsiTheme="majorHAnsi" w:cs="Calibri"/>
          <w:iCs/>
          <w:sz w:val="16"/>
          <w:szCs w:val="16"/>
          <w:lang w:val="es-PE"/>
        </w:rPr>
        <w:t>Gómez Vázquez v. España</w:t>
      </w:r>
      <w:r w:rsidRPr="00C70A03">
        <w:rPr>
          <w:rFonts w:asciiTheme="majorHAnsi" w:hAnsiTheme="majorHAnsi" w:cs="Calibri"/>
          <w:sz w:val="16"/>
          <w:szCs w:val="16"/>
          <w:lang w:val="es-PE"/>
        </w:rPr>
        <w:t xml:space="preserve">. Comunicación No. 701/1996. Decisión de 11 de agosto de 2000, párr. 11.1. </w:t>
      </w:r>
    </w:p>
  </w:footnote>
  <w:footnote w:id="19">
    <w:p w14:paraId="092FF217" w14:textId="77777777" w:rsidR="00A8414A" w:rsidRPr="00F33ACC" w:rsidRDefault="00A8414A" w:rsidP="00A8414A">
      <w:pPr>
        <w:pStyle w:val="FootnoteText"/>
        <w:ind w:firstLine="720"/>
        <w:jc w:val="both"/>
        <w:rPr>
          <w:rFonts w:asciiTheme="majorHAnsi" w:hAnsiTheme="majorHAnsi"/>
          <w:sz w:val="16"/>
          <w:szCs w:val="16"/>
          <w:lang w:val="es-PE"/>
        </w:rPr>
      </w:pPr>
      <w:r w:rsidRPr="00F33ACC">
        <w:rPr>
          <w:rStyle w:val="FootnoteReference"/>
          <w:rFonts w:asciiTheme="majorHAnsi" w:hAnsiTheme="majorHAnsi"/>
          <w:sz w:val="16"/>
          <w:szCs w:val="16"/>
          <w:lang w:val="es-PE"/>
        </w:rPr>
        <w:footnoteRef/>
      </w:r>
      <w:r w:rsidRPr="0008546F">
        <w:rPr>
          <w:rFonts w:asciiTheme="majorHAnsi" w:hAnsiTheme="majorHAnsi"/>
          <w:sz w:val="16"/>
          <w:szCs w:val="16"/>
          <w:lang w:val="pt-BR"/>
        </w:rPr>
        <w:t xml:space="preserve"> Corte IDH., </w:t>
      </w:r>
      <w:r w:rsidRPr="0008546F">
        <w:rPr>
          <w:rFonts w:asciiTheme="majorHAnsi" w:hAnsiTheme="majorHAnsi"/>
          <w:iCs/>
          <w:sz w:val="16"/>
          <w:szCs w:val="16"/>
          <w:lang w:val="pt-BR"/>
        </w:rPr>
        <w:t xml:space="preserve">Caso Herrera Ulloa Vs. </w:t>
      </w:r>
      <w:r w:rsidRPr="00F33ACC">
        <w:rPr>
          <w:rFonts w:asciiTheme="majorHAnsi" w:hAnsiTheme="majorHAnsi"/>
          <w:iCs/>
          <w:sz w:val="16"/>
          <w:szCs w:val="16"/>
          <w:lang w:val="es-PE"/>
        </w:rPr>
        <w:t>Costa Rica</w:t>
      </w:r>
      <w:r w:rsidRPr="00F33ACC">
        <w:rPr>
          <w:rFonts w:asciiTheme="majorHAnsi" w:hAnsiTheme="majorHAnsi"/>
          <w:sz w:val="16"/>
          <w:szCs w:val="16"/>
          <w:lang w:val="es-PE"/>
        </w:rPr>
        <w:t>. Sentencia de Excepciones Preliminares, Fondo, Reparaciones y Costas. 2 de julio de 2004. Serie C No. 107, párr. 158</w:t>
      </w:r>
    </w:p>
  </w:footnote>
  <w:footnote w:id="20">
    <w:p w14:paraId="0F672437" w14:textId="77777777" w:rsidR="00A8414A" w:rsidRPr="000F51B7" w:rsidRDefault="00A8414A" w:rsidP="00A8414A">
      <w:pPr>
        <w:pStyle w:val="FootnoteText"/>
        <w:ind w:firstLine="720"/>
        <w:jc w:val="both"/>
        <w:rPr>
          <w:rFonts w:asciiTheme="majorHAnsi" w:hAnsiTheme="majorHAnsi"/>
          <w:sz w:val="16"/>
          <w:szCs w:val="16"/>
          <w:lang w:val="es-PE"/>
        </w:rPr>
      </w:pPr>
      <w:r w:rsidRPr="00F33ACC">
        <w:rPr>
          <w:rStyle w:val="FootnoteReference"/>
          <w:rFonts w:asciiTheme="majorHAnsi" w:hAnsiTheme="majorHAnsi"/>
          <w:sz w:val="16"/>
          <w:szCs w:val="16"/>
          <w:lang w:val="es-PE"/>
        </w:rPr>
        <w:footnoteRef/>
      </w:r>
      <w:r w:rsidRPr="0008546F">
        <w:rPr>
          <w:rFonts w:asciiTheme="majorHAnsi" w:hAnsiTheme="majorHAnsi"/>
          <w:sz w:val="16"/>
          <w:szCs w:val="16"/>
          <w:lang w:val="pt-BR"/>
        </w:rPr>
        <w:t xml:space="preserve"> Corte IDH. </w:t>
      </w:r>
      <w:r w:rsidRPr="0008546F">
        <w:rPr>
          <w:rFonts w:asciiTheme="majorHAnsi" w:hAnsiTheme="majorHAnsi"/>
          <w:iCs/>
          <w:sz w:val="16"/>
          <w:szCs w:val="16"/>
          <w:lang w:val="pt-BR"/>
        </w:rPr>
        <w:t xml:space="preserve">Caso Barreto Leiva Vs. </w:t>
      </w:r>
      <w:r w:rsidRPr="000F51B7">
        <w:rPr>
          <w:rFonts w:asciiTheme="majorHAnsi" w:hAnsiTheme="majorHAnsi"/>
          <w:iCs/>
          <w:sz w:val="16"/>
          <w:szCs w:val="16"/>
          <w:lang w:val="es-PE"/>
        </w:rPr>
        <w:t xml:space="preserve">Venezuela. </w:t>
      </w:r>
      <w:r w:rsidRPr="000F51B7">
        <w:rPr>
          <w:rFonts w:asciiTheme="majorHAnsi" w:hAnsiTheme="majorHAnsi"/>
          <w:sz w:val="16"/>
          <w:szCs w:val="16"/>
          <w:lang w:val="es-PE"/>
        </w:rPr>
        <w:t>Sentencia de Fondo, Reparaciones y Costas 17 de noviembre de 2009. Serie C No. 206</w:t>
      </w:r>
      <w:r w:rsidRPr="000F51B7">
        <w:rPr>
          <w:rFonts w:asciiTheme="majorHAnsi" w:hAnsiTheme="majorHAnsi"/>
          <w:iCs/>
          <w:sz w:val="16"/>
          <w:szCs w:val="16"/>
          <w:lang w:val="es-PE"/>
        </w:rPr>
        <w:t xml:space="preserve">, </w:t>
      </w:r>
      <w:r w:rsidRPr="000F51B7">
        <w:rPr>
          <w:rFonts w:asciiTheme="majorHAnsi" w:hAnsiTheme="majorHAnsi"/>
          <w:sz w:val="16"/>
          <w:szCs w:val="16"/>
          <w:lang w:val="es-PE"/>
        </w:rPr>
        <w:t>párr. 90.</w:t>
      </w:r>
    </w:p>
  </w:footnote>
  <w:footnote w:id="21">
    <w:p w14:paraId="02E50CE1" w14:textId="77777777" w:rsidR="00A8414A" w:rsidRPr="000F51B7" w:rsidRDefault="00A8414A" w:rsidP="00A8414A">
      <w:pPr>
        <w:pStyle w:val="FootnoteText"/>
        <w:ind w:firstLine="720"/>
        <w:jc w:val="both"/>
        <w:rPr>
          <w:rFonts w:asciiTheme="majorHAnsi" w:hAnsiTheme="majorHAnsi"/>
          <w:sz w:val="16"/>
          <w:szCs w:val="16"/>
          <w:lang w:val="es-PE"/>
        </w:rPr>
      </w:pPr>
      <w:r w:rsidRPr="000F51B7">
        <w:rPr>
          <w:rStyle w:val="FootnoteReference"/>
          <w:rFonts w:asciiTheme="majorHAnsi" w:hAnsiTheme="majorHAnsi"/>
          <w:sz w:val="16"/>
          <w:szCs w:val="16"/>
          <w:lang w:val="es-PE"/>
        </w:rPr>
        <w:footnoteRef/>
      </w:r>
      <w:r w:rsidRPr="000F51B7">
        <w:rPr>
          <w:rFonts w:asciiTheme="majorHAnsi" w:hAnsiTheme="majorHAnsi"/>
          <w:sz w:val="16"/>
          <w:szCs w:val="16"/>
          <w:lang w:val="es-PE"/>
        </w:rPr>
        <w:t xml:space="preserve"> </w:t>
      </w:r>
      <w:r w:rsidRPr="00BA21B3">
        <w:rPr>
          <w:rStyle w:val="Strong"/>
          <w:rFonts w:asciiTheme="majorHAnsi" w:eastAsia="Cambria" w:hAnsiTheme="majorHAnsi"/>
          <w:b w:val="0"/>
          <w:bCs w:val="0"/>
          <w:sz w:val="16"/>
          <w:szCs w:val="16"/>
          <w:shd w:val="clear" w:color="auto" w:fill="FFFFFF"/>
          <w:lang w:val="es-PE"/>
        </w:rPr>
        <w:t>Corte IDH.</w:t>
      </w:r>
      <w:r w:rsidRPr="000F51B7">
        <w:rPr>
          <w:rStyle w:val="Strong"/>
          <w:rFonts w:asciiTheme="majorHAnsi" w:eastAsia="Cambria" w:hAnsiTheme="majorHAnsi"/>
          <w:sz w:val="16"/>
          <w:szCs w:val="16"/>
          <w:shd w:val="clear" w:color="auto" w:fill="FFFFFF"/>
          <w:lang w:val="es-PE"/>
        </w:rPr>
        <w:t xml:space="preserve"> </w:t>
      </w:r>
      <w:r w:rsidRPr="000F51B7">
        <w:rPr>
          <w:rFonts w:asciiTheme="majorHAnsi" w:hAnsiTheme="majorHAnsi"/>
          <w:sz w:val="16"/>
          <w:szCs w:val="16"/>
          <w:shd w:val="clear" w:color="auto" w:fill="FFFFFF"/>
          <w:lang w:val="es-PE"/>
        </w:rPr>
        <w:t>Caso Amrhein y otros Vs. Costa Rica. Excepciones Preliminares, Fondo, Reparaciones y Costas. Sentencia de 25 de abril de 2018. Serie C No. 354. Párr. 272 a 274.</w:t>
      </w:r>
    </w:p>
  </w:footnote>
  <w:footnote w:id="22">
    <w:p w14:paraId="282BBE60" w14:textId="77777777" w:rsidR="00A8414A" w:rsidRPr="000F51B7" w:rsidRDefault="00A8414A" w:rsidP="00A8414A">
      <w:pPr>
        <w:pStyle w:val="FootnoteText"/>
        <w:ind w:firstLine="720"/>
        <w:jc w:val="both"/>
        <w:rPr>
          <w:lang w:val="es-US"/>
        </w:rPr>
      </w:pPr>
      <w:r w:rsidRPr="000F51B7">
        <w:rPr>
          <w:rStyle w:val="FootnoteReference"/>
          <w:rFonts w:asciiTheme="majorHAnsi" w:hAnsiTheme="majorHAnsi"/>
          <w:sz w:val="16"/>
          <w:szCs w:val="16"/>
          <w:lang w:val="es-PE"/>
        </w:rPr>
        <w:footnoteRef/>
      </w:r>
      <w:r w:rsidRPr="000F51B7">
        <w:rPr>
          <w:rFonts w:asciiTheme="majorHAnsi" w:hAnsiTheme="majorHAnsi"/>
          <w:sz w:val="16"/>
          <w:szCs w:val="16"/>
          <w:lang w:val="es-PE"/>
        </w:rPr>
        <w:t xml:space="preserve"> </w:t>
      </w:r>
      <w:r w:rsidRPr="00BA21B3">
        <w:rPr>
          <w:rStyle w:val="Strong"/>
          <w:rFonts w:asciiTheme="majorHAnsi" w:eastAsia="Cambria" w:hAnsiTheme="majorHAnsi"/>
          <w:b w:val="0"/>
          <w:bCs w:val="0"/>
          <w:sz w:val="16"/>
          <w:szCs w:val="16"/>
          <w:shd w:val="clear" w:color="auto" w:fill="FFFFFF"/>
          <w:lang w:val="es-PE"/>
        </w:rPr>
        <w:t xml:space="preserve">Corte IDH. Caso Norín Catrimán y otros (Dirigentes, Miembros y Activista del Pueblo Indígena Mapuche) Vs. Chile. Fondo, Reparaciones y Costas. Sentencia de 29 de mayo de 2014. Serie C No. 279. Párr. 270. </w:t>
      </w:r>
      <w:r w:rsidRPr="00BA21B3">
        <w:rPr>
          <w:rFonts w:asciiTheme="majorHAnsi" w:hAnsiTheme="majorHAnsi"/>
          <w:b/>
          <w:bCs/>
          <w:sz w:val="16"/>
          <w:szCs w:val="16"/>
          <w:lang w:val="es-PE"/>
        </w:rPr>
        <w:t xml:space="preserve"> </w:t>
      </w:r>
      <w:r w:rsidRPr="000F51B7">
        <w:rPr>
          <w:rFonts w:asciiTheme="majorHAnsi" w:hAnsiTheme="majorHAnsi"/>
          <w:b/>
          <w:bCs/>
          <w:sz w:val="16"/>
          <w:szCs w:val="16"/>
          <w:lang w:val="es-PE"/>
        </w:rPr>
        <w:t xml:space="preserve"> </w:t>
      </w:r>
    </w:p>
  </w:footnote>
  <w:footnote w:id="23">
    <w:p w14:paraId="313329EB" w14:textId="77777777" w:rsidR="00A8414A" w:rsidRPr="000F51B7" w:rsidRDefault="00A8414A" w:rsidP="00A8414A">
      <w:pPr>
        <w:pStyle w:val="FootnoteText"/>
        <w:jc w:val="both"/>
        <w:rPr>
          <w:rFonts w:ascii="Cambria" w:hAnsi="Cambria"/>
          <w:sz w:val="16"/>
          <w:szCs w:val="16"/>
          <w:lang w:val="es-AR"/>
        </w:rPr>
      </w:pPr>
      <w:r w:rsidRPr="000F51B7">
        <w:rPr>
          <w:rStyle w:val="FootnoteReference"/>
          <w:rFonts w:ascii="Cambria" w:hAnsi="Cambria"/>
          <w:sz w:val="16"/>
          <w:szCs w:val="16"/>
        </w:rPr>
        <w:footnoteRef/>
      </w:r>
      <w:r w:rsidRPr="000F51B7">
        <w:rPr>
          <w:rFonts w:ascii="Cambria" w:hAnsi="Cambria"/>
          <w:sz w:val="16"/>
          <w:szCs w:val="16"/>
          <w:lang w:val="es-AR"/>
        </w:rPr>
        <w:t xml:space="preserve"> CIDH. Informe No. 55/97. Caso 11.137. Fondo. Juan Carlos Abella. Argentina. 18 de noviembre de 1997. Párr. 261. </w:t>
      </w:r>
    </w:p>
  </w:footnote>
  <w:footnote w:id="24">
    <w:p w14:paraId="12DBD9F7" w14:textId="77777777" w:rsidR="00A8414A" w:rsidRPr="008B0B56" w:rsidRDefault="00A8414A" w:rsidP="00A8414A">
      <w:pPr>
        <w:pStyle w:val="NormalWeb"/>
        <w:jc w:val="both"/>
        <w:rPr>
          <w:rFonts w:ascii="Cambria" w:hAnsi="Cambria"/>
          <w:sz w:val="16"/>
          <w:szCs w:val="16"/>
          <w:lang w:val="es-ES"/>
        </w:rPr>
      </w:pPr>
      <w:r w:rsidRPr="000F51B7">
        <w:rPr>
          <w:rStyle w:val="FootnoteReference"/>
          <w:rFonts w:ascii="Cambria" w:eastAsia="Trebuchet MS" w:hAnsi="Cambria"/>
          <w:sz w:val="16"/>
          <w:szCs w:val="16"/>
          <w:lang w:val="es-ES"/>
        </w:rPr>
        <w:footnoteRef/>
      </w:r>
      <w:r w:rsidRPr="000F51B7">
        <w:rPr>
          <w:rFonts w:ascii="Cambria" w:hAnsi="Cambria"/>
          <w:sz w:val="16"/>
          <w:szCs w:val="16"/>
          <w:lang w:val="es-ES"/>
        </w:rPr>
        <w:t xml:space="preserve"> </w:t>
      </w:r>
      <w:r w:rsidRPr="000F51B7">
        <w:rPr>
          <w:rFonts w:ascii="Cambria" w:hAnsi="Cambria" w:cs="Calibri"/>
          <w:sz w:val="16"/>
          <w:szCs w:val="16"/>
          <w:lang w:val="es-ES"/>
        </w:rPr>
        <w:t>CIDH, Informe No. 172/10, Caso 12.561, Fondo, César Alberto Mendoza y otros (Prisión y reclusión perpetuas de adolescentes), Argentina, 2 de noviembre de 2010, párr. 189.</w:t>
      </w:r>
      <w:r w:rsidRPr="008B0B56">
        <w:rPr>
          <w:rFonts w:ascii="Cambria" w:hAnsi="Cambria" w:cs="Calibri"/>
          <w:sz w:val="16"/>
          <w:szCs w:val="16"/>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2B3248"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0"/>
  </w:num>
  <w:num w:numId="8" w16cid:durableId="2068602545">
    <w:abstractNumId w:val="23"/>
  </w:num>
  <w:num w:numId="9" w16cid:durableId="1616525600">
    <w:abstractNumId w:val="51"/>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8"/>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7"/>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49"/>
  </w:num>
  <w:num w:numId="85" w16cid:durableId="507405131">
    <w:abstractNumId w:val="52"/>
  </w:num>
  <w:num w:numId="86" w16cid:durableId="147091870">
    <w:abstractNumId w:val="55"/>
  </w:num>
  <w:num w:numId="87" w16cid:durableId="655454458">
    <w:abstractNumId w:val="57"/>
  </w:num>
  <w:num w:numId="88" w16cid:durableId="1812089391">
    <w:abstractNumId w:val="59"/>
  </w:num>
  <w:num w:numId="89" w16cid:durableId="515115365">
    <w:abstractNumId w:val="61"/>
  </w:num>
  <w:num w:numId="90" w16cid:durableId="1221944455">
    <w:abstractNumId w:val="62"/>
  </w:num>
  <w:num w:numId="91" w16cid:durableId="908535618">
    <w:abstractNumId w:val="63"/>
  </w:num>
  <w:num w:numId="92" w16cid:durableId="825898735">
    <w:abstractNumId w:val="64"/>
  </w:num>
  <w:num w:numId="93" w16cid:durableId="49690932">
    <w:abstractNumId w:val="66"/>
  </w:num>
  <w:num w:numId="94" w16cid:durableId="2095399920">
    <w:abstractNumId w:val="22"/>
  </w:num>
  <w:num w:numId="95" w16cid:durableId="1435326325">
    <w:abstractNumId w:val="44"/>
  </w:num>
  <w:num w:numId="96" w16cid:durableId="935866318">
    <w:abstractNumId w:val="56"/>
  </w:num>
  <w:num w:numId="97" w16cid:durableId="2089502159">
    <w:abstractNumId w:val="53"/>
  </w:num>
  <w:num w:numId="98" w16cid:durableId="749347125">
    <w:abstractNumId w:val="48"/>
  </w:num>
  <w:num w:numId="99" w16cid:durableId="456994649">
    <w:abstractNumId w:val="39"/>
  </w:num>
  <w:num w:numId="100" w16cid:durableId="378870339">
    <w:abstractNumId w:val="3"/>
  </w:num>
  <w:num w:numId="101" w16cid:durableId="1289773468">
    <w:abstractNumId w:val="27"/>
  </w:num>
  <w:num w:numId="102" w16cid:durableId="1186287539">
    <w:abstractNumId w:val="50"/>
  </w:num>
  <w:num w:numId="103" w16cid:durableId="1458334191">
    <w:abstractNumId w:val="6"/>
  </w:num>
  <w:num w:numId="104" w16cid:durableId="913318813">
    <w:abstractNumId w:val="65"/>
  </w:num>
  <w:num w:numId="105" w16cid:durableId="589050340">
    <w:abstractNumId w:val="54"/>
  </w:num>
  <w:num w:numId="106" w16cid:durableId="836576904">
    <w:abstractNumId w:val="4"/>
  </w:num>
  <w:num w:numId="107" w16cid:durableId="1173912010">
    <w:abstractNumId w:val="31"/>
  </w:num>
  <w:num w:numId="108" w16cid:durableId="2116440378">
    <w:abstractNumId w:val="14"/>
  </w:num>
  <w:num w:numId="109" w16cid:durableId="1694842942">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7"/>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337EF"/>
    <w:rsid w:val="00040C3A"/>
    <w:rsid w:val="000419AD"/>
    <w:rsid w:val="000433C9"/>
    <w:rsid w:val="00054613"/>
    <w:rsid w:val="000716C5"/>
    <w:rsid w:val="00072044"/>
    <w:rsid w:val="00075E23"/>
    <w:rsid w:val="00083070"/>
    <w:rsid w:val="0008546F"/>
    <w:rsid w:val="0009344A"/>
    <w:rsid w:val="0009657F"/>
    <w:rsid w:val="00096A43"/>
    <w:rsid w:val="000A392E"/>
    <w:rsid w:val="000A575F"/>
    <w:rsid w:val="000C618C"/>
    <w:rsid w:val="000D05CB"/>
    <w:rsid w:val="000D10DB"/>
    <w:rsid w:val="000D6F28"/>
    <w:rsid w:val="000E5EB5"/>
    <w:rsid w:val="000F02C5"/>
    <w:rsid w:val="000F35ED"/>
    <w:rsid w:val="00107131"/>
    <w:rsid w:val="0010736F"/>
    <w:rsid w:val="00113F73"/>
    <w:rsid w:val="00121CC2"/>
    <w:rsid w:val="00131425"/>
    <w:rsid w:val="00133E45"/>
    <w:rsid w:val="00133EE5"/>
    <w:rsid w:val="001674F6"/>
    <w:rsid w:val="00167A34"/>
    <w:rsid w:val="00183342"/>
    <w:rsid w:val="001937BB"/>
    <w:rsid w:val="001A5B88"/>
    <w:rsid w:val="001A7870"/>
    <w:rsid w:val="001B30BD"/>
    <w:rsid w:val="001B36E2"/>
    <w:rsid w:val="001B3A00"/>
    <w:rsid w:val="001C1B41"/>
    <w:rsid w:val="001C58F6"/>
    <w:rsid w:val="001D65EF"/>
    <w:rsid w:val="001E111C"/>
    <w:rsid w:val="001E2981"/>
    <w:rsid w:val="001E49E7"/>
    <w:rsid w:val="001F7201"/>
    <w:rsid w:val="00223A29"/>
    <w:rsid w:val="002250A3"/>
    <w:rsid w:val="00235217"/>
    <w:rsid w:val="00246D1F"/>
    <w:rsid w:val="00247403"/>
    <w:rsid w:val="00247542"/>
    <w:rsid w:val="00253744"/>
    <w:rsid w:val="00266B61"/>
    <w:rsid w:val="0026712A"/>
    <w:rsid w:val="002704DB"/>
    <w:rsid w:val="00287434"/>
    <w:rsid w:val="00287525"/>
    <w:rsid w:val="002A0AAE"/>
    <w:rsid w:val="002A362C"/>
    <w:rsid w:val="002A5820"/>
    <w:rsid w:val="002A6E67"/>
    <w:rsid w:val="002B3248"/>
    <w:rsid w:val="002C3AC7"/>
    <w:rsid w:val="002D2B26"/>
    <w:rsid w:val="002D7EA2"/>
    <w:rsid w:val="002E187C"/>
    <w:rsid w:val="002E59CE"/>
    <w:rsid w:val="00302733"/>
    <w:rsid w:val="00314078"/>
    <w:rsid w:val="0031535D"/>
    <w:rsid w:val="003201E5"/>
    <w:rsid w:val="003239B8"/>
    <w:rsid w:val="00325646"/>
    <w:rsid w:val="0033169F"/>
    <w:rsid w:val="003448D5"/>
    <w:rsid w:val="00344977"/>
    <w:rsid w:val="00346C95"/>
    <w:rsid w:val="00356185"/>
    <w:rsid w:val="00360380"/>
    <w:rsid w:val="0037519E"/>
    <w:rsid w:val="00381CAE"/>
    <w:rsid w:val="00386CF0"/>
    <w:rsid w:val="003B70FB"/>
    <w:rsid w:val="003C1544"/>
    <w:rsid w:val="003C676B"/>
    <w:rsid w:val="003D3BC2"/>
    <w:rsid w:val="003E6CA1"/>
    <w:rsid w:val="00405F9C"/>
    <w:rsid w:val="004065A8"/>
    <w:rsid w:val="004165C2"/>
    <w:rsid w:val="00441524"/>
    <w:rsid w:val="00441ECB"/>
    <w:rsid w:val="00445193"/>
    <w:rsid w:val="00462C1B"/>
    <w:rsid w:val="00463ABA"/>
    <w:rsid w:val="00467B7E"/>
    <w:rsid w:val="00473BB4"/>
    <w:rsid w:val="004740F6"/>
    <w:rsid w:val="0047435D"/>
    <w:rsid w:val="00477592"/>
    <w:rsid w:val="0048324B"/>
    <w:rsid w:val="00486F1C"/>
    <w:rsid w:val="0049419D"/>
    <w:rsid w:val="004A6A54"/>
    <w:rsid w:val="004B6A74"/>
    <w:rsid w:val="004C20D2"/>
    <w:rsid w:val="004C2312"/>
    <w:rsid w:val="004C4B62"/>
    <w:rsid w:val="004C54C9"/>
    <w:rsid w:val="004D4ABA"/>
    <w:rsid w:val="004D6025"/>
    <w:rsid w:val="004E2649"/>
    <w:rsid w:val="004F626F"/>
    <w:rsid w:val="004F66FF"/>
    <w:rsid w:val="00501399"/>
    <w:rsid w:val="005019D3"/>
    <w:rsid w:val="0050633D"/>
    <w:rsid w:val="00507BC4"/>
    <w:rsid w:val="005128E4"/>
    <w:rsid w:val="005133DB"/>
    <w:rsid w:val="00514504"/>
    <w:rsid w:val="005160DD"/>
    <w:rsid w:val="00521F14"/>
    <w:rsid w:val="00525560"/>
    <w:rsid w:val="005344F5"/>
    <w:rsid w:val="00540194"/>
    <w:rsid w:val="00544C49"/>
    <w:rsid w:val="005516A1"/>
    <w:rsid w:val="005559EF"/>
    <w:rsid w:val="005607EE"/>
    <w:rsid w:val="00562E20"/>
    <w:rsid w:val="00563557"/>
    <w:rsid w:val="0057402A"/>
    <w:rsid w:val="005771D0"/>
    <w:rsid w:val="00581547"/>
    <w:rsid w:val="00586563"/>
    <w:rsid w:val="0059191A"/>
    <w:rsid w:val="005921FF"/>
    <w:rsid w:val="005A24ED"/>
    <w:rsid w:val="005A63FA"/>
    <w:rsid w:val="005A6D0E"/>
    <w:rsid w:val="005A7A21"/>
    <w:rsid w:val="005B52B0"/>
    <w:rsid w:val="005B6806"/>
    <w:rsid w:val="005C17E9"/>
    <w:rsid w:val="005C4225"/>
    <w:rsid w:val="005D38F9"/>
    <w:rsid w:val="005E75C6"/>
    <w:rsid w:val="005F0DAD"/>
    <w:rsid w:val="005F0F33"/>
    <w:rsid w:val="005F5F97"/>
    <w:rsid w:val="00600DEB"/>
    <w:rsid w:val="00627C9F"/>
    <w:rsid w:val="006311E9"/>
    <w:rsid w:val="00632354"/>
    <w:rsid w:val="00635421"/>
    <w:rsid w:val="00642810"/>
    <w:rsid w:val="00652333"/>
    <w:rsid w:val="00665B99"/>
    <w:rsid w:val="0068009E"/>
    <w:rsid w:val="00692219"/>
    <w:rsid w:val="006A17D2"/>
    <w:rsid w:val="006A73E6"/>
    <w:rsid w:val="006B2D5C"/>
    <w:rsid w:val="006C4EB1"/>
    <w:rsid w:val="006E0166"/>
    <w:rsid w:val="006E2FFB"/>
    <w:rsid w:val="006E7B34"/>
    <w:rsid w:val="0070697F"/>
    <w:rsid w:val="0072199C"/>
    <w:rsid w:val="00722C9F"/>
    <w:rsid w:val="007253B8"/>
    <w:rsid w:val="0073741F"/>
    <w:rsid w:val="00742E50"/>
    <w:rsid w:val="0076643F"/>
    <w:rsid w:val="00773541"/>
    <w:rsid w:val="00777F63"/>
    <w:rsid w:val="007837CA"/>
    <w:rsid w:val="00792ADC"/>
    <w:rsid w:val="007948D3"/>
    <w:rsid w:val="007A5817"/>
    <w:rsid w:val="007B05C4"/>
    <w:rsid w:val="007B60E9"/>
    <w:rsid w:val="007B6CC3"/>
    <w:rsid w:val="007B76D3"/>
    <w:rsid w:val="007C0791"/>
    <w:rsid w:val="007C3334"/>
    <w:rsid w:val="007D2B98"/>
    <w:rsid w:val="007E21BC"/>
    <w:rsid w:val="007E7C82"/>
    <w:rsid w:val="007F2AA1"/>
    <w:rsid w:val="007F588D"/>
    <w:rsid w:val="00803F1C"/>
    <w:rsid w:val="0080600E"/>
    <w:rsid w:val="00814688"/>
    <w:rsid w:val="00817612"/>
    <w:rsid w:val="008338A4"/>
    <w:rsid w:val="00834D49"/>
    <w:rsid w:val="00837C45"/>
    <w:rsid w:val="00844730"/>
    <w:rsid w:val="008457C2"/>
    <w:rsid w:val="008479E7"/>
    <w:rsid w:val="00857A82"/>
    <w:rsid w:val="008603B7"/>
    <w:rsid w:val="0086130F"/>
    <w:rsid w:val="00867314"/>
    <w:rsid w:val="00872EB7"/>
    <w:rsid w:val="00873836"/>
    <w:rsid w:val="00885737"/>
    <w:rsid w:val="00890640"/>
    <w:rsid w:val="00890650"/>
    <w:rsid w:val="00897E12"/>
    <w:rsid w:val="008A7E0F"/>
    <w:rsid w:val="008B12F5"/>
    <w:rsid w:val="008C283F"/>
    <w:rsid w:val="008C5E2D"/>
    <w:rsid w:val="008D768D"/>
    <w:rsid w:val="008E3759"/>
    <w:rsid w:val="008E3BFE"/>
    <w:rsid w:val="008E62DC"/>
    <w:rsid w:val="008E7152"/>
    <w:rsid w:val="008F1912"/>
    <w:rsid w:val="008F3388"/>
    <w:rsid w:val="00901B70"/>
    <w:rsid w:val="0090270B"/>
    <w:rsid w:val="009041DC"/>
    <w:rsid w:val="00915DE0"/>
    <w:rsid w:val="00917B5A"/>
    <w:rsid w:val="00920A58"/>
    <w:rsid w:val="00920A8C"/>
    <w:rsid w:val="0092196C"/>
    <w:rsid w:val="00934A2C"/>
    <w:rsid w:val="00942085"/>
    <w:rsid w:val="00946994"/>
    <w:rsid w:val="009508A2"/>
    <w:rsid w:val="0095107E"/>
    <w:rsid w:val="00954934"/>
    <w:rsid w:val="0096706E"/>
    <w:rsid w:val="00974491"/>
    <w:rsid w:val="00975C4E"/>
    <w:rsid w:val="00981FBA"/>
    <w:rsid w:val="00993935"/>
    <w:rsid w:val="00997BC5"/>
    <w:rsid w:val="009A4F41"/>
    <w:rsid w:val="009B381B"/>
    <w:rsid w:val="009C2C8C"/>
    <w:rsid w:val="009D1753"/>
    <w:rsid w:val="009D7466"/>
    <w:rsid w:val="009D7611"/>
    <w:rsid w:val="009E0B61"/>
    <w:rsid w:val="009E53DE"/>
    <w:rsid w:val="00A07168"/>
    <w:rsid w:val="00A11212"/>
    <w:rsid w:val="00A11E44"/>
    <w:rsid w:val="00A30100"/>
    <w:rsid w:val="00A328B3"/>
    <w:rsid w:val="00A50FCF"/>
    <w:rsid w:val="00A528D1"/>
    <w:rsid w:val="00A610CD"/>
    <w:rsid w:val="00A64F5C"/>
    <w:rsid w:val="00A72690"/>
    <w:rsid w:val="00A731AE"/>
    <w:rsid w:val="00A758AA"/>
    <w:rsid w:val="00A8414A"/>
    <w:rsid w:val="00AA09A2"/>
    <w:rsid w:val="00AA7996"/>
    <w:rsid w:val="00AC19CB"/>
    <w:rsid w:val="00AC5EBD"/>
    <w:rsid w:val="00AE5488"/>
    <w:rsid w:val="00AE6F91"/>
    <w:rsid w:val="00AF283B"/>
    <w:rsid w:val="00AF5571"/>
    <w:rsid w:val="00B07341"/>
    <w:rsid w:val="00B07FF7"/>
    <w:rsid w:val="00B2060F"/>
    <w:rsid w:val="00B30539"/>
    <w:rsid w:val="00B314DB"/>
    <w:rsid w:val="00B33F7F"/>
    <w:rsid w:val="00B361F2"/>
    <w:rsid w:val="00B3718B"/>
    <w:rsid w:val="00B3745F"/>
    <w:rsid w:val="00B45C0E"/>
    <w:rsid w:val="00B4632A"/>
    <w:rsid w:val="00B530F1"/>
    <w:rsid w:val="00B73CB7"/>
    <w:rsid w:val="00B7527D"/>
    <w:rsid w:val="00B96F6B"/>
    <w:rsid w:val="00BA21B3"/>
    <w:rsid w:val="00BA276C"/>
    <w:rsid w:val="00BB306F"/>
    <w:rsid w:val="00BD3088"/>
    <w:rsid w:val="00BD4B89"/>
    <w:rsid w:val="00BD5922"/>
    <w:rsid w:val="00BF02CB"/>
    <w:rsid w:val="00BF6FD8"/>
    <w:rsid w:val="00C03680"/>
    <w:rsid w:val="00C054DF"/>
    <w:rsid w:val="00C21762"/>
    <w:rsid w:val="00C21FEF"/>
    <w:rsid w:val="00C23BA4"/>
    <w:rsid w:val="00C24543"/>
    <w:rsid w:val="00C256A2"/>
    <w:rsid w:val="00C25ADB"/>
    <w:rsid w:val="00C430BC"/>
    <w:rsid w:val="00C51515"/>
    <w:rsid w:val="00C5660B"/>
    <w:rsid w:val="00C66B72"/>
    <w:rsid w:val="00C87AC4"/>
    <w:rsid w:val="00C9567A"/>
    <w:rsid w:val="00CA7521"/>
    <w:rsid w:val="00CB212D"/>
    <w:rsid w:val="00CB2660"/>
    <w:rsid w:val="00CC5E90"/>
    <w:rsid w:val="00CC5F1F"/>
    <w:rsid w:val="00CD046C"/>
    <w:rsid w:val="00CE076C"/>
    <w:rsid w:val="00CE5199"/>
    <w:rsid w:val="00CE66D5"/>
    <w:rsid w:val="00CF637A"/>
    <w:rsid w:val="00D059DE"/>
    <w:rsid w:val="00D05ABD"/>
    <w:rsid w:val="00D05BBE"/>
    <w:rsid w:val="00D13FCE"/>
    <w:rsid w:val="00D20CC8"/>
    <w:rsid w:val="00D306D1"/>
    <w:rsid w:val="00D30800"/>
    <w:rsid w:val="00D34786"/>
    <w:rsid w:val="00D37BFC"/>
    <w:rsid w:val="00D47A8E"/>
    <w:rsid w:val="00D5018E"/>
    <w:rsid w:val="00D52D14"/>
    <w:rsid w:val="00D558F6"/>
    <w:rsid w:val="00D712D3"/>
    <w:rsid w:val="00D71422"/>
    <w:rsid w:val="00D72DC6"/>
    <w:rsid w:val="00D7558D"/>
    <w:rsid w:val="00D800F7"/>
    <w:rsid w:val="00D81D92"/>
    <w:rsid w:val="00D8617B"/>
    <w:rsid w:val="00D876F9"/>
    <w:rsid w:val="00DA4C17"/>
    <w:rsid w:val="00DA7B5F"/>
    <w:rsid w:val="00DC11E7"/>
    <w:rsid w:val="00DC24E3"/>
    <w:rsid w:val="00DC7023"/>
    <w:rsid w:val="00DC769A"/>
    <w:rsid w:val="00DD3D86"/>
    <w:rsid w:val="00DD4AD2"/>
    <w:rsid w:val="00DF1EC4"/>
    <w:rsid w:val="00DF24C9"/>
    <w:rsid w:val="00DF5CDB"/>
    <w:rsid w:val="00E01700"/>
    <w:rsid w:val="00E0340B"/>
    <w:rsid w:val="00E04A90"/>
    <w:rsid w:val="00E0551F"/>
    <w:rsid w:val="00E07E70"/>
    <w:rsid w:val="00E14103"/>
    <w:rsid w:val="00E15732"/>
    <w:rsid w:val="00E219C7"/>
    <w:rsid w:val="00E25B31"/>
    <w:rsid w:val="00E4118C"/>
    <w:rsid w:val="00E43157"/>
    <w:rsid w:val="00E461CE"/>
    <w:rsid w:val="00E5483E"/>
    <w:rsid w:val="00E573E4"/>
    <w:rsid w:val="00E64C3D"/>
    <w:rsid w:val="00E70DCA"/>
    <w:rsid w:val="00E720CA"/>
    <w:rsid w:val="00E72C72"/>
    <w:rsid w:val="00E84EB5"/>
    <w:rsid w:val="00E85662"/>
    <w:rsid w:val="00E8789F"/>
    <w:rsid w:val="00E922AA"/>
    <w:rsid w:val="00E97B71"/>
    <w:rsid w:val="00EA3D34"/>
    <w:rsid w:val="00EB454D"/>
    <w:rsid w:val="00EC4817"/>
    <w:rsid w:val="00EC79DF"/>
    <w:rsid w:val="00ED549D"/>
    <w:rsid w:val="00ED76BE"/>
    <w:rsid w:val="00EE00E9"/>
    <w:rsid w:val="00EF1AAA"/>
    <w:rsid w:val="00EF619B"/>
    <w:rsid w:val="00F00B55"/>
    <w:rsid w:val="00F02AD1"/>
    <w:rsid w:val="00F14051"/>
    <w:rsid w:val="00F165FD"/>
    <w:rsid w:val="00F16C05"/>
    <w:rsid w:val="00F24E37"/>
    <w:rsid w:val="00F253CC"/>
    <w:rsid w:val="00F37106"/>
    <w:rsid w:val="00F4412F"/>
    <w:rsid w:val="00F444AB"/>
    <w:rsid w:val="00F44E25"/>
    <w:rsid w:val="00F519CF"/>
    <w:rsid w:val="00F56BA5"/>
    <w:rsid w:val="00F60E22"/>
    <w:rsid w:val="00F6551B"/>
    <w:rsid w:val="00F74FF2"/>
    <w:rsid w:val="00F81395"/>
    <w:rsid w:val="00F81BB8"/>
    <w:rsid w:val="00F8290F"/>
    <w:rsid w:val="00F85D73"/>
    <w:rsid w:val="00F90C64"/>
    <w:rsid w:val="00F917D1"/>
    <w:rsid w:val="00F9653B"/>
    <w:rsid w:val="00FB200A"/>
    <w:rsid w:val="00FB62CF"/>
    <w:rsid w:val="00FD3C3B"/>
    <w:rsid w:val="00FE07DD"/>
    <w:rsid w:val="00FE39D5"/>
    <w:rsid w:val="00FE6B45"/>
    <w:rsid w:val="00FF1B07"/>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FootnotesrefssChar1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5A7A2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1C58F6"/>
    <w:rPr>
      <w:rFonts w:ascii="Cambria" w:eastAsia="Cambria" w:hAnsi="Cambria" w:cs="Cambria"/>
      <w:color w:val="000000"/>
      <w:sz w:val="24"/>
      <w:szCs w:val="24"/>
      <w:u w:color="000000"/>
      <w:lang w:val="en-US"/>
    </w:rPr>
  </w:style>
  <w:style w:type="paragraph" w:styleId="NormalWeb">
    <w:name w:val="Normal (Web)"/>
    <w:basedOn w:val="Normal"/>
    <w:uiPriority w:val="99"/>
    <w:unhideWhenUsed/>
    <w:rsid w:val="00A8414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character" w:styleId="Strong">
    <w:name w:val="Strong"/>
    <w:uiPriority w:val="22"/>
    <w:qFormat/>
    <w:rsid w:val="00A8414A"/>
    <w:rPr>
      <w:b/>
      <w:bCs/>
    </w:rPr>
  </w:style>
  <w:style w:type="paragraph" w:customStyle="1" w:styleId="paragraph">
    <w:name w:val="paragraph"/>
    <w:basedOn w:val="Normal"/>
    <w:rsid w:val="00D8617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D8617B"/>
  </w:style>
  <w:style w:type="character" w:customStyle="1" w:styleId="eop">
    <w:name w:val="eop"/>
    <w:basedOn w:val="DefaultParagraphFont"/>
    <w:rsid w:val="00D86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A4318"/>
    <w:rsid w:val="00200821"/>
    <w:rsid w:val="0025245B"/>
    <w:rsid w:val="002A3923"/>
    <w:rsid w:val="00394049"/>
    <w:rsid w:val="00445BF2"/>
    <w:rsid w:val="004B5BBB"/>
    <w:rsid w:val="004F2DF8"/>
    <w:rsid w:val="006F24A1"/>
    <w:rsid w:val="008220AC"/>
    <w:rsid w:val="009A261B"/>
    <w:rsid w:val="00AA2E17"/>
    <w:rsid w:val="00AC15A4"/>
    <w:rsid w:val="00B0336C"/>
    <w:rsid w:val="00D04515"/>
    <w:rsid w:val="00D241E9"/>
    <w:rsid w:val="00D7750D"/>
    <w:rsid w:val="00D82836"/>
    <w:rsid w:val="00DF4A64"/>
    <w:rsid w:val="00EB1C16"/>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4432</Words>
  <Characters>25269</Characters>
  <Application>Microsoft Office Word</Application>
  <DocSecurity>0</DocSecurity>
  <Lines>210</Lines>
  <Paragraphs>59</Paragraphs>
  <ScaleCrop>false</ScaleCrop>
  <Company/>
  <LinksUpToDate>false</LinksUpToDate>
  <CharactersWithSpaces>29642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2023-09-11T19:09:00Z</dcterms:created>
  <dcterms:modified xsi:type="dcterms:W3CDTF">2023-09-11T19:09:00Z</dcterms:modified>
</cp:coreProperties>
</file>