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34C21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BC0150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35A4">
                              <w:rPr>
                                <w:rFonts w:asciiTheme="majorHAnsi" w:hAnsiTheme="majorHAnsi" w:cs="Arial"/>
                                <w:b/>
                                <w:bCs/>
                                <w:color w:val="0D0D0D" w:themeColor="text1" w:themeTint="F2"/>
                                <w:sz w:val="36"/>
                                <w:szCs w:val="22"/>
                                <w:lang w:val="es-ES_tradnl"/>
                              </w:rPr>
                              <w:t>58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73CCBA0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15AD">
                              <w:rPr>
                                <w:rFonts w:asciiTheme="majorHAnsi" w:hAnsiTheme="majorHAnsi" w:cs="Arial"/>
                                <w:b/>
                                <w:color w:val="0D0D0D" w:themeColor="text1" w:themeTint="F2"/>
                                <w:sz w:val="36"/>
                                <w:szCs w:val="22"/>
                                <w:lang w:val="es-ES_tradnl"/>
                              </w:rPr>
                              <w:t>85</w:t>
                            </w:r>
                            <w:r w:rsidR="00246D1F" w:rsidRPr="004E2649">
                              <w:rPr>
                                <w:rFonts w:asciiTheme="majorHAnsi" w:hAnsiTheme="majorHAnsi" w:cs="Arial"/>
                                <w:b/>
                                <w:color w:val="0D0D0D" w:themeColor="text1" w:themeTint="F2"/>
                                <w:sz w:val="36"/>
                                <w:szCs w:val="22"/>
                                <w:lang w:val="es-ES_tradnl"/>
                              </w:rPr>
                              <w:t>-</w:t>
                            </w:r>
                            <w:r w:rsidR="00744FFD">
                              <w:rPr>
                                <w:rFonts w:asciiTheme="majorHAnsi" w:hAnsiTheme="majorHAnsi" w:cs="Arial"/>
                                <w:b/>
                                <w:color w:val="0D0D0D" w:themeColor="text1" w:themeTint="F2"/>
                                <w:sz w:val="36"/>
                                <w:szCs w:val="22"/>
                                <w:lang w:val="es-ES_tradnl"/>
                              </w:rPr>
                              <w:t>0</w:t>
                            </w:r>
                            <w:r w:rsidR="009115AD">
                              <w:rPr>
                                <w:rFonts w:asciiTheme="majorHAnsi" w:hAnsiTheme="majorHAnsi" w:cs="Arial"/>
                                <w:b/>
                                <w:color w:val="0D0D0D" w:themeColor="text1" w:themeTint="F2"/>
                                <w:sz w:val="36"/>
                                <w:szCs w:val="22"/>
                                <w:lang w:val="es-ES_tradnl"/>
                              </w:rPr>
                              <w:t>9</w:t>
                            </w:r>
                            <w:r w:rsidR="00246D1F" w:rsidRPr="004E2649">
                              <w:rPr>
                                <w:rFonts w:asciiTheme="majorHAnsi" w:hAnsiTheme="majorHAnsi" w:cs="Arial"/>
                                <w:b/>
                                <w:color w:val="0D0D0D" w:themeColor="text1" w:themeTint="F2"/>
                                <w:sz w:val="36"/>
                                <w:szCs w:val="22"/>
                                <w:lang w:val="es-ES_tradnl"/>
                              </w:rPr>
                              <w:t xml:space="preserve"> </w:t>
                            </w:r>
                          </w:p>
                          <w:p w14:paraId="70CF6833" w14:textId="731F843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81E9CD4" w:rsidR="005B52B0" w:rsidRPr="00D143FC" w:rsidRDefault="009115AD"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EFRA</w:t>
                            </w:r>
                            <w:r w:rsidR="0033098F">
                              <w:rPr>
                                <w:rFonts w:asciiTheme="majorHAnsi" w:hAnsiTheme="majorHAnsi" w:cs="Arial"/>
                                <w:color w:val="0D0D0D" w:themeColor="text1" w:themeTint="F2"/>
                                <w:szCs w:val="22"/>
                                <w:lang w:val="es-US"/>
                              </w:rPr>
                              <w:t>Í</w:t>
                            </w:r>
                            <w:r>
                              <w:rPr>
                                <w:rFonts w:asciiTheme="majorHAnsi" w:hAnsiTheme="majorHAnsi" w:cs="Arial"/>
                                <w:color w:val="0D0D0D" w:themeColor="text1" w:themeTint="F2"/>
                                <w:szCs w:val="22"/>
                                <w:lang w:val="es-US"/>
                              </w:rPr>
                              <w:t>N FUENTES MOLINA</w:t>
                            </w:r>
                          </w:p>
                          <w:bookmarkEnd w:id="0"/>
                          <w:p w14:paraId="575DFD52" w14:textId="23B3557C" w:rsidR="005B52B0" w:rsidRPr="00D143FC" w:rsidRDefault="00744FFD" w:rsidP="007A5817">
                            <w:pPr>
                              <w:rPr>
                                <w:color w:val="0D0D0D" w:themeColor="text1" w:themeTint="F2"/>
                                <w:lang w:val="es-US"/>
                              </w:rPr>
                            </w:pPr>
                            <w:r w:rsidRPr="00D143FC">
                              <w:rPr>
                                <w:rFonts w:asciiTheme="majorHAnsi" w:hAnsiTheme="majorHAnsi" w:cs="Arial"/>
                                <w:color w:val="0D0D0D" w:themeColor="text1" w:themeTint="F2"/>
                                <w:szCs w:val="22"/>
                                <w:lang w:val="es-US"/>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BC0150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35A4">
                        <w:rPr>
                          <w:rFonts w:asciiTheme="majorHAnsi" w:hAnsiTheme="majorHAnsi" w:cs="Arial"/>
                          <w:b/>
                          <w:bCs/>
                          <w:color w:val="0D0D0D" w:themeColor="text1" w:themeTint="F2"/>
                          <w:sz w:val="36"/>
                          <w:szCs w:val="22"/>
                          <w:lang w:val="es-ES_tradnl"/>
                        </w:rPr>
                        <w:t>58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73CCBA0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15AD">
                        <w:rPr>
                          <w:rFonts w:asciiTheme="majorHAnsi" w:hAnsiTheme="majorHAnsi" w:cs="Arial"/>
                          <w:b/>
                          <w:color w:val="0D0D0D" w:themeColor="text1" w:themeTint="F2"/>
                          <w:sz w:val="36"/>
                          <w:szCs w:val="22"/>
                          <w:lang w:val="es-ES_tradnl"/>
                        </w:rPr>
                        <w:t>85</w:t>
                      </w:r>
                      <w:r w:rsidR="00246D1F" w:rsidRPr="004E2649">
                        <w:rPr>
                          <w:rFonts w:asciiTheme="majorHAnsi" w:hAnsiTheme="majorHAnsi" w:cs="Arial"/>
                          <w:b/>
                          <w:color w:val="0D0D0D" w:themeColor="text1" w:themeTint="F2"/>
                          <w:sz w:val="36"/>
                          <w:szCs w:val="22"/>
                          <w:lang w:val="es-ES_tradnl"/>
                        </w:rPr>
                        <w:t>-</w:t>
                      </w:r>
                      <w:r w:rsidR="00744FFD">
                        <w:rPr>
                          <w:rFonts w:asciiTheme="majorHAnsi" w:hAnsiTheme="majorHAnsi" w:cs="Arial"/>
                          <w:b/>
                          <w:color w:val="0D0D0D" w:themeColor="text1" w:themeTint="F2"/>
                          <w:sz w:val="36"/>
                          <w:szCs w:val="22"/>
                          <w:lang w:val="es-ES_tradnl"/>
                        </w:rPr>
                        <w:t>0</w:t>
                      </w:r>
                      <w:r w:rsidR="009115AD">
                        <w:rPr>
                          <w:rFonts w:asciiTheme="majorHAnsi" w:hAnsiTheme="majorHAnsi" w:cs="Arial"/>
                          <w:b/>
                          <w:color w:val="0D0D0D" w:themeColor="text1" w:themeTint="F2"/>
                          <w:sz w:val="36"/>
                          <w:szCs w:val="22"/>
                          <w:lang w:val="es-ES_tradnl"/>
                        </w:rPr>
                        <w:t>9</w:t>
                      </w:r>
                      <w:r w:rsidR="00246D1F" w:rsidRPr="004E2649">
                        <w:rPr>
                          <w:rFonts w:asciiTheme="majorHAnsi" w:hAnsiTheme="majorHAnsi" w:cs="Arial"/>
                          <w:b/>
                          <w:color w:val="0D0D0D" w:themeColor="text1" w:themeTint="F2"/>
                          <w:sz w:val="36"/>
                          <w:szCs w:val="22"/>
                          <w:lang w:val="es-ES_tradnl"/>
                        </w:rPr>
                        <w:t xml:space="preserve"> </w:t>
                      </w:r>
                    </w:p>
                    <w:p w14:paraId="70CF6833" w14:textId="731F843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81E9CD4" w:rsidR="005B52B0" w:rsidRPr="00D143FC" w:rsidRDefault="009115AD" w:rsidP="00997BC5">
                      <w:pPr>
                        <w:spacing w:line="276" w:lineRule="auto"/>
                        <w:rPr>
                          <w:rFonts w:asciiTheme="majorHAnsi" w:hAnsiTheme="majorHAnsi" w:cs="Arial"/>
                          <w:color w:val="0D0D0D" w:themeColor="text1" w:themeTint="F2"/>
                          <w:szCs w:val="22"/>
                          <w:lang w:val="es-US"/>
                        </w:rPr>
                      </w:pPr>
                      <w:r>
                        <w:rPr>
                          <w:rFonts w:asciiTheme="majorHAnsi" w:hAnsiTheme="majorHAnsi" w:cs="Arial"/>
                          <w:color w:val="0D0D0D" w:themeColor="text1" w:themeTint="F2"/>
                          <w:szCs w:val="22"/>
                          <w:lang w:val="es-US"/>
                        </w:rPr>
                        <w:t>EFRA</w:t>
                      </w:r>
                      <w:r w:rsidR="0033098F">
                        <w:rPr>
                          <w:rFonts w:asciiTheme="majorHAnsi" w:hAnsiTheme="majorHAnsi" w:cs="Arial"/>
                          <w:color w:val="0D0D0D" w:themeColor="text1" w:themeTint="F2"/>
                          <w:szCs w:val="22"/>
                          <w:lang w:val="es-US"/>
                        </w:rPr>
                        <w:t>Í</w:t>
                      </w:r>
                      <w:r>
                        <w:rPr>
                          <w:rFonts w:asciiTheme="majorHAnsi" w:hAnsiTheme="majorHAnsi" w:cs="Arial"/>
                          <w:color w:val="0D0D0D" w:themeColor="text1" w:themeTint="F2"/>
                          <w:szCs w:val="22"/>
                          <w:lang w:val="es-US"/>
                        </w:rPr>
                        <w:t>N FUENTES MOLINA</w:t>
                      </w:r>
                    </w:p>
                    <w:bookmarkEnd w:id="1"/>
                    <w:p w14:paraId="575DFD52" w14:textId="23B3557C" w:rsidR="005B52B0" w:rsidRPr="00D143FC" w:rsidRDefault="00744FFD" w:rsidP="007A5817">
                      <w:pPr>
                        <w:rPr>
                          <w:color w:val="0D0D0D" w:themeColor="text1" w:themeTint="F2"/>
                          <w:lang w:val="es-US"/>
                        </w:rPr>
                      </w:pPr>
                      <w:r w:rsidRPr="00D143FC">
                        <w:rPr>
                          <w:rFonts w:asciiTheme="majorHAnsi" w:hAnsiTheme="majorHAnsi" w:cs="Arial"/>
                          <w:color w:val="0D0D0D" w:themeColor="text1" w:themeTint="F2"/>
                          <w:szCs w:val="22"/>
                          <w:lang w:val="es-US"/>
                        </w:rPr>
                        <w:t>COSTA RICA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6197AFD" w:rsidR="00627C9F" w:rsidRPr="007107D0" w:rsidRDefault="00834D49" w:rsidP="007A5817">
                            <w:pPr>
                              <w:spacing w:line="276" w:lineRule="auto"/>
                              <w:jc w:val="right"/>
                              <w:rPr>
                                <w:rFonts w:asciiTheme="minorHAnsi" w:hAnsiTheme="minorHAnsi"/>
                                <w:color w:val="FFFFFF" w:themeColor="background1"/>
                                <w:sz w:val="22"/>
                                <w:lang w:val="es-AR"/>
                              </w:rPr>
                            </w:pPr>
                            <w:r w:rsidRPr="007107D0">
                              <w:rPr>
                                <w:rFonts w:asciiTheme="minorHAnsi" w:hAnsiTheme="minorHAnsi"/>
                                <w:color w:val="FFFFFF" w:themeColor="background1"/>
                                <w:sz w:val="22"/>
                                <w:lang w:val="es-AR"/>
                              </w:rPr>
                              <w:t>OEA/Ser.L/V/II</w:t>
                            </w:r>
                          </w:p>
                          <w:p w14:paraId="6A41611B" w14:textId="7685F351" w:rsidR="00627C9F" w:rsidRPr="007107D0" w:rsidRDefault="00627C9F" w:rsidP="007A5817">
                            <w:pPr>
                              <w:spacing w:line="276" w:lineRule="auto"/>
                              <w:jc w:val="right"/>
                              <w:rPr>
                                <w:rFonts w:asciiTheme="minorHAnsi" w:hAnsiTheme="minorHAnsi"/>
                                <w:color w:val="FFFFFF" w:themeColor="background1"/>
                                <w:sz w:val="22"/>
                                <w:lang w:val="es-AR"/>
                              </w:rPr>
                            </w:pPr>
                            <w:r w:rsidRPr="007107D0">
                              <w:rPr>
                                <w:rFonts w:asciiTheme="minorHAnsi" w:hAnsiTheme="minorHAnsi"/>
                                <w:color w:val="FFFFFF" w:themeColor="background1"/>
                                <w:sz w:val="22"/>
                                <w:lang w:val="es-AR"/>
                              </w:rPr>
                              <w:t xml:space="preserve">Doc. </w:t>
                            </w:r>
                            <w:r w:rsidR="002E35A4" w:rsidRPr="007107D0">
                              <w:rPr>
                                <w:rFonts w:asciiTheme="minorHAnsi" w:hAnsiTheme="minorHAnsi"/>
                                <w:color w:val="FFFFFF" w:themeColor="background1"/>
                                <w:sz w:val="22"/>
                                <w:lang w:val="es-AR"/>
                              </w:rPr>
                              <w:t>66</w:t>
                            </w:r>
                          </w:p>
                          <w:p w14:paraId="69373ED2" w14:textId="61BB97A6" w:rsidR="00627C9F" w:rsidRPr="00C25ADB" w:rsidRDefault="002E35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36197AFD" w:rsidR="00627C9F" w:rsidRPr="007107D0" w:rsidRDefault="00834D49" w:rsidP="007A5817">
                      <w:pPr>
                        <w:spacing w:line="276" w:lineRule="auto"/>
                        <w:jc w:val="right"/>
                        <w:rPr>
                          <w:rFonts w:asciiTheme="minorHAnsi" w:hAnsiTheme="minorHAnsi"/>
                          <w:color w:val="FFFFFF" w:themeColor="background1"/>
                          <w:sz w:val="22"/>
                          <w:lang w:val="es-AR"/>
                        </w:rPr>
                      </w:pPr>
                      <w:r w:rsidRPr="007107D0">
                        <w:rPr>
                          <w:rFonts w:asciiTheme="minorHAnsi" w:hAnsiTheme="minorHAnsi"/>
                          <w:color w:val="FFFFFF" w:themeColor="background1"/>
                          <w:sz w:val="22"/>
                          <w:lang w:val="es-AR"/>
                        </w:rPr>
                        <w:t>OEA/Ser.L/V/II</w:t>
                      </w:r>
                    </w:p>
                    <w:p w14:paraId="6A41611B" w14:textId="7685F351" w:rsidR="00627C9F" w:rsidRPr="007107D0" w:rsidRDefault="00627C9F" w:rsidP="007A5817">
                      <w:pPr>
                        <w:spacing w:line="276" w:lineRule="auto"/>
                        <w:jc w:val="right"/>
                        <w:rPr>
                          <w:rFonts w:asciiTheme="minorHAnsi" w:hAnsiTheme="minorHAnsi"/>
                          <w:color w:val="FFFFFF" w:themeColor="background1"/>
                          <w:sz w:val="22"/>
                          <w:lang w:val="es-AR"/>
                        </w:rPr>
                      </w:pPr>
                      <w:r w:rsidRPr="007107D0">
                        <w:rPr>
                          <w:rFonts w:asciiTheme="minorHAnsi" w:hAnsiTheme="minorHAnsi"/>
                          <w:color w:val="FFFFFF" w:themeColor="background1"/>
                          <w:sz w:val="22"/>
                          <w:lang w:val="es-AR"/>
                        </w:rPr>
                        <w:t xml:space="preserve">Doc. </w:t>
                      </w:r>
                      <w:r w:rsidR="002E35A4" w:rsidRPr="007107D0">
                        <w:rPr>
                          <w:rFonts w:asciiTheme="minorHAnsi" w:hAnsiTheme="minorHAnsi"/>
                          <w:color w:val="FFFFFF" w:themeColor="background1"/>
                          <w:sz w:val="22"/>
                          <w:lang w:val="es-AR"/>
                        </w:rPr>
                        <w:t>66</w:t>
                      </w:r>
                    </w:p>
                    <w:p w14:paraId="69373ED2" w14:textId="61BB97A6" w:rsidR="00627C9F" w:rsidRPr="00C25ADB" w:rsidRDefault="002E35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C108EC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E35A4">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2E35A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2E35A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C108EC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E35A4">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2E35A4">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2E35A4">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379A8C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6FEACB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02E6" w:rsidRPr="00BE02E6">
                              <w:rPr>
                                <w:rFonts w:asciiTheme="majorHAnsi" w:hAnsiTheme="majorHAnsi"/>
                                <w:color w:val="595959" w:themeColor="text1" w:themeTint="A6"/>
                                <w:sz w:val="18"/>
                                <w:szCs w:val="18"/>
                                <w:lang w:val="pt-BR"/>
                              </w:rPr>
                              <w:t>58</w:t>
                            </w:r>
                            <w:r w:rsidR="007B05C4" w:rsidRPr="00BE02E6">
                              <w:rPr>
                                <w:rFonts w:asciiTheme="majorHAnsi" w:hAnsiTheme="majorHAnsi"/>
                                <w:color w:val="595959" w:themeColor="text1" w:themeTint="A6"/>
                                <w:sz w:val="18"/>
                                <w:szCs w:val="18"/>
                                <w:lang w:val="pt-BR"/>
                              </w:rPr>
                              <w:t>/</w:t>
                            </w:r>
                            <w:r w:rsidR="00BE02E6" w:rsidRPr="00BE02E6">
                              <w:rPr>
                                <w:rFonts w:asciiTheme="majorHAnsi" w:hAnsiTheme="majorHAnsi"/>
                                <w:color w:val="595959" w:themeColor="text1" w:themeTint="A6"/>
                                <w:sz w:val="18"/>
                                <w:szCs w:val="18"/>
                                <w:lang w:val="pt-BR"/>
                              </w:rPr>
                              <w:t>23</w:t>
                            </w:r>
                            <w:r w:rsidRPr="00BE02E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60B0E">
                              <w:rPr>
                                <w:rFonts w:asciiTheme="majorHAnsi" w:hAnsiTheme="majorHAnsi"/>
                                <w:color w:val="595959" w:themeColor="text1" w:themeTint="A6"/>
                                <w:sz w:val="18"/>
                                <w:szCs w:val="18"/>
                                <w:lang w:val="es-ES"/>
                              </w:rPr>
                              <w:t>85</w:t>
                            </w:r>
                            <w:r w:rsidR="00744FFD">
                              <w:rPr>
                                <w:rFonts w:asciiTheme="majorHAnsi" w:hAnsiTheme="majorHAnsi"/>
                                <w:color w:val="595959" w:themeColor="text1" w:themeTint="A6"/>
                                <w:sz w:val="18"/>
                                <w:szCs w:val="18"/>
                                <w:lang w:val="es-ES"/>
                              </w:rPr>
                              <w:t>-0</w:t>
                            </w:r>
                            <w:r w:rsidR="00E60B0E">
                              <w:rPr>
                                <w:rFonts w:asciiTheme="majorHAnsi" w:hAnsiTheme="majorHAnsi"/>
                                <w:color w:val="595959" w:themeColor="text1" w:themeTint="A6"/>
                                <w:sz w:val="18"/>
                                <w:szCs w:val="18"/>
                                <w:lang w:val="es-ES"/>
                              </w:rPr>
                              <w:t>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29524C">
                              <w:rPr>
                                <w:rFonts w:asciiTheme="majorHAnsi" w:hAnsiTheme="majorHAnsi"/>
                                <w:color w:val="595959" w:themeColor="text1" w:themeTint="A6"/>
                                <w:sz w:val="18"/>
                                <w:szCs w:val="18"/>
                                <w:lang w:val="es-ES_tradnl"/>
                              </w:rPr>
                              <w:t xml:space="preserve">Efraín </w:t>
                            </w:r>
                            <w:r w:rsidR="00E60B0E">
                              <w:rPr>
                                <w:rFonts w:asciiTheme="majorHAnsi" w:hAnsiTheme="majorHAnsi"/>
                                <w:color w:val="595959" w:themeColor="text1" w:themeTint="A6"/>
                                <w:sz w:val="18"/>
                                <w:szCs w:val="18"/>
                                <w:lang w:val="es-ES_tradnl"/>
                              </w:rPr>
                              <w:t>Fuentes Molina</w:t>
                            </w:r>
                            <w:r w:rsidRPr="00890650">
                              <w:rPr>
                                <w:rFonts w:asciiTheme="majorHAnsi" w:hAnsiTheme="majorHAnsi"/>
                                <w:color w:val="595959" w:themeColor="text1" w:themeTint="A6"/>
                                <w:sz w:val="18"/>
                                <w:szCs w:val="18"/>
                                <w:lang w:val="es-ES_tradnl"/>
                              </w:rPr>
                              <w:t xml:space="preserve">. </w:t>
                            </w:r>
                            <w:r w:rsidR="00744FF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BE02E6">
                              <w:rPr>
                                <w:rFonts w:asciiTheme="majorHAnsi" w:hAnsiTheme="majorHAnsi"/>
                                <w:color w:val="595959" w:themeColor="text1" w:themeTint="A6"/>
                                <w:sz w:val="18"/>
                                <w:szCs w:val="18"/>
                                <w:lang w:val="es-ES"/>
                              </w:rPr>
                              <w:t>12 de mayo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6FEACB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02E6" w:rsidRPr="00BE02E6">
                        <w:rPr>
                          <w:rFonts w:asciiTheme="majorHAnsi" w:hAnsiTheme="majorHAnsi"/>
                          <w:color w:val="595959" w:themeColor="text1" w:themeTint="A6"/>
                          <w:sz w:val="18"/>
                          <w:szCs w:val="18"/>
                          <w:lang w:val="pt-BR"/>
                        </w:rPr>
                        <w:t>58</w:t>
                      </w:r>
                      <w:r w:rsidR="007B05C4" w:rsidRPr="00BE02E6">
                        <w:rPr>
                          <w:rFonts w:asciiTheme="majorHAnsi" w:hAnsiTheme="majorHAnsi"/>
                          <w:color w:val="595959" w:themeColor="text1" w:themeTint="A6"/>
                          <w:sz w:val="18"/>
                          <w:szCs w:val="18"/>
                          <w:lang w:val="pt-BR"/>
                        </w:rPr>
                        <w:t>/</w:t>
                      </w:r>
                      <w:r w:rsidR="00BE02E6" w:rsidRPr="00BE02E6">
                        <w:rPr>
                          <w:rFonts w:asciiTheme="majorHAnsi" w:hAnsiTheme="majorHAnsi"/>
                          <w:color w:val="595959" w:themeColor="text1" w:themeTint="A6"/>
                          <w:sz w:val="18"/>
                          <w:szCs w:val="18"/>
                          <w:lang w:val="pt-BR"/>
                        </w:rPr>
                        <w:t>23</w:t>
                      </w:r>
                      <w:r w:rsidRPr="00BE02E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60B0E">
                        <w:rPr>
                          <w:rFonts w:asciiTheme="majorHAnsi" w:hAnsiTheme="majorHAnsi"/>
                          <w:color w:val="595959" w:themeColor="text1" w:themeTint="A6"/>
                          <w:sz w:val="18"/>
                          <w:szCs w:val="18"/>
                          <w:lang w:val="es-ES"/>
                        </w:rPr>
                        <w:t>85</w:t>
                      </w:r>
                      <w:r w:rsidR="00744FFD">
                        <w:rPr>
                          <w:rFonts w:asciiTheme="majorHAnsi" w:hAnsiTheme="majorHAnsi"/>
                          <w:color w:val="595959" w:themeColor="text1" w:themeTint="A6"/>
                          <w:sz w:val="18"/>
                          <w:szCs w:val="18"/>
                          <w:lang w:val="es-ES"/>
                        </w:rPr>
                        <w:t>-0</w:t>
                      </w:r>
                      <w:r w:rsidR="00E60B0E">
                        <w:rPr>
                          <w:rFonts w:asciiTheme="majorHAnsi" w:hAnsiTheme="majorHAnsi"/>
                          <w:color w:val="595959" w:themeColor="text1" w:themeTint="A6"/>
                          <w:sz w:val="18"/>
                          <w:szCs w:val="18"/>
                          <w:lang w:val="es-ES"/>
                        </w:rPr>
                        <w:t>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29524C">
                        <w:rPr>
                          <w:rFonts w:asciiTheme="majorHAnsi" w:hAnsiTheme="majorHAnsi"/>
                          <w:color w:val="595959" w:themeColor="text1" w:themeTint="A6"/>
                          <w:sz w:val="18"/>
                          <w:szCs w:val="18"/>
                          <w:lang w:val="es-ES_tradnl"/>
                        </w:rPr>
                        <w:t xml:space="preserve">Efraín </w:t>
                      </w:r>
                      <w:r w:rsidR="00E60B0E">
                        <w:rPr>
                          <w:rFonts w:asciiTheme="majorHAnsi" w:hAnsiTheme="majorHAnsi"/>
                          <w:color w:val="595959" w:themeColor="text1" w:themeTint="A6"/>
                          <w:sz w:val="18"/>
                          <w:szCs w:val="18"/>
                          <w:lang w:val="es-ES_tradnl"/>
                        </w:rPr>
                        <w:t>Fuentes Molina</w:t>
                      </w:r>
                      <w:r w:rsidRPr="00890650">
                        <w:rPr>
                          <w:rFonts w:asciiTheme="majorHAnsi" w:hAnsiTheme="majorHAnsi"/>
                          <w:color w:val="595959" w:themeColor="text1" w:themeTint="A6"/>
                          <w:sz w:val="18"/>
                          <w:szCs w:val="18"/>
                          <w:lang w:val="es-ES_tradnl"/>
                        </w:rPr>
                        <w:t xml:space="preserve">. </w:t>
                      </w:r>
                      <w:r w:rsidR="00744FFD">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BE02E6">
                        <w:rPr>
                          <w:rFonts w:asciiTheme="majorHAnsi" w:hAnsiTheme="majorHAnsi"/>
                          <w:color w:val="595959" w:themeColor="text1" w:themeTint="A6"/>
                          <w:sz w:val="18"/>
                          <w:szCs w:val="18"/>
                          <w:lang w:val="es-ES"/>
                        </w:rPr>
                        <w:t>12 de mayo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058D406" w:rsidR="00D72DC6" w:rsidRPr="00D72DC6" w:rsidRDefault="00125C0F" w:rsidP="00F02AD1">
                            <w:pPr>
                              <w:rPr>
                                <w:color w:val="FFFFFF" w:themeColor="background1"/>
                                <w14:textFill>
                                  <w14:noFill/>
                                </w14:textFill>
                              </w:rPr>
                            </w:pPr>
                            <w:r>
                              <w:rPr>
                                <w:noProof/>
                              </w:rPr>
                              <w:drawing>
                                <wp:inline distT="0" distB="0" distL="0" distR="0" wp14:anchorId="5ACAB7A7" wp14:editId="2DF47AD4">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3058D406" w:rsidR="00D72DC6" w:rsidRPr="00D72DC6" w:rsidRDefault="00125C0F" w:rsidP="00F02AD1">
                      <w:pPr>
                        <w:rPr>
                          <w:color w:val="FFFFFF" w:themeColor="background1"/>
                          <w14:textFill>
                            <w14:noFill/>
                          </w14:textFill>
                        </w:rPr>
                      </w:pPr>
                      <w:r>
                        <w:rPr>
                          <w:noProof/>
                        </w:rPr>
                        <w:drawing>
                          <wp:inline distT="0" distB="0" distL="0" distR="0" wp14:anchorId="5ACAB7A7" wp14:editId="2DF47AD4">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071F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0A125E25" w:rsidR="003239B8" w:rsidRPr="00CC4AC6" w:rsidRDefault="005E4252" w:rsidP="008D2290">
            <w:pPr>
              <w:jc w:val="both"/>
              <w:rPr>
                <w:rFonts w:ascii="Cambria" w:hAnsi="Cambria"/>
                <w:bCs/>
                <w:sz w:val="20"/>
                <w:szCs w:val="20"/>
                <w:lang w:val="es-US"/>
              </w:rPr>
            </w:pPr>
            <w:r>
              <w:rPr>
                <w:rFonts w:ascii="Cambria" w:hAnsi="Cambria"/>
                <w:bCs/>
                <w:sz w:val="20"/>
                <w:szCs w:val="20"/>
                <w:lang w:val="es-US"/>
              </w:rPr>
              <w:t>Efraín Fuentes Molina</w:t>
            </w:r>
          </w:p>
        </w:tc>
      </w:tr>
      <w:tr w:rsidR="003239B8" w:rsidRPr="00804C15"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6914A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08FC8C4" w:rsidR="003239B8" w:rsidRPr="00916C1D" w:rsidRDefault="005E4252" w:rsidP="00684BFC">
            <w:pPr>
              <w:rPr>
                <w:lang w:val="es-US"/>
              </w:rPr>
            </w:pPr>
            <w:r>
              <w:rPr>
                <w:rFonts w:ascii="Cambria" w:hAnsi="Cambria"/>
                <w:bCs/>
                <w:sz w:val="20"/>
                <w:szCs w:val="20"/>
                <w:lang w:val="es-US"/>
              </w:rPr>
              <w:t>Efraín Fuentes Molina</w:t>
            </w:r>
            <w:r w:rsidR="006D0F37" w:rsidRPr="00916C1D">
              <w:rPr>
                <w:rFonts w:ascii="Cambria" w:hAnsi="Cambria"/>
                <w:bCs/>
                <w:sz w:val="20"/>
                <w:szCs w:val="20"/>
                <w:lang w:val="es-US"/>
              </w:rPr>
              <w:t xml:space="preserve"> </w:t>
            </w:r>
            <w:r w:rsidR="00684BFC" w:rsidRPr="00916C1D">
              <w:rPr>
                <w:lang w:val="es-US"/>
              </w:rPr>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0F6E60A6" w:rsidR="003239B8" w:rsidRPr="000D05CB" w:rsidRDefault="00D029F8" w:rsidP="008D2290">
            <w:pPr>
              <w:jc w:val="both"/>
              <w:rPr>
                <w:rFonts w:ascii="Cambria" w:hAnsi="Cambria"/>
                <w:bCs/>
                <w:sz w:val="20"/>
                <w:szCs w:val="20"/>
              </w:rPr>
            </w:pPr>
            <w:r>
              <w:rPr>
                <w:rFonts w:ascii="Cambria" w:hAnsi="Cambria"/>
                <w:bCs/>
                <w:sz w:val="20"/>
                <w:szCs w:val="20"/>
              </w:rPr>
              <w:t>Costa Rica</w:t>
            </w:r>
          </w:p>
        </w:tc>
      </w:tr>
      <w:tr w:rsidR="00223A29" w:rsidRPr="007107D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595BF84" w:rsidR="00223A29" w:rsidRPr="00406D7B" w:rsidRDefault="002B0B31" w:rsidP="008D2290">
            <w:pPr>
              <w:jc w:val="both"/>
              <w:rPr>
                <w:rFonts w:ascii="Cambria" w:hAnsi="Cambria"/>
                <w:bCs/>
                <w:sz w:val="20"/>
                <w:szCs w:val="20"/>
                <w:lang w:val="es-US"/>
              </w:rPr>
            </w:pPr>
            <w:r>
              <w:rPr>
                <w:rFonts w:ascii="Cambria" w:hAnsi="Cambria"/>
                <w:bCs/>
                <w:sz w:val="20"/>
                <w:szCs w:val="20"/>
                <w:lang w:val="es-ES"/>
              </w:rPr>
              <w:t xml:space="preserve">Artículos 7 (libertad personal), 8 (garantías judiciales), 24 (igualdad ante la ley) y 25 (protección judicial) </w:t>
            </w:r>
            <w:r w:rsidR="00406D7B">
              <w:rPr>
                <w:rFonts w:ascii="Cambria" w:hAnsi="Cambria"/>
                <w:bCs/>
                <w:sz w:val="20"/>
                <w:szCs w:val="20"/>
                <w:lang w:val="es-ES"/>
              </w:rPr>
              <w:t>de la Convención Americana sobre Derechos Humanos</w:t>
            </w:r>
            <w:r w:rsidR="00916C1D">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616CC63" w:rsidR="004C2312" w:rsidRPr="003239B8" w:rsidRDefault="00FE24C1" w:rsidP="002625EA">
            <w:pPr>
              <w:jc w:val="both"/>
              <w:rPr>
                <w:rFonts w:ascii="Cambria" w:hAnsi="Cambria"/>
                <w:bCs/>
                <w:sz w:val="20"/>
                <w:szCs w:val="20"/>
                <w:lang w:val="es-ES"/>
              </w:rPr>
            </w:pPr>
            <w:r>
              <w:rPr>
                <w:rFonts w:ascii="Cambria" w:hAnsi="Cambria"/>
                <w:bCs/>
                <w:sz w:val="20"/>
                <w:szCs w:val="20"/>
                <w:lang w:val="es-ES"/>
              </w:rPr>
              <w:t>27 de enero de 2009</w:t>
            </w:r>
          </w:p>
        </w:tc>
      </w:tr>
      <w:tr w:rsidR="0080493E" w:rsidRPr="007107D0" w14:paraId="79EBA584" w14:textId="77777777" w:rsidTr="004A6A54">
        <w:tc>
          <w:tcPr>
            <w:tcW w:w="3600" w:type="dxa"/>
            <w:tcBorders>
              <w:top w:val="single" w:sz="6" w:space="0" w:color="auto"/>
              <w:bottom w:val="single" w:sz="6" w:space="0" w:color="auto"/>
            </w:tcBorders>
            <w:shd w:val="clear" w:color="auto" w:fill="386294"/>
            <w:vAlign w:val="center"/>
          </w:tcPr>
          <w:p w14:paraId="371D250B" w14:textId="5B15DB17" w:rsidR="0080493E" w:rsidRDefault="00FA1333"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422E658" w14:textId="3F91081C" w:rsidR="0080493E" w:rsidRDefault="00556119" w:rsidP="002625EA">
            <w:pPr>
              <w:jc w:val="both"/>
              <w:rPr>
                <w:rFonts w:ascii="Cambria" w:hAnsi="Cambria"/>
                <w:bCs/>
                <w:sz w:val="20"/>
                <w:szCs w:val="20"/>
                <w:lang w:val="es-ES"/>
              </w:rPr>
            </w:pPr>
            <w:r>
              <w:rPr>
                <w:rFonts w:ascii="Cambria" w:hAnsi="Cambria"/>
                <w:bCs/>
                <w:sz w:val="20"/>
                <w:szCs w:val="20"/>
                <w:lang w:val="es-ES"/>
              </w:rPr>
              <w:t>10 de noviembre de 2011</w:t>
            </w:r>
            <w:r w:rsidR="00370967">
              <w:rPr>
                <w:rFonts w:ascii="Cambria" w:hAnsi="Cambria"/>
                <w:bCs/>
                <w:sz w:val="20"/>
                <w:szCs w:val="20"/>
                <w:lang w:val="es-ES"/>
              </w:rPr>
              <w:t>, 25 de junio de 2012</w:t>
            </w:r>
            <w:r w:rsidR="00EE1D7E">
              <w:rPr>
                <w:rFonts w:ascii="Cambria" w:hAnsi="Cambria"/>
                <w:bCs/>
                <w:sz w:val="20"/>
                <w:szCs w:val="20"/>
                <w:lang w:val="es-ES"/>
              </w:rPr>
              <w:t xml:space="preserve"> y 7 de agosto de 2015</w:t>
            </w:r>
          </w:p>
        </w:tc>
      </w:tr>
      <w:tr w:rsidR="004C2312" w:rsidRPr="002952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10CDBA6" w:rsidR="004C2312" w:rsidRPr="003239B8" w:rsidRDefault="008F5662" w:rsidP="008D2290">
            <w:pPr>
              <w:jc w:val="both"/>
              <w:rPr>
                <w:rFonts w:ascii="Cambria" w:hAnsi="Cambria"/>
                <w:bCs/>
                <w:sz w:val="20"/>
                <w:szCs w:val="20"/>
                <w:lang w:val="es-ES"/>
              </w:rPr>
            </w:pPr>
            <w:r>
              <w:rPr>
                <w:rFonts w:ascii="Cambria" w:hAnsi="Cambria"/>
                <w:bCs/>
                <w:sz w:val="20"/>
                <w:szCs w:val="20"/>
                <w:lang w:val="es-ES"/>
              </w:rPr>
              <w:t>20 de octubre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4BB678E" w:rsidR="004C2312" w:rsidRPr="003239B8" w:rsidRDefault="00747C2B" w:rsidP="008D2290">
            <w:pPr>
              <w:jc w:val="both"/>
              <w:rPr>
                <w:rFonts w:ascii="Cambria" w:hAnsi="Cambria"/>
                <w:bCs/>
                <w:sz w:val="20"/>
                <w:szCs w:val="20"/>
                <w:lang w:val="es-ES"/>
              </w:rPr>
            </w:pPr>
            <w:r>
              <w:rPr>
                <w:rFonts w:ascii="Cambria" w:hAnsi="Cambria"/>
                <w:bCs/>
                <w:sz w:val="20"/>
                <w:szCs w:val="20"/>
                <w:lang w:val="es-ES"/>
              </w:rPr>
              <w:t>29 de octubre de 2018</w:t>
            </w:r>
          </w:p>
        </w:tc>
      </w:tr>
      <w:tr w:rsidR="00855ADB" w:rsidRPr="0029524C" w14:paraId="370C6B67" w14:textId="77777777" w:rsidTr="004A6A54">
        <w:tc>
          <w:tcPr>
            <w:tcW w:w="3600" w:type="dxa"/>
            <w:tcBorders>
              <w:top w:val="single" w:sz="6" w:space="0" w:color="auto"/>
              <w:bottom w:val="single" w:sz="6" w:space="0" w:color="auto"/>
            </w:tcBorders>
            <w:shd w:val="clear" w:color="auto" w:fill="386294"/>
            <w:vAlign w:val="center"/>
          </w:tcPr>
          <w:p w14:paraId="673449BE" w14:textId="0058B676"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Observaciones adicionales de la parte peticionaria</w:t>
            </w:r>
          </w:p>
        </w:tc>
        <w:tc>
          <w:tcPr>
            <w:tcW w:w="5760" w:type="dxa"/>
            <w:vAlign w:val="center"/>
          </w:tcPr>
          <w:p w14:paraId="5BFDEA25" w14:textId="5229D4F8" w:rsidR="00855ADB" w:rsidRDefault="00E24802" w:rsidP="008D2290">
            <w:pPr>
              <w:jc w:val="both"/>
              <w:rPr>
                <w:rFonts w:ascii="Cambria" w:hAnsi="Cambria"/>
                <w:bCs/>
                <w:sz w:val="20"/>
                <w:szCs w:val="20"/>
                <w:lang w:val="es-ES"/>
              </w:rPr>
            </w:pPr>
            <w:r>
              <w:rPr>
                <w:rFonts w:ascii="Cambria" w:hAnsi="Cambria"/>
                <w:bCs/>
                <w:sz w:val="20"/>
                <w:szCs w:val="20"/>
                <w:lang w:val="es-ES"/>
              </w:rPr>
              <w:t>22 de diciembre de 2022</w:t>
            </w:r>
          </w:p>
        </w:tc>
      </w:tr>
      <w:tr w:rsidR="00855ADB" w:rsidRPr="00855ADB" w14:paraId="76E9D9DB" w14:textId="77777777" w:rsidTr="004A6A54">
        <w:tc>
          <w:tcPr>
            <w:tcW w:w="3600" w:type="dxa"/>
            <w:tcBorders>
              <w:top w:val="single" w:sz="6" w:space="0" w:color="auto"/>
              <w:bottom w:val="single" w:sz="6" w:space="0" w:color="auto"/>
            </w:tcBorders>
            <w:shd w:val="clear" w:color="auto" w:fill="386294"/>
            <w:vAlign w:val="center"/>
          </w:tcPr>
          <w:p w14:paraId="18BEA7AC" w14:textId="321B492C" w:rsidR="00855ADB" w:rsidRDefault="00855ADB"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Advertencia de archivo</w:t>
            </w:r>
          </w:p>
        </w:tc>
        <w:tc>
          <w:tcPr>
            <w:tcW w:w="5760" w:type="dxa"/>
            <w:vAlign w:val="center"/>
          </w:tcPr>
          <w:p w14:paraId="65332A47" w14:textId="2A3C61A0" w:rsidR="00855ADB" w:rsidRDefault="00E60D1B" w:rsidP="008D2290">
            <w:pPr>
              <w:jc w:val="both"/>
              <w:rPr>
                <w:rFonts w:ascii="Cambria" w:hAnsi="Cambria"/>
                <w:bCs/>
                <w:sz w:val="20"/>
                <w:szCs w:val="20"/>
                <w:lang w:val="es-ES"/>
              </w:rPr>
            </w:pPr>
            <w:r>
              <w:rPr>
                <w:rFonts w:ascii="Cambria" w:hAnsi="Cambria"/>
                <w:bCs/>
                <w:sz w:val="20"/>
                <w:szCs w:val="20"/>
                <w:lang w:val="es-ES"/>
              </w:rPr>
              <w:t>2</w:t>
            </w:r>
            <w:r w:rsidR="003A39F8">
              <w:rPr>
                <w:rFonts w:ascii="Cambria" w:hAnsi="Cambria"/>
                <w:bCs/>
                <w:sz w:val="20"/>
                <w:szCs w:val="20"/>
                <w:lang w:val="es-ES"/>
              </w:rPr>
              <w:t>1</w:t>
            </w:r>
            <w:r>
              <w:rPr>
                <w:rFonts w:ascii="Cambria" w:hAnsi="Cambria"/>
                <w:bCs/>
                <w:sz w:val="20"/>
                <w:szCs w:val="20"/>
                <w:lang w:val="es-ES"/>
              </w:rPr>
              <w:t xml:space="preserve"> de </w:t>
            </w:r>
            <w:r w:rsidR="003A39F8">
              <w:rPr>
                <w:rFonts w:ascii="Cambria" w:hAnsi="Cambria"/>
                <w:bCs/>
                <w:sz w:val="20"/>
                <w:szCs w:val="20"/>
                <w:lang w:val="es-ES"/>
              </w:rPr>
              <w:t>diciembre</w:t>
            </w:r>
            <w:r>
              <w:rPr>
                <w:rFonts w:ascii="Cambria" w:hAnsi="Cambria"/>
                <w:bCs/>
                <w:sz w:val="20"/>
                <w:szCs w:val="20"/>
                <w:lang w:val="es-ES"/>
              </w:rPr>
              <w:t xml:space="preserve"> de 2021</w:t>
            </w:r>
          </w:p>
        </w:tc>
      </w:tr>
      <w:tr w:rsidR="00855ADB" w:rsidRPr="0029524C" w14:paraId="1C5078A5" w14:textId="77777777" w:rsidTr="004A6A54">
        <w:tc>
          <w:tcPr>
            <w:tcW w:w="3600" w:type="dxa"/>
            <w:tcBorders>
              <w:top w:val="single" w:sz="6" w:space="0" w:color="auto"/>
              <w:bottom w:val="single" w:sz="6" w:space="0" w:color="auto"/>
            </w:tcBorders>
            <w:shd w:val="clear" w:color="auto" w:fill="386294"/>
            <w:vAlign w:val="center"/>
          </w:tcPr>
          <w:p w14:paraId="658AA7B5" w14:textId="7B965730" w:rsidR="00855ADB" w:rsidRDefault="00DB5600"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Respuesta a advertencia de archivo</w:t>
            </w:r>
          </w:p>
        </w:tc>
        <w:tc>
          <w:tcPr>
            <w:tcW w:w="5760" w:type="dxa"/>
            <w:vAlign w:val="center"/>
          </w:tcPr>
          <w:p w14:paraId="1350C2DE" w14:textId="7CA00D8F" w:rsidR="00855ADB" w:rsidRDefault="00820668" w:rsidP="008D2290">
            <w:pPr>
              <w:jc w:val="both"/>
              <w:rPr>
                <w:rFonts w:ascii="Cambria" w:hAnsi="Cambria"/>
                <w:bCs/>
                <w:sz w:val="20"/>
                <w:szCs w:val="20"/>
                <w:lang w:val="es-ES"/>
              </w:rPr>
            </w:pPr>
            <w:r>
              <w:rPr>
                <w:rFonts w:ascii="Cambria" w:hAnsi="Cambria"/>
                <w:bCs/>
                <w:sz w:val="20"/>
                <w:szCs w:val="20"/>
                <w:lang w:val="es-ES"/>
              </w:rPr>
              <w:t>11 de enero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473D63A6"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804B26A"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5851DFD4" w:rsidR="003239B8" w:rsidRPr="00B3745F" w:rsidRDefault="004A12C7" w:rsidP="008D2290">
            <w:pPr>
              <w:rPr>
                <w:rFonts w:ascii="Cambria" w:hAnsi="Cambria"/>
                <w:bCs/>
                <w:sz w:val="20"/>
                <w:szCs w:val="20"/>
              </w:rPr>
            </w:pPr>
            <w:r>
              <w:rPr>
                <w:rFonts w:ascii="Cambria" w:hAnsi="Cambria"/>
                <w:bCs/>
                <w:sz w:val="20"/>
                <w:szCs w:val="20"/>
                <w:lang w:val="es-ES"/>
              </w:rPr>
              <w:t>Sí</w:t>
            </w:r>
          </w:p>
        </w:tc>
      </w:tr>
      <w:tr w:rsidR="003239B8" w:rsidRPr="007107D0"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76CCC835" w:rsidR="003239B8" w:rsidRPr="00B3745F" w:rsidRDefault="004A12C7" w:rsidP="008D2290">
            <w:pPr>
              <w:jc w:val="both"/>
              <w:rPr>
                <w:rFonts w:ascii="Cambria" w:hAnsi="Cambria"/>
                <w:bCs/>
                <w:sz w:val="20"/>
                <w:szCs w:val="20"/>
                <w:lang w:val="es-ES"/>
              </w:rPr>
            </w:pPr>
            <w:r>
              <w:rPr>
                <w:rFonts w:ascii="Cambria" w:hAnsi="Cambria"/>
                <w:bCs/>
                <w:sz w:val="20"/>
                <w:szCs w:val="20"/>
                <w:lang w:val="es-ES"/>
              </w:rPr>
              <w:t xml:space="preserve">Sí, Convención Americana (depósito del instrumento de ratificación realizado el </w:t>
            </w:r>
            <w:r w:rsidR="00D029F8">
              <w:rPr>
                <w:rFonts w:ascii="Cambria" w:hAnsi="Cambria"/>
                <w:bCs/>
                <w:sz w:val="20"/>
                <w:szCs w:val="20"/>
                <w:lang w:val="es-ES"/>
              </w:rPr>
              <w:t>8</w:t>
            </w:r>
            <w:r>
              <w:rPr>
                <w:rFonts w:ascii="Cambria" w:hAnsi="Cambria"/>
                <w:bCs/>
                <w:sz w:val="20"/>
                <w:szCs w:val="20"/>
                <w:lang w:val="es-ES"/>
              </w:rPr>
              <w:t xml:space="preserve"> de </w:t>
            </w:r>
            <w:r w:rsidR="00D029F8">
              <w:rPr>
                <w:rFonts w:ascii="Cambria" w:hAnsi="Cambria"/>
                <w:bCs/>
                <w:sz w:val="20"/>
                <w:szCs w:val="20"/>
                <w:lang w:val="es-ES"/>
              </w:rPr>
              <w:t>abril</w:t>
            </w:r>
            <w:r>
              <w:rPr>
                <w:rFonts w:ascii="Cambria" w:hAnsi="Cambria"/>
                <w:bCs/>
                <w:sz w:val="20"/>
                <w:szCs w:val="20"/>
                <w:lang w:val="es-ES"/>
              </w:rPr>
              <w:t xml:space="preserve"> de 197</w:t>
            </w:r>
            <w:r w:rsidR="00D029F8">
              <w:rPr>
                <w:rFonts w:ascii="Cambria" w:hAnsi="Cambria"/>
                <w:bCs/>
                <w:sz w:val="20"/>
                <w:szCs w:val="20"/>
                <w:lang w:val="es-ES"/>
              </w:rPr>
              <w:t>0</w:t>
            </w:r>
            <w:r>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FF1770"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FF1770" w:rsidRDefault="00EE00E9" w:rsidP="008D2290">
            <w:pPr>
              <w:jc w:val="center"/>
              <w:rPr>
                <w:rFonts w:ascii="Cambria" w:hAnsi="Cambria"/>
                <w:b/>
                <w:bCs/>
                <w:color w:val="FFFFFF" w:themeColor="background1"/>
                <w:sz w:val="20"/>
                <w:szCs w:val="20"/>
                <w:lang w:val="es-ES_tradnl"/>
              </w:rPr>
            </w:pPr>
            <w:r w:rsidRPr="00FF1770">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240941E6" w14:textId="62480509" w:rsidR="00EE00E9" w:rsidRPr="00FF1770" w:rsidRDefault="00FF1770" w:rsidP="008D2290">
            <w:pPr>
              <w:jc w:val="both"/>
              <w:rPr>
                <w:rFonts w:ascii="Cambria" w:hAnsi="Cambria"/>
                <w:bCs/>
                <w:sz w:val="20"/>
                <w:szCs w:val="20"/>
                <w:lang w:val="es-ES_tradnl"/>
              </w:rPr>
            </w:pPr>
            <w:r w:rsidRPr="00FF1770">
              <w:rPr>
                <w:rFonts w:ascii="Cambria" w:hAnsi="Cambria"/>
                <w:bCs/>
                <w:sz w:val="20"/>
                <w:szCs w:val="20"/>
                <w:lang w:val="es-ES_tradnl"/>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FF1770" w:rsidRDefault="003239B8" w:rsidP="008D2290">
            <w:pPr>
              <w:jc w:val="center"/>
              <w:rPr>
                <w:rFonts w:ascii="Cambria" w:hAnsi="Cambria"/>
                <w:b/>
                <w:bCs/>
                <w:i/>
                <w:color w:val="FFFFFF" w:themeColor="background1"/>
                <w:sz w:val="20"/>
                <w:szCs w:val="20"/>
                <w:lang w:val="es-ES_tradnl"/>
              </w:rPr>
            </w:pPr>
            <w:r w:rsidRPr="00FF1770">
              <w:rPr>
                <w:rFonts w:ascii="Cambria" w:hAnsi="Cambria"/>
                <w:b/>
                <w:bCs/>
                <w:color w:val="FFFFFF" w:themeColor="background1"/>
                <w:sz w:val="20"/>
                <w:szCs w:val="20"/>
                <w:lang w:val="es-ES_tradnl"/>
              </w:rPr>
              <w:t>Derechos declarados admisibles</w:t>
            </w:r>
            <w:r w:rsidRPr="00FF1770">
              <w:rPr>
                <w:rFonts w:ascii="Cambria" w:hAnsi="Cambria"/>
                <w:b/>
                <w:bCs/>
                <w:i/>
                <w:color w:val="FFFFFF" w:themeColor="background1"/>
                <w:sz w:val="20"/>
                <w:szCs w:val="20"/>
                <w:lang w:val="es-ES_tradnl"/>
              </w:rPr>
              <w:t>:</w:t>
            </w:r>
          </w:p>
        </w:tc>
        <w:tc>
          <w:tcPr>
            <w:tcW w:w="5760" w:type="dxa"/>
            <w:vAlign w:val="center"/>
          </w:tcPr>
          <w:p w14:paraId="6310C8F7" w14:textId="553F6951" w:rsidR="003239B8" w:rsidRPr="00FF1770" w:rsidRDefault="00177D16" w:rsidP="008D2290">
            <w:pPr>
              <w:jc w:val="both"/>
              <w:rPr>
                <w:rFonts w:ascii="Cambria" w:hAnsi="Cambria"/>
                <w:bCs/>
                <w:sz w:val="20"/>
                <w:szCs w:val="20"/>
                <w:lang w:val="es-ES_tradnl"/>
              </w:rPr>
            </w:pPr>
            <w:r>
              <w:rPr>
                <w:rFonts w:ascii="Cambria" w:hAnsi="Cambria"/>
                <w:bCs/>
                <w:sz w:val="20"/>
                <w:szCs w:val="20"/>
                <w:lang w:val="es-ES_tradnl"/>
              </w:rPr>
              <w:t>N/A</w:t>
            </w:r>
          </w:p>
        </w:tc>
      </w:tr>
      <w:tr w:rsidR="003239B8" w:rsidRPr="007107D0"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FF1770" w:rsidRDefault="003239B8" w:rsidP="008D2290">
            <w:pPr>
              <w:jc w:val="center"/>
              <w:rPr>
                <w:rFonts w:ascii="Cambria" w:hAnsi="Cambria"/>
                <w:b/>
                <w:bCs/>
                <w:color w:val="FFFFFF" w:themeColor="background1"/>
                <w:sz w:val="20"/>
                <w:szCs w:val="20"/>
                <w:lang w:val="es-ES_tradnl"/>
              </w:rPr>
            </w:pPr>
            <w:r w:rsidRPr="00FF1770">
              <w:rPr>
                <w:rFonts w:ascii="Cambria" w:hAnsi="Cambria"/>
                <w:b/>
                <w:bCs/>
                <w:color w:val="FFFFFF" w:themeColor="background1"/>
                <w:sz w:val="20"/>
                <w:szCs w:val="20"/>
                <w:lang w:val="es-ES_tradnl"/>
              </w:rPr>
              <w:t>Agotamiento de recursos internos</w:t>
            </w:r>
            <w:r w:rsidR="00EE00E9" w:rsidRPr="00FF1770">
              <w:rPr>
                <w:rFonts w:ascii="Cambria" w:hAnsi="Cambria"/>
                <w:b/>
                <w:bCs/>
                <w:color w:val="FFFFFF" w:themeColor="background1"/>
                <w:sz w:val="20"/>
                <w:szCs w:val="20"/>
                <w:lang w:val="es-ES_tradnl"/>
              </w:rPr>
              <w:t xml:space="preserve"> o procedencia de una excepción</w:t>
            </w:r>
            <w:r w:rsidRPr="00FF1770">
              <w:rPr>
                <w:rFonts w:ascii="Cambria" w:hAnsi="Cambria"/>
                <w:b/>
                <w:bCs/>
                <w:color w:val="FFFFFF" w:themeColor="background1"/>
                <w:sz w:val="20"/>
                <w:szCs w:val="20"/>
                <w:lang w:val="es-ES_tradnl"/>
              </w:rPr>
              <w:t>:</w:t>
            </w:r>
          </w:p>
        </w:tc>
        <w:tc>
          <w:tcPr>
            <w:tcW w:w="5760" w:type="dxa"/>
            <w:vAlign w:val="center"/>
          </w:tcPr>
          <w:p w14:paraId="69C53E8A" w14:textId="6B56DF6D" w:rsidR="003239B8" w:rsidRPr="00FF1770" w:rsidRDefault="00FF1770" w:rsidP="008D2290">
            <w:pPr>
              <w:rPr>
                <w:rFonts w:ascii="Cambria" w:hAnsi="Cambria"/>
                <w:bCs/>
                <w:sz w:val="20"/>
                <w:szCs w:val="20"/>
                <w:lang w:val="es-ES_tradnl"/>
              </w:rPr>
            </w:pPr>
            <w:r w:rsidRPr="00FF1770">
              <w:rPr>
                <w:rFonts w:ascii="Cambria" w:hAnsi="Cambria"/>
                <w:bCs/>
                <w:sz w:val="20"/>
                <w:szCs w:val="20"/>
                <w:lang w:val="es-ES_tradnl"/>
              </w:rPr>
              <w:t>No, en los términos de la sección VII</w:t>
            </w:r>
          </w:p>
        </w:tc>
      </w:tr>
      <w:tr w:rsidR="003239B8" w:rsidRPr="0037682C"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FF1770" w:rsidRDefault="003239B8" w:rsidP="008D2290">
            <w:pPr>
              <w:jc w:val="center"/>
              <w:rPr>
                <w:rFonts w:ascii="Cambria" w:hAnsi="Cambria"/>
                <w:b/>
                <w:bCs/>
                <w:color w:val="FFFFFF" w:themeColor="background1"/>
                <w:sz w:val="20"/>
                <w:szCs w:val="20"/>
                <w:lang w:val="es-ES_tradnl"/>
              </w:rPr>
            </w:pPr>
            <w:r w:rsidRPr="00FF1770">
              <w:rPr>
                <w:rFonts w:ascii="Cambria" w:hAnsi="Cambria"/>
                <w:b/>
                <w:bCs/>
                <w:color w:val="FFFFFF" w:themeColor="background1"/>
                <w:sz w:val="20"/>
                <w:szCs w:val="20"/>
                <w:lang w:val="es-ES_tradnl"/>
              </w:rPr>
              <w:t>Presentación dentro de plazo:</w:t>
            </w:r>
          </w:p>
        </w:tc>
        <w:tc>
          <w:tcPr>
            <w:tcW w:w="5760" w:type="dxa"/>
            <w:vAlign w:val="center"/>
          </w:tcPr>
          <w:p w14:paraId="4A2A4569" w14:textId="2925532C" w:rsidR="003239B8" w:rsidRPr="00FF1770" w:rsidRDefault="00970A53" w:rsidP="008D2290">
            <w:pPr>
              <w:rPr>
                <w:rFonts w:ascii="Cambria" w:hAnsi="Cambria"/>
                <w:bCs/>
                <w:sz w:val="20"/>
                <w:szCs w:val="20"/>
                <w:lang w:val="es-ES_tradnl"/>
              </w:rPr>
            </w:pPr>
            <w:r w:rsidRPr="007653D8">
              <w:rPr>
                <w:rFonts w:ascii="Cambria" w:hAnsi="Cambria"/>
                <w:bCs/>
                <w:sz w:val="20"/>
                <w:szCs w:val="20"/>
                <w:lang w:val="es-US"/>
              </w:rPr>
              <w:t>No aplica</w:t>
            </w:r>
          </w:p>
        </w:tc>
      </w:tr>
    </w:tbl>
    <w:p w14:paraId="18E6423B" w14:textId="5762B3E0" w:rsidR="003239B8" w:rsidRPr="00921C22"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39144C" w:rsidRPr="00921C22">
        <w:rPr>
          <w:rFonts w:asciiTheme="majorHAnsi" w:hAnsiTheme="majorHAnsi"/>
          <w:b/>
          <w:sz w:val="20"/>
          <w:szCs w:val="20"/>
          <w:lang w:val="es-ES_tradnl"/>
        </w:rPr>
        <w:t>POSICIÓN DE LAS PARTES</w:t>
      </w:r>
      <w:r w:rsidR="003239B8" w:rsidRPr="00921C22">
        <w:rPr>
          <w:rFonts w:asciiTheme="majorHAnsi" w:hAnsiTheme="majorHAnsi"/>
          <w:b/>
          <w:sz w:val="20"/>
          <w:szCs w:val="20"/>
          <w:lang w:val="es-ES_tradnl"/>
        </w:rPr>
        <w:t xml:space="preserve"> </w:t>
      </w:r>
    </w:p>
    <w:p w14:paraId="17183C77" w14:textId="44A8239F" w:rsidR="00A91250" w:rsidRPr="00921C22" w:rsidRDefault="00A91250" w:rsidP="00E13DF6">
      <w:pPr>
        <w:spacing w:before="240" w:after="240"/>
        <w:ind w:firstLine="720"/>
        <w:jc w:val="both"/>
        <w:rPr>
          <w:rFonts w:asciiTheme="majorHAnsi" w:hAnsiTheme="majorHAnsi"/>
          <w:bCs/>
          <w:i/>
          <w:iCs/>
          <w:sz w:val="20"/>
          <w:szCs w:val="20"/>
          <w:lang w:val="es-ES_tradnl"/>
        </w:rPr>
      </w:pPr>
      <w:r w:rsidRPr="00921C22">
        <w:rPr>
          <w:rFonts w:asciiTheme="majorHAnsi" w:hAnsiTheme="majorHAnsi"/>
          <w:bCs/>
          <w:i/>
          <w:iCs/>
          <w:sz w:val="20"/>
          <w:szCs w:val="20"/>
          <w:lang w:val="es-ES_tradnl"/>
        </w:rPr>
        <w:t>Alegatos de la parte peticionaria</w:t>
      </w:r>
    </w:p>
    <w:p w14:paraId="19EBAEB3" w14:textId="264F942D" w:rsidR="008C5E2D" w:rsidRPr="00921C22" w:rsidRDefault="00BF33A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21C22">
        <w:rPr>
          <w:rFonts w:ascii="Cambria" w:hAnsi="Cambria"/>
          <w:sz w:val="20"/>
          <w:szCs w:val="20"/>
          <w:lang w:val="es-ES_tradnl"/>
        </w:rPr>
        <w:t xml:space="preserve">El señor Fuentes Molina, en su condición de peticionario y presunta víctima, denuncia </w:t>
      </w:r>
      <w:r w:rsidR="006D46A1" w:rsidRPr="00921C22">
        <w:rPr>
          <w:rFonts w:ascii="Cambria" w:hAnsi="Cambria"/>
          <w:sz w:val="20"/>
          <w:szCs w:val="20"/>
          <w:lang w:val="es-ES_tradnl"/>
        </w:rPr>
        <w:t>que</w:t>
      </w:r>
      <w:r w:rsidR="00AA13C0" w:rsidRPr="00921C22">
        <w:rPr>
          <w:rFonts w:ascii="Cambria" w:hAnsi="Cambria"/>
          <w:sz w:val="20"/>
          <w:szCs w:val="20"/>
          <w:lang w:val="es-ES_tradnl"/>
        </w:rPr>
        <w:t xml:space="preserve"> no tuvo acceso a un recurso que permita la revisión integral de su condena por el delito de violación calificada y abuso sexual.</w:t>
      </w:r>
    </w:p>
    <w:p w14:paraId="60195FA6" w14:textId="08F4DFF4" w:rsidR="00E85EA9" w:rsidRPr="007653D8" w:rsidRDefault="00044A0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Cambria" w:hAnsi="Cambria"/>
          <w:sz w:val="20"/>
          <w:szCs w:val="20"/>
          <w:lang w:val="es-ES_tradnl"/>
        </w:rPr>
        <w:lastRenderedPageBreak/>
        <w:t xml:space="preserve">Informa </w:t>
      </w:r>
      <w:r w:rsidR="00473950" w:rsidRPr="007653D8">
        <w:rPr>
          <w:rFonts w:ascii="Cambria" w:hAnsi="Cambria"/>
          <w:sz w:val="20"/>
          <w:szCs w:val="20"/>
          <w:lang w:val="es-ES_tradnl"/>
        </w:rPr>
        <w:t>–</w:t>
      </w:r>
      <w:r w:rsidRPr="007653D8">
        <w:rPr>
          <w:rFonts w:ascii="Cambria" w:hAnsi="Cambria"/>
          <w:sz w:val="20"/>
          <w:szCs w:val="20"/>
          <w:lang w:val="es-ES_tradnl"/>
        </w:rPr>
        <w:t>s</w:t>
      </w:r>
      <w:r w:rsidR="00E020A9" w:rsidRPr="007653D8">
        <w:rPr>
          <w:rFonts w:ascii="Cambria" w:hAnsi="Cambria"/>
          <w:sz w:val="20"/>
          <w:szCs w:val="20"/>
          <w:lang w:val="es-ES_tradnl"/>
        </w:rPr>
        <w:t>in brindar detalles sobre el proceso investigación</w:t>
      </w:r>
      <w:r w:rsidR="00473950" w:rsidRPr="007653D8">
        <w:rPr>
          <w:rFonts w:ascii="Cambria" w:hAnsi="Cambria"/>
          <w:sz w:val="20"/>
          <w:szCs w:val="20"/>
          <w:lang w:val="es-ES_tradnl"/>
        </w:rPr>
        <w:t>–</w:t>
      </w:r>
      <w:r w:rsidR="00E020A9" w:rsidRPr="007653D8">
        <w:rPr>
          <w:rFonts w:ascii="Cambria" w:hAnsi="Cambria"/>
          <w:sz w:val="20"/>
          <w:szCs w:val="20"/>
          <w:lang w:val="es-ES_tradnl"/>
        </w:rPr>
        <w:t xml:space="preserve">, </w:t>
      </w:r>
      <w:r w:rsidR="002E242D" w:rsidRPr="007653D8">
        <w:rPr>
          <w:rFonts w:ascii="Cambria" w:hAnsi="Cambria"/>
          <w:sz w:val="20"/>
          <w:szCs w:val="20"/>
          <w:lang w:val="es-ES_tradnl"/>
        </w:rPr>
        <w:t>que e</w:t>
      </w:r>
      <w:r w:rsidR="000F5D27" w:rsidRPr="007653D8">
        <w:rPr>
          <w:rFonts w:ascii="Cambria" w:hAnsi="Cambria"/>
          <w:sz w:val="20"/>
          <w:szCs w:val="20"/>
          <w:lang w:val="es-ES_tradnl"/>
        </w:rPr>
        <w:t xml:space="preserve">l 13 de julio de 2007 el Tribunal de Juicio de Cartago, mediante sentencia 282-07, </w:t>
      </w:r>
      <w:r w:rsidR="002701C6" w:rsidRPr="007653D8">
        <w:rPr>
          <w:rFonts w:ascii="Cambria" w:hAnsi="Cambria"/>
          <w:sz w:val="20"/>
          <w:szCs w:val="20"/>
          <w:lang w:val="es-ES_tradnl"/>
        </w:rPr>
        <w:t xml:space="preserve">lo </w:t>
      </w:r>
      <w:r w:rsidR="000F5D27" w:rsidRPr="007653D8">
        <w:rPr>
          <w:rFonts w:ascii="Cambria" w:hAnsi="Cambria"/>
          <w:sz w:val="20"/>
          <w:szCs w:val="20"/>
          <w:lang w:val="es-ES_tradnl"/>
        </w:rPr>
        <w:t xml:space="preserve">condenó a </w:t>
      </w:r>
      <w:r w:rsidR="00401491" w:rsidRPr="007653D8">
        <w:rPr>
          <w:rFonts w:ascii="Cambria" w:hAnsi="Cambria"/>
          <w:sz w:val="20"/>
          <w:szCs w:val="20"/>
          <w:lang w:val="es-ES_tradnl"/>
        </w:rPr>
        <w:t>treinta y dos</w:t>
      </w:r>
      <w:r w:rsidR="000F5D27" w:rsidRPr="007653D8">
        <w:rPr>
          <w:rFonts w:ascii="Cambria" w:hAnsi="Cambria"/>
          <w:sz w:val="20"/>
          <w:szCs w:val="20"/>
          <w:lang w:val="es-ES_tradnl"/>
        </w:rPr>
        <w:t xml:space="preserve"> años de pena privativa de libertad por los delitos de</w:t>
      </w:r>
      <w:r w:rsidR="00FE6CB4" w:rsidRPr="007653D8">
        <w:rPr>
          <w:rFonts w:ascii="Cambria" w:hAnsi="Cambria"/>
          <w:sz w:val="20"/>
          <w:szCs w:val="20"/>
          <w:lang w:val="es-ES_tradnl"/>
        </w:rPr>
        <w:t xml:space="preserve"> violación calificada y abuso sexual contra una persona menor de edad. </w:t>
      </w:r>
    </w:p>
    <w:p w14:paraId="7AE88763" w14:textId="139F777F" w:rsidR="00FE6CB4" w:rsidRPr="007653D8" w:rsidRDefault="002701C6" w:rsidP="007D28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Cambria" w:hAnsi="Cambria"/>
          <w:sz w:val="20"/>
          <w:szCs w:val="20"/>
          <w:lang w:val="es-ES_tradnl"/>
        </w:rPr>
        <w:t>Al respecto</w:t>
      </w:r>
      <w:r w:rsidR="002E242D" w:rsidRPr="007653D8">
        <w:rPr>
          <w:rFonts w:ascii="Cambria" w:hAnsi="Cambria"/>
          <w:sz w:val="20"/>
          <w:szCs w:val="20"/>
          <w:lang w:val="es-ES_tradnl"/>
        </w:rPr>
        <w:t xml:space="preserve">, </w:t>
      </w:r>
      <w:r w:rsidR="00FE6CB4" w:rsidRPr="007653D8">
        <w:rPr>
          <w:rFonts w:ascii="Cambria" w:hAnsi="Cambria"/>
          <w:sz w:val="20"/>
          <w:szCs w:val="20"/>
          <w:lang w:val="es-ES_tradnl"/>
        </w:rPr>
        <w:t xml:space="preserve">denuncia que la sentencia </w:t>
      </w:r>
      <w:r w:rsidR="007D282D" w:rsidRPr="007653D8">
        <w:rPr>
          <w:rFonts w:ascii="Cambria" w:hAnsi="Cambria"/>
          <w:sz w:val="20"/>
          <w:szCs w:val="20"/>
          <w:lang w:val="es-ES_tradnl"/>
        </w:rPr>
        <w:t>no estuvo adecuadamente fundamentada</w:t>
      </w:r>
      <w:r w:rsidR="00FC2484" w:rsidRPr="007653D8">
        <w:rPr>
          <w:rFonts w:ascii="Cambria" w:hAnsi="Cambria"/>
          <w:sz w:val="20"/>
          <w:szCs w:val="20"/>
          <w:lang w:val="es-ES_tradnl"/>
        </w:rPr>
        <w:t>,</w:t>
      </w:r>
      <w:r w:rsidR="007D282D" w:rsidRPr="007653D8">
        <w:rPr>
          <w:rFonts w:ascii="Cambria" w:hAnsi="Cambria"/>
          <w:sz w:val="20"/>
          <w:szCs w:val="20"/>
          <w:lang w:val="es-ES_tradnl"/>
        </w:rPr>
        <w:t xml:space="preserve"> y por ende se encuentra encarcelado de manera injusta.</w:t>
      </w:r>
      <w:r w:rsidR="0037682C" w:rsidRPr="007653D8">
        <w:rPr>
          <w:rFonts w:ascii="Cambria" w:hAnsi="Cambria"/>
          <w:sz w:val="20"/>
          <w:szCs w:val="20"/>
          <w:lang w:val="es-ES_tradnl"/>
        </w:rPr>
        <w:t xml:space="preserve"> A juicio de la parte peticionaria, tal situación constituye un trato diferenciado en su contra e implica una negación de sus derechos a las garantías judiciales y a la protección judicial.</w:t>
      </w:r>
      <w:r w:rsidR="007D282D" w:rsidRPr="007653D8">
        <w:rPr>
          <w:rFonts w:ascii="Cambria" w:hAnsi="Cambria"/>
          <w:sz w:val="20"/>
          <w:szCs w:val="20"/>
          <w:lang w:val="es-ES_tradnl"/>
        </w:rPr>
        <w:t xml:space="preserve"> Asimismo, arguye que presentó una denuncia por falso testimonio contra la persona que promovió el inicio del proceso penal en su contra, pero no obtuvo una respuesta. </w:t>
      </w:r>
      <w:r w:rsidR="00FE6CB4" w:rsidRPr="007653D8">
        <w:rPr>
          <w:rFonts w:ascii="Cambria" w:hAnsi="Cambria"/>
          <w:sz w:val="20"/>
          <w:szCs w:val="20"/>
          <w:lang w:val="es-ES_tradnl"/>
        </w:rPr>
        <w:t xml:space="preserve"> </w:t>
      </w:r>
    </w:p>
    <w:p w14:paraId="3E5B0FD0" w14:textId="4E1802DC" w:rsidR="00A57AAE" w:rsidRPr="007653D8" w:rsidRDefault="00A57AAE" w:rsidP="00A57A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7653D8">
        <w:rPr>
          <w:rFonts w:ascii="Cambria" w:hAnsi="Cambria"/>
          <w:i/>
          <w:iCs/>
          <w:sz w:val="20"/>
          <w:szCs w:val="20"/>
          <w:lang w:val="es-ES_tradnl"/>
        </w:rPr>
        <w:t>Alegatos del Estado</w:t>
      </w:r>
      <w:r w:rsidR="00B57FE8" w:rsidRPr="007653D8">
        <w:rPr>
          <w:rFonts w:ascii="Cambria" w:hAnsi="Cambria"/>
          <w:i/>
          <w:iCs/>
          <w:sz w:val="20"/>
          <w:szCs w:val="20"/>
          <w:lang w:val="es-ES_tradnl"/>
        </w:rPr>
        <w:t xml:space="preserve"> costarricense</w:t>
      </w:r>
    </w:p>
    <w:p w14:paraId="0180A41D" w14:textId="7810C5B7" w:rsidR="002E242D" w:rsidRPr="007653D8" w:rsidRDefault="007D282D" w:rsidP="002701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Cambria" w:hAnsi="Cambria"/>
          <w:sz w:val="20"/>
          <w:szCs w:val="20"/>
          <w:lang w:val="es-ES_tradnl"/>
        </w:rPr>
        <w:t xml:space="preserve">El Estado, por su parte, </w:t>
      </w:r>
      <w:r w:rsidR="002701C6" w:rsidRPr="007653D8">
        <w:rPr>
          <w:rFonts w:ascii="Cambria" w:hAnsi="Cambria"/>
          <w:sz w:val="20"/>
          <w:szCs w:val="20"/>
          <w:lang w:val="es-ES_tradnl"/>
        </w:rPr>
        <w:t xml:space="preserve">complementa la información aportada por la parte peticionaria e informa </w:t>
      </w:r>
      <w:r w:rsidRPr="007653D8">
        <w:rPr>
          <w:rFonts w:ascii="Cambria" w:hAnsi="Cambria"/>
          <w:sz w:val="20"/>
          <w:szCs w:val="20"/>
          <w:lang w:val="es-ES_tradnl"/>
        </w:rPr>
        <w:t>e</w:t>
      </w:r>
      <w:r w:rsidR="002E242D" w:rsidRPr="007653D8">
        <w:rPr>
          <w:rFonts w:ascii="Cambria" w:hAnsi="Cambria"/>
          <w:sz w:val="20"/>
          <w:szCs w:val="20"/>
          <w:lang w:val="es-ES_tradnl"/>
        </w:rPr>
        <w:t xml:space="preserve">l 9 de agosto de 2007 la defensa de la presunta víctima presentó </w:t>
      </w:r>
      <w:r w:rsidR="00FB7CEB" w:rsidRPr="007653D8">
        <w:rPr>
          <w:rFonts w:ascii="Cambria" w:hAnsi="Cambria"/>
          <w:sz w:val="20"/>
          <w:szCs w:val="20"/>
          <w:lang w:val="es-ES_tradnl"/>
        </w:rPr>
        <w:t xml:space="preserve">un </w:t>
      </w:r>
      <w:r w:rsidR="002E242D" w:rsidRPr="007653D8">
        <w:rPr>
          <w:rFonts w:ascii="Cambria" w:hAnsi="Cambria"/>
          <w:sz w:val="20"/>
          <w:szCs w:val="20"/>
          <w:lang w:val="es-ES_tradnl"/>
        </w:rPr>
        <w:t>recurso de casación,</w:t>
      </w:r>
      <w:r w:rsidR="00970A53" w:rsidRPr="007653D8">
        <w:rPr>
          <w:rFonts w:ascii="Cambria" w:hAnsi="Cambria"/>
          <w:sz w:val="20"/>
          <w:szCs w:val="20"/>
          <w:lang w:val="es-ES_tradnl"/>
        </w:rPr>
        <w:t xml:space="preserve"> arguyendo que las pruebas aportadas no demostraban que fuese culpable de los delitos imputados, </w:t>
      </w:r>
      <w:r w:rsidR="002E242D" w:rsidRPr="007653D8">
        <w:rPr>
          <w:rFonts w:ascii="Cambria" w:hAnsi="Cambria"/>
          <w:sz w:val="20"/>
          <w:szCs w:val="20"/>
          <w:lang w:val="es-ES_tradnl"/>
        </w:rPr>
        <w:t xml:space="preserve">pero el 10 de diciembre de 2007 el Tribunal de Casación Penal del Segundo Circuito Judicial de San José lo declaró sin lugar. </w:t>
      </w:r>
    </w:p>
    <w:p w14:paraId="620D5A0D" w14:textId="4B7DE91E" w:rsidR="0037682C" w:rsidRPr="007653D8" w:rsidRDefault="002701C6" w:rsidP="00AC53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Cambria" w:hAnsi="Cambria"/>
          <w:sz w:val="20"/>
          <w:szCs w:val="20"/>
          <w:lang w:val="es-ES_tradnl"/>
        </w:rPr>
        <w:t xml:space="preserve">Asimismo, indica </w:t>
      </w:r>
      <w:r w:rsidR="0037682C" w:rsidRPr="007653D8">
        <w:rPr>
          <w:rFonts w:ascii="Cambria" w:hAnsi="Cambria"/>
          <w:sz w:val="20"/>
          <w:szCs w:val="20"/>
          <w:lang w:val="es-ES_tradnl"/>
        </w:rPr>
        <w:t>que,</w:t>
      </w:r>
      <w:r w:rsidRPr="007653D8">
        <w:rPr>
          <w:rFonts w:ascii="Cambria" w:hAnsi="Cambria"/>
          <w:sz w:val="20"/>
          <w:szCs w:val="20"/>
          <w:lang w:val="es-ES_tradnl"/>
        </w:rPr>
        <w:t xml:space="preserve"> frente a esta decisión</w:t>
      </w:r>
      <w:r w:rsidR="002E242D" w:rsidRPr="007653D8">
        <w:rPr>
          <w:rFonts w:ascii="Cambria" w:hAnsi="Cambria"/>
          <w:sz w:val="20"/>
          <w:szCs w:val="20"/>
          <w:lang w:val="es-ES_tradnl"/>
        </w:rPr>
        <w:t>, el 4 de febrero de 2008</w:t>
      </w:r>
      <w:r w:rsidR="00FB7CEB" w:rsidRPr="007653D8">
        <w:rPr>
          <w:rFonts w:ascii="Cambria" w:hAnsi="Cambria"/>
          <w:sz w:val="20"/>
          <w:szCs w:val="20"/>
          <w:lang w:val="es-ES_tradnl"/>
        </w:rPr>
        <w:t>,</w:t>
      </w:r>
      <w:r w:rsidR="002E242D" w:rsidRPr="007653D8">
        <w:rPr>
          <w:rFonts w:ascii="Cambria" w:hAnsi="Cambria"/>
          <w:sz w:val="20"/>
          <w:szCs w:val="20"/>
          <w:lang w:val="es-ES_tradnl"/>
        </w:rPr>
        <w:t xml:space="preserve"> la representación del señor Fuentes Molina presentó un procedimiento de revisión de sentencia</w:t>
      </w:r>
      <w:r w:rsidR="0037682C" w:rsidRPr="007653D8">
        <w:rPr>
          <w:rFonts w:ascii="Cambria" w:hAnsi="Cambria"/>
          <w:sz w:val="20"/>
          <w:szCs w:val="20"/>
          <w:lang w:val="es-ES_tradnl"/>
        </w:rPr>
        <w:t>, arguyendo que su condena se fundamentó en testimonios falsos y que existían nuevas pruebas que demostraban su inocencia</w:t>
      </w:r>
      <w:r w:rsidR="002E242D" w:rsidRPr="007653D8">
        <w:rPr>
          <w:rFonts w:ascii="Cambria" w:hAnsi="Cambria"/>
          <w:sz w:val="20"/>
          <w:szCs w:val="20"/>
          <w:lang w:val="es-ES_tradnl"/>
        </w:rPr>
        <w:t>. Sin embargo, el 3 de julio de 2008 el Tribunal de Casación Penal de Cartago, mediante la resolución 2008-0190, lo rechazó</w:t>
      </w:r>
      <w:r w:rsidR="0037682C" w:rsidRPr="007653D8">
        <w:rPr>
          <w:rFonts w:ascii="Cambria" w:hAnsi="Cambria"/>
          <w:sz w:val="20"/>
          <w:szCs w:val="20"/>
          <w:lang w:val="es-ES_tradnl"/>
        </w:rPr>
        <w:t>, al considerar que no se brindaron pruebas o argumentos que permitan desacreditar el fallo condenatorio.</w:t>
      </w:r>
    </w:p>
    <w:p w14:paraId="401DD9E7" w14:textId="78800359" w:rsidR="005202F3" w:rsidRPr="007653D8" w:rsidRDefault="005202F3" w:rsidP="00AC53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Cambria" w:hAnsi="Cambria"/>
          <w:sz w:val="20"/>
          <w:szCs w:val="20"/>
          <w:lang w:val="es-ES_tradnl"/>
        </w:rPr>
        <w:t xml:space="preserve">Por último, sostiene que el 4 de junio de 2010 el señor Fuentes Molina presentó un recurso de hábeas corpus, cuestionando que se afectó su derecho a recurrir el fallo, pero el 10 de junio de 2010 la Sala Constitucional rechazó de plano </w:t>
      </w:r>
      <w:r w:rsidR="00C46C85" w:rsidRPr="007653D8">
        <w:rPr>
          <w:rFonts w:ascii="Cambria" w:hAnsi="Cambria"/>
          <w:sz w:val="20"/>
          <w:szCs w:val="20"/>
          <w:lang w:val="es-ES_tradnl"/>
        </w:rPr>
        <w:t>este</w:t>
      </w:r>
      <w:r w:rsidRPr="007653D8">
        <w:rPr>
          <w:rFonts w:ascii="Cambria" w:hAnsi="Cambria"/>
          <w:sz w:val="20"/>
          <w:szCs w:val="20"/>
          <w:lang w:val="es-ES_tradnl"/>
        </w:rPr>
        <w:t xml:space="preserve"> reclamo</w:t>
      </w:r>
      <w:r w:rsidR="00C46C85" w:rsidRPr="007653D8">
        <w:rPr>
          <w:rFonts w:ascii="Cambria" w:hAnsi="Cambria"/>
          <w:sz w:val="20"/>
          <w:szCs w:val="20"/>
          <w:lang w:val="es-ES_tradnl"/>
        </w:rPr>
        <w:t xml:space="preserve"> </w:t>
      </w:r>
      <w:r w:rsidR="009123C8" w:rsidRPr="007653D8">
        <w:rPr>
          <w:rFonts w:ascii="Cambria" w:hAnsi="Cambria"/>
          <w:sz w:val="20"/>
          <w:szCs w:val="20"/>
          <w:lang w:val="es-ES_tradnl"/>
        </w:rPr>
        <w:t xml:space="preserve">con base en las siguientes consideraciones: </w:t>
      </w:r>
    </w:p>
    <w:p w14:paraId="0FE3CFCA" w14:textId="48D311D2" w:rsidR="00BF738C" w:rsidRPr="007653D8" w:rsidRDefault="000B6C1B" w:rsidP="00D309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7653D8">
        <w:rPr>
          <w:rFonts w:ascii="Cambria" w:hAnsi="Cambria"/>
          <w:sz w:val="20"/>
          <w:szCs w:val="20"/>
          <w:lang w:val="es-ES_tradnl"/>
        </w:rPr>
        <w:t>[</w:t>
      </w:r>
      <w:r w:rsidR="00BF738C" w:rsidRPr="007653D8">
        <w:rPr>
          <w:rFonts w:ascii="Cambria" w:hAnsi="Cambria"/>
          <w:sz w:val="20"/>
          <w:szCs w:val="20"/>
          <w:lang w:val="es-ES_tradnl"/>
        </w:rPr>
        <w:t>…</w:t>
      </w:r>
      <w:r w:rsidRPr="007653D8">
        <w:rPr>
          <w:rFonts w:ascii="Cambria" w:hAnsi="Cambria"/>
          <w:sz w:val="20"/>
          <w:szCs w:val="20"/>
          <w:lang w:val="es-ES_tradnl"/>
        </w:rPr>
        <w:t>]</w:t>
      </w:r>
      <w:r w:rsidR="00BF738C" w:rsidRPr="007653D8">
        <w:rPr>
          <w:rFonts w:ascii="Cambria" w:hAnsi="Cambria"/>
          <w:sz w:val="20"/>
          <w:szCs w:val="20"/>
          <w:lang w:val="es-ES_tradnl"/>
        </w:rPr>
        <w:t xml:space="preserve"> debe indicarse que si el amp</w:t>
      </w:r>
      <w:r w:rsidR="00EF7AAB" w:rsidRPr="007653D8">
        <w:rPr>
          <w:rFonts w:ascii="Cambria" w:hAnsi="Cambria"/>
          <w:sz w:val="20"/>
          <w:szCs w:val="20"/>
          <w:lang w:val="es-ES_tradnl"/>
        </w:rPr>
        <w:t>a</w:t>
      </w:r>
      <w:r w:rsidR="00BF738C" w:rsidRPr="007653D8">
        <w:rPr>
          <w:rFonts w:ascii="Cambria" w:hAnsi="Cambria"/>
          <w:sz w:val="20"/>
          <w:szCs w:val="20"/>
          <w:lang w:val="es-ES_tradnl"/>
        </w:rPr>
        <w:t xml:space="preserve">rado estima que en el proceso penal seguido en su contra se ha violentado el principio de doble instancia, ello es una disconformidad que deberá alegar propiamente en la vía penal jurisdiccional, ya que no le corresponde a este Tribunal suplir a la jurisdicción penal o actuar como alzada en la materia, así como tampoco, entrar a valorar los términos de los fallos que se cuestionan o analizar la apreciación de la prueba que hubiese realizado el juzgador, a efecto de tener por demostrada la existencia del delito imputado o la participación del acusado, pues ello implicaría incidir en el ámbito de competencia propio de la jurisdicción penal, que constitucionalmente está reservado a los jueces correspondientes </w:t>
      </w:r>
      <w:r w:rsidRPr="007653D8">
        <w:rPr>
          <w:rFonts w:ascii="Cambria" w:hAnsi="Cambria"/>
          <w:sz w:val="20"/>
          <w:szCs w:val="20"/>
          <w:lang w:val="es-ES_tradnl"/>
        </w:rPr>
        <w:t>[</w:t>
      </w:r>
      <w:r w:rsidR="00BF738C" w:rsidRPr="007653D8">
        <w:rPr>
          <w:rFonts w:ascii="Cambria" w:hAnsi="Cambria"/>
          <w:sz w:val="20"/>
          <w:szCs w:val="20"/>
          <w:lang w:val="es-ES_tradnl"/>
        </w:rPr>
        <w:t>…</w:t>
      </w:r>
      <w:r w:rsidRPr="007653D8">
        <w:rPr>
          <w:rFonts w:ascii="Cambria" w:hAnsi="Cambria"/>
          <w:sz w:val="20"/>
          <w:szCs w:val="20"/>
          <w:lang w:val="es-ES_tradnl"/>
        </w:rPr>
        <w:t>]</w:t>
      </w:r>
    </w:p>
    <w:p w14:paraId="01A755A1" w14:textId="75D516DC" w:rsidR="00BF738C" w:rsidRPr="007653D8" w:rsidRDefault="00BF738C" w:rsidP="00D309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7653D8">
        <w:rPr>
          <w:rFonts w:ascii="Cambria" w:hAnsi="Cambria"/>
          <w:sz w:val="20"/>
          <w:szCs w:val="20"/>
          <w:lang w:val="es-ES_tradnl"/>
        </w:rPr>
        <w:t>Por otra parte, debe indicarse que, en cumplimiento de lo ordenado por la Corte Interamericana de Derechos Humanos, se promulgó la Ley número 8503 sobre la “</w:t>
      </w:r>
      <w:r w:rsidRPr="007653D8">
        <w:rPr>
          <w:rFonts w:ascii="Cambria" w:hAnsi="Cambria"/>
          <w:i/>
          <w:iCs/>
          <w:sz w:val="20"/>
          <w:szCs w:val="20"/>
          <w:lang w:val="es-ES_tradnl"/>
        </w:rPr>
        <w:t>Apertura de la Casación Penal</w:t>
      </w:r>
      <w:r w:rsidRPr="007653D8">
        <w:rPr>
          <w:rFonts w:ascii="Cambria" w:hAnsi="Cambria"/>
          <w:sz w:val="20"/>
          <w:szCs w:val="20"/>
          <w:lang w:val="es-ES_tradnl"/>
        </w:rPr>
        <w:t xml:space="preserve">”, a través de la cual, se realizó la reforma de varios artículos del Código Procesal Penal y de la Ley Orgánica del Poder Judicial, con el objeto de ampliar los recursos tanto de revisión como de casación y, además, que el tres de mayo de dos mil diez el proyecto de ley del expediente legislativo número 17143, sobre la doble instancia en materia penal, fue enviado al Poder Ejecutivo para su sanción y posterior publicación, según lo dispuesto en el artículo 124 de la Constitución Política. </w:t>
      </w:r>
    </w:p>
    <w:p w14:paraId="6F845F09" w14:textId="18307A9E" w:rsidR="00402BE9" w:rsidRPr="007653D8" w:rsidRDefault="007D282D" w:rsidP="00B274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Cambria" w:hAnsi="Cambria"/>
          <w:sz w:val="20"/>
          <w:szCs w:val="20"/>
          <w:lang w:val="es-ES_tradnl"/>
        </w:rPr>
        <w:t xml:space="preserve">Con base en esta información, </w:t>
      </w:r>
      <w:r w:rsidR="00F70069" w:rsidRPr="007653D8">
        <w:rPr>
          <w:rFonts w:ascii="Cambria" w:hAnsi="Cambria"/>
          <w:sz w:val="20"/>
          <w:szCs w:val="20"/>
          <w:lang w:val="es-ES_tradnl"/>
        </w:rPr>
        <w:t>Costa Rica solicita</w:t>
      </w:r>
      <w:r w:rsidR="00B27474" w:rsidRPr="007653D8">
        <w:rPr>
          <w:rFonts w:ascii="Cambria" w:hAnsi="Cambria"/>
          <w:sz w:val="20"/>
          <w:szCs w:val="20"/>
          <w:lang w:val="es-ES_tradnl"/>
        </w:rPr>
        <w:t xml:space="preserve"> que la petición debe ser inadmitida</w:t>
      </w:r>
      <w:r w:rsidR="00EB2F75" w:rsidRPr="007653D8">
        <w:rPr>
          <w:rFonts w:ascii="Cambria" w:hAnsi="Cambria"/>
          <w:sz w:val="20"/>
          <w:szCs w:val="20"/>
          <w:lang w:val="es-ES_tradnl"/>
        </w:rPr>
        <w:t xml:space="preserve"> por</w:t>
      </w:r>
      <w:r w:rsidR="00B27474" w:rsidRPr="007653D8">
        <w:rPr>
          <w:rFonts w:ascii="Cambria" w:hAnsi="Cambria"/>
          <w:sz w:val="20"/>
          <w:szCs w:val="20"/>
          <w:lang w:val="es-ES_tradnl"/>
        </w:rPr>
        <w:t xml:space="preserve"> extemporánea. </w:t>
      </w:r>
      <w:r w:rsidR="00EB2F75" w:rsidRPr="007653D8">
        <w:rPr>
          <w:rFonts w:ascii="Cambria" w:hAnsi="Cambria"/>
          <w:sz w:val="20"/>
          <w:szCs w:val="20"/>
          <w:lang w:val="es-ES_tradnl"/>
        </w:rPr>
        <w:t>Sostiene</w:t>
      </w:r>
      <w:r w:rsidR="00B27474" w:rsidRPr="007653D8">
        <w:rPr>
          <w:rFonts w:ascii="Cambria" w:hAnsi="Cambria"/>
          <w:sz w:val="20"/>
          <w:szCs w:val="20"/>
          <w:lang w:val="es-ES_tradnl"/>
        </w:rPr>
        <w:t xml:space="preserve"> que a pesar de que el </w:t>
      </w:r>
      <w:r w:rsidR="0005015A" w:rsidRPr="007653D8">
        <w:rPr>
          <w:rFonts w:ascii="Cambria" w:hAnsi="Cambria"/>
          <w:sz w:val="20"/>
          <w:szCs w:val="20"/>
          <w:lang w:val="es-ES_tradnl"/>
        </w:rPr>
        <w:t>4 de julio de 2008</w:t>
      </w:r>
      <w:r w:rsidR="00B27474" w:rsidRPr="007653D8">
        <w:rPr>
          <w:rFonts w:ascii="Cambria" w:hAnsi="Cambria"/>
          <w:sz w:val="20"/>
          <w:szCs w:val="20"/>
          <w:lang w:val="es-ES_tradnl"/>
        </w:rPr>
        <w:t xml:space="preserve"> se notificó a la presunta víctima del resultado del procedimiento de revisión, este recién presentó su petición el </w:t>
      </w:r>
      <w:r w:rsidR="00881DA9" w:rsidRPr="007653D8">
        <w:rPr>
          <w:rFonts w:ascii="Cambria" w:hAnsi="Cambria"/>
          <w:sz w:val="20"/>
          <w:szCs w:val="20"/>
          <w:lang w:val="es-ES_tradnl"/>
        </w:rPr>
        <w:t>27 de enero de 2009</w:t>
      </w:r>
      <w:r w:rsidR="00B27474" w:rsidRPr="007653D8">
        <w:rPr>
          <w:rFonts w:ascii="Cambria" w:hAnsi="Cambria"/>
          <w:sz w:val="20"/>
          <w:szCs w:val="20"/>
          <w:lang w:val="es-ES_tradnl"/>
        </w:rPr>
        <w:t xml:space="preserve">, excediendo el plazo de seis meses previsto en el artículo 46.1.b) de la Convención. En consecuencia, solicita a la Comisión que declare inadmisible el presente asunto por no cumplir con el </w:t>
      </w:r>
      <w:r w:rsidR="00BA3910" w:rsidRPr="007653D8">
        <w:rPr>
          <w:rFonts w:ascii="Cambria" w:hAnsi="Cambria"/>
          <w:sz w:val="20"/>
          <w:szCs w:val="20"/>
          <w:lang w:val="es-ES_tradnl"/>
        </w:rPr>
        <w:t>requisito de plazo de presentación.</w:t>
      </w:r>
      <w:r w:rsidR="00B27474" w:rsidRPr="007653D8">
        <w:rPr>
          <w:rFonts w:ascii="Cambria" w:hAnsi="Cambria"/>
          <w:sz w:val="20"/>
          <w:szCs w:val="20"/>
          <w:lang w:val="es-ES_tradnl"/>
        </w:rPr>
        <w:t xml:space="preserve"> </w:t>
      </w:r>
    </w:p>
    <w:p w14:paraId="7E966E1F" w14:textId="58CED9F8" w:rsidR="00445C2D" w:rsidRPr="007653D8" w:rsidRDefault="0097766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Cambria" w:hAnsi="Cambria"/>
          <w:sz w:val="20"/>
          <w:szCs w:val="20"/>
          <w:lang w:val="es-ES_tradnl"/>
        </w:rPr>
        <w:t>Adicionalmente</w:t>
      </w:r>
      <w:r w:rsidR="003670AC" w:rsidRPr="007653D8">
        <w:rPr>
          <w:rFonts w:ascii="Cambria" w:hAnsi="Cambria"/>
          <w:sz w:val="20"/>
          <w:szCs w:val="20"/>
          <w:lang w:val="es-ES_tradnl"/>
        </w:rPr>
        <w:t xml:space="preserve"> </w:t>
      </w:r>
      <w:r w:rsidR="009B7646" w:rsidRPr="007653D8">
        <w:rPr>
          <w:rFonts w:ascii="Cambria" w:hAnsi="Cambria"/>
          <w:sz w:val="20"/>
          <w:szCs w:val="20"/>
          <w:lang w:val="es-ES_tradnl"/>
        </w:rPr>
        <w:t>plantea que la petición es inadmisible por falta de agotamiento de la jurisdicción doméstica</w:t>
      </w:r>
      <w:r w:rsidR="004F7992" w:rsidRPr="007653D8">
        <w:rPr>
          <w:rFonts w:ascii="Cambria" w:hAnsi="Cambria"/>
          <w:sz w:val="20"/>
          <w:szCs w:val="20"/>
          <w:lang w:val="es-ES_tradnl"/>
        </w:rPr>
        <w:t>; considera que</w:t>
      </w:r>
      <w:r w:rsidR="009B7646" w:rsidRPr="007653D8">
        <w:rPr>
          <w:rFonts w:ascii="Cambria" w:hAnsi="Cambria"/>
          <w:sz w:val="20"/>
          <w:szCs w:val="20"/>
          <w:lang w:val="es-ES_tradnl"/>
        </w:rPr>
        <w:t xml:space="preserve"> </w:t>
      </w:r>
      <w:r w:rsidR="0059059D" w:rsidRPr="007653D8">
        <w:rPr>
          <w:rFonts w:ascii="Cambria" w:hAnsi="Cambria"/>
          <w:sz w:val="20"/>
          <w:szCs w:val="20"/>
          <w:lang w:val="es-ES_tradnl"/>
        </w:rPr>
        <w:t xml:space="preserve">presunta víctima no cumplió con agotar las vías internas al momento de interponer su petición, toda vez que recién presentó un recurso de amparo </w:t>
      </w:r>
      <w:r w:rsidR="00145E41" w:rsidRPr="007653D8">
        <w:rPr>
          <w:rFonts w:ascii="Cambria" w:hAnsi="Cambria"/>
          <w:sz w:val="20"/>
          <w:szCs w:val="20"/>
          <w:lang w:val="es-ES_tradnl"/>
        </w:rPr>
        <w:t xml:space="preserve">el 27 de febrero de 2009, con los </w:t>
      </w:r>
      <w:r w:rsidR="00145E41" w:rsidRPr="007653D8">
        <w:rPr>
          <w:rFonts w:ascii="Cambria" w:hAnsi="Cambria"/>
          <w:sz w:val="20"/>
          <w:szCs w:val="20"/>
          <w:lang w:val="es-ES_tradnl"/>
        </w:rPr>
        <w:lastRenderedPageBreak/>
        <w:t xml:space="preserve">mismos alegatos expuestos en esta petición. En consecuencia, dado que al momento de presente este reclamo tal vía aún no había sido utilizada, considera que se debe rechazar este asunto por no cumplir con el requisito previsto en el artículo 46.1.a) de la Convención. </w:t>
      </w:r>
    </w:p>
    <w:p w14:paraId="15FE3EAB" w14:textId="7A597F40" w:rsidR="000426A1" w:rsidRPr="007653D8" w:rsidRDefault="000426A1" w:rsidP="000426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Cambria" w:hAnsi="Cambria"/>
          <w:sz w:val="20"/>
          <w:szCs w:val="20"/>
          <w:lang w:val="es-ES_tradnl"/>
        </w:rPr>
        <w:t xml:space="preserve">Asimismo, </w:t>
      </w:r>
      <w:r w:rsidR="003620B4" w:rsidRPr="007653D8">
        <w:rPr>
          <w:rFonts w:ascii="Cambria" w:hAnsi="Cambria"/>
          <w:sz w:val="20"/>
          <w:szCs w:val="20"/>
          <w:lang w:val="es-ES_tradnl"/>
        </w:rPr>
        <w:t>alega</w:t>
      </w:r>
      <w:r w:rsidR="00681C99" w:rsidRPr="007653D8">
        <w:rPr>
          <w:rFonts w:ascii="Cambria" w:hAnsi="Cambria"/>
          <w:sz w:val="20"/>
          <w:szCs w:val="20"/>
          <w:lang w:val="es-ES_tradnl"/>
        </w:rPr>
        <w:t xml:space="preserve"> que</w:t>
      </w:r>
      <w:r w:rsidRPr="007653D8">
        <w:rPr>
          <w:rFonts w:ascii="Cambria" w:hAnsi="Cambria"/>
          <w:sz w:val="20"/>
          <w:szCs w:val="20"/>
          <w:lang w:val="es-ES_tradnl"/>
        </w:rPr>
        <w:t xml:space="preserve"> el señor Fuentes Molina tampoco utili</w:t>
      </w:r>
      <w:r w:rsidR="005202F3" w:rsidRPr="007653D8">
        <w:rPr>
          <w:rFonts w:ascii="Cambria" w:hAnsi="Cambria"/>
          <w:sz w:val="20"/>
          <w:szCs w:val="20"/>
          <w:lang w:val="es-ES_tradnl"/>
        </w:rPr>
        <w:t>zó</w:t>
      </w:r>
      <w:r w:rsidRPr="007653D8">
        <w:rPr>
          <w:rFonts w:ascii="Cambria" w:hAnsi="Cambria"/>
          <w:sz w:val="20"/>
          <w:szCs w:val="20"/>
          <w:lang w:val="es-ES_tradnl"/>
        </w:rPr>
        <w:t xml:space="preserve"> los mecanismos especiales de revisión, a pesar de que están idead</w:t>
      </w:r>
      <w:r w:rsidR="00814A5A" w:rsidRPr="007653D8">
        <w:rPr>
          <w:rFonts w:ascii="Cambria" w:hAnsi="Cambria"/>
          <w:sz w:val="20"/>
          <w:szCs w:val="20"/>
          <w:lang w:val="es-ES_tradnl"/>
        </w:rPr>
        <w:t>o</w:t>
      </w:r>
      <w:r w:rsidRPr="007653D8">
        <w:rPr>
          <w:rFonts w:ascii="Cambria" w:hAnsi="Cambria"/>
          <w:sz w:val="20"/>
          <w:szCs w:val="20"/>
          <w:lang w:val="es-ES_tradnl"/>
        </w:rPr>
        <w:t>s precisamente para aquellas personas con sentencias condenatorias en firme, que consideran vulnerado su derecho a recurrir su fallo condenatorio de conformidad con el artículo 8.2.h) de la Convención. En esa línea, el Estado manifiest</w:t>
      </w:r>
      <w:r w:rsidR="003C5119" w:rsidRPr="007653D8">
        <w:rPr>
          <w:rFonts w:ascii="Cambria" w:hAnsi="Cambria"/>
          <w:sz w:val="20"/>
          <w:szCs w:val="20"/>
          <w:lang w:val="es-ES_tradnl"/>
        </w:rPr>
        <w:t>a que</w:t>
      </w:r>
      <w:r w:rsidRPr="007653D8">
        <w:rPr>
          <w:rFonts w:ascii="Cambria" w:hAnsi="Cambria"/>
          <w:sz w:val="20"/>
          <w:szCs w:val="20"/>
          <w:lang w:val="es-ES_tradnl"/>
        </w:rPr>
        <w:t xml:space="preserve"> el señor Fuentes Molina, tuvo la oportunidad de interponer el procedimiento establecido en el Transitorio III de la Ley N.º 8837</w:t>
      </w:r>
      <w:r w:rsidRPr="007653D8">
        <w:rPr>
          <w:rStyle w:val="FootnoteReference"/>
          <w:rFonts w:ascii="Cambria" w:hAnsi="Cambria"/>
          <w:sz w:val="20"/>
          <w:szCs w:val="20"/>
          <w:lang w:val="es-ES_tradnl"/>
        </w:rPr>
        <w:footnoteReference w:id="4"/>
      </w:r>
      <w:r w:rsidRPr="007653D8">
        <w:rPr>
          <w:rFonts w:ascii="Cambria" w:hAnsi="Cambria"/>
          <w:sz w:val="20"/>
          <w:szCs w:val="20"/>
          <w:lang w:val="es-ES_tradnl"/>
        </w:rPr>
        <w:t xml:space="preserve">. Por ende, arguye que el ordenamiento interno disponía opciones adicionales para que el señor Fuentes Molina pudiera utilizarlas en el momento procesal oportuno; sin embargo, no lo hizo. </w:t>
      </w:r>
    </w:p>
    <w:p w14:paraId="7F7065CC" w14:textId="03C7D24B" w:rsidR="000426A1" w:rsidRPr="007653D8" w:rsidRDefault="000426A1" w:rsidP="000426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Cambria" w:hAnsi="Cambria"/>
          <w:sz w:val="20"/>
          <w:szCs w:val="20"/>
          <w:lang w:val="es-ES_tradnl"/>
        </w:rPr>
        <w:t>Finalmente, el Estado también arguye que la parte peticionaria tampoco utilizó adecuadamente los recursos que tenía a su disposición en la jurisdicción constitucional.</w:t>
      </w:r>
      <w:r w:rsidR="00CC746A" w:rsidRPr="007653D8">
        <w:rPr>
          <w:rFonts w:ascii="Cambria" w:hAnsi="Cambria"/>
          <w:sz w:val="20"/>
          <w:szCs w:val="20"/>
          <w:lang w:val="es-ES_tradnl"/>
        </w:rPr>
        <w:t xml:space="preserve"> Sobre este punto indic</w:t>
      </w:r>
      <w:r w:rsidR="00B501A9" w:rsidRPr="007653D8">
        <w:rPr>
          <w:rFonts w:ascii="Cambria" w:hAnsi="Cambria"/>
          <w:sz w:val="20"/>
          <w:szCs w:val="20"/>
          <w:lang w:val="es-ES_tradnl"/>
        </w:rPr>
        <w:t xml:space="preserve">a </w:t>
      </w:r>
      <w:r w:rsidR="005202F3" w:rsidRPr="007653D8">
        <w:rPr>
          <w:rFonts w:ascii="Cambria" w:hAnsi="Cambria"/>
          <w:sz w:val="20"/>
          <w:szCs w:val="20"/>
          <w:lang w:val="es-ES_tradnl"/>
        </w:rPr>
        <w:t>que,</w:t>
      </w:r>
      <w:r w:rsidR="00B501A9" w:rsidRPr="007653D8">
        <w:rPr>
          <w:rFonts w:ascii="Cambria" w:hAnsi="Cambria"/>
          <w:sz w:val="20"/>
          <w:szCs w:val="20"/>
          <w:lang w:val="es-ES_tradnl"/>
        </w:rPr>
        <w:t xml:space="preserve"> al momento de presentar este reclamo, la presunta víctima no había utilizado el recurso de hábeas corpus para cuestionar una posible afectación a su derecho a la libertad personal</w:t>
      </w:r>
      <w:r w:rsidR="00EA375D" w:rsidRPr="007653D8">
        <w:rPr>
          <w:rFonts w:ascii="Cambria" w:hAnsi="Cambria"/>
          <w:sz w:val="20"/>
          <w:szCs w:val="20"/>
          <w:lang w:val="es-ES_tradnl"/>
        </w:rPr>
        <w:t>,</w:t>
      </w:r>
      <w:r w:rsidR="005202F3" w:rsidRPr="007653D8">
        <w:rPr>
          <w:rFonts w:ascii="Cambria" w:hAnsi="Cambria"/>
          <w:sz w:val="20"/>
          <w:szCs w:val="20"/>
          <w:lang w:val="es-ES_tradnl"/>
        </w:rPr>
        <w:t xml:space="preserve"> </w:t>
      </w:r>
      <w:r w:rsidR="00844CD5" w:rsidRPr="007653D8">
        <w:rPr>
          <w:rFonts w:ascii="Cambria" w:hAnsi="Cambria"/>
          <w:sz w:val="20"/>
          <w:szCs w:val="20"/>
          <w:lang w:val="es-ES_tradnl"/>
        </w:rPr>
        <w:t>y,</w:t>
      </w:r>
      <w:r w:rsidR="005202F3" w:rsidRPr="007653D8">
        <w:rPr>
          <w:rFonts w:ascii="Cambria" w:hAnsi="Cambria"/>
          <w:sz w:val="20"/>
          <w:szCs w:val="20"/>
          <w:lang w:val="es-ES_tradnl"/>
        </w:rPr>
        <w:t xml:space="preserve"> por ende, tampoco agotó tal proceso antes de la presentación</w:t>
      </w:r>
      <w:r w:rsidR="00EA375D" w:rsidRPr="007653D8">
        <w:rPr>
          <w:rFonts w:ascii="Cambria" w:hAnsi="Cambria"/>
          <w:sz w:val="20"/>
          <w:szCs w:val="20"/>
          <w:lang w:val="es-ES_tradnl"/>
        </w:rPr>
        <w:t xml:space="preserve"> de su petición a la CIDH.</w:t>
      </w:r>
    </w:p>
    <w:p w14:paraId="1F8F7ACA" w14:textId="25A922D9" w:rsidR="009F5894" w:rsidRPr="007653D8" w:rsidRDefault="009F5894" w:rsidP="009F58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7653D8">
        <w:rPr>
          <w:rFonts w:asciiTheme="majorHAnsi" w:hAnsiTheme="majorHAnsi"/>
          <w:bCs/>
          <w:sz w:val="20"/>
          <w:szCs w:val="20"/>
          <w:lang w:val="es-ES_tradnl"/>
        </w:rPr>
        <w:t xml:space="preserve">Por último, Costa Rica plantea que los hechos alegados no caracterizan una violación de derechos humanos que le sea atribuible. Por el contrario, arguye que la parte peticionaria pretende que la Comisión actúe como una cuarta instancia judicial y revise las valoraciones de echo y de derecho efectuadas por los jueces y tribunales internos que actuaron en la esfera de su competencia. </w:t>
      </w:r>
    </w:p>
    <w:p w14:paraId="203C9E2E" w14:textId="5485F2D8" w:rsidR="00C25F66" w:rsidRPr="007653D8" w:rsidRDefault="00A80AC9" w:rsidP="000426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Cambria" w:hAnsi="Cambria"/>
          <w:sz w:val="20"/>
          <w:szCs w:val="20"/>
          <w:lang w:val="es-ES_tradnl"/>
        </w:rPr>
        <w:t xml:space="preserve">Destaca que dentro del ordenamiento costarricense se han previsto una diversidad </w:t>
      </w:r>
      <w:r w:rsidR="00BA58AD" w:rsidRPr="007653D8">
        <w:rPr>
          <w:rFonts w:ascii="Cambria" w:hAnsi="Cambria"/>
          <w:sz w:val="20"/>
          <w:szCs w:val="20"/>
          <w:lang w:val="es-ES_tradnl"/>
        </w:rPr>
        <w:t xml:space="preserve">de recursos, principalmente judiciales, con el fin de ofrecer a las personas medios para determinar derechos de distinta índole. En esa línea, específica que tales medios </w:t>
      </w:r>
      <w:r w:rsidR="00FF27D6" w:rsidRPr="007653D8">
        <w:rPr>
          <w:rFonts w:ascii="Cambria" w:hAnsi="Cambria"/>
          <w:sz w:val="20"/>
          <w:szCs w:val="20"/>
          <w:lang w:val="es-ES_tradnl"/>
        </w:rPr>
        <w:t xml:space="preserve">cumplen con las reglas del debido proceso y garantizan un acceso justo y una discusión equilibrada en los procesos, por lo que estos respetan las </w:t>
      </w:r>
      <w:r w:rsidR="00607D88" w:rsidRPr="007653D8">
        <w:rPr>
          <w:rFonts w:ascii="Cambria" w:hAnsi="Cambria"/>
          <w:sz w:val="20"/>
          <w:szCs w:val="20"/>
          <w:lang w:val="es-ES_tradnl"/>
        </w:rPr>
        <w:t>normas</w:t>
      </w:r>
      <w:r w:rsidR="00FF27D6" w:rsidRPr="007653D8">
        <w:rPr>
          <w:rFonts w:ascii="Cambria" w:hAnsi="Cambria"/>
          <w:sz w:val="20"/>
          <w:szCs w:val="20"/>
          <w:lang w:val="es-ES_tradnl"/>
        </w:rPr>
        <w:t xml:space="preserve"> de la Convención Americana</w:t>
      </w:r>
      <w:r w:rsidR="00FA7AFD" w:rsidRPr="007653D8">
        <w:rPr>
          <w:rFonts w:ascii="Cambria" w:hAnsi="Cambria"/>
          <w:sz w:val="20"/>
          <w:szCs w:val="20"/>
          <w:lang w:val="es-ES_tradnl"/>
        </w:rPr>
        <w:t>. Por ende, considera que no corresponde a la Comisión analizar el presente asunto, pues no se ha acreditado la existencia de una sentencia nacional que haya sido dictada al margen del debido proceso o que aparentemente haya violado cualquier otro derecho garantizado por la Convención.</w:t>
      </w:r>
    </w:p>
    <w:p w14:paraId="4DCC346B" w14:textId="5673A94B" w:rsidR="00C25F66" w:rsidRPr="007653D8" w:rsidRDefault="00C25F66" w:rsidP="00C25F6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sidRPr="007653D8">
        <w:rPr>
          <w:rFonts w:asciiTheme="majorHAnsi" w:hAnsiTheme="majorHAnsi"/>
          <w:b/>
          <w:sz w:val="20"/>
          <w:szCs w:val="20"/>
          <w:lang w:val="es-ES_tradnl"/>
        </w:rPr>
        <w:t xml:space="preserve">VI. </w:t>
      </w:r>
      <w:r w:rsidR="00814A5A" w:rsidRPr="007653D8">
        <w:rPr>
          <w:rFonts w:asciiTheme="majorHAnsi" w:hAnsiTheme="majorHAnsi"/>
          <w:b/>
          <w:sz w:val="20"/>
          <w:szCs w:val="20"/>
          <w:lang w:val="es-ES_tradnl"/>
        </w:rPr>
        <w:tab/>
      </w:r>
      <w:r w:rsidRPr="007653D8">
        <w:rPr>
          <w:rFonts w:asciiTheme="majorHAnsi" w:hAnsiTheme="majorHAnsi"/>
          <w:b/>
          <w:sz w:val="20"/>
          <w:szCs w:val="20"/>
          <w:lang w:val="es-ES_tradnl"/>
        </w:rPr>
        <w:t>CONSIDERACIONES PREVIAS</w:t>
      </w:r>
    </w:p>
    <w:p w14:paraId="0A113620" w14:textId="77777777" w:rsidR="00A45592" w:rsidRPr="007653D8" w:rsidRDefault="00FA7AFD" w:rsidP="00A455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7653D8">
        <w:rPr>
          <w:rFonts w:ascii="Cambria" w:hAnsi="Cambria"/>
          <w:sz w:val="20"/>
          <w:szCs w:val="20"/>
          <w:lang w:val="es-ES_tradnl"/>
        </w:rPr>
        <w:t xml:space="preserve"> </w:t>
      </w:r>
      <w:r w:rsidR="00A45592" w:rsidRPr="007653D8">
        <w:rPr>
          <w:rFonts w:asciiTheme="majorHAnsi" w:hAnsiTheme="majorHAnsi"/>
          <w:bCs/>
          <w:sz w:val="20"/>
          <w:szCs w:val="20"/>
          <w:lang w:val="es-ES_tradnl"/>
        </w:rPr>
        <w:t xml:space="preserve">La Comisión observa que el objeto principal de la presente petición es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51562352" w14:textId="77777777" w:rsidR="00A45592" w:rsidRPr="007653D8" w:rsidRDefault="00A45592" w:rsidP="00A455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653D8">
        <w:rPr>
          <w:rFonts w:asciiTheme="majorHAnsi" w:hAnsiTheme="majorHAnsi"/>
          <w:bCs/>
          <w:sz w:val="20"/>
          <w:szCs w:val="20"/>
          <w:lang w:val="es-ES_tradnl"/>
        </w:rPr>
        <w:t xml:space="preserve">Así, en la sentencia del caso </w:t>
      </w:r>
      <w:r w:rsidRPr="007653D8">
        <w:rPr>
          <w:rFonts w:asciiTheme="majorHAnsi" w:hAnsiTheme="majorHAnsi"/>
          <w:bCs/>
          <w:i/>
          <w:iCs/>
          <w:sz w:val="20"/>
          <w:szCs w:val="20"/>
          <w:lang w:val="es-ES_tradnl"/>
        </w:rPr>
        <w:t xml:space="preserve">Herrera Ulloa vs. Costa Rica </w:t>
      </w:r>
      <w:r w:rsidRPr="007653D8">
        <w:rPr>
          <w:rFonts w:asciiTheme="majorHAnsi" w:hAnsiTheme="majorHAnsi"/>
          <w:bCs/>
          <w:sz w:val="20"/>
          <w:szCs w:val="20"/>
          <w:lang w:val="es-ES_tradnl"/>
        </w:rPr>
        <w:t>del 2 de julio de 2004, la Corte Interamericana de Derechos Humanos</w:t>
      </w:r>
      <w:r w:rsidRPr="007653D8">
        <w:rPr>
          <w:rStyle w:val="FootnoteReference"/>
          <w:rFonts w:asciiTheme="majorHAnsi" w:hAnsiTheme="majorHAnsi"/>
          <w:bCs/>
          <w:sz w:val="20"/>
          <w:szCs w:val="20"/>
          <w:lang w:val="es-ES_tradnl"/>
        </w:rPr>
        <w:footnoteReference w:id="5"/>
      </w:r>
      <w:r w:rsidRPr="007653D8">
        <w:rPr>
          <w:rFonts w:asciiTheme="majorHAnsi" w:hAnsiTheme="majorHAnsi"/>
          <w:bCs/>
          <w:sz w:val="20"/>
          <w:szCs w:val="20"/>
          <w:lang w:val="es-ES_tradnl"/>
        </w:rPr>
        <w:t xml:space="preserve"> examinó  la regulación establecida en el Código Procesal Penal vigente desde 1998; y concluyó que no contaba con “</w:t>
      </w:r>
      <w:r w:rsidRPr="007653D8">
        <w:rPr>
          <w:rFonts w:asciiTheme="majorHAnsi" w:hAnsiTheme="majorHAnsi"/>
          <w:bCs/>
          <w:i/>
          <w:iCs/>
          <w:sz w:val="20"/>
          <w:szCs w:val="20"/>
          <w:lang w:val="es-ES_tradnl"/>
        </w:rPr>
        <w:t xml:space="preserve">un recurso que </w:t>
      </w:r>
      <w:r w:rsidRPr="007653D8">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7653D8">
        <w:rPr>
          <w:rFonts w:asciiTheme="majorHAnsi" w:hAnsiTheme="majorHAnsi"/>
          <w:sz w:val="20"/>
          <w:szCs w:val="20"/>
          <w:lang w:val="es-ES_tradnl"/>
        </w:rPr>
        <w:t xml:space="preserve">”, </w:t>
      </w:r>
      <w:r w:rsidRPr="007653D8">
        <w:rPr>
          <w:rFonts w:asciiTheme="majorHAnsi" w:hAnsiTheme="majorHAnsi"/>
          <w:sz w:val="20"/>
          <w:szCs w:val="20"/>
          <w:lang w:val="es-ES_tradnl"/>
        </w:rPr>
        <w:lastRenderedPageBreak/>
        <w:t>dada las limitaciones que tenía la regulación del recurso de casación en el ámbito penal</w:t>
      </w:r>
      <w:r w:rsidRPr="007653D8">
        <w:rPr>
          <w:rStyle w:val="FootnoteReference"/>
          <w:rFonts w:asciiTheme="majorHAnsi" w:hAnsiTheme="majorHAnsi"/>
          <w:sz w:val="20"/>
          <w:szCs w:val="20"/>
          <w:lang w:val="es-ES_tradnl"/>
        </w:rPr>
        <w:footnoteReference w:id="6"/>
      </w:r>
      <w:r w:rsidRPr="007653D8">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7653D8">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7653D8">
        <w:rPr>
          <w:rFonts w:asciiTheme="majorHAnsi" w:hAnsiTheme="majorHAnsi"/>
          <w:sz w:val="20"/>
          <w:szCs w:val="20"/>
          <w:lang w:val="es-ES_tradnl"/>
        </w:rPr>
        <w:t>”</w:t>
      </w:r>
      <w:r w:rsidRPr="007653D8">
        <w:rPr>
          <w:rStyle w:val="FootnoteReference"/>
          <w:rFonts w:asciiTheme="majorHAnsi" w:hAnsiTheme="majorHAnsi"/>
          <w:sz w:val="20"/>
          <w:szCs w:val="20"/>
          <w:lang w:val="es-ES_tradnl"/>
        </w:rPr>
        <w:footnoteReference w:id="7"/>
      </w:r>
      <w:r w:rsidRPr="007653D8">
        <w:rPr>
          <w:rFonts w:asciiTheme="majorHAnsi" w:hAnsiTheme="majorHAnsi"/>
          <w:sz w:val="20"/>
          <w:szCs w:val="20"/>
          <w:lang w:val="es-ES_tradnl"/>
        </w:rPr>
        <w:t>.</w:t>
      </w:r>
    </w:p>
    <w:p w14:paraId="7095D561" w14:textId="23DB3FF8" w:rsidR="00A45592" w:rsidRPr="007653D8" w:rsidRDefault="00A45592" w:rsidP="00A455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7653D8">
        <w:rPr>
          <w:rFonts w:ascii="Cambria" w:hAnsi="Cambria"/>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y en lo relevante para el presente caso, tal legislación estableció en su Transitorio I, un procedimiento de revisión especial para “</w:t>
      </w:r>
      <w:r w:rsidRPr="007653D8">
        <w:rPr>
          <w:rFonts w:ascii="Cambria" w:hAnsi="Cambria"/>
          <w:i/>
          <w:iCs/>
          <w:sz w:val="20"/>
          <w:szCs w:val="20"/>
          <w:lang w:val="es-ES_tradnl"/>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007653D8">
        <w:rPr>
          <w:rFonts w:ascii="Cambria" w:hAnsi="Cambria"/>
          <w:sz w:val="20"/>
          <w:szCs w:val="20"/>
          <w:lang w:val="es-ES_tradnl"/>
        </w:rPr>
        <w:t>”. En virtud de ello, la Corte Interamericana consideró que “</w:t>
      </w:r>
      <w:r w:rsidRPr="007653D8">
        <w:rPr>
          <w:rFonts w:ascii="Cambria" w:hAnsi="Cambria"/>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7653D8">
        <w:rPr>
          <w:rFonts w:ascii="Cambria" w:hAnsi="Cambria"/>
          <w:sz w:val="20"/>
          <w:szCs w:val="20"/>
          <w:lang w:val="es-ES_tradnl"/>
        </w:rPr>
        <w:t>”</w:t>
      </w:r>
      <w:r w:rsidRPr="007653D8">
        <w:rPr>
          <w:rStyle w:val="FootnoteReference"/>
          <w:rFonts w:ascii="Cambria" w:hAnsi="Cambria"/>
          <w:sz w:val="20"/>
          <w:szCs w:val="20"/>
          <w:lang w:val="es-ES_tradnl"/>
        </w:rPr>
        <w:footnoteReference w:id="8"/>
      </w:r>
      <w:r w:rsidRPr="007653D8">
        <w:rPr>
          <w:rFonts w:ascii="Cambria" w:hAnsi="Cambria"/>
          <w:sz w:val="20"/>
          <w:szCs w:val="20"/>
          <w:lang w:val="es-ES_tradnl"/>
        </w:rPr>
        <w:t>.</w:t>
      </w:r>
    </w:p>
    <w:p w14:paraId="3F27ED37" w14:textId="77777777" w:rsidR="00A45592" w:rsidRPr="007653D8" w:rsidRDefault="00A45592" w:rsidP="00A455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653D8">
        <w:rPr>
          <w:rFonts w:asciiTheme="majorHAnsi" w:hAnsiTheme="majorHAnsi"/>
          <w:bCs/>
          <w:sz w:val="20"/>
          <w:szCs w:val="20"/>
          <w:lang w:val="es-ES_tradnl"/>
        </w:rPr>
        <w:t>Adicionalmente, tanto la Comisión como la Corte IDH también constataron que e</w:t>
      </w:r>
      <w:r w:rsidRPr="007653D8">
        <w:rPr>
          <w:rFonts w:ascii="Cambria" w:hAnsi="Cambria"/>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79C41DEF" w14:textId="77777777" w:rsidR="00A45592" w:rsidRPr="007653D8" w:rsidRDefault="00A45592" w:rsidP="00A455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653D8">
        <w:rPr>
          <w:rFonts w:ascii="Cambria" w:hAnsi="Cambria"/>
          <w:sz w:val="20"/>
          <w:szCs w:val="20"/>
          <w:lang w:val="es-ES_tradnl"/>
        </w:rPr>
        <w:t xml:space="preserve">Como consecuencia de las citadas modificaciones, en la sentencia del caso </w:t>
      </w:r>
      <w:r w:rsidRPr="007653D8">
        <w:rPr>
          <w:rFonts w:ascii="Cambria" w:hAnsi="Cambria"/>
          <w:i/>
          <w:iCs/>
          <w:sz w:val="20"/>
          <w:szCs w:val="20"/>
          <w:lang w:val="es-ES_tradnl"/>
        </w:rPr>
        <w:t>Amrhein y otros vs. Costa Rica</w:t>
      </w:r>
      <w:r w:rsidRPr="007653D8">
        <w:rPr>
          <w:rFonts w:ascii="Cambria" w:hAnsi="Cambria"/>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73BD5A8C" w14:textId="77777777" w:rsidR="00A45592" w:rsidRPr="007653D8" w:rsidRDefault="00A45592" w:rsidP="00A455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653D8">
        <w:rPr>
          <w:rFonts w:ascii="Cambria" w:hAnsi="Cambria"/>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7653D8">
        <w:rPr>
          <w:rFonts w:ascii="Cambria" w:hAnsi="Cambria"/>
          <w:i/>
          <w:iCs/>
          <w:sz w:val="20"/>
          <w:szCs w:val="20"/>
          <w:lang w:val="es-ES_tradnl"/>
        </w:rPr>
        <w:t xml:space="preserve">el hecho de que se trataría de un recurso extraordinario no puede ser determinante, </w:t>
      </w:r>
      <w:r w:rsidRPr="007653D8">
        <w:rPr>
          <w:rFonts w:ascii="Cambria" w:hAnsi="Cambria"/>
          <w:sz w:val="20"/>
          <w:szCs w:val="20"/>
          <w:lang w:val="es-ES_tradnl"/>
        </w:rPr>
        <w:t>per se</w:t>
      </w:r>
      <w:r w:rsidRPr="007653D8">
        <w:rPr>
          <w:rFonts w:ascii="Cambria" w:hAnsi="Cambria"/>
          <w:i/>
          <w:iCs/>
          <w:sz w:val="20"/>
          <w:szCs w:val="20"/>
          <w:lang w:val="es-ES_tradnl"/>
        </w:rPr>
        <w:t>, para concluir su inefectividad”</w:t>
      </w:r>
      <w:r w:rsidRPr="007653D8">
        <w:rPr>
          <w:rStyle w:val="FootnoteReference"/>
          <w:rFonts w:ascii="Cambria" w:hAnsi="Cambria"/>
          <w:i/>
          <w:iCs/>
          <w:sz w:val="20"/>
          <w:szCs w:val="20"/>
          <w:lang w:val="es-ES_tradnl"/>
        </w:rPr>
        <w:footnoteReference w:id="9"/>
      </w:r>
      <w:r w:rsidRPr="007653D8">
        <w:rPr>
          <w:rFonts w:ascii="Cambria" w:hAnsi="Cambria"/>
          <w:i/>
          <w:iCs/>
          <w:sz w:val="20"/>
          <w:szCs w:val="20"/>
          <w:lang w:val="es-ES_tradnl"/>
        </w:rPr>
        <w:t xml:space="preserve">. </w:t>
      </w:r>
      <w:r w:rsidRPr="007653D8">
        <w:rPr>
          <w:rFonts w:ascii="Cambria" w:hAnsi="Cambria"/>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4247AF76" w14:textId="77777777" w:rsidR="00A45592" w:rsidRPr="007653D8" w:rsidRDefault="00A45592" w:rsidP="00A455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653D8">
        <w:rPr>
          <w:rFonts w:ascii="Cambria" w:hAnsi="Cambria"/>
          <w:sz w:val="20"/>
          <w:szCs w:val="20"/>
          <w:lang w:val="es-ES_tradnl"/>
        </w:rPr>
        <w:t>Finalmente, a efectos del análisis de caracterización de las peticiones, la Comisión nota que la Corte Interamericana concluyó en la citada sentencia que no correspondía “</w:t>
      </w:r>
      <w:r w:rsidRPr="007653D8">
        <w:rPr>
          <w:rFonts w:ascii="Cambria" w:hAnsi="Cambria"/>
          <w:i/>
          <w:iCs/>
          <w:sz w:val="20"/>
          <w:szCs w:val="20"/>
          <w:lang w:val="es-ES_tradnl"/>
        </w:rPr>
        <w:t xml:space="preserve">declarar una violación al artículo 2 de la Convención Americana por la forma en que está regulado el sistema recursivo costarricense, ni por la forma en que dicho Estado atendió la situación de personas cuyas sentencias ya estaban en firme con anterioridad a la </w:t>
      </w:r>
      <w:r w:rsidRPr="007653D8">
        <w:rPr>
          <w:rFonts w:ascii="Cambria" w:hAnsi="Cambria"/>
          <w:i/>
          <w:iCs/>
          <w:sz w:val="20"/>
          <w:szCs w:val="20"/>
          <w:lang w:val="es-ES_tradnl"/>
        </w:rPr>
        <w:lastRenderedPageBreak/>
        <w:t>vigencia de las Leyes 8503 y 8837, ya que, a través de dichas reformas, subsanó las deficiencias en la aplicación de las normas recursivas</w:t>
      </w:r>
      <w:r w:rsidRPr="007653D8">
        <w:rPr>
          <w:rFonts w:ascii="Cambria" w:hAnsi="Cambria"/>
          <w:sz w:val="20"/>
          <w:szCs w:val="20"/>
          <w:lang w:val="es-ES_tradnl"/>
        </w:rPr>
        <w:t xml:space="preserve"> […]”</w:t>
      </w:r>
      <w:r w:rsidRPr="007653D8">
        <w:rPr>
          <w:rStyle w:val="FootnoteReference"/>
          <w:rFonts w:ascii="Cambria" w:hAnsi="Cambria"/>
          <w:sz w:val="20"/>
          <w:szCs w:val="20"/>
          <w:lang w:val="es-ES_tradnl"/>
        </w:rPr>
        <w:footnoteReference w:id="10"/>
      </w:r>
      <w:r w:rsidRPr="007653D8">
        <w:rPr>
          <w:rFonts w:ascii="Cambria" w:hAnsi="Cambria"/>
          <w:sz w:val="20"/>
          <w:szCs w:val="20"/>
          <w:lang w:val="es-ES_tradnl"/>
        </w:rPr>
        <w:t xml:space="preserve">. Asimismo, recuerda que en la resolución de supervisión de cumplimiento del 22 de noviembre de 2010 del caso </w:t>
      </w:r>
      <w:r w:rsidRPr="007653D8">
        <w:rPr>
          <w:rFonts w:ascii="Cambria" w:hAnsi="Cambria"/>
          <w:i/>
          <w:iCs/>
          <w:sz w:val="20"/>
          <w:szCs w:val="20"/>
          <w:lang w:val="es-ES_tradnl"/>
        </w:rPr>
        <w:t xml:space="preserve">Herrera Ulloa vs. Costa Rica, </w:t>
      </w:r>
      <w:r w:rsidRPr="007653D8">
        <w:rPr>
          <w:rFonts w:ascii="Cambria" w:hAnsi="Cambria"/>
          <w:sz w:val="20"/>
          <w:szCs w:val="20"/>
          <w:lang w:val="es-ES_tradnl"/>
        </w:rPr>
        <w:t>el Tribunal valoró positivamente las reformas introducidas en la legislación procesal penal y, en virtud de tales modificaciones, concluyó que “</w:t>
      </w:r>
      <w:r w:rsidRPr="007653D8">
        <w:rPr>
          <w:rFonts w:ascii="Cambria" w:hAnsi="Cambria"/>
          <w:i/>
          <w:iCs/>
          <w:sz w:val="20"/>
          <w:szCs w:val="20"/>
          <w:lang w:val="es-ES_tradnl"/>
        </w:rPr>
        <w:t>al garantizar la posibilidad de un amplio control de la sentencia emitida por un tribunal de juicio en materia penal a nivel interno</w:t>
      </w:r>
      <w:r w:rsidRPr="007653D8">
        <w:rPr>
          <w:rFonts w:ascii="Cambria" w:hAnsi="Cambria"/>
          <w:sz w:val="20"/>
          <w:szCs w:val="20"/>
          <w:lang w:val="es-ES_tradnl"/>
        </w:rPr>
        <w:t>”</w:t>
      </w:r>
      <w:r w:rsidRPr="007653D8">
        <w:rPr>
          <w:rStyle w:val="FootnoteReference"/>
          <w:rFonts w:ascii="Cambria" w:hAnsi="Cambria"/>
          <w:sz w:val="20"/>
          <w:szCs w:val="20"/>
          <w:lang w:val="es-ES_tradnl"/>
        </w:rPr>
        <w:footnoteReference w:id="11"/>
      </w:r>
      <w:r w:rsidRPr="007653D8">
        <w:rPr>
          <w:rFonts w:ascii="Cambria" w:hAnsi="Cambria"/>
          <w:sz w:val="20"/>
          <w:szCs w:val="20"/>
          <w:lang w:val="es-ES_tradnl"/>
        </w:rPr>
        <w:t xml:space="preserve">, Costa Rica había cumplido con adecuar su legislación interna. </w:t>
      </w:r>
    </w:p>
    <w:p w14:paraId="53230C6C" w14:textId="77777777" w:rsidR="00A45592" w:rsidRPr="007653D8" w:rsidRDefault="00A45592" w:rsidP="00A455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7653D8">
        <w:rPr>
          <w:rFonts w:ascii="Cambria" w:hAnsi="Cambria"/>
          <w:sz w:val="20"/>
          <w:szCs w:val="20"/>
          <w:lang w:val="es-ES_tradnl"/>
        </w:rPr>
        <w:t>Sin perjuicio de ello, la Comisión destaca que las citadas normas</w:t>
      </w:r>
      <w:r w:rsidRPr="007653D8">
        <w:rPr>
          <w:rFonts w:ascii="Cambria" w:hAnsi="Cambria" w:cs="Calibri"/>
          <w:sz w:val="20"/>
          <w:szCs w:val="20"/>
          <w:lang w:val="es-ES_tradnl"/>
        </w:rPr>
        <w:t xml:space="preserve"> reconocieron a aquellos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7653D8">
        <w:rPr>
          <w:rFonts w:ascii="Cambria" w:hAnsi="Cambria" w:cs="Calibri"/>
          <w:i/>
          <w:iCs/>
          <w:sz w:val="20"/>
          <w:szCs w:val="20"/>
          <w:lang w:val="es-ES_tradnl"/>
        </w:rPr>
        <w:t>el agravio y los aspectos de hecho y derecho que no fueron posibles de conocer en casación</w:t>
      </w:r>
      <w:r w:rsidRPr="007653D8">
        <w:rPr>
          <w:rFonts w:ascii="Cambria" w:hAnsi="Cambria" w:cs="Calibri"/>
          <w:sz w:val="20"/>
          <w:szCs w:val="20"/>
          <w:lang w:val="es-ES_tradnl"/>
        </w:rPr>
        <w:t>”. Por su parte, el Transitorio III de la ley 8837 demandaba para la procedencia del procedimiento de revisión que el condenado “</w:t>
      </w:r>
      <w:r w:rsidRPr="007653D8">
        <w:rPr>
          <w:rFonts w:ascii="Cambria" w:hAnsi="Cambria" w:cs="Calibri"/>
          <w:i/>
          <w:iCs/>
          <w:sz w:val="20"/>
          <w:szCs w:val="20"/>
          <w:lang w:val="es-ES_tradnl"/>
        </w:rPr>
        <w:t>haya alegado con anterioridad la vulneración del artículo 8.2.h de la Convención</w:t>
      </w:r>
      <w:r w:rsidRPr="007653D8">
        <w:rPr>
          <w:rFonts w:ascii="Cambria" w:hAnsi="Cambria" w:cs="Calibri"/>
          <w:sz w:val="20"/>
          <w:szCs w:val="20"/>
          <w:lang w:val="es-ES_tradnl"/>
        </w:rPr>
        <w:t xml:space="preserve">”.   </w:t>
      </w:r>
    </w:p>
    <w:p w14:paraId="02A05AD0" w14:textId="77777777" w:rsidR="00A45592" w:rsidRPr="007653D8" w:rsidRDefault="00A45592" w:rsidP="00A4559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7653D8">
        <w:rPr>
          <w:rFonts w:cs="Calibri"/>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7653D8">
        <w:rPr>
          <w:rStyle w:val="FootnoteReference"/>
          <w:rFonts w:cs="Calibri"/>
          <w:sz w:val="20"/>
          <w:szCs w:val="20"/>
          <w:lang w:val="es-ES_tradnl"/>
        </w:rPr>
        <w:footnoteReference w:id="12"/>
      </w:r>
      <w:r w:rsidRPr="007653D8">
        <w:rPr>
          <w:rFonts w:cs="Calibri"/>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5CC88D4A" w14:textId="77777777" w:rsidR="00A45592" w:rsidRPr="007653D8" w:rsidRDefault="00A45592" w:rsidP="00A4559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14E144C7" w14:textId="77777777" w:rsidR="00A45592" w:rsidRPr="007653D8" w:rsidRDefault="00A45592" w:rsidP="00A4559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7653D8">
        <w:rPr>
          <w:sz w:val="20"/>
          <w:szCs w:val="20"/>
          <w:lang w:val="es-ES_tradnl"/>
        </w:rPr>
        <w:t>No obstante, la Comisión reconoce, en primer término, que la Sala Constitucional de la Corte Suprema de Justicia de Costa Rica se refirió en reiterados pronunciamientos a la necesidad de “</w:t>
      </w:r>
      <w:r w:rsidRPr="007653D8">
        <w:rPr>
          <w:i/>
          <w:iCs/>
          <w:sz w:val="20"/>
          <w:szCs w:val="20"/>
          <w:lang w:val="es-ES_tradnl"/>
        </w:rPr>
        <w:t>asegurar el derecho al recurso, excluyendo formalismos que impidieran la revisión de las sentencias de condena, a fin de satisfacer lo dispuesto por el artículo 8.2.h de la Convención</w:t>
      </w:r>
      <w:r w:rsidRPr="007653D8">
        <w:rPr>
          <w:sz w:val="20"/>
          <w:szCs w:val="20"/>
          <w:lang w:val="es-ES_tradnl"/>
        </w:rPr>
        <w:t>”</w:t>
      </w:r>
      <w:r w:rsidRPr="007653D8">
        <w:rPr>
          <w:rStyle w:val="FootnoteReference"/>
          <w:sz w:val="20"/>
          <w:szCs w:val="20"/>
          <w:lang w:val="es-ES_tradnl"/>
        </w:rPr>
        <w:footnoteReference w:id="13"/>
      </w:r>
      <w:r w:rsidRPr="007653D8">
        <w:rPr>
          <w:sz w:val="20"/>
          <w:szCs w:val="20"/>
          <w:lang w:val="es-ES_tradnl"/>
        </w:rPr>
        <w:t>.</w:t>
      </w:r>
    </w:p>
    <w:p w14:paraId="21183833" w14:textId="77777777" w:rsidR="00A45592" w:rsidRPr="007653D8" w:rsidRDefault="00A45592" w:rsidP="00A4559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3930AEF4" w14:textId="77777777" w:rsidR="00A45592" w:rsidRPr="007653D8" w:rsidRDefault="00A45592" w:rsidP="00A4559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7653D8">
        <w:rPr>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7653D8">
        <w:rPr>
          <w:i/>
          <w:iCs/>
          <w:sz w:val="20"/>
          <w:szCs w:val="20"/>
          <w:lang w:val="es-ES_tradnl"/>
        </w:rPr>
        <w:t>Herrera Ulloa</w:t>
      </w:r>
      <w:r w:rsidRPr="007653D8">
        <w:rPr>
          <w:sz w:val="20"/>
          <w:szCs w:val="20"/>
          <w:lang w:val="es-ES_tradnl"/>
        </w:rPr>
        <w:t xml:space="preserve">. </w:t>
      </w:r>
    </w:p>
    <w:p w14:paraId="1BB4A9D9" w14:textId="77777777" w:rsidR="00A45592" w:rsidRPr="007653D8" w:rsidRDefault="00A45592" w:rsidP="00A4559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7CE4B030" w14:textId="77777777" w:rsidR="00A45592" w:rsidRPr="007653D8" w:rsidRDefault="00A45592" w:rsidP="00A4559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7653D8">
        <w:rPr>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6C4810C7" w14:textId="77777777" w:rsidR="00A45592" w:rsidRPr="007653D8" w:rsidRDefault="00A45592" w:rsidP="00A4559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p>
    <w:p w14:paraId="66F9FDEE" w14:textId="2CC6641E" w:rsidR="009F5894" w:rsidRPr="007653D8" w:rsidRDefault="00A45592" w:rsidP="00A45592">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sz w:val="20"/>
          <w:szCs w:val="20"/>
          <w:lang w:val="es-ES_tradnl"/>
        </w:rPr>
      </w:pPr>
      <w:r w:rsidRPr="007653D8">
        <w:rPr>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7653D8">
        <w:rPr>
          <w:i/>
          <w:iCs/>
          <w:sz w:val="20"/>
          <w:szCs w:val="20"/>
          <w:lang w:val="es-ES_tradnl"/>
        </w:rPr>
        <w:t xml:space="preserve">un análisis, caso por caso, de los recursos efectivamente interpuestos por las presuntas víctimas a fin de determinar si la forma en que éstos fueron resueltos en el sistema recursivo </w:t>
      </w:r>
      <w:r w:rsidRPr="007653D8">
        <w:rPr>
          <w:i/>
          <w:iCs/>
          <w:sz w:val="20"/>
          <w:szCs w:val="20"/>
          <w:lang w:val="es-ES_tradnl"/>
        </w:rPr>
        <w:lastRenderedPageBreak/>
        <w:t>costarricense, tomando en cuenta sus reformas, respetaron el derecho de aquellas a una revisión integral de sus sentencias condenatorias</w:t>
      </w:r>
      <w:r w:rsidRPr="007653D8">
        <w:rPr>
          <w:sz w:val="20"/>
          <w:szCs w:val="20"/>
          <w:lang w:val="es-ES_tradnl"/>
        </w:rPr>
        <w:t>”</w:t>
      </w:r>
      <w:r w:rsidRPr="007653D8">
        <w:rPr>
          <w:rStyle w:val="FootnoteReference"/>
          <w:sz w:val="20"/>
          <w:szCs w:val="20"/>
          <w:lang w:val="es-ES_tradnl"/>
        </w:rPr>
        <w:footnoteReference w:id="14"/>
      </w:r>
      <w:r w:rsidRPr="007653D8">
        <w:rPr>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7653D8">
        <w:rPr>
          <w:i/>
          <w:iCs/>
          <w:sz w:val="20"/>
          <w:szCs w:val="20"/>
          <w:lang w:val="es-ES_tradnl"/>
        </w:rPr>
        <w:t>prima facie</w:t>
      </w:r>
      <w:r w:rsidRPr="007653D8">
        <w:rPr>
          <w:sz w:val="20"/>
          <w:szCs w:val="20"/>
          <w:lang w:val="es-ES_tradnl"/>
        </w:rPr>
        <w:t xml:space="preserve"> violaciones a la Convención Americana, en los términos de su artículo 47.</w:t>
      </w:r>
    </w:p>
    <w:p w14:paraId="6F4D4171" w14:textId="7EE6BB7B" w:rsidR="003239B8" w:rsidRPr="007653D8" w:rsidRDefault="003239B8" w:rsidP="003239B8">
      <w:pPr>
        <w:spacing w:before="240" w:after="240"/>
        <w:ind w:firstLine="720"/>
        <w:jc w:val="both"/>
        <w:rPr>
          <w:rFonts w:ascii="Cambria" w:hAnsi="Cambria"/>
          <w:sz w:val="20"/>
          <w:szCs w:val="20"/>
          <w:lang w:val="es-ES_tradnl"/>
        </w:rPr>
      </w:pPr>
      <w:r w:rsidRPr="007653D8">
        <w:rPr>
          <w:rFonts w:asciiTheme="majorHAnsi" w:eastAsia="Cambria" w:hAnsiTheme="majorHAnsi" w:cs="Cambria"/>
          <w:b/>
          <w:bCs/>
          <w:color w:val="000000"/>
          <w:sz w:val="20"/>
          <w:szCs w:val="20"/>
          <w:u w:color="000000"/>
          <w:lang w:val="es-ES_tradnl" w:eastAsia="es-ES"/>
        </w:rPr>
        <w:t>VI</w:t>
      </w:r>
      <w:r w:rsidR="00C25F66" w:rsidRPr="007653D8">
        <w:rPr>
          <w:rFonts w:asciiTheme="majorHAnsi" w:eastAsia="Cambria" w:hAnsiTheme="majorHAnsi" w:cs="Cambria"/>
          <w:b/>
          <w:bCs/>
          <w:color w:val="000000"/>
          <w:sz w:val="20"/>
          <w:szCs w:val="20"/>
          <w:u w:color="000000"/>
          <w:lang w:val="es-ES_tradnl" w:eastAsia="es-ES"/>
        </w:rPr>
        <w:t>I</w:t>
      </w:r>
      <w:r w:rsidRPr="007653D8">
        <w:rPr>
          <w:rFonts w:asciiTheme="majorHAnsi" w:eastAsia="Cambria" w:hAnsiTheme="majorHAnsi" w:cs="Cambria"/>
          <w:b/>
          <w:bCs/>
          <w:color w:val="000000"/>
          <w:sz w:val="20"/>
          <w:szCs w:val="20"/>
          <w:u w:color="000000"/>
          <w:lang w:val="es-ES_tradnl" w:eastAsia="es-ES"/>
        </w:rPr>
        <w:t>.</w:t>
      </w:r>
      <w:r w:rsidRPr="007653D8">
        <w:rPr>
          <w:rFonts w:asciiTheme="majorHAnsi" w:eastAsia="Cambria" w:hAnsiTheme="majorHAnsi" w:cs="Cambria"/>
          <w:b/>
          <w:bCs/>
          <w:color w:val="000000"/>
          <w:sz w:val="20"/>
          <w:szCs w:val="20"/>
          <w:u w:color="000000"/>
          <w:lang w:val="es-ES_tradnl" w:eastAsia="es-ES"/>
        </w:rPr>
        <w:tab/>
      </w:r>
      <w:r w:rsidR="004A6A54" w:rsidRPr="007653D8">
        <w:rPr>
          <w:rFonts w:asciiTheme="majorHAnsi" w:hAnsiTheme="majorHAnsi"/>
          <w:b/>
          <w:bCs/>
          <w:sz w:val="20"/>
          <w:szCs w:val="20"/>
          <w:lang w:val="es-ES_tradnl"/>
        </w:rPr>
        <w:t xml:space="preserve">ANÁLISIS DE </w:t>
      </w:r>
      <w:r w:rsidR="00C21FEF" w:rsidRPr="007653D8">
        <w:rPr>
          <w:rFonts w:asciiTheme="majorHAnsi" w:hAnsiTheme="majorHAnsi"/>
          <w:b/>
          <w:sz w:val="20"/>
          <w:szCs w:val="20"/>
          <w:lang w:val="es-ES_tradnl"/>
        </w:rPr>
        <w:t>AGOTAMIENTO DE LOS RECURSOS INTERNOS Y PLAZO DE PRESENTACIÓN</w:t>
      </w:r>
      <w:r w:rsidR="00C21FEF" w:rsidRPr="007653D8">
        <w:rPr>
          <w:rFonts w:asciiTheme="majorHAnsi" w:eastAsia="Cambria" w:hAnsiTheme="majorHAnsi" w:cs="Cambria"/>
          <w:b/>
          <w:bCs/>
          <w:color w:val="000000"/>
          <w:sz w:val="20"/>
          <w:szCs w:val="20"/>
          <w:u w:color="000000"/>
          <w:lang w:val="es-ES_tradnl" w:eastAsia="es-ES"/>
        </w:rPr>
        <w:t xml:space="preserve"> </w:t>
      </w:r>
    </w:p>
    <w:p w14:paraId="24C5F190" w14:textId="285C1184" w:rsidR="003B098E" w:rsidRPr="007653D8" w:rsidRDefault="003B098E" w:rsidP="002524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653D8">
        <w:rPr>
          <w:rFonts w:ascii="Cambria" w:hAnsi="Cambria"/>
          <w:sz w:val="20"/>
          <w:szCs w:val="20"/>
          <w:lang w:val="es-ES_tradnl"/>
        </w:rPr>
        <w:t xml:space="preserve">Con base en las consideraciones previamente expuestas, la Comisión observa que, </w:t>
      </w:r>
      <w:r w:rsidR="008F0D93" w:rsidRPr="007653D8">
        <w:rPr>
          <w:rFonts w:ascii="Cambria" w:hAnsi="Cambria"/>
          <w:sz w:val="20"/>
          <w:szCs w:val="20"/>
          <w:lang w:val="es-ES_tradnl"/>
        </w:rPr>
        <w:t>conforme a la información proporcionada por el Estado</w:t>
      </w:r>
      <w:r w:rsidRPr="007653D8">
        <w:rPr>
          <w:rFonts w:ascii="Cambria" w:hAnsi="Cambria"/>
          <w:sz w:val="20"/>
          <w:szCs w:val="20"/>
          <w:lang w:val="es-ES_tradnl"/>
        </w:rPr>
        <w:t>,</w:t>
      </w:r>
      <w:r w:rsidR="0025246A" w:rsidRPr="007653D8">
        <w:rPr>
          <w:rFonts w:ascii="Cambria" w:hAnsi="Cambria"/>
          <w:sz w:val="20"/>
          <w:szCs w:val="20"/>
          <w:lang w:val="es-ES_tradnl"/>
        </w:rPr>
        <w:t xml:space="preserve"> </w:t>
      </w:r>
      <w:r w:rsidRPr="007653D8">
        <w:rPr>
          <w:rFonts w:ascii="Cambria" w:hAnsi="Cambria"/>
          <w:sz w:val="20"/>
          <w:szCs w:val="20"/>
          <w:lang w:val="es-ES_tradnl"/>
        </w:rPr>
        <w:t xml:space="preserve">la presunta víctima podía solicitar la revisión integral de su condena mediante los mecanismos especiales de revisión, establecido en el Transitorio III de la Ley N.º 8837, y a pesar de ello no utilizó esta vía. </w:t>
      </w:r>
    </w:p>
    <w:p w14:paraId="21FC3EE0" w14:textId="27615F74" w:rsidR="00B9545B" w:rsidRPr="007653D8" w:rsidRDefault="00B9545B" w:rsidP="00B954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653D8">
        <w:rPr>
          <w:rFonts w:ascii="Cambria" w:hAnsi="Cambria"/>
          <w:sz w:val="20"/>
          <w:szCs w:val="20"/>
          <w:lang w:val="es-AR"/>
        </w:rPr>
        <w:t>Conforme a los alegatos expuestos, la Comisión observa que el Estado cumplió con su deber de especificar los recursos internos que no fueron agotados y las razones por las cuáles estos resultaban adecuados y efectivos para solventar la situación jurídica de la presunta víctima. En efecto, d</w:t>
      </w:r>
      <w:r w:rsidRPr="007653D8">
        <w:rPr>
          <w:rFonts w:ascii="Cambria" w:hAnsi="Cambria"/>
          <w:sz w:val="20"/>
          <w:szCs w:val="20"/>
          <w:lang w:val="es-ES"/>
        </w:rPr>
        <w:t>esde su primera jurisprudencia la Corte Interamericana estableció que “</w:t>
      </w:r>
      <w:r w:rsidRPr="007653D8">
        <w:rPr>
          <w:rFonts w:ascii="Cambria" w:hAnsi="Cambria"/>
          <w:i/>
          <w:iCs/>
          <w:sz w:val="20"/>
          <w:szCs w:val="20"/>
          <w:lang w:val="es-ES"/>
        </w:rPr>
        <w:t>el Estado que alega el no agotamiento tiene a su cargo el señalamiento de los recursos internos que deben agotarse y de su efectividad</w:t>
      </w:r>
      <w:r w:rsidR="00177D16">
        <w:rPr>
          <w:rFonts w:ascii="Cambria" w:hAnsi="Cambria"/>
          <w:i/>
          <w:iCs/>
          <w:sz w:val="20"/>
          <w:szCs w:val="20"/>
          <w:lang w:val="es-ES"/>
        </w:rPr>
        <w:t>.</w:t>
      </w:r>
      <w:r w:rsidRPr="007653D8">
        <w:rPr>
          <w:rFonts w:ascii="Cambria" w:hAnsi="Cambria"/>
          <w:sz w:val="20"/>
          <w:szCs w:val="20"/>
          <w:lang w:val="es-ES"/>
        </w:rPr>
        <w:t>”</w:t>
      </w:r>
      <w:r w:rsidRPr="007653D8">
        <w:rPr>
          <w:rStyle w:val="FootnoteReference"/>
          <w:rFonts w:ascii="Cambria" w:hAnsi="Cambria"/>
          <w:sz w:val="20"/>
          <w:szCs w:val="20"/>
          <w:lang w:val="es-AR"/>
        </w:rPr>
        <w:footnoteReference w:id="15"/>
      </w:r>
      <w:r w:rsidRPr="007653D8">
        <w:rPr>
          <w:rFonts w:ascii="Cambria" w:hAnsi="Cambria"/>
          <w:sz w:val="20"/>
          <w:szCs w:val="20"/>
          <w:lang w:val="es-AR"/>
        </w:rPr>
        <w:t xml:space="preserve"> En concreto, la información aportada demuestra que, tras la denegatoria de su recurso de casación, el señor Fuentes Molina tenía a su disposición la vía de revisión especial establecida en el Transitorio I de la Ley N.º 8503 para cuestionar su condena y lograr una revisión integral de tal fallo, toda vez que esta disposición entró en vigor el </w:t>
      </w:r>
      <w:r w:rsidRPr="007653D8">
        <w:rPr>
          <w:rFonts w:asciiTheme="majorHAnsi" w:hAnsiTheme="majorHAnsi"/>
          <w:bCs/>
          <w:sz w:val="20"/>
          <w:szCs w:val="20"/>
          <w:lang w:val="es-ES_tradnl"/>
        </w:rPr>
        <w:t>6 de</w:t>
      </w:r>
      <w:r w:rsidRPr="007653D8">
        <w:rPr>
          <w:rFonts w:ascii="Cambria" w:hAnsi="Cambria"/>
          <w:sz w:val="20"/>
          <w:szCs w:val="20"/>
          <w:lang w:val="es-ES"/>
        </w:rPr>
        <w:t xml:space="preserve"> de junio de 2006. </w:t>
      </w:r>
    </w:p>
    <w:p w14:paraId="6504CE25" w14:textId="65BD8FCD" w:rsidR="00B9545B" w:rsidRPr="007653D8" w:rsidRDefault="00B9545B" w:rsidP="00B954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US"/>
        </w:rPr>
      </w:pPr>
      <w:r w:rsidRPr="007653D8">
        <w:rPr>
          <w:rFonts w:ascii="Cambria" w:hAnsi="Cambria"/>
          <w:sz w:val="20"/>
          <w:szCs w:val="20"/>
          <w:lang w:val="es-ES"/>
        </w:rPr>
        <w:t xml:space="preserve">Al respecto, la Comisión reitera que la Corte Interamericana consideró que el citado mecanismo, junto con </w:t>
      </w:r>
      <w:r w:rsidRPr="007653D8">
        <w:rPr>
          <w:rFonts w:ascii="Cambria" w:hAnsi="Cambria"/>
          <w:sz w:val="20"/>
          <w:szCs w:val="20"/>
          <w:lang w:val="es-AR"/>
        </w:rPr>
        <w:t xml:space="preserve">el Transitorio IIII de la Ley N.º 8837, permiten garantizar el derecho a la revisión integral de un fallo condenatorio y, por ende, cumplen con la obligación establecida en el artículo 8.2.h) de la Convención Americana. </w:t>
      </w:r>
      <w:r w:rsidRPr="007653D8">
        <w:rPr>
          <w:rFonts w:ascii="Cambria" w:hAnsi="Cambria"/>
          <w:sz w:val="20"/>
          <w:szCs w:val="20"/>
          <w:lang w:val="es-ES"/>
        </w:rPr>
        <w:t>Bajo este entendimiento, el precedente del caso</w:t>
      </w:r>
      <w:r w:rsidRPr="007653D8">
        <w:rPr>
          <w:rFonts w:ascii="Cambria" w:hAnsi="Cambria"/>
          <w:i/>
          <w:iCs/>
          <w:sz w:val="20"/>
          <w:szCs w:val="20"/>
          <w:lang w:val="es-ES"/>
        </w:rPr>
        <w:t xml:space="preserve"> Amrhein y otros vs. Costa Rica</w:t>
      </w:r>
      <w:r w:rsidRPr="007653D8">
        <w:rPr>
          <w:rFonts w:ascii="Cambria" w:hAnsi="Cambria"/>
          <w:sz w:val="20"/>
          <w:szCs w:val="20"/>
          <w:lang w:val="es-ES"/>
        </w:rPr>
        <w:t xml:space="preserve"> estableció que las presuntas víctimas que aleguen una afectación al derecho contemplado en el citado artículo 8.2.h) y/u otras garantías vinculadas deben utilizar tales vías si estas se encontraban disponibles al momento de los hechos, o de lo contrario tienen que demostrar su falta de accesibilidad u idoneidad. En sentido congruente, la Comisión ha considerado también que cuando el Estado cumple con su deber de cuestionar en tiempo y forma el agotamiento de los recursos internos, corresponde a la parte peticionaria replicar esta información</w:t>
      </w:r>
      <w:r w:rsidRPr="007653D8">
        <w:rPr>
          <w:rStyle w:val="FootnoteReference"/>
          <w:rFonts w:ascii="Cambria" w:hAnsi="Cambria" w:cs="Calibri"/>
          <w:sz w:val="20"/>
          <w:szCs w:val="20"/>
        </w:rPr>
        <w:footnoteReference w:id="16"/>
      </w:r>
      <w:r w:rsidR="00D60866">
        <w:rPr>
          <w:rFonts w:ascii="Cambria" w:hAnsi="Cambria"/>
          <w:sz w:val="20"/>
          <w:szCs w:val="20"/>
          <w:lang w:val="es-ES"/>
        </w:rPr>
        <w:t>.</w:t>
      </w:r>
    </w:p>
    <w:p w14:paraId="0465592E" w14:textId="6A007423" w:rsidR="00B9545B" w:rsidRPr="007653D8" w:rsidRDefault="00B9545B" w:rsidP="00B954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653D8">
        <w:rPr>
          <w:rFonts w:asciiTheme="majorHAnsi" w:hAnsiTheme="majorHAnsi"/>
          <w:sz w:val="20"/>
          <w:szCs w:val="20"/>
          <w:lang w:val="es-ES"/>
        </w:rPr>
        <w:t xml:space="preserve">En ese sentido, toda vez que la parte peticionaria no presenta alegatos orientados a replicar los argumentos e información presentados por Costa Rica; ni cuestiona que, en el caso en concreto, el mecanismo especial de revisión haya carecido de algún elemento que afecte su idoneidad o eficacia, la Comisión concluye que, en aplicación de los estándares fijados por la Corte Interamericana de Derechos Humanos, el presente asunto no cumple con el requisito previsto en el artículo 46.1.a) de la Convención Americana y, en consecuencia, corresponde declarar inadmisible la presente petición. </w:t>
      </w:r>
    </w:p>
    <w:p w14:paraId="2E743FDA" w14:textId="73DAAFAB" w:rsidR="00B9545B" w:rsidRPr="007653D8" w:rsidRDefault="00B9545B" w:rsidP="00B954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653D8">
        <w:rPr>
          <w:rFonts w:asciiTheme="majorHAnsi" w:hAnsiTheme="majorHAnsi"/>
          <w:sz w:val="20"/>
          <w:szCs w:val="20"/>
          <w:lang w:val="es-ES_tradnl"/>
        </w:rPr>
        <w:t xml:space="preserve">En sentido similar, la parte peticionaria no brinda información suficiente a efectos de analizar si existe una demora en la denuncia que interpuso por falso testimonio. En consecuencia, este extremo de la petición tampoco cumple con el requisito previsto en el artículo 46.1.a) de la Convención. </w:t>
      </w:r>
    </w:p>
    <w:p w14:paraId="3F1AF73A" w14:textId="77777777" w:rsidR="00B9545B" w:rsidRPr="007653D8" w:rsidRDefault="00B9545B" w:rsidP="00B954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sidRPr="007653D8">
        <w:rPr>
          <w:rFonts w:asciiTheme="majorHAnsi" w:hAnsiTheme="majorHAnsi"/>
          <w:sz w:val="20"/>
          <w:szCs w:val="20"/>
          <w:lang w:val="es-US"/>
        </w:rPr>
        <w:t xml:space="preserve">Finalmente, toda vez que no se cumplió con el requisito del previo agotamiento de los recursos internos ni se configura alguna de las excepciones previstas en el artículo 46.2 de la Convención, no procede un estudio sobre el cumplimiento del requisito de presentación de la petición. </w:t>
      </w:r>
    </w:p>
    <w:p w14:paraId="29BB41F5" w14:textId="77777777" w:rsidR="003239B8" w:rsidRPr="007653D8" w:rsidRDefault="003239B8" w:rsidP="00B9545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_tradnl"/>
        </w:rPr>
      </w:pPr>
      <w:r w:rsidRPr="007653D8">
        <w:rPr>
          <w:rFonts w:asciiTheme="majorHAnsi" w:hAnsiTheme="majorHAnsi"/>
          <w:b/>
          <w:bCs/>
          <w:sz w:val="20"/>
          <w:szCs w:val="20"/>
          <w:lang w:val="es-ES_tradnl"/>
        </w:rPr>
        <w:lastRenderedPageBreak/>
        <w:t xml:space="preserve">VIII. </w:t>
      </w:r>
      <w:r w:rsidRPr="007653D8">
        <w:rPr>
          <w:rFonts w:asciiTheme="majorHAnsi" w:hAnsiTheme="majorHAnsi"/>
          <w:b/>
          <w:bCs/>
          <w:sz w:val="20"/>
          <w:szCs w:val="20"/>
          <w:lang w:val="es-ES_tradnl"/>
        </w:rPr>
        <w:tab/>
        <w:t>DECISIÓN</w:t>
      </w:r>
    </w:p>
    <w:p w14:paraId="570DA61C" w14:textId="0A808122" w:rsidR="000419AD" w:rsidRPr="007653D8" w:rsidRDefault="000419AD" w:rsidP="000419AD">
      <w:pPr>
        <w:pStyle w:val="ListParagraph"/>
        <w:numPr>
          <w:ilvl w:val="0"/>
          <w:numId w:val="109"/>
        </w:numPr>
        <w:rPr>
          <w:rFonts w:eastAsia="Arial Unicode MS" w:cs="Times New Roman"/>
          <w:color w:val="auto"/>
          <w:sz w:val="20"/>
          <w:szCs w:val="20"/>
          <w:lang w:val="es-ES_tradnl" w:eastAsia="en-US"/>
        </w:rPr>
      </w:pPr>
      <w:r w:rsidRPr="007653D8">
        <w:rPr>
          <w:rFonts w:eastAsia="Arial Unicode MS" w:cs="Times New Roman"/>
          <w:color w:val="auto"/>
          <w:sz w:val="20"/>
          <w:szCs w:val="20"/>
          <w:lang w:val="es-ES_tradnl" w:eastAsia="en-US"/>
        </w:rPr>
        <w:t>Declarar inadmisible la presente petición</w:t>
      </w:r>
      <w:r w:rsidR="00A758AA" w:rsidRPr="007653D8">
        <w:rPr>
          <w:rFonts w:eastAsia="Arial Unicode MS" w:cs="Times New Roman"/>
          <w:color w:val="auto"/>
          <w:sz w:val="20"/>
          <w:szCs w:val="20"/>
          <w:lang w:val="es-ES_tradnl" w:eastAsia="en-US"/>
        </w:rPr>
        <w:t>;</w:t>
      </w:r>
      <w:r w:rsidR="004A6A54" w:rsidRPr="007653D8">
        <w:rPr>
          <w:rFonts w:eastAsia="Arial Unicode MS" w:cs="Times New Roman"/>
          <w:color w:val="auto"/>
          <w:sz w:val="20"/>
          <w:szCs w:val="20"/>
          <w:lang w:val="es-ES_tradnl" w:eastAsia="en-US"/>
        </w:rPr>
        <w:t xml:space="preserve"> y</w:t>
      </w:r>
    </w:p>
    <w:p w14:paraId="77BCFDA8" w14:textId="343CC541" w:rsidR="00B9545B" w:rsidRPr="007653D8" w:rsidRDefault="00B9545B" w:rsidP="00B9545B">
      <w:pPr>
        <w:pStyle w:val="ListParagraph"/>
        <w:tabs>
          <w:tab w:val="left" w:pos="7719"/>
        </w:tabs>
        <w:rPr>
          <w:rFonts w:eastAsia="Arial Unicode MS" w:cs="Times New Roman"/>
          <w:color w:val="auto"/>
          <w:sz w:val="20"/>
          <w:szCs w:val="20"/>
          <w:lang w:val="es-ES_tradnl" w:eastAsia="en-US"/>
        </w:rPr>
      </w:pPr>
      <w:r w:rsidRPr="007653D8">
        <w:rPr>
          <w:rFonts w:eastAsia="Arial Unicode MS" w:cs="Times New Roman"/>
          <w:color w:val="auto"/>
          <w:sz w:val="20"/>
          <w:szCs w:val="20"/>
          <w:lang w:val="es-ES_tradnl" w:eastAsia="en-US"/>
        </w:rPr>
        <w:tab/>
      </w:r>
    </w:p>
    <w:p w14:paraId="12A7002C" w14:textId="0F0A268F" w:rsidR="004A6A54" w:rsidRPr="007653D8"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653D8">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6AC80CA6" w14:textId="3A8061DA" w:rsidR="00722C9F" w:rsidRPr="007107D0" w:rsidRDefault="00EB3E95" w:rsidP="007107D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12 días del mes de mayo de 2023.</w:t>
      </w:r>
      <w:r w:rsidR="007107D0">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Margarette May Macaulay, Presidenta; Roberta Clarke, Segunda Vicepresidenta; Julissa Mantilla Falcón y Carlos Bernal Pulido, </w:t>
      </w:r>
      <w:r w:rsidR="007107D0">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722C9F" w:rsidRPr="007107D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0F59" w14:textId="77777777" w:rsidR="000E46B3" w:rsidRDefault="000E46B3">
      <w:r>
        <w:separator/>
      </w:r>
    </w:p>
  </w:endnote>
  <w:endnote w:type="continuationSeparator" w:id="0">
    <w:p w14:paraId="1E5B8CF2" w14:textId="77777777" w:rsidR="000E46B3" w:rsidRDefault="000E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F76C" w14:textId="77777777" w:rsidR="000E46B3" w:rsidRPr="000F35ED" w:rsidRDefault="000E46B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84C37DA" w14:textId="77777777" w:rsidR="000E46B3" w:rsidRPr="000F35ED" w:rsidRDefault="000E46B3" w:rsidP="000F35ED">
      <w:pPr>
        <w:rPr>
          <w:rFonts w:asciiTheme="majorHAnsi" w:hAnsiTheme="majorHAnsi"/>
          <w:sz w:val="16"/>
          <w:szCs w:val="16"/>
        </w:rPr>
      </w:pPr>
      <w:r w:rsidRPr="000F35ED">
        <w:rPr>
          <w:rFonts w:asciiTheme="majorHAnsi" w:hAnsiTheme="majorHAnsi"/>
          <w:sz w:val="16"/>
          <w:szCs w:val="16"/>
        </w:rPr>
        <w:separator/>
      </w:r>
    </w:p>
    <w:p w14:paraId="2F077DDD" w14:textId="77777777" w:rsidR="000E46B3" w:rsidRPr="000F35ED" w:rsidRDefault="000E46B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1FBBA1D" w14:textId="77777777" w:rsidR="000E46B3" w:rsidRPr="000F35ED" w:rsidRDefault="000E46B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49C52" w14:textId="0A98B7DE" w:rsidR="00916C1D" w:rsidRPr="007653D8" w:rsidRDefault="00916C1D" w:rsidP="00916C1D">
      <w:pPr>
        <w:pStyle w:val="FootnoteText"/>
        <w:ind w:firstLine="720"/>
        <w:jc w:val="both"/>
        <w:rPr>
          <w:lang w:val="es-US"/>
        </w:rPr>
      </w:pPr>
      <w:r w:rsidRPr="007653D8">
        <w:rPr>
          <w:rStyle w:val="FootnoteReference"/>
          <w:rFonts w:asciiTheme="majorHAnsi" w:hAnsiTheme="majorHAnsi"/>
          <w:sz w:val="16"/>
          <w:szCs w:val="16"/>
        </w:rPr>
        <w:footnoteRef/>
      </w:r>
      <w:r w:rsidRPr="007653D8">
        <w:rPr>
          <w:rFonts w:asciiTheme="majorHAnsi" w:hAnsiTheme="majorHAnsi"/>
          <w:sz w:val="16"/>
          <w:szCs w:val="16"/>
          <w:lang w:val="es-US"/>
        </w:rPr>
        <w:t xml:space="preserve"> En adelante, “la Convención Americana” o “la Convención”</w:t>
      </w:r>
    </w:p>
  </w:footnote>
  <w:footnote w:id="3">
    <w:p w14:paraId="79F07139" w14:textId="77777777" w:rsidR="008E3BFE" w:rsidRPr="007653D8" w:rsidRDefault="008E3BFE" w:rsidP="000337EF">
      <w:pPr>
        <w:pStyle w:val="FootnoteText"/>
        <w:spacing w:after="120"/>
        <w:ind w:firstLine="720"/>
        <w:jc w:val="both"/>
        <w:rPr>
          <w:rFonts w:ascii="Cambria" w:hAnsi="Cambria"/>
          <w:sz w:val="16"/>
          <w:szCs w:val="16"/>
          <w:lang w:val="es-ES"/>
        </w:rPr>
      </w:pPr>
      <w:r w:rsidRPr="007653D8">
        <w:rPr>
          <w:rStyle w:val="FootnoteReference"/>
          <w:rFonts w:ascii="Cambria" w:hAnsi="Cambria"/>
          <w:sz w:val="16"/>
          <w:szCs w:val="16"/>
        </w:rPr>
        <w:footnoteRef/>
      </w:r>
      <w:r w:rsidRPr="007653D8">
        <w:rPr>
          <w:rFonts w:ascii="Cambria" w:hAnsi="Cambria"/>
          <w:sz w:val="16"/>
          <w:szCs w:val="16"/>
          <w:lang w:val="es-ES"/>
        </w:rPr>
        <w:t xml:space="preserve"> Las observaciones de cada parte fueron debidamente trasladadas a la parte contraria.</w:t>
      </w:r>
    </w:p>
  </w:footnote>
  <w:footnote w:id="4">
    <w:p w14:paraId="4576097B" w14:textId="7C297690" w:rsidR="000426A1" w:rsidRPr="007653D8" w:rsidRDefault="000426A1" w:rsidP="000426A1">
      <w:pPr>
        <w:ind w:firstLine="720"/>
        <w:jc w:val="both"/>
        <w:rPr>
          <w:rFonts w:asciiTheme="majorHAnsi" w:eastAsia="Calibri" w:hAnsiTheme="majorHAnsi" w:cs="Calibri"/>
          <w:color w:val="000000"/>
          <w:sz w:val="16"/>
          <w:szCs w:val="16"/>
          <w:u w:color="000000"/>
          <w:lang w:val="es-US" w:eastAsia="es-ES"/>
        </w:rPr>
      </w:pPr>
      <w:r w:rsidRPr="007653D8">
        <w:rPr>
          <w:rStyle w:val="FootnoteReference"/>
          <w:rFonts w:asciiTheme="majorHAnsi" w:hAnsiTheme="majorHAnsi"/>
          <w:sz w:val="16"/>
          <w:szCs w:val="16"/>
        </w:rPr>
        <w:footnoteRef/>
      </w:r>
      <w:r w:rsidRPr="007653D8">
        <w:rPr>
          <w:rFonts w:asciiTheme="majorHAnsi" w:hAnsiTheme="majorHAnsi"/>
          <w:sz w:val="16"/>
          <w:szCs w:val="16"/>
          <w:lang w:val="es-US"/>
        </w:rPr>
        <w:t xml:space="preserve"> Ley N.º 8837.- Transitorio III.-</w:t>
      </w:r>
      <w:r w:rsidRPr="007653D8">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8.2.h)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r w:rsidR="005202F3" w:rsidRPr="007653D8">
        <w:rPr>
          <w:rFonts w:asciiTheme="majorHAnsi" w:eastAsia="Calibri" w:hAnsiTheme="majorHAnsi" w:cs="Calibri"/>
          <w:color w:val="000000"/>
          <w:sz w:val="16"/>
          <w:szCs w:val="16"/>
          <w:u w:color="000000"/>
          <w:lang w:val="es-US" w:eastAsia="es-ES"/>
        </w:rPr>
        <w:t>t</w:t>
      </w:r>
    </w:p>
  </w:footnote>
  <w:footnote w:id="5">
    <w:p w14:paraId="2E8739D6" w14:textId="77777777" w:rsidR="00A45592" w:rsidRPr="007653D8" w:rsidRDefault="00A45592" w:rsidP="00A45592">
      <w:pPr>
        <w:pStyle w:val="FootnoteText"/>
        <w:ind w:firstLine="720"/>
        <w:jc w:val="both"/>
        <w:rPr>
          <w:rFonts w:asciiTheme="majorHAnsi" w:hAnsiTheme="majorHAnsi"/>
          <w:sz w:val="16"/>
          <w:szCs w:val="16"/>
          <w:lang w:val="es-US"/>
        </w:rPr>
      </w:pPr>
      <w:r w:rsidRPr="007653D8">
        <w:rPr>
          <w:rStyle w:val="FootnoteReference"/>
          <w:rFonts w:asciiTheme="majorHAnsi" w:hAnsiTheme="majorHAnsi"/>
          <w:sz w:val="16"/>
          <w:szCs w:val="16"/>
        </w:rPr>
        <w:footnoteRef/>
      </w:r>
      <w:r w:rsidRPr="007653D8">
        <w:rPr>
          <w:rFonts w:asciiTheme="majorHAnsi" w:hAnsiTheme="majorHAnsi"/>
          <w:sz w:val="16"/>
          <w:szCs w:val="16"/>
          <w:lang w:val="es-US"/>
        </w:rPr>
        <w:t xml:space="preserve"> En adelante, la “Corte Interamericana” o la “Corte IDH”.</w:t>
      </w:r>
    </w:p>
  </w:footnote>
  <w:footnote w:id="6">
    <w:p w14:paraId="14C28203" w14:textId="77777777" w:rsidR="00A45592" w:rsidRPr="007653D8" w:rsidRDefault="00A45592" w:rsidP="00A45592">
      <w:pPr>
        <w:pStyle w:val="FootnoteText"/>
        <w:ind w:firstLine="720"/>
        <w:jc w:val="both"/>
        <w:rPr>
          <w:rFonts w:asciiTheme="majorHAnsi" w:hAnsiTheme="majorHAnsi"/>
          <w:sz w:val="16"/>
          <w:szCs w:val="16"/>
          <w:lang w:val="es-US"/>
        </w:rPr>
      </w:pPr>
      <w:r w:rsidRPr="007653D8">
        <w:rPr>
          <w:rStyle w:val="FootnoteReference"/>
          <w:rFonts w:asciiTheme="majorHAnsi" w:hAnsiTheme="majorHAnsi"/>
          <w:sz w:val="16"/>
          <w:szCs w:val="16"/>
        </w:rPr>
        <w:footnoteRef/>
      </w:r>
      <w:r w:rsidRPr="007653D8">
        <w:rPr>
          <w:rFonts w:asciiTheme="majorHAnsi" w:hAnsiTheme="majorHAnsi"/>
          <w:sz w:val="16"/>
          <w:szCs w:val="16"/>
          <w:lang w:val="pt-BR"/>
        </w:rPr>
        <w:t xml:space="preserve"> Corte IDH. Caso Herrera Ulloa Vs. </w:t>
      </w:r>
      <w:r w:rsidRPr="007653D8">
        <w:rPr>
          <w:rFonts w:asciiTheme="majorHAnsi" w:hAnsiTheme="majorHAnsi"/>
          <w:sz w:val="16"/>
          <w:szCs w:val="16"/>
          <w:lang w:val="es-US"/>
        </w:rPr>
        <w:t xml:space="preserve">Costa Rica. Excepciones Preliminares, Fondo, Reparaciones y Costas. Sentencia de 2 de julio de 2004. Serie C No. 107, párr. 167. </w:t>
      </w:r>
    </w:p>
  </w:footnote>
  <w:footnote w:id="7">
    <w:p w14:paraId="05027A92" w14:textId="77777777" w:rsidR="00A45592" w:rsidRPr="007653D8" w:rsidRDefault="00A45592" w:rsidP="00A45592">
      <w:pPr>
        <w:pStyle w:val="FootnoteText"/>
        <w:ind w:firstLine="720"/>
        <w:jc w:val="both"/>
        <w:rPr>
          <w:lang w:val="es-US"/>
        </w:rPr>
      </w:pPr>
      <w:r w:rsidRPr="007653D8">
        <w:rPr>
          <w:rStyle w:val="FootnoteReference"/>
          <w:rFonts w:asciiTheme="majorHAnsi" w:hAnsiTheme="majorHAnsi"/>
          <w:sz w:val="16"/>
          <w:szCs w:val="16"/>
        </w:rPr>
        <w:footnoteRef/>
      </w:r>
      <w:r w:rsidRPr="00335E3E">
        <w:rPr>
          <w:rFonts w:asciiTheme="majorHAnsi" w:hAnsiTheme="majorHAnsi"/>
          <w:sz w:val="16"/>
          <w:szCs w:val="16"/>
          <w:lang w:val="pt-BR"/>
        </w:rPr>
        <w:t xml:space="preserve"> Corte IDH. Caso Herrera Ulloa Vs. </w:t>
      </w:r>
      <w:r w:rsidRPr="007653D8">
        <w:rPr>
          <w:rFonts w:asciiTheme="majorHAnsi" w:hAnsiTheme="majorHAnsi"/>
          <w:sz w:val="16"/>
          <w:szCs w:val="16"/>
          <w:lang w:val="es-US"/>
        </w:rPr>
        <w:t xml:space="preserve">Costa Rica. Excepciones Preliminares, Fondo, Reparaciones y Costas. </w:t>
      </w:r>
      <w:r w:rsidRPr="007653D8">
        <w:rPr>
          <w:rFonts w:asciiTheme="majorHAnsi" w:hAnsiTheme="majorHAnsi"/>
          <w:sz w:val="16"/>
          <w:szCs w:val="16"/>
          <w:lang w:val="es-ES"/>
        </w:rPr>
        <w:t>Sentencia de 2 de julio de 2004. Serie C No. 107, párr. 198.</w:t>
      </w:r>
    </w:p>
  </w:footnote>
  <w:footnote w:id="8">
    <w:p w14:paraId="4B24DF79" w14:textId="77777777" w:rsidR="00A45592" w:rsidRPr="007653D8" w:rsidRDefault="00A45592" w:rsidP="00A45592">
      <w:pPr>
        <w:pStyle w:val="FootnoteText"/>
        <w:ind w:firstLine="720"/>
        <w:jc w:val="both"/>
        <w:rPr>
          <w:rFonts w:asciiTheme="majorHAnsi" w:hAnsiTheme="majorHAnsi"/>
          <w:sz w:val="16"/>
          <w:szCs w:val="16"/>
          <w:lang w:val="es-US"/>
        </w:rPr>
      </w:pPr>
      <w:r w:rsidRPr="007653D8">
        <w:rPr>
          <w:rStyle w:val="FootnoteReference"/>
          <w:rFonts w:asciiTheme="majorHAnsi" w:hAnsiTheme="majorHAnsi"/>
          <w:sz w:val="16"/>
          <w:szCs w:val="16"/>
        </w:rPr>
        <w:footnoteRef/>
      </w:r>
      <w:r w:rsidRPr="007653D8">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9">
    <w:p w14:paraId="609DF3C8" w14:textId="77777777" w:rsidR="00A45592" w:rsidRPr="007653D8" w:rsidRDefault="00A45592" w:rsidP="00A45592">
      <w:pPr>
        <w:pStyle w:val="FootnoteText"/>
        <w:ind w:firstLine="720"/>
        <w:jc w:val="both"/>
        <w:rPr>
          <w:rFonts w:asciiTheme="majorHAnsi" w:hAnsiTheme="majorHAnsi"/>
          <w:sz w:val="16"/>
          <w:szCs w:val="16"/>
          <w:lang w:val="es-US"/>
        </w:rPr>
      </w:pPr>
      <w:r w:rsidRPr="007653D8">
        <w:rPr>
          <w:rStyle w:val="FootnoteReference"/>
          <w:rFonts w:asciiTheme="majorHAnsi" w:hAnsiTheme="majorHAnsi"/>
          <w:sz w:val="16"/>
          <w:szCs w:val="16"/>
        </w:rPr>
        <w:footnoteRef/>
      </w:r>
      <w:r w:rsidRPr="007653D8">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10">
    <w:p w14:paraId="269E1CCB" w14:textId="77777777" w:rsidR="00A45592" w:rsidRPr="007653D8" w:rsidRDefault="00A45592" w:rsidP="00A45592">
      <w:pPr>
        <w:pStyle w:val="FootnoteText"/>
        <w:ind w:firstLine="720"/>
        <w:jc w:val="both"/>
        <w:rPr>
          <w:lang w:val="es-US"/>
        </w:rPr>
      </w:pPr>
      <w:r w:rsidRPr="007653D8">
        <w:rPr>
          <w:rStyle w:val="FootnoteReference"/>
          <w:rFonts w:asciiTheme="majorHAnsi" w:hAnsiTheme="majorHAnsi"/>
          <w:sz w:val="16"/>
          <w:szCs w:val="16"/>
        </w:rPr>
        <w:footnoteRef/>
      </w:r>
      <w:r w:rsidRPr="007653D8">
        <w:rPr>
          <w:rFonts w:asciiTheme="majorHAnsi" w:hAnsiTheme="majorHAnsi"/>
          <w:sz w:val="16"/>
          <w:szCs w:val="16"/>
          <w:lang w:val="es-US"/>
        </w:rPr>
        <w:t xml:space="preserve"> Corte IDH. Caso Amrhein y otros Vs. Costa Rica. Excepciones Preliminares, Fondo, Reparaciones y Costas. Sentencia de 25 de abril de 2018. Serie C No. 354, párr. 265. </w:t>
      </w:r>
    </w:p>
  </w:footnote>
  <w:footnote w:id="11">
    <w:p w14:paraId="1AC3691F" w14:textId="77777777" w:rsidR="00A45592" w:rsidRPr="007653D8" w:rsidRDefault="00A45592" w:rsidP="00A45592">
      <w:pPr>
        <w:pStyle w:val="FootnoteText"/>
        <w:ind w:firstLine="720"/>
        <w:jc w:val="both"/>
        <w:rPr>
          <w:rFonts w:asciiTheme="majorHAnsi" w:hAnsiTheme="majorHAnsi"/>
          <w:sz w:val="16"/>
          <w:szCs w:val="16"/>
          <w:lang w:val="es-US"/>
        </w:rPr>
      </w:pPr>
      <w:r w:rsidRPr="007653D8">
        <w:rPr>
          <w:rStyle w:val="FootnoteReference"/>
          <w:rFonts w:asciiTheme="majorHAnsi" w:hAnsiTheme="majorHAnsi"/>
          <w:sz w:val="16"/>
          <w:szCs w:val="16"/>
        </w:rPr>
        <w:footnoteRef/>
      </w:r>
      <w:r w:rsidRPr="00335E3E">
        <w:rPr>
          <w:rFonts w:asciiTheme="majorHAnsi" w:hAnsiTheme="majorHAnsi"/>
          <w:sz w:val="16"/>
          <w:szCs w:val="16"/>
          <w:lang w:val="pt-BR"/>
        </w:rPr>
        <w:t xml:space="preserve"> Corte IDH. Caso Herrera Ulloa Vs. </w:t>
      </w:r>
      <w:r w:rsidRPr="007653D8">
        <w:rPr>
          <w:rFonts w:asciiTheme="majorHAnsi" w:hAnsiTheme="majorHAnsi"/>
          <w:sz w:val="16"/>
          <w:szCs w:val="16"/>
          <w:lang w:val="es-US"/>
        </w:rPr>
        <w:t xml:space="preserve">Costa Rica. Supervisión de Cumplimiento de Sentencia. Resolución de la Corte Interamericana de Derechos Humanos de 22 de noviembre de 2010, párr. 16. </w:t>
      </w:r>
    </w:p>
  </w:footnote>
  <w:footnote w:id="12">
    <w:p w14:paraId="55A487C7" w14:textId="77777777" w:rsidR="00A45592" w:rsidRPr="007653D8" w:rsidRDefault="00A45592" w:rsidP="00A45592">
      <w:pPr>
        <w:pStyle w:val="FootnoteText"/>
        <w:ind w:firstLine="720"/>
        <w:jc w:val="both"/>
        <w:rPr>
          <w:rFonts w:ascii="Cambria" w:hAnsi="Cambria"/>
          <w:sz w:val="16"/>
          <w:szCs w:val="16"/>
          <w:lang w:val="es-AR"/>
        </w:rPr>
      </w:pPr>
      <w:r w:rsidRPr="007653D8">
        <w:rPr>
          <w:rStyle w:val="FootnoteReference"/>
          <w:rFonts w:ascii="Cambria" w:hAnsi="Cambria"/>
          <w:sz w:val="16"/>
          <w:szCs w:val="16"/>
        </w:rPr>
        <w:footnoteRef/>
      </w:r>
      <w:r w:rsidRPr="007653D8">
        <w:rPr>
          <w:rFonts w:ascii="Cambria" w:hAnsi="Cambria"/>
          <w:sz w:val="16"/>
          <w:szCs w:val="16"/>
          <w:lang w:val="es-US"/>
        </w:rPr>
        <w:t xml:space="preserve"> </w:t>
      </w:r>
      <w:r w:rsidRPr="007653D8">
        <w:rPr>
          <w:rFonts w:ascii="Cambria" w:hAnsi="Cambria"/>
          <w:sz w:val="16"/>
          <w:szCs w:val="16"/>
          <w:lang w:val="es-ES"/>
        </w:rPr>
        <w:t xml:space="preserve">CIDH. Informe No. 33/14. Caso 12.820. Fondo. Manfred Amrhein y otros. Costa Rica. 4 de abril de 2014. Párr. 217 a 220. </w:t>
      </w:r>
    </w:p>
  </w:footnote>
  <w:footnote w:id="13">
    <w:p w14:paraId="23F9BC01" w14:textId="77777777" w:rsidR="00A45592" w:rsidRPr="007653D8" w:rsidRDefault="00A45592" w:rsidP="00A45592">
      <w:pPr>
        <w:pStyle w:val="FootnoteText"/>
        <w:ind w:firstLine="720"/>
        <w:jc w:val="both"/>
        <w:rPr>
          <w:sz w:val="16"/>
          <w:szCs w:val="16"/>
          <w:lang w:val="es-US"/>
        </w:rPr>
      </w:pPr>
      <w:r w:rsidRPr="007653D8">
        <w:rPr>
          <w:rStyle w:val="FootnoteReference"/>
          <w:rFonts w:ascii="Cambria" w:hAnsi="Cambria"/>
          <w:sz w:val="16"/>
          <w:szCs w:val="16"/>
        </w:rPr>
        <w:footnoteRef/>
      </w:r>
      <w:r w:rsidRPr="007653D8">
        <w:rPr>
          <w:rFonts w:ascii="Cambria" w:hAnsi="Cambria"/>
          <w:sz w:val="16"/>
          <w:szCs w:val="16"/>
          <w:lang w:val="es-AR"/>
        </w:rPr>
        <w:t xml:space="preserve"> </w:t>
      </w:r>
      <w:r w:rsidRPr="007653D8">
        <w:rPr>
          <w:rFonts w:ascii="Cambria" w:hAnsi="Cambria"/>
          <w:bCs/>
          <w:sz w:val="16"/>
          <w:szCs w:val="16"/>
          <w:shd w:val="clear" w:color="auto" w:fill="FFFFFF"/>
          <w:lang w:val="es-ES"/>
        </w:rPr>
        <w:t xml:space="preserve">Corte IDH. </w:t>
      </w:r>
      <w:r w:rsidRPr="007653D8">
        <w:rPr>
          <w:rFonts w:ascii="Cambria" w:hAnsi="Cambria"/>
          <w:bCs/>
          <w:i/>
          <w:sz w:val="16"/>
          <w:szCs w:val="16"/>
          <w:shd w:val="clear" w:color="auto" w:fill="FFFFFF"/>
          <w:lang w:val="es-ES"/>
        </w:rPr>
        <w:t>Caso Amrhein y otros Vs. Costa Rica</w:t>
      </w:r>
      <w:r w:rsidRPr="007653D8">
        <w:rPr>
          <w:rFonts w:ascii="Cambria" w:hAnsi="Cambria"/>
          <w:bCs/>
          <w:sz w:val="16"/>
          <w:szCs w:val="16"/>
          <w:shd w:val="clear" w:color="auto" w:fill="FFFFFF"/>
          <w:lang w:val="es-ES"/>
        </w:rPr>
        <w:t xml:space="preserve">. Excepciones Preliminares, Fondo, Reparaciones y Costas. </w:t>
      </w:r>
      <w:r w:rsidRPr="007653D8">
        <w:rPr>
          <w:rFonts w:ascii="Cambria" w:hAnsi="Cambria"/>
          <w:bCs/>
          <w:sz w:val="16"/>
          <w:szCs w:val="16"/>
          <w:shd w:val="clear" w:color="auto" w:fill="FFFFFF"/>
          <w:lang w:val="es-US"/>
        </w:rPr>
        <w:t>Sentencia de 25 de abril de 2018. Serie C No. 354. Párr. 260.</w:t>
      </w:r>
    </w:p>
  </w:footnote>
  <w:footnote w:id="14">
    <w:p w14:paraId="3EAE3C9E" w14:textId="77777777" w:rsidR="00A45592" w:rsidRPr="007653D8" w:rsidRDefault="00A45592" w:rsidP="00A45592">
      <w:pPr>
        <w:pStyle w:val="FootnoteText"/>
        <w:ind w:firstLine="720"/>
        <w:jc w:val="both"/>
        <w:rPr>
          <w:rFonts w:ascii="Cambria" w:hAnsi="Cambria"/>
          <w:sz w:val="16"/>
          <w:szCs w:val="16"/>
          <w:lang w:val="es-US"/>
        </w:rPr>
      </w:pPr>
      <w:r w:rsidRPr="007653D8">
        <w:rPr>
          <w:rStyle w:val="FootnoteReference"/>
          <w:rFonts w:ascii="Cambria" w:hAnsi="Cambria"/>
          <w:sz w:val="16"/>
          <w:szCs w:val="16"/>
          <w:lang w:val="es-ES"/>
        </w:rPr>
        <w:footnoteRef/>
      </w:r>
      <w:r w:rsidRPr="007653D8">
        <w:rPr>
          <w:rFonts w:ascii="Cambria" w:hAnsi="Cambria"/>
          <w:sz w:val="16"/>
          <w:szCs w:val="16"/>
          <w:lang w:val="es-ES"/>
        </w:rPr>
        <w:t xml:space="preserve"> </w:t>
      </w:r>
      <w:r w:rsidRPr="007653D8">
        <w:rPr>
          <w:rFonts w:ascii="Cambria" w:hAnsi="Cambria"/>
          <w:bCs/>
          <w:sz w:val="16"/>
          <w:szCs w:val="16"/>
          <w:shd w:val="clear" w:color="auto" w:fill="FFFFFF"/>
          <w:lang w:val="es-ES"/>
        </w:rPr>
        <w:t xml:space="preserve">Corte IDH. </w:t>
      </w:r>
      <w:r w:rsidRPr="007653D8">
        <w:rPr>
          <w:rFonts w:ascii="Cambria" w:hAnsi="Cambria"/>
          <w:bCs/>
          <w:i/>
          <w:sz w:val="16"/>
          <w:szCs w:val="16"/>
          <w:shd w:val="clear" w:color="auto" w:fill="FFFFFF"/>
          <w:lang w:val="es-ES"/>
        </w:rPr>
        <w:t>Caso Amrhein y otros Vs. Costa Rica</w:t>
      </w:r>
      <w:r w:rsidRPr="007653D8">
        <w:rPr>
          <w:rFonts w:ascii="Cambria" w:hAnsi="Cambria"/>
          <w:bCs/>
          <w:sz w:val="16"/>
          <w:szCs w:val="16"/>
          <w:shd w:val="clear" w:color="auto" w:fill="FFFFFF"/>
          <w:lang w:val="es-ES"/>
        </w:rPr>
        <w:t xml:space="preserve">. Excepciones Preliminares, Fondo, Reparaciones y Costas. Sentencia de 25 de abril de 2018. Serie C No. 354. Párr. 266. </w:t>
      </w:r>
    </w:p>
  </w:footnote>
  <w:footnote w:id="15">
    <w:p w14:paraId="088B4AC9" w14:textId="77777777" w:rsidR="00B9545B" w:rsidRPr="007653D8" w:rsidRDefault="00B9545B" w:rsidP="00B9545B">
      <w:pPr>
        <w:pStyle w:val="FootnoteText"/>
        <w:ind w:firstLine="720"/>
        <w:rPr>
          <w:rFonts w:asciiTheme="majorHAnsi" w:hAnsiTheme="majorHAnsi"/>
          <w:sz w:val="16"/>
          <w:szCs w:val="16"/>
          <w:lang w:val="es-US"/>
        </w:rPr>
      </w:pPr>
      <w:r w:rsidRPr="007653D8">
        <w:rPr>
          <w:rStyle w:val="FootnoteReference"/>
          <w:rFonts w:asciiTheme="majorHAnsi" w:hAnsiTheme="majorHAnsi"/>
          <w:sz w:val="16"/>
          <w:szCs w:val="16"/>
        </w:rPr>
        <w:footnoteRef/>
      </w:r>
      <w:r w:rsidRPr="007653D8">
        <w:rPr>
          <w:rFonts w:asciiTheme="majorHAnsi" w:hAnsiTheme="majorHAnsi"/>
          <w:sz w:val="16"/>
          <w:szCs w:val="16"/>
          <w:lang w:val="es-US"/>
        </w:rPr>
        <w:t xml:space="preserve"> Corte IDH. Caso Velásquez Rodríguez Vs. Honduras. Excepciones Preliminares. Sentencia de 26 de junio de 1987. Serie C No. 1, párr. 88; y Caso Cuya Lavy y otros Vs. Perú. Excepciones preliminares, Fondo, Reparaciones y Costas. Sentencia de 28 de septiembre de 2021. Serie C No. 438, párr. 27. </w:t>
      </w:r>
    </w:p>
  </w:footnote>
  <w:footnote w:id="16">
    <w:p w14:paraId="62C0A4E9" w14:textId="77777777" w:rsidR="00B9545B" w:rsidRPr="00787E0A" w:rsidRDefault="00B9545B" w:rsidP="00B9545B">
      <w:pPr>
        <w:pStyle w:val="FootnoteText"/>
        <w:jc w:val="both"/>
        <w:rPr>
          <w:rFonts w:ascii="Cambria" w:hAnsi="Cambria"/>
          <w:sz w:val="16"/>
          <w:szCs w:val="16"/>
          <w:lang w:val="es-US"/>
        </w:rPr>
      </w:pPr>
      <w:r w:rsidRPr="007653D8">
        <w:rPr>
          <w:rFonts w:ascii="Cambria" w:hAnsi="Cambria"/>
          <w:sz w:val="16"/>
          <w:szCs w:val="16"/>
          <w:lang w:val="es-ES"/>
        </w:rPr>
        <w:tab/>
      </w:r>
      <w:r w:rsidRPr="007653D8">
        <w:rPr>
          <w:rStyle w:val="FootnoteReference"/>
          <w:rFonts w:ascii="Cambria" w:hAnsi="Cambria"/>
          <w:sz w:val="16"/>
          <w:szCs w:val="16"/>
        </w:rPr>
        <w:footnoteRef/>
      </w:r>
      <w:r w:rsidRPr="007653D8">
        <w:rPr>
          <w:rFonts w:ascii="Cambria" w:hAnsi="Cambria"/>
          <w:sz w:val="16"/>
          <w:szCs w:val="16"/>
          <w:lang w:val="es-ES"/>
        </w:rPr>
        <w:t xml:space="preserve"> CIDH, Informe No. 168/17, Petición 1502-07. Admisibilidad.  Miguel Ángel Morales Morales. Perú. 1 de diciembre de 2017, párr.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914A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0"/>
  </w:num>
  <w:num w:numId="8" w16cid:durableId="1933658824">
    <w:abstractNumId w:val="23"/>
  </w:num>
  <w:num w:numId="9" w16cid:durableId="102309653">
    <w:abstractNumId w:val="51"/>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58"/>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5"/>
  </w:num>
  <w:num w:numId="53" w16cid:durableId="993338501">
    <w:abstractNumId w:val="0"/>
  </w:num>
  <w:num w:numId="54" w16cid:durableId="783113306">
    <w:abstractNumId w:val="40"/>
  </w:num>
  <w:num w:numId="55" w16cid:durableId="1627199839">
    <w:abstractNumId w:val="41"/>
  </w:num>
  <w:num w:numId="56" w16cid:durableId="906108081">
    <w:abstractNumId w:val="47"/>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2"/>
  </w:num>
  <w:num w:numId="83" w16cid:durableId="1364018377">
    <w:abstractNumId w:val="43"/>
  </w:num>
  <w:num w:numId="84" w16cid:durableId="80612354">
    <w:abstractNumId w:val="49"/>
  </w:num>
  <w:num w:numId="85" w16cid:durableId="1691254366">
    <w:abstractNumId w:val="52"/>
  </w:num>
  <w:num w:numId="86" w16cid:durableId="580339032">
    <w:abstractNumId w:val="55"/>
  </w:num>
  <w:num w:numId="87" w16cid:durableId="379717792">
    <w:abstractNumId w:val="57"/>
  </w:num>
  <w:num w:numId="88" w16cid:durableId="1044066421">
    <w:abstractNumId w:val="59"/>
  </w:num>
  <w:num w:numId="89" w16cid:durableId="2091930067">
    <w:abstractNumId w:val="61"/>
  </w:num>
  <w:num w:numId="90" w16cid:durableId="532546517">
    <w:abstractNumId w:val="62"/>
  </w:num>
  <w:num w:numId="91" w16cid:durableId="414666162">
    <w:abstractNumId w:val="63"/>
  </w:num>
  <w:num w:numId="92" w16cid:durableId="1269311212">
    <w:abstractNumId w:val="64"/>
  </w:num>
  <w:num w:numId="93" w16cid:durableId="1631939513">
    <w:abstractNumId w:val="66"/>
  </w:num>
  <w:num w:numId="94" w16cid:durableId="1834564849">
    <w:abstractNumId w:val="22"/>
  </w:num>
  <w:num w:numId="95" w16cid:durableId="205724164">
    <w:abstractNumId w:val="44"/>
  </w:num>
  <w:num w:numId="96" w16cid:durableId="949429864">
    <w:abstractNumId w:val="56"/>
  </w:num>
  <w:num w:numId="97" w16cid:durableId="288970792">
    <w:abstractNumId w:val="53"/>
  </w:num>
  <w:num w:numId="98" w16cid:durableId="952714129">
    <w:abstractNumId w:val="48"/>
  </w:num>
  <w:num w:numId="99" w16cid:durableId="1523976620">
    <w:abstractNumId w:val="39"/>
  </w:num>
  <w:num w:numId="100" w16cid:durableId="156654599">
    <w:abstractNumId w:val="3"/>
  </w:num>
  <w:num w:numId="101" w16cid:durableId="1936327866">
    <w:abstractNumId w:val="27"/>
  </w:num>
  <w:num w:numId="102" w16cid:durableId="1754089481">
    <w:abstractNumId w:val="50"/>
  </w:num>
  <w:num w:numId="103" w16cid:durableId="219633537">
    <w:abstractNumId w:val="6"/>
  </w:num>
  <w:num w:numId="104" w16cid:durableId="195585926">
    <w:abstractNumId w:val="65"/>
  </w:num>
  <w:num w:numId="105" w16cid:durableId="525605381">
    <w:abstractNumId w:val="54"/>
  </w:num>
  <w:num w:numId="106" w16cid:durableId="202910152">
    <w:abstractNumId w:val="4"/>
  </w:num>
  <w:num w:numId="107" w16cid:durableId="1026829289">
    <w:abstractNumId w:val="31"/>
  </w:num>
  <w:num w:numId="108" w16cid:durableId="681589062">
    <w:abstractNumId w:val="14"/>
  </w:num>
  <w:num w:numId="109" w16cid:durableId="54683942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16DE"/>
    <w:rsid w:val="000337EF"/>
    <w:rsid w:val="00034DA3"/>
    <w:rsid w:val="00040C3A"/>
    <w:rsid w:val="000419AD"/>
    <w:rsid w:val="000426A1"/>
    <w:rsid w:val="00042C75"/>
    <w:rsid w:val="000433C9"/>
    <w:rsid w:val="00044A04"/>
    <w:rsid w:val="0005015A"/>
    <w:rsid w:val="0006546B"/>
    <w:rsid w:val="000716C5"/>
    <w:rsid w:val="00075E23"/>
    <w:rsid w:val="000834F8"/>
    <w:rsid w:val="0009344A"/>
    <w:rsid w:val="000A392E"/>
    <w:rsid w:val="000A575F"/>
    <w:rsid w:val="000A6654"/>
    <w:rsid w:val="000B6C1B"/>
    <w:rsid w:val="000D05CB"/>
    <w:rsid w:val="000D10DB"/>
    <w:rsid w:val="000E46B3"/>
    <w:rsid w:val="000E5EB5"/>
    <w:rsid w:val="000F35ED"/>
    <w:rsid w:val="000F5D27"/>
    <w:rsid w:val="00107131"/>
    <w:rsid w:val="0010736F"/>
    <w:rsid w:val="00113F73"/>
    <w:rsid w:val="00121CC2"/>
    <w:rsid w:val="00125C0F"/>
    <w:rsid w:val="00131425"/>
    <w:rsid w:val="00133EE5"/>
    <w:rsid w:val="00145E41"/>
    <w:rsid w:val="00167A34"/>
    <w:rsid w:val="00177D16"/>
    <w:rsid w:val="001A6A9B"/>
    <w:rsid w:val="001A6E83"/>
    <w:rsid w:val="001A7870"/>
    <w:rsid w:val="001B3A00"/>
    <w:rsid w:val="001C1B41"/>
    <w:rsid w:val="001D65EF"/>
    <w:rsid w:val="001E49E7"/>
    <w:rsid w:val="001F7201"/>
    <w:rsid w:val="00223A29"/>
    <w:rsid w:val="002250A3"/>
    <w:rsid w:val="00235217"/>
    <w:rsid w:val="00246D1F"/>
    <w:rsid w:val="00247403"/>
    <w:rsid w:val="00247542"/>
    <w:rsid w:val="0025246A"/>
    <w:rsid w:val="00266B61"/>
    <w:rsid w:val="0026712A"/>
    <w:rsid w:val="002701C6"/>
    <w:rsid w:val="002704DB"/>
    <w:rsid w:val="0029524C"/>
    <w:rsid w:val="002A0AAE"/>
    <w:rsid w:val="002A5820"/>
    <w:rsid w:val="002B0B31"/>
    <w:rsid w:val="002B4477"/>
    <w:rsid w:val="002D2B26"/>
    <w:rsid w:val="002D7EA2"/>
    <w:rsid w:val="002E187C"/>
    <w:rsid w:val="002E242D"/>
    <w:rsid w:val="002E35A4"/>
    <w:rsid w:val="00302733"/>
    <w:rsid w:val="003071F7"/>
    <w:rsid w:val="00314078"/>
    <w:rsid w:val="0031535D"/>
    <w:rsid w:val="003239B8"/>
    <w:rsid w:val="0033098F"/>
    <w:rsid w:val="00330D36"/>
    <w:rsid w:val="0033169F"/>
    <w:rsid w:val="00335E3E"/>
    <w:rsid w:val="00344977"/>
    <w:rsid w:val="00346C95"/>
    <w:rsid w:val="00356185"/>
    <w:rsid w:val="00360380"/>
    <w:rsid w:val="003620B4"/>
    <w:rsid w:val="00365553"/>
    <w:rsid w:val="003670AC"/>
    <w:rsid w:val="00370967"/>
    <w:rsid w:val="0037519E"/>
    <w:rsid w:val="0037682C"/>
    <w:rsid w:val="00386CF0"/>
    <w:rsid w:val="0039144C"/>
    <w:rsid w:val="003A39F8"/>
    <w:rsid w:val="003B098E"/>
    <w:rsid w:val="003B70FB"/>
    <w:rsid w:val="003C5119"/>
    <w:rsid w:val="003C676B"/>
    <w:rsid w:val="003D3BC2"/>
    <w:rsid w:val="003E5CDC"/>
    <w:rsid w:val="003E6CA1"/>
    <w:rsid w:val="00401491"/>
    <w:rsid w:val="00401D83"/>
    <w:rsid w:val="00401DBA"/>
    <w:rsid w:val="00402BE9"/>
    <w:rsid w:val="00405F9C"/>
    <w:rsid w:val="004065A8"/>
    <w:rsid w:val="00406D7B"/>
    <w:rsid w:val="0041526F"/>
    <w:rsid w:val="004165C2"/>
    <w:rsid w:val="00434766"/>
    <w:rsid w:val="00441ECB"/>
    <w:rsid w:val="00445193"/>
    <w:rsid w:val="00445C2D"/>
    <w:rsid w:val="00453D87"/>
    <w:rsid w:val="00462C1B"/>
    <w:rsid w:val="00467B7E"/>
    <w:rsid w:val="00473950"/>
    <w:rsid w:val="00473BB4"/>
    <w:rsid w:val="00476F07"/>
    <w:rsid w:val="00477592"/>
    <w:rsid w:val="00486F1C"/>
    <w:rsid w:val="0049419D"/>
    <w:rsid w:val="004A12C7"/>
    <w:rsid w:val="004A47CF"/>
    <w:rsid w:val="004A6A54"/>
    <w:rsid w:val="004C20D2"/>
    <w:rsid w:val="004C2312"/>
    <w:rsid w:val="004C4B62"/>
    <w:rsid w:val="004C54C9"/>
    <w:rsid w:val="004D0AE0"/>
    <w:rsid w:val="004D4ABA"/>
    <w:rsid w:val="004D6025"/>
    <w:rsid w:val="004E2649"/>
    <w:rsid w:val="004F148A"/>
    <w:rsid w:val="004F626F"/>
    <w:rsid w:val="004F7992"/>
    <w:rsid w:val="00501399"/>
    <w:rsid w:val="0050633D"/>
    <w:rsid w:val="00507BC4"/>
    <w:rsid w:val="005128E4"/>
    <w:rsid w:val="00512BFD"/>
    <w:rsid w:val="0051322C"/>
    <w:rsid w:val="005133DB"/>
    <w:rsid w:val="00514504"/>
    <w:rsid w:val="005202F3"/>
    <w:rsid w:val="00525560"/>
    <w:rsid w:val="00525F6F"/>
    <w:rsid w:val="00534F98"/>
    <w:rsid w:val="00544C49"/>
    <w:rsid w:val="005516A1"/>
    <w:rsid w:val="005559EF"/>
    <w:rsid w:val="00556119"/>
    <w:rsid w:val="00560A39"/>
    <w:rsid w:val="00561399"/>
    <w:rsid w:val="00563557"/>
    <w:rsid w:val="0057402A"/>
    <w:rsid w:val="005771D0"/>
    <w:rsid w:val="0059059D"/>
    <w:rsid w:val="0059191A"/>
    <w:rsid w:val="005921FF"/>
    <w:rsid w:val="005A1DD8"/>
    <w:rsid w:val="005A24ED"/>
    <w:rsid w:val="005A6D0E"/>
    <w:rsid w:val="005B52B0"/>
    <w:rsid w:val="005B6616"/>
    <w:rsid w:val="005B6806"/>
    <w:rsid w:val="005C4225"/>
    <w:rsid w:val="005D38F9"/>
    <w:rsid w:val="005E4252"/>
    <w:rsid w:val="005F0DAD"/>
    <w:rsid w:val="005F0F33"/>
    <w:rsid w:val="00600DEB"/>
    <w:rsid w:val="00607D88"/>
    <w:rsid w:val="00627C9F"/>
    <w:rsid w:val="006311E9"/>
    <w:rsid w:val="00632354"/>
    <w:rsid w:val="00635421"/>
    <w:rsid w:val="00642810"/>
    <w:rsid w:val="00652333"/>
    <w:rsid w:val="0068009E"/>
    <w:rsid w:val="00681C99"/>
    <w:rsid w:val="00684BFC"/>
    <w:rsid w:val="006914A1"/>
    <w:rsid w:val="00692219"/>
    <w:rsid w:val="006A17D2"/>
    <w:rsid w:val="006A3F10"/>
    <w:rsid w:val="006A73E6"/>
    <w:rsid w:val="006B2D5C"/>
    <w:rsid w:val="006C4EB1"/>
    <w:rsid w:val="006D0F37"/>
    <w:rsid w:val="006D46A1"/>
    <w:rsid w:val="006D5973"/>
    <w:rsid w:val="006E0166"/>
    <w:rsid w:val="006E2FFB"/>
    <w:rsid w:val="006E7B34"/>
    <w:rsid w:val="0070697F"/>
    <w:rsid w:val="007107D0"/>
    <w:rsid w:val="0072199C"/>
    <w:rsid w:val="00722C9F"/>
    <w:rsid w:val="00723FBA"/>
    <w:rsid w:val="007253B8"/>
    <w:rsid w:val="0073741F"/>
    <w:rsid w:val="00744F21"/>
    <w:rsid w:val="00744FFD"/>
    <w:rsid w:val="00747C2B"/>
    <w:rsid w:val="007653D8"/>
    <w:rsid w:val="0076643F"/>
    <w:rsid w:val="00777F63"/>
    <w:rsid w:val="007949F7"/>
    <w:rsid w:val="007A20DA"/>
    <w:rsid w:val="007A5817"/>
    <w:rsid w:val="007B05C4"/>
    <w:rsid w:val="007B60E9"/>
    <w:rsid w:val="007B6CC3"/>
    <w:rsid w:val="007B76D3"/>
    <w:rsid w:val="007B7742"/>
    <w:rsid w:val="007C3334"/>
    <w:rsid w:val="007C7562"/>
    <w:rsid w:val="007D282D"/>
    <w:rsid w:val="007D2B98"/>
    <w:rsid w:val="007E21BC"/>
    <w:rsid w:val="007E7C82"/>
    <w:rsid w:val="007F2697"/>
    <w:rsid w:val="007F2AA1"/>
    <w:rsid w:val="007F588D"/>
    <w:rsid w:val="008006A5"/>
    <w:rsid w:val="00803F1C"/>
    <w:rsid w:val="0080493E"/>
    <w:rsid w:val="00804C15"/>
    <w:rsid w:val="0080600E"/>
    <w:rsid w:val="00814688"/>
    <w:rsid w:val="00814A5A"/>
    <w:rsid w:val="00817612"/>
    <w:rsid w:val="00820668"/>
    <w:rsid w:val="00823D85"/>
    <w:rsid w:val="00832847"/>
    <w:rsid w:val="008338A4"/>
    <w:rsid w:val="00834D49"/>
    <w:rsid w:val="00837C45"/>
    <w:rsid w:val="00840541"/>
    <w:rsid w:val="00844730"/>
    <w:rsid w:val="00844CD5"/>
    <w:rsid w:val="008457C2"/>
    <w:rsid w:val="00855ADB"/>
    <w:rsid w:val="00857A82"/>
    <w:rsid w:val="00873836"/>
    <w:rsid w:val="00881DA9"/>
    <w:rsid w:val="00884A44"/>
    <w:rsid w:val="00885737"/>
    <w:rsid w:val="00890650"/>
    <w:rsid w:val="00897C3D"/>
    <w:rsid w:val="00897E12"/>
    <w:rsid w:val="008A7E0F"/>
    <w:rsid w:val="008B12F5"/>
    <w:rsid w:val="008C5E2D"/>
    <w:rsid w:val="008D768D"/>
    <w:rsid w:val="008E2D65"/>
    <w:rsid w:val="008E3759"/>
    <w:rsid w:val="008E3BFE"/>
    <w:rsid w:val="008F0D93"/>
    <w:rsid w:val="008F1912"/>
    <w:rsid w:val="008F1975"/>
    <w:rsid w:val="008F5662"/>
    <w:rsid w:val="0090270B"/>
    <w:rsid w:val="009041DC"/>
    <w:rsid w:val="009115AD"/>
    <w:rsid w:val="009123C8"/>
    <w:rsid w:val="00912A07"/>
    <w:rsid w:val="00916C1D"/>
    <w:rsid w:val="00917B5A"/>
    <w:rsid w:val="00920A58"/>
    <w:rsid w:val="00920A8C"/>
    <w:rsid w:val="00921C22"/>
    <w:rsid w:val="00934A2C"/>
    <w:rsid w:val="00955605"/>
    <w:rsid w:val="0096706E"/>
    <w:rsid w:val="00970A53"/>
    <w:rsid w:val="00972F6E"/>
    <w:rsid w:val="00974491"/>
    <w:rsid w:val="00975C4E"/>
    <w:rsid w:val="0097766D"/>
    <w:rsid w:val="00981FBA"/>
    <w:rsid w:val="00997BC5"/>
    <w:rsid w:val="009A4F41"/>
    <w:rsid w:val="009B381B"/>
    <w:rsid w:val="009B7646"/>
    <w:rsid w:val="009D1753"/>
    <w:rsid w:val="009D2008"/>
    <w:rsid w:val="009D7611"/>
    <w:rsid w:val="009E0B61"/>
    <w:rsid w:val="009E0F16"/>
    <w:rsid w:val="009E53DE"/>
    <w:rsid w:val="009F3B79"/>
    <w:rsid w:val="009F5894"/>
    <w:rsid w:val="00A11212"/>
    <w:rsid w:val="00A11E44"/>
    <w:rsid w:val="00A16F37"/>
    <w:rsid w:val="00A207CA"/>
    <w:rsid w:val="00A30100"/>
    <w:rsid w:val="00A328B3"/>
    <w:rsid w:val="00A45592"/>
    <w:rsid w:val="00A50FCF"/>
    <w:rsid w:val="00A528D1"/>
    <w:rsid w:val="00A570C2"/>
    <w:rsid w:val="00A57AAE"/>
    <w:rsid w:val="00A610CD"/>
    <w:rsid w:val="00A758AA"/>
    <w:rsid w:val="00A80AC9"/>
    <w:rsid w:val="00A91250"/>
    <w:rsid w:val="00AA09A2"/>
    <w:rsid w:val="00AA13C0"/>
    <w:rsid w:val="00AA3E2E"/>
    <w:rsid w:val="00AA7996"/>
    <w:rsid w:val="00AB7136"/>
    <w:rsid w:val="00AC19CB"/>
    <w:rsid w:val="00AC21C0"/>
    <w:rsid w:val="00AC7891"/>
    <w:rsid w:val="00AE5488"/>
    <w:rsid w:val="00AE6F91"/>
    <w:rsid w:val="00AF5571"/>
    <w:rsid w:val="00B07341"/>
    <w:rsid w:val="00B11F71"/>
    <w:rsid w:val="00B17BFE"/>
    <w:rsid w:val="00B27474"/>
    <w:rsid w:val="00B30539"/>
    <w:rsid w:val="00B314DB"/>
    <w:rsid w:val="00B361F2"/>
    <w:rsid w:val="00B3718B"/>
    <w:rsid w:val="00B3745F"/>
    <w:rsid w:val="00B4632A"/>
    <w:rsid w:val="00B501A9"/>
    <w:rsid w:val="00B530F1"/>
    <w:rsid w:val="00B57FE8"/>
    <w:rsid w:val="00B82E09"/>
    <w:rsid w:val="00B9545B"/>
    <w:rsid w:val="00BA276C"/>
    <w:rsid w:val="00BA3910"/>
    <w:rsid w:val="00BA58AD"/>
    <w:rsid w:val="00BB306F"/>
    <w:rsid w:val="00BB34B7"/>
    <w:rsid w:val="00BD4B89"/>
    <w:rsid w:val="00BD5922"/>
    <w:rsid w:val="00BE02E6"/>
    <w:rsid w:val="00BE7866"/>
    <w:rsid w:val="00BF02CB"/>
    <w:rsid w:val="00BF33A0"/>
    <w:rsid w:val="00BF6FD8"/>
    <w:rsid w:val="00BF738C"/>
    <w:rsid w:val="00C03680"/>
    <w:rsid w:val="00C054DF"/>
    <w:rsid w:val="00C21762"/>
    <w:rsid w:val="00C21FEF"/>
    <w:rsid w:val="00C23BA4"/>
    <w:rsid w:val="00C24543"/>
    <w:rsid w:val="00C256A2"/>
    <w:rsid w:val="00C25ADB"/>
    <w:rsid w:val="00C25F66"/>
    <w:rsid w:val="00C46C85"/>
    <w:rsid w:val="00C51515"/>
    <w:rsid w:val="00C5660B"/>
    <w:rsid w:val="00C66B72"/>
    <w:rsid w:val="00C852B1"/>
    <w:rsid w:val="00C87AC4"/>
    <w:rsid w:val="00C9567A"/>
    <w:rsid w:val="00CB212D"/>
    <w:rsid w:val="00CB2660"/>
    <w:rsid w:val="00CC081D"/>
    <w:rsid w:val="00CC4AC6"/>
    <w:rsid w:val="00CC5E90"/>
    <w:rsid w:val="00CC746A"/>
    <w:rsid w:val="00CD046C"/>
    <w:rsid w:val="00CE076C"/>
    <w:rsid w:val="00CE5199"/>
    <w:rsid w:val="00CE66D5"/>
    <w:rsid w:val="00CF637A"/>
    <w:rsid w:val="00D0053A"/>
    <w:rsid w:val="00D029F8"/>
    <w:rsid w:val="00D059DE"/>
    <w:rsid w:val="00D05ABD"/>
    <w:rsid w:val="00D13BC5"/>
    <w:rsid w:val="00D13FCE"/>
    <w:rsid w:val="00D143FC"/>
    <w:rsid w:val="00D306D1"/>
    <w:rsid w:val="00D30800"/>
    <w:rsid w:val="00D309C3"/>
    <w:rsid w:val="00D34786"/>
    <w:rsid w:val="00D37BFC"/>
    <w:rsid w:val="00D465FD"/>
    <w:rsid w:val="00D47A8E"/>
    <w:rsid w:val="00D52D14"/>
    <w:rsid w:val="00D60866"/>
    <w:rsid w:val="00D712D3"/>
    <w:rsid w:val="00D71422"/>
    <w:rsid w:val="00D72DC6"/>
    <w:rsid w:val="00D7558D"/>
    <w:rsid w:val="00D81D92"/>
    <w:rsid w:val="00D876F9"/>
    <w:rsid w:val="00DA7B5F"/>
    <w:rsid w:val="00DB5600"/>
    <w:rsid w:val="00DC11E7"/>
    <w:rsid w:val="00DC24E3"/>
    <w:rsid w:val="00DC7023"/>
    <w:rsid w:val="00DC769A"/>
    <w:rsid w:val="00DD3D86"/>
    <w:rsid w:val="00DD4AD2"/>
    <w:rsid w:val="00DF1EC4"/>
    <w:rsid w:val="00E020A9"/>
    <w:rsid w:val="00E0340B"/>
    <w:rsid w:val="00E04A90"/>
    <w:rsid w:val="00E0551F"/>
    <w:rsid w:val="00E13DF6"/>
    <w:rsid w:val="00E219C7"/>
    <w:rsid w:val="00E24802"/>
    <w:rsid w:val="00E4118C"/>
    <w:rsid w:val="00E43157"/>
    <w:rsid w:val="00E435EE"/>
    <w:rsid w:val="00E461CE"/>
    <w:rsid w:val="00E50F18"/>
    <w:rsid w:val="00E573E4"/>
    <w:rsid w:val="00E60B0E"/>
    <w:rsid w:val="00E60D1B"/>
    <w:rsid w:val="00E64C3D"/>
    <w:rsid w:val="00E720CA"/>
    <w:rsid w:val="00E84EB5"/>
    <w:rsid w:val="00E85662"/>
    <w:rsid w:val="00E85EA9"/>
    <w:rsid w:val="00E8789F"/>
    <w:rsid w:val="00E87E14"/>
    <w:rsid w:val="00E97B71"/>
    <w:rsid w:val="00EA375D"/>
    <w:rsid w:val="00EA3D34"/>
    <w:rsid w:val="00EB2F75"/>
    <w:rsid w:val="00EB3E95"/>
    <w:rsid w:val="00EB454D"/>
    <w:rsid w:val="00ED549D"/>
    <w:rsid w:val="00ED5612"/>
    <w:rsid w:val="00ED76BE"/>
    <w:rsid w:val="00EE00E9"/>
    <w:rsid w:val="00EE1D7E"/>
    <w:rsid w:val="00EF1AAA"/>
    <w:rsid w:val="00EF3167"/>
    <w:rsid w:val="00EF619B"/>
    <w:rsid w:val="00EF7AAB"/>
    <w:rsid w:val="00F00B55"/>
    <w:rsid w:val="00F02AD1"/>
    <w:rsid w:val="00F253CC"/>
    <w:rsid w:val="00F37106"/>
    <w:rsid w:val="00F44E25"/>
    <w:rsid w:val="00F519CF"/>
    <w:rsid w:val="00F56BA5"/>
    <w:rsid w:val="00F60E22"/>
    <w:rsid w:val="00F70069"/>
    <w:rsid w:val="00F81395"/>
    <w:rsid w:val="00F81BB8"/>
    <w:rsid w:val="00F90C64"/>
    <w:rsid w:val="00F917D1"/>
    <w:rsid w:val="00F9653B"/>
    <w:rsid w:val="00FA1333"/>
    <w:rsid w:val="00FA7AFD"/>
    <w:rsid w:val="00FB62CF"/>
    <w:rsid w:val="00FB7CEB"/>
    <w:rsid w:val="00FC2484"/>
    <w:rsid w:val="00FD3C3B"/>
    <w:rsid w:val="00FE07DD"/>
    <w:rsid w:val="00FE24C1"/>
    <w:rsid w:val="00FE6B45"/>
    <w:rsid w:val="00FE6CB4"/>
    <w:rsid w:val="00FF1770"/>
    <w:rsid w:val="00FF1BEE"/>
    <w:rsid w:val="00FF27D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paragraph" w:customStyle="1" w:styleId="paragraph">
    <w:name w:val="paragraph"/>
    <w:basedOn w:val="Normal"/>
    <w:rsid w:val="00EB3E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2"/>
      </w:numPr>
    </w:pPr>
  </w:style>
  <w:style w:type="character" w:customStyle="1" w:styleId="normaltextrun">
    <w:name w:val="normaltextrun"/>
    <w:basedOn w:val="DefaultParagraphFont"/>
    <w:rsid w:val="00EB3E95"/>
  </w:style>
  <w:style w:type="numbering" w:customStyle="1" w:styleId="List210">
    <w:name w:val="List 21"/>
    <w:pPr>
      <w:numPr>
        <w:numId w:val="95"/>
      </w:numPr>
    </w:pPr>
  </w:style>
  <w:style w:type="character" w:customStyle="1" w:styleId="eop">
    <w:name w:val="eop"/>
    <w:basedOn w:val="DefaultParagraphFont"/>
    <w:rsid w:val="00EB3E95"/>
  </w:style>
  <w:style w:type="numbering" w:customStyle="1" w:styleId="List31">
    <w:name w:val="List 31"/>
    <w:pPr>
      <w:numPr>
        <w:numId w:val="94"/>
      </w:numPr>
    </w:pPr>
  </w:style>
  <w:style w:type="numbering" w:customStyle="1" w:styleId="List41">
    <w:name w:val="List 41"/>
    <w:pPr>
      <w:numPr>
        <w:numId w:val="5"/>
      </w:numPr>
    </w:pPr>
  </w:style>
  <w:style w:type="numbering" w:customStyle="1" w:styleId="List510">
    <w:name w:val="List 51"/>
    <w:pPr>
      <w:numPr>
        <w:numId w:val="98"/>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65"/>
      </w:numPr>
    </w:pPr>
  </w:style>
  <w:style w:type="numbering" w:customStyle="1" w:styleId="List10">
    <w:name w:val="List 10"/>
    <w:pPr>
      <w:numPr>
        <w:numId w:val="11"/>
      </w:numPr>
    </w:pPr>
  </w:style>
  <w:style w:type="numbering" w:customStyle="1" w:styleId="List11">
    <w:name w:val="List 11"/>
    <w:pPr>
      <w:numPr>
        <w:numId w:val="20"/>
      </w:numPr>
    </w:pPr>
  </w:style>
  <w:style w:type="numbering" w:customStyle="1" w:styleId="List12">
    <w:name w:val="List 12"/>
    <w:pPr>
      <w:numPr>
        <w:numId w:val="79"/>
      </w:numPr>
    </w:pPr>
  </w:style>
  <w:style w:type="numbering" w:customStyle="1" w:styleId="List13">
    <w:name w:val="List 13"/>
    <w:pPr>
      <w:numPr>
        <w:numId w:val="85"/>
      </w:numPr>
    </w:pPr>
  </w:style>
  <w:style w:type="numbering" w:customStyle="1" w:styleId="List14">
    <w:name w:val="List 14"/>
    <w:pPr>
      <w:numPr>
        <w:numId w:val="60"/>
      </w:numPr>
    </w:pPr>
  </w:style>
  <w:style w:type="numbering" w:customStyle="1" w:styleId="List15">
    <w:name w:val="List 15"/>
    <w:pPr>
      <w:numPr>
        <w:numId w:val="59"/>
      </w:numPr>
    </w:pPr>
  </w:style>
  <w:style w:type="numbering" w:customStyle="1" w:styleId="List16">
    <w:name w:val="List 16"/>
    <w:pPr>
      <w:numPr>
        <w:numId w:val="53"/>
      </w:numPr>
    </w:pPr>
  </w:style>
  <w:style w:type="numbering" w:customStyle="1" w:styleId="List17">
    <w:name w:val="List 17"/>
    <w:pPr>
      <w:numPr>
        <w:numId w:val="68"/>
      </w:numPr>
    </w:pPr>
  </w:style>
  <w:style w:type="numbering" w:customStyle="1" w:styleId="List18">
    <w:name w:val="List 18"/>
    <w:pPr>
      <w:numPr>
        <w:numId w:val="70"/>
      </w:numPr>
    </w:pPr>
  </w:style>
  <w:style w:type="numbering" w:customStyle="1" w:styleId="List19">
    <w:name w:val="List 19"/>
    <w:pPr>
      <w:numPr>
        <w:numId w:val="62"/>
      </w:numPr>
    </w:pPr>
  </w:style>
  <w:style w:type="numbering" w:customStyle="1" w:styleId="List20">
    <w:name w:val="List 20"/>
    <w:pPr>
      <w:numPr>
        <w:numId w:val="86"/>
      </w:numPr>
    </w:pPr>
  </w:style>
  <w:style w:type="numbering" w:customStyle="1" w:styleId="List21">
    <w:name w:val="List 21"/>
    <w:pPr>
      <w:numPr>
        <w:numId w:val="81"/>
      </w:numPr>
    </w:pPr>
  </w:style>
  <w:style w:type="numbering" w:customStyle="1" w:styleId="List22">
    <w:name w:val="List 22"/>
    <w:pPr>
      <w:numPr>
        <w:numId w:val="71"/>
      </w:numPr>
    </w:pPr>
  </w:style>
  <w:style w:type="numbering" w:customStyle="1" w:styleId="List23">
    <w:name w:val="List 23"/>
    <w:pPr>
      <w:numPr>
        <w:numId w:val="61"/>
      </w:numPr>
    </w:pPr>
  </w:style>
  <w:style w:type="numbering" w:customStyle="1" w:styleId="List24">
    <w:name w:val="List 24"/>
    <w:pPr>
      <w:numPr>
        <w:numId w:val="56"/>
      </w:numPr>
    </w:pPr>
  </w:style>
  <w:style w:type="numbering" w:customStyle="1" w:styleId="List25">
    <w:name w:val="List 25"/>
    <w:pPr>
      <w:numPr>
        <w:numId w:val="58"/>
      </w:numPr>
    </w:pPr>
  </w:style>
  <w:style w:type="numbering" w:customStyle="1" w:styleId="List26">
    <w:name w:val="List 26"/>
    <w:pPr>
      <w:numPr>
        <w:numId w:val="92"/>
      </w:numPr>
    </w:pPr>
  </w:style>
  <w:style w:type="numbering" w:customStyle="1" w:styleId="List27">
    <w:name w:val="List 27"/>
    <w:pPr>
      <w:numPr>
        <w:numId w:val="84"/>
      </w:numPr>
    </w:pPr>
  </w:style>
  <w:style w:type="numbering" w:customStyle="1" w:styleId="List28">
    <w:name w:val="List 28"/>
    <w:pPr>
      <w:numPr>
        <w:numId w:val="73"/>
      </w:numPr>
    </w:pPr>
  </w:style>
  <w:style w:type="numbering" w:customStyle="1" w:styleId="List29">
    <w:name w:val="List 29"/>
    <w:pPr>
      <w:numPr>
        <w:numId w:val="77"/>
      </w:numPr>
    </w:pPr>
  </w:style>
  <w:style w:type="numbering" w:customStyle="1" w:styleId="List30">
    <w:name w:val="List 30"/>
    <w:pPr>
      <w:numPr>
        <w:numId w:val="75"/>
      </w:numPr>
    </w:pPr>
  </w:style>
  <w:style w:type="numbering" w:customStyle="1" w:styleId="List310">
    <w:name w:val="List 31"/>
    <w:pPr>
      <w:numPr>
        <w:numId w:val="88"/>
      </w:numPr>
    </w:pPr>
  </w:style>
  <w:style w:type="numbering" w:customStyle="1" w:styleId="List32">
    <w:name w:val="List 32"/>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69"/>
      </w:numPr>
    </w:pPr>
  </w:style>
  <w:style w:type="numbering" w:customStyle="1" w:styleId="List34">
    <w:name w:val="List 34"/>
    <w:pPr>
      <w:numPr>
        <w:numId w:val="54"/>
      </w:numPr>
    </w:pPr>
  </w:style>
  <w:style w:type="numbering" w:customStyle="1" w:styleId="List35">
    <w:name w:val="List 35"/>
    <w:pPr>
      <w:numPr>
        <w:numId w:val="35"/>
      </w:numPr>
    </w:pPr>
  </w:style>
  <w:style w:type="numbering" w:customStyle="1" w:styleId="List36">
    <w:name w:val="List 36"/>
    <w:pPr>
      <w:numPr>
        <w:numId w:val="57"/>
      </w:numPr>
    </w:pPr>
  </w:style>
  <w:style w:type="numbering" w:customStyle="1" w:styleId="List37">
    <w:name w:val="List 37"/>
    <w:pPr>
      <w:numPr>
        <w:numId w:val="90"/>
      </w:numPr>
    </w:pPr>
  </w:style>
  <w:style w:type="numbering" w:customStyle="1" w:styleId="List38">
    <w:name w:val="List 38"/>
    <w:pPr>
      <w:numPr>
        <w:numId w:val="78"/>
      </w:numPr>
    </w:pPr>
  </w:style>
  <w:style w:type="numbering" w:customStyle="1" w:styleId="List39">
    <w:name w:val="List 39"/>
    <w:pPr>
      <w:numPr>
        <w:numId w:val="89"/>
      </w:numPr>
    </w:pPr>
  </w:style>
  <w:style w:type="numbering" w:customStyle="1" w:styleId="List40">
    <w:name w:val="List 40"/>
    <w:pPr>
      <w:numPr>
        <w:numId w:val="64"/>
      </w:numPr>
    </w:pPr>
  </w:style>
  <w:style w:type="numbering" w:customStyle="1" w:styleId="List410">
    <w:name w:val="List 41"/>
    <w:pPr>
      <w:numPr>
        <w:numId w:val="87"/>
      </w:numPr>
    </w:pPr>
  </w:style>
  <w:style w:type="numbering" w:customStyle="1" w:styleId="List42">
    <w:name w:val="List 42"/>
    <w:pPr>
      <w:numPr>
        <w:numId w:val="42"/>
      </w:numPr>
    </w:pPr>
  </w:style>
  <w:style w:type="numbering" w:customStyle="1" w:styleId="List43">
    <w:name w:val="List 43"/>
    <w:pPr>
      <w:numPr>
        <w:numId w:val="66"/>
      </w:numPr>
    </w:pPr>
  </w:style>
  <w:style w:type="numbering" w:customStyle="1" w:styleId="List44">
    <w:name w:val="List 44"/>
    <w:pPr>
      <w:numPr>
        <w:numId w:val="83"/>
      </w:numPr>
    </w:pPr>
  </w:style>
  <w:style w:type="numbering" w:customStyle="1" w:styleId="List45">
    <w:name w:val="List 45"/>
    <w:pPr>
      <w:numPr>
        <w:numId w:val="63"/>
      </w:numPr>
    </w:pPr>
  </w:style>
  <w:style w:type="numbering" w:customStyle="1" w:styleId="List46">
    <w:name w:val="List 46"/>
    <w:pPr>
      <w:numPr>
        <w:numId w:val="67"/>
      </w:numPr>
    </w:pPr>
  </w:style>
  <w:style w:type="numbering" w:customStyle="1" w:styleId="List47">
    <w:name w:val="List 47"/>
    <w:pPr>
      <w:numPr>
        <w:numId w:val="72"/>
      </w:numPr>
    </w:pPr>
  </w:style>
  <w:style w:type="numbering" w:customStyle="1" w:styleId="List48">
    <w:name w:val="List 48"/>
    <w:pPr>
      <w:numPr>
        <w:numId w:val="93"/>
      </w:numPr>
    </w:pPr>
  </w:style>
  <w:style w:type="numbering" w:customStyle="1" w:styleId="List49">
    <w:name w:val="List 49"/>
    <w:pPr>
      <w:numPr>
        <w:numId w:val="82"/>
      </w:numPr>
    </w:pPr>
  </w:style>
  <w:style w:type="numbering" w:customStyle="1" w:styleId="List50">
    <w:name w:val="List 50"/>
    <w:pPr>
      <w:numPr>
        <w:numId w:val="80"/>
      </w:numPr>
    </w:pPr>
  </w:style>
  <w:style w:type="numbering" w:customStyle="1" w:styleId="List51">
    <w:name w:val="List 51"/>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0426A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A45592"/>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1E66FE"/>
    <w:rsid w:val="00200821"/>
    <w:rsid w:val="0025245B"/>
    <w:rsid w:val="002A3923"/>
    <w:rsid w:val="003200CD"/>
    <w:rsid w:val="00394049"/>
    <w:rsid w:val="003F6C18"/>
    <w:rsid w:val="00432CB3"/>
    <w:rsid w:val="004B5BBB"/>
    <w:rsid w:val="004F2DF8"/>
    <w:rsid w:val="006067A0"/>
    <w:rsid w:val="0061797F"/>
    <w:rsid w:val="006F24A1"/>
    <w:rsid w:val="007376C5"/>
    <w:rsid w:val="00886A41"/>
    <w:rsid w:val="009A261B"/>
    <w:rsid w:val="009B0F8C"/>
    <w:rsid w:val="009E257B"/>
    <w:rsid w:val="009F171F"/>
    <w:rsid w:val="009F4BCF"/>
    <w:rsid w:val="00AA2E17"/>
    <w:rsid w:val="00AC15A4"/>
    <w:rsid w:val="00B0336C"/>
    <w:rsid w:val="00CE1D10"/>
    <w:rsid w:val="00D241E9"/>
    <w:rsid w:val="00D7750D"/>
    <w:rsid w:val="00D80801"/>
    <w:rsid w:val="00DA3189"/>
    <w:rsid w:val="00E40BA5"/>
    <w:rsid w:val="00E44405"/>
    <w:rsid w:val="00EC1B68"/>
    <w:rsid w:val="00F00D2F"/>
    <w:rsid w:val="00F128DF"/>
    <w:rsid w:val="00F17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3369</Words>
  <Characters>19206</Characters>
  <Application>Microsoft Office Word</Application>
  <DocSecurity>0</DocSecurity>
  <Lines>160</Lines>
  <Paragraphs>45</Paragraphs>
  <ScaleCrop>false</ScaleCrop>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2023-06-27T18:26:00Z</dcterms:created>
  <dcterms:modified xsi:type="dcterms:W3CDTF">2023-06-27T18:26:00Z</dcterms:modified>
</cp:coreProperties>
</file>